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F1F377" w14:textId="77777777" w:rsidR="00B03C4F" w:rsidRDefault="00B03C4F" w:rsidP="00C72779">
      <w:pPr>
        <w:pStyle w:val="Sinespaciado"/>
        <w:rPr>
          <w:rFonts w:ascii="Arial" w:eastAsia="Times New Roman" w:hAnsi="Arial"/>
          <w:sz w:val="24"/>
          <w:szCs w:val="24"/>
          <w:lang w:val="es-ES" w:eastAsia="ar-SA"/>
        </w:rPr>
      </w:pPr>
    </w:p>
    <w:p w14:paraId="6F783F53" w14:textId="77777777" w:rsidR="00B03C4F" w:rsidRDefault="00B03C4F" w:rsidP="00C72779">
      <w:pPr>
        <w:pStyle w:val="Sinespaciado"/>
        <w:rPr>
          <w:rFonts w:ascii="Arial" w:eastAsia="Times New Roman" w:hAnsi="Arial"/>
          <w:sz w:val="24"/>
          <w:szCs w:val="24"/>
          <w:lang w:val="es-ES" w:eastAsia="ar-SA"/>
        </w:rPr>
      </w:pPr>
    </w:p>
    <w:p w14:paraId="06800043" w14:textId="77777777" w:rsidR="00B03C4F" w:rsidRDefault="00B03C4F" w:rsidP="00C72779">
      <w:pPr>
        <w:pStyle w:val="Sinespaciado"/>
        <w:rPr>
          <w:rFonts w:ascii="Arial" w:eastAsia="Times New Roman" w:hAnsi="Arial"/>
          <w:sz w:val="24"/>
          <w:szCs w:val="24"/>
          <w:lang w:val="es-ES" w:eastAsia="ar-SA"/>
        </w:rPr>
      </w:pPr>
    </w:p>
    <w:p w14:paraId="6B8CDD26" w14:textId="77777777" w:rsidR="00B03C4F" w:rsidRDefault="00B03C4F" w:rsidP="00C72779">
      <w:pPr>
        <w:pStyle w:val="Sinespaciado"/>
        <w:rPr>
          <w:rFonts w:ascii="Arial" w:eastAsia="Times New Roman" w:hAnsi="Arial"/>
          <w:sz w:val="24"/>
          <w:szCs w:val="24"/>
          <w:lang w:val="es-ES" w:eastAsia="ar-SA"/>
        </w:rPr>
      </w:pPr>
    </w:p>
    <w:p w14:paraId="098ADE8C" w14:textId="77777777" w:rsidR="00B03C4F" w:rsidRDefault="00B03C4F" w:rsidP="00C72779">
      <w:pPr>
        <w:pStyle w:val="Sinespaciado"/>
        <w:rPr>
          <w:rFonts w:ascii="Arial" w:eastAsia="Times New Roman" w:hAnsi="Arial"/>
          <w:sz w:val="24"/>
          <w:szCs w:val="24"/>
          <w:lang w:val="es-ES" w:eastAsia="ar-SA"/>
        </w:rPr>
      </w:pPr>
    </w:p>
    <w:sdt>
      <w:sdtPr>
        <w:rPr>
          <w:rFonts w:ascii="Arial" w:eastAsia="Times New Roman" w:hAnsi="Arial"/>
          <w:sz w:val="24"/>
          <w:szCs w:val="24"/>
          <w:lang w:val="es-ES" w:eastAsia="ar-SA"/>
        </w:rPr>
        <w:id w:val="39406153"/>
        <w:docPartObj>
          <w:docPartGallery w:val="Cover Pages"/>
          <w:docPartUnique/>
        </w:docPartObj>
      </w:sdtPr>
      <w:sdtContent>
        <w:p w14:paraId="6AE78D07" w14:textId="160CF11F" w:rsidR="00D72C18" w:rsidRDefault="00D72C18" w:rsidP="00C72779">
          <w:pPr>
            <w:pStyle w:val="Sinespaciado"/>
          </w:pPr>
          <w:r>
            <w:rPr>
              <w:noProof/>
              <w:lang w:eastAsia="es-CO"/>
            </w:rPr>
            <mc:AlternateContent>
              <mc:Choice Requires="wpg">
                <w:drawing>
                  <wp:anchor distT="0" distB="0" distL="114300" distR="114300" simplePos="0" relativeHeight="251658243" behindDoc="1" locked="0" layoutInCell="1" allowOverlap="1" wp14:anchorId="501A363C" wp14:editId="7E3C5FDF">
                    <wp:simplePos x="0" y="0"/>
                    <mc:AlternateContent>
                      <mc:Choice Requires="wp14">
                        <wp:positionH relativeFrom="page">
                          <wp14:pctPosHOffset>4000</wp14:pctPosHOffset>
                        </wp:positionH>
                      </mc:Choice>
                      <mc:Fallback>
                        <wp:positionH relativeFrom="page">
                          <wp:posOffset>310515</wp:posOffset>
                        </wp:positionH>
                      </mc:Fallback>
                    </mc:AlternateContent>
                    <wp:positionV relativeFrom="page">
                      <wp:align>center</wp:align>
                    </wp:positionV>
                    <wp:extent cx="2194560" cy="9125712"/>
                    <wp:effectExtent l="0" t="0" r="6985" b="7620"/>
                    <wp:wrapNone/>
                    <wp:docPr id="1977770375" name="Grupo 1977770375"/>
                    <wp:cNvGraphicFramePr/>
                    <a:graphic xmlns:a="http://schemas.openxmlformats.org/drawingml/2006/main">
                      <a:graphicData uri="http://schemas.microsoft.com/office/word/2010/wordprocessingGroup">
                        <wpg:wgp>
                          <wpg:cNvGrpSpPr/>
                          <wpg:grpSpPr>
                            <a:xfrm>
                              <a:off x="0" y="0"/>
                              <a:ext cx="2194560" cy="9125712"/>
                              <a:chOff x="0" y="0"/>
                              <a:chExt cx="2194560" cy="9125712"/>
                            </a:xfrm>
                          </wpg:grpSpPr>
                          <wps:wsp>
                            <wps:cNvPr id="1977770381" name="Rectángulo 1977770381"/>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977770382" name="Pentágono 4"/>
                            <wps:cNvSpPr/>
                            <wps:spPr>
                              <a:xfrm>
                                <a:off x="0" y="1466850"/>
                                <a:ext cx="2194560" cy="552055"/>
                              </a:xfrm>
                              <a:prstGeom prst="homePlat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6108C3F" w14:textId="4DB665DB" w:rsidR="000D4401" w:rsidRPr="00D72C18" w:rsidRDefault="000D4401" w:rsidP="00D72C18">
                                  <w:pPr>
                                    <w:pStyle w:val="Sinespaciado"/>
                                    <w:jc w:val="center"/>
                                    <w:rPr>
                                      <w:color w:val="FFFFFF" w:themeColor="background1"/>
                                      <w:sz w:val="72"/>
                                      <w:szCs w:val="72"/>
                                    </w:rPr>
                                  </w:pPr>
                                  <w:r>
                                    <w:rPr>
                                      <w:color w:val="FFFFFF" w:themeColor="background1"/>
                                      <w:sz w:val="72"/>
                                      <w:szCs w:val="72"/>
                                    </w:rPr>
                                    <w:t>2019-2021</w:t>
                                  </w:r>
                                </w:p>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1977770383" name="Grupo 1977770383"/>
                            <wpg:cNvGrpSpPr/>
                            <wpg:grpSpPr>
                              <a:xfrm>
                                <a:off x="76200" y="4210050"/>
                                <a:ext cx="2057400" cy="4910328"/>
                                <a:chOff x="80645" y="4211812"/>
                                <a:chExt cx="1306273" cy="3121026"/>
                              </a:xfrm>
                            </wpg:grpSpPr>
                            <wpg:grpSp>
                              <wpg:cNvPr id="1977770384" name="Grupo 1977770384"/>
                              <wpg:cNvGrpSpPr>
                                <a:grpSpLocks noChangeAspect="1"/>
                              </wpg:cNvGrpSpPr>
                              <wpg:grpSpPr>
                                <a:xfrm>
                                  <a:off x="141062" y="4211812"/>
                                  <a:ext cx="1047750" cy="3121026"/>
                                  <a:chOff x="141062" y="4211812"/>
                                  <a:chExt cx="1047750" cy="3121026"/>
                                </a:xfrm>
                              </wpg:grpSpPr>
                              <wps:wsp>
                                <wps:cNvPr id="1977770385" name="Forma libre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86" name="Forma libre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87" name="Forma libre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88" name="Forma libre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89" name="Forma libre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0" name="Forma libre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1" name="Forma libre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2" name="Forma libre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3" name="Forma libre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4" name="Forma libre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5" name="Forma libre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77770396" name="Forma libre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1977770397" name="Grupo 1977770397"/>
                              <wpg:cNvGrpSpPr>
                                <a:grpSpLocks noChangeAspect="1"/>
                              </wpg:cNvGrpSpPr>
                              <wpg:grpSpPr>
                                <a:xfrm>
                                  <a:off x="80645" y="4826972"/>
                                  <a:ext cx="1306273" cy="2505863"/>
                                  <a:chOff x="80645" y="4649964"/>
                                  <a:chExt cx="874712" cy="1677988"/>
                                </a:xfrm>
                              </wpg:grpSpPr>
                              <wps:wsp>
                                <wps:cNvPr id="1977770398" name="Forma libre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977770399" name="Forma libre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054189991" name="Forma libre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054189993" name="Forma libre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054190004" name="Forma libre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1" name="Forma libre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2" name="Forma libre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4" name="Forma libre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5" name="Forma libre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6" name="Forma libre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4879687" name="Forma libre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33000</wp14:pctWidth>
                    </wp14:sizeRelH>
                    <wp14:sizeRelV relativeFrom="page">
                      <wp14:pctHeight>95000</wp14:pctHeight>
                    </wp14:sizeRelV>
                  </wp:anchor>
                </w:drawing>
              </mc:Choice>
              <mc:Fallback>
                <w:pict>
                  <v:group w14:anchorId="501A363C" id="Grupo 1977770375" o:spid="_x0000_s1026" style="position:absolute;margin-left:0;margin-top:0;width:172.8pt;height:718.55pt;z-index:-251658237;mso-width-percent:330;mso-height-percent:950;mso-left-percent:40;mso-position-horizontal-relative:page;mso-position-vertical:center;mso-position-vertical-relative:page;mso-width-percent:330;mso-height-percent:950;mso-left-percent:40" coordsize="2194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">
                    <v:rect id="Rectángulo 1977770381"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" fillcolor="#1f497d [3215]" stroked="f" strokeweight="2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ágono 4" o:spid="_x0000_s1028" type="#_x0000_t15" style="position:absolute;top:14668;width:21945;height:55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" adj="18883" fillcolor="#4f81bd [3204]" stroked="f" strokeweight="2pt">
                      <v:textbox inset=",0,14.4pt,0">
                        <w:txbxContent>
                          <w:p w14:paraId="06108C3F" w14:textId="4DB665DB" w:rsidR="000D4401" w:rsidRPr="00D72C18" w:rsidRDefault="000D4401" w:rsidP="00D72C18">
                            <w:pPr>
                              <w:pStyle w:val="Sinespaciado"/>
                              <w:jc w:val="center"/>
                              <w:rPr>
                                <w:color w:val="FFFFFF" w:themeColor="background1"/>
                                <w:sz w:val="72"/>
                                <w:szCs w:val="72"/>
                              </w:rPr>
                            </w:pPr>
                            <w:r>
                              <w:rPr>
                                <w:color w:val="FFFFFF" w:themeColor="background1"/>
                                <w:sz w:val="72"/>
                                <w:szCs w:val="72"/>
                              </w:rPr>
                              <w:t>2019-2021</w:t>
                            </w:r>
                          </w:p>
                        </w:txbxContent>
                      </v:textbox>
                    </v:shape>
                    <v:group id="Grupo 1977770383" o:spid="_x0000_s1029"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">
                      <v:group id="Grupo 1977770384" o:spid="_x0000_s1030"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">
                        <o:lock v:ext="edit" aspectratio="t"/>
                        <v:shape id="Forma libre 20" o:spid="_x0000_s1031"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" path="m,l39,152,84,304r38,113l122,440,76,306,39,180,6,53,,xe" fillcolor="#1f497d [3215]" strokecolor="#1f497d [3215]" strokeweight="0">
                          <v:path arrowok="t" o:connecttype="custom" o:connectlocs="0,0;61913,241300;133350,482600;193675,661988;193675,698500;120650,485775;61913,285750;9525,84138;0,0" o:connectangles="0,0,0,0,0,0,0,0,0"/>
                        </v:shape>
                        <v:shape id="Forma libre 21" o:spid="_x0000_s1032"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" path="m,l8,19,37,93r30,74l116,269r-8,l60,169,30,98,1,25,,xe" fillcolor="#1f497d [3215]" strokecolor="#1f497d [3215]" strokeweight="0">
                          <v:path arrowok="t" o:connecttype="custom" o:connectlocs="0,0;12700,30163;58738,147638;106363,265113;184150,427038;171450,427038;95250,268288;47625,155575;1588,39688;0,0" o:connectangles="0,0,0,0,0,0,0,0,0,0"/>
                        </v:shape>
                        <v:shape id="Forma libre 22" o:spid="_x0000_s1033"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" path="m,l,,1,79r2,80l12,317,23,476,39,634,58,792,83,948r24,138l135,1223r5,49l138,1262,105,1106,77,949,53,792,35,634,20,476,9,317,2,159,,79,,xe" fillcolor="#1f497d [3215]" strokecolor="#1f497d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orma libre 23" o:spid="_x0000_s1034"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" path="m45,r,l35,66r-9,67l14,267,6,401,3,534,6,669r8,134l18,854r,-3l9,814,8,803,1,669,,534,3,401,12,267,25,132,34,66,45,xe" fillcolor="#1f497d [3215]" strokecolor="#1f497d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orma libre 24" o:spid="_x0000_s1035"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" path="m,l10,44r11,82l34,207r19,86l75,380r25,86l120,521r21,55l152,618r2,11l140,595,115,532,93,468,67,383,47,295,28,207,12,104,,xe" fillcolor="#1f497d [3215]" strokecolor="#1f497d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orma libre 25" o:spid="_x0000_s1036"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" path="m,l33,69r-9,l12,35,,xe" fillcolor="#1f497d [3215]" strokecolor="#1f497d [3215]" strokeweight="0">
                          <v:path arrowok="t" o:connecttype="custom" o:connectlocs="0,0;52388,109538;38100,109538;19050,55563;0,0" o:connectangles="0,0,0,0,0"/>
                        </v:shape>
                        <v:shape id="Forma libre 26" o:spid="_x0000_s1037"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" path="m,l9,37r,3l15,93,5,49,,xe" fillcolor="#1f497d [3215]" strokecolor="#1f497d [3215]" strokeweight="0">
                          <v:path arrowok="t" o:connecttype="custom" o:connectlocs="0,0;14288,58738;14288,63500;23813,147638;7938,77788;0,0" o:connectangles="0,0,0,0,0,0"/>
                        </v:shape>
                        <v:shape id="Forma libre 27" o:spid="_x0000_s1038"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" path="m394,r,l356,38,319,77r-35,40l249,160r-42,58l168,276r-37,63l98,402,69,467,45,535,26,604,14,673,7,746,6,766,,749r1,-5l7,673,21,603,40,533,65,466,94,400r33,-64l164,275r40,-60l248,158r34,-42l318,76,354,37,394,xe" fillcolor="#1f497d [3215]" strokecolor="#1f497d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orma libre 28" o:spid="_x0000_s1039"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" path="m,l6,16r1,3l11,80r9,52l33,185r3,9l21,161,15,145,5,81,1,41,,xe" fillcolor="#1f497d [3215]" strokecolor="#1f497d [3215]" strokeweight="0">
                          <v:path arrowok="t" o:connecttype="custom" o:connectlocs="0,0;9525,25400;11113,30163;17463,127000;31750,209550;52388,293688;57150,307975;33338,255588;23813,230188;7938,128588;1588,65088;0,0" o:connectangles="0,0,0,0,0,0,0,0,0,0,0,0"/>
                        </v:shape>
                        <v:shape id="Forma libre 29" o:spid="_x0000_s1040"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" path="m,l31,65r-8,l,xe" fillcolor="#1f497d [3215]" strokecolor="#1f497d [3215]" strokeweight="0">
                          <v:path arrowok="t" o:connecttype="custom" o:connectlocs="0,0;49213,103188;36513,103188;0,0" o:connectangles="0,0,0,0"/>
                        </v:shape>
                        <v:shape id="Forma libre 30" o:spid="_x0000_s1041"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" path="m,l6,17,7,42,6,39,,23,,xe" fillcolor="#1f497d [3215]" strokecolor="#1f497d [3215]" strokeweight="0">
                          <v:path arrowok="t" o:connecttype="custom" o:connectlocs="0,0;9525,26988;11113,66675;9525,61913;0,36513;0,0" o:connectangles="0,0,0,0,0,0"/>
                        </v:shape>
                        <v:shape id="Forma libre 31" o:spid="_x0000_s1042"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" path="m,l6,16,21,49,33,84r12,34l44,118,13,53,11,42,,xe" fillcolor="#1f497d [3215]" strokecolor="#1f497d [3215]" strokeweight="0">
                          <v:path arrowok="t" o:connecttype="custom" o:connectlocs="0,0;9525,25400;33338,77788;52388,133350;71438,187325;69850,187325;20638,84138;17463,66675;0,0" o:connectangles="0,0,0,0,0,0,0,0,0"/>
                        </v:shape>
                      </v:group>
                      <v:group id="Grupo 1977770397" o:spid="_x0000_s1043"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">
                        <o:lock v:ext="edit" aspectratio="t"/>
                        <v:shape id="Forma libre 8" o:spid="_x0000_s1044"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" path="m,l41,155,86,309r39,116l125,450,79,311,41,183,7,54,,xe" fillcolor="#1f497d [3215]" strokecolor="#1f497d [3215]" strokeweight="0">
                          <v:fill opacity="13107f"/>
                          <v:stroke opacity="13107f"/>
                          <v:path arrowok="t" o:connecttype="custom" o:connectlocs="0,0;65088,246063;136525,490538;198438,674688;198438,714375;125413,493713;65088,290513;11113,85725;0,0" o:connectangles="0,0,0,0,0,0,0,0,0"/>
                        </v:shape>
                        <v:shape id="Forma libre 9" o:spid="_x0000_s1045"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" path="m,l8,20,37,96r32,74l118,275r-9,l61,174,30,100,,26,,xe" fillcolor="#1f497d [3215]" strokecolor="#1f497d [3215]" strokeweight="0">
                          <v:fill opacity="13107f"/>
                          <v:stroke opacity="13107f"/>
                          <v:path arrowok="t" o:connecttype="custom" o:connectlocs="0,0;12700,31750;58738,152400;109538,269875;187325,436563;173038,436563;96838,276225;47625,158750;0,41275;0,0" o:connectangles="0,0,0,0,0,0,0,0,0,0"/>
                        </v:shape>
                        <v:shape id="Forma libre 10" o:spid="_x0000_s1046"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" path="m,l16,72r4,49l18,112,,31,,xe" fillcolor="#1f497d [3215]" strokecolor="#1f497d [3215]" strokeweight="0">
                          <v:fill opacity="13107f"/>
                          <v:stroke opacity="13107f"/>
                          <v:path arrowok="t" o:connecttype="custom" o:connectlocs="0,0;25400,114300;31750,192088;28575,177800;0,49213;0,0" o:connectangles="0,0,0,0,0,0"/>
                        </v:shape>
                        <v:shape id="Forma libre 12" o:spid="_x0000_s1047"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" path="m,l11,46r11,83l36,211r19,90l76,389r27,87l123,533r21,55l155,632r3,11l142,608,118,544,95,478,69,391,47,302,29,212,13,107,,xe" fillcolor="#1f497d [3215]" strokecolor="#1f497d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orma libre 13" o:spid="_x0000_s1048"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" path="m,l33,71r-9,l11,36,,xe" fillcolor="#1f497d [3215]" strokecolor="#1f497d [3215]" strokeweight="0">
                          <v:fill opacity="13107f"/>
                          <v:stroke opacity="13107f"/>
                          <v:path arrowok="t" o:connecttype="custom" o:connectlocs="0,0;52388,112713;38100,112713;17463,57150;0,0" o:connectangles="0,0,0,0,0"/>
                        </v:shape>
                        <v:shape id="Forma libre 14" o:spid="_x0000_s1049"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" path="m,l8,37r,4l15,95,4,49,,xe" fillcolor="#1f497d [3215]" strokecolor="#1f497d [3215]" strokeweight="0">
                          <v:fill opacity="13107f"/>
                          <v:stroke opacity="13107f"/>
                          <v:path arrowok="t" o:connecttype="custom" o:connectlocs="0,0;12700,58738;12700,65088;23813,150813;6350,77788;0,0" o:connectangles="0,0,0,0,0,0"/>
                        </v:shape>
                        <v:shape id="Forma libre 15" o:spid="_x0000_s1050"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" path="m402,r,1l363,39,325,79r-35,42l255,164r-44,58l171,284r-38,62l100,411,71,478,45,546,27,617,13,689,7,761r,21l,765r1,-4l7,688,21,616,40,545,66,475,95,409r35,-66l167,281r42,-61l253,163r34,-43l324,78,362,38,402,xe" fillcolor="#1f497d [3215]" strokecolor="#1f497d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orma libre 16" o:spid="_x0000_s1051"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" path="m,l6,15r1,3l12,80r9,54l33,188r4,8l22,162,15,146,5,81,1,40,,xe" fillcolor="#1f497d [3215]" strokecolor="#1f497d [3215]" strokeweight="0">
                          <v:fill opacity="13107f"/>
                          <v:stroke opacity="13107f"/>
                          <v:path arrowok="t" o:connecttype="custom" o:connectlocs="0,0;9525,23813;11113,28575;19050,127000;33338,212725;52388,298450;58738,311150;34925,257175;23813,231775;7938,128588;1588,63500;0,0" o:connectangles="0,0,0,0,0,0,0,0,0,0,0,0"/>
                        </v:shape>
                        <v:shape id="Forma libre 17" o:spid="_x0000_s1052"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" path="m,l31,66r-7,l,xe" fillcolor="#1f497d [3215]" strokecolor="#1f497d [3215]" strokeweight="0">
                          <v:fill opacity="13107f"/>
                          <v:stroke opacity="13107f"/>
                          <v:path arrowok="t" o:connecttype="custom" o:connectlocs="0,0;49213,104775;38100,104775;0,0" o:connectangles="0,0,0,0"/>
                        </v:shape>
                        <v:shape id="Forma libre 18" o:spid="_x0000_s1053"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" path="m,l7,17r,26l6,40,,25,,xe" fillcolor="#1f497d [3215]" strokecolor="#1f497d [3215]" strokeweight="0">
                          <v:fill opacity="13107f"/>
                          <v:stroke opacity="13107f"/>
                          <v:path arrowok="t" o:connecttype="custom" o:connectlocs="0,0;11113,26988;11113,68263;9525,63500;0,39688;0,0" o:connectangles="0,0,0,0,0,0"/>
                        </v:shape>
                        <v:shape id="Forma libre 19" o:spid="_x0000_s1054"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" path="m,l7,16,22,50,33,86r13,35l45,121,14,55,11,44,,xe" fillcolor="#1f497d [3215]" strokecolor="#1f497d [3215]" strokeweight="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r>
            <w:rPr>
              <w:noProof/>
              <w:lang w:eastAsia="es-CO"/>
            </w:rPr>
            <mc:AlternateContent>
              <mc:Choice Requires="wps">
                <w:drawing>
                  <wp:anchor distT="0" distB="0" distL="114300" distR="114300" simplePos="0" relativeHeight="251658245" behindDoc="0" locked="0" layoutInCell="1" allowOverlap="1" wp14:anchorId="3984B379" wp14:editId="6D36E1B3">
                    <wp:simplePos x="0" y="0"/>
                    <mc:AlternateContent>
                      <mc:Choice Requires="wp14">
                        <wp:positionH relativeFrom="page">
                          <wp14:pctPosHOffset>42000</wp14:pctPosHOffset>
                        </wp:positionH>
                      </mc:Choice>
                      <mc:Fallback>
                        <wp:positionH relativeFrom="page">
                          <wp:posOffset>3263900</wp:posOffset>
                        </wp:positionH>
                      </mc:Fallback>
                    </mc:AlternateContent>
                    <mc:AlternateContent>
                      <mc:Choice Requires="wp14">
                        <wp:positionV relativeFrom="page">
                          <wp14:pctPosVOffset>88000</wp14:pctPosVOffset>
                        </wp:positionV>
                      </mc:Choice>
                      <mc:Fallback>
                        <wp:positionV relativeFrom="page">
                          <wp:posOffset>8851265</wp:posOffset>
                        </wp:positionV>
                      </mc:Fallback>
                    </mc:AlternateContent>
                    <wp:extent cx="3657600" cy="365760"/>
                    <wp:effectExtent l="0" t="0" r="0" b="0"/>
                    <wp:wrapNone/>
                    <wp:docPr id="794879688" name="Cuadro de texto 794879688"/>
                    <wp:cNvGraphicFramePr/>
                    <a:graphic xmlns:a="http://schemas.openxmlformats.org/drawingml/2006/main">
                      <a:graphicData uri="http://schemas.microsoft.com/office/word/2010/wordprocessingShape">
                        <wps:wsp>
                          <wps:cNvSpPr txBox="1"/>
                          <wps:spPr>
                            <a:xfrm>
                              <a:off x="0" y="0"/>
                              <a:ext cx="3657600" cy="3657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3D8393" w14:textId="327165D3" w:rsidR="000D4401" w:rsidRPr="00147F46" w:rsidRDefault="000D4401" w:rsidP="00D72C18">
                                <w:pPr>
                                  <w:pStyle w:val="Sinespaciado"/>
                                  <w:rPr>
                                    <w:b/>
                                    <w:bCs/>
                                    <w:color w:val="1F497D" w:themeColor="text2"/>
                                    <w:sz w:val="24"/>
                                    <w:szCs w:val="24"/>
                                    <w:lang w:val="es-ES"/>
                                  </w:rPr>
                                </w:pPr>
                                <w:r w:rsidRPr="00147F46">
                                  <w:rPr>
                                    <w:b/>
                                    <w:bCs/>
                                    <w:color w:val="1F497D" w:themeColor="text2"/>
                                    <w:sz w:val="32"/>
                                    <w:szCs w:val="32"/>
                                    <w:lang w:val="es-ES"/>
                                  </w:rPr>
                                  <w:t>Noviembre de 2021</w:t>
                                </w: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type w14:anchorId="3984B379" id="_x0000_t202" coordsize="21600,21600" o:spt="202" path="m,l,21600r21600,l21600,xe">
                    <v:stroke joinstyle="miter"/>
                    <v:path gradientshapeok="t" o:connecttype="rect"/>
                  </v:shapetype>
                  <v:shape id="Cuadro de texto 794879688" o:spid="_x0000_s1055" type="#_x0000_t202" style="position:absolute;margin-left:0;margin-top:0;width:4in;height:28.8pt;z-index:251658245;visibility:visible;mso-wrap-style:square;mso-width-percent:450;mso-height-percent:0;mso-left-percent:420;mso-top-percent:880;mso-wrap-distance-left:9pt;mso-wrap-distance-top:0;mso-wrap-distance-right:9pt;mso-wrap-distance-bottom:0;mso-position-horizontal-relative:page;mso-position-vertical-relative:page;mso-width-percent:450;mso-height-percent:0;mso-left-percent:420;mso-top-percent:88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" filled="f" stroked="f" strokeweight=".5pt">
                    <v:textbox style="mso-fit-shape-to-text:t" inset="0,0,0,0">
                      <w:txbxContent>
                        <w:p w14:paraId="5D3D8393" w14:textId="327165D3" w:rsidR="000D4401" w:rsidRPr="00147F46" w:rsidRDefault="000D4401" w:rsidP="00D72C18">
                          <w:pPr>
                            <w:pStyle w:val="Sinespaciado"/>
                            <w:rPr>
                              <w:b/>
                              <w:bCs/>
                              <w:color w:val="1F497D" w:themeColor="text2"/>
                              <w:sz w:val="24"/>
                              <w:szCs w:val="24"/>
                              <w:lang w:val="es-ES"/>
                            </w:rPr>
                          </w:pPr>
                          <w:r w:rsidRPr="00147F46">
                            <w:rPr>
                              <w:b/>
                              <w:bCs/>
                              <w:color w:val="1F497D" w:themeColor="text2"/>
                              <w:sz w:val="32"/>
                              <w:szCs w:val="32"/>
                              <w:lang w:val="es-ES"/>
                            </w:rPr>
                            <w:t>Noviembre de 2021</w:t>
                          </w:r>
                        </w:p>
                      </w:txbxContent>
                    </v:textbox>
                    <w10:wrap anchorx="page" anchory="page"/>
                  </v:shape>
                </w:pict>
              </mc:Fallback>
            </mc:AlternateContent>
          </w:r>
          <w:r>
            <w:rPr>
              <w:noProof/>
              <w:lang w:eastAsia="es-CO"/>
            </w:rPr>
            <mc:AlternateContent>
              <mc:Choice Requires="wps">
                <w:drawing>
                  <wp:anchor distT="0" distB="0" distL="114300" distR="114300" simplePos="0" relativeHeight="251658244" behindDoc="0" locked="0" layoutInCell="1" allowOverlap="1" wp14:anchorId="3B28F340" wp14:editId="6D7D7B3F">
                    <wp:simplePos x="0" y="0"/>
                    <mc:AlternateContent>
                      <mc:Choice Requires="wp14">
                        <wp:positionH relativeFrom="page">
                          <wp14:pctPosHOffset>42000</wp14:pctPosHOffset>
                        </wp:positionH>
                      </mc:Choice>
                      <mc:Fallback>
                        <wp:positionH relativeFrom="page">
                          <wp:posOffset>3263900</wp:posOffset>
                        </wp:positionH>
                      </mc:Fallback>
                    </mc:AlternateContent>
                    <mc:AlternateContent>
                      <mc:Choice Requires="wp14">
                        <wp:positionV relativeFrom="page">
                          <wp14:pctPosVOffset>17500</wp14:pctPosVOffset>
                        </wp:positionV>
                      </mc:Choice>
                      <mc:Fallback>
                        <wp:positionV relativeFrom="page">
                          <wp:posOffset>1760220</wp:posOffset>
                        </wp:positionV>
                      </mc:Fallback>
                    </mc:AlternateContent>
                    <wp:extent cx="3657600" cy="1069848"/>
                    <wp:effectExtent l="0" t="0" r="7620" b="635"/>
                    <wp:wrapNone/>
                    <wp:docPr id="794879689" name="Cuadro de texto 794879689"/>
                    <wp:cNvGraphicFramePr/>
                    <a:graphic xmlns:a="http://schemas.openxmlformats.org/drawingml/2006/main">
                      <a:graphicData uri="http://schemas.microsoft.com/office/word/2010/wordprocessingShape">
                        <wps:wsp>
                          <wps:cNvSpPr txBox="1"/>
                          <wps:spPr>
                            <a:xfrm>
                              <a:off x="0" y="0"/>
                              <a:ext cx="3657600" cy="10698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696ED3" w14:textId="6AAADED8" w:rsidR="000D4401" w:rsidRPr="00D72C18" w:rsidRDefault="000D4401">
                                <w:pPr>
                                  <w:pStyle w:val="Sinespaciado"/>
                                  <w:rPr>
                                    <w:rFonts w:asciiTheme="majorHAnsi" w:eastAsiaTheme="majorEastAsia" w:hAnsiTheme="majorHAnsi" w:cstheme="majorBidi"/>
                                    <w:b/>
                                    <w:bCs/>
                                    <w:color w:val="262626" w:themeColor="text1" w:themeTint="D9"/>
                                    <w:sz w:val="100"/>
                                    <w:szCs w:val="100"/>
                                  </w:rPr>
                                </w:pPr>
                                <w:sdt>
                                  <w:sdtPr>
                                    <w:rPr>
                                      <w:rFonts w:asciiTheme="majorHAnsi" w:eastAsiaTheme="majorEastAsia" w:hAnsiTheme="majorHAnsi" w:cstheme="majorBidi"/>
                                      <w:b/>
                                      <w:bCs/>
                                      <w:color w:val="262626" w:themeColor="text1" w:themeTint="D9"/>
                                      <w:sz w:val="100"/>
                                      <w:szCs w:val="100"/>
                                    </w:rPr>
                                    <w:alias w:val="Título"/>
                                    <w:tag w:val=""/>
                                    <w:id w:val="-705018352"/>
                                    <w:dataBinding w:prefixMappings="xmlns:ns0='http://purl.org/dc/elements/1.1/' xmlns:ns1='http://schemas.openxmlformats.org/package/2006/metadata/core-properties' " w:xpath="/ns1:coreProperties[1]/ns0:title[1]" w:storeItemID="{6C3C8BC8-F283-45AE-878A-BAB7291924A1}"/>
                                    <w:text/>
                                  </w:sdtPr>
                                  <w:sdtContent>
                                    <w:r>
                                      <w:rPr>
                                        <w:rFonts w:asciiTheme="majorHAnsi" w:eastAsiaTheme="majorEastAsia" w:hAnsiTheme="majorHAnsi" w:cstheme="majorBidi"/>
                                        <w:b/>
                                        <w:bCs/>
                                        <w:color w:val="262626" w:themeColor="text1" w:themeTint="D9"/>
                                        <w:sz w:val="100"/>
                                        <w:szCs w:val="100"/>
                                      </w:rPr>
                                      <w:t>Informe de Gestión</w:t>
                                    </w:r>
                                  </w:sdtContent>
                                </w:sdt>
                              </w:p>
                              <w:p w14:paraId="7ECD45F4" w14:textId="3AD0AB47" w:rsidR="000D4401" w:rsidRDefault="000D4401">
                                <w:pPr>
                                  <w:spacing w:before="120"/>
                                  <w:rPr>
                                    <w:color w:val="404040" w:themeColor="text1" w:themeTint="BF"/>
                                    <w:sz w:val="36"/>
                                    <w:szCs w:val="36"/>
                                  </w:rPr>
                                </w:pPr>
                                <w:sdt>
                                  <w:sdtPr>
                                    <w:rPr>
                                      <w:color w:val="404040" w:themeColor="text1" w:themeTint="BF"/>
                                      <w:sz w:val="36"/>
                                      <w:szCs w:val="36"/>
                                    </w:rPr>
                                    <w:alias w:val="Subtítulo"/>
                                    <w:tag w:val=""/>
                                    <w:id w:val="-1148361611"/>
                                    <w:showingPlcHdr/>
                                    <w:dataBinding w:prefixMappings="xmlns:ns0='http://purl.org/dc/elements/1.1/' xmlns:ns1='http://schemas.openxmlformats.org/package/2006/metadata/core-properties' " w:xpath="/ns1:coreProperties[1]/ns0:subject[1]" w:storeItemID="{6C3C8BC8-F283-45AE-878A-BAB7291924A1}"/>
                                    <w:text/>
                                  </w:sdtPr>
                                  <w:sdtContent>
                                    <w:r>
                                      <w:rPr>
                                        <w:color w:val="404040" w:themeColor="text1" w:themeTint="BF"/>
                                        <w:sz w:val="36"/>
                                        <w:szCs w:val="36"/>
                                      </w:rPr>
                                      <w:t xml:space="preserve">     </w:t>
                                    </w:r>
                                  </w:sdtContent>
                                </w:sdt>
                                <w:r>
                                  <w:rPr>
                                    <w:color w:val="404040" w:themeColor="text1" w:themeTint="BF"/>
                                    <w:sz w:val="36"/>
                                    <w:szCs w:val="36"/>
                                  </w:rPr>
                                  <w:t xml:space="preserve">     Olga Lucía López Morales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 w14:anchorId="3B28F340" id="Cuadro de texto 794879689" o:spid="_x0000_s1056" type="#_x0000_t202" style="position:absolute;margin-left:0;margin-top:0;width:4in;height:84.25pt;z-index:251658244;visibility:visible;mso-wrap-style:square;mso-width-percent:450;mso-height-percent:0;mso-left-percent:420;mso-top-percent:175;mso-wrap-distance-left:9pt;mso-wrap-distance-top:0;mso-wrap-distance-right:9pt;mso-wrap-distance-bottom:0;mso-position-horizontal-relative:page;mso-position-vertical-relative:page;mso-width-percent:450;mso-height-percent:0;mso-left-percent:420;mso-top-percent:175;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" filled="f" stroked="f" strokeweight=".5pt">
                    <v:textbox style="mso-fit-shape-to-text:t" inset="0,0,0,0">
                      <w:txbxContent>
                        <w:p w14:paraId="03696ED3" w14:textId="6AAADED8" w:rsidR="000D4401" w:rsidRPr="00D72C18" w:rsidRDefault="000D4401">
                          <w:pPr>
                            <w:pStyle w:val="Sinespaciado"/>
                            <w:rPr>
                              <w:rFonts w:asciiTheme="majorHAnsi" w:eastAsiaTheme="majorEastAsia" w:hAnsiTheme="majorHAnsi" w:cstheme="majorBidi"/>
                              <w:b/>
                              <w:bCs/>
                              <w:color w:val="262626" w:themeColor="text1" w:themeTint="D9"/>
                              <w:sz w:val="100"/>
                              <w:szCs w:val="100"/>
                            </w:rPr>
                          </w:pPr>
                          <w:sdt>
                            <w:sdtPr>
                              <w:rPr>
                                <w:rFonts w:asciiTheme="majorHAnsi" w:eastAsiaTheme="majorEastAsia" w:hAnsiTheme="majorHAnsi" w:cstheme="majorBidi"/>
                                <w:b/>
                                <w:bCs/>
                                <w:color w:val="262626" w:themeColor="text1" w:themeTint="D9"/>
                                <w:sz w:val="100"/>
                                <w:szCs w:val="100"/>
                              </w:rPr>
                              <w:alias w:val="Título"/>
                              <w:tag w:val=""/>
                              <w:id w:val="-705018352"/>
                              <w:dataBinding w:prefixMappings="xmlns:ns0='http://purl.org/dc/elements/1.1/' xmlns:ns1='http://schemas.openxmlformats.org/package/2006/metadata/core-properties' " w:xpath="/ns1:coreProperties[1]/ns0:title[1]" w:storeItemID="{6C3C8BC8-F283-45AE-878A-BAB7291924A1}"/>
                              <w:text/>
                            </w:sdtPr>
                            <w:sdtContent>
                              <w:r>
                                <w:rPr>
                                  <w:rFonts w:asciiTheme="majorHAnsi" w:eastAsiaTheme="majorEastAsia" w:hAnsiTheme="majorHAnsi" w:cstheme="majorBidi"/>
                                  <w:b/>
                                  <w:bCs/>
                                  <w:color w:val="262626" w:themeColor="text1" w:themeTint="D9"/>
                                  <w:sz w:val="100"/>
                                  <w:szCs w:val="100"/>
                                </w:rPr>
                                <w:t>Informe de Gestión</w:t>
                              </w:r>
                            </w:sdtContent>
                          </w:sdt>
                        </w:p>
                        <w:p w14:paraId="7ECD45F4" w14:textId="3AD0AB47" w:rsidR="000D4401" w:rsidRDefault="000D4401">
                          <w:pPr>
                            <w:spacing w:before="120"/>
                            <w:rPr>
                              <w:color w:val="404040" w:themeColor="text1" w:themeTint="BF"/>
                              <w:sz w:val="36"/>
                              <w:szCs w:val="36"/>
                            </w:rPr>
                          </w:pPr>
                          <w:sdt>
                            <w:sdtPr>
                              <w:rPr>
                                <w:color w:val="404040" w:themeColor="text1" w:themeTint="BF"/>
                                <w:sz w:val="36"/>
                                <w:szCs w:val="36"/>
                              </w:rPr>
                              <w:alias w:val="Subtítulo"/>
                              <w:tag w:val=""/>
                              <w:id w:val="-1148361611"/>
                              <w:showingPlcHdr/>
                              <w:dataBinding w:prefixMappings="xmlns:ns0='http://purl.org/dc/elements/1.1/' xmlns:ns1='http://schemas.openxmlformats.org/package/2006/metadata/core-properties' " w:xpath="/ns1:coreProperties[1]/ns0:subject[1]" w:storeItemID="{6C3C8BC8-F283-45AE-878A-BAB7291924A1}"/>
                              <w:text/>
                            </w:sdtPr>
                            <w:sdtContent>
                              <w:r>
                                <w:rPr>
                                  <w:color w:val="404040" w:themeColor="text1" w:themeTint="BF"/>
                                  <w:sz w:val="36"/>
                                  <w:szCs w:val="36"/>
                                </w:rPr>
                                <w:t xml:space="preserve">     </w:t>
                              </w:r>
                            </w:sdtContent>
                          </w:sdt>
                          <w:r>
                            <w:rPr>
                              <w:color w:val="404040" w:themeColor="text1" w:themeTint="BF"/>
                              <w:sz w:val="36"/>
                              <w:szCs w:val="36"/>
                            </w:rPr>
                            <w:t xml:space="preserve">     Olga Lucía López Morales</w:t>
                          </w:r>
                        </w:p>
                      </w:txbxContent>
                    </v:textbox>
                    <w10:wrap anchorx="page" anchory="page"/>
                  </v:shape>
                </w:pict>
              </mc:Fallback>
            </mc:AlternateContent>
          </w:r>
        </w:p>
        <w:p w14:paraId="50552EF8" w14:textId="77777777" w:rsidR="00147F46" w:rsidRDefault="00D72C18" w:rsidP="00C72779">
          <w:pPr>
            <w:suppressAutoHyphens w:val="0"/>
          </w:pPr>
          <w:r>
            <w:br w:type="page"/>
          </w:r>
        </w:p>
        <w:p w14:paraId="28375283" w14:textId="3F343154" w:rsidR="00D72C18" w:rsidRDefault="00A6302C" w:rsidP="00C72779">
          <w:pPr>
            <w:suppressAutoHyphens w:val="0"/>
          </w:pPr>
        </w:p>
      </w:sdtContent>
    </w:sdt>
    <w:sdt>
      <w:sdtPr>
        <w:rPr>
          <w:rFonts w:ascii="Arial" w:eastAsia="Times New Roman" w:hAnsi="Arial" w:cs="Arial"/>
          <w:b w:val="0"/>
          <w:color w:val="auto"/>
          <w:sz w:val="24"/>
          <w:szCs w:val="24"/>
          <w:lang w:val="es-ES" w:eastAsia="ar-SA"/>
        </w:rPr>
        <w:id w:val="1463993830"/>
        <w:docPartObj>
          <w:docPartGallery w:val="Table of Contents"/>
          <w:docPartUnique/>
        </w:docPartObj>
      </w:sdtPr>
      <w:sdtEndPr>
        <w:rPr>
          <w:bCs/>
        </w:rPr>
      </w:sdtEndPr>
      <w:sdtContent>
        <w:p w14:paraId="031DCB22" w14:textId="53369968" w:rsidR="002F50E7" w:rsidRPr="004501F0" w:rsidRDefault="004501F0" w:rsidP="00C72779">
          <w:pPr>
            <w:pStyle w:val="TtuloTDC"/>
            <w:spacing w:after="240" w:line="240" w:lineRule="auto"/>
            <w:rPr>
              <w:rFonts w:ascii="Arial" w:hAnsi="Arial" w:cs="Arial"/>
            </w:rPr>
          </w:pPr>
          <w:r w:rsidRPr="004501F0">
            <w:rPr>
              <w:rFonts w:ascii="Arial" w:hAnsi="Arial" w:cs="Arial"/>
              <w:lang w:val="es-ES"/>
            </w:rPr>
            <w:t>Tabla de contenido</w:t>
          </w:r>
        </w:p>
        <w:p w14:paraId="22F8455C" w14:textId="698F3C9A" w:rsidR="00521FCF" w:rsidRPr="00521FCF" w:rsidRDefault="002F50E7">
          <w:pPr>
            <w:pStyle w:val="TDC1"/>
            <w:tabs>
              <w:tab w:val="right" w:leader="dot" w:pos="9350"/>
            </w:tabs>
            <w:rPr>
              <w:rFonts w:asciiTheme="minorHAnsi" w:eastAsiaTheme="minorEastAsia" w:hAnsiTheme="minorHAnsi" w:cstheme="minorBidi"/>
              <w:b/>
              <w:noProof/>
              <w:sz w:val="22"/>
              <w:szCs w:val="22"/>
              <w:lang w:val="es-CO" w:eastAsia="es-CO"/>
            </w:rPr>
          </w:pPr>
          <w:r w:rsidRPr="00521FCF">
            <w:rPr>
              <w:rFonts w:cs="Arial"/>
              <w:b/>
            </w:rPr>
            <w:fldChar w:fldCharType="begin"/>
          </w:r>
          <w:r w:rsidRPr="00521FCF">
            <w:rPr>
              <w:rFonts w:cs="Arial"/>
              <w:b/>
            </w:rPr>
            <w:instrText xml:space="preserve"> TOC \o "1-3" \h \z \u </w:instrText>
          </w:r>
          <w:r w:rsidRPr="00521FCF">
            <w:rPr>
              <w:rFonts w:cs="Arial"/>
              <w:b/>
            </w:rPr>
            <w:fldChar w:fldCharType="separate"/>
          </w:r>
          <w:hyperlink w:anchor="_Toc88677049" w:history="1">
            <w:r w:rsidR="00521FCF" w:rsidRPr="00521FCF">
              <w:rPr>
                <w:rStyle w:val="Hipervnculo"/>
                <w:b/>
                <w:noProof/>
              </w:rPr>
              <w:t>DATOS GENERALES</w:t>
            </w:r>
            <w:r w:rsidR="00521FCF" w:rsidRPr="00521FCF">
              <w:rPr>
                <w:b/>
                <w:noProof/>
                <w:webHidden/>
              </w:rPr>
              <w:tab/>
            </w:r>
            <w:r w:rsidR="00521FCF" w:rsidRPr="00521FCF">
              <w:rPr>
                <w:b/>
                <w:noProof/>
                <w:webHidden/>
              </w:rPr>
              <w:fldChar w:fldCharType="begin"/>
            </w:r>
            <w:r w:rsidR="00521FCF" w:rsidRPr="00521FCF">
              <w:rPr>
                <w:b/>
                <w:noProof/>
                <w:webHidden/>
              </w:rPr>
              <w:instrText xml:space="preserve"> PAGEREF _Toc88677049 \h </w:instrText>
            </w:r>
            <w:r w:rsidR="00521FCF" w:rsidRPr="00521FCF">
              <w:rPr>
                <w:b/>
                <w:noProof/>
                <w:webHidden/>
              </w:rPr>
            </w:r>
            <w:r w:rsidR="00521FCF" w:rsidRPr="00521FCF">
              <w:rPr>
                <w:b/>
                <w:noProof/>
                <w:webHidden/>
              </w:rPr>
              <w:fldChar w:fldCharType="separate"/>
            </w:r>
            <w:r w:rsidR="00521FCF" w:rsidRPr="00521FCF">
              <w:rPr>
                <w:b/>
                <w:noProof/>
                <w:webHidden/>
              </w:rPr>
              <w:t>7</w:t>
            </w:r>
            <w:r w:rsidR="00521FCF" w:rsidRPr="00521FCF">
              <w:rPr>
                <w:b/>
                <w:noProof/>
                <w:webHidden/>
              </w:rPr>
              <w:fldChar w:fldCharType="end"/>
            </w:r>
          </w:hyperlink>
        </w:p>
        <w:p w14:paraId="29898F8C" w14:textId="46DE0C25" w:rsidR="00521FCF" w:rsidRPr="00521FCF" w:rsidRDefault="00521FCF">
          <w:pPr>
            <w:pStyle w:val="TDC1"/>
            <w:tabs>
              <w:tab w:val="right" w:leader="dot" w:pos="9350"/>
            </w:tabs>
            <w:rPr>
              <w:rFonts w:asciiTheme="minorHAnsi" w:eastAsiaTheme="minorEastAsia" w:hAnsiTheme="minorHAnsi" w:cstheme="minorBidi"/>
              <w:b/>
              <w:noProof/>
              <w:sz w:val="22"/>
              <w:szCs w:val="22"/>
              <w:lang w:val="es-CO" w:eastAsia="es-CO"/>
            </w:rPr>
          </w:pPr>
          <w:hyperlink w:anchor="_Toc88677050" w:history="1">
            <w:r w:rsidRPr="00521FCF">
              <w:rPr>
                <w:rStyle w:val="Hipervnculo"/>
                <w:b/>
                <w:noProof/>
              </w:rPr>
              <w:t>INTRODUCCIÓN</w:t>
            </w:r>
            <w:r w:rsidRPr="00521FCF">
              <w:rPr>
                <w:b/>
                <w:noProof/>
                <w:webHidden/>
              </w:rPr>
              <w:tab/>
            </w:r>
            <w:r w:rsidRPr="00521FCF">
              <w:rPr>
                <w:b/>
                <w:noProof/>
                <w:webHidden/>
              </w:rPr>
              <w:fldChar w:fldCharType="begin"/>
            </w:r>
            <w:r w:rsidRPr="00521FCF">
              <w:rPr>
                <w:b/>
                <w:noProof/>
                <w:webHidden/>
              </w:rPr>
              <w:instrText xml:space="preserve"> PAGEREF _Toc88677050 \h </w:instrText>
            </w:r>
            <w:r w:rsidRPr="00521FCF">
              <w:rPr>
                <w:b/>
                <w:noProof/>
                <w:webHidden/>
              </w:rPr>
            </w:r>
            <w:r w:rsidRPr="00521FCF">
              <w:rPr>
                <w:b/>
                <w:noProof/>
                <w:webHidden/>
              </w:rPr>
              <w:fldChar w:fldCharType="separate"/>
            </w:r>
            <w:r w:rsidRPr="00521FCF">
              <w:rPr>
                <w:b/>
                <w:noProof/>
                <w:webHidden/>
              </w:rPr>
              <w:t>8</w:t>
            </w:r>
            <w:r w:rsidRPr="00521FCF">
              <w:rPr>
                <w:b/>
                <w:noProof/>
                <w:webHidden/>
              </w:rPr>
              <w:fldChar w:fldCharType="end"/>
            </w:r>
          </w:hyperlink>
        </w:p>
        <w:p w14:paraId="1D54BF62" w14:textId="77B93321"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51" w:history="1">
            <w:r w:rsidRPr="00521FCF">
              <w:rPr>
                <w:rStyle w:val="Hipervnculo"/>
                <w:b/>
                <w:noProof/>
              </w:rPr>
              <w:t>1.</w:t>
            </w:r>
            <w:r w:rsidRPr="00521FCF">
              <w:rPr>
                <w:rFonts w:asciiTheme="minorHAnsi" w:eastAsiaTheme="minorEastAsia" w:hAnsiTheme="minorHAnsi" w:cstheme="minorBidi"/>
                <w:b/>
                <w:noProof/>
                <w:sz w:val="22"/>
                <w:szCs w:val="22"/>
                <w:lang w:val="es-CO" w:eastAsia="es-CO"/>
              </w:rPr>
              <w:tab/>
            </w:r>
            <w:r w:rsidRPr="00521FCF">
              <w:rPr>
                <w:rStyle w:val="Hipervnculo"/>
                <w:b/>
                <w:noProof/>
              </w:rPr>
              <w:t>METAS INSTITUCIONALES</w:t>
            </w:r>
            <w:r w:rsidRPr="00521FCF">
              <w:rPr>
                <w:b/>
                <w:noProof/>
                <w:webHidden/>
              </w:rPr>
              <w:tab/>
            </w:r>
            <w:r w:rsidRPr="00521FCF">
              <w:rPr>
                <w:b/>
                <w:noProof/>
                <w:webHidden/>
              </w:rPr>
              <w:fldChar w:fldCharType="begin"/>
            </w:r>
            <w:r w:rsidRPr="00521FCF">
              <w:rPr>
                <w:b/>
                <w:noProof/>
                <w:webHidden/>
              </w:rPr>
              <w:instrText xml:space="preserve"> PAGEREF _Toc88677051 \h </w:instrText>
            </w:r>
            <w:r w:rsidRPr="00521FCF">
              <w:rPr>
                <w:b/>
                <w:noProof/>
                <w:webHidden/>
              </w:rPr>
            </w:r>
            <w:r w:rsidRPr="00521FCF">
              <w:rPr>
                <w:b/>
                <w:noProof/>
                <w:webHidden/>
              </w:rPr>
              <w:fldChar w:fldCharType="separate"/>
            </w:r>
            <w:r w:rsidRPr="00521FCF">
              <w:rPr>
                <w:b/>
                <w:noProof/>
                <w:webHidden/>
              </w:rPr>
              <w:t>10</w:t>
            </w:r>
            <w:r w:rsidRPr="00521FCF">
              <w:rPr>
                <w:b/>
                <w:noProof/>
                <w:webHidden/>
              </w:rPr>
              <w:fldChar w:fldCharType="end"/>
            </w:r>
          </w:hyperlink>
        </w:p>
        <w:p w14:paraId="573EDE0E" w14:textId="52DC52A0"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52" w:history="1">
            <w:r w:rsidRPr="00521FCF">
              <w:rPr>
                <w:rStyle w:val="Hipervnculo"/>
                <w:b/>
                <w:noProof/>
              </w:rPr>
              <w:t>2.</w:t>
            </w:r>
            <w:r w:rsidRPr="00521FCF">
              <w:rPr>
                <w:rFonts w:asciiTheme="minorHAnsi" w:eastAsiaTheme="minorEastAsia" w:hAnsiTheme="minorHAnsi" w:cstheme="minorBidi"/>
                <w:b/>
                <w:noProof/>
                <w:sz w:val="22"/>
                <w:szCs w:val="22"/>
                <w:lang w:val="es-CO" w:eastAsia="es-CO"/>
              </w:rPr>
              <w:tab/>
            </w:r>
            <w:r w:rsidRPr="00521FCF">
              <w:rPr>
                <w:rStyle w:val="Hipervnculo"/>
                <w:b/>
                <w:noProof/>
              </w:rPr>
              <w:t>MODERNIZACIÓN INSTITUCIONAL DEL IGAC</w:t>
            </w:r>
            <w:r w:rsidRPr="00521FCF">
              <w:rPr>
                <w:b/>
                <w:noProof/>
                <w:webHidden/>
              </w:rPr>
              <w:tab/>
            </w:r>
            <w:r w:rsidRPr="00521FCF">
              <w:rPr>
                <w:b/>
                <w:noProof/>
                <w:webHidden/>
              </w:rPr>
              <w:fldChar w:fldCharType="begin"/>
            </w:r>
            <w:r w:rsidRPr="00521FCF">
              <w:rPr>
                <w:b/>
                <w:noProof/>
                <w:webHidden/>
              </w:rPr>
              <w:instrText xml:space="preserve"> PAGEREF _Toc88677052 \h </w:instrText>
            </w:r>
            <w:r w:rsidRPr="00521FCF">
              <w:rPr>
                <w:b/>
                <w:noProof/>
                <w:webHidden/>
              </w:rPr>
            </w:r>
            <w:r w:rsidRPr="00521FCF">
              <w:rPr>
                <w:b/>
                <w:noProof/>
                <w:webHidden/>
              </w:rPr>
              <w:fldChar w:fldCharType="separate"/>
            </w:r>
            <w:r w:rsidRPr="00521FCF">
              <w:rPr>
                <w:b/>
                <w:noProof/>
                <w:webHidden/>
              </w:rPr>
              <w:t>20</w:t>
            </w:r>
            <w:r w:rsidRPr="00521FCF">
              <w:rPr>
                <w:b/>
                <w:noProof/>
                <w:webHidden/>
              </w:rPr>
              <w:fldChar w:fldCharType="end"/>
            </w:r>
          </w:hyperlink>
        </w:p>
        <w:p w14:paraId="21D9958E" w14:textId="7B3DA659"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53" w:history="1">
            <w:r w:rsidRPr="00521FCF">
              <w:rPr>
                <w:rStyle w:val="Hipervnculo"/>
                <w:b/>
                <w:noProof/>
              </w:rPr>
              <w:t>3.</w:t>
            </w:r>
            <w:r w:rsidRPr="00521FCF">
              <w:rPr>
                <w:rFonts w:asciiTheme="minorHAnsi" w:eastAsiaTheme="minorEastAsia" w:hAnsiTheme="minorHAnsi" w:cstheme="minorBidi"/>
                <w:b/>
                <w:noProof/>
                <w:sz w:val="22"/>
                <w:szCs w:val="22"/>
                <w:lang w:val="es-CO" w:eastAsia="es-CO"/>
              </w:rPr>
              <w:tab/>
            </w:r>
            <w:r w:rsidRPr="00521FCF">
              <w:rPr>
                <w:rStyle w:val="Hipervnculo"/>
                <w:b/>
                <w:noProof/>
              </w:rPr>
              <w:t>GESTIÓN CATASTRAL CON ENFOQUE MULTIPROPÓSITO PARA LA ADMINISTRACIÓN DEL TERRITORIO COLOMBIANO</w:t>
            </w:r>
            <w:r w:rsidRPr="00521FCF">
              <w:rPr>
                <w:b/>
                <w:noProof/>
                <w:webHidden/>
              </w:rPr>
              <w:tab/>
            </w:r>
            <w:r w:rsidRPr="00521FCF">
              <w:rPr>
                <w:b/>
                <w:noProof/>
                <w:webHidden/>
              </w:rPr>
              <w:fldChar w:fldCharType="begin"/>
            </w:r>
            <w:r w:rsidRPr="00521FCF">
              <w:rPr>
                <w:b/>
                <w:noProof/>
                <w:webHidden/>
              </w:rPr>
              <w:instrText xml:space="preserve"> PAGEREF _Toc88677053 \h </w:instrText>
            </w:r>
            <w:r w:rsidRPr="00521FCF">
              <w:rPr>
                <w:b/>
                <w:noProof/>
                <w:webHidden/>
              </w:rPr>
            </w:r>
            <w:r w:rsidRPr="00521FCF">
              <w:rPr>
                <w:b/>
                <w:noProof/>
                <w:webHidden/>
              </w:rPr>
              <w:fldChar w:fldCharType="separate"/>
            </w:r>
            <w:r w:rsidRPr="00521FCF">
              <w:rPr>
                <w:b/>
                <w:noProof/>
                <w:webHidden/>
              </w:rPr>
              <w:t>23</w:t>
            </w:r>
            <w:r w:rsidRPr="00521FCF">
              <w:rPr>
                <w:b/>
                <w:noProof/>
                <w:webHidden/>
              </w:rPr>
              <w:fldChar w:fldCharType="end"/>
            </w:r>
          </w:hyperlink>
        </w:p>
        <w:p w14:paraId="334B3397" w14:textId="38F805AC"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54" w:history="1">
            <w:r w:rsidRPr="00521FCF">
              <w:rPr>
                <w:rStyle w:val="Hipervnculo"/>
                <w:rFonts w:cs="Arial"/>
                <w:b/>
                <w:noProof/>
              </w:rPr>
              <w:t>4.</w:t>
            </w:r>
            <w:r w:rsidRPr="00521FCF">
              <w:rPr>
                <w:rFonts w:asciiTheme="minorHAnsi" w:eastAsiaTheme="minorEastAsia" w:hAnsiTheme="minorHAnsi" w:cstheme="minorBidi"/>
                <w:b/>
                <w:noProof/>
                <w:sz w:val="22"/>
                <w:szCs w:val="22"/>
                <w:lang w:val="es-CO" w:eastAsia="es-CO"/>
              </w:rPr>
              <w:tab/>
            </w:r>
            <w:r w:rsidRPr="00521FCF">
              <w:rPr>
                <w:rStyle w:val="Hipervnculo"/>
                <w:b/>
                <w:noProof/>
              </w:rPr>
              <w:t>RESULTADOS Y LOGROS DE LAS DEPENDENCIA</w:t>
            </w:r>
            <w:r w:rsidRPr="00521FCF">
              <w:rPr>
                <w:b/>
                <w:noProof/>
                <w:webHidden/>
              </w:rPr>
              <w:tab/>
            </w:r>
            <w:r w:rsidRPr="00521FCF">
              <w:rPr>
                <w:b/>
                <w:noProof/>
                <w:webHidden/>
              </w:rPr>
              <w:fldChar w:fldCharType="begin"/>
            </w:r>
            <w:r w:rsidRPr="00521FCF">
              <w:rPr>
                <w:b/>
                <w:noProof/>
                <w:webHidden/>
              </w:rPr>
              <w:instrText xml:space="preserve"> PAGEREF _Toc88677054 \h </w:instrText>
            </w:r>
            <w:r w:rsidRPr="00521FCF">
              <w:rPr>
                <w:b/>
                <w:noProof/>
                <w:webHidden/>
              </w:rPr>
            </w:r>
            <w:r w:rsidRPr="00521FCF">
              <w:rPr>
                <w:b/>
                <w:noProof/>
                <w:webHidden/>
              </w:rPr>
              <w:fldChar w:fldCharType="separate"/>
            </w:r>
            <w:r w:rsidRPr="00521FCF">
              <w:rPr>
                <w:b/>
                <w:noProof/>
                <w:webHidden/>
              </w:rPr>
              <w:t>26</w:t>
            </w:r>
            <w:r w:rsidRPr="00521FCF">
              <w:rPr>
                <w:b/>
                <w:noProof/>
                <w:webHidden/>
              </w:rPr>
              <w:fldChar w:fldCharType="end"/>
            </w:r>
          </w:hyperlink>
        </w:p>
        <w:p w14:paraId="6706FAE0" w14:textId="5ECBB51B"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55" w:history="1">
            <w:r w:rsidRPr="00521FCF">
              <w:rPr>
                <w:rStyle w:val="Hipervnculo"/>
                <w:rFonts w:cs="Arial"/>
                <w:b/>
                <w:bCs/>
                <w:noProof/>
              </w:rPr>
              <w:t>4.1</w:t>
            </w:r>
            <w:r w:rsidRPr="00521FCF">
              <w:rPr>
                <w:rFonts w:asciiTheme="minorHAnsi" w:eastAsiaTheme="minorEastAsia" w:hAnsiTheme="minorHAnsi" w:cstheme="minorBidi"/>
                <w:b/>
                <w:noProof/>
                <w:sz w:val="22"/>
                <w:szCs w:val="22"/>
                <w:lang w:val="es-CO" w:eastAsia="es-CO"/>
              </w:rPr>
              <w:tab/>
            </w:r>
            <w:r w:rsidRPr="00521FCF">
              <w:rPr>
                <w:rStyle w:val="Hipervnculo"/>
                <w:b/>
                <w:noProof/>
              </w:rPr>
              <w:t>DIRECCIÓN DE GESTIÓN CATASTRAL</w:t>
            </w:r>
            <w:r w:rsidRPr="00521FCF">
              <w:rPr>
                <w:b/>
                <w:noProof/>
                <w:webHidden/>
              </w:rPr>
              <w:tab/>
            </w:r>
            <w:r w:rsidRPr="00521FCF">
              <w:rPr>
                <w:b/>
                <w:noProof/>
                <w:webHidden/>
              </w:rPr>
              <w:fldChar w:fldCharType="begin"/>
            </w:r>
            <w:r w:rsidRPr="00521FCF">
              <w:rPr>
                <w:b/>
                <w:noProof/>
                <w:webHidden/>
              </w:rPr>
              <w:instrText xml:space="preserve"> PAGEREF _Toc88677055 \h </w:instrText>
            </w:r>
            <w:r w:rsidRPr="00521FCF">
              <w:rPr>
                <w:b/>
                <w:noProof/>
                <w:webHidden/>
              </w:rPr>
            </w:r>
            <w:r w:rsidRPr="00521FCF">
              <w:rPr>
                <w:b/>
                <w:noProof/>
                <w:webHidden/>
              </w:rPr>
              <w:fldChar w:fldCharType="separate"/>
            </w:r>
            <w:r w:rsidRPr="00521FCF">
              <w:rPr>
                <w:b/>
                <w:noProof/>
                <w:webHidden/>
              </w:rPr>
              <w:t>26</w:t>
            </w:r>
            <w:r w:rsidRPr="00521FCF">
              <w:rPr>
                <w:b/>
                <w:noProof/>
                <w:webHidden/>
              </w:rPr>
              <w:fldChar w:fldCharType="end"/>
            </w:r>
          </w:hyperlink>
        </w:p>
        <w:p w14:paraId="11D3471C" w14:textId="0A1DC625"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56" w:history="1">
            <w:r w:rsidRPr="00521FCF">
              <w:rPr>
                <w:rStyle w:val="Hipervnculo"/>
                <w:rFonts w:cs="Arial"/>
                <w:b/>
                <w:bCs/>
                <w:noProof/>
              </w:rPr>
              <w:t>4.2</w:t>
            </w:r>
            <w:r w:rsidRPr="00521FCF">
              <w:rPr>
                <w:rFonts w:asciiTheme="minorHAnsi" w:eastAsiaTheme="minorEastAsia" w:hAnsiTheme="minorHAnsi" w:cstheme="minorBidi"/>
                <w:b/>
                <w:noProof/>
                <w:sz w:val="22"/>
                <w:szCs w:val="22"/>
                <w:lang w:val="es-CO" w:eastAsia="es-CO"/>
              </w:rPr>
              <w:tab/>
            </w:r>
            <w:r w:rsidRPr="00521FCF">
              <w:rPr>
                <w:rStyle w:val="Hipervnculo"/>
                <w:b/>
                <w:noProof/>
              </w:rPr>
              <w:t>DIRECCIÓN DE REGULACIÓN Y HABILITACIÓN</w:t>
            </w:r>
            <w:r w:rsidRPr="00521FCF">
              <w:rPr>
                <w:b/>
                <w:noProof/>
                <w:webHidden/>
              </w:rPr>
              <w:tab/>
            </w:r>
            <w:r w:rsidRPr="00521FCF">
              <w:rPr>
                <w:b/>
                <w:noProof/>
                <w:webHidden/>
              </w:rPr>
              <w:fldChar w:fldCharType="begin"/>
            </w:r>
            <w:r w:rsidRPr="00521FCF">
              <w:rPr>
                <w:b/>
                <w:noProof/>
                <w:webHidden/>
              </w:rPr>
              <w:instrText xml:space="preserve"> PAGEREF _Toc88677056 \h </w:instrText>
            </w:r>
            <w:r w:rsidRPr="00521FCF">
              <w:rPr>
                <w:b/>
                <w:noProof/>
                <w:webHidden/>
              </w:rPr>
            </w:r>
            <w:r w:rsidRPr="00521FCF">
              <w:rPr>
                <w:b/>
                <w:noProof/>
                <w:webHidden/>
              </w:rPr>
              <w:fldChar w:fldCharType="separate"/>
            </w:r>
            <w:r w:rsidRPr="00521FCF">
              <w:rPr>
                <w:b/>
                <w:noProof/>
                <w:webHidden/>
              </w:rPr>
              <w:t>66</w:t>
            </w:r>
            <w:r w:rsidRPr="00521FCF">
              <w:rPr>
                <w:b/>
                <w:noProof/>
                <w:webHidden/>
              </w:rPr>
              <w:fldChar w:fldCharType="end"/>
            </w:r>
          </w:hyperlink>
        </w:p>
        <w:p w14:paraId="715BA794" w14:textId="7ED95E6D"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57" w:history="1">
            <w:r w:rsidRPr="00521FCF">
              <w:rPr>
                <w:rStyle w:val="Hipervnculo"/>
                <w:rFonts w:cs="Arial"/>
                <w:b/>
                <w:bCs/>
                <w:noProof/>
              </w:rPr>
              <w:t>4.3</w:t>
            </w:r>
            <w:r w:rsidRPr="00521FCF">
              <w:rPr>
                <w:rFonts w:asciiTheme="minorHAnsi" w:eastAsiaTheme="minorEastAsia" w:hAnsiTheme="minorHAnsi" w:cstheme="minorBidi"/>
                <w:b/>
                <w:noProof/>
                <w:sz w:val="22"/>
                <w:szCs w:val="22"/>
                <w:lang w:val="es-CO" w:eastAsia="es-CO"/>
              </w:rPr>
              <w:tab/>
            </w:r>
            <w:r w:rsidRPr="00521FCF">
              <w:rPr>
                <w:rStyle w:val="Hipervnculo"/>
                <w:b/>
                <w:noProof/>
              </w:rPr>
              <w:t>DIRECCIÓN DE GESTIÓN DE INFORMACIÓN GEOGRÁFICA</w:t>
            </w:r>
            <w:r w:rsidRPr="00521FCF">
              <w:rPr>
                <w:b/>
                <w:noProof/>
                <w:webHidden/>
              </w:rPr>
              <w:tab/>
            </w:r>
            <w:r w:rsidRPr="00521FCF">
              <w:rPr>
                <w:b/>
                <w:noProof/>
                <w:webHidden/>
              </w:rPr>
              <w:fldChar w:fldCharType="begin"/>
            </w:r>
            <w:r w:rsidRPr="00521FCF">
              <w:rPr>
                <w:b/>
                <w:noProof/>
                <w:webHidden/>
              </w:rPr>
              <w:instrText xml:space="preserve"> PAGEREF _Toc88677057 \h </w:instrText>
            </w:r>
            <w:r w:rsidRPr="00521FCF">
              <w:rPr>
                <w:b/>
                <w:noProof/>
                <w:webHidden/>
              </w:rPr>
            </w:r>
            <w:r w:rsidRPr="00521FCF">
              <w:rPr>
                <w:b/>
                <w:noProof/>
                <w:webHidden/>
              </w:rPr>
              <w:fldChar w:fldCharType="separate"/>
            </w:r>
            <w:r w:rsidRPr="00521FCF">
              <w:rPr>
                <w:b/>
                <w:noProof/>
                <w:webHidden/>
              </w:rPr>
              <w:t>79</w:t>
            </w:r>
            <w:r w:rsidRPr="00521FCF">
              <w:rPr>
                <w:b/>
                <w:noProof/>
                <w:webHidden/>
              </w:rPr>
              <w:fldChar w:fldCharType="end"/>
            </w:r>
          </w:hyperlink>
        </w:p>
        <w:p w14:paraId="6438D1A0" w14:textId="5B23C52A"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58" w:history="1">
            <w:r w:rsidRPr="00521FCF">
              <w:rPr>
                <w:rStyle w:val="Hipervnculo"/>
                <w:rFonts w:cs="Arial"/>
                <w:b/>
                <w:bCs/>
                <w:noProof/>
              </w:rPr>
              <w:t>4.4</w:t>
            </w:r>
            <w:r w:rsidRPr="00521FCF">
              <w:rPr>
                <w:rFonts w:asciiTheme="minorHAnsi" w:eastAsiaTheme="minorEastAsia" w:hAnsiTheme="minorHAnsi" w:cstheme="minorBidi"/>
                <w:b/>
                <w:noProof/>
                <w:sz w:val="22"/>
                <w:szCs w:val="22"/>
                <w:lang w:val="es-CO" w:eastAsia="es-CO"/>
              </w:rPr>
              <w:tab/>
            </w:r>
            <w:r w:rsidRPr="00521FCF">
              <w:rPr>
                <w:rStyle w:val="Hipervnculo"/>
                <w:b/>
                <w:noProof/>
              </w:rPr>
              <w:t>DIRECCIÓN DE INVESTIGACIÓN Y PROSPECTIVA - DIP</w:t>
            </w:r>
            <w:r w:rsidRPr="00521FCF">
              <w:rPr>
                <w:b/>
                <w:noProof/>
                <w:webHidden/>
              </w:rPr>
              <w:tab/>
            </w:r>
            <w:r w:rsidRPr="00521FCF">
              <w:rPr>
                <w:b/>
                <w:noProof/>
                <w:webHidden/>
              </w:rPr>
              <w:fldChar w:fldCharType="begin"/>
            </w:r>
            <w:r w:rsidRPr="00521FCF">
              <w:rPr>
                <w:b/>
                <w:noProof/>
                <w:webHidden/>
              </w:rPr>
              <w:instrText xml:space="preserve"> PAGEREF _Toc88677058 \h </w:instrText>
            </w:r>
            <w:r w:rsidRPr="00521FCF">
              <w:rPr>
                <w:b/>
                <w:noProof/>
                <w:webHidden/>
              </w:rPr>
            </w:r>
            <w:r w:rsidRPr="00521FCF">
              <w:rPr>
                <w:b/>
                <w:noProof/>
                <w:webHidden/>
              </w:rPr>
              <w:fldChar w:fldCharType="separate"/>
            </w:r>
            <w:r w:rsidRPr="00521FCF">
              <w:rPr>
                <w:b/>
                <w:noProof/>
                <w:webHidden/>
              </w:rPr>
              <w:t>159</w:t>
            </w:r>
            <w:r w:rsidRPr="00521FCF">
              <w:rPr>
                <w:b/>
                <w:noProof/>
                <w:webHidden/>
              </w:rPr>
              <w:fldChar w:fldCharType="end"/>
            </w:r>
          </w:hyperlink>
        </w:p>
        <w:p w14:paraId="72CEC083" w14:textId="36E7837B"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59" w:history="1">
            <w:r w:rsidRPr="00521FCF">
              <w:rPr>
                <w:rStyle w:val="Hipervnculo"/>
                <w:rFonts w:cs="Arial"/>
                <w:b/>
                <w:bCs/>
                <w:noProof/>
              </w:rPr>
              <w:t>4.5</w:t>
            </w:r>
            <w:r w:rsidRPr="00521FCF">
              <w:rPr>
                <w:rFonts w:asciiTheme="minorHAnsi" w:eastAsiaTheme="minorEastAsia" w:hAnsiTheme="minorHAnsi" w:cstheme="minorBidi"/>
                <w:b/>
                <w:noProof/>
                <w:sz w:val="22"/>
                <w:szCs w:val="22"/>
                <w:lang w:val="es-CO" w:eastAsia="es-CO"/>
              </w:rPr>
              <w:tab/>
            </w:r>
            <w:r w:rsidRPr="00521FCF">
              <w:rPr>
                <w:rStyle w:val="Hipervnculo"/>
                <w:b/>
                <w:noProof/>
              </w:rPr>
              <w:t>DIRECCIÓN DE TECNOLOGÍAS DE INFORMACIÓN Y COMUNICACIONES</w:t>
            </w:r>
            <w:r w:rsidRPr="00521FCF">
              <w:rPr>
                <w:b/>
                <w:noProof/>
                <w:webHidden/>
              </w:rPr>
              <w:tab/>
            </w:r>
            <w:r w:rsidRPr="00521FCF">
              <w:rPr>
                <w:b/>
                <w:noProof/>
                <w:webHidden/>
              </w:rPr>
              <w:fldChar w:fldCharType="begin"/>
            </w:r>
            <w:r w:rsidRPr="00521FCF">
              <w:rPr>
                <w:b/>
                <w:noProof/>
                <w:webHidden/>
              </w:rPr>
              <w:instrText xml:space="preserve"> PAGEREF _Toc88677059 \h </w:instrText>
            </w:r>
            <w:r w:rsidRPr="00521FCF">
              <w:rPr>
                <w:b/>
                <w:noProof/>
                <w:webHidden/>
              </w:rPr>
            </w:r>
            <w:r w:rsidRPr="00521FCF">
              <w:rPr>
                <w:b/>
                <w:noProof/>
                <w:webHidden/>
              </w:rPr>
              <w:fldChar w:fldCharType="separate"/>
            </w:r>
            <w:r w:rsidRPr="00521FCF">
              <w:rPr>
                <w:b/>
                <w:noProof/>
                <w:webHidden/>
              </w:rPr>
              <w:t>189</w:t>
            </w:r>
            <w:r w:rsidRPr="00521FCF">
              <w:rPr>
                <w:b/>
                <w:noProof/>
                <w:webHidden/>
              </w:rPr>
              <w:fldChar w:fldCharType="end"/>
            </w:r>
          </w:hyperlink>
        </w:p>
        <w:p w14:paraId="00BC562F" w14:textId="14F49D51"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60" w:history="1">
            <w:r w:rsidRPr="00521FCF">
              <w:rPr>
                <w:rStyle w:val="Hipervnculo"/>
                <w:rFonts w:cs="Arial"/>
                <w:b/>
                <w:bCs/>
                <w:noProof/>
              </w:rPr>
              <w:t>4.6</w:t>
            </w:r>
            <w:r w:rsidRPr="00521FCF">
              <w:rPr>
                <w:rFonts w:asciiTheme="minorHAnsi" w:eastAsiaTheme="minorEastAsia" w:hAnsiTheme="minorHAnsi" w:cstheme="minorBidi"/>
                <w:b/>
                <w:noProof/>
                <w:sz w:val="22"/>
                <w:szCs w:val="22"/>
                <w:lang w:val="es-CO" w:eastAsia="es-CO"/>
              </w:rPr>
              <w:tab/>
            </w:r>
            <w:r w:rsidRPr="00521FCF">
              <w:rPr>
                <w:rStyle w:val="Hipervnculo"/>
                <w:b/>
                <w:noProof/>
              </w:rPr>
              <w:t>SECRETARÍA GENERAL</w:t>
            </w:r>
            <w:r w:rsidRPr="00521FCF">
              <w:rPr>
                <w:b/>
                <w:noProof/>
                <w:webHidden/>
              </w:rPr>
              <w:tab/>
            </w:r>
            <w:r w:rsidRPr="00521FCF">
              <w:rPr>
                <w:b/>
                <w:noProof/>
                <w:webHidden/>
              </w:rPr>
              <w:fldChar w:fldCharType="begin"/>
            </w:r>
            <w:r w:rsidRPr="00521FCF">
              <w:rPr>
                <w:b/>
                <w:noProof/>
                <w:webHidden/>
              </w:rPr>
              <w:instrText xml:space="preserve"> PAGEREF _Toc88677060 \h </w:instrText>
            </w:r>
            <w:r w:rsidRPr="00521FCF">
              <w:rPr>
                <w:b/>
                <w:noProof/>
                <w:webHidden/>
              </w:rPr>
            </w:r>
            <w:r w:rsidRPr="00521FCF">
              <w:rPr>
                <w:b/>
                <w:noProof/>
                <w:webHidden/>
              </w:rPr>
              <w:fldChar w:fldCharType="separate"/>
            </w:r>
            <w:r w:rsidRPr="00521FCF">
              <w:rPr>
                <w:b/>
                <w:noProof/>
                <w:webHidden/>
              </w:rPr>
              <w:t>216</w:t>
            </w:r>
            <w:r w:rsidRPr="00521FCF">
              <w:rPr>
                <w:b/>
                <w:noProof/>
                <w:webHidden/>
              </w:rPr>
              <w:fldChar w:fldCharType="end"/>
            </w:r>
          </w:hyperlink>
        </w:p>
        <w:p w14:paraId="5442EE76" w14:textId="6EB19D1D"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61" w:history="1">
            <w:r w:rsidRPr="00521FCF">
              <w:rPr>
                <w:rStyle w:val="Hipervnculo"/>
                <w:rFonts w:cs="Arial"/>
                <w:b/>
                <w:bCs/>
                <w:noProof/>
              </w:rPr>
              <w:t>4.7</w:t>
            </w:r>
            <w:r w:rsidRPr="00521FCF">
              <w:rPr>
                <w:rFonts w:asciiTheme="minorHAnsi" w:eastAsiaTheme="minorEastAsia" w:hAnsiTheme="minorHAnsi" w:cstheme="minorBidi"/>
                <w:b/>
                <w:noProof/>
                <w:sz w:val="22"/>
                <w:szCs w:val="22"/>
                <w:lang w:val="es-CO" w:eastAsia="es-CO"/>
              </w:rPr>
              <w:tab/>
            </w:r>
            <w:r w:rsidRPr="00521FCF">
              <w:rPr>
                <w:rStyle w:val="Hipervnculo"/>
                <w:b/>
                <w:noProof/>
              </w:rPr>
              <w:t>OFICINA DE RELACIONAMIENTO CON EL CIUDADANO</w:t>
            </w:r>
            <w:r w:rsidRPr="00521FCF">
              <w:rPr>
                <w:b/>
                <w:noProof/>
                <w:webHidden/>
              </w:rPr>
              <w:tab/>
            </w:r>
            <w:r w:rsidRPr="00521FCF">
              <w:rPr>
                <w:b/>
                <w:noProof/>
                <w:webHidden/>
              </w:rPr>
              <w:fldChar w:fldCharType="begin"/>
            </w:r>
            <w:r w:rsidRPr="00521FCF">
              <w:rPr>
                <w:b/>
                <w:noProof/>
                <w:webHidden/>
              </w:rPr>
              <w:instrText xml:space="preserve"> PAGEREF _Toc88677061 \h </w:instrText>
            </w:r>
            <w:r w:rsidRPr="00521FCF">
              <w:rPr>
                <w:b/>
                <w:noProof/>
                <w:webHidden/>
              </w:rPr>
            </w:r>
            <w:r w:rsidRPr="00521FCF">
              <w:rPr>
                <w:b/>
                <w:noProof/>
                <w:webHidden/>
              </w:rPr>
              <w:fldChar w:fldCharType="separate"/>
            </w:r>
            <w:r w:rsidRPr="00521FCF">
              <w:rPr>
                <w:b/>
                <w:noProof/>
                <w:webHidden/>
              </w:rPr>
              <w:t>256</w:t>
            </w:r>
            <w:r w:rsidRPr="00521FCF">
              <w:rPr>
                <w:b/>
                <w:noProof/>
                <w:webHidden/>
              </w:rPr>
              <w:fldChar w:fldCharType="end"/>
            </w:r>
          </w:hyperlink>
        </w:p>
        <w:p w14:paraId="26C31736" w14:textId="2238AD0D"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62" w:history="1">
            <w:r w:rsidRPr="00521FCF">
              <w:rPr>
                <w:rStyle w:val="Hipervnculo"/>
                <w:rFonts w:cs="Arial"/>
                <w:b/>
                <w:bCs/>
                <w:noProof/>
              </w:rPr>
              <w:t>4.8</w:t>
            </w:r>
            <w:r w:rsidRPr="00521FCF">
              <w:rPr>
                <w:rFonts w:asciiTheme="minorHAnsi" w:eastAsiaTheme="minorEastAsia" w:hAnsiTheme="minorHAnsi" w:cstheme="minorBidi"/>
                <w:b/>
                <w:noProof/>
                <w:sz w:val="22"/>
                <w:szCs w:val="22"/>
                <w:lang w:val="es-CO" w:eastAsia="es-CO"/>
              </w:rPr>
              <w:tab/>
            </w:r>
            <w:r w:rsidRPr="00521FCF">
              <w:rPr>
                <w:rStyle w:val="Hipervnculo"/>
                <w:b/>
                <w:noProof/>
              </w:rPr>
              <w:t>OFICINA DE CONTROL INTERNO DISCIPLINARIO</w:t>
            </w:r>
            <w:r w:rsidRPr="00521FCF">
              <w:rPr>
                <w:b/>
                <w:noProof/>
                <w:webHidden/>
              </w:rPr>
              <w:tab/>
            </w:r>
            <w:r w:rsidRPr="00521FCF">
              <w:rPr>
                <w:b/>
                <w:noProof/>
                <w:webHidden/>
              </w:rPr>
              <w:fldChar w:fldCharType="begin"/>
            </w:r>
            <w:r w:rsidRPr="00521FCF">
              <w:rPr>
                <w:b/>
                <w:noProof/>
                <w:webHidden/>
              </w:rPr>
              <w:instrText xml:space="preserve"> PAGEREF _Toc88677062 \h </w:instrText>
            </w:r>
            <w:r w:rsidRPr="00521FCF">
              <w:rPr>
                <w:b/>
                <w:noProof/>
                <w:webHidden/>
              </w:rPr>
            </w:r>
            <w:r w:rsidRPr="00521FCF">
              <w:rPr>
                <w:b/>
                <w:noProof/>
                <w:webHidden/>
              </w:rPr>
              <w:fldChar w:fldCharType="separate"/>
            </w:r>
            <w:r w:rsidRPr="00521FCF">
              <w:rPr>
                <w:b/>
                <w:noProof/>
                <w:webHidden/>
              </w:rPr>
              <w:t>285</w:t>
            </w:r>
            <w:r w:rsidRPr="00521FCF">
              <w:rPr>
                <w:b/>
                <w:noProof/>
                <w:webHidden/>
              </w:rPr>
              <w:fldChar w:fldCharType="end"/>
            </w:r>
          </w:hyperlink>
        </w:p>
        <w:p w14:paraId="255E389A" w14:textId="3200B54D" w:rsidR="00521FCF" w:rsidRPr="00521FCF" w:rsidRDefault="00521FCF">
          <w:pPr>
            <w:pStyle w:val="TDC2"/>
            <w:tabs>
              <w:tab w:val="left" w:pos="880"/>
              <w:tab w:val="right" w:leader="dot" w:pos="9350"/>
            </w:tabs>
            <w:rPr>
              <w:rFonts w:asciiTheme="minorHAnsi" w:eastAsiaTheme="minorEastAsia" w:hAnsiTheme="minorHAnsi" w:cstheme="minorBidi"/>
              <w:b/>
              <w:noProof/>
              <w:sz w:val="22"/>
              <w:szCs w:val="22"/>
              <w:lang w:val="es-CO" w:eastAsia="es-CO"/>
            </w:rPr>
          </w:pPr>
          <w:hyperlink w:anchor="_Toc88677063" w:history="1">
            <w:r w:rsidRPr="00521FCF">
              <w:rPr>
                <w:rStyle w:val="Hipervnculo"/>
                <w:rFonts w:cs="Arial"/>
                <w:b/>
                <w:bCs/>
                <w:noProof/>
              </w:rPr>
              <w:t>4.9</w:t>
            </w:r>
            <w:r w:rsidRPr="00521FCF">
              <w:rPr>
                <w:rFonts w:asciiTheme="minorHAnsi" w:eastAsiaTheme="minorEastAsia" w:hAnsiTheme="minorHAnsi" w:cstheme="minorBidi"/>
                <w:b/>
                <w:noProof/>
                <w:sz w:val="22"/>
                <w:szCs w:val="22"/>
                <w:lang w:val="es-CO" w:eastAsia="es-CO"/>
              </w:rPr>
              <w:tab/>
            </w:r>
            <w:r w:rsidRPr="00521FCF">
              <w:rPr>
                <w:rStyle w:val="Hipervnculo"/>
                <w:b/>
                <w:noProof/>
              </w:rPr>
              <w:t>OFICINA ASESORA DE PLANEACIÓN</w:t>
            </w:r>
            <w:r w:rsidRPr="00521FCF">
              <w:rPr>
                <w:b/>
                <w:noProof/>
                <w:webHidden/>
              </w:rPr>
              <w:tab/>
            </w:r>
            <w:r w:rsidRPr="00521FCF">
              <w:rPr>
                <w:b/>
                <w:noProof/>
                <w:webHidden/>
              </w:rPr>
              <w:fldChar w:fldCharType="begin"/>
            </w:r>
            <w:r w:rsidRPr="00521FCF">
              <w:rPr>
                <w:b/>
                <w:noProof/>
                <w:webHidden/>
              </w:rPr>
              <w:instrText xml:space="preserve"> PAGEREF _Toc88677063 \h </w:instrText>
            </w:r>
            <w:r w:rsidRPr="00521FCF">
              <w:rPr>
                <w:b/>
                <w:noProof/>
                <w:webHidden/>
              </w:rPr>
            </w:r>
            <w:r w:rsidRPr="00521FCF">
              <w:rPr>
                <w:b/>
                <w:noProof/>
                <w:webHidden/>
              </w:rPr>
              <w:fldChar w:fldCharType="separate"/>
            </w:r>
            <w:r w:rsidRPr="00521FCF">
              <w:rPr>
                <w:b/>
                <w:noProof/>
                <w:webHidden/>
              </w:rPr>
              <w:t>292</w:t>
            </w:r>
            <w:r w:rsidRPr="00521FCF">
              <w:rPr>
                <w:b/>
                <w:noProof/>
                <w:webHidden/>
              </w:rPr>
              <w:fldChar w:fldCharType="end"/>
            </w:r>
          </w:hyperlink>
        </w:p>
        <w:p w14:paraId="2AAE3873" w14:textId="4397A651" w:rsidR="00521FCF" w:rsidRPr="00521FCF" w:rsidRDefault="00521FCF">
          <w:pPr>
            <w:pStyle w:val="TDC2"/>
            <w:tabs>
              <w:tab w:val="left" w:pos="1100"/>
              <w:tab w:val="right" w:leader="dot" w:pos="9350"/>
            </w:tabs>
            <w:rPr>
              <w:rFonts w:asciiTheme="minorHAnsi" w:eastAsiaTheme="minorEastAsia" w:hAnsiTheme="minorHAnsi" w:cstheme="minorBidi"/>
              <w:b/>
              <w:noProof/>
              <w:sz w:val="22"/>
              <w:szCs w:val="22"/>
              <w:lang w:val="es-CO" w:eastAsia="es-CO"/>
            </w:rPr>
          </w:pPr>
          <w:hyperlink w:anchor="_Toc88677064" w:history="1">
            <w:r w:rsidRPr="00521FCF">
              <w:rPr>
                <w:rStyle w:val="Hipervnculo"/>
                <w:rFonts w:cs="Arial"/>
                <w:b/>
                <w:bCs/>
                <w:noProof/>
              </w:rPr>
              <w:t>4.10</w:t>
            </w:r>
            <w:r w:rsidRPr="00521FCF">
              <w:rPr>
                <w:rFonts w:asciiTheme="minorHAnsi" w:eastAsiaTheme="minorEastAsia" w:hAnsiTheme="minorHAnsi" w:cstheme="minorBidi"/>
                <w:b/>
                <w:noProof/>
                <w:sz w:val="22"/>
                <w:szCs w:val="22"/>
                <w:lang w:val="es-CO" w:eastAsia="es-CO"/>
              </w:rPr>
              <w:tab/>
            </w:r>
            <w:r w:rsidRPr="00521FCF">
              <w:rPr>
                <w:rStyle w:val="Hipervnculo"/>
                <w:b/>
                <w:noProof/>
              </w:rPr>
              <w:t>OFICINA ASESORA JURÍDICA</w:t>
            </w:r>
            <w:r w:rsidRPr="00521FCF">
              <w:rPr>
                <w:b/>
                <w:noProof/>
                <w:webHidden/>
              </w:rPr>
              <w:tab/>
            </w:r>
            <w:r w:rsidRPr="00521FCF">
              <w:rPr>
                <w:b/>
                <w:noProof/>
                <w:webHidden/>
              </w:rPr>
              <w:fldChar w:fldCharType="begin"/>
            </w:r>
            <w:r w:rsidRPr="00521FCF">
              <w:rPr>
                <w:b/>
                <w:noProof/>
                <w:webHidden/>
              </w:rPr>
              <w:instrText xml:space="preserve"> PAGEREF _Toc88677064 \h </w:instrText>
            </w:r>
            <w:r w:rsidRPr="00521FCF">
              <w:rPr>
                <w:b/>
                <w:noProof/>
                <w:webHidden/>
              </w:rPr>
            </w:r>
            <w:r w:rsidRPr="00521FCF">
              <w:rPr>
                <w:b/>
                <w:noProof/>
                <w:webHidden/>
              </w:rPr>
              <w:fldChar w:fldCharType="separate"/>
            </w:r>
            <w:r w:rsidRPr="00521FCF">
              <w:rPr>
                <w:b/>
                <w:noProof/>
                <w:webHidden/>
              </w:rPr>
              <w:t>317</w:t>
            </w:r>
            <w:r w:rsidRPr="00521FCF">
              <w:rPr>
                <w:b/>
                <w:noProof/>
                <w:webHidden/>
              </w:rPr>
              <w:fldChar w:fldCharType="end"/>
            </w:r>
          </w:hyperlink>
        </w:p>
        <w:p w14:paraId="78B858B5" w14:textId="4A3F008D"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65" w:history="1">
            <w:r w:rsidRPr="00521FCF">
              <w:rPr>
                <w:rStyle w:val="Hipervnculo"/>
                <w:b/>
                <w:noProof/>
              </w:rPr>
              <w:t>5.</w:t>
            </w:r>
            <w:r w:rsidRPr="00521FCF">
              <w:rPr>
                <w:rFonts w:asciiTheme="minorHAnsi" w:eastAsiaTheme="minorEastAsia" w:hAnsiTheme="minorHAnsi" w:cstheme="minorBidi"/>
                <w:b/>
                <w:noProof/>
                <w:sz w:val="22"/>
                <w:szCs w:val="22"/>
                <w:lang w:val="es-CO" w:eastAsia="es-CO"/>
              </w:rPr>
              <w:tab/>
            </w:r>
            <w:r w:rsidRPr="00521FCF">
              <w:rPr>
                <w:rStyle w:val="Hipervnculo"/>
                <w:b/>
                <w:noProof/>
              </w:rPr>
              <w:t>PRESUPUESTO</w:t>
            </w:r>
            <w:r w:rsidRPr="00521FCF">
              <w:rPr>
                <w:b/>
                <w:noProof/>
                <w:webHidden/>
              </w:rPr>
              <w:tab/>
            </w:r>
            <w:r w:rsidRPr="00521FCF">
              <w:rPr>
                <w:b/>
                <w:noProof/>
                <w:webHidden/>
              </w:rPr>
              <w:fldChar w:fldCharType="begin"/>
            </w:r>
            <w:r w:rsidRPr="00521FCF">
              <w:rPr>
                <w:b/>
                <w:noProof/>
                <w:webHidden/>
              </w:rPr>
              <w:instrText xml:space="preserve"> PAGEREF _Toc88677065 \h </w:instrText>
            </w:r>
            <w:r w:rsidRPr="00521FCF">
              <w:rPr>
                <w:b/>
                <w:noProof/>
                <w:webHidden/>
              </w:rPr>
            </w:r>
            <w:r w:rsidRPr="00521FCF">
              <w:rPr>
                <w:b/>
                <w:noProof/>
                <w:webHidden/>
              </w:rPr>
              <w:fldChar w:fldCharType="separate"/>
            </w:r>
            <w:r w:rsidRPr="00521FCF">
              <w:rPr>
                <w:b/>
                <w:noProof/>
                <w:webHidden/>
              </w:rPr>
              <w:t>343</w:t>
            </w:r>
            <w:r w:rsidRPr="00521FCF">
              <w:rPr>
                <w:b/>
                <w:noProof/>
                <w:webHidden/>
              </w:rPr>
              <w:fldChar w:fldCharType="end"/>
            </w:r>
          </w:hyperlink>
        </w:p>
        <w:p w14:paraId="53301C27" w14:textId="0A952426" w:rsidR="00521FCF" w:rsidRPr="00521FCF" w:rsidRDefault="00521FCF">
          <w:pPr>
            <w:pStyle w:val="TDC1"/>
            <w:tabs>
              <w:tab w:val="left" w:pos="480"/>
              <w:tab w:val="right" w:leader="dot" w:pos="9350"/>
            </w:tabs>
            <w:rPr>
              <w:rFonts w:asciiTheme="minorHAnsi" w:eastAsiaTheme="minorEastAsia" w:hAnsiTheme="minorHAnsi" w:cstheme="minorBidi"/>
              <w:b/>
              <w:noProof/>
              <w:sz w:val="22"/>
              <w:szCs w:val="22"/>
              <w:lang w:val="es-CO" w:eastAsia="es-CO"/>
            </w:rPr>
          </w:pPr>
          <w:hyperlink w:anchor="_Toc88677066" w:history="1">
            <w:r w:rsidRPr="00521FCF">
              <w:rPr>
                <w:rStyle w:val="Hipervnculo"/>
                <w:rFonts w:cs="Arial"/>
                <w:b/>
                <w:noProof/>
              </w:rPr>
              <w:t>6.</w:t>
            </w:r>
            <w:r w:rsidRPr="00521FCF">
              <w:rPr>
                <w:rFonts w:asciiTheme="minorHAnsi" w:eastAsiaTheme="minorEastAsia" w:hAnsiTheme="minorHAnsi" w:cstheme="minorBidi"/>
                <w:b/>
                <w:noProof/>
                <w:sz w:val="22"/>
                <w:szCs w:val="22"/>
                <w:lang w:val="es-CO" w:eastAsia="es-CO"/>
              </w:rPr>
              <w:tab/>
            </w:r>
            <w:r w:rsidRPr="00521FCF">
              <w:rPr>
                <w:rStyle w:val="Hipervnculo"/>
                <w:rFonts w:cs="Arial"/>
                <w:b/>
                <w:noProof/>
              </w:rPr>
              <w:t>CONTRATACIÓN</w:t>
            </w:r>
            <w:r w:rsidRPr="00521FCF">
              <w:rPr>
                <w:b/>
                <w:noProof/>
                <w:webHidden/>
              </w:rPr>
              <w:tab/>
            </w:r>
            <w:r w:rsidRPr="00521FCF">
              <w:rPr>
                <w:b/>
                <w:noProof/>
                <w:webHidden/>
              </w:rPr>
              <w:fldChar w:fldCharType="begin"/>
            </w:r>
            <w:r w:rsidRPr="00521FCF">
              <w:rPr>
                <w:b/>
                <w:noProof/>
                <w:webHidden/>
              </w:rPr>
              <w:instrText xml:space="preserve"> PAGEREF _Toc88677066 \h </w:instrText>
            </w:r>
            <w:r w:rsidRPr="00521FCF">
              <w:rPr>
                <w:b/>
                <w:noProof/>
                <w:webHidden/>
              </w:rPr>
            </w:r>
            <w:r w:rsidRPr="00521FCF">
              <w:rPr>
                <w:b/>
                <w:noProof/>
                <w:webHidden/>
              </w:rPr>
              <w:fldChar w:fldCharType="separate"/>
            </w:r>
            <w:r w:rsidRPr="00521FCF">
              <w:rPr>
                <w:b/>
                <w:noProof/>
                <w:webHidden/>
              </w:rPr>
              <w:t>351</w:t>
            </w:r>
            <w:r w:rsidRPr="00521FCF">
              <w:rPr>
                <w:b/>
                <w:noProof/>
                <w:webHidden/>
              </w:rPr>
              <w:fldChar w:fldCharType="end"/>
            </w:r>
          </w:hyperlink>
        </w:p>
        <w:p w14:paraId="22472E92" w14:textId="1A4664E3" w:rsidR="00525930" w:rsidRPr="000D4401" w:rsidRDefault="002F50E7" w:rsidP="00C72779">
          <w:pPr>
            <w:rPr>
              <w:rFonts w:cs="Arial"/>
            </w:rPr>
          </w:pPr>
          <w:r w:rsidRPr="00521FCF">
            <w:rPr>
              <w:rFonts w:cs="Arial"/>
              <w:b/>
              <w:bCs/>
            </w:rPr>
            <w:fldChar w:fldCharType="end"/>
          </w:r>
        </w:p>
      </w:sdtContent>
    </w:sdt>
    <w:p w14:paraId="64C0363F" w14:textId="30D98AC8" w:rsidR="00525930" w:rsidRDefault="00525930" w:rsidP="00C72779">
      <w:pPr>
        <w:rPr>
          <w:sz w:val="20"/>
          <w:szCs w:val="20"/>
        </w:rPr>
      </w:pPr>
    </w:p>
    <w:p w14:paraId="6DD27D1E" w14:textId="15BC82B0" w:rsidR="00912343" w:rsidRPr="000D4401" w:rsidRDefault="00912343" w:rsidP="000D4401">
      <w:pPr>
        <w:jc w:val="center"/>
        <w:rPr>
          <w:b/>
          <w:szCs w:val="20"/>
        </w:rPr>
      </w:pPr>
      <w:r w:rsidRPr="000D4401">
        <w:rPr>
          <w:b/>
          <w:szCs w:val="20"/>
        </w:rPr>
        <w:t>TABLA DE TABLAS</w:t>
      </w:r>
    </w:p>
    <w:p w14:paraId="13725AC8" w14:textId="77777777" w:rsidR="00525930" w:rsidRDefault="00525930" w:rsidP="00C72779">
      <w:pPr>
        <w:rPr>
          <w:sz w:val="20"/>
          <w:szCs w:val="20"/>
        </w:rPr>
      </w:pPr>
    </w:p>
    <w:p w14:paraId="56BDCF81" w14:textId="52FDC8D4" w:rsidR="00521FCF" w:rsidRDefault="00912343">
      <w:pPr>
        <w:pStyle w:val="Tabladeilustraciones"/>
        <w:tabs>
          <w:tab w:val="right" w:leader="dot" w:pos="9350"/>
        </w:tabs>
        <w:rPr>
          <w:rFonts w:asciiTheme="minorHAnsi" w:eastAsiaTheme="minorEastAsia" w:hAnsiTheme="minorHAnsi" w:cstheme="minorBidi"/>
          <w:noProof/>
          <w:sz w:val="22"/>
          <w:szCs w:val="22"/>
          <w:lang w:val="es-CO" w:eastAsia="es-CO"/>
        </w:rPr>
      </w:pPr>
      <w:r>
        <w:rPr>
          <w:sz w:val="20"/>
          <w:szCs w:val="20"/>
        </w:rPr>
        <w:fldChar w:fldCharType="begin"/>
      </w:r>
      <w:r>
        <w:rPr>
          <w:sz w:val="20"/>
          <w:szCs w:val="20"/>
        </w:rPr>
        <w:instrText xml:space="preserve"> TOC \h \z \c "Tabla" </w:instrText>
      </w:r>
      <w:r>
        <w:rPr>
          <w:sz w:val="20"/>
          <w:szCs w:val="20"/>
        </w:rPr>
        <w:fldChar w:fldCharType="separate"/>
      </w:r>
      <w:hyperlink w:anchor="_Toc88677073" w:history="1">
        <w:r w:rsidR="00521FCF" w:rsidRPr="00573A08">
          <w:rPr>
            <w:rStyle w:val="Hipervnculo"/>
            <w:rFonts w:cs="Arial"/>
            <w:b/>
            <w:noProof/>
          </w:rPr>
          <w:t>Tabla 1. Avance Metas PND</w:t>
        </w:r>
        <w:r w:rsidR="00521FCF">
          <w:rPr>
            <w:noProof/>
            <w:webHidden/>
          </w:rPr>
          <w:tab/>
        </w:r>
        <w:r w:rsidR="00521FCF">
          <w:rPr>
            <w:noProof/>
            <w:webHidden/>
          </w:rPr>
          <w:fldChar w:fldCharType="begin"/>
        </w:r>
        <w:r w:rsidR="00521FCF">
          <w:rPr>
            <w:noProof/>
            <w:webHidden/>
          </w:rPr>
          <w:instrText xml:space="preserve"> PAGEREF _Toc88677073 \h </w:instrText>
        </w:r>
        <w:r w:rsidR="00521FCF">
          <w:rPr>
            <w:noProof/>
            <w:webHidden/>
          </w:rPr>
        </w:r>
        <w:r w:rsidR="00521FCF">
          <w:rPr>
            <w:noProof/>
            <w:webHidden/>
          </w:rPr>
          <w:fldChar w:fldCharType="separate"/>
        </w:r>
        <w:r w:rsidR="00521FCF">
          <w:rPr>
            <w:noProof/>
            <w:webHidden/>
          </w:rPr>
          <w:t>11</w:t>
        </w:r>
        <w:r w:rsidR="00521FCF">
          <w:rPr>
            <w:noProof/>
            <w:webHidden/>
          </w:rPr>
          <w:fldChar w:fldCharType="end"/>
        </w:r>
      </w:hyperlink>
    </w:p>
    <w:p w14:paraId="4ACE599C" w14:textId="1CC565D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4" w:history="1">
        <w:r w:rsidRPr="00573A08">
          <w:rPr>
            <w:rStyle w:val="Hipervnculo"/>
            <w:rFonts w:cs="Arial"/>
            <w:b/>
            <w:noProof/>
          </w:rPr>
          <w:t>Tabla 2. Avance Metas de Proyectos de Inversión</w:t>
        </w:r>
        <w:r>
          <w:rPr>
            <w:noProof/>
            <w:webHidden/>
          </w:rPr>
          <w:tab/>
        </w:r>
        <w:r>
          <w:rPr>
            <w:noProof/>
            <w:webHidden/>
          </w:rPr>
          <w:fldChar w:fldCharType="begin"/>
        </w:r>
        <w:r>
          <w:rPr>
            <w:noProof/>
            <w:webHidden/>
          </w:rPr>
          <w:instrText xml:space="preserve"> PAGEREF _Toc88677074 \h </w:instrText>
        </w:r>
        <w:r>
          <w:rPr>
            <w:noProof/>
            <w:webHidden/>
          </w:rPr>
        </w:r>
        <w:r>
          <w:rPr>
            <w:noProof/>
            <w:webHidden/>
          </w:rPr>
          <w:fldChar w:fldCharType="separate"/>
        </w:r>
        <w:r>
          <w:rPr>
            <w:noProof/>
            <w:webHidden/>
          </w:rPr>
          <w:t>14</w:t>
        </w:r>
        <w:r>
          <w:rPr>
            <w:noProof/>
            <w:webHidden/>
          </w:rPr>
          <w:fldChar w:fldCharType="end"/>
        </w:r>
      </w:hyperlink>
    </w:p>
    <w:p w14:paraId="69509607" w14:textId="143ED746"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5" w:history="1">
        <w:r w:rsidRPr="00573A08">
          <w:rPr>
            <w:rStyle w:val="Hipervnculo"/>
            <w:rFonts w:cs="Arial"/>
            <w:b/>
            <w:noProof/>
          </w:rPr>
          <w:t>Tabla 3. Objetivos Estratégicos y Estrategias IGAC</w:t>
        </w:r>
        <w:r>
          <w:rPr>
            <w:noProof/>
            <w:webHidden/>
          </w:rPr>
          <w:tab/>
        </w:r>
        <w:r>
          <w:rPr>
            <w:noProof/>
            <w:webHidden/>
          </w:rPr>
          <w:fldChar w:fldCharType="begin"/>
        </w:r>
        <w:r>
          <w:rPr>
            <w:noProof/>
            <w:webHidden/>
          </w:rPr>
          <w:instrText xml:space="preserve"> PAGEREF _Toc88677075 \h </w:instrText>
        </w:r>
        <w:r>
          <w:rPr>
            <w:noProof/>
            <w:webHidden/>
          </w:rPr>
        </w:r>
        <w:r>
          <w:rPr>
            <w:noProof/>
            <w:webHidden/>
          </w:rPr>
          <w:fldChar w:fldCharType="separate"/>
        </w:r>
        <w:r>
          <w:rPr>
            <w:noProof/>
            <w:webHidden/>
          </w:rPr>
          <w:t>20</w:t>
        </w:r>
        <w:r>
          <w:rPr>
            <w:noProof/>
            <w:webHidden/>
          </w:rPr>
          <w:fldChar w:fldCharType="end"/>
        </w:r>
      </w:hyperlink>
    </w:p>
    <w:p w14:paraId="53987B02" w14:textId="00D5C00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6" w:history="1">
        <w:r w:rsidRPr="00573A08">
          <w:rPr>
            <w:rStyle w:val="Hipervnculo"/>
            <w:rFonts w:cs="Arial"/>
            <w:b/>
            <w:bCs/>
            <w:noProof/>
          </w:rPr>
          <w:t>Tabla 4. Roles Subdirección de Proyectos</w:t>
        </w:r>
        <w:r>
          <w:rPr>
            <w:noProof/>
            <w:webHidden/>
          </w:rPr>
          <w:tab/>
        </w:r>
        <w:r>
          <w:rPr>
            <w:noProof/>
            <w:webHidden/>
          </w:rPr>
          <w:fldChar w:fldCharType="begin"/>
        </w:r>
        <w:r>
          <w:rPr>
            <w:noProof/>
            <w:webHidden/>
          </w:rPr>
          <w:instrText xml:space="preserve"> PAGEREF _Toc88677076 \h </w:instrText>
        </w:r>
        <w:r>
          <w:rPr>
            <w:noProof/>
            <w:webHidden/>
          </w:rPr>
        </w:r>
        <w:r>
          <w:rPr>
            <w:noProof/>
            <w:webHidden/>
          </w:rPr>
          <w:fldChar w:fldCharType="separate"/>
        </w:r>
        <w:r>
          <w:rPr>
            <w:noProof/>
            <w:webHidden/>
          </w:rPr>
          <w:t>28</w:t>
        </w:r>
        <w:r>
          <w:rPr>
            <w:noProof/>
            <w:webHidden/>
          </w:rPr>
          <w:fldChar w:fldCharType="end"/>
        </w:r>
      </w:hyperlink>
    </w:p>
    <w:p w14:paraId="1BB3EE38" w14:textId="5A6282B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7" w:history="1">
        <w:r w:rsidRPr="00573A08">
          <w:rPr>
            <w:rStyle w:val="Hipervnculo"/>
            <w:rFonts w:cs="Arial"/>
            <w:b/>
            <w:bCs/>
            <w:noProof/>
          </w:rPr>
          <w:t>Tabla 5. Equipo y Roles del Subproceso Avalúos Comerciales</w:t>
        </w:r>
        <w:r>
          <w:rPr>
            <w:noProof/>
            <w:webHidden/>
          </w:rPr>
          <w:tab/>
        </w:r>
        <w:r>
          <w:rPr>
            <w:noProof/>
            <w:webHidden/>
          </w:rPr>
          <w:fldChar w:fldCharType="begin"/>
        </w:r>
        <w:r>
          <w:rPr>
            <w:noProof/>
            <w:webHidden/>
          </w:rPr>
          <w:instrText xml:space="preserve"> PAGEREF _Toc88677077 \h </w:instrText>
        </w:r>
        <w:r>
          <w:rPr>
            <w:noProof/>
            <w:webHidden/>
          </w:rPr>
        </w:r>
        <w:r>
          <w:rPr>
            <w:noProof/>
            <w:webHidden/>
          </w:rPr>
          <w:fldChar w:fldCharType="separate"/>
        </w:r>
        <w:r>
          <w:rPr>
            <w:noProof/>
            <w:webHidden/>
          </w:rPr>
          <w:t>29</w:t>
        </w:r>
        <w:r>
          <w:rPr>
            <w:noProof/>
            <w:webHidden/>
          </w:rPr>
          <w:fldChar w:fldCharType="end"/>
        </w:r>
      </w:hyperlink>
    </w:p>
    <w:p w14:paraId="60C6A2CC" w14:textId="258F449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8" w:history="1">
        <w:r w:rsidRPr="00573A08">
          <w:rPr>
            <w:rStyle w:val="Hipervnculo"/>
            <w:rFonts w:cs="Arial"/>
            <w:b/>
            <w:bCs/>
            <w:noProof/>
          </w:rPr>
          <w:t>Tabla 6. Hectáreas actualizadas meta del Plan Nacional de Desarrollo 2018-2022</w:t>
        </w:r>
        <w:r>
          <w:rPr>
            <w:noProof/>
            <w:webHidden/>
          </w:rPr>
          <w:tab/>
        </w:r>
        <w:r>
          <w:rPr>
            <w:noProof/>
            <w:webHidden/>
          </w:rPr>
          <w:fldChar w:fldCharType="begin"/>
        </w:r>
        <w:r>
          <w:rPr>
            <w:noProof/>
            <w:webHidden/>
          </w:rPr>
          <w:instrText xml:space="preserve"> PAGEREF _Toc88677078 \h </w:instrText>
        </w:r>
        <w:r>
          <w:rPr>
            <w:noProof/>
            <w:webHidden/>
          </w:rPr>
        </w:r>
        <w:r>
          <w:rPr>
            <w:noProof/>
            <w:webHidden/>
          </w:rPr>
          <w:fldChar w:fldCharType="separate"/>
        </w:r>
        <w:r>
          <w:rPr>
            <w:noProof/>
            <w:webHidden/>
          </w:rPr>
          <w:t>34</w:t>
        </w:r>
        <w:r>
          <w:rPr>
            <w:noProof/>
            <w:webHidden/>
          </w:rPr>
          <w:fldChar w:fldCharType="end"/>
        </w:r>
      </w:hyperlink>
    </w:p>
    <w:p w14:paraId="3F605EC0" w14:textId="1F0DEE1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79" w:history="1">
        <w:r w:rsidRPr="00573A08">
          <w:rPr>
            <w:rStyle w:val="Hipervnculo"/>
            <w:rFonts w:cs="Arial"/>
            <w:b/>
            <w:bCs/>
            <w:noProof/>
          </w:rPr>
          <w:t>Tabla 7. Hectáreas actualizadas a diciembre 2020</w:t>
        </w:r>
        <w:r>
          <w:rPr>
            <w:noProof/>
            <w:webHidden/>
          </w:rPr>
          <w:tab/>
        </w:r>
        <w:r>
          <w:rPr>
            <w:noProof/>
            <w:webHidden/>
          </w:rPr>
          <w:fldChar w:fldCharType="begin"/>
        </w:r>
        <w:r>
          <w:rPr>
            <w:noProof/>
            <w:webHidden/>
          </w:rPr>
          <w:instrText xml:space="preserve"> PAGEREF _Toc88677079 \h </w:instrText>
        </w:r>
        <w:r>
          <w:rPr>
            <w:noProof/>
            <w:webHidden/>
          </w:rPr>
        </w:r>
        <w:r>
          <w:rPr>
            <w:noProof/>
            <w:webHidden/>
          </w:rPr>
          <w:fldChar w:fldCharType="separate"/>
        </w:r>
        <w:r>
          <w:rPr>
            <w:noProof/>
            <w:webHidden/>
          </w:rPr>
          <w:t>34</w:t>
        </w:r>
        <w:r>
          <w:rPr>
            <w:noProof/>
            <w:webHidden/>
          </w:rPr>
          <w:fldChar w:fldCharType="end"/>
        </w:r>
      </w:hyperlink>
    </w:p>
    <w:p w14:paraId="6F1FC224" w14:textId="0D7ED33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0" w:history="1">
        <w:r w:rsidRPr="00573A08">
          <w:rPr>
            <w:rStyle w:val="Hipervnculo"/>
            <w:rFonts w:cs="Arial"/>
            <w:b/>
            <w:bCs/>
            <w:noProof/>
          </w:rPr>
          <w:t>Tabla 8. Municipios intervenidos vigencia 2021</w:t>
        </w:r>
        <w:r>
          <w:rPr>
            <w:noProof/>
            <w:webHidden/>
          </w:rPr>
          <w:tab/>
        </w:r>
        <w:r>
          <w:rPr>
            <w:noProof/>
            <w:webHidden/>
          </w:rPr>
          <w:fldChar w:fldCharType="begin"/>
        </w:r>
        <w:r>
          <w:rPr>
            <w:noProof/>
            <w:webHidden/>
          </w:rPr>
          <w:instrText xml:space="preserve"> PAGEREF _Toc88677080 \h </w:instrText>
        </w:r>
        <w:r>
          <w:rPr>
            <w:noProof/>
            <w:webHidden/>
          </w:rPr>
        </w:r>
        <w:r>
          <w:rPr>
            <w:noProof/>
            <w:webHidden/>
          </w:rPr>
          <w:fldChar w:fldCharType="separate"/>
        </w:r>
        <w:r>
          <w:rPr>
            <w:noProof/>
            <w:webHidden/>
          </w:rPr>
          <w:t>35</w:t>
        </w:r>
        <w:r>
          <w:rPr>
            <w:noProof/>
            <w:webHidden/>
          </w:rPr>
          <w:fldChar w:fldCharType="end"/>
        </w:r>
      </w:hyperlink>
    </w:p>
    <w:p w14:paraId="3067C97A" w14:textId="1FFEE6C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1" w:history="1">
        <w:r w:rsidRPr="00573A08">
          <w:rPr>
            <w:rStyle w:val="Hipervnculo"/>
            <w:rFonts w:cs="Arial"/>
            <w:b/>
            <w:noProof/>
          </w:rPr>
          <w:t>Tabla 9. Detalle Estrategias Financiación</w:t>
        </w:r>
        <w:r>
          <w:rPr>
            <w:noProof/>
            <w:webHidden/>
          </w:rPr>
          <w:tab/>
        </w:r>
        <w:r>
          <w:rPr>
            <w:noProof/>
            <w:webHidden/>
          </w:rPr>
          <w:fldChar w:fldCharType="begin"/>
        </w:r>
        <w:r>
          <w:rPr>
            <w:noProof/>
            <w:webHidden/>
          </w:rPr>
          <w:instrText xml:space="preserve"> PAGEREF _Toc88677081 \h </w:instrText>
        </w:r>
        <w:r>
          <w:rPr>
            <w:noProof/>
            <w:webHidden/>
          </w:rPr>
        </w:r>
        <w:r>
          <w:rPr>
            <w:noProof/>
            <w:webHidden/>
          </w:rPr>
          <w:fldChar w:fldCharType="separate"/>
        </w:r>
        <w:r>
          <w:rPr>
            <w:noProof/>
            <w:webHidden/>
          </w:rPr>
          <w:t>38</w:t>
        </w:r>
        <w:r>
          <w:rPr>
            <w:noProof/>
            <w:webHidden/>
          </w:rPr>
          <w:fldChar w:fldCharType="end"/>
        </w:r>
      </w:hyperlink>
    </w:p>
    <w:p w14:paraId="18A92477" w14:textId="7515BDA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2" w:history="1">
        <w:r w:rsidRPr="00573A08">
          <w:rPr>
            <w:rStyle w:val="Hipervnculo"/>
            <w:rFonts w:cs="Arial"/>
            <w:b/>
            <w:bCs/>
            <w:noProof/>
          </w:rPr>
          <w:t>Tabla 10. Trámites realizados por territorial (meta-ejecución) año 2020</w:t>
        </w:r>
        <w:r>
          <w:rPr>
            <w:noProof/>
            <w:webHidden/>
          </w:rPr>
          <w:tab/>
        </w:r>
        <w:r>
          <w:rPr>
            <w:noProof/>
            <w:webHidden/>
          </w:rPr>
          <w:fldChar w:fldCharType="begin"/>
        </w:r>
        <w:r>
          <w:rPr>
            <w:noProof/>
            <w:webHidden/>
          </w:rPr>
          <w:instrText xml:space="preserve"> PAGEREF _Toc88677082 \h </w:instrText>
        </w:r>
        <w:r>
          <w:rPr>
            <w:noProof/>
            <w:webHidden/>
          </w:rPr>
        </w:r>
        <w:r>
          <w:rPr>
            <w:noProof/>
            <w:webHidden/>
          </w:rPr>
          <w:fldChar w:fldCharType="separate"/>
        </w:r>
        <w:r>
          <w:rPr>
            <w:noProof/>
            <w:webHidden/>
          </w:rPr>
          <w:t>42</w:t>
        </w:r>
        <w:r>
          <w:rPr>
            <w:noProof/>
            <w:webHidden/>
          </w:rPr>
          <w:fldChar w:fldCharType="end"/>
        </w:r>
      </w:hyperlink>
    </w:p>
    <w:p w14:paraId="2BE8A639" w14:textId="7EB1D47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3" w:history="1">
        <w:r w:rsidRPr="00573A08">
          <w:rPr>
            <w:rStyle w:val="Hipervnculo"/>
            <w:rFonts w:cs="Arial"/>
            <w:b/>
            <w:bCs/>
            <w:noProof/>
          </w:rPr>
          <w:t>Tabla 11.Trámites realizados por territorial (meta-ejecución) octubre 2021</w:t>
        </w:r>
        <w:r>
          <w:rPr>
            <w:noProof/>
            <w:webHidden/>
          </w:rPr>
          <w:tab/>
        </w:r>
        <w:r>
          <w:rPr>
            <w:noProof/>
            <w:webHidden/>
          </w:rPr>
          <w:fldChar w:fldCharType="begin"/>
        </w:r>
        <w:r>
          <w:rPr>
            <w:noProof/>
            <w:webHidden/>
          </w:rPr>
          <w:instrText xml:space="preserve"> PAGEREF _Toc88677083 \h </w:instrText>
        </w:r>
        <w:r>
          <w:rPr>
            <w:noProof/>
            <w:webHidden/>
          </w:rPr>
        </w:r>
        <w:r>
          <w:rPr>
            <w:noProof/>
            <w:webHidden/>
          </w:rPr>
          <w:fldChar w:fldCharType="separate"/>
        </w:r>
        <w:r>
          <w:rPr>
            <w:noProof/>
            <w:webHidden/>
          </w:rPr>
          <w:t>43</w:t>
        </w:r>
        <w:r>
          <w:rPr>
            <w:noProof/>
            <w:webHidden/>
          </w:rPr>
          <w:fldChar w:fldCharType="end"/>
        </w:r>
      </w:hyperlink>
    </w:p>
    <w:p w14:paraId="173DAD01" w14:textId="20D0D55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4" w:history="1">
        <w:r w:rsidRPr="00573A08">
          <w:rPr>
            <w:rStyle w:val="Hipervnculo"/>
            <w:rFonts w:cs="Arial"/>
            <w:b/>
            <w:noProof/>
          </w:rPr>
          <w:t>Tabla 12. Procesos de conservación catastral-contratos Interadministrativos corte a octubre 2021</w:t>
        </w:r>
        <w:r>
          <w:rPr>
            <w:noProof/>
            <w:webHidden/>
          </w:rPr>
          <w:tab/>
        </w:r>
        <w:r>
          <w:rPr>
            <w:noProof/>
            <w:webHidden/>
          </w:rPr>
          <w:fldChar w:fldCharType="begin"/>
        </w:r>
        <w:r>
          <w:rPr>
            <w:noProof/>
            <w:webHidden/>
          </w:rPr>
          <w:instrText xml:space="preserve"> PAGEREF _Toc88677084 \h </w:instrText>
        </w:r>
        <w:r>
          <w:rPr>
            <w:noProof/>
            <w:webHidden/>
          </w:rPr>
        </w:r>
        <w:r>
          <w:rPr>
            <w:noProof/>
            <w:webHidden/>
          </w:rPr>
          <w:fldChar w:fldCharType="separate"/>
        </w:r>
        <w:r>
          <w:rPr>
            <w:noProof/>
            <w:webHidden/>
          </w:rPr>
          <w:t>44</w:t>
        </w:r>
        <w:r>
          <w:rPr>
            <w:noProof/>
            <w:webHidden/>
          </w:rPr>
          <w:fldChar w:fldCharType="end"/>
        </w:r>
      </w:hyperlink>
    </w:p>
    <w:p w14:paraId="3422C01A" w14:textId="5C68FB4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5" w:history="1">
        <w:r w:rsidRPr="00573A08">
          <w:rPr>
            <w:rStyle w:val="Hipervnculo"/>
            <w:rFonts w:cs="Arial"/>
            <w:b/>
            <w:bCs/>
            <w:noProof/>
          </w:rPr>
          <w:t>Tabla 13. Radicaciones en Direcciones Territoriales a 01/01/2021</w:t>
        </w:r>
        <w:r>
          <w:rPr>
            <w:noProof/>
            <w:webHidden/>
          </w:rPr>
          <w:tab/>
        </w:r>
        <w:r>
          <w:rPr>
            <w:noProof/>
            <w:webHidden/>
          </w:rPr>
          <w:fldChar w:fldCharType="begin"/>
        </w:r>
        <w:r>
          <w:rPr>
            <w:noProof/>
            <w:webHidden/>
          </w:rPr>
          <w:instrText xml:space="preserve"> PAGEREF _Toc88677085 \h </w:instrText>
        </w:r>
        <w:r>
          <w:rPr>
            <w:noProof/>
            <w:webHidden/>
          </w:rPr>
        </w:r>
        <w:r>
          <w:rPr>
            <w:noProof/>
            <w:webHidden/>
          </w:rPr>
          <w:fldChar w:fldCharType="separate"/>
        </w:r>
        <w:r>
          <w:rPr>
            <w:noProof/>
            <w:webHidden/>
          </w:rPr>
          <w:t>45</w:t>
        </w:r>
        <w:r>
          <w:rPr>
            <w:noProof/>
            <w:webHidden/>
          </w:rPr>
          <w:fldChar w:fldCharType="end"/>
        </w:r>
      </w:hyperlink>
    </w:p>
    <w:p w14:paraId="34307CE3" w14:textId="49EC897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6" w:history="1">
        <w:r w:rsidRPr="00573A08">
          <w:rPr>
            <w:rStyle w:val="Hipervnculo"/>
            <w:rFonts w:cs="Arial"/>
            <w:b/>
            <w:bCs/>
            <w:noProof/>
          </w:rPr>
          <w:t>Tabla 14. Distribución de saldos 2020 entre municipios habilitados en la presente vigencia y los que Municipios que están bajo jurisdicción del IGAC</w:t>
        </w:r>
        <w:r>
          <w:rPr>
            <w:noProof/>
            <w:webHidden/>
          </w:rPr>
          <w:tab/>
        </w:r>
        <w:r>
          <w:rPr>
            <w:noProof/>
            <w:webHidden/>
          </w:rPr>
          <w:fldChar w:fldCharType="begin"/>
        </w:r>
        <w:r>
          <w:rPr>
            <w:noProof/>
            <w:webHidden/>
          </w:rPr>
          <w:instrText xml:space="preserve"> PAGEREF _Toc88677086 \h </w:instrText>
        </w:r>
        <w:r>
          <w:rPr>
            <w:noProof/>
            <w:webHidden/>
          </w:rPr>
        </w:r>
        <w:r>
          <w:rPr>
            <w:noProof/>
            <w:webHidden/>
          </w:rPr>
          <w:fldChar w:fldCharType="separate"/>
        </w:r>
        <w:r>
          <w:rPr>
            <w:noProof/>
            <w:webHidden/>
          </w:rPr>
          <w:t>45</w:t>
        </w:r>
        <w:r>
          <w:rPr>
            <w:noProof/>
            <w:webHidden/>
          </w:rPr>
          <w:fldChar w:fldCharType="end"/>
        </w:r>
      </w:hyperlink>
    </w:p>
    <w:p w14:paraId="4333E954" w14:textId="71679FF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7" w:history="1">
        <w:r w:rsidRPr="00573A08">
          <w:rPr>
            <w:rStyle w:val="Hipervnculo"/>
            <w:rFonts w:cs="Arial"/>
            <w:b/>
            <w:bCs/>
            <w:noProof/>
          </w:rPr>
          <w:t>Tabla 15. Estado de saldos 2020 y anteriores antes de habilitarse</w:t>
        </w:r>
        <w:r>
          <w:rPr>
            <w:noProof/>
            <w:webHidden/>
          </w:rPr>
          <w:tab/>
        </w:r>
        <w:r>
          <w:rPr>
            <w:noProof/>
            <w:webHidden/>
          </w:rPr>
          <w:fldChar w:fldCharType="begin"/>
        </w:r>
        <w:r>
          <w:rPr>
            <w:noProof/>
            <w:webHidden/>
          </w:rPr>
          <w:instrText xml:space="preserve"> PAGEREF _Toc88677087 \h </w:instrText>
        </w:r>
        <w:r>
          <w:rPr>
            <w:noProof/>
            <w:webHidden/>
          </w:rPr>
        </w:r>
        <w:r>
          <w:rPr>
            <w:noProof/>
            <w:webHidden/>
          </w:rPr>
          <w:fldChar w:fldCharType="separate"/>
        </w:r>
        <w:r>
          <w:rPr>
            <w:noProof/>
            <w:webHidden/>
          </w:rPr>
          <w:t>46</w:t>
        </w:r>
        <w:r>
          <w:rPr>
            <w:noProof/>
            <w:webHidden/>
          </w:rPr>
          <w:fldChar w:fldCharType="end"/>
        </w:r>
      </w:hyperlink>
    </w:p>
    <w:p w14:paraId="398B25B1" w14:textId="178C14F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8" w:history="1">
        <w:r w:rsidRPr="00573A08">
          <w:rPr>
            <w:rStyle w:val="Hipervnculo"/>
            <w:rFonts w:cs="Arial"/>
            <w:b/>
            <w:bCs/>
            <w:noProof/>
          </w:rPr>
          <w:t>Tabla 16. Estado de saldos 2020 y anteriores, en municipios bajo jurisdicción del IGAC</w:t>
        </w:r>
        <w:r>
          <w:rPr>
            <w:noProof/>
            <w:webHidden/>
          </w:rPr>
          <w:tab/>
        </w:r>
        <w:r>
          <w:rPr>
            <w:noProof/>
            <w:webHidden/>
          </w:rPr>
          <w:fldChar w:fldCharType="begin"/>
        </w:r>
        <w:r>
          <w:rPr>
            <w:noProof/>
            <w:webHidden/>
          </w:rPr>
          <w:instrText xml:space="preserve"> PAGEREF _Toc88677088 \h </w:instrText>
        </w:r>
        <w:r>
          <w:rPr>
            <w:noProof/>
            <w:webHidden/>
          </w:rPr>
        </w:r>
        <w:r>
          <w:rPr>
            <w:noProof/>
            <w:webHidden/>
          </w:rPr>
          <w:fldChar w:fldCharType="separate"/>
        </w:r>
        <w:r>
          <w:rPr>
            <w:noProof/>
            <w:webHidden/>
          </w:rPr>
          <w:t>46</w:t>
        </w:r>
        <w:r>
          <w:rPr>
            <w:noProof/>
            <w:webHidden/>
          </w:rPr>
          <w:fldChar w:fldCharType="end"/>
        </w:r>
      </w:hyperlink>
    </w:p>
    <w:p w14:paraId="2A31B98A" w14:textId="7AE5922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89" w:history="1">
        <w:r w:rsidRPr="00573A08">
          <w:rPr>
            <w:rStyle w:val="Hipervnculo"/>
            <w:rFonts w:cs="Arial"/>
            <w:b/>
            <w:bCs/>
            <w:noProof/>
          </w:rPr>
          <w:t>Tabla 17. Estado de saldos 2020 y anteriores en municipios bajo jurisdicción del IGAC por años</w:t>
        </w:r>
        <w:r>
          <w:rPr>
            <w:noProof/>
            <w:webHidden/>
          </w:rPr>
          <w:tab/>
        </w:r>
        <w:r>
          <w:rPr>
            <w:noProof/>
            <w:webHidden/>
          </w:rPr>
          <w:fldChar w:fldCharType="begin"/>
        </w:r>
        <w:r>
          <w:rPr>
            <w:noProof/>
            <w:webHidden/>
          </w:rPr>
          <w:instrText xml:space="preserve"> PAGEREF _Toc88677089 \h </w:instrText>
        </w:r>
        <w:r>
          <w:rPr>
            <w:noProof/>
            <w:webHidden/>
          </w:rPr>
        </w:r>
        <w:r>
          <w:rPr>
            <w:noProof/>
            <w:webHidden/>
          </w:rPr>
          <w:fldChar w:fldCharType="separate"/>
        </w:r>
        <w:r>
          <w:rPr>
            <w:noProof/>
            <w:webHidden/>
          </w:rPr>
          <w:t>47</w:t>
        </w:r>
        <w:r>
          <w:rPr>
            <w:noProof/>
            <w:webHidden/>
          </w:rPr>
          <w:fldChar w:fldCharType="end"/>
        </w:r>
      </w:hyperlink>
    </w:p>
    <w:p w14:paraId="50A7AC7D" w14:textId="384F1C2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0" w:history="1">
        <w:r w:rsidRPr="00573A08">
          <w:rPr>
            <w:rStyle w:val="Hipervnculo"/>
            <w:rFonts w:cs="Arial"/>
            <w:b/>
            <w:bCs/>
            <w:noProof/>
          </w:rPr>
          <w:t>Tabla 18. Relación de avance de proyectos en proceso de estructuración con el proyecto tipo para la intervención catastral en municipios PDET adoptado por el DNP</w:t>
        </w:r>
        <w:r>
          <w:rPr>
            <w:noProof/>
            <w:webHidden/>
          </w:rPr>
          <w:tab/>
        </w:r>
        <w:r>
          <w:rPr>
            <w:noProof/>
            <w:webHidden/>
          </w:rPr>
          <w:fldChar w:fldCharType="begin"/>
        </w:r>
        <w:r>
          <w:rPr>
            <w:noProof/>
            <w:webHidden/>
          </w:rPr>
          <w:instrText xml:space="preserve"> PAGEREF _Toc88677090 \h </w:instrText>
        </w:r>
        <w:r>
          <w:rPr>
            <w:noProof/>
            <w:webHidden/>
          </w:rPr>
        </w:r>
        <w:r>
          <w:rPr>
            <w:noProof/>
            <w:webHidden/>
          </w:rPr>
          <w:fldChar w:fldCharType="separate"/>
        </w:r>
        <w:r>
          <w:rPr>
            <w:noProof/>
            <w:webHidden/>
          </w:rPr>
          <w:t>49</w:t>
        </w:r>
        <w:r>
          <w:rPr>
            <w:noProof/>
            <w:webHidden/>
          </w:rPr>
          <w:fldChar w:fldCharType="end"/>
        </w:r>
      </w:hyperlink>
    </w:p>
    <w:p w14:paraId="4B910A95" w14:textId="00FFAF2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1" w:history="1">
        <w:r w:rsidRPr="00573A08">
          <w:rPr>
            <w:rStyle w:val="Hipervnculo"/>
            <w:rFonts w:cs="Arial"/>
            <w:b/>
            <w:bCs/>
            <w:noProof/>
          </w:rPr>
          <w:t>Tabla 19.Contratos de avalúos 2020</w:t>
        </w:r>
        <w:r>
          <w:rPr>
            <w:noProof/>
            <w:webHidden/>
          </w:rPr>
          <w:tab/>
        </w:r>
        <w:r>
          <w:rPr>
            <w:noProof/>
            <w:webHidden/>
          </w:rPr>
          <w:fldChar w:fldCharType="begin"/>
        </w:r>
        <w:r>
          <w:rPr>
            <w:noProof/>
            <w:webHidden/>
          </w:rPr>
          <w:instrText xml:space="preserve"> PAGEREF _Toc88677091 \h </w:instrText>
        </w:r>
        <w:r>
          <w:rPr>
            <w:noProof/>
            <w:webHidden/>
          </w:rPr>
        </w:r>
        <w:r>
          <w:rPr>
            <w:noProof/>
            <w:webHidden/>
          </w:rPr>
          <w:fldChar w:fldCharType="separate"/>
        </w:r>
        <w:r>
          <w:rPr>
            <w:noProof/>
            <w:webHidden/>
          </w:rPr>
          <w:t>53</w:t>
        </w:r>
        <w:r>
          <w:rPr>
            <w:noProof/>
            <w:webHidden/>
          </w:rPr>
          <w:fldChar w:fldCharType="end"/>
        </w:r>
      </w:hyperlink>
    </w:p>
    <w:p w14:paraId="164FC16F" w14:textId="3BD3307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2" w:history="1">
        <w:r w:rsidRPr="00573A08">
          <w:rPr>
            <w:rStyle w:val="Hipervnculo"/>
            <w:rFonts w:cs="Arial"/>
            <w:b/>
            <w:bCs/>
            <w:noProof/>
          </w:rPr>
          <w:t>Tabla 20.Contratos de avalúos suscritos a octubre 2021</w:t>
        </w:r>
        <w:r>
          <w:rPr>
            <w:noProof/>
            <w:webHidden/>
          </w:rPr>
          <w:tab/>
        </w:r>
        <w:r>
          <w:rPr>
            <w:noProof/>
            <w:webHidden/>
          </w:rPr>
          <w:fldChar w:fldCharType="begin"/>
        </w:r>
        <w:r>
          <w:rPr>
            <w:noProof/>
            <w:webHidden/>
          </w:rPr>
          <w:instrText xml:space="preserve"> PAGEREF _Toc88677092 \h </w:instrText>
        </w:r>
        <w:r>
          <w:rPr>
            <w:noProof/>
            <w:webHidden/>
          </w:rPr>
        </w:r>
        <w:r>
          <w:rPr>
            <w:noProof/>
            <w:webHidden/>
          </w:rPr>
          <w:fldChar w:fldCharType="separate"/>
        </w:r>
        <w:r>
          <w:rPr>
            <w:noProof/>
            <w:webHidden/>
          </w:rPr>
          <w:t>55</w:t>
        </w:r>
        <w:r>
          <w:rPr>
            <w:noProof/>
            <w:webHidden/>
          </w:rPr>
          <w:fldChar w:fldCharType="end"/>
        </w:r>
      </w:hyperlink>
    </w:p>
    <w:p w14:paraId="0CBC87DC" w14:textId="0B0A725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3" w:history="1">
        <w:r w:rsidRPr="00573A08">
          <w:rPr>
            <w:rStyle w:val="Hipervnculo"/>
            <w:rFonts w:cs="Arial"/>
            <w:b/>
            <w:bCs/>
            <w:noProof/>
          </w:rPr>
          <w:t>Tabla 21. Avance en solicitudes de restitución de tierras a octubre de 2021</w:t>
        </w:r>
        <w:r>
          <w:rPr>
            <w:noProof/>
            <w:webHidden/>
          </w:rPr>
          <w:tab/>
        </w:r>
        <w:r>
          <w:rPr>
            <w:noProof/>
            <w:webHidden/>
          </w:rPr>
          <w:fldChar w:fldCharType="begin"/>
        </w:r>
        <w:r>
          <w:rPr>
            <w:noProof/>
            <w:webHidden/>
          </w:rPr>
          <w:instrText xml:space="preserve"> PAGEREF _Toc88677093 \h </w:instrText>
        </w:r>
        <w:r>
          <w:rPr>
            <w:noProof/>
            <w:webHidden/>
          </w:rPr>
        </w:r>
        <w:r>
          <w:rPr>
            <w:noProof/>
            <w:webHidden/>
          </w:rPr>
          <w:fldChar w:fldCharType="separate"/>
        </w:r>
        <w:r>
          <w:rPr>
            <w:noProof/>
            <w:webHidden/>
          </w:rPr>
          <w:t>58</w:t>
        </w:r>
        <w:r>
          <w:rPr>
            <w:noProof/>
            <w:webHidden/>
          </w:rPr>
          <w:fldChar w:fldCharType="end"/>
        </w:r>
      </w:hyperlink>
    </w:p>
    <w:p w14:paraId="37B4AFCE" w14:textId="1A67EEC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4" w:history="1">
        <w:r w:rsidRPr="00573A08">
          <w:rPr>
            <w:rStyle w:val="Hipervnculo"/>
            <w:rFonts w:cs="Arial"/>
            <w:b/>
            <w:noProof/>
          </w:rPr>
          <w:t>Tabla 22. Propuestas de habilitación catastral evaluadas durante el periodo 2020-2021</w:t>
        </w:r>
        <w:r>
          <w:rPr>
            <w:noProof/>
            <w:webHidden/>
          </w:rPr>
          <w:tab/>
        </w:r>
        <w:r>
          <w:rPr>
            <w:noProof/>
            <w:webHidden/>
          </w:rPr>
          <w:fldChar w:fldCharType="begin"/>
        </w:r>
        <w:r>
          <w:rPr>
            <w:noProof/>
            <w:webHidden/>
          </w:rPr>
          <w:instrText xml:space="preserve"> PAGEREF _Toc88677094 \h </w:instrText>
        </w:r>
        <w:r>
          <w:rPr>
            <w:noProof/>
            <w:webHidden/>
          </w:rPr>
        </w:r>
        <w:r>
          <w:rPr>
            <w:noProof/>
            <w:webHidden/>
          </w:rPr>
          <w:fldChar w:fldCharType="separate"/>
        </w:r>
        <w:r>
          <w:rPr>
            <w:noProof/>
            <w:webHidden/>
          </w:rPr>
          <w:t>69</w:t>
        </w:r>
        <w:r>
          <w:rPr>
            <w:noProof/>
            <w:webHidden/>
          </w:rPr>
          <w:fldChar w:fldCharType="end"/>
        </w:r>
      </w:hyperlink>
    </w:p>
    <w:p w14:paraId="29C9441C" w14:textId="06C616A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5" w:history="1">
        <w:r w:rsidRPr="00573A08">
          <w:rPr>
            <w:rStyle w:val="Hipervnculo"/>
            <w:rFonts w:cs="Arial"/>
            <w:b/>
            <w:noProof/>
          </w:rPr>
          <w:t>Tabla 23. Gestores habilitados desde el año 2020</w:t>
        </w:r>
        <w:r>
          <w:rPr>
            <w:noProof/>
            <w:webHidden/>
          </w:rPr>
          <w:tab/>
        </w:r>
        <w:r>
          <w:rPr>
            <w:noProof/>
            <w:webHidden/>
          </w:rPr>
          <w:fldChar w:fldCharType="begin"/>
        </w:r>
        <w:r>
          <w:rPr>
            <w:noProof/>
            <w:webHidden/>
          </w:rPr>
          <w:instrText xml:space="preserve"> PAGEREF _Toc88677095 \h </w:instrText>
        </w:r>
        <w:r>
          <w:rPr>
            <w:noProof/>
            <w:webHidden/>
          </w:rPr>
        </w:r>
        <w:r>
          <w:rPr>
            <w:noProof/>
            <w:webHidden/>
          </w:rPr>
          <w:fldChar w:fldCharType="separate"/>
        </w:r>
        <w:r>
          <w:rPr>
            <w:noProof/>
            <w:webHidden/>
          </w:rPr>
          <w:t>71</w:t>
        </w:r>
        <w:r>
          <w:rPr>
            <w:noProof/>
            <w:webHidden/>
          </w:rPr>
          <w:fldChar w:fldCharType="end"/>
        </w:r>
      </w:hyperlink>
    </w:p>
    <w:p w14:paraId="2946AA95" w14:textId="26C7347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6" w:history="1">
        <w:r w:rsidRPr="00573A08">
          <w:rPr>
            <w:rStyle w:val="Hipervnculo"/>
            <w:rFonts w:cs="Arial"/>
            <w:b/>
            <w:noProof/>
          </w:rPr>
          <w:t>Tabla 24. Empalmes gestores catastrales, ejecutados durante el periodo 2020-2021</w:t>
        </w:r>
        <w:r>
          <w:rPr>
            <w:noProof/>
            <w:webHidden/>
          </w:rPr>
          <w:tab/>
        </w:r>
        <w:r>
          <w:rPr>
            <w:noProof/>
            <w:webHidden/>
          </w:rPr>
          <w:fldChar w:fldCharType="begin"/>
        </w:r>
        <w:r>
          <w:rPr>
            <w:noProof/>
            <w:webHidden/>
          </w:rPr>
          <w:instrText xml:space="preserve"> PAGEREF _Toc88677096 \h </w:instrText>
        </w:r>
        <w:r>
          <w:rPr>
            <w:noProof/>
            <w:webHidden/>
          </w:rPr>
        </w:r>
        <w:r>
          <w:rPr>
            <w:noProof/>
            <w:webHidden/>
          </w:rPr>
          <w:fldChar w:fldCharType="separate"/>
        </w:r>
        <w:r>
          <w:rPr>
            <w:noProof/>
            <w:webHidden/>
          </w:rPr>
          <w:t>72</w:t>
        </w:r>
        <w:r>
          <w:rPr>
            <w:noProof/>
            <w:webHidden/>
          </w:rPr>
          <w:fldChar w:fldCharType="end"/>
        </w:r>
      </w:hyperlink>
    </w:p>
    <w:p w14:paraId="170AE9C0" w14:textId="7AE2C5E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7" w:history="1">
        <w:r w:rsidRPr="00573A08">
          <w:rPr>
            <w:rStyle w:val="Hipervnculo"/>
            <w:rFonts w:cs="Arial"/>
            <w:b/>
            <w:noProof/>
          </w:rPr>
          <w:t>Tabla 25. Actos administrativos</w:t>
        </w:r>
        <w:r>
          <w:rPr>
            <w:noProof/>
            <w:webHidden/>
          </w:rPr>
          <w:tab/>
        </w:r>
        <w:r>
          <w:rPr>
            <w:noProof/>
            <w:webHidden/>
          </w:rPr>
          <w:fldChar w:fldCharType="begin"/>
        </w:r>
        <w:r>
          <w:rPr>
            <w:noProof/>
            <w:webHidden/>
          </w:rPr>
          <w:instrText xml:space="preserve"> PAGEREF _Toc88677097 \h </w:instrText>
        </w:r>
        <w:r>
          <w:rPr>
            <w:noProof/>
            <w:webHidden/>
          </w:rPr>
        </w:r>
        <w:r>
          <w:rPr>
            <w:noProof/>
            <w:webHidden/>
          </w:rPr>
          <w:fldChar w:fldCharType="separate"/>
        </w:r>
        <w:r>
          <w:rPr>
            <w:noProof/>
            <w:webHidden/>
          </w:rPr>
          <w:t>73</w:t>
        </w:r>
        <w:r>
          <w:rPr>
            <w:noProof/>
            <w:webHidden/>
          </w:rPr>
          <w:fldChar w:fldCharType="end"/>
        </w:r>
      </w:hyperlink>
    </w:p>
    <w:p w14:paraId="18B63981" w14:textId="0BA08C7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8" w:history="1">
        <w:r w:rsidRPr="00573A08">
          <w:rPr>
            <w:rStyle w:val="Hipervnculo"/>
            <w:rFonts w:cs="Arial"/>
            <w:b/>
            <w:noProof/>
          </w:rPr>
          <w:t>Tabla 26. Proyectos de actos administrativos en revisión</w:t>
        </w:r>
        <w:r>
          <w:rPr>
            <w:noProof/>
            <w:webHidden/>
          </w:rPr>
          <w:tab/>
        </w:r>
        <w:r>
          <w:rPr>
            <w:noProof/>
            <w:webHidden/>
          </w:rPr>
          <w:fldChar w:fldCharType="begin"/>
        </w:r>
        <w:r>
          <w:rPr>
            <w:noProof/>
            <w:webHidden/>
          </w:rPr>
          <w:instrText xml:space="preserve"> PAGEREF _Toc88677098 \h </w:instrText>
        </w:r>
        <w:r>
          <w:rPr>
            <w:noProof/>
            <w:webHidden/>
          </w:rPr>
        </w:r>
        <w:r>
          <w:rPr>
            <w:noProof/>
            <w:webHidden/>
          </w:rPr>
          <w:fldChar w:fldCharType="separate"/>
        </w:r>
        <w:r>
          <w:rPr>
            <w:noProof/>
            <w:webHidden/>
          </w:rPr>
          <w:t>74</w:t>
        </w:r>
        <w:r>
          <w:rPr>
            <w:noProof/>
            <w:webHidden/>
          </w:rPr>
          <w:fldChar w:fldCharType="end"/>
        </w:r>
      </w:hyperlink>
    </w:p>
    <w:p w14:paraId="21C8B9AB" w14:textId="389C23B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099" w:history="1">
        <w:r w:rsidRPr="00573A08">
          <w:rPr>
            <w:rStyle w:val="Hipervnculo"/>
            <w:rFonts w:cs="Arial"/>
            <w:b/>
            <w:noProof/>
          </w:rPr>
          <w:t>Tabla 27. Estado de avance habilitación catastral</w:t>
        </w:r>
        <w:r>
          <w:rPr>
            <w:noProof/>
            <w:webHidden/>
          </w:rPr>
          <w:tab/>
        </w:r>
        <w:r>
          <w:rPr>
            <w:noProof/>
            <w:webHidden/>
          </w:rPr>
          <w:fldChar w:fldCharType="begin"/>
        </w:r>
        <w:r>
          <w:rPr>
            <w:noProof/>
            <w:webHidden/>
          </w:rPr>
          <w:instrText xml:space="preserve"> PAGEREF _Toc88677099 \h </w:instrText>
        </w:r>
        <w:r>
          <w:rPr>
            <w:noProof/>
            <w:webHidden/>
          </w:rPr>
        </w:r>
        <w:r>
          <w:rPr>
            <w:noProof/>
            <w:webHidden/>
          </w:rPr>
          <w:fldChar w:fldCharType="separate"/>
        </w:r>
        <w:r>
          <w:rPr>
            <w:noProof/>
            <w:webHidden/>
          </w:rPr>
          <w:t>75</w:t>
        </w:r>
        <w:r>
          <w:rPr>
            <w:noProof/>
            <w:webHidden/>
          </w:rPr>
          <w:fldChar w:fldCharType="end"/>
        </w:r>
      </w:hyperlink>
    </w:p>
    <w:p w14:paraId="2C87AA9E" w14:textId="776084E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0" w:history="1">
        <w:r w:rsidRPr="00573A08">
          <w:rPr>
            <w:rStyle w:val="Hipervnculo"/>
            <w:rFonts w:cs="Arial"/>
            <w:b/>
            <w:noProof/>
          </w:rPr>
          <w:t>Tabla 28. Otras actividades</w:t>
        </w:r>
        <w:r>
          <w:rPr>
            <w:noProof/>
            <w:webHidden/>
          </w:rPr>
          <w:tab/>
        </w:r>
        <w:r>
          <w:rPr>
            <w:noProof/>
            <w:webHidden/>
          </w:rPr>
          <w:fldChar w:fldCharType="begin"/>
        </w:r>
        <w:r>
          <w:rPr>
            <w:noProof/>
            <w:webHidden/>
          </w:rPr>
          <w:instrText xml:space="preserve"> PAGEREF _Toc88677100 \h </w:instrText>
        </w:r>
        <w:r>
          <w:rPr>
            <w:noProof/>
            <w:webHidden/>
          </w:rPr>
        </w:r>
        <w:r>
          <w:rPr>
            <w:noProof/>
            <w:webHidden/>
          </w:rPr>
          <w:fldChar w:fldCharType="separate"/>
        </w:r>
        <w:r>
          <w:rPr>
            <w:noProof/>
            <w:webHidden/>
          </w:rPr>
          <w:t>76</w:t>
        </w:r>
        <w:r>
          <w:rPr>
            <w:noProof/>
            <w:webHidden/>
          </w:rPr>
          <w:fldChar w:fldCharType="end"/>
        </w:r>
      </w:hyperlink>
    </w:p>
    <w:p w14:paraId="6BA92C8A" w14:textId="4A5599E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1" w:history="1">
        <w:r w:rsidRPr="00573A08">
          <w:rPr>
            <w:rStyle w:val="Hipervnculo"/>
            <w:rFonts w:cs="Arial"/>
            <w:b/>
            <w:noProof/>
          </w:rPr>
          <w:t>Tabla 29. Número de integrantes de la Dirección de Gestión Información Geográfica</w:t>
        </w:r>
        <w:r>
          <w:rPr>
            <w:noProof/>
            <w:webHidden/>
          </w:rPr>
          <w:tab/>
        </w:r>
        <w:r>
          <w:rPr>
            <w:noProof/>
            <w:webHidden/>
          </w:rPr>
          <w:fldChar w:fldCharType="begin"/>
        </w:r>
        <w:r>
          <w:rPr>
            <w:noProof/>
            <w:webHidden/>
          </w:rPr>
          <w:instrText xml:space="preserve"> PAGEREF _Toc88677101 \h </w:instrText>
        </w:r>
        <w:r>
          <w:rPr>
            <w:noProof/>
            <w:webHidden/>
          </w:rPr>
        </w:r>
        <w:r>
          <w:rPr>
            <w:noProof/>
            <w:webHidden/>
          </w:rPr>
          <w:fldChar w:fldCharType="separate"/>
        </w:r>
        <w:r>
          <w:rPr>
            <w:noProof/>
            <w:webHidden/>
          </w:rPr>
          <w:t>81</w:t>
        </w:r>
        <w:r>
          <w:rPr>
            <w:noProof/>
            <w:webHidden/>
          </w:rPr>
          <w:fldChar w:fldCharType="end"/>
        </w:r>
      </w:hyperlink>
    </w:p>
    <w:p w14:paraId="541E8C5D" w14:textId="6C6A6E5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2" w:history="1">
        <w:r w:rsidRPr="00573A08">
          <w:rPr>
            <w:rStyle w:val="Hipervnculo"/>
            <w:rFonts w:cs="Arial"/>
            <w:b/>
            <w:noProof/>
          </w:rPr>
          <w:t>Tabla 30. Seguimiento Indicador Plan Nacional de Desarrollo 2018 – 2022</w:t>
        </w:r>
        <w:r>
          <w:rPr>
            <w:noProof/>
            <w:webHidden/>
          </w:rPr>
          <w:tab/>
        </w:r>
        <w:r>
          <w:rPr>
            <w:noProof/>
            <w:webHidden/>
          </w:rPr>
          <w:fldChar w:fldCharType="begin"/>
        </w:r>
        <w:r>
          <w:rPr>
            <w:noProof/>
            <w:webHidden/>
          </w:rPr>
          <w:instrText xml:space="preserve"> PAGEREF _Toc88677102 \h </w:instrText>
        </w:r>
        <w:r>
          <w:rPr>
            <w:noProof/>
            <w:webHidden/>
          </w:rPr>
        </w:r>
        <w:r>
          <w:rPr>
            <w:noProof/>
            <w:webHidden/>
          </w:rPr>
          <w:fldChar w:fldCharType="separate"/>
        </w:r>
        <w:r>
          <w:rPr>
            <w:noProof/>
            <w:webHidden/>
          </w:rPr>
          <w:t>89</w:t>
        </w:r>
        <w:r>
          <w:rPr>
            <w:noProof/>
            <w:webHidden/>
          </w:rPr>
          <w:fldChar w:fldCharType="end"/>
        </w:r>
      </w:hyperlink>
    </w:p>
    <w:p w14:paraId="32FBAAB8" w14:textId="221A565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3" w:history="1">
        <w:r w:rsidRPr="00573A08">
          <w:rPr>
            <w:rStyle w:val="Hipervnculo"/>
            <w:rFonts w:cs="Arial"/>
            <w:b/>
            <w:noProof/>
          </w:rPr>
          <w:t>Tabla 31. Seguimiento Indicador Plan Nacional de Desarrollo 2018 – 2022</w:t>
        </w:r>
        <w:r>
          <w:rPr>
            <w:noProof/>
            <w:webHidden/>
          </w:rPr>
          <w:tab/>
        </w:r>
        <w:r>
          <w:rPr>
            <w:noProof/>
            <w:webHidden/>
          </w:rPr>
          <w:fldChar w:fldCharType="begin"/>
        </w:r>
        <w:r>
          <w:rPr>
            <w:noProof/>
            <w:webHidden/>
          </w:rPr>
          <w:instrText xml:space="preserve"> PAGEREF _Toc88677103 \h </w:instrText>
        </w:r>
        <w:r>
          <w:rPr>
            <w:noProof/>
            <w:webHidden/>
          </w:rPr>
        </w:r>
        <w:r>
          <w:rPr>
            <w:noProof/>
            <w:webHidden/>
          </w:rPr>
          <w:fldChar w:fldCharType="separate"/>
        </w:r>
        <w:r>
          <w:rPr>
            <w:noProof/>
            <w:webHidden/>
          </w:rPr>
          <w:t>91</w:t>
        </w:r>
        <w:r>
          <w:rPr>
            <w:noProof/>
            <w:webHidden/>
          </w:rPr>
          <w:fldChar w:fldCharType="end"/>
        </w:r>
      </w:hyperlink>
    </w:p>
    <w:p w14:paraId="7BD13400" w14:textId="366DFAF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4" w:history="1">
        <w:r w:rsidRPr="00573A08">
          <w:rPr>
            <w:rStyle w:val="Hipervnculo"/>
            <w:rFonts w:cs="Arial"/>
            <w:b/>
            <w:bCs/>
            <w:noProof/>
          </w:rPr>
          <w:t>Tabla 32. Vértices geodésicos densificados 2021</w:t>
        </w:r>
        <w:r>
          <w:rPr>
            <w:noProof/>
            <w:webHidden/>
          </w:rPr>
          <w:tab/>
        </w:r>
        <w:r>
          <w:rPr>
            <w:noProof/>
            <w:webHidden/>
          </w:rPr>
          <w:fldChar w:fldCharType="begin"/>
        </w:r>
        <w:r>
          <w:rPr>
            <w:noProof/>
            <w:webHidden/>
          </w:rPr>
          <w:instrText xml:space="preserve"> PAGEREF _Toc88677104 \h </w:instrText>
        </w:r>
        <w:r>
          <w:rPr>
            <w:noProof/>
            <w:webHidden/>
          </w:rPr>
        </w:r>
        <w:r>
          <w:rPr>
            <w:noProof/>
            <w:webHidden/>
          </w:rPr>
          <w:fldChar w:fldCharType="separate"/>
        </w:r>
        <w:r>
          <w:rPr>
            <w:noProof/>
            <w:webHidden/>
          </w:rPr>
          <w:t>101</w:t>
        </w:r>
        <w:r>
          <w:rPr>
            <w:noProof/>
            <w:webHidden/>
          </w:rPr>
          <w:fldChar w:fldCharType="end"/>
        </w:r>
      </w:hyperlink>
    </w:p>
    <w:p w14:paraId="23C4D811" w14:textId="5941C3B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5" w:history="1">
        <w:r w:rsidRPr="00573A08">
          <w:rPr>
            <w:rStyle w:val="Hipervnculo"/>
            <w:rFonts w:cs="Arial"/>
            <w:b/>
            <w:bCs/>
            <w:noProof/>
          </w:rPr>
          <w:t>Tabla 33. Nombre de las estaciones reactivadas 2020 – 2021</w:t>
        </w:r>
        <w:r>
          <w:rPr>
            <w:noProof/>
            <w:webHidden/>
          </w:rPr>
          <w:tab/>
        </w:r>
        <w:r>
          <w:rPr>
            <w:noProof/>
            <w:webHidden/>
          </w:rPr>
          <w:fldChar w:fldCharType="begin"/>
        </w:r>
        <w:r>
          <w:rPr>
            <w:noProof/>
            <w:webHidden/>
          </w:rPr>
          <w:instrText xml:space="preserve"> PAGEREF _Toc88677105 \h </w:instrText>
        </w:r>
        <w:r>
          <w:rPr>
            <w:noProof/>
            <w:webHidden/>
          </w:rPr>
        </w:r>
        <w:r>
          <w:rPr>
            <w:noProof/>
            <w:webHidden/>
          </w:rPr>
          <w:fldChar w:fldCharType="separate"/>
        </w:r>
        <w:r>
          <w:rPr>
            <w:noProof/>
            <w:webHidden/>
          </w:rPr>
          <w:t>102</w:t>
        </w:r>
        <w:r>
          <w:rPr>
            <w:noProof/>
            <w:webHidden/>
          </w:rPr>
          <w:fldChar w:fldCharType="end"/>
        </w:r>
      </w:hyperlink>
    </w:p>
    <w:p w14:paraId="51A1C596" w14:textId="183E30C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6" w:history="1">
        <w:r w:rsidRPr="00573A08">
          <w:rPr>
            <w:rStyle w:val="Hipervnculo"/>
            <w:rFonts w:cs="Arial"/>
            <w:b/>
            <w:bCs/>
            <w:noProof/>
          </w:rPr>
          <w:t>Tabla 34. Líneas limítrofes con procesos de deslindes aperturados 2018-2019</w:t>
        </w:r>
        <w:r>
          <w:rPr>
            <w:noProof/>
            <w:webHidden/>
          </w:rPr>
          <w:tab/>
        </w:r>
        <w:r>
          <w:rPr>
            <w:noProof/>
            <w:webHidden/>
          </w:rPr>
          <w:fldChar w:fldCharType="begin"/>
        </w:r>
        <w:r>
          <w:rPr>
            <w:noProof/>
            <w:webHidden/>
          </w:rPr>
          <w:instrText xml:space="preserve"> PAGEREF _Toc88677106 \h </w:instrText>
        </w:r>
        <w:r>
          <w:rPr>
            <w:noProof/>
            <w:webHidden/>
          </w:rPr>
        </w:r>
        <w:r>
          <w:rPr>
            <w:noProof/>
            <w:webHidden/>
          </w:rPr>
          <w:fldChar w:fldCharType="separate"/>
        </w:r>
        <w:r>
          <w:rPr>
            <w:noProof/>
            <w:webHidden/>
          </w:rPr>
          <w:t>116</w:t>
        </w:r>
        <w:r>
          <w:rPr>
            <w:noProof/>
            <w:webHidden/>
          </w:rPr>
          <w:fldChar w:fldCharType="end"/>
        </w:r>
      </w:hyperlink>
    </w:p>
    <w:p w14:paraId="4625FB49" w14:textId="06F39CE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7" w:history="1">
        <w:r w:rsidRPr="00573A08">
          <w:rPr>
            <w:rStyle w:val="Hipervnculo"/>
            <w:rFonts w:cs="Arial"/>
            <w:b/>
            <w:bCs/>
            <w:noProof/>
          </w:rPr>
          <w:t>Tabla 35. Líneas limítrofes de con procesos de deslindes aperturados 2020- 2021</w:t>
        </w:r>
        <w:r>
          <w:rPr>
            <w:noProof/>
            <w:webHidden/>
          </w:rPr>
          <w:tab/>
        </w:r>
        <w:r>
          <w:rPr>
            <w:noProof/>
            <w:webHidden/>
          </w:rPr>
          <w:fldChar w:fldCharType="begin"/>
        </w:r>
        <w:r>
          <w:rPr>
            <w:noProof/>
            <w:webHidden/>
          </w:rPr>
          <w:instrText xml:space="preserve"> PAGEREF _Toc88677107 \h </w:instrText>
        </w:r>
        <w:r>
          <w:rPr>
            <w:noProof/>
            <w:webHidden/>
          </w:rPr>
        </w:r>
        <w:r>
          <w:rPr>
            <w:noProof/>
            <w:webHidden/>
          </w:rPr>
          <w:fldChar w:fldCharType="separate"/>
        </w:r>
        <w:r>
          <w:rPr>
            <w:noProof/>
            <w:webHidden/>
          </w:rPr>
          <w:t>117</w:t>
        </w:r>
        <w:r>
          <w:rPr>
            <w:noProof/>
            <w:webHidden/>
          </w:rPr>
          <w:fldChar w:fldCharType="end"/>
        </w:r>
      </w:hyperlink>
    </w:p>
    <w:p w14:paraId="3A25F9A9" w14:textId="0CF0BE3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8" w:history="1">
        <w:r w:rsidRPr="00573A08">
          <w:rPr>
            <w:rStyle w:val="Hipervnculo"/>
            <w:rFonts w:cs="Arial"/>
            <w:b/>
            <w:bCs/>
            <w:noProof/>
          </w:rPr>
          <w:t>Tabla 36. Líneas limítrofes con procesos de deslindes finalizados.</w:t>
        </w:r>
        <w:r>
          <w:rPr>
            <w:noProof/>
            <w:webHidden/>
          </w:rPr>
          <w:tab/>
        </w:r>
        <w:r>
          <w:rPr>
            <w:noProof/>
            <w:webHidden/>
          </w:rPr>
          <w:fldChar w:fldCharType="begin"/>
        </w:r>
        <w:r>
          <w:rPr>
            <w:noProof/>
            <w:webHidden/>
          </w:rPr>
          <w:instrText xml:space="preserve"> PAGEREF _Toc88677108 \h </w:instrText>
        </w:r>
        <w:r>
          <w:rPr>
            <w:noProof/>
            <w:webHidden/>
          </w:rPr>
        </w:r>
        <w:r>
          <w:rPr>
            <w:noProof/>
            <w:webHidden/>
          </w:rPr>
          <w:fldChar w:fldCharType="separate"/>
        </w:r>
        <w:r>
          <w:rPr>
            <w:noProof/>
            <w:webHidden/>
          </w:rPr>
          <w:t>117</w:t>
        </w:r>
        <w:r>
          <w:rPr>
            <w:noProof/>
            <w:webHidden/>
          </w:rPr>
          <w:fldChar w:fldCharType="end"/>
        </w:r>
      </w:hyperlink>
    </w:p>
    <w:p w14:paraId="5DE78F93" w14:textId="6691301C"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09" w:history="1">
        <w:r w:rsidRPr="00573A08">
          <w:rPr>
            <w:rStyle w:val="Hipervnculo"/>
            <w:rFonts w:cs="Arial"/>
            <w:b/>
            <w:bCs/>
            <w:noProof/>
          </w:rPr>
          <w:t>Tabla 37. Municipios con la Metodología Potencial de uso 2021</w:t>
        </w:r>
        <w:r>
          <w:rPr>
            <w:noProof/>
            <w:webHidden/>
          </w:rPr>
          <w:tab/>
        </w:r>
        <w:r>
          <w:rPr>
            <w:noProof/>
            <w:webHidden/>
          </w:rPr>
          <w:fldChar w:fldCharType="begin"/>
        </w:r>
        <w:r>
          <w:rPr>
            <w:noProof/>
            <w:webHidden/>
          </w:rPr>
          <w:instrText xml:space="preserve"> PAGEREF _Toc88677109 \h </w:instrText>
        </w:r>
        <w:r>
          <w:rPr>
            <w:noProof/>
            <w:webHidden/>
          </w:rPr>
        </w:r>
        <w:r>
          <w:rPr>
            <w:noProof/>
            <w:webHidden/>
          </w:rPr>
          <w:fldChar w:fldCharType="separate"/>
        </w:r>
        <w:r>
          <w:rPr>
            <w:noProof/>
            <w:webHidden/>
          </w:rPr>
          <w:t>130</w:t>
        </w:r>
        <w:r>
          <w:rPr>
            <w:noProof/>
            <w:webHidden/>
          </w:rPr>
          <w:fldChar w:fldCharType="end"/>
        </w:r>
      </w:hyperlink>
    </w:p>
    <w:p w14:paraId="177BE9AC" w14:textId="6450D61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0" w:history="1">
        <w:r w:rsidRPr="00573A08">
          <w:rPr>
            <w:rStyle w:val="Hipervnculo"/>
            <w:rFonts w:cs="Arial"/>
            <w:b/>
            <w:bCs/>
            <w:noProof/>
          </w:rPr>
          <w:t>Tabla 38. Solicitudes atendidas 2020-2021</w:t>
        </w:r>
        <w:r>
          <w:rPr>
            <w:noProof/>
            <w:webHidden/>
          </w:rPr>
          <w:tab/>
        </w:r>
        <w:r>
          <w:rPr>
            <w:noProof/>
            <w:webHidden/>
          </w:rPr>
          <w:fldChar w:fldCharType="begin"/>
        </w:r>
        <w:r>
          <w:rPr>
            <w:noProof/>
            <w:webHidden/>
          </w:rPr>
          <w:instrText xml:space="preserve"> PAGEREF _Toc88677110 \h </w:instrText>
        </w:r>
        <w:r>
          <w:rPr>
            <w:noProof/>
            <w:webHidden/>
          </w:rPr>
        </w:r>
        <w:r>
          <w:rPr>
            <w:noProof/>
            <w:webHidden/>
          </w:rPr>
          <w:fldChar w:fldCharType="separate"/>
        </w:r>
        <w:r>
          <w:rPr>
            <w:noProof/>
            <w:webHidden/>
          </w:rPr>
          <w:t>130</w:t>
        </w:r>
        <w:r>
          <w:rPr>
            <w:noProof/>
            <w:webHidden/>
          </w:rPr>
          <w:fldChar w:fldCharType="end"/>
        </w:r>
      </w:hyperlink>
    </w:p>
    <w:p w14:paraId="07C03B36" w14:textId="24AC483C"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1" w:history="1">
        <w:r w:rsidRPr="00573A08">
          <w:rPr>
            <w:rStyle w:val="Hipervnculo"/>
            <w:rFonts w:cs="Arial"/>
            <w:b/>
            <w:bCs/>
            <w:noProof/>
          </w:rPr>
          <w:t>Tabla 39. Análisis recibidos 2020-2021</w:t>
        </w:r>
        <w:r>
          <w:rPr>
            <w:noProof/>
            <w:webHidden/>
          </w:rPr>
          <w:tab/>
        </w:r>
        <w:r>
          <w:rPr>
            <w:noProof/>
            <w:webHidden/>
          </w:rPr>
          <w:fldChar w:fldCharType="begin"/>
        </w:r>
        <w:r>
          <w:rPr>
            <w:noProof/>
            <w:webHidden/>
          </w:rPr>
          <w:instrText xml:space="preserve"> PAGEREF _Toc88677111 \h </w:instrText>
        </w:r>
        <w:r>
          <w:rPr>
            <w:noProof/>
            <w:webHidden/>
          </w:rPr>
        </w:r>
        <w:r>
          <w:rPr>
            <w:noProof/>
            <w:webHidden/>
          </w:rPr>
          <w:fldChar w:fldCharType="separate"/>
        </w:r>
        <w:r>
          <w:rPr>
            <w:noProof/>
            <w:webHidden/>
          </w:rPr>
          <w:t>131</w:t>
        </w:r>
        <w:r>
          <w:rPr>
            <w:noProof/>
            <w:webHidden/>
          </w:rPr>
          <w:fldChar w:fldCharType="end"/>
        </w:r>
      </w:hyperlink>
    </w:p>
    <w:p w14:paraId="74AC4448" w14:textId="03BF5D6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2" w:history="1">
        <w:r w:rsidRPr="00573A08">
          <w:rPr>
            <w:rStyle w:val="Hipervnculo"/>
            <w:rFonts w:cs="Arial"/>
            <w:b/>
            <w:bCs/>
            <w:noProof/>
          </w:rPr>
          <w:t>Tabla 40. Insumos cartográficos, geodésicos, geográficos y agrológicos</w:t>
        </w:r>
        <w:r>
          <w:rPr>
            <w:noProof/>
            <w:webHidden/>
          </w:rPr>
          <w:tab/>
        </w:r>
        <w:r>
          <w:rPr>
            <w:noProof/>
            <w:webHidden/>
          </w:rPr>
          <w:fldChar w:fldCharType="begin"/>
        </w:r>
        <w:r>
          <w:rPr>
            <w:noProof/>
            <w:webHidden/>
          </w:rPr>
          <w:instrText xml:space="preserve"> PAGEREF _Toc88677112 \h </w:instrText>
        </w:r>
        <w:r>
          <w:rPr>
            <w:noProof/>
            <w:webHidden/>
          </w:rPr>
        </w:r>
        <w:r>
          <w:rPr>
            <w:noProof/>
            <w:webHidden/>
          </w:rPr>
          <w:fldChar w:fldCharType="separate"/>
        </w:r>
        <w:r>
          <w:rPr>
            <w:noProof/>
            <w:webHidden/>
          </w:rPr>
          <w:t>137</w:t>
        </w:r>
        <w:r>
          <w:rPr>
            <w:noProof/>
            <w:webHidden/>
          </w:rPr>
          <w:fldChar w:fldCharType="end"/>
        </w:r>
      </w:hyperlink>
    </w:p>
    <w:p w14:paraId="0FC46ACE" w14:textId="18E87A8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3" w:history="1">
        <w:r w:rsidRPr="00573A08">
          <w:rPr>
            <w:rStyle w:val="Hipervnculo"/>
            <w:rFonts w:cs="Arial"/>
            <w:b/>
            <w:bCs/>
            <w:noProof/>
          </w:rPr>
          <w:t>Tabla 41. Municipios acompañamiento PECAT año 2020</w:t>
        </w:r>
        <w:r>
          <w:rPr>
            <w:noProof/>
            <w:webHidden/>
          </w:rPr>
          <w:tab/>
        </w:r>
        <w:r>
          <w:rPr>
            <w:noProof/>
            <w:webHidden/>
          </w:rPr>
          <w:fldChar w:fldCharType="begin"/>
        </w:r>
        <w:r>
          <w:rPr>
            <w:noProof/>
            <w:webHidden/>
          </w:rPr>
          <w:instrText xml:space="preserve"> PAGEREF _Toc88677113 \h </w:instrText>
        </w:r>
        <w:r>
          <w:rPr>
            <w:noProof/>
            <w:webHidden/>
          </w:rPr>
        </w:r>
        <w:r>
          <w:rPr>
            <w:noProof/>
            <w:webHidden/>
          </w:rPr>
          <w:fldChar w:fldCharType="separate"/>
        </w:r>
        <w:r>
          <w:rPr>
            <w:noProof/>
            <w:webHidden/>
          </w:rPr>
          <w:t>139</w:t>
        </w:r>
        <w:r>
          <w:rPr>
            <w:noProof/>
            <w:webHidden/>
          </w:rPr>
          <w:fldChar w:fldCharType="end"/>
        </w:r>
      </w:hyperlink>
    </w:p>
    <w:p w14:paraId="7D4222FF" w14:textId="4757C42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4" w:history="1">
        <w:r w:rsidRPr="00573A08">
          <w:rPr>
            <w:rStyle w:val="Hipervnculo"/>
            <w:rFonts w:cs="Arial"/>
            <w:b/>
            <w:bCs/>
            <w:noProof/>
          </w:rPr>
          <w:t>Tabla 42.Procesos contractuales para la adquisición de insumos y generación de productos cartográficos</w:t>
        </w:r>
        <w:r>
          <w:rPr>
            <w:noProof/>
            <w:webHidden/>
          </w:rPr>
          <w:tab/>
        </w:r>
        <w:r>
          <w:rPr>
            <w:noProof/>
            <w:webHidden/>
          </w:rPr>
          <w:fldChar w:fldCharType="begin"/>
        </w:r>
        <w:r>
          <w:rPr>
            <w:noProof/>
            <w:webHidden/>
          </w:rPr>
          <w:instrText xml:space="preserve"> PAGEREF _Toc88677114 \h </w:instrText>
        </w:r>
        <w:r>
          <w:rPr>
            <w:noProof/>
            <w:webHidden/>
          </w:rPr>
        </w:r>
        <w:r>
          <w:rPr>
            <w:noProof/>
            <w:webHidden/>
          </w:rPr>
          <w:fldChar w:fldCharType="separate"/>
        </w:r>
        <w:r>
          <w:rPr>
            <w:noProof/>
            <w:webHidden/>
          </w:rPr>
          <w:t>142</w:t>
        </w:r>
        <w:r>
          <w:rPr>
            <w:noProof/>
            <w:webHidden/>
          </w:rPr>
          <w:fldChar w:fldCharType="end"/>
        </w:r>
      </w:hyperlink>
    </w:p>
    <w:p w14:paraId="6D457962" w14:textId="334DC72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5" w:history="1">
        <w:r w:rsidRPr="00573A08">
          <w:rPr>
            <w:rStyle w:val="Hipervnculo"/>
            <w:rFonts w:cs="Arial"/>
            <w:b/>
            <w:bCs/>
            <w:noProof/>
          </w:rPr>
          <w:t>Tabla 43. Adquisición de imágenes satelitales</w:t>
        </w:r>
        <w:r>
          <w:rPr>
            <w:noProof/>
            <w:webHidden/>
          </w:rPr>
          <w:tab/>
        </w:r>
        <w:r>
          <w:rPr>
            <w:noProof/>
            <w:webHidden/>
          </w:rPr>
          <w:fldChar w:fldCharType="begin"/>
        </w:r>
        <w:r>
          <w:rPr>
            <w:noProof/>
            <w:webHidden/>
          </w:rPr>
          <w:instrText xml:space="preserve"> PAGEREF _Toc88677115 \h </w:instrText>
        </w:r>
        <w:r>
          <w:rPr>
            <w:noProof/>
            <w:webHidden/>
          </w:rPr>
        </w:r>
        <w:r>
          <w:rPr>
            <w:noProof/>
            <w:webHidden/>
          </w:rPr>
          <w:fldChar w:fldCharType="separate"/>
        </w:r>
        <w:r>
          <w:rPr>
            <w:noProof/>
            <w:webHidden/>
          </w:rPr>
          <w:t>142</w:t>
        </w:r>
        <w:r>
          <w:rPr>
            <w:noProof/>
            <w:webHidden/>
          </w:rPr>
          <w:fldChar w:fldCharType="end"/>
        </w:r>
      </w:hyperlink>
    </w:p>
    <w:p w14:paraId="1D4EA269" w14:textId="13EF638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6" w:history="1">
        <w:r w:rsidRPr="00573A08">
          <w:rPr>
            <w:rStyle w:val="Hipervnculo"/>
            <w:rFonts w:cs="Arial"/>
            <w:b/>
            <w:bCs/>
            <w:noProof/>
          </w:rPr>
          <w:t>Tabla 44. Adquisición de modelos digitales de terreno</w:t>
        </w:r>
        <w:r>
          <w:rPr>
            <w:noProof/>
            <w:webHidden/>
          </w:rPr>
          <w:tab/>
        </w:r>
        <w:r>
          <w:rPr>
            <w:noProof/>
            <w:webHidden/>
          </w:rPr>
          <w:fldChar w:fldCharType="begin"/>
        </w:r>
        <w:r>
          <w:rPr>
            <w:noProof/>
            <w:webHidden/>
          </w:rPr>
          <w:instrText xml:space="preserve"> PAGEREF _Toc88677116 \h </w:instrText>
        </w:r>
        <w:r>
          <w:rPr>
            <w:noProof/>
            <w:webHidden/>
          </w:rPr>
        </w:r>
        <w:r>
          <w:rPr>
            <w:noProof/>
            <w:webHidden/>
          </w:rPr>
          <w:fldChar w:fldCharType="separate"/>
        </w:r>
        <w:r>
          <w:rPr>
            <w:noProof/>
            <w:webHidden/>
          </w:rPr>
          <w:t>143</w:t>
        </w:r>
        <w:r>
          <w:rPr>
            <w:noProof/>
            <w:webHidden/>
          </w:rPr>
          <w:fldChar w:fldCharType="end"/>
        </w:r>
      </w:hyperlink>
    </w:p>
    <w:p w14:paraId="6CB948B8" w14:textId="546343E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7" w:history="1">
        <w:r w:rsidRPr="00573A08">
          <w:rPr>
            <w:rStyle w:val="Hipervnculo"/>
            <w:b/>
            <w:bCs/>
            <w:noProof/>
          </w:rPr>
          <w:t>Tabla 45. Generación de ortoimágenes y datos vectoriales rurales y urbanas</w:t>
        </w:r>
        <w:r>
          <w:rPr>
            <w:noProof/>
            <w:webHidden/>
          </w:rPr>
          <w:tab/>
        </w:r>
        <w:r>
          <w:rPr>
            <w:noProof/>
            <w:webHidden/>
          </w:rPr>
          <w:fldChar w:fldCharType="begin"/>
        </w:r>
        <w:r>
          <w:rPr>
            <w:noProof/>
            <w:webHidden/>
          </w:rPr>
          <w:instrText xml:space="preserve"> PAGEREF _Toc88677117 \h </w:instrText>
        </w:r>
        <w:r>
          <w:rPr>
            <w:noProof/>
            <w:webHidden/>
          </w:rPr>
        </w:r>
        <w:r>
          <w:rPr>
            <w:noProof/>
            <w:webHidden/>
          </w:rPr>
          <w:fldChar w:fldCharType="separate"/>
        </w:r>
        <w:r>
          <w:rPr>
            <w:noProof/>
            <w:webHidden/>
          </w:rPr>
          <w:t>143</w:t>
        </w:r>
        <w:r>
          <w:rPr>
            <w:noProof/>
            <w:webHidden/>
          </w:rPr>
          <w:fldChar w:fldCharType="end"/>
        </w:r>
      </w:hyperlink>
    </w:p>
    <w:p w14:paraId="1B27ABFD" w14:textId="3C49C73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8" w:history="1">
        <w:r w:rsidRPr="00573A08">
          <w:rPr>
            <w:rStyle w:val="Hipervnculo"/>
            <w:rFonts w:cs="Arial"/>
            <w:b/>
            <w:bCs/>
            <w:noProof/>
          </w:rPr>
          <w:t>Tabla 46.Densificación Red Geodésica y Centro de Control</w:t>
        </w:r>
        <w:r>
          <w:rPr>
            <w:noProof/>
            <w:webHidden/>
          </w:rPr>
          <w:tab/>
        </w:r>
        <w:r>
          <w:rPr>
            <w:noProof/>
            <w:webHidden/>
          </w:rPr>
          <w:fldChar w:fldCharType="begin"/>
        </w:r>
        <w:r>
          <w:rPr>
            <w:noProof/>
            <w:webHidden/>
          </w:rPr>
          <w:instrText xml:space="preserve"> PAGEREF _Toc88677118 \h </w:instrText>
        </w:r>
        <w:r>
          <w:rPr>
            <w:noProof/>
            <w:webHidden/>
          </w:rPr>
        </w:r>
        <w:r>
          <w:rPr>
            <w:noProof/>
            <w:webHidden/>
          </w:rPr>
          <w:fldChar w:fldCharType="separate"/>
        </w:r>
        <w:r>
          <w:rPr>
            <w:noProof/>
            <w:webHidden/>
          </w:rPr>
          <w:t>144</w:t>
        </w:r>
        <w:r>
          <w:rPr>
            <w:noProof/>
            <w:webHidden/>
          </w:rPr>
          <w:fldChar w:fldCharType="end"/>
        </w:r>
      </w:hyperlink>
    </w:p>
    <w:p w14:paraId="5BFDC72D" w14:textId="04D04B3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19" w:history="1">
        <w:r w:rsidRPr="00573A08">
          <w:rPr>
            <w:rStyle w:val="Hipervnculo"/>
            <w:rFonts w:cs="Arial"/>
            <w:b/>
            <w:noProof/>
          </w:rPr>
          <w:t>Tabla 47. Proyectos Desarrollados</w:t>
        </w:r>
        <w:r>
          <w:rPr>
            <w:noProof/>
            <w:webHidden/>
          </w:rPr>
          <w:tab/>
        </w:r>
        <w:r>
          <w:rPr>
            <w:noProof/>
            <w:webHidden/>
          </w:rPr>
          <w:fldChar w:fldCharType="begin"/>
        </w:r>
        <w:r>
          <w:rPr>
            <w:noProof/>
            <w:webHidden/>
          </w:rPr>
          <w:instrText xml:space="preserve"> PAGEREF _Toc88677119 \h </w:instrText>
        </w:r>
        <w:r>
          <w:rPr>
            <w:noProof/>
            <w:webHidden/>
          </w:rPr>
        </w:r>
        <w:r>
          <w:rPr>
            <w:noProof/>
            <w:webHidden/>
          </w:rPr>
          <w:fldChar w:fldCharType="separate"/>
        </w:r>
        <w:r>
          <w:rPr>
            <w:noProof/>
            <w:webHidden/>
          </w:rPr>
          <w:t>166</w:t>
        </w:r>
        <w:r>
          <w:rPr>
            <w:noProof/>
            <w:webHidden/>
          </w:rPr>
          <w:fldChar w:fldCharType="end"/>
        </w:r>
      </w:hyperlink>
    </w:p>
    <w:p w14:paraId="31CEE104" w14:textId="4ABF07A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0" w:history="1">
        <w:r w:rsidRPr="00573A08">
          <w:rPr>
            <w:rStyle w:val="Hipervnculo"/>
            <w:rFonts w:cs="Arial"/>
            <w:b/>
            <w:noProof/>
          </w:rPr>
          <w:t>Tabla 48. Cantidad de eventos desarrollados</w:t>
        </w:r>
        <w:r>
          <w:rPr>
            <w:noProof/>
            <w:webHidden/>
          </w:rPr>
          <w:tab/>
        </w:r>
        <w:r>
          <w:rPr>
            <w:noProof/>
            <w:webHidden/>
          </w:rPr>
          <w:fldChar w:fldCharType="begin"/>
        </w:r>
        <w:r>
          <w:rPr>
            <w:noProof/>
            <w:webHidden/>
          </w:rPr>
          <w:instrText xml:space="preserve"> PAGEREF _Toc88677120 \h </w:instrText>
        </w:r>
        <w:r>
          <w:rPr>
            <w:noProof/>
            <w:webHidden/>
          </w:rPr>
        </w:r>
        <w:r>
          <w:rPr>
            <w:noProof/>
            <w:webHidden/>
          </w:rPr>
          <w:fldChar w:fldCharType="separate"/>
        </w:r>
        <w:r>
          <w:rPr>
            <w:noProof/>
            <w:webHidden/>
          </w:rPr>
          <w:t>167</w:t>
        </w:r>
        <w:r>
          <w:rPr>
            <w:noProof/>
            <w:webHidden/>
          </w:rPr>
          <w:fldChar w:fldCharType="end"/>
        </w:r>
      </w:hyperlink>
    </w:p>
    <w:p w14:paraId="689B1DDC" w14:textId="0474C82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1" w:history="1">
        <w:r w:rsidRPr="00573A08">
          <w:rPr>
            <w:rStyle w:val="Hipervnculo"/>
            <w:rFonts w:cs="Arial"/>
            <w:b/>
            <w:noProof/>
          </w:rPr>
          <w:t>Tabla 49. Cursos realizados</w:t>
        </w:r>
        <w:r>
          <w:rPr>
            <w:noProof/>
            <w:webHidden/>
          </w:rPr>
          <w:tab/>
        </w:r>
        <w:r>
          <w:rPr>
            <w:noProof/>
            <w:webHidden/>
          </w:rPr>
          <w:fldChar w:fldCharType="begin"/>
        </w:r>
        <w:r>
          <w:rPr>
            <w:noProof/>
            <w:webHidden/>
          </w:rPr>
          <w:instrText xml:space="preserve"> PAGEREF _Toc88677121 \h </w:instrText>
        </w:r>
        <w:r>
          <w:rPr>
            <w:noProof/>
            <w:webHidden/>
          </w:rPr>
        </w:r>
        <w:r>
          <w:rPr>
            <w:noProof/>
            <w:webHidden/>
          </w:rPr>
          <w:fldChar w:fldCharType="separate"/>
        </w:r>
        <w:r>
          <w:rPr>
            <w:noProof/>
            <w:webHidden/>
          </w:rPr>
          <w:t>168</w:t>
        </w:r>
        <w:r>
          <w:rPr>
            <w:noProof/>
            <w:webHidden/>
          </w:rPr>
          <w:fldChar w:fldCharType="end"/>
        </w:r>
      </w:hyperlink>
    </w:p>
    <w:p w14:paraId="21D55EBC" w14:textId="2FC3EC1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2" w:history="1">
        <w:r w:rsidRPr="00573A08">
          <w:rPr>
            <w:rStyle w:val="Hipervnculo"/>
            <w:rFonts w:cs="Arial"/>
            <w:b/>
            <w:noProof/>
          </w:rPr>
          <w:t>Tabla 50. Cursos desarrollados</w:t>
        </w:r>
        <w:r>
          <w:rPr>
            <w:noProof/>
            <w:webHidden/>
          </w:rPr>
          <w:tab/>
        </w:r>
        <w:r>
          <w:rPr>
            <w:noProof/>
            <w:webHidden/>
          </w:rPr>
          <w:fldChar w:fldCharType="begin"/>
        </w:r>
        <w:r>
          <w:rPr>
            <w:noProof/>
            <w:webHidden/>
          </w:rPr>
          <w:instrText xml:space="preserve"> PAGEREF _Toc88677122 \h </w:instrText>
        </w:r>
        <w:r>
          <w:rPr>
            <w:noProof/>
            <w:webHidden/>
          </w:rPr>
        </w:r>
        <w:r>
          <w:rPr>
            <w:noProof/>
            <w:webHidden/>
          </w:rPr>
          <w:fldChar w:fldCharType="separate"/>
        </w:r>
        <w:r>
          <w:rPr>
            <w:noProof/>
            <w:webHidden/>
          </w:rPr>
          <w:t>169</w:t>
        </w:r>
        <w:r>
          <w:rPr>
            <w:noProof/>
            <w:webHidden/>
          </w:rPr>
          <w:fldChar w:fldCharType="end"/>
        </w:r>
      </w:hyperlink>
    </w:p>
    <w:p w14:paraId="11A015A9" w14:textId="23B0C5F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3" w:history="1">
        <w:r w:rsidRPr="00573A08">
          <w:rPr>
            <w:rStyle w:val="Hipervnculo"/>
            <w:rFonts w:cs="Arial"/>
            <w:b/>
            <w:noProof/>
          </w:rPr>
          <w:t>Tabla 51. SIG desarrollados y actualizados</w:t>
        </w:r>
        <w:r>
          <w:rPr>
            <w:noProof/>
            <w:webHidden/>
          </w:rPr>
          <w:tab/>
        </w:r>
        <w:r>
          <w:rPr>
            <w:noProof/>
            <w:webHidden/>
          </w:rPr>
          <w:fldChar w:fldCharType="begin"/>
        </w:r>
        <w:r>
          <w:rPr>
            <w:noProof/>
            <w:webHidden/>
          </w:rPr>
          <w:instrText xml:space="preserve"> PAGEREF _Toc88677123 \h </w:instrText>
        </w:r>
        <w:r>
          <w:rPr>
            <w:noProof/>
            <w:webHidden/>
          </w:rPr>
        </w:r>
        <w:r>
          <w:rPr>
            <w:noProof/>
            <w:webHidden/>
          </w:rPr>
          <w:fldChar w:fldCharType="separate"/>
        </w:r>
        <w:r>
          <w:rPr>
            <w:noProof/>
            <w:webHidden/>
          </w:rPr>
          <w:t>170</w:t>
        </w:r>
        <w:r>
          <w:rPr>
            <w:noProof/>
            <w:webHidden/>
          </w:rPr>
          <w:fldChar w:fldCharType="end"/>
        </w:r>
      </w:hyperlink>
    </w:p>
    <w:p w14:paraId="456BB32F" w14:textId="11B8596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4" w:history="1">
        <w:r w:rsidRPr="00573A08">
          <w:rPr>
            <w:rStyle w:val="Hipervnculo"/>
            <w:rFonts w:cs="Arial"/>
            <w:b/>
            <w:noProof/>
          </w:rPr>
          <w:t>Tabla 52. Datos Priorizados</w:t>
        </w:r>
        <w:r>
          <w:rPr>
            <w:noProof/>
            <w:webHidden/>
          </w:rPr>
          <w:tab/>
        </w:r>
        <w:r>
          <w:rPr>
            <w:noProof/>
            <w:webHidden/>
          </w:rPr>
          <w:fldChar w:fldCharType="begin"/>
        </w:r>
        <w:r>
          <w:rPr>
            <w:noProof/>
            <w:webHidden/>
          </w:rPr>
          <w:instrText xml:space="preserve"> PAGEREF _Toc88677124 \h </w:instrText>
        </w:r>
        <w:r>
          <w:rPr>
            <w:noProof/>
            <w:webHidden/>
          </w:rPr>
        </w:r>
        <w:r>
          <w:rPr>
            <w:noProof/>
            <w:webHidden/>
          </w:rPr>
          <w:fldChar w:fldCharType="separate"/>
        </w:r>
        <w:r>
          <w:rPr>
            <w:noProof/>
            <w:webHidden/>
          </w:rPr>
          <w:t>176</w:t>
        </w:r>
        <w:r>
          <w:rPr>
            <w:noProof/>
            <w:webHidden/>
          </w:rPr>
          <w:fldChar w:fldCharType="end"/>
        </w:r>
      </w:hyperlink>
    </w:p>
    <w:p w14:paraId="4FC5F428" w14:textId="337D040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5" w:history="1">
        <w:r w:rsidRPr="00573A08">
          <w:rPr>
            <w:rStyle w:val="Hipervnculo"/>
            <w:rFonts w:cs="Arial"/>
            <w:b/>
            <w:noProof/>
          </w:rPr>
          <w:t>Tabla 53. Objetos Territoriales</w:t>
        </w:r>
        <w:r>
          <w:rPr>
            <w:noProof/>
            <w:webHidden/>
          </w:rPr>
          <w:tab/>
        </w:r>
        <w:r>
          <w:rPr>
            <w:noProof/>
            <w:webHidden/>
          </w:rPr>
          <w:fldChar w:fldCharType="begin"/>
        </w:r>
        <w:r>
          <w:rPr>
            <w:noProof/>
            <w:webHidden/>
          </w:rPr>
          <w:instrText xml:space="preserve"> PAGEREF _Toc88677125 \h </w:instrText>
        </w:r>
        <w:r>
          <w:rPr>
            <w:noProof/>
            <w:webHidden/>
          </w:rPr>
        </w:r>
        <w:r>
          <w:rPr>
            <w:noProof/>
            <w:webHidden/>
          </w:rPr>
          <w:fldChar w:fldCharType="separate"/>
        </w:r>
        <w:r>
          <w:rPr>
            <w:noProof/>
            <w:webHidden/>
          </w:rPr>
          <w:t>177</w:t>
        </w:r>
        <w:r>
          <w:rPr>
            <w:noProof/>
            <w:webHidden/>
          </w:rPr>
          <w:fldChar w:fldCharType="end"/>
        </w:r>
      </w:hyperlink>
    </w:p>
    <w:p w14:paraId="78347373" w14:textId="0B35776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6" w:history="1">
        <w:r w:rsidRPr="00573A08">
          <w:rPr>
            <w:rStyle w:val="Hipervnculo"/>
            <w:rFonts w:cs="Arial"/>
            <w:b/>
            <w:noProof/>
          </w:rPr>
          <w:t>Tabla 54. Resumen de avance de gestión de objetos territoriales por parte del IGAC</w:t>
        </w:r>
        <w:r>
          <w:rPr>
            <w:noProof/>
            <w:webHidden/>
          </w:rPr>
          <w:tab/>
        </w:r>
        <w:r>
          <w:rPr>
            <w:noProof/>
            <w:webHidden/>
          </w:rPr>
          <w:fldChar w:fldCharType="begin"/>
        </w:r>
        <w:r>
          <w:rPr>
            <w:noProof/>
            <w:webHidden/>
          </w:rPr>
          <w:instrText xml:space="preserve"> PAGEREF _Toc88677126 \h </w:instrText>
        </w:r>
        <w:r>
          <w:rPr>
            <w:noProof/>
            <w:webHidden/>
          </w:rPr>
        </w:r>
        <w:r>
          <w:rPr>
            <w:noProof/>
            <w:webHidden/>
          </w:rPr>
          <w:fldChar w:fldCharType="separate"/>
        </w:r>
        <w:r>
          <w:rPr>
            <w:noProof/>
            <w:webHidden/>
          </w:rPr>
          <w:t>177</w:t>
        </w:r>
        <w:r>
          <w:rPr>
            <w:noProof/>
            <w:webHidden/>
          </w:rPr>
          <w:fldChar w:fldCharType="end"/>
        </w:r>
      </w:hyperlink>
    </w:p>
    <w:p w14:paraId="0F3E0994" w14:textId="2FD4CD9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7" w:history="1">
        <w:r w:rsidRPr="00573A08">
          <w:rPr>
            <w:rStyle w:val="Hipervnculo"/>
            <w:rFonts w:cs="Arial"/>
            <w:b/>
            <w:noProof/>
          </w:rPr>
          <w:t>Tabla 55. Documentos normativos desarrollados</w:t>
        </w:r>
        <w:r>
          <w:rPr>
            <w:noProof/>
            <w:webHidden/>
          </w:rPr>
          <w:tab/>
        </w:r>
        <w:r>
          <w:rPr>
            <w:noProof/>
            <w:webHidden/>
          </w:rPr>
          <w:fldChar w:fldCharType="begin"/>
        </w:r>
        <w:r>
          <w:rPr>
            <w:noProof/>
            <w:webHidden/>
          </w:rPr>
          <w:instrText xml:space="preserve"> PAGEREF _Toc88677127 \h </w:instrText>
        </w:r>
        <w:r>
          <w:rPr>
            <w:noProof/>
            <w:webHidden/>
          </w:rPr>
        </w:r>
        <w:r>
          <w:rPr>
            <w:noProof/>
            <w:webHidden/>
          </w:rPr>
          <w:fldChar w:fldCharType="separate"/>
        </w:r>
        <w:r>
          <w:rPr>
            <w:noProof/>
            <w:webHidden/>
          </w:rPr>
          <w:t>180</w:t>
        </w:r>
        <w:r>
          <w:rPr>
            <w:noProof/>
            <w:webHidden/>
          </w:rPr>
          <w:fldChar w:fldCharType="end"/>
        </w:r>
      </w:hyperlink>
    </w:p>
    <w:p w14:paraId="5A021D8C" w14:textId="61AE776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8" w:history="1">
        <w:r w:rsidRPr="00573A08">
          <w:rPr>
            <w:rStyle w:val="Hipervnculo"/>
            <w:rFonts w:cs="Arial"/>
            <w:b/>
            <w:noProof/>
          </w:rPr>
          <w:t>Tabla 56. Asesorías y consultorías desarrolladas</w:t>
        </w:r>
        <w:r>
          <w:rPr>
            <w:noProof/>
            <w:webHidden/>
          </w:rPr>
          <w:tab/>
        </w:r>
        <w:r>
          <w:rPr>
            <w:noProof/>
            <w:webHidden/>
          </w:rPr>
          <w:fldChar w:fldCharType="begin"/>
        </w:r>
        <w:r>
          <w:rPr>
            <w:noProof/>
            <w:webHidden/>
          </w:rPr>
          <w:instrText xml:space="preserve"> PAGEREF _Toc88677128 \h </w:instrText>
        </w:r>
        <w:r>
          <w:rPr>
            <w:noProof/>
            <w:webHidden/>
          </w:rPr>
        </w:r>
        <w:r>
          <w:rPr>
            <w:noProof/>
            <w:webHidden/>
          </w:rPr>
          <w:fldChar w:fldCharType="separate"/>
        </w:r>
        <w:r>
          <w:rPr>
            <w:noProof/>
            <w:webHidden/>
          </w:rPr>
          <w:t>184</w:t>
        </w:r>
        <w:r>
          <w:rPr>
            <w:noProof/>
            <w:webHidden/>
          </w:rPr>
          <w:fldChar w:fldCharType="end"/>
        </w:r>
      </w:hyperlink>
    </w:p>
    <w:p w14:paraId="1E347933" w14:textId="1378B71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29" w:history="1">
        <w:r w:rsidRPr="00573A08">
          <w:rPr>
            <w:rStyle w:val="Hipervnculo"/>
            <w:b/>
            <w:noProof/>
          </w:rPr>
          <w:t>Tabla 57. Distribución tipos de accidentes presentados 2020-2021</w:t>
        </w:r>
        <w:r>
          <w:rPr>
            <w:noProof/>
            <w:webHidden/>
          </w:rPr>
          <w:tab/>
        </w:r>
        <w:r>
          <w:rPr>
            <w:noProof/>
            <w:webHidden/>
          </w:rPr>
          <w:fldChar w:fldCharType="begin"/>
        </w:r>
        <w:r>
          <w:rPr>
            <w:noProof/>
            <w:webHidden/>
          </w:rPr>
          <w:instrText xml:space="preserve"> PAGEREF _Toc88677129 \h </w:instrText>
        </w:r>
        <w:r>
          <w:rPr>
            <w:noProof/>
            <w:webHidden/>
          </w:rPr>
        </w:r>
        <w:r>
          <w:rPr>
            <w:noProof/>
            <w:webHidden/>
          </w:rPr>
          <w:fldChar w:fldCharType="separate"/>
        </w:r>
        <w:r>
          <w:rPr>
            <w:noProof/>
            <w:webHidden/>
          </w:rPr>
          <w:t>241</w:t>
        </w:r>
        <w:r>
          <w:rPr>
            <w:noProof/>
            <w:webHidden/>
          </w:rPr>
          <w:fldChar w:fldCharType="end"/>
        </w:r>
      </w:hyperlink>
    </w:p>
    <w:p w14:paraId="5E1A5E3C" w14:textId="33C9796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0" w:history="1">
        <w:r w:rsidRPr="00573A08">
          <w:rPr>
            <w:rStyle w:val="Hipervnculo"/>
            <w:b/>
            <w:noProof/>
          </w:rPr>
          <w:t>Tabla 58. Distribución origen enfermedades presentadas 2020-2021</w:t>
        </w:r>
        <w:r>
          <w:rPr>
            <w:noProof/>
            <w:webHidden/>
          </w:rPr>
          <w:tab/>
        </w:r>
        <w:r>
          <w:rPr>
            <w:noProof/>
            <w:webHidden/>
          </w:rPr>
          <w:fldChar w:fldCharType="begin"/>
        </w:r>
        <w:r>
          <w:rPr>
            <w:noProof/>
            <w:webHidden/>
          </w:rPr>
          <w:instrText xml:space="preserve"> PAGEREF _Toc88677130 \h </w:instrText>
        </w:r>
        <w:r>
          <w:rPr>
            <w:noProof/>
            <w:webHidden/>
          </w:rPr>
        </w:r>
        <w:r>
          <w:rPr>
            <w:noProof/>
            <w:webHidden/>
          </w:rPr>
          <w:fldChar w:fldCharType="separate"/>
        </w:r>
        <w:r>
          <w:rPr>
            <w:noProof/>
            <w:webHidden/>
          </w:rPr>
          <w:t>242</w:t>
        </w:r>
        <w:r>
          <w:rPr>
            <w:noProof/>
            <w:webHidden/>
          </w:rPr>
          <w:fldChar w:fldCharType="end"/>
        </w:r>
      </w:hyperlink>
    </w:p>
    <w:p w14:paraId="349E134B" w14:textId="5A5A91D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1" w:history="1">
        <w:r w:rsidRPr="00573A08">
          <w:rPr>
            <w:rStyle w:val="Hipervnculo"/>
            <w:rFonts w:cs="Arial"/>
            <w:b/>
            <w:noProof/>
          </w:rPr>
          <w:t>Tabla 59. Convenciones y rangos</w:t>
        </w:r>
        <w:r>
          <w:rPr>
            <w:noProof/>
            <w:webHidden/>
          </w:rPr>
          <w:tab/>
        </w:r>
        <w:r>
          <w:rPr>
            <w:noProof/>
            <w:webHidden/>
          </w:rPr>
          <w:fldChar w:fldCharType="begin"/>
        </w:r>
        <w:r>
          <w:rPr>
            <w:noProof/>
            <w:webHidden/>
          </w:rPr>
          <w:instrText xml:space="preserve"> PAGEREF _Toc88677131 \h </w:instrText>
        </w:r>
        <w:r>
          <w:rPr>
            <w:noProof/>
            <w:webHidden/>
          </w:rPr>
        </w:r>
        <w:r>
          <w:rPr>
            <w:noProof/>
            <w:webHidden/>
          </w:rPr>
          <w:fldChar w:fldCharType="separate"/>
        </w:r>
        <w:r>
          <w:rPr>
            <w:noProof/>
            <w:webHidden/>
          </w:rPr>
          <w:t>262</w:t>
        </w:r>
        <w:r>
          <w:rPr>
            <w:noProof/>
            <w:webHidden/>
          </w:rPr>
          <w:fldChar w:fldCharType="end"/>
        </w:r>
      </w:hyperlink>
    </w:p>
    <w:p w14:paraId="2F56E283" w14:textId="7F0A69F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2" w:history="1">
        <w:r w:rsidRPr="00573A08">
          <w:rPr>
            <w:rStyle w:val="Hipervnculo"/>
            <w:rFonts w:cs="Arial"/>
            <w:b/>
            <w:bCs/>
            <w:noProof/>
          </w:rPr>
          <w:t>Tabla 60. Resultados gestión PQRD Sede Central IGAC</w:t>
        </w:r>
        <w:r>
          <w:rPr>
            <w:noProof/>
            <w:webHidden/>
          </w:rPr>
          <w:tab/>
        </w:r>
        <w:r>
          <w:rPr>
            <w:noProof/>
            <w:webHidden/>
          </w:rPr>
          <w:fldChar w:fldCharType="begin"/>
        </w:r>
        <w:r>
          <w:rPr>
            <w:noProof/>
            <w:webHidden/>
          </w:rPr>
          <w:instrText xml:space="preserve"> PAGEREF _Toc88677132 \h </w:instrText>
        </w:r>
        <w:r>
          <w:rPr>
            <w:noProof/>
            <w:webHidden/>
          </w:rPr>
        </w:r>
        <w:r>
          <w:rPr>
            <w:noProof/>
            <w:webHidden/>
          </w:rPr>
          <w:fldChar w:fldCharType="separate"/>
        </w:r>
        <w:r>
          <w:rPr>
            <w:noProof/>
            <w:webHidden/>
          </w:rPr>
          <w:t>263</w:t>
        </w:r>
        <w:r>
          <w:rPr>
            <w:noProof/>
            <w:webHidden/>
          </w:rPr>
          <w:fldChar w:fldCharType="end"/>
        </w:r>
      </w:hyperlink>
    </w:p>
    <w:p w14:paraId="333C9342" w14:textId="74205A5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3" w:history="1">
        <w:r w:rsidRPr="00573A08">
          <w:rPr>
            <w:rStyle w:val="Hipervnculo"/>
            <w:rFonts w:cs="Arial"/>
            <w:b/>
            <w:bCs/>
            <w:noProof/>
          </w:rPr>
          <w:t xml:space="preserve">Tabla 61. </w:t>
        </w:r>
        <w:r w:rsidRPr="00573A08">
          <w:rPr>
            <w:rStyle w:val="Hipervnculo"/>
            <w:rFonts w:cs="Arial"/>
            <w:b/>
            <w:noProof/>
          </w:rPr>
          <w:t>Resultados gestión PQRD Direcciones Territoriales IGAC</w:t>
        </w:r>
        <w:r>
          <w:rPr>
            <w:noProof/>
            <w:webHidden/>
          </w:rPr>
          <w:tab/>
        </w:r>
        <w:r>
          <w:rPr>
            <w:noProof/>
            <w:webHidden/>
          </w:rPr>
          <w:fldChar w:fldCharType="begin"/>
        </w:r>
        <w:r>
          <w:rPr>
            <w:noProof/>
            <w:webHidden/>
          </w:rPr>
          <w:instrText xml:space="preserve"> PAGEREF _Toc88677133 \h </w:instrText>
        </w:r>
        <w:r>
          <w:rPr>
            <w:noProof/>
            <w:webHidden/>
          </w:rPr>
        </w:r>
        <w:r>
          <w:rPr>
            <w:noProof/>
            <w:webHidden/>
          </w:rPr>
          <w:fldChar w:fldCharType="separate"/>
        </w:r>
        <w:r>
          <w:rPr>
            <w:noProof/>
            <w:webHidden/>
          </w:rPr>
          <w:t>264</w:t>
        </w:r>
        <w:r>
          <w:rPr>
            <w:noProof/>
            <w:webHidden/>
          </w:rPr>
          <w:fldChar w:fldCharType="end"/>
        </w:r>
      </w:hyperlink>
    </w:p>
    <w:p w14:paraId="35EA1262" w14:textId="6038A1A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4" w:history="1">
        <w:r w:rsidRPr="00573A08">
          <w:rPr>
            <w:rStyle w:val="Hipervnculo"/>
            <w:rFonts w:cs="Arial"/>
            <w:b/>
            <w:bCs/>
            <w:noProof/>
          </w:rPr>
          <w:t>Tabla 62. Cifras totales PQRDSF (años anteriores)</w:t>
        </w:r>
        <w:r>
          <w:rPr>
            <w:noProof/>
            <w:webHidden/>
          </w:rPr>
          <w:tab/>
        </w:r>
        <w:r>
          <w:rPr>
            <w:noProof/>
            <w:webHidden/>
          </w:rPr>
          <w:fldChar w:fldCharType="begin"/>
        </w:r>
        <w:r>
          <w:rPr>
            <w:noProof/>
            <w:webHidden/>
          </w:rPr>
          <w:instrText xml:space="preserve"> PAGEREF _Toc88677134 \h </w:instrText>
        </w:r>
        <w:r>
          <w:rPr>
            <w:noProof/>
            <w:webHidden/>
          </w:rPr>
        </w:r>
        <w:r>
          <w:rPr>
            <w:noProof/>
            <w:webHidden/>
          </w:rPr>
          <w:fldChar w:fldCharType="separate"/>
        </w:r>
        <w:r>
          <w:rPr>
            <w:noProof/>
            <w:webHidden/>
          </w:rPr>
          <w:t>265</w:t>
        </w:r>
        <w:r>
          <w:rPr>
            <w:noProof/>
            <w:webHidden/>
          </w:rPr>
          <w:fldChar w:fldCharType="end"/>
        </w:r>
      </w:hyperlink>
    </w:p>
    <w:p w14:paraId="6FD01769" w14:textId="520093F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5" w:history="1">
        <w:r w:rsidRPr="00573A08">
          <w:rPr>
            <w:rStyle w:val="Hipervnculo"/>
            <w:rFonts w:cs="Arial"/>
            <w:b/>
            <w:bCs/>
            <w:noProof/>
          </w:rPr>
          <w:t>Tabla 63. Eventos - IGAC 2021</w:t>
        </w:r>
        <w:r>
          <w:rPr>
            <w:noProof/>
            <w:webHidden/>
          </w:rPr>
          <w:tab/>
        </w:r>
        <w:r>
          <w:rPr>
            <w:noProof/>
            <w:webHidden/>
          </w:rPr>
          <w:fldChar w:fldCharType="begin"/>
        </w:r>
        <w:r>
          <w:rPr>
            <w:noProof/>
            <w:webHidden/>
          </w:rPr>
          <w:instrText xml:space="preserve"> PAGEREF _Toc88677135 \h </w:instrText>
        </w:r>
        <w:r>
          <w:rPr>
            <w:noProof/>
            <w:webHidden/>
          </w:rPr>
        </w:r>
        <w:r>
          <w:rPr>
            <w:noProof/>
            <w:webHidden/>
          </w:rPr>
          <w:fldChar w:fldCharType="separate"/>
        </w:r>
        <w:r>
          <w:rPr>
            <w:noProof/>
            <w:webHidden/>
          </w:rPr>
          <w:t>269</w:t>
        </w:r>
        <w:r>
          <w:rPr>
            <w:noProof/>
            <w:webHidden/>
          </w:rPr>
          <w:fldChar w:fldCharType="end"/>
        </w:r>
      </w:hyperlink>
    </w:p>
    <w:p w14:paraId="1D1F00DF" w14:textId="109A255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6" w:history="1">
        <w:r w:rsidRPr="00573A08">
          <w:rPr>
            <w:rStyle w:val="Hipervnculo"/>
            <w:rFonts w:cs="Arial"/>
            <w:b/>
            <w:noProof/>
          </w:rPr>
          <w:t>Tabla 64. Jornada de Participación 2021</w:t>
        </w:r>
        <w:r>
          <w:rPr>
            <w:noProof/>
            <w:webHidden/>
          </w:rPr>
          <w:tab/>
        </w:r>
        <w:r>
          <w:rPr>
            <w:noProof/>
            <w:webHidden/>
          </w:rPr>
          <w:fldChar w:fldCharType="begin"/>
        </w:r>
        <w:r>
          <w:rPr>
            <w:noProof/>
            <w:webHidden/>
          </w:rPr>
          <w:instrText xml:space="preserve"> PAGEREF _Toc88677136 \h </w:instrText>
        </w:r>
        <w:r>
          <w:rPr>
            <w:noProof/>
            <w:webHidden/>
          </w:rPr>
        </w:r>
        <w:r>
          <w:rPr>
            <w:noProof/>
            <w:webHidden/>
          </w:rPr>
          <w:fldChar w:fldCharType="separate"/>
        </w:r>
        <w:r>
          <w:rPr>
            <w:noProof/>
            <w:webHidden/>
          </w:rPr>
          <w:t>271</w:t>
        </w:r>
        <w:r>
          <w:rPr>
            <w:noProof/>
            <w:webHidden/>
          </w:rPr>
          <w:fldChar w:fldCharType="end"/>
        </w:r>
      </w:hyperlink>
    </w:p>
    <w:p w14:paraId="497129E0" w14:textId="3226E43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7" w:history="1">
        <w:r w:rsidRPr="00573A08">
          <w:rPr>
            <w:rStyle w:val="Hipervnculo"/>
            <w:rFonts w:cs="Arial"/>
            <w:b/>
            <w:bCs/>
            <w:noProof/>
          </w:rPr>
          <w:t xml:space="preserve">Tabla 65. </w:t>
        </w:r>
        <w:r w:rsidRPr="00573A08">
          <w:rPr>
            <w:rStyle w:val="Hipervnculo"/>
            <w:rFonts w:cs="Arial"/>
            <w:b/>
            <w:noProof/>
          </w:rPr>
          <w:t xml:space="preserve">Relación de </w:t>
        </w:r>
        <w:r w:rsidRPr="00573A08">
          <w:rPr>
            <w:rStyle w:val="Hipervnculo"/>
            <w:rFonts w:cs="Arial"/>
            <w:b/>
            <w:bCs/>
            <w:noProof/>
          </w:rPr>
          <w:t>trámites</w:t>
        </w:r>
        <w:r w:rsidRPr="00573A08">
          <w:rPr>
            <w:rStyle w:val="Hipervnculo"/>
            <w:rFonts w:cs="Arial"/>
            <w:b/>
            <w:noProof/>
          </w:rPr>
          <w:t xml:space="preserve"> y </w:t>
        </w:r>
        <w:r w:rsidRPr="00573A08">
          <w:rPr>
            <w:rStyle w:val="Hipervnculo"/>
            <w:rFonts w:cs="Arial"/>
            <w:b/>
            <w:bCs/>
            <w:noProof/>
          </w:rPr>
          <w:t>OPA´S</w:t>
        </w:r>
        <w:r>
          <w:rPr>
            <w:noProof/>
            <w:webHidden/>
          </w:rPr>
          <w:tab/>
        </w:r>
        <w:r>
          <w:rPr>
            <w:noProof/>
            <w:webHidden/>
          </w:rPr>
          <w:fldChar w:fldCharType="begin"/>
        </w:r>
        <w:r>
          <w:rPr>
            <w:noProof/>
            <w:webHidden/>
          </w:rPr>
          <w:instrText xml:space="preserve"> PAGEREF _Toc88677137 \h </w:instrText>
        </w:r>
        <w:r>
          <w:rPr>
            <w:noProof/>
            <w:webHidden/>
          </w:rPr>
        </w:r>
        <w:r>
          <w:rPr>
            <w:noProof/>
            <w:webHidden/>
          </w:rPr>
          <w:fldChar w:fldCharType="separate"/>
        </w:r>
        <w:r>
          <w:rPr>
            <w:noProof/>
            <w:webHidden/>
          </w:rPr>
          <w:t>274</w:t>
        </w:r>
        <w:r>
          <w:rPr>
            <w:noProof/>
            <w:webHidden/>
          </w:rPr>
          <w:fldChar w:fldCharType="end"/>
        </w:r>
      </w:hyperlink>
    </w:p>
    <w:p w14:paraId="15605F6D" w14:textId="0E2DBF6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8" w:history="1">
        <w:r w:rsidRPr="00573A08">
          <w:rPr>
            <w:rStyle w:val="Hipervnculo"/>
            <w:rFonts w:cs="Arial"/>
            <w:b/>
            <w:bCs/>
            <w:noProof/>
          </w:rPr>
          <w:t xml:space="preserve">Tabla 66. </w:t>
        </w:r>
        <w:r w:rsidRPr="00573A08">
          <w:rPr>
            <w:rStyle w:val="Hipervnculo"/>
            <w:rFonts w:cs="Arial"/>
            <w:b/>
            <w:noProof/>
          </w:rPr>
          <w:t>Relación atención Virtual 2021</w:t>
        </w:r>
        <w:r>
          <w:rPr>
            <w:noProof/>
            <w:webHidden/>
          </w:rPr>
          <w:tab/>
        </w:r>
        <w:r>
          <w:rPr>
            <w:noProof/>
            <w:webHidden/>
          </w:rPr>
          <w:fldChar w:fldCharType="begin"/>
        </w:r>
        <w:r>
          <w:rPr>
            <w:noProof/>
            <w:webHidden/>
          </w:rPr>
          <w:instrText xml:space="preserve"> PAGEREF _Toc88677138 \h </w:instrText>
        </w:r>
        <w:r>
          <w:rPr>
            <w:noProof/>
            <w:webHidden/>
          </w:rPr>
        </w:r>
        <w:r>
          <w:rPr>
            <w:noProof/>
            <w:webHidden/>
          </w:rPr>
          <w:fldChar w:fldCharType="separate"/>
        </w:r>
        <w:r>
          <w:rPr>
            <w:noProof/>
            <w:webHidden/>
          </w:rPr>
          <w:t>278</w:t>
        </w:r>
        <w:r>
          <w:rPr>
            <w:noProof/>
            <w:webHidden/>
          </w:rPr>
          <w:fldChar w:fldCharType="end"/>
        </w:r>
      </w:hyperlink>
    </w:p>
    <w:p w14:paraId="2D39A567" w14:textId="11E6247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39" w:history="1">
        <w:r w:rsidRPr="00573A08">
          <w:rPr>
            <w:rStyle w:val="Hipervnculo"/>
            <w:rFonts w:cs="Arial"/>
            <w:b/>
            <w:bCs/>
            <w:noProof/>
          </w:rPr>
          <w:t>Tabla 67. Relación atención mediante correo electrónico 2021</w:t>
        </w:r>
        <w:r>
          <w:rPr>
            <w:noProof/>
            <w:webHidden/>
          </w:rPr>
          <w:tab/>
        </w:r>
        <w:r>
          <w:rPr>
            <w:noProof/>
            <w:webHidden/>
          </w:rPr>
          <w:fldChar w:fldCharType="begin"/>
        </w:r>
        <w:r>
          <w:rPr>
            <w:noProof/>
            <w:webHidden/>
          </w:rPr>
          <w:instrText xml:space="preserve"> PAGEREF _Toc88677139 \h </w:instrText>
        </w:r>
        <w:r>
          <w:rPr>
            <w:noProof/>
            <w:webHidden/>
          </w:rPr>
        </w:r>
        <w:r>
          <w:rPr>
            <w:noProof/>
            <w:webHidden/>
          </w:rPr>
          <w:fldChar w:fldCharType="separate"/>
        </w:r>
        <w:r>
          <w:rPr>
            <w:noProof/>
            <w:webHidden/>
          </w:rPr>
          <w:t>278</w:t>
        </w:r>
        <w:r>
          <w:rPr>
            <w:noProof/>
            <w:webHidden/>
          </w:rPr>
          <w:fldChar w:fldCharType="end"/>
        </w:r>
      </w:hyperlink>
    </w:p>
    <w:p w14:paraId="178B1ADD" w14:textId="563582C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0" w:history="1">
        <w:r w:rsidRPr="00573A08">
          <w:rPr>
            <w:rStyle w:val="Hipervnculo"/>
            <w:b/>
            <w:bCs/>
            <w:noProof/>
          </w:rPr>
          <w:t>Tabla 68. Relación PQRSD recibidas página web – SIGAC 2021</w:t>
        </w:r>
        <w:r>
          <w:rPr>
            <w:noProof/>
            <w:webHidden/>
          </w:rPr>
          <w:tab/>
        </w:r>
        <w:r>
          <w:rPr>
            <w:noProof/>
            <w:webHidden/>
          </w:rPr>
          <w:fldChar w:fldCharType="begin"/>
        </w:r>
        <w:r>
          <w:rPr>
            <w:noProof/>
            <w:webHidden/>
          </w:rPr>
          <w:instrText xml:space="preserve"> PAGEREF _Toc88677140 \h </w:instrText>
        </w:r>
        <w:r>
          <w:rPr>
            <w:noProof/>
            <w:webHidden/>
          </w:rPr>
        </w:r>
        <w:r>
          <w:rPr>
            <w:noProof/>
            <w:webHidden/>
          </w:rPr>
          <w:fldChar w:fldCharType="separate"/>
        </w:r>
        <w:r>
          <w:rPr>
            <w:noProof/>
            <w:webHidden/>
          </w:rPr>
          <w:t>278</w:t>
        </w:r>
        <w:r>
          <w:rPr>
            <w:noProof/>
            <w:webHidden/>
          </w:rPr>
          <w:fldChar w:fldCharType="end"/>
        </w:r>
      </w:hyperlink>
    </w:p>
    <w:p w14:paraId="4E925DD6" w14:textId="63B33A4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1" w:history="1">
        <w:r w:rsidRPr="00573A08">
          <w:rPr>
            <w:rStyle w:val="Hipervnculo"/>
            <w:rFonts w:cs="Arial"/>
            <w:b/>
            <w:bCs/>
            <w:noProof/>
          </w:rPr>
          <w:t>Tabla 69. Relación de interacción ciudadana mediante redes sociales 2021</w:t>
        </w:r>
        <w:r>
          <w:rPr>
            <w:noProof/>
            <w:webHidden/>
          </w:rPr>
          <w:tab/>
        </w:r>
        <w:r>
          <w:rPr>
            <w:noProof/>
            <w:webHidden/>
          </w:rPr>
          <w:fldChar w:fldCharType="begin"/>
        </w:r>
        <w:r>
          <w:rPr>
            <w:noProof/>
            <w:webHidden/>
          </w:rPr>
          <w:instrText xml:space="preserve"> PAGEREF _Toc88677141 \h </w:instrText>
        </w:r>
        <w:r>
          <w:rPr>
            <w:noProof/>
            <w:webHidden/>
          </w:rPr>
        </w:r>
        <w:r>
          <w:rPr>
            <w:noProof/>
            <w:webHidden/>
          </w:rPr>
          <w:fldChar w:fldCharType="separate"/>
        </w:r>
        <w:r>
          <w:rPr>
            <w:noProof/>
            <w:webHidden/>
          </w:rPr>
          <w:t>279</w:t>
        </w:r>
        <w:r>
          <w:rPr>
            <w:noProof/>
            <w:webHidden/>
          </w:rPr>
          <w:fldChar w:fldCharType="end"/>
        </w:r>
      </w:hyperlink>
    </w:p>
    <w:p w14:paraId="6026B481" w14:textId="3E1031D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2" w:history="1">
        <w:r w:rsidRPr="00573A08">
          <w:rPr>
            <w:rStyle w:val="Hipervnculo"/>
            <w:rFonts w:cs="Arial"/>
            <w:b/>
            <w:bCs/>
            <w:noProof/>
          </w:rPr>
          <w:t>Tabla 70. Relación de atención presencial del Instituto 2021</w:t>
        </w:r>
        <w:r>
          <w:rPr>
            <w:noProof/>
            <w:webHidden/>
          </w:rPr>
          <w:tab/>
        </w:r>
        <w:r>
          <w:rPr>
            <w:noProof/>
            <w:webHidden/>
          </w:rPr>
          <w:fldChar w:fldCharType="begin"/>
        </w:r>
        <w:r>
          <w:rPr>
            <w:noProof/>
            <w:webHidden/>
          </w:rPr>
          <w:instrText xml:space="preserve"> PAGEREF _Toc88677142 \h </w:instrText>
        </w:r>
        <w:r>
          <w:rPr>
            <w:noProof/>
            <w:webHidden/>
          </w:rPr>
        </w:r>
        <w:r>
          <w:rPr>
            <w:noProof/>
            <w:webHidden/>
          </w:rPr>
          <w:fldChar w:fldCharType="separate"/>
        </w:r>
        <w:r>
          <w:rPr>
            <w:noProof/>
            <w:webHidden/>
          </w:rPr>
          <w:t>279</w:t>
        </w:r>
        <w:r>
          <w:rPr>
            <w:noProof/>
            <w:webHidden/>
          </w:rPr>
          <w:fldChar w:fldCharType="end"/>
        </w:r>
      </w:hyperlink>
    </w:p>
    <w:p w14:paraId="47E7A9EE" w14:textId="4307E7A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3" w:history="1">
        <w:r w:rsidRPr="00573A08">
          <w:rPr>
            <w:rStyle w:val="Hipervnculo"/>
            <w:rFonts w:cs="Arial"/>
            <w:b/>
            <w:bCs/>
            <w:noProof/>
          </w:rPr>
          <w:t>Tabla 71. Trámites adelantados 2021</w:t>
        </w:r>
        <w:r>
          <w:rPr>
            <w:noProof/>
            <w:webHidden/>
          </w:rPr>
          <w:tab/>
        </w:r>
        <w:r>
          <w:rPr>
            <w:noProof/>
            <w:webHidden/>
          </w:rPr>
          <w:fldChar w:fldCharType="begin"/>
        </w:r>
        <w:r>
          <w:rPr>
            <w:noProof/>
            <w:webHidden/>
          </w:rPr>
          <w:instrText xml:space="preserve"> PAGEREF _Toc88677143 \h </w:instrText>
        </w:r>
        <w:r>
          <w:rPr>
            <w:noProof/>
            <w:webHidden/>
          </w:rPr>
        </w:r>
        <w:r>
          <w:rPr>
            <w:noProof/>
            <w:webHidden/>
          </w:rPr>
          <w:fldChar w:fldCharType="separate"/>
        </w:r>
        <w:r>
          <w:rPr>
            <w:noProof/>
            <w:webHidden/>
          </w:rPr>
          <w:t>288</w:t>
        </w:r>
        <w:r>
          <w:rPr>
            <w:noProof/>
            <w:webHidden/>
          </w:rPr>
          <w:fldChar w:fldCharType="end"/>
        </w:r>
      </w:hyperlink>
    </w:p>
    <w:p w14:paraId="1D6EECF9" w14:textId="7A815A1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4" w:history="1">
        <w:r w:rsidRPr="00573A08">
          <w:rPr>
            <w:rStyle w:val="Hipervnculo"/>
            <w:rFonts w:cs="Arial"/>
            <w:b/>
            <w:noProof/>
          </w:rPr>
          <w:t>Tabla 75. Estado documentación IGAC</w:t>
        </w:r>
        <w:r>
          <w:rPr>
            <w:noProof/>
            <w:webHidden/>
          </w:rPr>
          <w:tab/>
        </w:r>
        <w:r>
          <w:rPr>
            <w:noProof/>
            <w:webHidden/>
          </w:rPr>
          <w:fldChar w:fldCharType="begin"/>
        </w:r>
        <w:r>
          <w:rPr>
            <w:noProof/>
            <w:webHidden/>
          </w:rPr>
          <w:instrText xml:space="preserve"> PAGEREF _Toc88677144 \h </w:instrText>
        </w:r>
        <w:r>
          <w:rPr>
            <w:noProof/>
            <w:webHidden/>
          </w:rPr>
        </w:r>
        <w:r>
          <w:rPr>
            <w:noProof/>
            <w:webHidden/>
          </w:rPr>
          <w:fldChar w:fldCharType="separate"/>
        </w:r>
        <w:r>
          <w:rPr>
            <w:noProof/>
            <w:webHidden/>
          </w:rPr>
          <w:t>303</w:t>
        </w:r>
        <w:r>
          <w:rPr>
            <w:noProof/>
            <w:webHidden/>
          </w:rPr>
          <w:fldChar w:fldCharType="end"/>
        </w:r>
      </w:hyperlink>
    </w:p>
    <w:p w14:paraId="4385DA4F" w14:textId="2063BC4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5" w:history="1">
        <w:r w:rsidRPr="00573A08">
          <w:rPr>
            <w:rStyle w:val="Hipervnculo"/>
            <w:rFonts w:cs="Arial"/>
            <w:b/>
            <w:noProof/>
          </w:rPr>
          <w:t>Tabla 76. Cumplimiento actividades del plan trabajo ambiental</w:t>
        </w:r>
        <w:r>
          <w:rPr>
            <w:noProof/>
            <w:webHidden/>
          </w:rPr>
          <w:tab/>
        </w:r>
        <w:r>
          <w:rPr>
            <w:noProof/>
            <w:webHidden/>
          </w:rPr>
          <w:fldChar w:fldCharType="begin"/>
        </w:r>
        <w:r>
          <w:rPr>
            <w:noProof/>
            <w:webHidden/>
          </w:rPr>
          <w:instrText xml:space="preserve"> PAGEREF _Toc88677145 \h </w:instrText>
        </w:r>
        <w:r>
          <w:rPr>
            <w:noProof/>
            <w:webHidden/>
          </w:rPr>
        </w:r>
        <w:r>
          <w:rPr>
            <w:noProof/>
            <w:webHidden/>
          </w:rPr>
          <w:fldChar w:fldCharType="separate"/>
        </w:r>
        <w:r>
          <w:rPr>
            <w:noProof/>
            <w:webHidden/>
          </w:rPr>
          <w:t>307</w:t>
        </w:r>
        <w:r>
          <w:rPr>
            <w:noProof/>
            <w:webHidden/>
          </w:rPr>
          <w:fldChar w:fldCharType="end"/>
        </w:r>
      </w:hyperlink>
    </w:p>
    <w:p w14:paraId="0114D7FA" w14:textId="5A52A23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6" w:history="1">
        <w:r w:rsidRPr="00573A08">
          <w:rPr>
            <w:rStyle w:val="Hipervnculo"/>
            <w:rFonts w:cs="Arial"/>
            <w:b/>
            <w:noProof/>
          </w:rPr>
          <w:t>Tabla 77. Actividades gestión ambiental</w:t>
        </w:r>
        <w:r>
          <w:rPr>
            <w:noProof/>
            <w:webHidden/>
          </w:rPr>
          <w:tab/>
        </w:r>
        <w:r>
          <w:rPr>
            <w:noProof/>
            <w:webHidden/>
          </w:rPr>
          <w:fldChar w:fldCharType="begin"/>
        </w:r>
        <w:r>
          <w:rPr>
            <w:noProof/>
            <w:webHidden/>
          </w:rPr>
          <w:instrText xml:space="preserve"> PAGEREF _Toc88677146 \h </w:instrText>
        </w:r>
        <w:r>
          <w:rPr>
            <w:noProof/>
            <w:webHidden/>
          </w:rPr>
        </w:r>
        <w:r>
          <w:rPr>
            <w:noProof/>
            <w:webHidden/>
          </w:rPr>
          <w:fldChar w:fldCharType="separate"/>
        </w:r>
        <w:r>
          <w:rPr>
            <w:noProof/>
            <w:webHidden/>
          </w:rPr>
          <w:t>308</w:t>
        </w:r>
        <w:r>
          <w:rPr>
            <w:noProof/>
            <w:webHidden/>
          </w:rPr>
          <w:fldChar w:fldCharType="end"/>
        </w:r>
      </w:hyperlink>
    </w:p>
    <w:p w14:paraId="17AE4C0B" w14:textId="2DF0D84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7" w:history="1">
        <w:r w:rsidRPr="00573A08">
          <w:rPr>
            <w:rStyle w:val="Hipervnculo"/>
            <w:rFonts w:cs="Arial"/>
            <w:b/>
            <w:noProof/>
          </w:rPr>
          <w:t>Tabla 78. Medios nacionales más relevantes</w:t>
        </w:r>
        <w:r>
          <w:rPr>
            <w:noProof/>
            <w:webHidden/>
          </w:rPr>
          <w:tab/>
        </w:r>
        <w:r>
          <w:rPr>
            <w:noProof/>
            <w:webHidden/>
          </w:rPr>
          <w:fldChar w:fldCharType="begin"/>
        </w:r>
        <w:r>
          <w:rPr>
            <w:noProof/>
            <w:webHidden/>
          </w:rPr>
          <w:instrText xml:space="preserve"> PAGEREF _Toc88677147 \h </w:instrText>
        </w:r>
        <w:r>
          <w:rPr>
            <w:noProof/>
            <w:webHidden/>
          </w:rPr>
        </w:r>
        <w:r>
          <w:rPr>
            <w:noProof/>
            <w:webHidden/>
          </w:rPr>
          <w:fldChar w:fldCharType="separate"/>
        </w:r>
        <w:r>
          <w:rPr>
            <w:noProof/>
            <w:webHidden/>
          </w:rPr>
          <w:t>338</w:t>
        </w:r>
        <w:r>
          <w:rPr>
            <w:noProof/>
            <w:webHidden/>
          </w:rPr>
          <w:fldChar w:fldCharType="end"/>
        </w:r>
      </w:hyperlink>
    </w:p>
    <w:p w14:paraId="14A7FAA5" w14:textId="49451EC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8" w:history="1">
        <w:r w:rsidRPr="00573A08">
          <w:rPr>
            <w:rStyle w:val="Hipervnculo"/>
            <w:rFonts w:cs="Arial"/>
            <w:b/>
            <w:noProof/>
          </w:rPr>
          <w:t>Tabla 79. Medios regionales más relevantes</w:t>
        </w:r>
        <w:r>
          <w:rPr>
            <w:noProof/>
            <w:webHidden/>
          </w:rPr>
          <w:tab/>
        </w:r>
        <w:r>
          <w:rPr>
            <w:noProof/>
            <w:webHidden/>
          </w:rPr>
          <w:fldChar w:fldCharType="begin"/>
        </w:r>
        <w:r>
          <w:rPr>
            <w:noProof/>
            <w:webHidden/>
          </w:rPr>
          <w:instrText xml:space="preserve"> PAGEREF _Toc88677148 \h </w:instrText>
        </w:r>
        <w:r>
          <w:rPr>
            <w:noProof/>
            <w:webHidden/>
          </w:rPr>
        </w:r>
        <w:r>
          <w:rPr>
            <w:noProof/>
            <w:webHidden/>
          </w:rPr>
          <w:fldChar w:fldCharType="separate"/>
        </w:r>
        <w:r>
          <w:rPr>
            <w:noProof/>
            <w:webHidden/>
          </w:rPr>
          <w:t>338</w:t>
        </w:r>
        <w:r>
          <w:rPr>
            <w:noProof/>
            <w:webHidden/>
          </w:rPr>
          <w:fldChar w:fldCharType="end"/>
        </w:r>
      </w:hyperlink>
    </w:p>
    <w:p w14:paraId="0B475736" w14:textId="20D0E196"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49" w:history="1">
        <w:r w:rsidRPr="00573A08">
          <w:rPr>
            <w:rStyle w:val="Hipervnculo"/>
            <w:rFonts w:cs="Arial"/>
            <w:b/>
            <w:noProof/>
          </w:rPr>
          <w:t>Tabla 80. Ejecución presupuestal IGAC</w:t>
        </w:r>
        <w:r>
          <w:rPr>
            <w:noProof/>
            <w:webHidden/>
          </w:rPr>
          <w:tab/>
        </w:r>
        <w:r>
          <w:rPr>
            <w:noProof/>
            <w:webHidden/>
          </w:rPr>
          <w:fldChar w:fldCharType="begin"/>
        </w:r>
        <w:r>
          <w:rPr>
            <w:noProof/>
            <w:webHidden/>
          </w:rPr>
          <w:instrText xml:space="preserve"> PAGEREF _Toc88677149 \h </w:instrText>
        </w:r>
        <w:r>
          <w:rPr>
            <w:noProof/>
            <w:webHidden/>
          </w:rPr>
        </w:r>
        <w:r>
          <w:rPr>
            <w:noProof/>
            <w:webHidden/>
          </w:rPr>
          <w:fldChar w:fldCharType="separate"/>
        </w:r>
        <w:r>
          <w:rPr>
            <w:noProof/>
            <w:webHidden/>
          </w:rPr>
          <w:t>343</w:t>
        </w:r>
        <w:r>
          <w:rPr>
            <w:noProof/>
            <w:webHidden/>
          </w:rPr>
          <w:fldChar w:fldCharType="end"/>
        </w:r>
      </w:hyperlink>
    </w:p>
    <w:p w14:paraId="4AE9647B" w14:textId="65B451D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0" w:history="1">
        <w:r w:rsidRPr="00573A08">
          <w:rPr>
            <w:rStyle w:val="Hipervnculo"/>
            <w:rFonts w:cs="Arial"/>
            <w:b/>
            <w:noProof/>
          </w:rPr>
          <w:t>Tabla 81. Ejecución presupuestal proyectos de inversión</w:t>
        </w:r>
        <w:r>
          <w:rPr>
            <w:noProof/>
            <w:webHidden/>
          </w:rPr>
          <w:tab/>
        </w:r>
        <w:r>
          <w:rPr>
            <w:noProof/>
            <w:webHidden/>
          </w:rPr>
          <w:fldChar w:fldCharType="begin"/>
        </w:r>
        <w:r>
          <w:rPr>
            <w:noProof/>
            <w:webHidden/>
          </w:rPr>
          <w:instrText xml:space="preserve"> PAGEREF _Toc88677150 \h </w:instrText>
        </w:r>
        <w:r>
          <w:rPr>
            <w:noProof/>
            <w:webHidden/>
          </w:rPr>
        </w:r>
        <w:r>
          <w:rPr>
            <w:noProof/>
            <w:webHidden/>
          </w:rPr>
          <w:fldChar w:fldCharType="separate"/>
        </w:r>
        <w:r>
          <w:rPr>
            <w:noProof/>
            <w:webHidden/>
          </w:rPr>
          <w:t>343</w:t>
        </w:r>
        <w:r>
          <w:rPr>
            <w:noProof/>
            <w:webHidden/>
          </w:rPr>
          <w:fldChar w:fldCharType="end"/>
        </w:r>
      </w:hyperlink>
    </w:p>
    <w:p w14:paraId="76C0AB2B" w14:textId="2CC1C15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1" w:history="1">
        <w:r w:rsidRPr="00573A08">
          <w:rPr>
            <w:rStyle w:val="Hipervnculo"/>
            <w:rFonts w:cs="Arial"/>
            <w:b/>
            <w:noProof/>
          </w:rPr>
          <w:t>Tabla 82. Ingresos del IGAC por concepto</w:t>
        </w:r>
        <w:r>
          <w:rPr>
            <w:noProof/>
            <w:webHidden/>
          </w:rPr>
          <w:tab/>
        </w:r>
        <w:r>
          <w:rPr>
            <w:noProof/>
            <w:webHidden/>
          </w:rPr>
          <w:fldChar w:fldCharType="begin"/>
        </w:r>
        <w:r>
          <w:rPr>
            <w:noProof/>
            <w:webHidden/>
          </w:rPr>
          <w:instrText xml:space="preserve"> PAGEREF _Toc88677151 \h </w:instrText>
        </w:r>
        <w:r>
          <w:rPr>
            <w:noProof/>
            <w:webHidden/>
          </w:rPr>
        </w:r>
        <w:r>
          <w:rPr>
            <w:noProof/>
            <w:webHidden/>
          </w:rPr>
          <w:fldChar w:fldCharType="separate"/>
        </w:r>
        <w:r>
          <w:rPr>
            <w:noProof/>
            <w:webHidden/>
          </w:rPr>
          <w:t>344</w:t>
        </w:r>
        <w:r>
          <w:rPr>
            <w:noProof/>
            <w:webHidden/>
          </w:rPr>
          <w:fldChar w:fldCharType="end"/>
        </w:r>
      </w:hyperlink>
    </w:p>
    <w:p w14:paraId="5873891B" w14:textId="6DD7981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2" w:history="1">
        <w:r w:rsidRPr="00573A08">
          <w:rPr>
            <w:rStyle w:val="Hipervnculo"/>
            <w:rFonts w:cs="Arial"/>
            <w:b/>
            <w:noProof/>
          </w:rPr>
          <w:t>Tabla 83.Proyección de contratos en ejecución y/o con saldo</w:t>
        </w:r>
        <w:r>
          <w:rPr>
            <w:noProof/>
            <w:webHidden/>
          </w:rPr>
          <w:tab/>
        </w:r>
        <w:r>
          <w:rPr>
            <w:noProof/>
            <w:webHidden/>
          </w:rPr>
          <w:fldChar w:fldCharType="begin"/>
        </w:r>
        <w:r>
          <w:rPr>
            <w:noProof/>
            <w:webHidden/>
          </w:rPr>
          <w:instrText xml:space="preserve"> PAGEREF _Toc88677152 \h </w:instrText>
        </w:r>
        <w:r>
          <w:rPr>
            <w:noProof/>
            <w:webHidden/>
          </w:rPr>
        </w:r>
        <w:r>
          <w:rPr>
            <w:noProof/>
            <w:webHidden/>
          </w:rPr>
          <w:fldChar w:fldCharType="separate"/>
        </w:r>
        <w:r>
          <w:rPr>
            <w:noProof/>
            <w:webHidden/>
          </w:rPr>
          <w:t>346</w:t>
        </w:r>
        <w:r>
          <w:rPr>
            <w:noProof/>
            <w:webHidden/>
          </w:rPr>
          <w:fldChar w:fldCharType="end"/>
        </w:r>
      </w:hyperlink>
    </w:p>
    <w:p w14:paraId="635FADA5" w14:textId="632149BE"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3" w:history="1">
        <w:r w:rsidRPr="00573A08">
          <w:rPr>
            <w:rStyle w:val="Hipervnculo"/>
            <w:rFonts w:cs="Arial"/>
            <w:b/>
            <w:noProof/>
          </w:rPr>
          <w:t>Tabla 84. Cuota presupuestal de inversión 2022</w:t>
        </w:r>
        <w:r>
          <w:rPr>
            <w:noProof/>
            <w:webHidden/>
          </w:rPr>
          <w:tab/>
        </w:r>
        <w:r>
          <w:rPr>
            <w:noProof/>
            <w:webHidden/>
          </w:rPr>
          <w:fldChar w:fldCharType="begin"/>
        </w:r>
        <w:r>
          <w:rPr>
            <w:noProof/>
            <w:webHidden/>
          </w:rPr>
          <w:instrText xml:space="preserve"> PAGEREF _Toc88677153 \h </w:instrText>
        </w:r>
        <w:r>
          <w:rPr>
            <w:noProof/>
            <w:webHidden/>
          </w:rPr>
        </w:r>
        <w:r>
          <w:rPr>
            <w:noProof/>
            <w:webHidden/>
          </w:rPr>
          <w:fldChar w:fldCharType="separate"/>
        </w:r>
        <w:r>
          <w:rPr>
            <w:noProof/>
            <w:webHidden/>
          </w:rPr>
          <w:t>348</w:t>
        </w:r>
        <w:r>
          <w:rPr>
            <w:noProof/>
            <w:webHidden/>
          </w:rPr>
          <w:fldChar w:fldCharType="end"/>
        </w:r>
      </w:hyperlink>
    </w:p>
    <w:p w14:paraId="68956ECD" w14:textId="12E514B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4" w:history="1">
        <w:r w:rsidRPr="00573A08">
          <w:rPr>
            <w:rStyle w:val="Hipervnculo"/>
            <w:rFonts w:cs="Arial"/>
            <w:b/>
            <w:noProof/>
          </w:rPr>
          <w:t>Tabla 85. Proyectos de inversión 2022</w:t>
        </w:r>
        <w:r>
          <w:rPr>
            <w:noProof/>
            <w:webHidden/>
          </w:rPr>
          <w:tab/>
        </w:r>
        <w:r>
          <w:rPr>
            <w:noProof/>
            <w:webHidden/>
          </w:rPr>
          <w:fldChar w:fldCharType="begin"/>
        </w:r>
        <w:r>
          <w:rPr>
            <w:noProof/>
            <w:webHidden/>
          </w:rPr>
          <w:instrText xml:space="preserve"> PAGEREF _Toc88677154 \h </w:instrText>
        </w:r>
        <w:r>
          <w:rPr>
            <w:noProof/>
            <w:webHidden/>
          </w:rPr>
        </w:r>
        <w:r>
          <w:rPr>
            <w:noProof/>
            <w:webHidden/>
          </w:rPr>
          <w:fldChar w:fldCharType="separate"/>
        </w:r>
        <w:r>
          <w:rPr>
            <w:noProof/>
            <w:webHidden/>
          </w:rPr>
          <w:t>349</w:t>
        </w:r>
        <w:r>
          <w:rPr>
            <w:noProof/>
            <w:webHidden/>
          </w:rPr>
          <w:fldChar w:fldCharType="end"/>
        </w:r>
      </w:hyperlink>
    </w:p>
    <w:p w14:paraId="47C8A2D6" w14:textId="6B438A3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5" w:history="1">
        <w:r w:rsidRPr="00573A08">
          <w:rPr>
            <w:rStyle w:val="Hipervnculo"/>
            <w:rFonts w:cs="Arial"/>
            <w:b/>
            <w:noProof/>
          </w:rPr>
          <w:t>Tabla 86. Vigencias futuras</w:t>
        </w:r>
        <w:r>
          <w:rPr>
            <w:noProof/>
            <w:webHidden/>
          </w:rPr>
          <w:tab/>
        </w:r>
        <w:r>
          <w:rPr>
            <w:noProof/>
            <w:webHidden/>
          </w:rPr>
          <w:fldChar w:fldCharType="begin"/>
        </w:r>
        <w:r>
          <w:rPr>
            <w:noProof/>
            <w:webHidden/>
          </w:rPr>
          <w:instrText xml:space="preserve"> PAGEREF _Toc88677155 \h </w:instrText>
        </w:r>
        <w:r>
          <w:rPr>
            <w:noProof/>
            <w:webHidden/>
          </w:rPr>
        </w:r>
        <w:r>
          <w:rPr>
            <w:noProof/>
            <w:webHidden/>
          </w:rPr>
          <w:fldChar w:fldCharType="separate"/>
        </w:r>
        <w:r>
          <w:rPr>
            <w:noProof/>
            <w:webHidden/>
          </w:rPr>
          <w:t>350</w:t>
        </w:r>
        <w:r>
          <w:rPr>
            <w:noProof/>
            <w:webHidden/>
          </w:rPr>
          <w:fldChar w:fldCharType="end"/>
        </w:r>
      </w:hyperlink>
    </w:p>
    <w:p w14:paraId="771BC8F3" w14:textId="55BDB3A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6" w:history="1">
        <w:r w:rsidRPr="00573A08">
          <w:rPr>
            <w:rStyle w:val="Hipervnculo"/>
            <w:rFonts w:cs="Arial"/>
            <w:b/>
            <w:noProof/>
          </w:rPr>
          <w:t>Tabla 87. Detalle contratación IGAC</w:t>
        </w:r>
        <w:r>
          <w:rPr>
            <w:noProof/>
            <w:webHidden/>
          </w:rPr>
          <w:tab/>
        </w:r>
        <w:r>
          <w:rPr>
            <w:noProof/>
            <w:webHidden/>
          </w:rPr>
          <w:fldChar w:fldCharType="begin"/>
        </w:r>
        <w:r>
          <w:rPr>
            <w:noProof/>
            <w:webHidden/>
          </w:rPr>
          <w:instrText xml:space="preserve"> PAGEREF _Toc88677156 \h </w:instrText>
        </w:r>
        <w:r>
          <w:rPr>
            <w:noProof/>
            <w:webHidden/>
          </w:rPr>
        </w:r>
        <w:r>
          <w:rPr>
            <w:noProof/>
            <w:webHidden/>
          </w:rPr>
          <w:fldChar w:fldCharType="separate"/>
        </w:r>
        <w:r>
          <w:rPr>
            <w:noProof/>
            <w:webHidden/>
          </w:rPr>
          <w:t>351</w:t>
        </w:r>
        <w:r>
          <w:rPr>
            <w:noProof/>
            <w:webHidden/>
          </w:rPr>
          <w:fldChar w:fldCharType="end"/>
        </w:r>
      </w:hyperlink>
    </w:p>
    <w:p w14:paraId="471A3950" w14:textId="132671D9" w:rsidR="00C01219" w:rsidRDefault="00912343" w:rsidP="00C72779">
      <w:pPr>
        <w:rPr>
          <w:sz w:val="20"/>
          <w:szCs w:val="20"/>
        </w:rPr>
      </w:pPr>
      <w:r>
        <w:rPr>
          <w:sz w:val="20"/>
          <w:szCs w:val="20"/>
        </w:rPr>
        <w:fldChar w:fldCharType="end"/>
      </w:r>
    </w:p>
    <w:p w14:paraId="48DF5BB8" w14:textId="65FDE8EB" w:rsidR="00C01219" w:rsidRPr="00912343" w:rsidRDefault="000D4401" w:rsidP="00CF1544">
      <w:pPr>
        <w:jc w:val="center"/>
        <w:rPr>
          <w:rFonts w:cs="Arial"/>
          <w:b/>
          <w:bCs/>
        </w:rPr>
      </w:pPr>
      <w:r w:rsidRPr="00912343">
        <w:rPr>
          <w:rFonts w:cs="Arial"/>
          <w:b/>
          <w:bCs/>
        </w:rPr>
        <w:t>LISTA DE ILUSTRACIONES</w:t>
      </w:r>
    </w:p>
    <w:p w14:paraId="3DE7A041" w14:textId="77777777" w:rsidR="00275856" w:rsidRPr="00912343" w:rsidRDefault="00275856" w:rsidP="00C72779">
      <w:pPr>
        <w:rPr>
          <w:rFonts w:cs="Arial"/>
        </w:rPr>
      </w:pPr>
    </w:p>
    <w:bookmarkStart w:id="1" w:name="_GoBack"/>
    <w:bookmarkEnd w:id="1"/>
    <w:p w14:paraId="4FE64FC1" w14:textId="324643D8" w:rsidR="00521FCF" w:rsidRDefault="00026DB6">
      <w:pPr>
        <w:pStyle w:val="Tabladeilustraciones"/>
        <w:tabs>
          <w:tab w:val="right" w:leader="dot" w:pos="9350"/>
        </w:tabs>
        <w:rPr>
          <w:rFonts w:asciiTheme="minorHAnsi" w:eastAsiaTheme="minorEastAsia" w:hAnsiTheme="minorHAnsi" w:cstheme="minorBidi"/>
          <w:noProof/>
          <w:sz w:val="22"/>
          <w:szCs w:val="22"/>
          <w:lang w:val="es-CO" w:eastAsia="es-CO"/>
        </w:rPr>
      </w:pPr>
      <w:r w:rsidRPr="00912343">
        <w:rPr>
          <w:rFonts w:cs="Arial"/>
        </w:rPr>
        <w:fldChar w:fldCharType="begin"/>
      </w:r>
      <w:r w:rsidRPr="00912343">
        <w:rPr>
          <w:rFonts w:cs="Arial"/>
        </w:rPr>
        <w:instrText xml:space="preserve"> TOC \h \z \c "Ilustración" </w:instrText>
      </w:r>
      <w:r w:rsidRPr="00912343">
        <w:rPr>
          <w:rFonts w:cs="Arial"/>
        </w:rPr>
        <w:fldChar w:fldCharType="separate"/>
      </w:r>
      <w:hyperlink w:anchor="_Toc88677157" w:history="1">
        <w:r w:rsidR="00521FCF" w:rsidRPr="0025069E">
          <w:rPr>
            <w:rStyle w:val="Hipervnculo"/>
            <w:rFonts w:cs="Arial"/>
            <w:b/>
            <w:noProof/>
          </w:rPr>
          <w:t>Ilustración 1: Organigrama IGAC</w:t>
        </w:r>
        <w:r w:rsidR="00521FCF">
          <w:rPr>
            <w:noProof/>
            <w:webHidden/>
          </w:rPr>
          <w:tab/>
        </w:r>
        <w:r w:rsidR="00521FCF">
          <w:rPr>
            <w:noProof/>
            <w:webHidden/>
          </w:rPr>
          <w:fldChar w:fldCharType="begin"/>
        </w:r>
        <w:r w:rsidR="00521FCF">
          <w:rPr>
            <w:noProof/>
            <w:webHidden/>
          </w:rPr>
          <w:instrText xml:space="preserve"> PAGEREF _Toc88677157 \h </w:instrText>
        </w:r>
        <w:r w:rsidR="00521FCF">
          <w:rPr>
            <w:noProof/>
            <w:webHidden/>
          </w:rPr>
        </w:r>
        <w:r w:rsidR="00521FCF">
          <w:rPr>
            <w:noProof/>
            <w:webHidden/>
          </w:rPr>
          <w:fldChar w:fldCharType="separate"/>
        </w:r>
        <w:r w:rsidR="00521FCF">
          <w:rPr>
            <w:noProof/>
            <w:webHidden/>
          </w:rPr>
          <w:t>9</w:t>
        </w:r>
        <w:r w:rsidR="00521FCF">
          <w:rPr>
            <w:noProof/>
            <w:webHidden/>
          </w:rPr>
          <w:fldChar w:fldCharType="end"/>
        </w:r>
      </w:hyperlink>
    </w:p>
    <w:p w14:paraId="518E7D86" w14:textId="3FF4A52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8" w:history="1">
        <w:r w:rsidRPr="0025069E">
          <w:rPr>
            <w:rStyle w:val="Hipervnculo"/>
            <w:rFonts w:cs="Arial"/>
            <w:b/>
            <w:noProof/>
          </w:rPr>
          <w:t>Ilustración 2. Mapa de Procesos IGAC</w:t>
        </w:r>
        <w:r>
          <w:rPr>
            <w:noProof/>
            <w:webHidden/>
          </w:rPr>
          <w:tab/>
        </w:r>
        <w:r>
          <w:rPr>
            <w:noProof/>
            <w:webHidden/>
          </w:rPr>
          <w:fldChar w:fldCharType="begin"/>
        </w:r>
        <w:r>
          <w:rPr>
            <w:noProof/>
            <w:webHidden/>
          </w:rPr>
          <w:instrText xml:space="preserve"> PAGEREF _Toc88677158 \h </w:instrText>
        </w:r>
        <w:r>
          <w:rPr>
            <w:noProof/>
            <w:webHidden/>
          </w:rPr>
        </w:r>
        <w:r>
          <w:rPr>
            <w:noProof/>
            <w:webHidden/>
          </w:rPr>
          <w:fldChar w:fldCharType="separate"/>
        </w:r>
        <w:r>
          <w:rPr>
            <w:noProof/>
            <w:webHidden/>
          </w:rPr>
          <w:t>22</w:t>
        </w:r>
        <w:r>
          <w:rPr>
            <w:noProof/>
            <w:webHidden/>
          </w:rPr>
          <w:fldChar w:fldCharType="end"/>
        </w:r>
      </w:hyperlink>
    </w:p>
    <w:p w14:paraId="6272526C" w14:textId="7959757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59" w:history="1">
        <w:r w:rsidRPr="0025069E">
          <w:rPr>
            <w:rStyle w:val="Hipervnculo"/>
            <w:rFonts w:cs="Arial"/>
            <w:b/>
            <w:bCs/>
            <w:noProof/>
          </w:rPr>
          <w:t>Ilustración 3. Estructura Funcional Dirección de Gestión Catastral</w:t>
        </w:r>
        <w:r>
          <w:rPr>
            <w:noProof/>
            <w:webHidden/>
          </w:rPr>
          <w:tab/>
        </w:r>
        <w:r>
          <w:rPr>
            <w:noProof/>
            <w:webHidden/>
          </w:rPr>
          <w:fldChar w:fldCharType="begin"/>
        </w:r>
        <w:r>
          <w:rPr>
            <w:noProof/>
            <w:webHidden/>
          </w:rPr>
          <w:instrText xml:space="preserve"> PAGEREF _Toc88677159 \h </w:instrText>
        </w:r>
        <w:r>
          <w:rPr>
            <w:noProof/>
            <w:webHidden/>
          </w:rPr>
        </w:r>
        <w:r>
          <w:rPr>
            <w:noProof/>
            <w:webHidden/>
          </w:rPr>
          <w:fldChar w:fldCharType="separate"/>
        </w:r>
        <w:r>
          <w:rPr>
            <w:noProof/>
            <w:webHidden/>
          </w:rPr>
          <w:t>27</w:t>
        </w:r>
        <w:r>
          <w:rPr>
            <w:noProof/>
            <w:webHidden/>
          </w:rPr>
          <w:fldChar w:fldCharType="end"/>
        </w:r>
      </w:hyperlink>
    </w:p>
    <w:p w14:paraId="56D0E3C8" w14:textId="57425CD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0" w:history="1">
        <w:r w:rsidRPr="0025069E">
          <w:rPr>
            <w:rStyle w:val="Hipervnculo"/>
            <w:rFonts w:cs="Arial"/>
            <w:b/>
            <w:bCs/>
            <w:noProof/>
          </w:rPr>
          <w:t>Ilustración 4. Comparativa actualización catastral nacional 2015-2020</w:t>
        </w:r>
        <w:r>
          <w:rPr>
            <w:noProof/>
            <w:webHidden/>
          </w:rPr>
          <w:tab/>
        </w:r>
        <w:r>
          <w:rPr>
            <w:noProof/>
            <w:webHidden/>
          </w:rPr>
          <w:fldChar w:fldCharType="begin"/>
        </w:r>
        <w:r>
          <w:rPr>
            <w:noProof/>
            <w:webHidden/>
          </w:rPr>
          <w:instrText xml:space="preserve"> PAGEREF _Toc88677160 \h </w:instrText>
        </w:r>
        <w:r>
          <w:rPr>
            <w:noProof/>
            <w:webHidden/>
          </w:rPr>
        </w:r>
        <w:r>
          <w:rPr>
            <w:noProof/>
            <w:webHidden/>
          </w:rPr>
          <w:fldChar w:fldCharType="separate"/>
        </w:r>
        <w:r>
          <w:rPr>
            <w:noProof/>
            <w:webHidden/>
          </w:rPr>
          <w:t>35</w:t>
        </w:r>
        <w:r>
          <w:rPr>
            <w:noProof/>
            <w:webHidden/>
          </w:rPr>
          <w:fldChar w:fldCharType="end"/>
        </w:r>
      </w:hyperlink>
    </w:p>
    <w:p w14:paraId="26BF54BD" w14:textId="032028E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1" w:history="1">
        <w:r w:rsidRPr="0025069E">
          <w:rPr>
            <w:rStyle w:val="Hipervnculo"/>
            <w:rFonts w:cs="Arial"/>
            <w:b/>
            <w:bCs/>
            <w:noProof/>
          </w:rPr>
          <w:t>Ilustración 5. Ruta metodológica consulta previa</w:t>
        </w:r>
        <w:r>
          <w:rPr>
            <w:noProof/>
            <w:webHidden/>
          </w:rPr>
          <w:tab/>
        </w:r>
        <w:r>
          <w:rPr>
            <w:noProof/>
            <w:webHidden/>
          </w:rPr>
          <w:fldChar w:fldCharType="begin"/>
        </w:r>
        <w:r>
          <w:rPr>
            <w:noProof/>
            <w:webHidden/>
          </w:rPr>
          <w:instrText xml:space="preserve"> PAGEREF _Toc88677161 \h </w:instrText>
        </w:r>
        <w:r>
          <w:rPr>
            <w:noProof/>
            <w:webHidden/>
          </w:rPr>
        </w:r>
        <w:r>
          <w:rPr>
            <w:noProof/>
            <w:webHidden/>
          </w:rPr>
          <w:fldChar w:fldCharType="separate"/>
        </w:r>
        <w:r>
          <w:rPr>
            <w:noProof/>
            <w:webHidden/>
          </w:rPr>
          <w:t>37</w:t>
        </w:r>
        <w:r>
          <w:rPr>
            <w:noProof/>
            <w:webHidden/>
          </w:rPr>
          <w:fldChar w:fldCharType="end"/>
        </w:r>
      </w:hyperlink>
    </w:p>
    <w:p w14:paraId="15228B6A" w14:textId="2C25568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2" w:history="1">
        <w:r w:rsidRPr="0025069E">
          <w:rPr>
            <w:rStyle w:val="Hipervnculo"/>
            <w:rFonts w:cs="Arial"/>
            <w:b/>
            <w:bCs/>
            <w:noProof/>
          </w:rPr>
          <w:t>Ilustración 6. Área Confirmada 2021 y 2022</w:t>
        </w:r>
        <w:r>
          <w:rPr>
            <w:noProof/>
            <w:webHidden/>
          </w:rPr>
          <w:tab/>
        </w:r>
        <w:r>
          <w:rPr>
            <w:noProof/>
            <w:webHidden/>
          </w:rPr>
          <w:fldChar w:fldCharType="begin"/>
        </w:r>
        <w:r>
          <w:rPr>
            <w:noProof/>
            <w:webHidden/>
          </w:rPr>
          <w:instrText xml:space="preserve"> PAGEREF _Toc88677162 \h </w:instrText>
        </w:r>
        <w:r>
          <w:rPr>
            <w:noProof/>
            <w:webHidden/>
          </w:rPr>
        </w:r>
        <w:r>
          <w:rPr>
            <w:noProof/>
            <w:webHidden/>
          </w:rPr>
          <w:fldChar w:fldCharType="separate"/>
        </w:r>
        <w:r>
          <w:rPr>
            <w:noProof/>
            <w:webHidden/>
          </w:rPr>
          <w:t>38</w:t>
        </w:r>
        <w:r>
          <w:rPr>
            <w:noProof/>
            <w:webHidden/>
          </w:rPr>
          <w:fldChar w:fldCharType="end"/>
        </w:r>
      </w:hyperlink>
    </w:p>
    <w:p w14:paraId="694B1030" w14:textId="04470A3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3" w:history="1">
        <w:r w:rsidRPr="0025069E">
          <w:rPr>
            <w:rStyle w:val="Hipervnculo"/>
            <w:rFonts w:cs="Arial"/>
            <w:b/>
            <w:bCs/>
            <w:noProof/>
          </w:rPr>
          <w:t>Ilustración 7. Comparativo de trámites realizados 2015 - 2020</w:t>
        </w:r>
        <w:r>
          <w:rPr>
            <w:noProof/>
            <w:webHidden/>
          </w:rPr>
          <w:tab/>
        </w:r>
        <w:r>
          <w:rPr>
            <w:noProof/>
            <w:webHidden/>
          </w:rPr>
          <w:fldChar w:fldCharType="begin"/>
        </w:r>
        <w:r>
          <w:rPr>
            <w:noProof/>
            <w:webHidden/>
          </w:rPr>
          <w:instrText xml:space="preserve"> PAGEREF _Toc88677163 \h </w:instrText>
        </w:r>
        <w:r>
          <w:rPr>
            <w:noProof/>
            <w:webHidden/>
          </w:rPr>
        </w:r>
        <w:r>
          <w:rPr>
            <w:noProof/>
            <w:webHidden/>
          </w:rPr>
          <w:fldChar w:fldCharType="separate"/>
        </w:r>
        <w:r>
          <w:rPr>
            <w:noProof/>
            <w:webHidden/>
          </w:rPr>
          <w:t>44</w:t>
        </w:r>
        <w:r>
          <w:rPr>
            <w:noProof/>
            <w:webHidden/>
          </w:rPr>
          <w:fldChar w:fldCharType="end"/>
        </w:r>
      </w:hyperlink>
    </w:p>
    <w:p w14:paraId="7FB8E17E" w14:textId="320C6216"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4" w:history="1">
        <w:r w:rsidRPr="0025069E">
          <w:rPr>
            <w:rStyle w:val="Hipervnculo"/>
            <w:rFonts w:cs="Arial"/>
            <w:b/>
            <w:bCs/>
            <w:noProof/>
          </w:rPr>
          <w:t>Ilustración 8. Comparativo avalúos 2015 – 2020</w:t>
        </w:r>
        <w:r>
          <w:rPr>
            <w:noProof/>
            <w:webHidden/>
          </w:rPr>
          <w:tab/>
        </w:r>
        <w:r>
          <w:rPr>
            <w:noProof/>
            <w:webHidden/>
          </w:rPr>
          <w:fldChar w:fldCharType="begin"/>
        </w:r>
        <w:r>
          <w:rPr>
            <w:noProof/>
            <w:webHidden/>
          </w:rPr>
          <w:instrText xml:space="preserve"> PAGEREF _Toc88677164 \h </w:instrText>
        </w:r>
        <w:r>
          <w:rPr>
            <w:noProof/>
            <w:webHidden/>
          </w:rPr>
        </w:r>
        <w:r>
          <w:rPr>
            <w:noProof/>
            <w:webHidden/>
          </w:rPr>
          <w:fldChar w:fldCharType="separate"/>
        </w:r>
        <w:r>
          <w:rPr>
            <w:noProof/>
            <w:webHidden/>
          </w:rPr>
          <w:t>54</w:t>
        </w:r>
        <w:r>
          <w:rPr>
            <w:noProof/>
            <w:webHidden/>
          </w:rPr>
          <w:fldChar w:fldCharType="end"/>
        </w:r>
      </w:hyperlink>
    </w:p>
    <w:p w14:paraId="72AF99BA" w14:textId="41227CB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5" w:history="1">
        <w:r w:rsidRPr="0025069E">
          <w:rPr>
            <w:rStyle w:val="Hipervnculo"/>
            <w:rFonts w:cs="Arial"/>
            <w:b/>
            <w:bCs/>
            <w:noProof/>
          </w:rPr>
          <w:t>Ilustración 9.Solicitudes en materia de regularización</w:t>
        </w:r>
        <w:r>
          <w:rPr>
            <w:noProof/>
            <w:webHidden/>
          </w:rPr>
          <w:tab/>
        </w:r>
        <w:r>
          <w:rPr>
            <w:noProof/>
            <w:webHidden/>
          </w:rPr>
          <w:fldChar w:fldCharType="begin"/>
        </w:r>
        <w:r>
          <w:rPr>
            <w:noProof/>
            <w:webHidden/>
          </w:rPr>
          <w:instrText xml:space="preserve"> PAGEREF _Toc88677165 \h </w:instrText>
        </w:r>
        <w:r>
          <w:rPr>
            <w:noProof/>
            <w:webHidden/>
          </w:rPr>
        </w:r>
        <w:r>
          <w:rPr>
            <w:noProof/>
            <w:webHidden/>
          </w:rPr>
          <w:fldChar w:fldCharType="separate"/>
        </w:r>
        <w:r>
          <w:rPr>
            <w:noProof/>
            <w:webHidden/>
          </w:rPr>
          <w:t>57</w:t>
        </w:r>
        <w:r>
          <w:rPr>
            <w:noProof/>
            <w:webHidden/>
          </w:rPr>
          <w:fldChar w:fldCharType="end"/>
        </w:r>
      </w:hyperlink>
    </w:p>
    <w:p w14:paraId="55A9779E" w14:textId="123F505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6" w:history="1">
        <w:r w:rsidRPr="0025069E">
          <w:rPr>
            <w:rStyle w:val="Hipervnculo"/>
            <w:rFonts w:cs="Arial"/>
            <w:b/>
            <w:bCs/>
            <w:noProof/>
          </w:rPr>
          <w:t>Ilustración 10. Solicitudes URT y Requerimiento Rama Judicial</w:t>
        </w:r>
        <w:r>
          <w:rPr>
            <w:noProof/>
            <w:webHidden/>
          </w:rPr>
          <w:tab/>
        </w:r>
        <w:r>
          <w:rPr>
            <w:noProof/>
            <w:webHidden/>
          </w:rPr>
          <w:fldChar w:fldCharType="begin"/>
        </w:r>
        <w:r>
          <w:rPr>
            <w:noProof/>
            <w:webHidden/>
          </w:rPr>
          <w:instrText xml:space="preserve"> PAGEREF _Toc88677166 \h </w:instrText>
        </w:r>
        <w:r>
          <w:rPr>
            <w:noProof/>
            <w:webHidden/>
          </w:rPr>
        </w:r>
        <w:r>
          <w:rPr>
            <w:noProof/>
            <w:webHidden/>
          </w:rPr>
          <w:fldChar w:fldCharType="separate"/>
        </w:r>
        <w:r>
          <w:rPr>
            <w:noProof/>
            <w:webHidden/>
          </w:rPr>
          <w:t>57</w:t>
        </w:r>
        <w:r>
          <w:rPr>
            <w:noProof/>
            <w:webHidden/>
          </w:rPr>
          <w:fldChar w:fldCharType="end"/>
        </w:r>
      </w:hyperlink>
    </w:p>
    <w:p w14:paraId="615EDCC3" w14:textId="14D91B2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7" w:history="1">
        <w:r w:rsidRPr="0025069E">
          <w:rPr>
            <w:rStyle w:val="Hipervnculo"/>
            <w:rFonts w:cs="Arial"/>
            <w:b/>
            <w:bCs/>
            <w:noProof/>
          </w:rPr>
          <w:t>Ilustración 11. Cumplimiento de órdenes judiciales</w:t>
        </w:r>
        <w:r>
          <w:rPr>
            <w:noProof/>
            <w:webHidden/>
          </w:rPr>
          <w:tab/>
        </w:r>
        <w:r>
          <w:rPr>
            <w:noProof/>
            <w:webHidden/>
          </w:rPr>
          <w:fldChar w:fldCharType="begin"/>
        </w:r>
        <w:r>
          <w:rPr>
            <w:noProof/>
            <w:webHidden/>
          </w:rPr>
          <w:instrText xml:space="preserve"> PAGEREF _Toc88677167 \h </w:instrText>
        </w:r>
        <w:r>
          <w:rPr>
            <w:noProof/>
            <w:webHidden/>
          </w:rPr>
        </w:r>
        <w:r>
          <w:rPr>
            <w:noProof/>
            <w:webHidden/>
          </w:rPr>
          <w:fldChar w:fldCharType="separate"/>
        </w:r>
        <w:r>
          <w:rPr>
            <w:noProof/>
            <w:webHidden/>
          </w:rPr>
          <w:t>58</w:t>
        </w:r>
        <w:r>
          <w:rPr>
            <w:noProof/>
            <w:webHidden/>
          </w:rPr>
          <w:fldChar w:fldCharType="end"/>
        </w:r>
      </w:hyperlink>
    </w:p>
    <w:p w14:paraId="0F48020E" w14:textId="3F6EB2C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8" w:history="1">
        <w:r w:rsidRPr="0025069E">
          <w:rPr>
            <w:rStyle w:val="Hipervnculo"/>
            <w:rFonts w:cs="Arial"/>
            <w:b/>
            <w:noProof/>
          </w:rPr>
          <w:t>Ilustración 12</w:t>
        </w:r>
        <w:r w:rsidRPr="0025069E">
          <w:rPr>
            <w:rStyle w:val="Hipervnculo"/>
            <w:rFonts w:cs="Arial"/>
            <w:b/>
            <w:bCs/>
            <w:noProof/>
          </w:rPr>
          <w:t>. Estructura Funcional</w:t>
        </w:r>
        <w:r>
          <w:rPr>
            <w:noProof/>
            <w:webHidden/>
          </w:rPr>
          <w:tab/>
        </w:r>
        <w:r>
          <w:rPr>
            <w:noProof/>
            <w:webHidden/>
          </w:rPr>
          <w:fldChar w:fldCharType="begin"/>
        </w:r>
        <w:r>
          <w:rPr>
            <w:noProof/>
            <w:webHidden/>
          </w:rPr>
          <w:instrText xml:space="preserve"> PAGEREF _Toc88677168 \h </w:instrText>
        </w:r>
        <w:r>
          <w:rPr>
            <w:noProof/>
            <w:webHidden/>
          </w:rPr>
        </w:r>
        <w:r>
          <w:rPr>
            <w:noProof/>
            <w:webHidden/>
          </w:rPr>
          <w:fldChar w:fldCharType="separate"/>
        </w:r>
        <w:r>
          <w:rPr>
            <w:noProof/>
            <w:webHidden/>
          </w:rPr>
          <w:t>67</w:t>
        </w:r>
        <w:r>
          <w:rPr>
            <w:noProof/>
            <w:webHidden/>
          </w:rPr>
          <w:fldChar w:fldCharType="end"/>
        </w:r>
      </w:hyperlink>
    </w:p>
    <w:p w14:paraId="58838510" w14:textId="50E48A9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69" w:history="1">
        <w:r w:rsidRPr="0025069E">
          <w:rPr>
            <w:rStyle w:val="Hipervnculo"/>
            <w:b/>
            <w:bCs/>
            <w:noProof/>
          </w:rPr>
          <w:t>Ilustración 13. Estructura Organizacional</w:t>
        </w:r>
        <w:r>
          <w:rPr>
            <w:noProof/>
            <w:webHidden/>
          </w:rPr>
          <w:tab/>
        </w:r>
        <w:r>
          <w:rPr>
            <w:noProof/>
            <w:webHidden/>
          </w:rPr>
          <w:fldChar w:fldCharType="begin"/>
        </w:r>
        <w:r>
          <w:rPr>
            <w:noProof/>
            <w:webHidden/>
          </w:rPr>
          <w:instrText xml:space="preserve"> PAGEREF _Toc88677169 \h </w:instrText>
        </w:r>
        <w:r>
          <w:rPr>
            <w:noProof/>
            <w:webHidden/>
          </w:rPr>
        </w:r>
        <w:r>
          <w:rPr>
            <w:noProof/>
            <w:webHidden/>
          </w:rPr>
          <w:fldChar w:fldCharType="separate"/>
        </w:r>
        <w:r>
          <w:rPr>
            <w:noProof/>
            <w:webHidden/>
          </w:rPr>
          <w:t>80</w:t>
        </w:r>
        <w:r>
          <w:rPr>
            <w:noProof/>
            <w:webHidden/>
          </w:rPr>
          <w:fldChar w:fldCharType="end"/>
        </w:r>
      </w:hyperlink>
    </w:p>
    <w:p w14:paraId="48949692" w14:textId="58F6809C"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0" w:history="1">
        <w:r w:rsidRPr="0025069E">
          <w:rPr>
            <w:rStyle w:val="Hipervnculo"/>
            <w:rFonts w:cs="Arial"/>
            <w:b/>
            <w:bCs/>
            <w:noProof/>
          </w:rPr>
          <w:t>Ilustración 14.Porcentaje del área geográfica con cartografía básica a las escalas y con la temporalidad adecuadas</w:t>
        </w:r>
        <w:r>
          <w:rPr>
            <w:noProof/>
            <w:webHidden/>
          </w:rPr>
          <w:tab/>
        </w:r>
        <w:r>
          <w:rPr>
            <w:noProof/>
            <w:webHidden/>
          </w:rPr>
          <w:fldChar w:fldCharType="begin"/>
        </w:r>
        <w:r>
          <w:rPr>
            <w:noProof/>
            <w:webHidden/>
          </w:rPr>
          <w:instrText xml:space="preserve"> PAGEREF _Toc88677170 \h </w:instrText>
        </w:r>
        <w:r>
          <w:rPr>
            <w:noProof/>
            <w:webHidden/>
          </w:rPr>
        </w:r>
        <w:r>
          <w:rPr>
            <w:noProof/>
            <w:webHidden/>
          </w:rPr>
          <w:fldChar w:fldCharType="separate"/>
        </w:r>
        <w:r>
          <w:rPr>
            <w:noProof/>
            <w:webHidden/>
          </w:rPr>
          <w:t>90</w:t>
        </w:r>
        <w:r>
          <w:rPr>
            <w:noProof/>
            <w:webHidden/>
          </w:rPr>
          <w:fldChar w:fldCharType="end"/>
        </w:r>
      </w:hyperlink>
    </w:p>
    <w:p w14:paraId="07613E20" w14:textId="7E98AB9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1" w:history="1">
        <w:r w:rsidRPr="0025069E">
          <w:rPr>
            <w:rStyle w:val="Hipervnculo"/>
            <w:rFonts w:cs="Arial"/>
            <w:b/>
            <w:bCs/>
            <w:noProof/>
          </w:rPr>
          <w:t>Ilustración 15.Cubrimiento de área con cartografía básica a las escalas y con la temporalidad adecuadas 2019 al 2021</w:t>
        </w:r>
        <w:r>
          <w:rPr>
            <w:noProof/>
            <w:webHidden/>
          </w:rPr>
          <w:tab/>
        </w:r>
        <w:r>
          <w:rPr>
            <w:noProof/>
            <w:webHidden/>
          </w:rPr>
          <w:fldChar w:fldCharType="begin"/>
        </w:r>
        <w:r>
          <w:rPr>
            <w:noProof/>
            <w:webHidden/>
          </w:rPr>
          <w:instrText xml:space="preserve"> PAGEREF _Toc88677171 \h </w:instrText>
        </w:r>
        <w:r>
          <w:rPr>
            <w:noProof/>
            <w:webHidden/>
          </w:rPr>
        </w:r>
        <w:r>
          <w:rPr>
            <w:noProof/>
            <w:webHidden/>
          </w:rPr>
          <w:fldChar w:fldCharType="separate"/>
        </w:r>
        <w:r>
          <w:rPr>
            <w:noProof/>
            <w:webHidden/>
          </w:rPr>
          <w:t>90</w:t>
        </w:r>
        <w:r>
          <w:rPr>
            <w:noProof/>
            <w:webHidden/>
          </w:rPr>
          <w:fldChar w:fldCharType="end"/>
        </w:r>
      </w:hyperlink>
    </w:p>
    <w:p w14:paraId="3899185C" w14:textId="56FF6F6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2" w:history="1">
        <w:r w:rsidRPr="0025069E">
          <w:rPr>
            <w:rStyle w:val="Hipervnculo"/>
            <w:rFonts w:cs="Arial"/>
            <w:b/>
            <w:bCs/>
            <w:noProof/>
          </w:rPr>
          <w:t>Ilustración 16.Porcentaje del área geográfica con caracterización geográfica</w:t>
        </w:r>
        <w:r>
          <w:rPr>
            <w:noProof/>
            <w:webHidden/>
          </w:rPr>
          <w:tab/>
        </w:r>
        <w:r>
          <w:rPr>
            <w:noProof/>
            <w:webHidden/>
          </w:rPr>
          <w:fldChar w:fldCharType="begin"/>
        </w:r>
        <w:r>
          <w:rPr>
            <w:noProof/>
            <w:webHidden/>
          </w:rPr>
          <w:instrText xml:space="preserve"> PAGEREF _Toc88677172 \h </w:instrText>
        </w:r>
        <w:r>
          <w:rPr>
            <w:noProof/>
            <w:webHidden/>
          </w:rPr>
        </w:r>
        <w:r>
          <w:rPr>
            <w:noProof/>
            <w:webHidden/>
          </w:rPr>
          <w:fldChar w:fldCharType="separate"/>
        </w:r>
        <w:r>
          <w:rPr>
            <w:noProof/>
            <w:webHidden/>
          </w:rPr>
          <w:t>91</w:t>
        </w:r>
        <w:r>
          <w:rPr>
            <w:noProof/>
            <w:webHidden/>
          </w:rPr>
          <w:fldChar w:fldCharType="end"/>
        </w:r>
      </w:hyperlink>
    </w:p>
    <w:p w14:paraId="644846E1" w14:textId="4B6300D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3" w:history="1">
        <w:r w:rsidRPr="0025069E">
          <w:rPr>
            <w:rStyle w:val="Hipervnculo"/>
            <w:rFonts w:cs="Arial"/>
            <w:b/>
            <w:bCs/>
            <w:noProof/>
          </w:rPr>
          <w:t>Ilustración 17. Cubrimiento de área con caracterización    2020-2021</w:t>
        </w:r>
        <w:r>
          <w:rPr>
            <w:noProof/>
            <w:webHidden/>
          </w:rPr>
          <w:tab/>
        </w:r>
        <w:r>
          <w:rPr>
            <w:noProof/>
            <w:webHidden/>
          </w:rPr>
          <w:fldChar w:fldCharType="begin"/>
        </w:r>
        <w:r>
          <w:rPr>
            <w:noProof/>
            <w:webHidden/>
          </w:rPr>
          <w:instrText xml:space="preserve"> PAGEREF _Toc88677173 \h </w:instrText>
        </w:r>
        <w:r>
          <w:rPr>
            <w:noProof/>
            <w:webHidden/>
          </w:rPr>
        </w:r>
        <w:r>
          <w:rPr>
            <w:noProof/>
            <w:webHidden/>
          </w:rPr>
          <w:fldChar w:fldCharType="separate"/>
        </w:r>
        <w:r>
          <w:rPr>
            <w:noProof/>
            <w:webHidden/>
          </w:rPr>
          <w:t>91</w:t>
        </w:r>
        <w:r>
          <w:rPr>
            <w:noProof/>
            <w:webHidden/>
          </w:rPr>
          <w:fldChar w:fldCharType="end"/>
        </w:r>
      </w:hyperlink>
    </w:p>
    <w:p w14:paraId="43D40E30" w14:textId="08D7236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4" w:history="1">
        <w:r w:rsidRPr="0025069E">
          <w:rPr>
            <w:rStyle w:val="Hipervnculo"/>
            <w:b/>
            <w:bCs/>
            <w:noProof/>
          </w:rPr>
          <w:t>Ilustración 18. Producción de cartografía básica y gestión de insumos</w:t>
        </w:r>
        <w:r>
          <w:rPr>
            <w:noProof/>
            <w:webHidden/>
          </w:rPr>
          <w:tab/>
        </w:r>
        <w:r>
          <w:rPr>
            <w:noProof/>
            <w:webHidden/>
          </w:rPr>
          <w:fldChar w:fldCharType="begin"/>
        </w:r>
        <w:r>
          <w:rPr>
            <w:noProof/>
            <w:webHidden/>
          </w:rPr>
          <w:instrText xml:space="preserve"> PAGEREF _Toc88677174 \h </w:instrText>
        </w:r>
        <w:r>
          <w:rPr>
            <w:noProof/>
            <w:webHidden/>
          </w:rPr>
        </w:r>
        <w:r>
          <w:rPr>
            <w:noProof/>
            <w:webHidden/>
          </w:rPr>
          <w:fldChar w:fldCharType="separate"/>
        </w:r>
        <w:r>
          <w:rPr>
            <w:noProof/>
            <w:webHidden/>
          </w:rPr>
          <w:t>92</w:t>
        </w:r>
        <w:r>
          <w:rPr>
            <w:noProof/>
            <w:webHidden/>
          </w:rPr>
          <w:fldChar w:fldCharType="end"/>
        </w:r>
      </w:hyperlink>
    </w:p>
    <w:p w14:paraId="39312938" w14:textId="057DBA3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5" w:history="1">
        <w:r w:rsidRPr="0025069E">
          <w:rPr>
            <w:rStyle w:val="Hipervnculo"/>
            <w:b/>
            <w:bCs/>
            <w:noProof/>
          </w:rPr>
          <w:t>Ilustración 19.Número de puntos de fotocontrol para la producción y/o validación cartográfica</w:t>
        </w:r>
        <w:r>
          <w:rPr>
            <w:noProof/>
            <w:webHidden/>
          </w:rPr>
          <w:tab/>
        </w:r>
        <w:r>
          <w:rPr>
            <w:noProof/>
            <w:webHidden/>
          </w:rPr>
          <w:fldChar w:fldCharType="begin"/>
        </w:r>
        <w:r>
          <w:rPr>
            <w:noProof/>
            <w:webHidden/>
          </w:rPr>
          <w:instrText xml:space="preserve"> PAGEREF _Toc88677175 \h </w:instrText>
        </w:r>
        <w:r>
          <w:rPr>
            <w:noProof/>
            <w:webHidden/>
          </w:rPr>
        </w:r>
        <w:r>
          <w:rPr>
            <w:noProof/>
            <w:webHidden/>
          </w:rPr>
          <w:fldChar w:fldCharType="separate"/>
        </w:r>
        <w:r>
          <w:rPr>
            <w:noProof/>
            <w:webHidden/>
          </w:rPr>
          <w:t>93</w:t>
        </w:r>
        <w:r>
          <w:rPr>
            <w:noProof/>
            <w:webHidden/>
          </w:rPr>
          <w:fldChar w:fldCharType="end"/>
        </w:r>
      </w:hyperlink>
    </w:p>
    <w:p w14:paraId="2E0724C2" w14:textId="0D394DD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6" w:history="1">
        <w:r w:rsidRPr="0025069E">
          <w:rPr>
            <w:rStyle w:val="Hipervnculo"/>
            <w:rFonts w:cs="Arial"/>
            <w:b/>
            <w:noProof/>
          </w:rPr>
          <w:t xml:space="preserve">Ilustración </w:t>
        </w:r>
        <w:r w:rsidRPr="0025069E">
          <w:rPr>
            <w:rStyle w:val="Hipervnculo"/>
            <w:rFonts w:cs="Arial"/>
            <w:b/>
            <w:bCs/>
            <w:noProof/>
          </w:rPr>
          <w:t>20.</w:t>
        </w:r>
        <w:r w:rsidRPr="0025069E">
          <w:rPr>
            <w:rStyle w:val="Hipervnculo"/>
            <w:rFonts w:cs="Arial"/>
            <w:b/>
            <w:noProof/>
          </w:rPr>
          <w:t xml:space="preserve"> Captura de imágenes con aeronave tripulada durante el 2020</w:t>
        </w:r>
        <w:r>
          <w:rPr>
            <w:noProof/>
            <w:webHidden/>
          </w:rPr>
          <w:tab/>
        </w:r>
        <w:r>
          <w:rPr>
            <w:noProof/>
            <w:webHidden/>
          </w:rPr>
          <w:fldChar w:fldCharType="begin"/>
        </w:r>
        <w:r>
          <w:rPr>
            <w:noProof/>
            <w:webHidden/>
          </w:rPr>
          <w:instrText xml:space="preserve"> PAGEREF _Toc88677176 \h </w:instrText>
        </w:r>
        <w:r>
          <w:rPr>
            <w:noProof/>
            <w:webHidden/>
          </w:rPr>
        </w:r>
        <w:r>
          <w:rPr>
            <w:noProof/>
            <w:webHidden/>
          </w:rPr>
          <w:fldChar w:fldCharType="separate"/>
        </w:r>
        <w:r>
          <w:rPr>
            <w:noProof/>
            <w:webHidden/>
          </w:rPr>
          <w:t>94</w:t>
        </w:r>
        <w:r>
          <w:rPr>
            <w:noProof/>
            <w:webHidden/>
          </w:rPr>
          <w:fldChar w:fldCharType="end"/>
        </w:r>
      </w:hyperlink>
    </w:p>
    <w:p w14:paraId="6319F107" w14:textId="24E544A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7" w:history="1">
        <w:r w:rsidRPr="0025069E">
          <w:rPr>
            <w:rStyle w:val="Hipervnculo"/>
            <w:rFonts w:cs="Arial"/>
            <w:b/>
            <w:bCs/>
            <w:noProof/>
          </w:rPr>
          <w:t>Ilustración 21. Adquisición imágenes satelitales 2021</w:t>
        </w:r>
        <w:r>
          <w:rPr>
            <w:noProof/>
            <w:webHidden/>
          </w:rPr>
          <w:tab/>
        </w:r>
        <w:r>
          <w:rPr>
            <w:noProof/>
            <w:webHidden/>
          </w:rPr>
          <w:fldChar w:fldCharType="begin"/>
        </w:r>
        <w:r>
          <w:rPr>
            <w:noProof/>
            <w:webHidden/>
          </w:rPr>
          <w:instrText xml:space="preserve"> PAGEREF _Toc88677177 \h </w:instrText>
        </w:r>
        <w:r>
          <w:rPr>
            <w:noProof/>
            <w:webHidden/>
          </w:rPr>
        </w:r>
        <w:r>
          <w:rPr>
            <w:noProof/>
            <w:webHidden/>
          </w:rPr>
          <w:fldChar w:fldCharType="separate"/>
        </w:r>
        <w:r>
          <w:rPr>
            <w:noProof/>
            <w:webHidden/>
          </w:rPr>
          <w:t>94</w:t>
        </w:r>
        <w:r>
          <w:rPr>
            <w:noProof/>
            <w:webHidden/>
          </w:rPr>
          <w:fldChar w:fldCharType="end"/>
        </w:r>
      </w:hyperlink>
    </w:p>
    <w:p w14:paraId="75408F7A" w14:textId="70CB262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8" w:history="1">
        <w:r w:rsidRPr="0025069E">
          <w:rPr>
            <w:rStyle w:val="Hipervnculo"/>
            <w:rFonts w:cs="Arial"/>
            <w:b/>
            <w:noProof/>
          </w:rPr>
          <w:t xml:space="preserve">Ilustración </w:t>
        </w:r>
        <w:r w:rsidRPr="0025069E">
          <w:rPr>
            <w:rStyle w:val="Hipervnculo"/>
            <w:rFonts w:cs="Arial"/>
            <w:b/>
            <w:bCs/>
            <w:noProof/>
          </w:rPr>
          <w:t>22.</w:t>
        </w:r>
        <w:r w:rsidRPr="0025069E">
          <w:rPr>
            <w:rStyle w:val="Hipervnculo"/>
            <w:rFonts w:cs="Arial"/>
            <w:b/>
            <w:noProof/>
          </w:rPr>
          <w:t xml:space="preserve"> Cobertura aeronave no tripulada RPAS 2021 (dron) aerofotografías</w:t>
        </w:r>
        <w:r>
          <w:rPr>
            <w:noProof/>
            <w:webHidden/>
          </w:rPr>
          <w:tab/>
        </w:r>
        <w:r>
          <w:rPr>
            <w:noProof/>
            <w:webHidden/>
          </w:rPr>
          <w:fldChar w:fldCharType="begin"/>
        </w:r>
        <w:r>
          <w:rPr>
            <w:noProof/>
            <w:webHidden/>
          </w:rPr>
          <w:instrText xml:space="preserve"> PAGEREF _Toc88677178 \h </w:instrText>
        </w:r>
        <w:r>
          <w:rPr>
            <w:noProof/>
            <w:webHidden/>
          </w:rPr>
        </w:r>
        <w:r>
          <w:rPr>
            <w:noProof/>
            <w:webHidden/>
          </w:rPr>
          <w:fldChar w:fldCharType="separate"/>
        </w:r>
        <w:r>
          <w:rPr>
            <w:noProof/>
            <w:webHidden/>
          </w:rPr>
          <w:t>95</w:t>
        </w:r>
        <w:r>
          <w:rPr>
            <w:noProof/>
            <w:webHidden/>
          </w:rPr>
          <w:fldChar w:fldCharType="end"/>
        </w:r>
      </w:hyperlink>
    </w:p>
    <w:p w14:paraId="48CD37C7" w14:textId="7828179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79" w:history="1">
        <w:r w:rsidRPr="0025069E">
          <w:rPr>
            <w:rStyle w:val="Hipervnculo"/>
            <w:rFonts w:cs="Arial"/>
            <w:b/>
            <w:bCs/>
            <w:noProof/>
          </w:rPr>
          <w:t>Ilustración 23.Zonificación Plan Nacional de Cartografía</w:t>
        </w:r>
        <w:r>
          <w:rPr>
            <w:noProof/>
            <w:webHidden/>
          </w:rPr>
          <w:tab/>
        </w:r>
        <w:r>
          <w:rPr>
            <w:noProof/>
            <w:webHidden/>
          </w:rPr>
          <w:fldChar w:fldCharType="begin"/>
        </w:r>
        <w:r>
          <w:rPr>
            <w:noProof/>
            <w:webHidden/>
          </w:rPr>
          <w:instrText xml:space="preserve"> PAGEREF _Toc88677179 \h </w:instrText>
        </w:r>
        <w:r>
          <w:rPr>
            <w:noProof/>
            <w:webHidden/>
          </w:rPr>
        </w:r>
        <w:r>
          <w:rPr>
            <w:noProof/>
            <w:webHidden/>
          </w:rPr>
          <w:fldChar w:fldCharType="separate"/>
        </w:r>
        <w:r>
          <w:rPr>
            <w:noProof/>
            <w:webHidden/>
          </w:rPr>
          <w:t>97</w:t>
        </w:r>
        <w:r>
          <w:rPr>
            <w:noProof/>
            <w:webHidden/>
          </w:rPr>
          <w:fldChar w:fldCharType="end"/>
        </w:r>
      </w:hyperlink>
    </w:p>
    <w:p w14:paraId="03E19BE6" w14:textId="0C58D9A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0" w:history="1">
        <w:r w:rsidRPr="0025069E">
          <w:rPr>
            <w:rStyle w:val="Hipervnculo"/>
            <w:rFonts w:cs="Arial"/>
            <w:b/>
            <w:bCs/>
            <w:noProof/>
          </w:rPr>
          <w:t>Ilustración 24. Integración de estaciones IGAC-SGC</w:t>
        </w:r>
        <w:r>
          <w:rPr>
            <w:noProof/>
            <w:webHidden/>
          </w:rPr>
          <w:tab/>
        </w:r>
        <w:r>
          <w:rPr>
            <w:noProof/>
            <w:webHidden/>
          </w:rPr>
          <w:fldChar w:fldCharType="begin"/>
        </w:r>
        <w:r>
          <w:rPr>
            <w:noProof/>
            <w:webHidden/>
          </w:rPr>
          <w:instrText xml:space="preserve"> PAGEREF _Toc88677180 \h </w:instrText>
        </w:r>
        <w:r>
          <w:rPr>
            <w:noProof/>
            <w:webHidden/>
          </w:rPr>
        </w:r>
        <w:r>
          <w:rPr>
            <w:noProof/>
            <w:webHidden/>
          </w:rPr>
          <w:fldChar w:fldCharType="separate"/>
        </w:r>
        <w:r>
          <w:rPr>
            <w:noProof/>
            <w:webHidden/>
          </w:rPr>
          <w:t>100</w:t>
        </w:r>
        <w:r>
          <w:rPr>
            <w:noProof/>
            <w:webHidden/>
          </w:rPr>
          <w:fldChar w:fldCharType="end"/>
        </w:r>
      </w:hyperlink>
    </w:p>
    <w:p w14:paraId="0126686D" w14:textId="7366945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1" w:history="1">
        <w:r w:rsidRPr="0025069E">
          <w:rPr>
            <w:rStyle w:val="Hipervnculo"/>
            <w:rFonts w:cs="Arial"/>
            <w:b/>
            <w:bCs/>
            <w:noProof/>
          </w:rPr>
          <w:t>Ilustración 25. Densificación de la red geodésica nacional</w:t>
        </w:r>
        <w:r>
          <w:rPr>
            <w:noProof/>
            <w:webHidden/>
          </w:rPr>
          <w:tab/>
        </w:r>
        <w:r>
          <w:rPr>
            <w:noProof/>
            <w:webHidden/>
          </w:rPr>
          <w:fldChar w:fldCharType="begin"/>
        </w:r>
        <w:r>
          <w:rPr>
            <w:noProof/>
            <w:webHidden/>
          </w:rPr>
          <w:instrText xml:space="preserve"> PAGEREF _Toc88677181 \h </w:instrText>
        </w:r>
        <w:r>
          <w:rPr>
            <w:noProof/>
            <w:webHidden/>
          </w:rPr>
        </w:r>
        <w:r>
          <w:rPr>
            <w:noProof/>
            <w:webHidden/>
          </w:rPr>
          <w:fldChar w:fldCharType="separate"/>
        </w:r>
        <w:r>
          <w:rPr>
            <w:noProof/>
            <w:webHidden/>
          </w:rPr>
          <w:t>100</w:t>
        </w:r>
        <w:r>
          <w:rPr>
            <w:noProof/>
            <w:webHidden/>
          </w:rPr>
          <w:fldChar w:fldCharType="end"/>
        </w:r>
      </w:hyperlink>
    </w:p>
    <w:p w14:paraId="3980D4F8" w14:textId="302EA93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2" w:history="1">
        <w:r w:rsidRPr="0025069E">
          <w:rPr>
            <w:rStyle w:val="Hipervnculo"/>
            <w:rFonts w:cs="Arial"/>
            <w:b/>
            <w:bCs/>
            <w:noProof/>
          </w:rPr>
          <w:t>Ilustración 26. Densificación y cubrimiento de la Red Geodésica Nacional</w:t>
        </w:r>
        <w:r>
          <w:rPr>
            <w:noProof/>
            <w:webHidden/>
          </w:rPr>
          <w:tab/>
        </w:r>
        <w:r>
          <w:rPr>
            <w:noProof/>
            <w:webHidden/>
          </w:rPr>
          <w:fldChar w:fldCharType="begin"/>
        </w:r>
        <w:r>
          <w:rPr>
            <w:noProof/>
            <w:webHidden/>
          </w:rPr>
          <w:instrText xml:space="preserve"> PAGEREF _Toc88677182 \h </w:instrText>
        </w:r>
        <w:r>
          <w:rPr>
            <w:noProof/>
            <w:webHidden/>
          </w:rPr>
        </w:r>
        <w:r>
          <w:rPr>
            <w:noProof/>
            <w:webHidden/>
          </w:rPr>
          <w:fldChar w:fldCharType="separate"/>
        </w:r>
        <w:r>
          <w:rPr>
            <w:noProof/>
            <w:webHidden/>
          </w:rPr>
          <w:t>101</w:t>
        </w:r>
        <w:r>
          <w:rPr>
            <w:noProof/>
            <w:webHidden/>
          </w:rPr>
          <w:fldChar w:fldCharType="end"/>
        </w:r>
      </w:hyperlink>
    </w:p>
    <w:p w14:paraId="1E7710DA" w14:textId="35FCBB0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3" w:history="1">
        <w:r w:rsidRPr="0025069E">
          <w:rPr>
            <w:rStyle w:val="Hipervnculo"/>
            <w:rFonts w:cs="Arial"/>
            <w:b/>
            <w:bCs/>
            <w:noProof/>
          </w:rPr>
          <w:t>Ilustración 27. Estaciones reactivadas</w:t>
        </w:r>
        <w:r>
          <w:rPr>
            <w:noProof/>
            <w:webHidden/>
          </w:rPr>
          <w:tab/>
        </w:r>
        <w:r>
          <w:rPr>
            <w:noProof/>
            <w:webHidden/>
          </w:rPr>
          <w:fldChar w:fldCharType="begin"/>
        </w:r>
        <w:r>
          <w:rPr>
            <w:noProof/>
            <w:webHidden/>
          </w:rPr>
          <w:instrText xml:space="preserve"> PAGEREF _Toc88677183 \h </w:instrText>
        </w:r>
        <w:r>
          <w:rPr>
            <w:noProof/>
            <w:webHidden/>
          </w:rPr>
        </w:r>
        <w:r>
          <w:rPr>
            <w:noProof/>
            <w:webHidden/>
          </w:rPr>
          <w:fldChar w:fldCharType="separate"/>
        </w:r>
        <w:r>
          <w:rPr>
            <w:noProof/>
            <w:webHidden/>
          </w:rPr>
          <w:t>104</w:t>
        </w:r>
        <w:r>
          <w:rPr>
            <w:noProof/>
            <w:webHidden/>
          </w:rPr>
          <w:fldChar w:fldCharType="end"/>
        </w:r>
      </w:hyperlink>
    </w:p>
    <w:p w14:paraId="58CE4992" w14:textId="0F30EDD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4" w:history="1">
        <w:r w:rsidRPr="0025069E">
          <w:rPr>
            <w:rStyle w:val="Hipervnculo"/>
            <w:rFonts w:cs="Arial"/>
            <w:b/>
            <w:bCs/>
            <w:noProof/>
          </w:rPr>
          <w:t>Ilustración 28. Red de Control Vertical de precisión -CeM</w:t>
        </w:r>
        <w:r>
          <w:rPr>
            <w:noProof/>
            <w:webHidden/>
          </w:rPr>
          <w:tab/>
        </w:r>
        <w:r>
          <w:rPr>
            <w:noProof/>
            <w:webHidden/>
          </w:rPr>
          <w:fldChar w:fldCharType="begin"/>
        </w:r>
        <w:r>
          <w:rPr>
            <w:noProof/>
            <w:webHidden/>
          </w:rPr>
          <w:instrText xml:space="preserve"> PAGEREF _Toc88677184 \h </w:instrText>
        </w:r>
        <w:r>
          <w:rPr>
            <w:noProof/>
            <w:webHidden/>
          </w:rPr>
        </w:r>
        <w:r>
          <w:rPr>
            <w:noProof/>
            <w:webHidden/>
          </w:rPr>
          <w:fldChar w:fldCharType="separate"/>
        </w:r>
        <w:r>
          <w:rPr>
            <w:noProof/>
            <w:webHidden/>
          </w:rPr>
          <w:t>105</w:t>
        </w:r>
        <w:r>
          <w:rPr>
            <w:noProof/>
            <w:webHidden/>
          </w:rPr>
          <w:fldChar w:fldCharType="end"/>
        </w:r>
      </w:hyperlink>
    </w:p>
    <w:p w14:paraId="7CE93FBA" w14:textId="4549194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5" w:history="1">
        <w:r w:rsidRPr="0025069E">
          <w:rPr>
            <w:rStyle w:val="Hipervnculo"/>
            <w:rFonts w:cs="Arial"/>
            <w:b/>
            <w:bCs/>
            <w:noProof/>
          </w:rPr>
          <w:t>Ilustración 29. Colombia en Mapas</w:t>
        </w:r>
        <w:r>
          <w:rPr>
            <w:noProof/>
            <w:webHidden/>
          </w:rPr>
          <w:tab/>
        </w:r>
        <w:r>
          <w:rPr>
            <w:noProof/>
            <w:webHidden/>
          </w:rPr>
          <w:fldChar w:fldCharType="begin"/>
        </w:r>
        <w:r>
          <w:rPr>
            <w:noProof/>
            <w:webHidden/>
          </w:rPr>
          <w:instrText xml:space="preserve"> PAGEREF _Toc88677185 \h </w:instrText>
        </w:r>
        <w:r>
          <w:rPr>
            <w:noProof/>
            <w:webHidden/>
          </w:rPr>
        </w:r>
        <w:r>
          <w:rPr>
            <w:noProof/>
            <w:webHidden/>
          </w:rPr>
          <w:fldChar w:fldCharType="separate"/>
        </w:r>
        <w:r>
          <w:rPr>
            <w:noProof/>
            <w:webHidden/>
          </w:rPr>
          <w:t>109</w:t>
        </w:r>
        <w:r>
          <w:rPr>
            <w:noProof/>
            <w:webHidden/>
          </w:rPr>
          <w:fldChar w:fldCharType="end"/>
        </w:r>
      </w:hyperlink>
    </w:p>
    <w:p w14:paraId="1B3EACAC" w14:textId="1FF68AD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6" w:history="1">
        <w:r w:rsidRPr="0025069E">
          <w:rPr>
            <w:rStyle w:val="Hipervnculo"/>
            <w:rFonts w:cs="Arial"/>
            <w:b/>
            <w:bCs/>
            <w:noProof/>
          </w:rPr>
          <w:t>Ilustración 30. Atlas de Colombia</w:t>
        </w:r>
        <w:r>
          <w:rPr>
            <w:noProof/>
            <w:webHidden/>
          </w:rPr>
          <w:tab/>
        </w:r>
        <w:r>
          <w:rPr>
            <w:noProof/>
            <w:webHidden/>
          </w:rPr>
          <w:fldChar w:fldCharType="begin"/>
        </w:r>
        <w:r>
          <w:rPr>
            <w:noProof/>
            <w:webHidden/>
          </w:rPr>
          <w:instrText xml:space="preserve"> PAGEREF _Toc88677186 \h </w:instrText>
        </w:r>
        <w:r>
          <w:rPr>
            <w:noProof/>
            <w:webHidden/>
          </w:rPr>
        </w:r>
        <w:r>
          <w:rPr>
            <w:noProof/>
            <w:webHidden/>
          </w:rPr>
          <w:fldChar w:fldCharType="separate"/>
        </w:r>
        <w:r>
          <w:rPr>
            <w:noProof/>
            <w:webHidden/>
          </w:rPr>
          <w:t>111</w:t>
        </w:r>
        <w:r>
          <w:rPr>
            <w:noProof/>
            <w:webHidden/>
          </w:rPr>
          <w:fldChar w:fldCharType="end"/>
        </w:r>
      </w:hyperlink>
    </w:p>
    <w:p w14:paraId="4E72FDC1" w14:textId="15275A5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7" w:history="1">
        <w:r w:rsidRPr="0025069E">
          <w:rPr>
            <w:rStyle w:val="Hipervnculo"/>
            <w:rFonts w:cs="Arial"/>
            <w:b/>
            <w:noProof/>
          </w:rPr>
          <w:t xml:space="preserve">Ilustración </w:t>
        </w:r>
        <w:r w:rsidRPr="0025069E">
          <w:rPr>
            <w:rStyle w:val="Hipervnculo"/>
            <w:rFonts w:cs="Arial"/>
            <w:b/>
            <w:bCs/>
            <w:noProof/>
          </w:rPr>
          <w:t>31.</w:t>
        </w:r>
        <w:r w:rsidRPr="0025069E">
          <w:rPr>
            <w:rStyle w:val="Hipervnculo"/>
            <w:rFonts w:cs="Arial"/>
            <w:b/>
            <w:noProof/>
          </w:rPr>
          <w:t xml:space="preserve"> Plataforma Colombia OT</w:t>
        </w:r>
        <w:r>
          <w:rPr>
            <w:noProof/>
            <w:webHidden/>
          </w:rPr>
          <w:tab/>
        </w:r>
        <w:r>
          <w:rPr>
            <w:noProof/>
            <w:webHidden/>
          </w:rPr>
          <w:fldChar w:fldCharType="begin"/>
        </w:r>
        <w:r>
          <w:rPr>
            <w:noProof/>
            <w:webHidden/>
          </w:rPr>
          <w:instrText xml:space="preserve"> PAGEREF _Toc88677187 \h </w:instrText>
        </w:r>
        <w:r>
          <w:rPr>
            <w:noProof/>
            <w:webHidden/>
          </w:rPr>
        </w:r>
        <w:r>
          <w:rPr>
            <w:noProof/>
            <w:webHidden/>
          </w:rPr>
          <w:fldChar w:fldCharType="separate"/>
        </w:r>
        <w:r>
          <w:rPr>
            <w:noProof/>
            <w:webHidden/>
          </w:rPr>
          <w:t>113</w:t>
        </w:r>
        <w:r>
          <w:rPr>
            <w:noProof/>
            <w:webHidden/>
          </w:rPr>
          <w:fldChar w:fldCharType="end"/>
        </w:r>
      </w:hyperlink>
    </w:p>
    <w:p w14:paraId="2C7DA297" w14:textId="44EBFE1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8" w:history="1">
        <w:r w:rsidRPr="0025069E">
          <w:rPr>
            <w:rStyle w:val="Hipervnculo"/>
            <w:rFonts w:cs="Arial"/>
            <w:b/>
            <w:bCs/>
            <w:noProof/>
          </w:rPr>
          <w:t>Ilustración 32. Plataforma Diccionario Geográfico</w:t>
        </w:r>
        <w:r>
          <w:rPr>
            <w:noProof/>
            <w:webHidden/>
          </w:rPr>
          <w:tab/>
        </w:r>
        <w:r>
          <w:rPr>
            <w:noProof/>
            <w:webHidden/>
          </w:rPr>
          <w:fldChar w:fldCharType="begin"/>
        </w:r>
        <w:r>
          <w:rPr>
            <w:noProof/>
            <w:webHidden/>
          </w:rPr>
          <w:instrText xml:space="preserve"> PAGEREF _Toc88677188 \h </w:instrText>
        </w:r>
        <w:r>
          <w:rPr>
            <w:noProof/>
            <w:webHidden/>
          </w:rPr>
        </w:r>
        <w:r>
          <w:rPr>
            <w:noProof/>
            <w:webHidden/>
          </w:rPr>
          <w:fldChar w:fldCharType="separate"/>
        </w:r>
        <w:r>
          <w:rPr>
            <w:noProof/>
            <w:webHidden/>
          </w:rPr>
          <w:t>115</w:t>
        </w:r>
        <w:r>
          <w:rPr>
            <w:noProof/>
            <w:webHidden/>
          </w:rPr>
          <w:fldChar w:fldCharType="end"/>
        </w:r>
      </w:hyperlink>
    </w:p>
    <w:p w14:paraId="6AD34DA6" w14:textId="5941302C"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89" w:history="1">
        <w:r w:rsidRPr="0025069E">
          <w:rPr>
            <w:rStyle w:val="Hipervnculo"/>
            <w:rFonts w:cs="Arial"/>
            <w:b/>
            <w:bCs/>
            <w:noProof/>
          </w:rPr>
          <w:t>Ilustración 33. Avances procesos de deslindes 2020 y 2021</w:t>
        </w:r>
        <w:r>
          <w:rPr>
            <w:noProof/>
            <w:webHidden/>
          </w:rPr>
          <w:tab/>
        </w:r>
        <w:r>
          <w:rPr>
            <w:noProof/>
            <w:webHidden/>
          </w:rPr>
          <w:fldChar w:fldCharType="begin"/>
        </w:r>
        <w:r>
          <w:rPr>
            <w:noProof/>
            <w:webHidden/>
          </w:rPr>
          <w:instrText xml:space="preserve"> PAGEREF _Toc88677189 \h </w:instrText>
        </w:r>
        <w:r>
          <w:rPr>
            <w:noProof/>
            <w:webHidden/>
          </w:rPr>
        </w:r>
        <w:r>
          <w:rPr>
            <w:noProof/>
            <w:webHidden/>
          </w:rPr>
          <w:fldChar w:fldCharType="separate"/>
        </w:r>
        <w:r>
          <w:rPr>
            <w:noProof/>
            <w:webHidden/>
          </w:rPr>
          <w:t>119</w:t>
        </w:r>
        <w:r>
          <w:rPr>
            <w:noProof/>
            <w:webHidden/>
          </w:rPr>
          <w:fldChar w:fldCharType="end"/>
        </w:r>
      </w:hyperlink>
    </w:p>
    <w:p w14:paraId="4756CE7E" w14:textId="29CB43B0"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0" w:history="1">
        <w:r w:rsidRPr="0025069E">
          <w:rPr>
            <w:rStyle w:val="Hipervnculo"/>
            <w:rFonts w:cs="Arial"/>
            <w:b/>
            <w:bCs/>
            <w:noProof/>
          </w:rPr>
          <w:t>Ilustración 34. Municipios con diagnósticos de límites de entidades territoriales</w:t>
        </w:r>
        <w:r>
          <w:rPr>
            <w:noProof/>
            <w:webHidden/>
          </w:rPr>
          <w:tab/>
        </w:r>
        <w:r>
          <w:rPr>
            <w:noProof/>
            <w:webHidden/>
          </w:rPr>
          <w:fldChar w:fldCharType="begin"/>
        </w:r>
        <w:r>
          <w:rPr>
            <w:noProof/>
            <w:webHidden/>
          </w:rPr>
          <w:instrText xml:space="preserve"> PAGEREF _Toc88677190 \h </w:instrText>
        </w:r>
        <w:r>
          <w:rPr>
            <w:noProof/>
            <w:webHidden/>
          </w:rPr>
        </w:r>
        <w:r>
          <w:rPr>
            <w:noProof/>
            <w:webHidden/>
          </w:rPr>
          <w:fldChar w:fldCharType="separate"/>
        </w:r>
        <w:r>
          <w:rPr>
            <w:noProof/>
            <w:webHidden/>
          </w:rPr>
          <w:t>120</w:t>
        </w:r>
        <w:r>
          <w:rPr>
            <w:noProof/>
            <w:webHidden/>
          </w:rPr>
          <w:fldChar w:fldCharType="end"/>
        </w:r>
      </w:hyperlink>
    </w:p>
    <w:p w14:paraId="683C94E8" w14:textId="4A374C9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1" w:history="1">
        <w:r w:rsidRPr="0025069E">
          <w:rPr>
            <w:rStyle w:val="Hipervnculo"/>
            <w:rFonts w:cs="Arial"/>
            <w:b/>
            <w:bCs/>
            <w:noProof/>
          </w:rPr>
          <w:t>Ilustración 35. Complejos de páramos - CAR</w:t>
        </w:r>
        <w:r>
          <w:rPr>
            <w:noProof/>
            <w:webHidden/>
          </w:rPr>
          <w:tab/>
        </w:r>
        <w:r>
          <w:rPr>
            <w:noProof/>
            <w:webHidden/>
          </w:rPr>
          <w:fldChar w:fldCharType="begin"/>
        </w:r>
        <w:r>
          <w:rPr>
            <w:noProof/>
            <w:webHidden/>
          </w:rPr>
          <w:instrText xml:space="preserve"> PAGEREF _Toc88677191 \h </w:instrText>
        </w:r>
        <w:r>
          <w:rPr>
            <w:noProof/>
            <w:webHidden/>
          </w:rPr>
        </w:r>
        <w:r>
          <w:rPr>
            <w:noProof/>
            <w:webHidden/>
          </w:rPr>
          <w:fldChar w:fldCharType="separate"/>
        </w:r>
        <w:r>
          <w:rPr>
            <w:noProof/>
            <w:webHidden/>
          </w:rPr>
          <w:t>125</w:t>
        </w:r>
        <w:r>
          <w:rPr>
            <w:noProof/>
            <w:webHidden/>
          </w:rPr>
          <w:fldChar w:fldCharType="end"/>
        </w:r>
      </w:hyperlink>
    </w:p>
    <w:p w14:paraId="77298003" w14:textId="3007EDD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2" w:history="1">
        <w:r w:rsidRPr="0025069E">
          <w:rPr>
            <w:rStyle w:val="Hipervnculo"/>
            <w:rFonts w:cs="Arial"/>
            <w:b/>
            <w:bCs/>
            <w:noProof/>
          </w:rPr>
          <w:t>Ilustración 36. Relación de Paisajes en el Mapa de Geomorfología a nivel nacional</w:t>
        </w:r>
        <w:r w:rsidRPr="0025069E">
          <w:rPr>
            <w:rStyle w:val="Hipervnculo"/>
            <w:noProof/>
          </w:rPr>
          <w:t>.</w:t>
        </w:r>
        <w:r>
          <w:rPr>
            <w:noProof/>
            <w:webHidden/>
          </w:rPr>
          <w:tab/>
        </w:r>
        <w:r>
          <w:rPr>
            <w:noProof/>
            <w:webHidden/>
          </w:rPr>
          <w:fldChar w:fldCharType="begin"/>
        </w:r>
        <w:r>
          <w:rPr>
            <w:noProof/>
            <w:webHidden/>
          </w:rPr>
          <w:instrText xml:space="preserve"> PAGEREF _Toc88677192 \h </w:instrText>
        </w:r>
        <w:r>
          <w:rPr>
            <w:noProof/>
            <w:webHidden/>
          </w:rPr>
        </w:r>
        <w:r>
          <w:rPr>
            <w:noProof/>
            <w:webHidden/>
          </w:rPr>
          <w:fldChar w:fldCharType="separate"/>
        </w:r>
        <w:r>
          <w:rPr>
            <w:noProof/>
            <w:webHidden/>
          </w:rPr>
          <w:t>127</w:t>
        </w:r>
        <w:r>
          <w:rPr>
            <w:noProof/>
            <w:webHidden/>
          </w:rPr>
          <w:fldChar w:fldCharType="end"/>
        </w:r>
      </w:hyperlink>
    </w:p>
    <w:p w14:paraId="0E20FD56" w14:textId="4230E7CC"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3" w:history="1">
        <w:r w:rsidRPr="0025069E">
          <w:rPr>
            <w:rStyle w:val="Hipervnculo"/>
            <w:rFonts w:cs="Arial"/>
            <w:b/>
            <w:bCs/>
            <w:noProof/>
          </w:rPr>
          <w:t>Ilustración 37. Áreas Homogéneas de Tierras - ATH 2020 y 2021</w:t>
        </w:r>
        <w:r>
          <w:rPr>
            <w:noProof/>
            <w:webHidden/>
          </w:rPr>
          <w:tab/>
        </w:r>
        <w:r>
          <w:rPr>
            <w:noProof/>
            <w:webHidden/>
          </w:rPr>
          <w:fldChar w:fldCharType="begin"/>
        </w:r>
        <w:r>
          <w:rPr>
            <w:noProof/>
            <w:webHidden/>
          </w:rPr>
          <w:instrText xml:space="preserve"> PAGEREF _Toc88677193 \h </w:instrText>
        </w:r>
        <w:r>
          <w:rPr>
            <w:noProof/>
            <w:webHidden/>
          </w:rPr>
        </w:r>
        <w:r>
          <w:rPr>
            <w:noProof/>
            <w:webHidden/>
          </w:rPr>
          <w:fldChar w:fldCharType="separate"/>
        </w:r>
        <w:r>
          <w:rPr>
            <w:noProof/>
            <w:webHidden/>
          </w:rPr>
          <w:t>128</w:t>
        </w:r>
        <w:r>
          <w:rPr>
            <w:noProof/>
            <w:webHidden/>
          </w:rPr>
          <w:fldChar w:fldCharType="end"/>
        </w:r>
      </w:hyperlink>
    </w:p>
    <w:p w14:paraId="22A384AA" w14:textId="290F24C6"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4" w:history="1">
        <w:r w:rsidRPr="0025069E">
          <w:rPr>
            <w:rStyle w:val="Hipervnculo"/>
            <w:rFonts w:cs="Arial"/>
            <w:b/>
            <w:bCs/>
            <w:noProof/>
          </w:rPr>
          <w:t>Ilustración 38. Producción de insumos agrológicos - Metodología Potencial de uso 2021</w:t>
        </w:r>
        <w:r>
          <w:rPr>
            <w:noProof/>
            <w:webHidden/>
          </w:rPr>
          <w:tab/>
        </w:r>
        <w:r>
          <w:rPr>
            <w:noProof/>
            <w:webHidden/>
          </w:rPr>
          <w:fldChar w:fldCharType="begin"/>
        </w:r>
        <w:r>
          <w:rPr>
            <w:noProof/>
            <w:webHidden/>
          </w:rPr>
          <w:instrText xml:space="preserve"> PAGEREF _Toc88677194 \h </w:instrText>
        </w:r>
        <w:r>
          <w:rPr>
            <w:noProof/>
            <w:webHidden/>
          </w:rPr>
        </w:r>
        <w:r>
          <w:rPr>
            <w:noProof/>
            <w:webHidden/>
          </w:rPr>
          <w:fldChar w:fldCharType="separate"/>
        </w:r>
        <w:r>
          <w:rPr>
            <w:noProof/>
            <w:webHidden/>
          </w:rPr>
          <w:t>129</w:t>
        </w:r>
        <w:r>
          <w:rPr>
            <w:noProof/>
            <w:webHidden/>
          </w:rPr>
          <w:fldChar w:fldCharType="end"/>
        </w:r>
      </w:hyperlink>
    </w:p>
    <w:p w14:paraId="76253EFA" w14:textId="59C4FD6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5" w:history="1">
        <w:r w:rsidRPr="0025069E">
          <w:rPr>
            <w:rStyle w:val="Hipervnculo"/>
            <w:rFonts w:cs="Arial"/>
            <w:b/>
            <w:noProof/>
          </w:rPr>
          <w:t>Ilustración 39. Estructura Funcional de la DIP</w:t>
        </w:r>
        <w:r>
          <w:rPr>
            <w:noProof/>
            <w:webHidden/>
          </w:rPr>
          <w:tab/>
        </w:r>
        <w:r>
          <w:rPr>
            <w:noProof/>
            <w:webHidden/>
          </w:rPr>
          <w:fldChar w:fldCharType="begin"/>
        </w:r>
        <w:r>
          <w:rPr>
            <w:noProof/>
            <w:webHidden/>
          </w:rPr>
          <w:instrText xml:space="preserve"> PAGEREF _Toc88677195 \h </w:instrText>
        </w:r>
        <w:r>
          <w:rPr>
            <w:noProof/>
            <w:webHidden/>
          </w:rPr>
        </w:r>
        <w:r>
          <w:rPr>
            <w:noProof/>
            <w:webHidden/>
          </w:rPr>
          <w:fldChar w:fldCharType="separate"/>
        </w:r>
        <w:r>
          <w:rPr>
            <w:noProof/>
            <w:webHidden/>
          </w:rPr>
          <w:t>160</w:t>
        </w:r>
        <w:r>
          <w:rPr>
            <w:noProof/>
            <w:webHidden/>
          </w:rPr>
          <w:fldChar w:fldCharType="end"/>
        </w:r>
      </w:hyperlink>
    </w:p>
    <w:p w14:paraId="0DEDF921" w14:textId="5B8D259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6" w:history="1">
        <w:r w:rsidRPr="0025069E">
          <w:rPr>
            <w:rStyle w:val="Hipervnculo"/>
            <w:rFonts w:cs="Arial"/>
            <w:b/>
            <w:noProof/>
          </w:rPr>
          <w:t>Ilustración 40. Subprocesos</w:t>
        </w:r>
        <w:r>
          <w:rPr>
            <w:noProof/>
            <w:webHidden/>
          </w:rPr>
          <w:tab/>
        </w:r>
        <w:r>
          <w:rPr>
            <w:noProof/>
            <w:webHidden/>
          </w:rPr>
          <w:fldChar w:fldCharType="begin"/>
        </w:r>
        <w:r>
          <w:rPr>
            <w:noProof/>
            <w:webHidden/>
          </w:rPr>
          <w:instrText xml:space="preserve"> PAGEREF _Toc88677196 \h </w:instrText>
        </w:r>
        <w:r>
          <w:rPr>
            <w:noProof/>
            <w:webHidden/>
          </w:rPr>
        </w:r>
        <w:r>
          <w:rPr>
            <w:noProof/>
            <w:webHidden/>
          </w:rPr>
          <w:fldChar w:fldCharType="separate"/>
        </w:r>
        <w:r>
          <w:rPr>
            <w:noProof/>
            <w:webHidden/>
          </w:rPr>
          <w:t>164</w:t>
        </w:r>
        <w:r>
          <w:rPr>
            <w:noProof/>
            <w:webHidden/>
          </w:rPr>
          <w:fldChar w:fldCharType="end"/>
        </w:r>
      </w:hyperlink>
    </w:p>
    <w:p w14:paraId="7D7B27A6" w14:textId="29B4D1B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7" w:history="1">
        <w:r w:rsidRPr="0025069E">
          <w:rPr>
            <w:rStyle w:val="Hipervnculo"/>
            <w:rFonts w:cs="Arial"/>
            <w:b/>
            <w:noProof/>
          </w:rPr>
          <w:t>Ilustración 41. Tablero de control - descargas del Geoportal</w:t>
        </w:r>
        <w:r>
          <w:rPr>
            <w:noProof/>
            <w:webHidden/>
          </w:rPr>
          <w:tab/>
        </w:r>
        <w:r>
          <w:rPr>
            <w:noProof/>
            <w:webHidden/>
          </w:rPr>
          <w:fldChar w:fldCharType="begin"/>
        </w:r>
        <w:r>
          <w:rPr>
            <w:noProof/>
            <w:webHidden/>
          </w:rPr>
          <w:instrText xml:space="preserve"> PAGEREF _Toc88677197 \h </w:instrText>
        </w:r>
        <w:r>
          <w:rPr>
            <w:noProof/>
            <w:webHidden/>
          </w:rPr>
        </w:r>
        <w:r>
          <w:rPr>
            <w:noProof/>
            <w:webHidden/>
          </w:rPr>
          <w:fldChar w:fldCharType="separate"/>
        </w:r>
        <w:r>
          <w:rPr>
            <w:noProof/>
            <w:webHidden/>
          </w:rPr>
          <w:t>210</w:t>
        </w:r>
        <w:r>
          <w:rPr>
            <w:noProof/>
            <w:webHidden/>
          </w:rPr>
          <w:fldChar w:fldCharType="end"/>
        </w:r>
      </w:hyperlink>
    </w:p>
    <w:p w14:paraId="78AD0223" w14:textId="05A6CF2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8" w:history="1">
        <w:r w:rsidRPr="0025069E">
          <w:rPr>
            <w:rStyle w:val="Hipervnculo"/>
            <w:rFonts w:cs="Arial"/>
            <w:b/>
            <w:noProof/>
          </w:rPr>
          <w:t>Ilustración 42. Estructura funcional subdirección de talento humano.</w:t>
        </w:r>
        <w:r>
          <w:rPr>
            <w:noProof/>
            <w:webHidden/>
          </w:rPr>
          <w:tab/>
        </w:r>
        <w:r>
          <w:rPr>
            <w:noProof/>
            <w:webHidden/>
          </w:rPr>
          <w:fldChar w:fldCharType="begin"/>
        </w:r>
        <w:r>
          <w:rPr>
            <w:noProof/>
            <w:webHidden/>
          </w:rPr>
          <w:instrText xml:space="preserve"> PAGEREF _Toc88677198 \h </w:instrText>
        </w:r>
        <w:r>
          <w:rPr>
            <w:noProof/>
            <w:webHidden/>
          </w:rPr>
        </w:r>
        <w:r>
          <w:rPr>
            <w:noProof/>
            <w:webHidden/>
          </w:rPr>
          <w:fldChar w:fldCharType="separate"/>
        </w:r>
        <w:r>
          <w:rPr>
            <w:noProof/>
            <w:webHidden/>
          </w:rPr>
          <w:t>217</w:t>
        </w:r>
        <w:r>
          <w:rPr>
            <w:noProof/>
            <w:webHidden/>
          </w:rPr>
          <w:fldChar w:fldCharType="end"/>
        </w:r>
      </w:hyperlink>
    </w:p>
    <w:p w14:paraId="2037FC37" w14:textId="17A8A30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199" w:history="1">
        <w:r w:rsidRPr="0025069E">
          <w:rPr>
            <w:rStyle w:val="Hipervnculo"/>
            <w:rFonts w:cs="Arial"/>
            <w:b/>
            <w:noProof/>
          </w:rPr>
          <w:t>Ilustración 43. Estructura funcional subdirección administrativa y financiera</w:t>
        </w:r>
        <w:r>
          <w:rPr>
            <w:noProof/>
            <w:webHidden/>
          </w:rPr>
          <w:tab/>
        </w:r>
        <w:r>
          <w:rPr>
            <w:noProof/>
            <w:webHidden/>
          </w:rPr>
          <w:fldChar w:fldCharType="begin"/>
        </w:r>
        <w:r>
          <w:rPr>
            <w:noProof/>
            <w:webHidden/>
          </w:rPr>
          <w:instrText xml:space="preserve"> PAGEREF _Toc88677199 \h </w:instrText>
        </w:r>
        <w:r>
          <w:rPr>
            <w:noProof/>
            <w:webHidden/>
          </w:rPr>
        </w:r>
        <w:r>
          <w:rPr>
            <w:noProof/>
            <w:webHidden/>
          </w:rPr>
          <w:fldChar w:fldCharType="separate"/>
        </w:r>
        <w:r>
          <w:rPr>
            <w:noProof/>
            <w:webHidden/>
          </w:rPr>
          <w:t>217</w:t>
        </w:r>
        <w:r>
          <w:rPr>
            <w:noProof/>
            <w:webHidden/>
          </w:rPr>
          <w:fldChar w:fldCharType="end"/>
        </w:r>
      </w:hyperlink>
    </w:p>
    <w:p w14:paraId="1ED39B6E" w14:textId="207F1FC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0" w:history="1">
        <w:r w:rsidRPr="0025069E">
          <w:rPr>
            <w:rStyle w:val="Hipervnculo"/>
            <w:rFonts w:cs="Arial"/>
            <w:b/>
            <w:noProof/>
          </w:rPr>
          <w:t>Ilustración 44. Componentes Plan de Bienestar e Incentivos 2021</w:t>
        </w:r>
        <w:r>
          <w:rPr>
            <w:noProof/>
            <w:webHidden/>
          </w:rPr>
          <w:tab/>
        </w:r>
        <w:r>
          <w:rPr>
            <w:noProof/>
            <w:webHidden/>
          </w:rPr>
          <w:fldChar w:fldCharType="begin"/>
        </w:r>
        <w:r>
          <w:rPr>
            <w:noProof/>
            <w:webHidden/>
          </w:rPr>
          <w:instrText xml:space="preserve"> PAGEREF _Toc88677200 \h </w:instrText>
        </w:r>
        <w:r>
          <w:rPr>
            <w:noProof/>
            <w:webHidden/>
          </w:rPr>
        </w:r>
        <w:r>
          <w:rPr>
            <w:noProof/>
            <w:webHidden/>
          </w:rPr>
          <w:fldChar w:fldCharType="separate"/>
        </w:r>
        <w:r>
          <w:rPr>
            <w:noProof/>
            <w:webHidden/>
          </w:rPr>
          <w:t>240</w:t>
        </w:r>
        <w:r>
          <w:rPr>
            <w:noProof/>
            <w:webHidden/>
          </w:rPr>
          <w:fldChar w:fldCharType="end"/>
        </w:r>
      </w:hyperlink>
    </w:p>
    <w:p w14:paraId="36FE8F72" w14:textId="07F9748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1" w:history="1">
        <w:r w:rsidRPr="0025069E">
          <w:rPr>
            <w:rStyle w:val="Hipervnculo"/>
            <w:b/>
            <w:noProof/>
          </w:rPr>
          <w:t>Ilustración 45. Implementación de la modernización</w:t>
        </w:r>
        <w:r>
          <w:rPr>
            <w:noProof/>
            <w:webHidden/>
          </w:rPr>
          <w:tab/>
        </w:r>
        <w:r>
          <w:rPr>
            <w:noProof/>
            <w:webHidden/>
          </w:rPr>
          <w:fldChar w:fldCharType="begin"/>
        </w:r>
        <w:r>
          <w:rPr>
            <w:noProof/>
            <w:webHidden/>
          </w:rPr>
          <w:instrText xml:space="preserve"> PAGEREF _Toc88677201 \h </w:instrText>
        </w:r>
        <w:r>
          <w:rPr>
            <w:noProof/>
            <w:webHidden/>
          </w:rPr>
        </w:r>
        <w:r>
          <w:rPr>
            <w:noProof/>
            <w:webHidden/>
          </w:rPr>
          <w:fldChar w:fldCharType="separate"/>
        </w:r>
        <w:r>
          <w:rPr>
            <w:noProof/>
            <w:webHidden/>
          </w:rPr>
          <w:t>240</w:t>
        </w:r>
        <w:r>
          <w:rPr>
            <w:noProof/>
            <w:webHidden/>
          </w:rPr>
          <w:fldChar w:fldCharType="end"/>
        </w:r>
      </w:hyperlink>
    </w:p>
    <w:p w14:paraId="5ED1E300" w14:textId="73713E8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2" w:history="1">
        <w:r w:rsidRPr="0025069E">
          <w:rPr>
            <w:rStyle w:val="Hipervnculo"/>
            <w:rFonts w:eastAsia="Arial" w:cs="Arial"/>
            <w:b/>
            <w:noProof/>
            <w:lang w:val="es-MX"/>
          </w:rPr>
          <w:t>Ilustración 46. Avance ejecución del Plan Anual de Trabajo de SST - Corte 31 de octubre 2021</w:t>
        </w:r>
        <w:r>
          <w:rPr>
            <w:noProof/>
            <w:webHidden/>
          </w:rPr>
          <w:tab/>
        </w:r>
        <w:r>
          <w:rPr>
            <w:noProof/>
            <w:webHidden/>
          </w:rPr>
          <w:fldChar w:fldCharType="begin"/>
        </w:r>
        <w:r>
          <w:rPr>
            <w:noProof/>
            <w:webHidden/>
          </w:rPr>
          <w:instrText xml:space="preserve"> PAGEREF _Toc88677202 \h </w:instrText>
        </w:r>
        <w:r>
          <w:rPr>
            <w:noProof/>
            <w:webHidden/>
          </w:rPr>
        </w:r>
        <w:r>
          <w:rPr>
            <w:noProof/>
            <w:webHidden/>
          </w:rPr>
          <w:fldChar w:fldCharType="separate"/>
        </w:r>
        <w:r>
          <w:rPr>
            <w:noProof/>
            <w:webHidden/>
          </w:rPr>
          <w:t>241</w:t>
        </w:r>
        <w:r>
          <w:rPr>
            <w:noProof/>
            <w:webHidden/>
          </w:rPr>
          <w:fldChar w:fldCharType="end"/>
        </w:r>
      </w:hyperlink>
    </w:p>
    <w:p w14:paraId="34FE67FE" w14:textId="5AFD438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3" w:history="1">
        <w:r w:rsidRPr="0025069E">
          <w:rPr>
            <w:rStyle w:val="Hipervnculo"/>
            <w:b/>
            <w:noProof/>
          </w:rPr>
          <w:t>Ilustración 47. Capacitaciones realizadas 2021</w:t>
        </w:r>
        <w:r>
          <w:rPr>
            <w:noProof/>
            <w:webHidden/>
          </w:rPr>
          <w:tab/>
        </w:r>
        <w:r>
          <w:rPr>
            <w:noProof/>
            <w:webHidden/>
          </w:rPr>
          <w:fldChar w:fldCharType="begin"/>
        </w:r>
        <w:r>
          <w:rPr>
            <w:noProof/>
            <w:webHidden/>
          </w:rPr>
          <w:instrText xml:space="preserve"> PAGEREF _Toc88677203 \h </w:instrText>
        </w:r>
        <w:r>
          <w:rPr>
            <w:noProof/>
            <w:webHidden/>
          </w:rPr>
        </w:r>
        <w:r>
          <w:rPr>
            <w:noProof/>
            <w:webHidden/>
          </w:rPr>
          <w:fldChar w:fldCharType="separate"/>
        </w:r>
        <w:r>
          <w:rPr>
            <w:noProof/>
            <w:webHidden/>
          </w:rPr>
          <w:t>242</w:t>
        </w:r>
        <w:r>
          <w:rPr>
            <w:noProof/>
            <w:webHidden/>
          </w:rPr>
          <w:fldChar w:fldCharType="end"/>
        </w:r>
      </w:hyperlink>
    </w:p>
    <w:p w14:paraId="1EE851D1" w14:textId="4C958E6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4" w:history="1">
        <w:r w:rsidRPr="0025069E">
          <w:rPr>
            <w:rStyle w:val="Hipervnculo"/>
            <w:rFonts w:cs="Arial"/>
            <w:b/>
            <w:noProof/>
          </w:rPr>
          <w:t>Ilustración 48. Estructura Funcional</w:t>
        </w:r>
        <w:r>
          <w:rPr>
            <w:noProof/>
            <w:webHidden/>
          </w:rPr>
          <w:tab/>
        </w:r>
        <w:r>
          <w:rPr>
            <w:noProof/>
            <w:webHidden/>
          </w:rPr>
          <w:fldChar w:fldCharType="begin"/>
        </w:r>
        <w:r>
          <w:rPr>
            <w:noProof/>
            <w:webHidden/>
          </w:rPr>
          <w:instrText xml:space="preserve"> PAGEREF _Toc88677204 \h </w:instrText>
        </w:r>
        <w:r>
          <w:rPr>
            <w:noProof/>
            <w:webHidden/>
          </w:rPr>
        </w:r>
        <w:r>
          <w:rPr>
            <w:noProof/>
            <w:webHidden/>
          </w:rPr>
          <w:fldChar w:fldCharType="separate"/>
        </w:r>
        <w:r>
          <w:rPr>
            <w:noProof/>
            <w:webHidden/>
          </w:rPr>
          <w:t>257</w:t>
        </w:r>
        <w:r>
          <w:rPr>
            <w:noProof/>
            <w:webHidden/>
          </w:rPr>
          <w:fldChar w:fldCharType="end"/>
        </w:r>
      </w:hyperlink>
    </w:p>
    <w:p w14:paraId="519790E6" w14:textId="67BC551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5" w:history="1">
        <w:r w:rsidRPr="0025069E">
          <w:rPr>
            <w:rStyle w:val="Hipervnculo"/>
            <w:rFonts w:cs="Arial"/>
            <w:b/>
            <w:bCs/>
            <w:noProof/>
          </w:rPr>
          <w:t>Ilustración 49. PQRSDF</w:t>
        </w:r>
        <w:r>
          <w:rPr>
            <w:noProof/>
            <w:webHidden/>
          </w:rPr>
          <w:tab/>
        </w:r>
        <w:r>
          <w:rPr>
            <w:noProof/>
            <w:webHidden/>
          </w:rPr>
          <w:fldChar w:fldCharType="begin"/>
        </w:r>
        <w:r>
          <w:rPr>
            <w:noProof/>
            <w:webHidden/>
          </w:rPr>
          <w:instrText xml:space="preserve"> PAGEREF _Toc88677205 \h </w:instrText>
        </w:r>
        <w:r>
          <w:rPr>
            <w:noProof/>
            <w:webHidden/>
          </w:rPr>
        </w:r>
        <w:r>
          <w:rPr>
            <w:noProof/>
            <w:webHidden/>
          </w:rPr>
          <w:fldChar w:fldCharType="separate"/>
        </w:r>
        <w:r>
          <w:rPr>
            <w:noProof/>
            <w:webHidden/>
          </w:rPr>
          <w:t>261</w:t>
        </w:r>
        <w:r>
          <w:rPr>
            <w:noProof/>
            <w:webHidden/>
          </w:rPr>
          <w:fldChar w:fldCharType="end"/>
        </w:r>
      </w:hyperlink>
    </w:p>
    <w:p w14:paraId="3E9E9674" w14:textId="763727FB"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6" w:history="1">
        <w:r w:rsidRPr="0025069E">
          <w:rPr>
            <w:rStyle w:val="Hipervnculo"/>
            <w:rFonts w:cs="Arial"/>
            <w:b/>
            <w:bCs/>
            <w:noProof/>
          </w:rPr>
          <w:t>Ilustración 50. PQRSD Vigencias anteriores</w:t>
        </w:r>
        <w:r>
          <w:rPr>
            <w:noProof/>
            <w:webHidden/>
          </w:rPr>
          <w:tab/>
        </w:r>
        <w:r>
          <w:rPr>
            <w:noProof/>
            <w:webHidden/>
          </w:rPr>
          <w:fldChar w:fldCharType="begin"/>
        </w:r>
        <w:r>
          <w:rPr>
            <w:noProof/>
            <w:webHidden/>
          </w:rPr>
          <w:instrText xml:space="preserve"> PAGEREF _Toc88677206 \h </w:instrText>
        </w:r>
        <w:r>
          <w:rPr>
            <w:noProof/>
            <w:webHidden/>
          </w:rPr>
        </w:r>
        <w:r>
          <w:rPr>
            <w:noProof/>
            <w:webHidden/>
          </w:rPr>
          <w:fldChar w:fldCharType="separate"/>
        </w:r>
        <w:r>
          <w:rPr>
            <w:noProof/>
            <w:webHidden/>
          </w:rPr>
          <w:t>265</w:t>
        </w:r>
        <w:r>
          <w:rPr>
            <w:noProof/>
            <w:webHidden/>
          </w:rPr>
          <w:fldChar w:fldCharType="end"/>
        </w:r>
      </w:hyperlink>
    </w:p>
    <w:p w14:paraId="64FEC43E" w14:textId="13EF1C4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7" w:history="1">
        <w:r w:rsidRPr="0025069E">
          <w:rPr>
            <w:rStyle w:val="Hipervnculo"/>
            <w:rFonts w:cs="Arial"/>
            <w:b/>
            <w:noProof/>
          </w:rPr>
          <w:t>Ilustración 51. Participación ciudadana y rendición de cuentas</w:t>
        </w:r>
        <w:r>
          <w:rPr>
            <w:noProof/>
            <w:webHidden/>
          </w:rPr>
          <w:tab/>
        </w:r>
        <w:r>
          <w:rPr>
            <w:noProof/>
            <w:webHidden/>
          </w:rPr>
          <w:fldChar w:fldCharType="begin"/>
        </w:r>
        <w:r>
          <w:rPr>
            <w:noProof/>
            <w:webHidden/>
          </w:rPr>
          <w:instrText xml:space="preserve"> PAGEREF _Toc88677207 \h </w:instrText>
        </w:r>
        <w:r>
          <w:rPr>
            <w:noProof/>
            <w:webHidden/>
          </w:rPr>
        </w:r>
        <w:r>
          <w:rPr>
            <w:noProof/>
            <w:webHidden/>
          </w:rPr>
          <w:fldChar w:fldCharType="separate"/>
        </w:r>
        <w:r>
          <w:rPr>
            <w:noProof/>
            <w:webHidden/>
          </w:rPr>
          <w:t>266</w:t>
        </w:r>
        <w:r>
          <w:rPr>
            <w:noProof/>
            <w:webHidden/>
          </w:rPr>
          <w:fldChar w:fldCharType="end"/>
        </w:r>
      </w:hyperlink>
    </w:p>
    <w:p w14:paraId="1CBB7224" w14:textId="6FC0C5C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8" w:history="1">
        <w:r w:rsidRPr="0025069E">
          <w:rPr>
            <w:rStyle w:val="Hipervnculo"/>
            <w:rFonts w:cs="Arial"/>
            <w:b/>
            <w:bCs/>
            <w:noProof/>
          </w:rPr>
          <w:t>Ilustración 52. Funciones Equipo Líder</w:t>
        </w:r>
        <w:r>
          <w:rPr>
            <w:noProof/>
            <w:webHidden/>
          </w:rPr>
          <w:tab/>
        </w:r>
        <w:r>
          <w:rPr>
            <w:noProof/>
            <w:webHidden/>
          </w:rPr>
          <w:fldChar w:fldCharType="begin"/>
        </w:r>
        <w:r>
          <w:rPr>
            <w:noProof/>
            <w:webHidden/>
          </w:rPr>
          <w:instrText xml:space="preserve"> PAGEREF _Toc88677208 \h </w:instrText>
        </w:r>
        <w:r>
          <w:rPr>
            <w:noProof/>
            <w:webHidden/>
          </w:rPr>
        </w:r>
        <w:r>
          <w:rPr>
            <w:noProof/>
            <w:webHidden/>
          </w:rPr>
          <w:fldChar w:fldCharType="separate"/>
        </w:r>
        <w:r>
          <w:rPr>
            <w:noProof/>
            <w:webHidden/>
          </w:rPr>
          <w:t>267</w:t>
        </w:r>
        <w:r>
          <w:rPr>
            <w:noProof/>
            <w:webHidden/>
          </w:rPr>
          <w:fldChar w:fldCharType="end"/>
        </w:r>
      </w:hyperlink>
    </w:p>
    <w:p w14:paraId="5E168CF8" w14:textId="60F7D04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09" w:history="1">
        <w:r w:rsidRPr="0025069E">
          <w:rPr>
            <w:rStyle w:val="Hipervnculo"/>
            <w:b/>
            <w:bCs/>
            <w:noProof/>
          </w:rPr>
          <w:t xml:space="preserve">Ilustración 53. </w:t>
        </w:r>
        <w:r w:rsidRPr="0025069E">
          <w:rPr>
            <w:rStyle w:val="Hipervnculo"/>
            <w:b/>
            <w:noProof/>
          </w:rPr>
          <w:t>Autodiagnósticos</w:t>
        </w:r>
        <w:r>
          <w:rPr>
            <w:noProof/>
            <w:webHidden/>
          </w:rPr>
          <w:tab/>
        </w:r>
        <w:r>
          <w:rPr>
            <w:noProof/>
            <w:webHidden/>
          </w:rPr>
          <w:fldChar w:fldCharType="begin"/>
        </w:r>
        <w:r>
          <w:rPr>
            <w:noProof/>
            <w:webHidden/>
          </w:rPr>
          <w:instrText xml:space="preserve"> PAGEREF _Toc88677209 \h </w:instrText>
        </w:r>
        <w:r>
          <w:rPr>
            <w:noProof/>
            <w:webHidden/>
          </w:rPr>
        </w:r>
        <w:r>
          <w:rPr>
            <w:noProof/>
            <w:webHidden/>
          </w:rPr>
          <w:fldChar w:fldCharType="separate"/>
        </w:r>
        <w:r>
          <w:rPr>
            <w:noProof/>
            <w:webHidden/>
          </w:rPr>
          <w:t>268</w:t>
        </w:r>
        <w:r>
          <w:rPr>
            <w:noProof/>
            <w:webHidden/>
          </w:rPr>
          <w:fldChar w:fldCharType="end"/>
        </w:r>
      </w:hyperlink>
    </w:p>
    <w:p w14:paraId="222AE149" w14:textId="416DFAA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0" w:history="1">
        <w:r w:rsidRPr="0025069E">
          <w:rPr>
            <w:rStyle w:val="Hipervnculo"/>
            <w:rFonts w:cs="Arial"/>
            <w:b/>
            <w:bCs/>
            <w:noProof/>
          </w:rPr>
          <w:t>Ilustración 54. Racionalización de trámites</w:t>
        </w:r>
        <w:r>
          <w:rPr>
            <w:noProof/>
            <w:webHidden/>
          </w:rPr>
          <w:tab/>
        </w:r>
        <w:r>
          <w:rPr>
            <w:noProof/>
            <w:webHidden/>
          </w:rPr>
          <w:fldChar w:fldCharType="begin"/>
        </w:r>
        <w:r>
          <w:rPr>
            <w:noProof/>
            <w:webHidden/>
          </w:rPr>
          <w:instrText xml:space="preserve"> PAGEREF _Toc88677210 \h </w:instrText>
        </w:r>
        <w:r>
          <w:rPr>
            <w:noProof/>
            <w:webHidden/>
          </w:rPr>
        </w:r>
        <w:r>
          <w:rPr>
            <w:noProof/>
            <w:webHidden/>
          </w:rPr>
          <w:fldChar w:fldCharType="separate"/>
        </w:r>
        <w:r>
          <w:rPr>
            <w:noProof/>
            <w:webHidden/>
          </w:rPr>
          <w:t>273</w:t>
        </w:r>
        <w:r>
          <w:rPr>
            <w:noProof/>
            <w:webHidden/>
          </w:rPr>
          <w:fldChar w:fldCharType="end"/>
        </w:r>
      </w:hyperlink>
    </w:p>
    <w:p w14:paraId="6211632B" w14:textId="3373EFC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1" w:history="1">
        <w:r w:rsidRPr="0025069E">
          <w:rPr>
            <w:rStyle w:val="Hipervnculo"/>
            <w:rFonts w:cs="Arial"/>
            <w:b/>
            <w:bCs/>
            <w:noProof/>
          </w:rPr>
          <w:t>Ilustración 55. Canales de Atención</w:t>
        </w:r>
        <w:r>
          <w:rPr>
            <w:noProof/>
            <w:webHidden/>
          </w:rPr>
          <w:tab/>
        </w:r>
        <w:r>
          <w:rPr>
            <w:noProof/>
            <w:webHidden/>
          </w:rPr>
          <w:fldChar w:fldCharType="begin"/>
        </w:r>
        <w:r>
          <w:rPr>
            <w:noProof/>
            <w:webHidden/>
          </w:rPr>
          <w:instrText xml:space="preserve"> PAGEREF _Toc88677211 \h </w:instrText>
        </w:r>
        <w:r>
          <w:rPr>
            <w:noProof/>
            <w:webHidden/>
          </w:rPr>
        </w:r>
        <w:r>
          <w:rPr>
            <w:noProof/>
            <w:webHidden/>
          </w:rPr>
          <w:fldChar w:fldCharType="separate"/>
        </w:r>
        <w:r>
          <w:rPr>
            <w:noProof/>
            <w:webHidden/>
          </w:rPr>
          <w:t>276</w:t>
        </w:r>
        <w:r>
          <w:rPr>
            <w:noProof/>
            <w:webHidden/>
          </w:rPr>
          <w:fldChar w:fldCharType="end"/>
        </w:r>
      </w:hyperlink>
    </w:p>
    <w:p w14:paraId="5016448F" w14:textId="2B60328A"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2" w:history="1">
        <w:r w:rsidRPr="0025069E">
          <w:rPr>
            <w:rStyle w:val="Hipervnculo"/>
            <w:rFonts w:cs="Arial"/>
            <w:b/>
            <w:noProof/>
          </w:rPr>
          <w:t>Ilustración 56. Relación atención telefónica 2021</w:t>
        </w:r>
        <w:r>
          <w:rPr>
            <w:noProof/>
            <w:webHidden/>
          </w:rPr>
          <w:tab/>
        </w:r>
        <w:r>
          <w:rPr>
            <w:noProof/>
            <w:webHidden/>
          </w:rPr>
          <w:fldChar w:fldCharType="begin"/>
        </w:r>
        <w:r>
          <w:rPr>
            <w:noProof/>
            <w:webHidden/>
          </w:rPr>
          <w:instrText xml:space="preserve"> PAGEREF _Toc88677212 \h </w:instrText>
        </w:r>
        <w:r>
          <w:rPr>
            <w:noProof/>
            <w:webHidden/>
          </w:rPr>
        </w:r>
        <w:r>
          <w:rPr>
            <w:noProof/>
            <w:webHidden/>
          </w:rPr>
          <w:fldChar w:fldCharType="separate"/>
        </w:r>
        <w:r>
          <w:rPr>
            <w:noProof/>
            <w:webHidden/>
          </w:rPr>
          <w:t>277</w:t>
        </w:r>
        <w:r>
          <w:rPr>
            <w:noProof/>
            <w:webHidden/>
          </w:rPr>
          <w:fldChar w:fldCharType="end"/>
        </w:r>
      </w:hyperlink>
    </w:p>
    <w:p w14:paraId="0150F6EC" w14:textId="674CAC5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3" w:history="1">
        <w:r w:rsidRPr="0025069E">
          <w:rPr>
            <w:rStyle w:val="Hipervnculo"/>
            <w:rFonts w:cs="Arial"/>
            <w:b/>
            <w:noProof/>
          </w:rPr>
          <w:t xml:space="preserve">Ilustración </w:t>
        </w:r>
        <w:r w:rsidRPr="0025069E">
          <w:rPr>
            <w:rStyle w:val="Hipervnculo"/>
            <w:rFonts w:cs="Arial"/>
            <w:b/>
            <w:bCs/>
            <w:noProof/>
          </w:rPr>
          <w:t>57.</w:t>
        </w:r>
        <w:r w:rsidRPr="0025069E">
          <w:rPr>
            <w:rStyle w:val="Hipervnculo"/>
            <w:rFonts w:cs="Arial"/>
            <w:b/>
            <w:noProof/>
          </w:rPr>
          <w:t xml:space="preserve"> Estructura </w:t>
        </w:r>
        <w:r w:rsidRPr="0025069E">
          <w:rPr>
            <w:rStyle w:val="Hipervnculo"/>
            <w:rFonts w:cs="Arial"/>
            <w:b/>
            <w:bCs/>
            <w:noProof/>
          </w:rPr>
          <w:t>Funcional</w:t>
        </w:r>
        <w:r>
          <w:rPr>
            <w:noProof/>
            <w:webHidden/>
          </w:rPr>
          <w:tab/>
        </w:r>
        <w:r>
          <w:rPr>
            <w:noProof/>
            <w:webHidden/>
          </w:rPr>
          <w:fldChar w:fldCharType="begin"/>
        </w:r>
        <w:r>
          <w:rPr>
            <w:noProof/>
            <w:webHidden/>
          </w:rPr>
          <w:instrText xml:space="preserve"> PAGEREF _Toc88677213 \h </w:instrText>
        </w:r>
        <w:r>
          <w:rPr>
            <w:noProof/>
            <w:webHidden/>
          </w:rPr>
        </w:r>
        <w:r>
          <w:rPr>
            <w:noProof/>
            <w:webHidden/>
          </w:rPr>
          <w:fldChar w:fldCharType="separate"/>
        </w:r>
        <w:r>
          <w:rPr>
            <w:noProof/>
            <w:webHidden/>
          </w:rPr>
          <w:t>285</w:t>
        </w:r>
        <w:r>
          <w:rPr>
            <w:noProof/>
            <w:webHidden/>
          </w:rPr>
          <w:fldChar w:fldCharType="end"/>
        </w:r>
      </w:hyperlink>
    </w:p>
    <w:p w14:paraId="1A1D6E77" w14:textId="3F2510D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4" w:history="1">
        <w:r w:rsidRPr="0025069E">
          <w:rPr>
            <w:rStyle w:val="Hipervnculo"/>
            <w:rFonts w:cs="Arial"/>
            <w:b/>
            <w:noProof/>
          </w:rPr>
          <w:t>Ilustración 58. Estructura funcional</w:t>
        </w:r>
        <w:r>
          <w:rPr>
            <w:noProof/>
            <w:webHidden/>
          </w:rPr>
          <w:tab/>
        </w:r>
        <w:r>
          <w:rPr>
            <w:noProof/>
            <w:webHidden/>
          </w:rPr>
          <w:fldChar w:fldCharType="begin"/>
        </w:r>
        <w:r>
          <w:rPr>
            <w:noProof/>
            <w:webHidden/>
          </w:rPr>
          <w:instrText xml:space="preserve"> PAGEREF _Toc88677214 \h </w:instrText>
        </w:r>
        <w:r>
          <w:rPr>
            <w:noProof/>
            <w:webHidden/>
          </w:rPr>
        </w:r>
        <w:r>
          <w:rPr>
            <w:noProof/>
            <w:webHidden/>
          </w:rPr>
          <w:fldChar w:fldCharType="separate"/>
        </w:r>
        <w:r>
          <w:rPr>
            <w:noProof/>
            <w:webHidden/>
          </w:rPr>
          <w:t>294</w:t>
        </w:r>
        <w:r>
          <w:rPr>
            <w:noProof/>
            <w:webHidden/>
          </w:rPr>
          <w:fldChar w:fldCharType="end"/>
        </w:r>
      </w:hyperlink>
    </w:p>
    <w:p w14:paraId="76237D95" w14:textId="43C88D0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5" w:history="1">
        <w:r w:rsidRPr="0025069E">
          <w:rPr>
            <w:rStyle w:val="Hipervnculo"/>
            <w:rFonts w:cs="Arial"/>
            <w:b/>
            <w:noProof/>
          </w:rPr>
          <w:t>Ilustración 59. Nuevo Listado Maestro de Documentos</w:t>
        </w:r>
        <w:r>
          <w:rPr>
            <w:noProof/>
            <w:webHidden/>
          </w:rPr>
          <w:tab/>
        </w:r>
        <w:r>
          <w:rPr>
            <w:noProof/>
            <w:webHidden/>
          </w:rPr>
          <w:fldChar w:fldCharType="begin"/>
        </w:r>
        <w:r>
          <w:rPr>
            <w:noProof/>
            <w:webHidden/>
          </w:rPr>
          <w:instrText xml:space="preserve"> PAGEREF _Toc88677215 \h </w:instrText>
        </w:r>
        <w:r>
          <w:rPr>
            <w:noProof/>
            <w:webHidden/>
          </w:rPr>
        </w:r>
        <w:r>
          <w:rPr>
            <w:noProof/>
            <w:webHidden/>
          </w:rPr>
          <w:fldChar w:fldCharType="separate"/>
        </w:r>
        <w:r>
          <w:rPr>
            <w:noProof/>
            <w:webHidden/>
          </w:rPr>
          <w:t>304</w:t>
        </w:r>
        <w:r>
          <w:rPr>
            <w:noProof/>
            <w:webHidden/>
          </w:rPr>
          <w:fldChar w:fldCharType="end"/>
        </w:r>
      </w:hyperlink>
    </w:p>
    <w:p w14:paraId="4A95A4DE" w14:textId="605E149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6" w:history="1">
        <w:r w:rsidRPr="0025069E">
          <w:rPr>
            <w:rStyle w:val="Hipervnculo"/>
            <w:rFonts w:cs="Arial"/>
            <w:b/>
            <w:noProof/>
          </w:rPr>
          <w:t>Ilustración 60. Mapa de procesos anterior</w:t>
        </w:r>
        <w:r>
          <w:rPr>
            <w:noProof/>
            <w:webHidden/>
          </w:rPr>
          <w:tab/>
        </w:r>
        <w:r>
          <w:rPr>
            <w:noProof/>
            <w:webHidden/>
          </w:rPr>
          <w:fldChar w:fldCharType="begin"/>
        </w:r>
        <w:r>
          <w:rPr>
            <w:noProof/>
            <w:webHidden/>
          </w:rPr>
          <w:instrText xml:space="preserve"> PAGEREF _Toc88677216 \h </w:instrText>
        </w:r>
        <w:r>
          <w:rPr>
            <w:noProof/>
            <w:webHidden/>
          </w:rPr>
        </w:r>
        <w:r>
          <w:rPr>
            <w:noProof/>
            <w:webHidden/>
          </w:rPr>
          <w:fldChar w:fldCharType="separate"/>
        </w:r>
        <w:r>
          <w:rPr>
            <w:noProof/>
            <w:webHidden/>
          </w:rPr>
          <w:t>305</w:t>
        </w:r>
        <w:r>
          <w:rPr>
            <w:noProof/>
            <w:webHidden/>
          </w:rPr>
          <w:fldChar w:fldCharType="end"/>
        </w:r>
      </w:hyperlink>
    </w:p>
    <w:p w14:paraId="69E2B1E3" w14:textId="10D95E67"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7" w:history="1">
        <w:r w:rsidRPr="0025069E">
          <w:rPr>
            <w:rStyle w:val="Hipervnculo"/>
            <w:rFonts w:cs="Arial"/>
            <w:b/>
            <w:noProof/>
          </w:rPr>
          <w:t>Ilustración 61. Nuevo mapa de procesos</w:t>
        </w:r>
        <w:r>
          <w:rPr>
            <w:noProof/>
            <w:webHidden/>
          </w:rPr>
          <w:tab/>
        </w:r>
        <w:r>
          <w:rPr>
            <w:noProof/>
            <w:webHidden/>
          </w:rPr>
          <w:fldChar w:fldCharType="begin"/>
        </w:r>
        <w:r>
          <w:rPr>
            <w:noProof/>
            <w:webHidden/>
          </w:rPr>
          <w:instrText xml:space="preserve"> PAGEREF _Toc88677217 \h </w:instrText>
        </w:r>
        <w:r>
          <w:rPr>
            <w:noProof/>
            <w:webHidden/>
          </w:rPr>
        </w:r>
        <w:r>
          <w:rPr>
            <w:noProof/>
            <w:webHidden/>
          </w:rPr>
          <w:fldChar w:fldCharType="separate"/>
        </w:r>
        <w:r>
          <w:rPr>
            <w:noProof/>
            <w:webHidden/>
          </w:rPr>
          <w:t>305</w:t>
        </w:r>
        <w:r>
          <w:rPr>
            <w:noProof/>
            <w:webHidden/>
          </w:rPr>
          <w:fldChar w:fldCharType="end"/>
        </w:r>
      </w:hyperlink>
    </w:p>
    <w:p w14:paraId="38CF381E" w14:textId="174BB8CF"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8" w:history="1">
        <w:r w:rsidRPr="0025069E">
          <w:rPr>
            <w:rStyle w:val="Hipervnculo"/>
            <w:rFonts w:cs="Arial"/>
            <w:b/>
            <w:noProof/>
          </w:rPr>
          <w:t>Ilustración 62. Sistema de Gestión Ambiental</w:t>
        </w:r>
        <w:r>
          <w:rPr>
            <w:noProof/>
            <w:webHidden/>
          </w:rPr>
          <w:tab/>
        </w:r>
        <w:r>
          <w:rPr>
            <w:noProof/>
            <w:webHidden/>
          </w:rPr>
          <w:fldChar w:fldCharType="begin"/>
        </w:r>
        <w:r>
          <w:rPr>
            <w:noProof/>
            <w:webHidden/>
          </w:rPr>
          <w:instrText xml:space="preserve"> PAGEREF _Toc88677218 \h </w:instrText>
        </w:r>
        <w:r>
          <w:rPr>
            <w:noProof/>
            <w:webHidden/>
          </w:rPr>
        </w:r>
        <w:r>
          <w:rPr>
            <w:noProof/>
            <w:webHidden/>
          </w:rPr>
          <w:fldChar w:fldCharType="separate"/>
        </w:r>
        <w:r>
          <w:rPr>
            <w:noProof/>
            <w:webHidden/>
          </w:rPr>
          <w:t>306</w:t>
        </w:r>
        <w:r>
          <w:rPr>
            <w:noProof/>
            <w:webHidden/>
          </w:rPr>
          <w:fldChar w:fldCharType="end"/>
        </w:r>
      </w:hyperlink>
    </w:p>
    <w:p w14:paraId="00A8AAE6" w14:textId="492DD65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19" w:history="1">
        <w:r w:rsidRPr="0025069E">
          <w:rPr>
            <w:rStyle w:val="Hipervnculo"/>
            <w:rFonts w:cs="Arial"/>
            <w:b/>
            <w:noProof/>
          </w:rPr>
          <w:t>Ilustración 63. Estructura Funcional OAJ</w:t>
        </w:r>
        <w:r>
          <w:rPr>
            <w:noProof/>
            <w:webHidden/>
          </w:rPr>
          <w:tab/>
        </w:r>
        <w:r>
          <w:rPr>
            <w:noProof/>
            <w:webHidden/>
          </w:rPr>
          <w:fldChar w:fldCharType="begin"/>
        </w:r>
        <w:r>
          <w:rPr>
            <w:noProof/>
            <w:webHidden/>
          </w:rPr>
          <w:instrText xml:space="preserve"> PAGEREF _Toc88677219 \h </w:instrText>
        </w:r>
        <w:r>
          <w:rPr>
            <w:noProof/>
            <w:webHidden/>
          </w:rPr>
        </w:r>
        <w:r>
          <w:rPr>
            <w:noProof/>
            <w:webHidden/>
          </w:rPr>
          <w:fldChar w:fldCharType="separate"/>
        </w:r>
        <w:r>
          <w:rPr>
            <w:noProof/>
            <w:webHidden/>
          </w:rPr>
          <w:t>318</w:t>
        </w:r>
        <w:r>
          <w:rPr>
            <w:noProof/>
            <w:webHidden/>
          </w:rPr>
          <w:fldChar w:fldCharType="end"/>
        </w:r>
      </w:hyperlink>
    </w:p>
    <w:p w14:paraId="61B0DE6B" w14:textId="027FD7B2"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0" w:history="1">
        <w:r w:rsidRPr="0025069E">
          <w:rPr>
            <w:rStyle w:val="Hipervnculo"/>
            <w:rFonts w:cs="Arial"/>
            <w:b/>
            <w:noProof/>
          </w:rPr>
          <w:t>Ilustración 64. Informe de litigiosidad corte 30 junio 2021</w:t>
        </w:r>
        <w:r>
          <w:rPr>
            <w:noProof/>
            <w:webHidden/>
          </w:rPr>
          <w:tab/>
        </w:r>
        <w:r>
          <w:rPr>
            <w:noProof/>
            <w:webHidden/>
          </w:rPr>
          <w:fldChar w:fldCharType="begin"/>
        </w:r>
        <w:r>
          <w:rPr>
            <w:noProof/>
            <w:webHidden/>
          </w:rPr>
          <w:instrText xml:space="preserve"> PAGEREF _Toc88677220 \h </w:instrText>
        </w:r>
        <w:r>
          <w:rPr>
            <w:noProof/>
            <w:webHidden/>
          </w:rPr>
        </w:r>
        <w:r>
          <w:rPr>
            <w:noProof/>
            <w:webHidden/>
          </w:rPr>
          <w:fldChar w:fldCharType="separate"/>
        </w:r>
        <w:r>
          <w:rPr>
            <w:noProof/>
            <w:webHidden/>
          </w:rPr>
          <w:t>321</w:t>
        </w:r>
        <w:r>
          <w:rPr>
            <w:noProof/>
            <w:webHidden/>
          </w:rPr>
          <w:fldChar w:fldCharType="end"/>
        </w:r>
      </w:hyperlink>
    </w:p>
    <w:p w14:paraId="595196CC" w14:textId="27DED52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1" w:history="1">
        <w:r w:rsidRPr="0025069E">
          <w:rPr>
            <w:rStyle w:val="Hipervnculo"/>
            <w:rFonts w:cs="Arial"/>
            <w:b/>
            <w:noProof/>
          </w:rPr>
          <w:t>Ilustración 65. Número de Procesos</w:t>
        </w:r>
        <w:r>
          <w:rPr>
            <w:noProof/>
            <w:webHidden/>
          </w:rPr>
          <w:tab/>
        </w:r>
        <w:r>
          <w:rPr>
            <w:noProof/>
            <w:webHidden/>
          </w:rPr>
          <w:fldChar w:fldCharType="begin"/>
        </w:r>
        <w:r>
          <w:rPr>
            <w:noProof/>
            <w:webHidden/>
          </w:rPr>
          <w:instrText xml:space="preserve"> PAGEREF _Toc88677221 \h </w:instrText>
        </w:r>
        <w:r>
          <w:rPr>
            <w:noProof/>
            <w:webHidden/>
          </w:rPr>
        </w:r>
        <w:r>
          <w:rPr>
            <w:noProof/>
            <w:webHidden/>
          </w:rPr>
          <w:fldChar w:fldCharType="separate"/>
        </w:r>
        <w:r>
          <w:rPr>
            <w:noProof/>
            <w:webHidden/>
          </w:rPr>
          <w:t>322</w:t>
        </w:r>
        <w:r>
          <w:rPr>
            <w:noProof/>
            <w:webHidden/>
          </w:rPr>
          <w:fldChar w:fldCharType="end"/>
        </w:r>
      </w:hyperlink>
    </w:p>
    <w:p w14:paraId="2A12F2F1" w14:textId="277B5705"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2" w:history="1">
        <w:r w:rsidRPr="0025069E">
          <w:rPr>
            <w:rStyle w:val="Hipervnculo"/>
            <w:rFonts w:cs="Arial"/>
            <w:b/>
            <w:noProof/>
          </w:rPr>
          <w:t>Ilustración 66. Tasa de éxito</w:t>
        </w:r>
        <w:r>
          <w:rPr>
            <w:noProof/>
            <w:webHidden/>
          </w:rPr>
          <w:tab/>
        </w:r>
        <w:r>
          <w:rPr>
            <w:noProof/>
            <w:webHidden/>
          </w:rPr>
          <w:fldChar w:fldCharType="begin"/>
        </w:r>
        <w:r>
          <w:rPr>
            <w:noProof/>
            <w:webHidden/>
          </w:rPr>
          <w:instrText xml:space="preserve"> PAGEREF _Toc88677222 \h </w:instrText>
        </w:r>
        <w:r>
          <w:rPr>
            <w:noProof/>
            <w:webHidden/>
          </w:rPr>
        </w:r>
        <w:r>
          <w:rPr>
            <w:noProof/>
            <w:webHidden/>
          </w:rPr>
          <w:fldChar w:fldCharType="separate"/>
        </w:r>
        <w:r>
          <w:rPr>
            <w:noProof/>
            <w:webHidden/>
          </w:rPr>
          <w:t>323</w:t>
        </w:r>
        <w:r>
          <w:rPr>
            <w:noProof/>
            <w:webHidden/>
          </w:rPr>
          <w:fldChar w:fldCharType="end"/>
        </w:r>
      </w:hyperlink>
    </w:p>
    <w:p w14:paraId="33FED16E" w14:textId="35E7FE2D"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3" w:history="1">
        <w:r w:rsidRPr="0025069E">
          <w:rPr>
            <w:rStyle w:val="Hipervnculo"/>
            <w:rFonts w:cs="Arial"/>
            <w:b/>
            <w:noProof/>
          </w:rPr>
          <w:t>Ilustración 67. Tasa de éxito entidad vs total nacional</w:t>
        </w:r>
        <w:r>
          <w:rPr>
            <w:noProof/>
            <w:webHidden/>
          </w:rPr>
          <w:tab/>
        </w:r>
        <w:r>
          <w:rPr>
            <w:noProof/>
            <w:webHidden/>
          </w:rPr>
          <w:fldChar w:fldCharType="begin"/>
        </w:r>
        <w:r>
          <w:rPr>
            <w:noProof/>
            <w:webHidden/>
          </w:rPr>
          <w:instrText xml:space="preserve"> PAGEREF _Toc88677223 \h </w:instrText>
        </w:r>
        <w:r>
          <w:rPr>
            <w:noProof/>
            <w:webHidden/>
          </w:rPr>
        </w:r>
        <w:r>
          <w:rPr>
            <w:noProof/>
            <w:webHidden/>
          </w:rPr>
          <w:fldChar w:fldCharType="separate"/>
        </w:r>
        <w:r>
          <w:rPr>
            <w:noProof/>
            <w:webHidden/>
          </w:rPr>
          <w:t>323</w:t>
        </w:r>
        <w:r>
          <w:rPr>
            <w:noProof/>
            <w:webHidden/>
          </w:rPr>
          <w:fldChar w:fldCharType="end"/>
        </w:r>
      </w:hyperlink>
    </w:p>
    <w:p w14:paraId="51B5468C" w14:textId="0BCD51C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4" w:history="1">
        <w:r w:rsidRPr="0025069E">
          <w:rPr>
            <w:rStyle w:val="Hipervnculo"/>
            <w:rFonts w:cs="Arial"/>
            <w:b/>
            <w:noProof/>
          </w:rPr>
          <w:t>Ilustración 68. Archivo de gestión de la OAJ a 30 de abril de 2021</w:t>
        </w:r>
        <w:r>
          <w:rPr>
            <w:noProof/>
            <w:webHidden/>
          </w:rPr>
          <w:tab/>
        </w:r>
        <w:r>
          <w:rPr>
            <w:noProof/>
            <w:webHidden/>
          </w:rPr>
          <w:fldChar w:fldCharType="begin"/>
        </w:r>
        <w:r>
          <w:rPr>
            <w:noProof/>
            <w:webHidden/>
          </w:rPr>
          <w:instrText xml:space="preserve"> PAGEREF _Toc88677224 \h </w:instrText>
        </w:r>
        <w:r>
          <w:rPr>
            <w:noProof/>
            <w:webHidden/>
          </w:rPr>
        </w:r>
        <w:r>
          <w:rPr>
            <w:noProof/>
            <w:webHidden/>
          </w:rPr>
          <w:fldChar w:fldCharType="separate"/>
        </w:r>
        <w:r>
          <w:rPr>
            <w:noProof/>
            <w:webHidden/>
          </w:rPr>
          <w:t>327</w:t>
        </w:r>
        <w:r>
          <w:rPr>
            <w:noProof/>
            <w:webHidden/>
          </w:rPr>
          <w:fldChar w:fldCharType="end"/>
        </w:r>
      </w:hyperlink>
    </w:p>
    <w:p w14:paraId="32603DAE" w14:textId="5D3576D8"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5" w:history="1">
        <w:r w:rsidRPr="0025069E">
          <w:rPr>
            <w:rStyle w:val="Hipervnculo"/>
            <w:rFonts w:cs="Arial"/>
            <w:b/>
            <w:noProof/>
          </w:rPr>
          <w:t>Ilustración 69. Estado actual del archivo de gestión de la OAJ</w:t>
        </w:r>
        <w:r>
          <w:rPr>
            <w:noProof/>
            <w:webHidden/>
          </w:rPr>
          <w:tab/>
        </w:r>
        <w:r>
          <w:rPr>
            <w:noProof/>
            <w:webHidden/>
          </w:rPr>
          <w:fldChar w:fldCharType="begin"/>
        </w:r>
        <w:r>
          <w:rPr>
            <w:noProof/>
            <w:webHidden/>
          </w:rPr>
          <w:instrText xml:space="preserve"> PAGEREF _Toc88677225 \h </w:instrText>
        </w:r>
        <w:r>
          <w:rPr>
            <w:noProof/>
            <w:webHidden/>
          </w:rPr>
        </w:r>
        <w:r>
          <w:rPr>
            <w:noProof/>
            <w:webHidden/>
          </w:rPr>
          <w:fldChar w:fldCharType="separate"/>
        </w:r>
        <w:r>
          <w:rPr>
            <w:noProof/>
            <w:webHidden/>
          </w:rPr>
          <w:t>328</w:t>
        </w:r>
        <w:r>
          <w:rPr>
            <w:noProof/>
            <w:webHidden/>
          </w:rPr>
          <w:fldChar w:fldCharType="end"/>
        </w:r>
      </w:hyperlink>
    </w:p>
    <w:p w14:paraId="312B075E" w14:textId="374D0664"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6" w:history="1">
        <w:r w:rsidRPr="0025069E">
          <w:rPr>
            <w:rStyle w:val="Hipervnculo"/>
            <w:rFonts w:cs="Arial"/>
            <w:b/>
            <w:noProof/>
          </w:rPr>
          <w:t>Ilustración 70. Estructura Funcional OAC</w:t>
        </w:r>
        <w:r>
          <w:rPr>
            <w:noProof/>
            <w:webHidden/>
          </w:rPr>
          <w:tab/>
        </w:r>
        <w:r>
          <w:rPr>
            <w:noProof/>
            <w:webHidden/>
          </w:rPr>
          <w:fldChar w:fldCharType="begin"/>
        </w:r>
        <w:r>
          <w:rPr>
            <w:noProof/>
            <w:webHidden/>
          </w:rPr>
          <w:instrText xml:space="preserve"> PAGEREF _Toc88677226 \h </w:instrText>
        </w:r>
        <w:r>
          <w:rPr>
            <w:noProof/>
            <w:webHidden/>
          </w:rPr>
        </w:r>
        <w:r>
          <w:rPr>
            <w:noProof/>
            <w:webHidden/>
          </w:rPr>
          <w:fldChar w:fldCharType="separate"/>
        </w:r>
        <w:r>
          <w:rPr>
            <w:noProof/>
            <w:webHidden/>
          </w:rPr>
          <w:t>333</w:t>
        </w:r>
        <w:r>
          <w:rPr>
            <w:noProof/>
            <w:webHidden/>
          </w:rPr>
          <w:fldChar w:fldCharType="end"/>
        </w:r>
      </w:hyperlink>
    </w:p>
    <w:p w14:paraId="5AC65BBE" w14:textId="7BD94BD6"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7" w:history="1">
        <w:r w:rsidRPr="0025069E">
          <w:rPr>
            <w:rStyle w:val="Hipervnculo"/>
            <w:rFonts w:cs="Arial"/>
            <w:b/>
            <w:noProof/>
          </w:rPr>
          <w:t>Ilustración 71. Subprocesos Gestión de Comunicaciones</w:t>
        </w:r>
        <w:r>
          <w:rPr>
            <w:noProof/>
            <w:webHidden/>
          </w:rPr>
          <w:tab/>
        </w:r>
        <w:r>
          <w:rPr>
            <w:noProof/>
            <w:webHidden/>
          </w:rPr>
          <w:fldChar w:fldCharType="begin"/>
        </w:r>
        <w:r>
          <w:rPr>
            <w:noProof/>
            <w:webHidden/>
          </w:rPr>
          <w:instrText xml:space="preserve"> PAGEREF _Toc88677227 \h </w:instrText>
        </w:r>
        <w:r>
          <w:rPr>
            <w:noProof/>
            <w:webHidden/>
          </w:rPr>
        </w:r>
        <w:r>
          <w:rPr>
            <w:noProof/>
            <w:webHidden/>
          </w:rPr>
          <w:fldChar w:fldCharType="separate"/>
        </w:r>
        <w:r>
          <w:rPr>
            <w:noProof/>
            <w:webHidden/>
          </w:rPr>
          <w:t>335</w:t>
        </w:r>
        <w:r>
          <w:rPr>
            <w:noProof/>
            <w:webHidden/>
          </w:rPr>
          <w:fldChar w:fldCharType="end"/>
        </w:r>
      </w:hyperlink>
    </w:p>
    <w:p w14:paraId="06BA6384" w14:textId="6F5FA509"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8" w:history="1">
        <w:r w:rsidRPr="0025069E">
          <w:rPr>
            <w:rStyle w:val="Hipervnculo"/>
            <w:rFonts w:cs="Arial"/>
            <w:b/>
            <w:noProof/>
          </w:rPr>
          <w:t>Ilustración 72. Histórico ingresos generados</w:t>
        </w:r>
        <w:r>
          <w:rPr>
            <w:noProof/>
            <w:webHidden/>
          </w:rPr>
          <w:tab/>
        </w:r>
        <w:r>
          <w:rPr>
            <w:noProof/>
            <w:webHidden/>
          </w:rPr>
          <w:fldChar w:fldCharType="begin"/>
        </w:r>
        <w:r>
          <w:rPr>
            <w:noProof/>
            <w:webHidden/>
          </w:rPr>
          <w:instrText xml:space="preserve"> PAGEREF _Toc88677228 \h </w:instrText>
        </w:r>
        <w:r>
          <w:rPr>
            <w:noProof/>
            <w:webHidden/>
          </w:rPr>
        </w:r>
        <w:r>
          <w:rPr>
            <w:noProof/>
            <w:webHidden/>
          </w:rPr>
          <w:fldChar w:fldCharType="separate"/>
        </w:r>
        <w:r>
          <w:rPr>
            <w:noProof/>
            <w:webHidden/>
          </w:rPr>
          <w:t>345</w:t>
        </w:r>
        <w:r>
          <w:rPr>
            <w:noProof/>
            <w:webHidden/>
          </w:rPr>
          <w:fldChar w:fldCharType="end"/>
        </w:r>
      </w:hyperlink>
    </w:p>
    <w:p w14:paraId="37886A1D" w14:textId="1A794313"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29" w:history="1">
        <w:r w:rsidRPr="0025069E">
          <w:rPr>
            <w:rStyle w:val="Hipervnculo"/>
            <w:rFonts w:cs="Arial"/>
            <w:b/>
            <w:noProof/>
          </w:rPr>
          <w:t>Ilustración 73. Histórico de ventas por contratos y convenios</w:t>
        </w:r>
        <w:r>
          <w:rPr>
            <w:noProof/>
            <w:webHidden/>
          </w:rPr>
          <w:tab/>
        </w:r>
        <w:r>
          <w:rPr>
            <w:noProof/>
            <w:webHidden/>
          </w:rPr>
          <w:fldChar w:fldCharType="begin"/>
        </w:r>
        <w:r>
          <w:rPr>
            <w:noProof/>
            <w:webHidden/>
          </w:rPr>
          <w:instrText xml:space="preserve"> PAGEREF _Toc88677229 \h </w:instrText>
        </w:r>
        <w:r>
          <w:rPr>
            <w:noProof/>
            <w:webHidden/>
          </w:rPr>
        </w:r>
        <w:r>
          <w:rPr>
            <w:noProof/>
            <w:webHidden/>
          </w:rPr>
          <w:fldChar w:fldCharType="separate"/>
        </w:r>
        <w:r>
          <w:rPr>
            <w:noProof/>
            <w:webHidden/>
          </w:rPr>
          <w:t>346</w:t>
        </w:r>
        <w:r>
          <w:rPr>
            <w:noProof/>
            <w:webHidden/>
          </w:rPr>
          <w:fldChar w:fldCharType="end"/>
        </w:r>
      </w:hyperlink>
    </w:p>
    <w:p w14:paraId="075BA5FE" w14:textId="5E765121" w:rsidR="00521FCF" w:rsidRDefault="00521FCF">
      <w:pPr>
        <w:pStyle w:val="Tabladeilustraciones"/>
        <w:tabs>
          <w:tab w:val="right" w:leader="dot" w:pos="9350"/>
        </w:tabs>
        <w:rPr>
          <w:rFonts w:asciiTheme="minorHAnsi" w:eastAsiaTheme="minorEastAsia" w:hAnsiTheme="minorHAnsi" w:cstheme="minorBidi"/>
          <w:noProof/>
          <w:sz w:val="22"/>
          <w:szCs w:val="22"/>
          <w:lang w:val="es-CO" w:eastAsia="es-CO"/>
        </w:rPr>
      </w:pPr>
      <w:hyperlink w:anchor="_Toc88677230" w:history="1">
        <w:r w:rsidRPr="0025069E">
          <w:rPr>
            <w:rStyle w:val="Hipervnculo"/>
            <w:rFonts w:cs="Arial"/>
            <w:b/>
            <w:noProof/>
          </w:rPr>
          <w:t>Ilustración 74. Proyección de ingresos por recursos propios a 31 de diciembre 2021</w:t>
        </w:r>
        <w:r>
          <w:rPr>
            <w:noProof/>
            <w:webHidden/>
          </w:rPr>
          <w:tab/>
        </w:r>
        <w:r>
          <w:rPr>
            <w:noProof/>
            <w:webHidden/>
          </w:rPr>
          <w:fldChar w:fldCharType="begin"/>
        </w:r>
        <w:r>
          <w:rPr>
            <w:noProof/>
            <w:webHidden/>
          </w:rPr>
          <w:instrText xml:space="preserve"> PAGEREF _Toc88677230 \h </w:instrText>
        </w:r>
        <w:r>
          <w:rPr>
            <w:noProof/>
            <w:webHidden/>
          </w:rPr>
        </w:r>
        <w:r>
          <w:rPr>
            <w:noProof/>
            <w:webHidden/>
          </w:rPr>
          <w:fldChar w:fldCharType="separate"/>
        </w:r>
        <w:r>
          <w:rPr>
            <w:noProof/>
            <w:webHidden/>
          </w:rPr>
          <w:t>348</w:t>
        </w:r>
        <w:r>
          <w:rPr>
            <w:noProof/>
            <w:webHidden/>
          </w:rPr>
          <w:fldChar w:fldCharType="end"/>
        </w:r>
      </w:hyperlink>
    </w:p>
    <w:p w14:paraId="0EBF5729" w14:textId="08EEA88F" w:rsidR="00525930" w:rsidRPr="00912343" w:rsidRDefault="00026DB6" w:rsidP="00C72779">
      <w:pPr>
        <w:rPr>
          <w:rFonts w:cs="Arial"/>
        </w:rPr>
      </w:pPr>
      <w:r w:rsidRPr="00912343">
        <w:rPr>
          <w:rFonts w:cs="Arial"/>
        </w:rPr>
        <w:fldChar w:fldCharType="end"/>
      </w:r>
    </w:p>
    <w:p w14:paraId="68DF9064" w14:textId="77777777" w:rsidR="00DB57D8" w:rsidRPr="00912343" w:rsidRDefault="00DB57D8" w:rsidP="00C72779">
      <w:pPr>
        <w:rPr>
          <w:rFonts w:cs="Arial"/>
        </w:rPr>
      </w:pPr>
    </w:p>
    <w:p w14:paraId="6C16A26B" w14:textId="77777777" w:rsidR="00DB57D8" w:rsidRPr="00912343" w:rsidRDefault="00DB57D8" w:rsidP="00C72779">
      <w:pPr>
        <w:rPr>
          <w:rFonts w:cs="Arial"/>
        </w:rPr>
      </w:pPr>
    </w:p>
    <w:p w14:paraId="333799C2" w14:textId="77777777" w:rsidR="00DB57D8" w:rsidRDefault="00DB57D8" w:rsidP="00C72779">
      <w:pPr>
        <w:rPr>
          <w:sz w:val="20"/>
          <w:szCs w:val="20"/>
        </w:rPr>
      </w:pPr>
    </w:p>
    <w:p w14:paraId="1C67ED0E" w14:textId="77777777" w:rsidR="00DB57D8" w:rsidRDefault="00DB57D8" w:rsidP="00C72779">
      <w:pPr>
        <w:rPr>
          <w:sz w:val="20"/>
          <w:szCs w:val="20"/>
        </w:rPr>
      </w:pPr>
    </w:p>
    <w:p w14:paraId="00F721F7" w14:textId="77777777" w:rsidR="00DB57D8" w:rsidRDefault="00DB57D8" w:rsidP="00C72779">
      <w:pPr>
        <w:rPr>
          <w:sz w:val="20"/>
          <w:szCs w:val="20"/>
        </w:rPr>
      </w:pPr>
    </w:p>
    <w:p w14:paraId="3163AA8D" w14:textId="77777777" w:rsidR="00DB57D8" w:rsidRDefault="00DB57D8" w:rsidP="00C72779">
      <w:pPr>
        <w:rPr>
          <w:sz w:val="20"/>
          <w:szCs w:val="20"/>
        </w:rPr>
      </w:pPr>
    </w:p>
    <w:p w14:paraId="2F5F9F1C" w14:textId="77777777" w:rsidR="00DB57D8" w:rsidRDefault="00DB57D8" w:rsidP="00C72779">
      <w:pPr>
        <w:rPr>
          <w:sz w:val="20"/>
          <w:szCs w:val="20"/>
        </w:rPr>
      </w:pPr>
    </w:p>
    <w:p w14:paraId="5EF70BE1" w14:textId="77777777" w:rsidR="00DB57D8" w:rsidRDefault="00DB57D8" w:rsidP="00C72779">
      <w:pPr>
        <w:rPr>
          <w:sz w:val="20"/>
          <w:szCs w:val="20"/>
        </w:rPr>
      </w:pPr>
    </w:p>
    <w:p w14:paraId="0E4573F3" w14:textId="7CF18AF0" w:rsidR="00DB57D8" w:rsidRDefault="00DB57D8" w:rsidP="00C72779">
      <w:pPr>
        <w:rPr>
          <w:sz w:val="20"/>
          <w:szCs w:val="20"/>
        </w:rPr>
      </w:pPr>
    </w:p>
    <w:p w14:paraId="596C2407" w14:textId="6926C13C" w:rsidR="00553569" w:rsidRDefault="00553569" w:rsidP="00C72779">
      <w:pPr>
        <w:rPr>
          <w:sz w:val="20"/>
          <w:szCs w:val="20"/>
        </w:rPr>
      </w:pPr>
    </w:p>
    <w:p w14:paraId="0ED00C04" w14:textId="77777777" w:rsidR="00553569" w:rsidRDefault="00553569" w:rsidP="00C72779">
      <w:pPr>
        <w:rPr>
          <w:sz w:val="20"/>
          <w:szCs w:val="20"/>
        </w:rPr>
      </w:pPr>
    </w:p>
    <w:p w14:paraId="0FFC77EC" w14:textId="77777777" w:rsidR="00DB57D8" w:rsidRDefault="00DB57D8" w:rsidP="00C72779">
      <w:pPr>
        <w:rPr>
          <w:sz w:val="20"/>
          <w:szCs w:val="20"/>
        </w:rPr>
      </w:pPr>
    </w:p>
    <w:p w14:paraId="5B0B23EC" w14:textId="77777777" w:rsidR="00DB57D8" w:rsidRDefault="00DB57D8" w:rsidP="00C72779">
      <w:pPr>
        <w:rPr>
          <w:sz w:val="20"/>
          <w:szCs w:val="20"/>
        </w:rPr>
      </w:pPr>
    </w:p>
    <w:p w14:paraId="3072C7E3" w14:textId="3A49853E" w:rsidR="00DB57D8" w:rsidRDefault="00DB57D8" w:rsidP="00C72779">
      <w:pPr>
        <w:rPr>
          <w:sz w:val="20"/>
          <w:szCs w:val="20"/>
        </w:rPr>
      </w:pPr>
    </w:p>
    <w:p w14:paraId="7C4C8D4F" w14:textId="77777777" w:rsidR="002B2367" w:rsidRDefault="002B2367" w:rsidP="00C72779">
      <w:pPr>
        <w:rPr>
          <w:sz w:val="20"/>
          <w:szCs w:val="20"/>
        </w:rPr>
      </w:pPr>
    </w:p>
    <w:p w14:paraId="30478512" w14:textId="4F3D099E" w:rsidR="00DB57D8" w:rsidRDefault="00DB57D8" w:rsidP="00C72779">
      <w:pPr>
        <w:rPr>
          <w:sz w:val="20"/>
          <w:szCs w:val="20"/>
        </w:rPr>
      </w:pPr>
    </w:p>
    <w:p w14:paraId="496CBE11" w14:textId="77777777" w:rsidR="00521FCF" w:rsidRDefault="00521FCF" w:rsidP="00C72779">
      <w:pPr>
        <w:jc w:val="center"/>
        <w:rPr>
          <w:sz w:val="22"/>
          <w:szCs w:val="22"/>
        </w:rPr>
      </w:pPr>
    </w:p>
    <w:p w14:paraId="695C8807" w14:textId="77777777" w:rsidR="00521FCF" w:rsidRDefault="00521FCF" w:rsidP="00C72779">
      <w:pPr>
        <w:jc w:val="center"/>
        <w:rPr>
          <w:sz w:val="22"/>
          <w:szCs w:val="22"/>
        </w:rPr>
      </w:pPr>
    </w:p>
    <w:p w14:paraId="4AC6DE4A" w14:textId="6BC46B7D" w:rsidR="00147F46" w:rsidRPr="007A2384" w:rsidRDefault="0C216240" w:rsidP="00C72779">
      <w:pPr>
        <w:jc w:val="center"/>
        <w:rPr>
          <w:sz w:val="22"/>
          <w:szCs w:val="22"/>
        </w:rPr>
      </w:pPr>
      <w:r w:rsidRPr="007A2384">
        <w:rPr>
          <w:sz w:val="22"/>
          <w:szCs w:val="22"/>
        </w:rPr>
        <w:t>FORMATO ÚNICO</w:t>
      </w:r>
    </w:p>
    <w:p w14:paraId="4A4AA1BC" w14:textId="77777777" w:rsidR="00147F46" w:rsidRPr="007A2384" w:rsidRDefault="00147F46" w:rsidP="00C72779">
      <w:pPr>
        <w:jc w:val="center"/>
        <w:rPr>
          <w:sz w:val="22"/>
          <w:szCs w:val="22"/>
        </w:rPr>
      </w:pPr>
      <w:r w:rsidRPr="007A2384">
        <w:rPr>
          <w:sz w:val="22"/>
          <w:szCs w:val="22"/>
        </w:rPr>
        <w:t>ACTA DE INFORME DE GESTIÓN</w:t>
      </w:r>
    </w:p>
    <w:p w14:paraId="2C2B95DF" w14:textId="77777777" w:rsidR="00147F46" w:rsidRPr="007A2384" w:rsidRDefault="00147F46" w:rsidP="00C72779">
      <w:pPr>
        <w:jc w:val="center"/>
        <w:rPr>
          <w:sz w:val="22"/>
          <w:szCs w:val="22"/>
        </w:rPr>
      </w:pPr>
      <w:r w:rsidRPr="007A2384">
        <w:rPr>
          <w:sz w:val="22"/>
          <w:szCs w:val="22"/>
        </w:rPr>
        <w:t>(Ley 951 de marzo 31 de 2005)</w:t>
      </w:r>
    </w:p>
    <w:p w14:paraId="1F21470F" w14:textId="636E66C7" w:rsidR="00147F46" w:rsidRPr="007A2384" w:rsidRDefault="00147F46" w:rsidP="00C72779">
      <w:pPr>
        <w:rPr>
          <w:sz w:val="22"/>
          <w:szCs w:val="22"/>
        </w:rPr>
      </w:pPr>
    </w:p>
    <w:p w14:paraId="1D69D602" w14:textId="77777777" w:rsidR="008C7B18" w:rsidRPr="007A2384" w:rsidRDefault="008C7B18" w:rsidP="00C72779">
      <w:pPr>
        <w:rPr>
          <w:sz w:val="22"/>
          <w:szCs w:val="22"/>
        </w:rPr>
      </w:pPr>
    </w:p>
    <w:p w14:paraId="43F2AAE5" w14:textId="3D138C31" w:rsidR="008C7B18" w:rsidRPr="007A2384" w:rsidRDefault="00147F46" w:rsidP="00C72779">
      <w:pPr>
        <w:pStyle w:val="Ttulo1"/>
        <w:spacing w:line="240" w:lineRule="auto"/>
        <w:rPr>
          <w:sz w:val="22"/>
          <w:szCs w:val="22"/>
        </w:rPr>
      </w:pPr>
      <w:bookmarkStart w:id="2" w:name="_Toc88677049"/>
      <w:r w:rsidRPr="007A2384">
        <w:rPr>
          <w:sz w:val="22"/>
          <w:szCs w:val="22"/>
        </w:rPr>
        <w:t>DATOS GENERALES</w:t>
      </w:r>
      <w:bookmarkEnd w:id="2"/>
    </w:p>
    <w:p w14:paraId="79EA6A06" w14:textId="462FEF6E" w:rsidR="008C7B18" w:rsidRPr="007A2384" w:rsidRDefault="00147F46" w:rsidP="00C72779">
      <w:pPr>
        <w:rPr>
          <w:sz w:val="22"/>
          <w:szCs w:val="22"/>
        </w:rPr>
      </w:pPr>
      <w:r w:rsidRPr="007A2384">
        <w:rPr>
          <w:sz w:val="22"/>
          <w:szCs w:val="22"/>
        </w:rPr>
        <w:t>A. NOMBRE DEL FUNCIONARIO RESPONSABLE QUE ENTREGA</w:t>
      </w:r>
    </w:p>
    <w:p w14:paraId="23D975FA" w14:textId="45BA8483" w:rsidR="00147F46" w:rsidRPr="007A2384" w:rsidRDefault="00147F46" w:rsidP="00C72779">
      <w:pPr>
        <w:rPr>
          <w:b/>
          <w:bCs/>
          <w:sz w:val="22"/>
          <w:szCs w:val="22"/>
        </w:rPr>
      </w:pPr>
      <w:r w:rsidRPr="007A2384">
        <w:rPr>
          <w:b/>
          <w:bCs/>
          <w:sz w:val="22"/>
          <w:szCs w:val="22"/>
        </w:rPr>
        <w:t xml:space="preserve">OLGA LUCÍA LÓPEZ </w:t>
      </w:r>
      <w:r w:rsidRPr="0F6D06C2">
        <w:rPr>
          <w:b/>
          <w:bCs/>
          <w:sz w:val="22"/>
          <w:szCs w:val="22"/>
        </w:rPr>
        <w:t>MORALE</w:t>
      </w:r>
      <w:r w:rsidR="768D5DCE" w:rsidRPr="0F6D06C2">
        <w:rPr>
          <w:b/>
          <w:bCs/>
          <w:sz w:val="22"/>
          <w:szCs w:val="22"/>
        </w:rPr>
        <w:t>S</w:t>
      </w:r>
    </w:p>
    <w:p w14:paraId="2272CEF4" w14:textId="77777777" w:rsidR="008C7B18" w:rsidRPr="007A2384" w:rsidRDefault="008C7B18" w:rsidP="00C72779">
      <w:pPr>
        <w:rPr>
          <w:b/>
          <w:bCs/>
          <w:sz w:val="22"/>
          <w:szCs w:val="22"/>
        </w:rPr>
      </w:pPr>
    </w:p>
    <w:p w14:paraId="354F41A7" w14:textId="52EEDD77" w:rsidR="008C7B18" w:rsidRPr="007A2384" w:rsidRDefault="00147F46" w:rsidP="00C72779">
      <w:pPr>
        <w:rPr>
          <w:sz w:val="22"/>
          <w:szCs w:val="22"/>
        </w:rPr>
      </w:pPr>
      <w:r w:rsidRPr="007A2384">
        <w:rPr>
          <w:sz w:val="22"/>
          <w:szCs w:val="22"/>
        </w:rPr>
        <w:t>B. CARGO</w:t>
      </w:r>
    </w:p>
    <w:p w14:paraId="688FC585" w14:textId="0F560402" w:rsidR="00147F46" w:rsidRPr="007A2384" w:rsidRDefault="00147F46" w:rsidP="00C72779">
      <w:pPr>
        <w:rPr>
          <w:b/>
          <w:bCs/>
          <w:sz w:val="22"/>
          <w:szCs w:val="22"/>
        </w:rPr>
      </w:pPr>
      <w:r w:rsidRPr="007A2384">
        <w:rPr>
          <w:b/>
          <w:bCs/>
          <w:sz w:val="22"/>
          <w:szCs w:val="22"/>
        </w:rPr>
        <w:t xml:space="preserve">DIRECTORA GENERAL </w:t>
      </w:r>
    </w:p>
    <w:p w14:paraId="71E46C8F" w14:textId="77777777" w:rsidR="008C7B18" w:rsidRPr="007A2384" w:rsidRDefault="008C7B18" w:rsidP="00C72779">
      <w:pPr>
        <w:rPr>
          <w:b/>
          <w:bCs/>
          <w:sz w:val="22"/>
          <w:szCs w:val="22"/>
        </w:rPr>
      </w:pPr>
    </w:p>
    <w:p w14:paraId="63024983" w14:textId="407E0652" w:rsidR="008C7B18" w:rsidRPr="007A2384" w:rsidRDefault="00147F46" w:rsidP="00C72779">
      <w:pPr>
        <w:rPr>
          <w:b/>
          <w:bCs/>
          <w:sz w:val="22"/>
          <w:szCs w:val="22"/>
        </w:rPr>
      </w:pPr>
      <w:r w:rsidRPr="007A2384">
        <w:rPr>
          <w:sz w:val="22"/>
          <w:szCs w:val="22"/>
        </w:rPr>
        <w:t>C. ENTIDAD:</w:t>
      </w:r>
      <w:r w:rsidRPr="007A2384">
        <w:rPr>
          <w:b/>
          <w:bCs/>
          <w:sz w:val="22"/>
          <w:szCs w:val="22"/>
        </w:rPr>
        <w:t xml:space="preserve"> </w:t>
      </w:r>
    </w:p>
    <w:p w14:paraId="6E996704" w14:textId="25914568" w:rsidR="00147F46" w:rsidRPr="007A2384" w:rsidRDefault="00147F46" w:rsidP="00C72779">
      <w:pPr>
        <w:rPr>
          <w:b/>
          <w:bCs/>
          <w:sz w:val="22"/>
          <w:szCs w:val="22"/>
        </w:rPr>
      </w:pPr>
      <w:r w:rsidRPr="007A2384">
        <w:rPr>
          <w:b/>
          <w:bCs/>
          <w:sz w:val="22"/>
          <w:szCs w:val="22"/>
        </w:rPr>
        <w:t>INSTITUTO GEOGRÁFICO AGUSTÍN CODAZZI</w:t>
      </w:r>
    </w:p>
    <w:p w14:paraId="512079F3" w14:textId="77777777" w:rsidR="008C7B18" w:rsidRPr="007A2384" w:rsidRDefault="008C7B18" w:rsidP="00C72779">
      <w:pPr>
        <w:rPr>
          <w:b/>
          <w:bCs/>
          <w:sz w:val="22"/>
          <w:szCs w:val="22"/>
        </w:rPr>
      </w:pPr>
    </w:p>
    <w:p w14:paraId="6D1269AA" w14:textId="7D6A25FD" w:rsidR="008C7B18" w:rsidRPr="007A2384" w:rsidRDefault="00147F46" w:rsidP="00C72779">
      <w:pPr>
        <w:rPr>
          <w:sz w:val="22"/>
          <w:szCs w:val="22"/>
        </w:rPr>
      </w:pPr>
      <w:r w:rsidRPr="007A2384">
        <w:rPr>
          <w:sz w:val="22"/>
          <w:szCs w:val="22"/>
        </w:rPr>
        <w:t xml:space="preserve">D. CIUDAD Y FECHA: </w:t>
      </w:r>
    </w:p>
    <w:p w14:paraId="0E11ED48" w14:textId="6971EDC0" w:rsidR="00147F46" w:rsidRPr="007A2384" w:rsidRDefault="00147F46" w:rsidP="00C72779">
      <w:pPr>
        <w:rPr>
          <w:b/>
          <w:bCs/>
          <w:sz w:val="22"/>
          <w:szCs w:val="22"/>
        </w:rPr>
      </w:pPr>
      <w:r w:rsidRPr="007A2384">
        <w:rPr>
          <w:b/>
          <w:bCs/>
          <w:sz w:val="22"/>
          <w:szCs w:val="22"/>
        </w:rPr>
        <w:t>BOGOTÁ D.C.,</w:t>
      </w:r>
      <w:r w:rsidR="00C04F95" w:rsidRPr="007A2384">
        <w:rPr>
          <w:b/>
          <w:bCs/>
          <w:sz w:val="22"/>
          <w:szCs w:val="22"/>
        </w:rPr>
        <w:t xml:space="preserve"> </w:t>
      </w:r>
      <w:r w:rsidRPr="007A2384">
        <w:rPr>
          <w:b/>
          <w:bCs/>
          <w:sz w:val="22"/>
          <w:szCs w:val="22"/>
        </w:rPr>
        <w:t xml:space="preserve">NOVIEMBRE </w:t>
      </w:r>
      <w:r w:rsidR="008C1309">
        <w:rPr>
          <w:b/>
          <w:bCs/>
          <w:sz w:val="22"/>
          <w:szCs w:val="22"/>
        </w:rPr>
        <w:t>24</w:t>
      </w:r>
      <w:r w:rsidRPr="007A2384">
        <w:rPr>
          <w:b/>
          <w:bCs/>
          <w:sz w:val="22"/>
          <w:szCs w:val="22"/>
        </w:rPr>
        <w:t xml:space="preserve"> DE 2021 </w:t>
      </w:r>
    </w:p>
    <w:p w14:paraId="4E46362D" w14:textId="77777777" w:rsidR="008C7B18" w:rsidRPr="007A2384" w:rsidRDefault="008C7B18" w:rsidP="00C72779">
      <w:pPr>
        <w:rPr>
          <w:sz w:val="22"/>
          <w:szCs w:val="22"/>
        </w:rPr>
      </w:pPr>
    </w:p>
    <w:p w14:paraId="6D8A2F13" w14:textId="3979C06E" w:rsidR="008C7B18" w:rsidRPr="008C1309" w:rsidRDefault="00147F46" w:rsidP="00C72779">
      <w:pPr>
        <w:rPr>
          <w:sz w:val="22"/>
          <w:szCs w:val="22"/>
        </w:rPr>
      </w:pPr>
      <w:r w:rsidRPr="007A2384">
        <w:rPr>
          <w:sz w:val="22"/>
          <w:szCs w:val="22"/>
        </w:rPr>
        <w:t xml:space="preserve">E. </w:t>
      </w:r>
      <w:r w:rsidR="008C1309">
        <w:rPr>
          <w:sz w:val="22"/>
          <w:szCs w:val="22"/>
        </w:rPr>
        <w:t xml:space="preserve">FECHA DE INICIO DE LA GESTIÓN: </w:t>
      </w:r>
    </w:p>
    <w:p w14:paraId="60C89B20" w14:textId="76C4BA2B" w:rsidR="00147F46" w:rsidRPr="007A2384" w:rsidRDefault="008C1309" w:rsidP="00C72779">
      <w:pPr>
        <w:rPr>
          <w:b/>
          <w:bCs/>
          <w:sz w:val="22"/>
          <w:szCs w:val="22"/>
        </w:rPr>
      </w:pPr>
      <w:r>
        <w:rPr>
          <w:b/>
          <w:bCs/>
          <w:sz w:val="22"/>
          <w:szCs w:val="22"/>
        </w:rPr>
        <w:t>17</w:t>
      </w:r>
      <w:r w:rsidR="00147F46" w:rsidRPr="007A2384">
        <w:rPr>
          <w:b/>
          <w:bCs/>
          <w:sz w:val="22"/>
          <w:szCs w:val="22"/>
        </w:rPr>
        <w:t xml:space="preserve"> DE DICIEMBRE DE 2019 </w:t>
      </w:r>
    </w:p>
    <w:p w14:paraId="5EE4B474" w14:textId="77777777" w:rsidR="008C7B18" w:rsidRPr="007A2384" w:rsidRDefault="008C7B18" w:rsidP="00C72779">
      <w:pPr>
        <w:rPr>
          <w:sz w:val="22"/>
          <w:szCs w:val="22"/>
        </w:rPr>
      </w:pPr>
    </w:p>
    <w:p w14:paraId="1B592FD8" w14:textId="70D61A53" w:rsidR="008C7B18" w:rsidRPr="00605FA5" w:rsidRDefault="00147F46" w:rsidP="00C72779">
      <w:pPr>
        <w:rPr>
          <w:sz w:val="22"/>
          <w:szCs w:val="22"/>
        </w:rPr>
      </w:pPr>
      <w:r w:rsidRPr="007A2384">
        <w:rPr>
          <w:sz w:val="22"/>
          <w:szCs w:val="22"/>
        </w:rPr>
        <w:t xml:space="preserve">F. CONDICIÓN DE LA PRESENTACIÓN:  </w:t>
      </w:r>
    </w:p>
    <w:p w14:paraId="4FE73D82" w14:textId="06EBB3B1" w:rsidR="00147F46" w:rsidRPr="007A2384" w:rsidRDefault="00147F46" w:rsidP="00C72779">
      <w:pPr>
        <w:rPr>
          <w:b/>
          <w:bCs/>
          <w:sz w:val="22"/>
          <w:szCs w:val="22"/>
        </w:rPr>
      </w:pPr>
      <w:r w:rsidRPr="007A2384">
        <w:rPr>
          <w:b/>
          <w:bCs/>
          <w:sz w:val="22"/>
          <w:szCs w:val="22"/>
        </w:rPr>
        <w:t>RETIRO ___X___ SEPARACIÓN DEL CARGO ______ RATIFICACIÓN</w:t>
      </w:r>
    </w:p>
    <w:p w14:paraId="4AD76133" w14:textId="77777777" w:rsidR="00C04F95" w:rsidRPr="007A2384" w:rsidRDefault="00C04F95" w:rsidP="00C72779">
      <w:pPr>
        <w:rPr>
          <w:sz w:val="22"/>
          <w:szCs w:val="22"/>
        </w:rPr>
      </w:pPr>
    </w:p>
    <w:p w14:paraId="110AD8D5" w14:textId="7167734F" w:rsidR="008C7B18" w:rsidRPr="00605FA5" w:rsidRDefault="00147F46" w:rsidP="00C72779">
      <w:pPr>
        <w:rPr>
          <w:sz w:val="22"/>
          <w:szCs w:val="22"/>
        </w:rPr>
      </w:pPr>
      <w:r w:rsidRPr="007A2384">
        <w:rPr>
          <w:sz w:val="22"/>
          <w:szCs w:val="22"/>
        </w:rPr>
        <w:t xml:space="preserve">G. FECHA DE RETIRO, SEPARACIÓN DEL CARGO O RATIFICACIÓN: </w:t>
      </w:r>
    </w:p>
    <w:p w14:paraId="752F88ED" w14:textId="67662C95" w:rsidR="00147F46" w:rsidRPr="007A2384" w:rsidRDefault="00605FA5" w:rsidP="00C72779">
      <w:pPr>
        <w:rPr>
          <w:b/>
          <w:bCs/>
          <w:sz w:val="22"/>
          <w:szCs w:val="22"/>
        </w:rPr>
      </w:pPr>
      <w:r>
        <w:rPr>
          <w:b/>
          <w:bCs/>
          <w:sz w:val="22"/>
          <w:szCs w:val="22"/>
        </w:rPr>
        <w:t>4 DE NOVIEMBRE DE 2021</w:t>
      </w:r>
    </w:p>
    <w:p w14:paraId="3BA4F119" w14:textId="77777777" w:rsidR="00147F46" w:rsidRPr="007A2384" w:rsidRDefault="00147F46" w:rsidP="00C72779">
      <w:pPr>
        <w:rPr>
          <w:sz w:val="22"/>
          <w:szCs w:val="22"/>
        </w:rPr>
      </w:pPr>
    </w:p>
    <w:p w14:paraId="5A0DE40F" w14:textId="20F71AEE" w:rsidR="007C7C7B" w:rsidRPr="007A2384" w:rsidRDefault="007C7C7B" w:rsidP="00C72779">
      <w:pPr>
        <w:rPr>
          <w:sz w:val="22"/>
          <w:szCs w:val="22"/>
        </w:rPr>
      </w:pPr>
    </w:p>
    <w:p w14:paraId="15244647" w14:textId="20F71AEE" w:rsidR="00187D51" w:rsidRDefault="00187D51" w:rsidP="00C72779">
      <w:pPr>
        <w:pStyle w:val="Ttulo1"/>
        <w:spacing w:line="240" w:lineRule="auto"/>
        <w:jc w:val="center"/>
        <w:rPr>
          <w:sz w:val="22"/>
          <w:szCs w:val="22"/>
        </w:rPr>
      </w:pPr>
    </w:p>
    <w:p w14:paraId="1A40F254" w14:textId="77777777" w:rsidR="008C1309" w:rsidRDefault="008C1309" w:rsidP="00C72779"/>
    <w:p w14:paraId="540C76E6" w14:textId="77777777" w:rsidR="008C1309" w:rsidRDefault="008C1309" w:rsidP="00C72779"/>
    <w:p w14:paraId="087AEBF3" w14:textId="77777777" w:rsidR="008C1309" w:rsidRDefault="008C1309" w:rsidP="00C72779"/>
    <w:p w14:paraId="0A271837" w14:textId="77777777" w:rsidR="008C1309" w:rsidRDefault="008C1309" w:rsidP="00C72779"/>
    <w:p w14:paraId="68B1D420" w14:textId="5E69BA89" w:rsidR="005D698A" w:rsidRDefault="005D698A" w:rsidP="00C72779"/>
    <w:p w14:paraId="192605BE" w14:textId="62B71A0C" w:rsidR="00553569" w:rsidRDefault="00553569" w:rsidP="00C72779"/>
    <w:p w14:paraId="256F17E7" w14:textId="31F4AEB8" w:rsidR="00553569" w:rsidRDefault="00553569" w:rsidP="00C72779"/>
    <w:p w14:paraId="12DF8C5B" w14:textId="25184BCA" w:rsidR="00553569" w:rsidRDefault="00553569" w:rsidP="00C72779"/>
    <w:p w14:paraId="302037DC" w14:textId="5F0BC498" w:rsidR="00553569" w:rsidRDefault="00553569" w:rsidP="00C72779"/>
    <w:p w14:paraId="6181D49B" w14:textId="4CC632E6" w:rsidR="00553569" w:rsidRDefault="00553569" w:rsidP="00C72779"/>
    <w:p w14:paraId="6A9B6D4E" w14:textId="67BD3BAD" w:rsidR="00553569" w:rsidRDefault="00553569" w:rsidP="00C72779"/>
    <w:p w14:paraId="61A73CBA" w14:textId="67D1A673" w:rsidR="00553569" w:rsidRDefault="00553569" w:rsidP="00C72779"/>
    <w:p w14:paraId="70EB85C8" w14:textId="16783B1A" w:rsidR="00553569" w:rsidRDefault="00553569" w:rsidP="00C72779"/>
    <w:p w14:paraId="1D800839" w14:textId="53C839E3" w:rsidR="00553569" w:rsidRDefault="00553569" w:rsidP="00C72779"/>
    <w:p w14:paraId="4361A8BC" w14:textId="14930406" w:rsidR="00553569" w:rsidRDefault="00553569" w:rsidP="00C72779"/>
    <w:p w14:paraId="670E17D8" w14:textId="77777777" w:rsidR="00553569" w:rsidRPr="00D01C68" w:rsidRDefault="00553569" w:rsidP="00C72779"/>
    <w:p w14:paraId="4DE4DCBA" w14:textId="2EDABF2B" w:rsidR="004C0F9B" w:rsidRPr="007A2384" w:rsidRDefault="0C216240" w:rsidP="00C72779">
      <w:pPr>
        <w:pStyle w:val="Ttulo1"/>
        <w:spacing w:line="240" w:lineRule="auto"/>
        <w:jc w:val="center"/>
        <w:rPr>
          <w:sz w:val="22"/>
          <w:szCs w:val="22"/>
        </w:rPr>
      </w:pPr>
      <w:bookmarkStart w:id="3" w:name="_Toc88677050"/>
      <w:r w:rsidRPr="007A2384">
        <w:rPr>
          <w:sz w:val="22"/>
          <w:szCs w:val="22"/>
        </w:rPr>
        <w:lastRenderedPageBreak/>
        <w:t>INTRODUCCIÓN</w:t>
      </w:r>
      <w:bookmarkEnd w:id="3"/>
    </w:p>
    <w:p w14:paraId="70C62D9D" w14:textId="20F71AEE" w:rsidR="001A1F4A" w:rsidRPr="007A2384" w:rsidRDefault="001A1F4A" w:rsidP="00C72779">
      <w:pPr>
        <w:jc w:val="both"/>
        <w:rPr>
          <w:rFonts w:cs="Arial"/>
          <w:sz w:val="22"/>
          <w:szCs w:val="22"/>
        </w:rPr>
      </w:pPr>
    </w:p>
    <w:p w14:paraId="58DB0BED" w14:textId="77777777" w:rsidR="00D01C68" w:rsidRDefault="00D01C68" w:rsidP="00C72779">
      <w:pPr>
        <w:autoSpaceDE w:val="0"/>
        <w:autoSpaceDN w:val="0"/>
        <w:adjustRightInd w:val="0"/>
        <w:jc w:val="both"/>
        <w:rPr>
          <w:rFonts w:cs="Arial"/>
          <w:sz w:val="22"/>
          <w:szCs w:val="22"/>
        </w:rPr>
      </w:pPr>
      <w:r w:rsidRPr="002C48E0">
        <w:rPr>
          <w:rFonts w:cs="Arial"/>
          <w:sz w:val="22"/>
          <w:szCs w:val="22"/>
        </w:rPr>
        <w:t>El Instituto Geográfico Agustín Codazzi (IGAC), es una e</w:t>
      </w:r>
      <w:r>
        <w:rPr>
          <w:rFonts w:cs="Arial"/>
          <w:sz w:val="22"/>
          <w:szCs w:val="22"/>
        </w:rPr>
        <w:t>ntidad con 86</w:t>
      </w:r>
      <w:r w:rsidRPr="002C48E0">
        <w:rPr>
          <w:rFonts w:cs="Arial"/>
          <w:sz w:val="22"/>
          <w:szCs w:val="22"/>
        </w:rPr>
        <w:t xml:space="preserve"> años de historia, en los cuales se ha caracterizado por su experiencia técnica en las áreas en las que tiene competencia, es la entidad encargada de producir el mapa oficial y la cartografía básica</w:t>
      </w:r>
      <w:r>
        <w:rPr>
          <w:rFonts w:cs="Arial"/>
          <w:sz w:val="22"/>
          <w:szCs w:val="22"/>
        </w:rPr>
        <w:t xml:space="preserve"> </w:t>
      </w:r>
      <w:r w:rsidRPr="002C48E0">
        <w:rPr>
          <w:rFonts w:cs="Arial"/>
          <w:sz w:val="22"/>
          <w:szCs w:val="22"/>
        </w:rPr>
        <w:t>de Colombia; elaborar el catastro nacional de la propiedad i</w:t>
      </w:r>
      <w:r>
        <w:rPr>
          <w:rFonts w:cs="Arial"/>
          <w:sz w:val="22"/>
          <w:szCs w:val="22"/>
        </w:rPr>
        <w:t xml:space="preserve">nmueble; realizar el inventario </w:t>
      </w:r>
      <w:r w:rsidRPr="002C48E0">
        <w:rPr>
          <w:rFonts w:cs="Arial"/>
          <w:sz w:val="22"/>
          <w:szCs w:val="22"/>
        </w:rPr>
        <w:t>de las características de los suelos; adelantar investigac</w:t>
      </w:r>
      <w:r>
        <w:rPr>
          <w:rFonts w:cs="Arial"/>
          <w:sz w:val="22"/>
          <w:szCs w:val="22"/>
        </w:rPr>
        <w:t xml:space="preserve">iones geográficas como apoyo al </w:t>
      </w:r>
      <w:r w:rsidRPr="002C48E0">
        <w:rPr>
          <w:rFonts w:cs="Arial"/>
          <w:sz w:val="22"/>
          <w:szCs w:val="22"/>
        </w:rPr>
        <w:t xml:space="preserve">desarrollo territorial; </w:t>
      </w:r>
      <w:r>
        <w:rPr>
          <w:rFonts w:cs="Arial"/>
          <w:sz w:val="22"/>
          <w:szCs w:val="22"/>
        </w:rPr>
        <w:t xml:space="preserve">y </w:t>
      </w:r>
      <w:r w:rsidRPr="002C48E0">
        <w:rPr>
          <w:rFonts w:cs="Arial"/>
          <w:sz w:val="22"/>
          <w:szCs w:val="22"/>
        </w:rPr>
        <w:t>coordinar la Infraestructura Colombiana de Datos Espaciales (ICDE).</w:t>
      </w:r>
      <w:r>
        <w:rPr>
          <w:rFonts w:cs="Arial"/>
          <w:sz w:val="22"/>
          <w:szCs w:val="22"/>
        </w:rPr>
        <w:t xml:space="preserve"> </w:t>
      </w:r>
      <w:r w:rsidRPr="002C48E0">
        <w:rPr>
          <w:rFonts w:cs="Arial"/>
          <w:sz w:val="22"/>
          <w:szCs w:val="22"/>
        </w:rPr>
        <w:t>El conocimiento catastral, geográfico y agrológico del territorio, resulta fundamental para</w:t>
      </w:r>
      <w:r>
        <w:rPr>
          <w:rFonts w:cs="Arial"/>
          <w:sz w:val="22"/>
          <w:szCs w:val="22"/>
        </w:rPr>
        <w:t xml:space="preserve"> </w:t>
      </w:r>
      <w:r w:rsidRPr="002C48E0">
        <w:rPr>
          <w:rFonts w:cs="Arial"/>
          <w:sz w:val="22"/>
          <w:szCs w:val="22"/>
        </w:rPr>
        <w:t>una apropiada gestión y ordenamiento territorial a través de los cuales se adoptan</w:t>
      </w:r>
      <w:r>
        <w:rPr>
          <w:rFonts w:cs="Arial"/>
          <w:sz w:val="22"/>
          <w:szCs w:val="22"/>
        </w:rPr>
        <w:t xml:space="preserve"> </w:t>
      </w:r>
      <w:r w:rsidRPr="002C48E0">
        <w:rPr>
          <w:rFonts w:cs="Arial"/>
          <w:sz w:val="22"/>
          <w:szCs w:val="22"/>
        </w:rPr>
        <w:t xml:space="preserve">políticas públicas para la adecuada planeación social y económica del país. </w:t>
      </w:r>
    </w:p>
    <w:p w14:paraId="666576A3" w14:textId="77777777" w:rsidR="00D01C68" w:rsidRDefault="00D01C68" w:rsidP="00C72779">
      <w:pPr>
        <w:autoSpaceDE w:val="0"/>
        <w:autoSpaceDN w:val="0"/>
        <w:adjustRightInd w:val="0"/>
        <w:jc w:val="both"/>
        <w:rPr>
          <w:rFonts w:cs="Arial"/>
          <w:sz w:val="22"/>
          <w:szCs w:val="22"/>
        </w:rPr>
      </w:pPr>
    </w:p>
    <w:p w14:paraId="5D852880" w14:textId="77777777" w:rsidR="00D01C68" w:rsidRDefault="00D01C68" w:rsidP="00C72779">
      <w:pPr>
        <w:autoSpaceDE w:val="0"/>
        <w:autoSpaceDN w:val="0"/>
        <w:adjustRightInd w:val="0"/>
        <w:jc w:val="both"/>
        <w:rPr>
          <w:rFonts w:cs="Arial"/>
          <w:sz w:val="22"/>
          <w:szCs w:val="22"/>
        </w:rPr>
      </w:pPr>
      <w:r w:rsidRPr="002C48E0">
        <w:rPr>
          <w:rFonts w:cs="Arial"/>
          <w:sz w:val="22"/>
          <w:szCs w:val="22"/>
        </w:rPr>
        <w:t>El Instituto,</w:t>
      </w:r>
      <w:r>
        <w:rPr>
          <w:rFonts w:cs="Arial"/>
          <w:sz w:val="22"/>
          <w:szCs w:val="22"/>
        </w:rPr>
        <w:t xml:space="preserve"> </w:t>
      </w:r>
      <w:r w:rsidRPr="002C48E0">
        <w:rPr>
          <w:rFonts w:cs="Arial"/>
          <w:sz w:val="22"/>
          <w:szCs w:val="22"/>
        </w:rPr>
        <w:t>en su calidad de máxima autoridad nacional en estas materias, juega un rol</w:t>
      </w:r>
      <w:r>
        <w:rPr>
          <w:rFonts w:cs="Arial"/>
          <w:sz w:val="22"/>
          <w:szCs w:val="22"/>
        </w:rPr>
        <w:t xml:space="preserve"> </w:t>
      </w:r>
      <w:r w:rsidRPr="002C48E0">
        <w:rPr>
          <w:rFonts w:cs="Arial"/>
          <w:sz w:val="22"/>
          <w:szCs w:val="22"/>
        </w:rPr>
        <w:t>preponderante para las actuales necesidades del país que han posicionado en la agenda</w:t>
      </w:r>
      <w:r>
        <w:rPr>
          <w:rFonts w:cs="Arial"/>
          <w:sz w:val="22"/>
          <w:szCs w:val="22"/>
        </w:rPr>
        <w:t xml:space="preserve"> </w:t>
      </w:r>
      <w:r w:rsidRPr="002C48E0">
        <w:rPr>
          <w:rFonts w:cs="Arial"/>
          <w:sz w:val="22"/>
          <w:szCs w:val="22"/>
        </w:rPr>
        <w:t xml:space="preserve">nacional la importancia de contar con un </w:t>
      </w:r>
      <w:r>
        <w:rPr>
          <w:rFonts w:cs="Arial"/>
          <w:sz w:val="22"/>
          <w:szCs w:val="22"/>
        </w:rPr>
        <w:t>catastro actualizado y con enfoque</w:t>
      </w:r>
      <w:r w:rsidRPr="002C48E0">
        <w:rPr>
          <w:rFonts w:cs="Arial"/>
          <w:sz w:val="22"/>
          <w:szCs w:val="22"/>
        </w:rPr>
        <w:t xml:space="preserve"> multipropósito que provea</w:t>
      </w:r>
      <w:r>
        <w:rPr>
          <w:rFonts w:cs="Arial"/>
          <w:sz w:val="22"/>
          <w:szCs w:val="22"/>
        </w:rPr>
        <w:t xml:space="preserve"> </w:t>
      </w:r>
      <w:r w:rsidRPr="002C48E0">
        <w:rPr>
          <w:rFonts w:cs="Arial"/>
          <w:sz w:val="22"/>
          <w:szCs w:val="22"/>
        </w:rPr>
        <w:t>información permanente y sistemática para la administración de la tierra y de los</w:t>
      </w:r>
      <w:r>
        <w:rPr>
          <w:rFonts w:cs="Arial"/>
          <w:sz w:val="22"/>
          <w:szCs w:val="22"/>
        </w:rPr>
        <w:t xml:space="preserve"> </w:t>
      </w:r>
      <w:r w:rsidRPr="002C48E0">
        <w:rPr>
          <w:rFonts w:cs="Arial"/>
          <w:sz w:val="22"/>
          <w:szCs w:val="22"/>
        </w:rPr>
        <w:t>territorios, que se materializa en información física, jurídica, económica y territorial de</w:t>
      </w:r>
      <w:r>
        <w:rPr>
          <w:rFonts w:cs="Arial"/>
          <w:sz w:val="22"/>
          <w:szCs w:val="22"/>
        </w:rPr>
        <w:t xml:space="preserve"> </w:t>
      </w:r>
      <w:r w:rsidRPr="002C48E0">
        <w:rPr>
          <w:rFonts w:cs="Arial"/>
          <w:sz w:val="22"/>
          <w:szCs w:val="22"/>
        </w:rPr>
        <w:t>todos los predios de Colombia (públicos, privados, formales e informales).</w:t>
      </w:r>
    </w:p>
    <w:p w14:paraId="586F95CF" w14:textId="77777777" w:rsidR="00D01C68" w:rsidRPr="002C48E0" w:rsidRDefault="00D01C68" w:rsidP="00C72779">
      <w:pPr>
        <w:autoSpaceDE w:val="0"/>
        <w:autoSpaceDN w:val="0"/>
        <w:adjustRightInd w:val="0"/>
        <w:jc w:val="both"/>
        <w:rPr>
          <w:rFonts w:cs="Arial"/>
          <w:sz w:val="22"/>
          <w:szCs w:val="22"/>
        </w:rPr>
      </w:pPr>
    </w:p>
    <w:p w14:paraId="4BD301D6" w14:textId="77777777" w:rsidR="00D01C68" w:rsidRDefault="00D01C68" w:rsidP="00C72779">
      <w:pPr>
        <w:autoSpaceDE w:val="0"/>
        <w:autoSpaceDN w:val="0"/>
        <w:adjustRightInd w:val="0"/>
        <w:jc w:val="both"/>
        <w:rPr>
          <w:rFonts w:cs="Arial"/>
          <w:sz w:val="22"/>
          <w:szCs w:val="22"/>
        </w:rPr>
      </w:pPr>
      <w:r w:rsidRPr="002C48E0">
        <w:rPr>
          <w:rFonts w:cs="Arial"/>
          <w:sz w:val="22"/>
          <w:szCs w:val="22"/>
        </w:rPr>
        <w:t xml:space="preserve">Así mismo, este posicionamiento se ha relacionado con el </w:t>
      </w:r>
      <w:r>
        <w:rPr>
          <w:rFonts w:cs="Arial"/>
          <w:i/>
          <w:iCs/>
          <w:sz w:val="22"/>
          <w:szCs w:val="22"/>
        </w:rPr>
        <w:t xml:space="preserve">‘Acuerdo Final para la </w:t>
      </w:r>
      <w:r w:rsidRPr="002C48E0">
        <w:rPr>
          <w:rFonts w:cs="Arial"/>
          <w:i/>
          <w:iCs/>
          <w:sz w:val="22"/>
          <w:szCs w:val="22"/>
        </w:rPr>
        <w:t>Terminación del Conflicto y la Construcción de una Paz Estable y Duradera’</w:t>
      </w:r>
      <w:r w:rsidRPr="002C48E0">
        <w:rPr>
          <w:rFonts w:cs="Arial"/>
          <w:sz w:val="22"/>
          <w:szCs w:val="22"/>
        </w:rPr>
        <w:t>, a través del</w:t>
      </w:r>
      <w:r>
        <w:rPr>
          <w:rFonts w:cs="Arial"/>
          <w:i/>
          <w:iCs/>
          <w:sz w:val="22"/>
          <w:szCs w:val="22"/>
        </w:rPr>
        <w:t xml:space="preserve"> </w:t>
      </w:r>
      <w:r w:rsidRPr="002C48E0">
        <w:rPr>
          <w:rFonts w:cs="Arial"/>
          <w:sz w:val="22"/>
          <w:szCs w:val="22"/>
        </w:rPr>
        <w:t>cual se identificó el catastro como un instrumento necesario para desarrollar la Reforma</w:t>
      </w:r>
      <w:r>
        <w:rPr>
          <w:rFonts w:cs="Arial"/>
          <w:i/>
          <w:iCs/>
          <w:sz w:val="22"/>
          <w:szCs w:val="22"/>
        </w:rPr>
        <w:t xml:space="preserve"> </w:t>
      </w:r>
      <w:r w:rsidRPr="002C48E0">
        <w:rPr>
          <w:rFonts w:cs="Arial"/>
          <w:sz w:val="22"/>
          <w:szCs w:val="22"/>
        </w:rPr>
        <w:t>Rural Integral, a partir de la formación y actualización del catastro e impuesto predial rural.</w:t>
      </w:r>
      <w:r>
        <w:rPr>
          <w:rFonts w:cs="Arial"/>
          <w:i/>
          <w:iCs/>
          <w:sz w:val="22"/>
          <w:szCs w:val="22"/>
        </w:rPr>
        <w:t xml:space="preserve"> </w:t>
      </w:r>
      <w:r w:rsidRPr="002C48E0">
        <w:rPr>
          <w:rFonts w:cs="Arial"/>
          <w:sz w:val="22"/>
          <w:szCs w:val="22"/>
        </w:rPr>
        <w:t>En tal sentido, el marco de política pública dado por el CONPES 3958 de 2019 que adopta</w:t>
      </w:r>
      <w:r>
        <w:rPr>
          <w:rFonts w:cs="Arial"/>
          <w:i/>
          <w:iCs/>
          <w:sz w:val="22"/>
          <w:szCs w:val="22"/>
        </w:rPr>
        <w:t xml:space="preserve"> </w:t>
      </w:r>
      <w:r w:rsidRPr="002C48E0">
        <w:rPr>
          <w:rFonts w:cs="Arial"/>
          <w:sz w:val="22"/>
          <w:szCs w:val="22"/>
        </w:rPr>
        <w:t>la política de implementación del catastro multipropósito; el CONPES 3951 de 2018, que</w:t>
      </w:r>
      <w:r>
        <w:rPr>
          <w:rFonts w:cs="Arial"/>
          <w:i/>
          <w:iCs/>
          <w:sz w:val="22"/>
          <w:szCs w:val="22"/>
        </w:rPr>
        <w:t xml:space="preserve"> </w:t>
      </w:r>
      <w:r w:rsidRPr="002C48E0">
        <w:rPr>
          <w:rFonts w:cs="Arial"/>
          <w:sz w:val="22"/>
          <w:szCs w:val="22"/>
        </w:rPr>
        <w:t>emite concepto favorable para la contratación de crédito externo que permita la</w:t>
      </w:r>
      <w:r>
        <w:rPr>
          <w:rFonts w:cs="Arial"/>
          <w:i/>
          <w:iCs/>
          <w:sz w:val="22"/>
          <w:szCs w:val="22"/>
        </w:rPr>
        <w:t xml:space="preserve"> </w:t>
      </w:r>
      <w:r w:rsidRPr="002C48E0">
        <w:rPr>
          <w:rFonts w:cs="Arial"/>
          <w:sz w:val="22"/>
          <w:szCs w:val="22"/>
        </w:rPr>
        <w:t xml:space="preserve">implementación de la Política; y la Ley 1955 de 2019, a través de la cual se adopta el </w:t>
      </w:r>
      <w:r w:rsidRPr="002C48E0">
        <w:rPr>
          <w:rFonts w:cs="Arial"/>
          <w:i/>
          <w:iCs/>
          <w:sz w:val="22"/>
          <w:szCs w:val="22"/>
        </w:rPr>
        <w:t>Plan</w:t>
      </w:r>
      <w:r>
        <w:rPr>
          <w:rFonts w:cs="Arial"/>
          <w:i/>
          <w:iCs/>
          <w:sz w:val="22"/>
          <w:szCs w:val="22"/>
        </w:rPr>
        <w:t xml:space="preserve"> </w:t>
      </w:r>
      <w:r w:rsidRPr="002C48E0">
        <w:rPr>
          <w:rFonts w:cs="Arial"/>
          <w:i/>
          <w:iCs/>
          <w:sz w:val="22"/>
          <w:szCs w:val="22"/>
        </w:rPr>
        <w:t>Nacional de Desarrollo (PND) 2018-2022 “Pacto por Colombia, pacto por la equidad”,</w:t>
      </w:r>
      <w:r>
        <w:rPr>
          <w:rFonts w:cs="Arial"/>
          <w:i/>
          <w:iCs/>
          <w:sz w:val="22"/>
          <w:szCs w:val="22"/>
        </w:rPr>
        <w:t xml:space="preserve"> </w:t>
      </w:r>
      <w:r w:rsidRPr="002C48E0">
        <w:rPr>
          <w:rFonts w:cs="Arial"/>
          <w:sz w:val="22"/>
          <w:szCs w:val="22"/>
        </w:rPr>
        <w:t>define los lineamientos, acciones, compromisos y metas para la entidad, durante los</w:t>
      </w:r>
      <w:r>
        <w:rPr>
          <w:rFonts w:cs="Arial"/>
          <w:i/>
          <w:iCs/>
          <w:sz w:val="22"/>
          <w:szCs w:val="22"/>
        </w:rPr>
        <w:t xml:space="preserve"> </w:t>
      </w:r>
      <w:r w:rsidRPr="002C48E0">
        <w:rPr>
          <w:rFonts w:cs="Arial"/>
          <w:sz w:val="22"/>
          <w:szCs w:val="22"/>
        </w:rPr>
        <w:t>próximos años, dadas las prioridades del Gobierno Nacional en estas materias.</w:t>
      </w:r>
    </w:p>
    <w:p w14:paraId="78FA4E33" w14:textId="77777777" w:rsidR="00D01C68" w:rsidRDefault="00D01C68" w:rsidP="00C72779">
      <w:pPr>
        <w:autoSpaceDE w:val="0"/>
        <w:autoSpaceDN w:val="0"/>
        <w:adjustRightInd w:val="0"/>
        <w:jc w:val="both"/>
        <w:rPr>
          <w:rFonts w:cs="Arial"/>
          <w:sz w:val="22"/>
          <w:szCs w:val="22"/>
        </w:rPr>
      </w:pPr>
    </w:p>
    <w:p w14:paraId="3596E41A" w14:textId="77777777" w:rsidR="00D01C68" w:rsidRDefault="00D01C68" w:rsidP="00C72779">
      <w:pPr>
        <w:autoSpaceDE w:val="0"/>
        <w:autoSpaceDN w:val="0"/>
        <w:adjustRightInd w:val="0"/>
        <w:jc w:val="both"/>
        <w:rPr>
          <w:rFonts w:cs="Arial"/>
          <w:color w:val="000000" w:themeColor="text1"/>
          <w:sz w:val="22"/>
          <w:szCs w:val="22"/>
          <w:lang w:eastAsia="es-CO"/>
        </w:rPr>
      </w:pPr>
      <w:r>
        <w:rPr>
          <w:rFonts w:cs="Arial"/>
          <w:sz w:val="22"/>
          <w:szCs w:val="22"/>
        </w:rPr>
        <w:t xml:space="preserve">De cara a estos nuevos retos se realizó un cambio en la plataforma estratégica de la entidad, enfocada en objetivos y estrategias orientados a responder de manera adecuada a estos, lo que a su vez se consolidó con la aprobación del proceso de modernización institucional, dado que el IGAC presenta un rezago importante a nivel de </w:t>
      </w:r>
      <w:r w:rsidRPr="00855152">
        <w:rPr>
          <w:rFonts w:cs="Arial"/>
          <w:sz w:val="22"/>
          <w:szCs w:val="22"/>
        </w:rPr>
        <w:t>estructura organ</w:t>
      </w:r>
      <w:r>
        <w:rPr>
          <w:rFonts w:cs="Arial"/>
          <w:sz w:val="22"/>
          <w:szCs w:val="22"/>
        </w:rPr>
        <w:t xml:space="preserve">izacional, física, tecnológica. </w:t>
      </w:r>
      <w:r w:rsidRPr="00855152">
        <w:rPr>
          <w:rFonts w:cs="Arial"/>
          <w:sz w:val="22"/>
          <w:szCs w:val="22"/>
        </w:rPr>
        <w:t xml:space="preserve">La modernización institucional </w:t>
      </w:r>
      <w:r>
        <w:rPr>
          <w:rFonts w:cs="Arial"/>
          <w:sz w:val="22"/>
          <w:szCs w:val="22"/>
        </w:rPr>
        <w:t>fue un</w:t>
      </w:r>
      <w:r w:rsidRPr="00855152">
        <w:rPr>
          <w:rFonts w:cs="Arial"/>
          <w:sz w:val="22"/>
          <w:szCs w:val="22"/>
        </w:rPr>
        <w:t xml:space="preserve"> ejercicio muy valioso, porque el propósito principal está basado en c</w:t>
      </w:r>
      <w:r>
        <w:rPr>
          <w:rFonts w:cs="Arial"/>
          <w:sz w:val="22"/>
          <w:szCs w:val="22"/>
        </w:rPr>
        <w:t xml:space="preserve">onstruir una visión compartida, </w:t>
      </w:r>
      <w:r w:rsidRPr="00855152">
        <w:rPr>
          <w:rFonts w:cs="Arial"/>
          <w:sz w:val="22"/>
          <w:szCs w:val="22"/>
        </w:rPr>
        <w:t xml:space="preserve">para que realmente se logre la guía a largo plazo, más allá de los cambios de Gobierno o dirección, apropiándose de lo que </w:t>
      </w:r>
      <w:r>
        <w:rPr>
          <w:rFonts w:cs="Arial"/>
          <w:sz w:val="22"/>
          <w:szCs w:val="22"/>
        </w:rPr>
        <w:t>se quiere</w:t>
      </w:r>
      <w:r w:rsidRPr="00855152">
        <w:rPr>
          <w:rFonts w:cs="Arial"/>
          <w:sz w:val="22"/>
          <w:szCs w:val="22"/>
        </w:rPr>
        <w:t xml:space="preserve"> que sea su labor en los próximos años. </w:t>
      </w:r>
      <w:r>
        <w:rPr>
          <w:rFonts w:cs="Arial"/>
          <w:color w:val="000000" w:themeColor="text1"/>
          <w:sz w:val="22"/>
          <w:szCs w:val="22"/>
          <w:lang w:eastAsia="es-CO"/>
        </w:rPr>
        <w:t>Este proceso impactó directamente cuatro componentes claves en el Instituto</w:t>
      </w:r>
      <w:r w:rsidRPr="003743B9">
        <w:rPr>
          <w:rFonts w:cs="Arial"/>
          <w:color w:val="000000" w:themeColor="text1"/>
          <w:sz w:val="22"/>
          <w:szCs w:val="22"/>
          <w:lang w:eastAsia="es-CO"/>
        </w:rPr>
        <w:t xml:space="preserve"> el mapa de procesos, la estructura interna, la planta de personal y el manual específico de funciones y competencias laborales</w:t>
      </w:r>
      <w:r>
        <w:rPr>
          <w:rFonts w:cs="Arial"/>
          <w:color w:val="000000" w:themeColor="text1"/>
          <w:sz w:val="22"/>
          <w:szCs w:val="22"/>
          <w:lang w:eastAsia="es-CO"/>
        </w:rPr>
        <w:t>.</w:t>
      </w:r>
      <w:r w:rsidRPr="003743B9">
        <w:rPr>
          <w:rFonts w:cs="Arial"/>
          <w:color w:val="000000" w:themeColor="text1"/>
          <w:sz w:val="22"/>
          <w:szCs w:val="22"/>
          <w:lang w:eastAsia="es-CO"/>
        </w:rPr>
        <w:t xml:space="preserve"> </w:t>
      </w:r>
    </w:p>
    <w:p w14:paraId="78B990BC" w14:textId="77777777" w:rsidR="00D01C68" w:rsidRDefault="00D01C68" w:rsidP="00C72779">
      <w:pPr>
        <w:autoSpaceDE w:val="0"/>
        <w:autoSpaceDN w:val="0"/>
        <w:adjustRightInd w:val="0"/>
        <w:jc w:val="both"/>
        <w:rPr>
          <w:rFonts w:cs="Arial"/>
          <w:color w:val="000000" w:themeColor="text1"/>
          <w:sz w:val="22"/>
          <w:szCs w:val="22"/>
          <w:lang w:eastAsia="es-CO"/>
        </w:rPr>
      </w:pPr>
    </w:p>
    <w:p w14:paraId="01F26D98" w14:textId="77777777" w:rsidR="00D01C68" w:rsidRPr="002A6B7D" w:rsidRDefault="00D01C68" w:rsidP="00C72779">
      <w:pPr>
        <w:autoSpaceDE w:val="0"/>
        <w:autoSpaceDN w:val="0"/>
        <w:adjustRightInd w:val="0"/>
        <w:jc w:val="both"/>
        <w:rPr>
          <w:rFonts w:cs="Arial"/>
          <w:color w:val="000000" w:themeColor="text1"/>
          <w:sz w:val="22"/>
          <w:szCs w:val="22"/>
          <w:lang w:eastAsia="es-CO"/>
        </w:rPr>
      </w:pPr>
      <w:r>
        <w:rPr>
          <w:rFonts w:cs="Arial"/>
          <w:color w:val="000000" w:themeColor="text1"/>
          <w:sz w:val="22"/>
          <w:szCs w:val="22"/>
          <w:lang w:eastAsia="es-CO"/>
        </w:rPr>
        <w:t xml:space="preserve">Actualmente el IGAC tiene presencia en el territorio por medio de 22 direcciones territoriales con las cuales se </w:t>
      </w:r>
      <w:r w:rsidRPr="002C48E0">
        <w:rPr>
          <w:rFonts w:cs="Arial"/>
          <w:sz w:val="22"/>
          <w:szCs w:val="22"/>
        </w:rPr>
        <w:t>busca seguir consolidándose ante la ciudadanía y las entidades</w:t>
      </w:r>
      <w:r>
        <w:rPr>
          <w:rFonts w:cs="Arial"/>
          <w:color w:val="000000" w:themeColor="text1"/>
          <w:sz w:val="22"/>
          <w:szCs w:val="22"/>
          <w:lang w:eastAsia="es-CO"/>
        </w:rPr>
        <w:t xml:space="preserve"> </w:t>
      </w:r>
      <w:r w:rsidRPr="002C48E0">
        <w:rPr>
          <w:rFonts w:cs="Arial"/>
          <w:sz w:val="22"/>
          <w:szCs w:val="22"/>
        </w:rPr>
        <w:t>en el</w:t>
      </w:r>
      <w:r>
        <w:rPr>
          <w:rFonts w:cs="Arial"/>
          <w:sz w:val="22"/>
          <w:szCs w:val="22"/>
        </w:rPr>
        <w:t xml:space="preserve"> ámbito nacional</w:t>
      </w:r>
      <w:r w:rsidRPr="002C48E0">
        <w:rPr>
          <w:rFonts w:cs="Arial"/>
          <w:sz w:val="22"/>
          <w:szCs w:val="22"/>
        </w:rPr>
        <w:t>, como la autoridad geográfica, cartográfica,</w:t>
      </w:r>
      <w:r>
        <w:rPr>
          <w:rFonts w:cs="Arial"/>
          <w:color w:val="000000" w:themeColor="text1"/>
          <w:sz w:val="22"/>
          <w:szCs w:val="22"/>
          <w:lang w:eastAsia="es-CO"/>
        </w:rPr>
        <w:t xml:space="preserve"> </w:t>
      </w:r>
      <w:r w:rsidRPr="002C48E0">
        <w:rPr>
          <w:rFonts w:cs="Arial"/>
          <w:sz w:val="22"/>
          <w:szCs w:val="22"/>
        </w:rPr>
        <w:t>agrológica y catastral, líder en la gestión del conocimiento, investigación y aplicaciones</w:t>
      </w:r>
      <w:r>
        <w:rPr>
          <w:rFonts w:cs="Arial"/>
          <w:sz w:val="22"/>
          <w:szCs w:val="22"/>
        </w:rPr>
        <w:t xml:space="preserve"> </w:t>
      </w:r>
      <w:r w:rsidRPr="002C48E0">
        <w:rPr>
          <w:rFonts w:cs="Arial"/>
          <w:sz w:val="22"/>
          <w:szCs w:val="22"/>
        </w:rPr>
        <w:t>en tecnologías geoespaciales, bajo estándares de eficiencia, eficacia y efectividad,</w:t>
      </w:r>
      <w:r>
        <w:rPr>
          <w:rFonts w:cs="Arial"/>
          <w:color w:val="000000" w:themeColor="text1"/>
          <w:sz w:val="22"/>
          <w:szCs w:val="22"/>
          <w:lang w:eastAsia="es-CO"/>
        </w:rPr>
        <w:t xml:space="preserve"> </w:t>
      </w:r>
      <w:r w:rsidRPr="002C48E0">
        <w:rPr>
          <w:rFonts w:cs="Arial"/>
          <w:sz w:val="22"/>
          <w:szCs w:val="22"/>
        </w:rPr>
        <w:t>fundamentales para el desarrollo territorial.</w:t>
      </w:r>
    </w:p>
    <w:p w14:paraId="3638F26B" w14:textId="77777777" w:rsidR="00CF1907" w:rsidRDefault="00CF1907" w:rsidP="00C72779">
      <w:pPr>
        <w:jc w:val="both"/>
        <w:rPr>
          <w:rFonts w:cs="Arial"/>
          <w:sz w:val="22"/>
          <w:szCs w:val="22"/>
        </w:rPr>
      </w:pPr>
    </w:p>
    <w:p w14:paraId="6952F6A2" w14:textId="77777777" w:rsidR="00CF1907" w:rsidRDefault="00CF1907" w:rsidP="00C72779">
      <w:pPr>
        <w:jc w:val="both"/>
        <w:rPr>
          <w:rFonts w:cs="Arial"/>
          <w:sz w:val="22"/>
          <w:szCs w:val="22"/>
        </w:rPr>
      </w:pPr>
    </w:p>
    <w:p w14:paraId="543A318E" w14:textId="41B8CB10" w:rsidR="00D01C68" w:rsidRPr="00CF1907" w:rsidRDefault="00D01C68" w:rsidP="00C72779">
      <w:pPr>
        <w:jc w:val="both"/>
        <w:rPr>
          <w:rFonts w:cs="Arial"/>
          <w:sz w:val="22"/>
          <w:szCs w:val="22"/>
        </w:rPr>
      </w:pPr>
      <w:r>
        <w:rPr>
          <w:rFonts w:cs="Arial"/>
          <w:sz w:val="22"/>
          <w:szCs w:val="22"/>
        </w:rPr>
        <w:t>Respecto a la estructura organizacional, esta fue modificada de acuerdo al Decreto 846 de julio de 2021 como se muestra a continuación:</w:t>
      </w:r>
    </w:p>
    <w:p w14:paraId="578C0068" w14:textId="77777777" w:rsidR="00D01C68" w:rsidRDefault="00D01C68" w:rsidP="00C72779">
      <w:pPr>
        <w:ind w:left="720" w:hanging="360"/>
        <w:jc w:val="center"/>
        <w:rPr>
          <w:rFonts w:cs="Arial"/>
          <w:b/>
          <w:sz w:val="22"/>
          <w:szCs w:val="22"/>
        </w:rPr>
      </w:pPr>
    </w:p>
    <w:p w14:paraId="480F7F37" w14:textId="0D504D78" w:rsidR="00D01C68" w:rsidRPr="00112BCD" w:rsidRDefault="005232A8" w:rsidP="00C72779">
      <w:pPr>
        <w:pStyle w:val="Descripcin"/>
        <w:jc w:val="center"/>
        <w:rPr>
          <w:rFonts w:ascii="Arial" w:hAnsi="Arial" w:cs="Arial"/>
          <w:b/>
          <w:i w:val="0"/>
          <w:color w:val="000000" w:themeColor="text1"/>
          <w:sz w:val="22"/>
          <w:szCs w:val="22"/>
        </w:rPr>
      </w:pPr>
      <w:bookmarkStart w:id="4" w:name="_Toc88655306"/>
      <w:bookmarkStart w:id="5" w:name="_Toc88656927"/>
      <w:bookmarkStart w:id="6" w:name="_Toc88677157"/>
      <w:r w:rsidRPr="006D1112">
        <w:rPr>
          <w:noProof/>
          <w:sz w:val="16"/>
          <w:lang w:eastAsia="es-CO"/>
        </w:rPr>
        <w:lastRenderedPageBreak/>
        <w:drawing>
          <wp:anchor distT="0" distB="0" distL="114300" distR="114300" simplePos="0" relativeHeight="251658240" behindDoc="0" locked="0" layoutInCell="1" allowOverlap="1" wp14:anchorId="6C36E7EF" wp14:editId="01EE1D65">
            <wp:simplePos x="0" y="0"/>
            <wp:positionH relativeFrom="margin">
              <wp:align>center</wp:align>
            </wp:positionH>
            <wp:positionV relativeFrom="paragraph">
              <wp:posOffset>229870</wp:posOffset>
            </wp:positionV>
            <wp:extent cx="6517005" cy="356616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17005" cy="3566160"/>
                    </a:xfrm>
                    <a:prstGeom prst="rect">
                      <a:avLst/>
                    </a:prstGeom>
                    <a:noFill/>
                    <a:ln>
                      <a:noFill/>
                    </a:ln>
                  </pic:spPr>
                </pic:pic>
              </a:graphicData>
            </a:graphic>
            <wp14:sizeRelH relativeFrom="page">
              <wp14:pctWidth>0</wp14:pctWidth>
            </wp14:sizeRelH>
            <wp14:sizeRelV relativeFrom="page">
              <wp14:pctHeight>0</wp14:pctHeight>
            </wp14:sizeRelV>
          </wp:anchor>
        </w:drawing>
      </w:r>
      <w:r w:rsidR="000273E8" w:rsidRPr="006D1112">
        <w:rPr>
          <w:rFonts w:ascii="Arial" w:hAnsi="Arial" w:cs="Arial"/>
          <w:b/>
          <w:i w:val="0"/>
          <w:color w:val="000000" w:themeColor="text1"/>
          <w:sz w:val="16"/>
        </w:rPr>
        <w:t xml:space="preserve">Ilustración </w:t>
      </w:r>
      <w:r w:rsidR="000273E8" w:rsidRPr="006D1112">
        <w:rPr>
          <w:rFonts w:ascii="Arial" w:hAnsi="Arial" w:cs="Arial"/>
          <w:b/>
          <w:i w:val="0"/>
          <w:color w:val="000000" w:themeColor="text1"/>
          <w:sz w:val="16"/>
        </w:rPr>
        <w:fldChar w:fldCharType="begin"/>
      </w:r>
      <w:r w:rsidR="000273E8" w:rsidRPr="006D1112">
        <w:rPr>
          <w:rFonts w:ascii="Arial" w:hAnsi="Arial" w:cs="Arial"/>
          <w:b/>
          <w:i w:val="0"/>
          <w:color w:val="000000" w:themeColor="text1"/>
          <w:sz w:val="16"/>
        </w:rPr>
        <w:instrText xml:space="preserve"> SEQ Ilustración \* ARABIC </w:instrText>
      </w:r>
      <w:r w:rsidR="000273E8" w:rsidRPr="006D1112">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1</w:t>
      </w:r>
      <w:r w:rsidR="000273E8" w:rsidRPr="006D1112">
        <w:rPr>
          <w:rFonts w:ascii="Arial" w:hAnsi="Arial" w:cs="Arial"/>
          <w:b/>
          <w:i w:val="0"/>
          <w:color w:val="000000" w:themeColor="text1"/>
          <w:sz w:val="16"/>
        </w:rPr>
        <w:fldChar w:fldCharType="end"/>
      </w:r>
      <w:r w:rsidR="000273E8" w:rsidRPr="006D1112">
        <w:rPr>
          <w:rFonts w:ascii="Arial" w:hAnsi="Arial" w:cs="Arial"/>
          <w:b/>
          <w:i w:val="0"/>
          <w:color w:val="000000" w:themeColor="text1"/>
          <w:sz w:val="16"/>
        </w:rPr>
        <w:t>: Organigrama IGAC</w:t>
      </w:r>
      <w:bookmarkEnd w:id="4"/>
      <w:bookmarkEnd w:id="5"/>
      <w:bookmarkEnd w:id="6"/>
    </w:p>
    <w:p w14:paraId="15903C65" w14:textId="19744318" w:rsidR="00D01C68" w:rsidRPr="006D1112" w:rsidRDefault="006D1112" w:rsidP="00C72779">
      <w:pPr>
        <w:ind w:left="720" w:hanging="360"/>
        <w:jc w:val="center"/>
        <w:rPr>
          <w:rFonts w:eastAsia="Arial" w:cs="Arial"/>
          <w:b/>
          <w:sz w:val="16"/>
          <w:szCs w:val="22"/>
        </w:rPr>
      </w:pPr>
      <w:r w:rsidRPr="006D1112">
        <w:rPr>
          <w:rFonts w:cs="Arial"/>
          <w:b/>
          <w:sz w:val="16"/>
          <w:szCs w:val="22"/>
        </w:rPr>
        <w:t>Fuente: Propia IGAC</w:t>
      </w:r>
    </w:p>
    <w:p w14:paraId="5CD457E6" w14:textId="732591FA" w:rsidR="00F55DA1" w:rsidRDefault="00F55DA1" w:rsidP="00C72779">
      <w:pPr>
        <w:jc w:val="both"/>
        <w:rPr>
          <w:rFonts w:eastAsia="Arial" w:cs="Arial"/>
          <w:b/>
          <w:sz w:val="22"/>
          <w:szCs w:val="22"/>
        </w:rPr>
      </w:pPr>
    </w:p>
    <w:p w14:paraId="3CCF07EF" w14:textId="7B403684" w:rsidR="00E962DB" w:rsidRPr="00112BCD" w:rsidRDefault="00342C46" w:rsidP="00C72779">
      <w:pPr>
        <w:jc w:val="both"/>
        <w:rPr>
          <w:rFonts w:eastAsia="Arial" w:cs="Arial"/>
          <w:b/>
          <w:sz w:val="22"/>
          <w:szCs w:val="22"/>
        </w:rPr>
      </w:pPr>
      <w:r>
        <w:rPr>
          <w:rFonts w:eastAsia="Arial" w:cs="Arial"/>
          <w:sz w:val="22"/>
          <w:szCs w:val="22"/>
        </w:rPr>
        <w:t xml:space="preserve">Con el </w:t>
      </w:r>
      <w:r w:rsidR="00C50326">
        <w:rPr>
          <w:rFonts w:eastAsia="Arial" w:cs="Arial"/>
          <w:sz w:val="22"/>
          <w:szCs w:val="22"/>
        </w:rPr>
        <w:t>presente informe</w:t>
      </w:r>
      <w:r>
        <w:rPr>
          <w:rFonts w:eastAsia="Arial" w:cs="Arial"/>
          <w:sz w:val="22"/>
          <w:szCs w:val="22"/>
        </w:rPr>
        <w:t xml:space="preserve"> se busca destacar </w:t>
      </w:r>
      <w:r w:rsidR="00D06233">
        <w:rPr>
          <w:rFonts w:eastAsia="Arial" w:cs="Arial"/>
          <w:sz w:val="22"/>
          <w:szCs w:val="22"/>
        </w:rPr>
        <w:t>el impacto que tiene la entidad en el cumplimiento de las metas Plan Nacional de Desarrollo –</w:t>
      </w:r>
      <w:r w:rsidR="00EE5823">
        <w:rPr>
          <w:rFonts w:eastAsia="Arial" w:cs="Arial"/>
          <w:sz w:val="22"/>
          <w:szCs w:val="22"/>
        </w:rPr>
        <w:t xml:space="preserve"> PND</w:t>
      </w:r>
      <w:r w:rsidR="007D31BA">
        <w:rPr>
          <w:rFonts w:eastAsia="Arial" w:cs="Arial"/>
          <w:sz w:val="22"/>
          <w:szCs w:val="22"/>
        </w:rPr>
        <w:t xml:space="preserve">, el proceso llevado a </w:t>
      </w:r>
      <w:r w:rsidR="00EE5823">
        <w:rPr>
          <w:rFonts w:eastAsia="Arial" w:cs="Arial"/>
          <w:sz w:val="22"/>
          <w:szCs w:val="22"/>
        </w:rPr>
        <w:t xml:space="preserve">cabo para </w:t>
      </w:r>
      <w:r w:rsidR="00CC44A7">
        <w:rPr>
          <w:rFonts w:eastAsia="Arial" w:cs="Arial"/>
          <w:sz w:val="22"/>
          <w:szCs w:val="22"/>
        </w:rPr>
        <w:t xml:space="preserve">la materialización de </w:t>
      </w:r>
      <w:r w:rsidR="007D31BA">
        <w:rPr>
          <w:rFonts w:eastAsia="Arial" w:cs="Arial"/>
          <w:sz w:val="22"/>
          <w:szCs w:val="22"/>
        </w:rPr>
        <w:t>la modernización institucional</w:t>
      </w:r>
      <w:r w:rsidR="008443DD">
        <w:rPr>
          <w:rFonts w:eastAsia="Arial" w:cs="Arial"/>
          <w:sz w:val="22"/>
          <w:szCs w:val="22"/>
        </w:rPr>
        <w:t xml:space="preserve"> del IGAC, el impacto de la gestión catastral </w:t>
      </w:r>
      <w:r w:rsidR="0073459F">
        <w:rPr>
          <w:rFonts w:eastAsia="Arial" w:cs="Arial"/>
          <w:sz w:val="22"/>
          <w:szCs w:val="22"/>
        </w:rPr>
        <w:t xml:space="preserve">en la administración del territorio y los principales logros y resultados obtenidos </w:t>
      </w:r>
      <w:r>
        <w:rPr>
          <w:rFonts w:eastAsia="Arial" w:cs="Arial"/>
          <w:sz w:val="22"/>
          <w:szCs w:val="22"/>
        </w:rPr>
        <w:t>durante la administración.</w:t>
      </w:r>
    </w:p>
    <w:p w14:paraId="4160F8BA" w14:textId="732591FA" w:rsidR="00F55DA1" w:rsidRPr="007A2384" w:rsidRDefault="00F55DA1" w:rsidP="00C72779">
      <w:pPr>
        <w:jc w:val="both"/>
        <w:rPr>
          <w:rFonts w:eastAsia="Arial" w:cs="Arial"/>
          <w:sz w:val="22"/>
          <w:szCs w:val="22"/>
        </w:rPr>
      </w:pPr>
    </w:p>
    <w:p w14:paraId="190A77DA" w14:textId="732591FA" w:rsidR="00F55DA1" w:rsidRPr="007A2384" w:rsidRDefault="00F55DA1" w:rsidP="00C72779">
      <w:pPr>
        <w:jc w:val="both"/>
        <w:rPr>
          <w:rFonts w:eastAsia="Arial" w:cs="Arial"/>
          <w:sz w:val="22"/>
          <w:szCs w:val="22"/>
        </w:rPr>
      </w:pPr>
    </w:p>
    <w:p w14:paraId="6D9FBAD1" w14:textId="732591FA" w:rsidR="00F55DA1" w:rsidRPr="007A2384" w:rsidRDefault="00F55DA1" w:rsidP="00C72779">
      <w:pPr>
        <w:jc w:val="both"/>
        <w:rPr>
          <w:rFonts w:eastAsia="Arial" w:cs="Arial"/>
          <w:sz w:val="22"/>
          <w:szCs w:val="22"/>
        </w:rPr>
      </w:pPr>
    </w:p>
    <w:p w14:paraId="43B74CF9" w14:textId="732591FA" w:rsidR="00F55DA1" w:rsidRDefault="00F55DA1" w:rsidP="00C72779">
      <w:pPr>
        <w:jc w:val="both"/>
        <w:rPr>
          <w:rFonts w:eastAsia="Arial" w:cs="Arial"/>
          <w:sz w:val="22"/>
          <w:szCs w:val="22"/>
        </w:rPr>
      </w:pPr>
    </w:p>
    <w:p w14:paraId="7969593C" w14:textId="77777777" w:rsidR="007A2384" w:rsidRDefault="007A2384" w:rsidP="00C72779">
      <w:pPr>
        <w:jc w:val="both"/>
        <w:rPr>
          <w:rFonts w:eastAsia="Arial" w:cs="Arial"/>
          <w:sz w:val="22"/>
          <w:szCs w:val="22"/>
        </w:rPr>
      </w:pPr>
    </w:p>
    <w:p w14:paraId="3C10E921" w14:textId="77777777" w:rsidR="007A2384" w:rsidRDefault="007A2384" w:rsidP="00C72779">
      <w:pPr>
        <w:jc w:val="both"/>
        <w:rPr>
          <w:rFonts w:eastAsia="Arial" w:cs="Arial"/>
          <w:sz w:val="22"/>
          <w:szCs w:val="22"/>
        </w:rPr>
      </w:pPr>
    </w:p>
    <w:p w14:paraId="11F9E45A" w14:textId="77777777" w:rsidR="007A2384" w:rsidRDefault="007A2384" w:rsidP="00C72779">
      <w:pPr>
        <w:jc w:val="both"/>
        <w:rPr>
          <w:rFonts w:eastAsia="Arial" w:cs="Arial"/>
          <w:sz w:val="22"/>
          <w:szCs w:val="22"/>
        </w:rPr>
      </w:pPr>
    </w:p>
    <w:p w14:paraId="7392A0EC" w14:textId="77777777" w:rsidR="007A2384" w:rsidRDefault="007A2384" w:rsidP="00C72779">
      <w:pPr>
        <w:jc w:val="both"/>
        <w:rPr>
          <w:rFonts w:eastAsia="Arial" w:cs="Arial"/>
          <w:sz w:val="22"/>
          <w:szCs w:val="22"/>
        </w:rPr>
      </w:pPr>
    </w:p>
    <w:p w14:paraId="5A359EF2" w14:textId="77777777" w:rsidR="007A2384" w:rsidRDefault="007A2384" w:rsidP="00C72779">
      <w:pPr>
        <w:jc w:val="both"/>
        <w:rPr>
          <w:rFonts w:eastAsia="Arial" w:cs="Arial"/>
          <w:sz w:val="22"/>
          <w:szCs w:val="22"/>
        </w:rPr>
      </w:pPr>
    </w:p>
    <w:p w14:paraId="394FC415" w14:textId="77777777" w:rsidR="007A2384" w:rsidRDefault="007A2384" w:rsidP="00C72779">
      <w:pPr>
        <w:jc w:val="both"/>
        <w:rPr>
          <w:rFonts w:eastAsia="Arial" w:cs="Arial"/>
          <w:sz w:val="22"/>
          <w:szCs w:val="22"/>
        </w:rPr>
      </w:pPr>
    </w:p>
    <w:p w14:paraId="32A8497E" w14:textId="77777777" w:rsidR="007A2384" w:rsidRDefault="007A2384" w:rsidP="00C72779">
      <w:pPr>
        <w:jc w:val="both"/>
        <w:rPr>
          <w:rFonts w:eastAsia="Arial" w:cs="Arial"/>
          <w:sz w:val="22"/>
          <w:szCs w:val="22"/>
        </w:rPr>
      </w:pPr>
    </w:p>
    <w:p w14:paraId="610C443B" w14:textId="77777777" w:rsidR="007A2384" w:rsidRDefault="007A2384" w:rsidP="00C72779">
      <w:pPr>
        <w:jc w:val="both"/>
        <w:rPr>
          <w:rFonts w:eastAsia="Arial" w:cs="Arial"/>
          <w:sz w:val="22"/>
          <w:szCs w:val="22"/>
        </w:rPr>
      </w:pPr>
    </w:p>
    <w:p w14:paraId="40D9E787" w14:textId="77777777" w:rsidR="007A2384" w:rsidRDefault="007A2384" w:rsidP="00C72779">
      <w:pPr>
        <w:jc w:val="both"/>
        <w:rPr>
          <w:rFonts w:eastAsia="Arial" w:cs="Arial"/>
          <w:sz w:val="22"/>
          <w:szCs w:val="22"/>
        </w:rPr>
      </w:pPr>
    </w:p>
    <w:p w14:paraId="218E7B60" w14:textId="77777777" w:rsidR="005D698A" w:rsidRDefault="005D698A" w:rsidP="00C72779">
      <w:pPr>
        <w:jc w:val="both"/>
        <w:rPr>
          <w:rFonts w:eastAsia="Arial" w:cs="Arial"/>
          <w:sz w:val="22"/>
          <w:szCs w:val="22"/>
        </w:rPr>
      </w:pPr>
    </w:p>
    <w:p w14:paraId="07ACDEA9" w14:textId="68F993DE" w:rsidR="007A2384" w:rsidRDefault="007A2384" w:rsidP="00C72779">
      <w:pPr>
        <w:jc w:val="both"/>
        <w:rPr>
          <w:rFonts w:eastAsia="Arial" w:cs="Arial"/>
          <w:sz w:val="22"/>
          <w:szCs w:val="22"/>
        </w:rPr>
      </w:pPr>
    </w:p>
    <w:p w14:paraId="49AAAAE0" w14:textId="71E461E0" w:rsidR="00C23D09" w:rsidRDefault="00C23D09" w:rsidP="00C72779">
      <w:pPr>
        <w:jc w:val="both"/>
        <w:rPr>
          <w:rFonts w:eastAsia="Arial" w:cs="Arial"/>
          <w:sz w:val="22"/>
          <w:szCs w:val="22"/>
        </w:rPr>
      </w:pPr>
    </w:p>
    <w:p w14:paraId="618BC00A" w14:textId="7D390789" w:rsidR="00C23D09" w:rsidRDefault="00C23D09" w:rsidP="00C72779">
      <w:pPr>
        <w:jc w:val="both"/>
        <w:rPr>
          <w:rFonts w:eastAsia="Arial" w:cs="Arial"/>
          <w:sz w:val="22"/>
          <w:szCs w:val="22"/>
        </w:rPr>
      </w:pPr>
    </w:p>
    <w:p w14:paraId="0FE319B8" w14:textId="6D55BE9F" w:rsidR="00C23D09" w:rsidRDefault="00C23D09" w:rsidP="00C72779">
      <w:pPr>
        <w:jc w:val="both"/>
        <w:rPr>
          <w:rFonts w:eastAsia="Arial" w:cs="Arial"/>
          <w:sz w:val="22"/>
          <w:szCs w:val="22"/>
        </w:rPr>
      </w:pPr>
    </w:p>
    <w:p w14:paraId="0D7EC31E" w14:textId="1BAAFB09" w:rsidR="00C23D09" w:rsidRDefault="00C23D09" w:rsidP="00C72779">
      <w:pPr>
        <w:jc w:val="both"/>
        <w:rPr>
          <w:rFonts w:eastAsia="Arial" w:cs="Arial"/>
          <w:sz w:val="22"/>
          <w:szCs w:val="22"/>
        </w:rPr>
      </w:pPr>
    </w:p>
    <w:p w14:paraId="096D51DA" w14:textId="77777777" w:rsidR="00C23D09" w:rsidRPr="007A2384" w:rsidRDefault="00C23D09" w:rsidP="00C72779">
      <w:pPr>
        <w:jc w:val="both"/>
        <w:rPr>
          <w:rFonts w:eastAsia="Arial" w:cs="Arial"/>
          <w:sz w:val="22"/>
          <w:szCs w:val="22"/>
        </w:rPr>
      </w:pPr>
    </w:p>
    <w:p w14:paraId="4DCA8EA3" w14:textId="7DC61E6F" w:rsidR="00C23D09" w:rsidRPr="00C23D09" w:rsidRDefault="001E74A8" w:rsidP="000A20EE">
      <w:pPr>
        <w:pStyle w:val="Ttulo1"/>
        <w:numPr>
          <w:ilvl w:val="0"/>
          <w:numId w:val="22"/>
        </w:numPr>
        <w:tabs>
          <w:tab w:val="center" w:pos="4717"/>
          <w:tab w:val="left" w:pos="8190"/>
        </w:tabs>
        <w:suppressAutoHyphens w:val="0"/>
        <w:spacing w:after="160" w:line="240" w:lineRule="auto"/>
        <w:contextualSpacing/>
        <w:jc w:val="both"/>
        <w:rPr>
          <w:sz w:val="22"/>
          <w:szCs w:val="22"/>
        </w:rPr>
      </w:pPr>
      <w:bookmarkStart w:id="7" w:name="_Toc88677051"/>
      <w:r w:rsidRPr="46032A88">
        <w:rPr>
          <w:sz w:val="22"/>
          <w:szCs w:val="22"/>
        </w:rPr>
        <w:lastRenderedPageBreak/>
        <w:t>METAS INSTITUCIONALES</w:t>
      </w:r>
      <w:bookmarkEnd w:id="7"/>
    </w:p>
    <w:p w14:paraId="755393CC" w14:textId="531861EB" w:rsidR="005D698A" w:rsidRPr="002B2367" w:rsidRDefault="002B2367" w:rsidP="000A20EE">
      <w:pPr>
        <w:pStyle w:val="Prrafodelista"/>
        <w:numPr>
          <w:ilvl w:val="1"/>
          <w:numId w:val="22"/>
        </w:numPr>
        <w:rPr>
          <w:rFonts w:eastAsia="Arial"/>
          <w:b/>
          <w:sz w:val="22"/>
          <w:lang w:eastAsia="es-CO"/>
        </w:rPr>
      </w:pPr>
      <w:r w:rsidRPr="002B2367">
        <w:rPr>
          <w:b/>
          <w:sz w:val="22"/>
          <w:lang w:eastAsia="es-CO"/>
        </w:rPr>
        <w:t>METAS DEL PLAN NACIONAL DE DESARROLLO - PND “PACTO POR COLOMBIA, PACTO POR LA EQUIDAD” 2018-2022</w:t>
      </w:r>
    </w:p>
    <w:p w14:paraId="58733C39" w14:textId="77777777" w:rsidR="002B2367" w:rsidRPr="002B2367" w:rsidRDefault="002B2367" w:rsidP="002B2367">
      <w:pPr>
        <w:pStyle w:val="Prrafodelista"/>
        <w:ind w:left="1080"/>
        <w:rPr>
          <w:rFonts w:eastAsiaTheme="majorEastAsia" w:cstheme="majorBidi"/>
          <w:b/>
        </w:rPr>
      </w:pPr>
    </w:p>
    <w:p w14:paraId="6E06A31B" w14:textId="530D9A9E" w:rsidR="005D698A" w:rsidRPr="0034059F" w:rsidRDefault="005D698A" w:rsidP="00C72779">
      <w:pPr>
        <w:jc w:val="both"/>
        <w:rPr>
          <w:rFonts w:eastAsia="Calibri" w:cs="Arial"/>
          <w:sz w:val="22"/>
          <w:szCs w:val="22"/>
        </w:rPr>
      </w:pPr>
      <w:r w:rsidRPr="0034059F">
        <w:rPr>
          <w:rFonts w:eastAsia="Calibri" w:cs="Arial"/>
          <w:sz w:val="22"/>
          <w:szCs w:val="22"/>
        </w:rPr>
        <w:t xml:space="preserve">El IGAC, en el marco de los compromisos definidos en </w:t>
      </w:r>
      <w:r w:rsidR="00661D8A">
        <w:rPr>
          <w:rFonts w:eastAsia="Calibri" w:cs="Arial"/>
          <w:sz w:val="22"/>
          <w:szCs w:val="22"/>
        </w:rPr>
        <w:t>este PNA</w:t>
      </w:r>
      <w:r w:rsidRPr="0034059F">
        <w:rPr>
          <w:rFonts w:eastAsia="Calibri" w:cs="Arial"/>
          <w:sz w:val="22"/>
          <w:szCs w:val="22"/>
        </w:rPr>
        <w:t xml:space="preserve">, tiene bajo su responsabilidad 8 metas, dentro de las cuales se encuentran algunas definidas como metas transformacionales, prioritarias para el Gobierno Nacional. </w:t>
      </w:r>
    </w:p>
    <w:p w14:paraId="0FAC2305" w14:textId="77777777" w:rsidR="005D698A" w:rsidRPr="0034059F" w:rsidRDefault="005D698A" w:rsidP="00C72779">
      <w:pPr>
        <w:jc w:val="both"/>
        <w:rPr>
          <w:rFonts w:eastAsia="Calibri" w:cs="Arial"/>
          <w:sz w:val="22"/>
          <w:szCs w:val="22"/>
        </w:rPr>
      </w:pPr>
    </w:p>
    <w:p w14:paraId="59C832FC"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eastAsia="Calibri" w:cs="Arial"/>
          <w:sz w:val="22"/>
          <w:szCs w:val="22"/>
        </w:rPr>
      </w:pPr>
      <w:r w:rsidRPr="0034059F">
        <w:rPr>
          <w:rFonts w:eastAsia="Calibri" w:cs="Arial"/>
          <w:sz w:val="22"/>
          <w:szCs w:val="22"/>
        </w:rPr>
        <w:t>60% del área geográfica del país con catastro actualizado (meta transformacional)</w:t>
      </w:r>
    </w:p>
    <w:p w14:paraId="7058C1EA"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100% del área geográfica de los municipios PDET con catastro actualizado</w:t>
      </w:r>
    </w:p>
    <w:p w14:paraId="18141C15"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60% del área geográfica del país con cartografía básica a las escalas y con la temporalidad adecuadas</w:t>
      </w:r>
    </w:p>
    <w:p w14:paraId="5685FEA9"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60% del área geográfica del país con caracterización geográfica</w:t>
      </w:r>
    </w:p>
    <w:p w14:paraId="6D87799A"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20 gestores catastrales habilitados (meta transformacional)</w:t>
      </w:r>
    </w:p>
    <w:p w14:paraId="0150EB7B" w14:textId="77777777"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100% del Sistema Nacional de Información de Catastro Multipropósito, implementado</w:t>
      </w:r>
    </w:p>
    <w:p w14:paraId="18667BC4" w14:textId="3F423173" w:rsidR="005D698A" w:rsidRPr="0034059F" w:rsidRDefault="005D698A" w:rsidP="000A20EE">
      <w:pPr>
        <w:pStyle w:val="Prrafodelista"/>
        <w:numPr>
          <w:ilvl w:val="0"/>
          <w:numId w:val="52"/>
        </w:numPr>
        <w:suppressAutoHyphens w:val="0"/>
        <w:overflowPunct/>
        <w:autoSpaceDE/>
        <w:spacing w:after="160"/>
        <w:contextualSpacing/>
        <w:textAlignment w:val="auto"/>
        <w:rPr>
          <w:rFonts w:cs="Arial"/>
          <w:sz w:val="22"/>
          <w:szCs w:val="22"/>
        </w:rPr>
      </w:pPr>
      <w:r w:rsidRPr="0034059F">
        <w:rPr>
          <w:rFonts w:eastAsia="Calibri" w:cs="Arial"/>
          <w:sz w:val="22"/>
          <w:szCs w:val="22"/>
        </w:rPr>
        <w:t xml:space="preserve">500 geoservicios publicados y disponibles </w:t>
      </w:r>
    </w:p>
    <w:p w14:paraId="52747E70" w14:textId="0B70EB05" w:rsidR="005D698A" w:rsidRPr="00661D8A" w:rsidRDefault="005D698A" w:rsidP="000A20EE">
      <w:pPr>
        <w:pStyle w:val="Prrafodelista"/>
        <w:numPr>
          <w:ilvl w:val="0"/>
          <w:numId w:val="52"/>
        </w:numPr>
        <w:suppressAutoHyphens w:val="0"/>
        <w:overflowPunct/>
        <w:autoSpaceDE/>
        <w:spacing w:after="160"/>
        <w:contextualSpacing/>
        <w:textAlignment w:val="auto"/>
        <w:rPr>
          <w:rFonts w:eastAsiaTheme="minorEastAsia" w:cs="Arial"/>
          <w:sz w:val="22"/>
          <w:szCs w:val="22"/>
        </w:rPr>
      </w:pPr>
      <w:r w:rsidRPr="0034059F">
        <w:rPr>
          <w:rFonts w:eastAsia="Calibri" w:cs="Arial"/>
          <w:sz w:val="22"/>
          <w:szCs w:val="22"/>
        </w:rPr>
        <w:t xml:space="preserve">100% de implementación del Programa Marco de Operación del Sistema de Información Geográfico -SIG (SIG </w:t>
      </w:r>
      <w:r w:rsidR="0001609F" w:rsidRPr="0034059F">
        <w:rPr>
          <w:rFonts w:eastAsia="Calibri" w:cs="Arial"/>
          <w:sz w:val="22"/>
          <w:szCs w:val="22"/>
        </w:rPr>
        <w:t>Indígena</w:t>
      </w:r>
      <w:r w:rsidRPr="0034059F">
        <w:rPr>
          <w:rFonts w:eastAsia="Calibri" w:cs="Arial"/>
          <w:sz w:val="22"/>
          <w:szCs w:val="22"/>
        </w:rPr>
        <w:t>)</w:t>
      </w:r>
    </w:p>
    <w:p w14:paraId="1D972BC9" w14:textId="3C2D80B2" w:rsidR="005D698A" w:rsidRPr="0034059F" w:rsidRDefault="005D698A" w:rsidP="00C72779">
      <w:pPr>
        <w:jc w:val="both"/>
        <w:rPr>
          <w:rFonts w:eastAsia="Calibri" w:cs="Arial"/>
          <w:sz w:val="22"/>
          <w:szCs w:val="22"/>
        </w:rPr>
      </w:pPr>
      <w:r w:rsidRPr="0034059F">
        <w:rPr>
          <w:rFonts w:eastAsia="Calibri" w:cs="Arial"/>
          <w:sz w:val="22"/>
          <w:szCs w:val="22"/>
        </w:rPr>
        <w:t xml:space="preserve">Estas metas hacen parte de los siguientes pactos del Plan: </w:t>
      </w:r>
    </w:p>
    <w:p w14:paraId="4B7779E3" w14:textId="77777777" w:rsidR="005D698A" w:rsidRPr="0034059F" w:rsidRDefault="005D698A" w:rsidP="00C72779">
      <w:pPr>
        <w:jc w:val="both"/>
        <w:rPr>
          <w:rFonts w:eastAsia="Calibri" w:cs="Arial"/>
          <w:sz w:val="22"/>
          <w:szCs w:val="22"/>
        </w:rPr>
      </w:pPr>
    </w:p>
    <w:p w14:paraId="418BD853" w14:textId="77777777" w:rsidR="005D698A" w:rsidRPr="0034059F" w:rsidRDefault="005D698A" w:rsidP="000A20EE">
      <w:pPr>
        <w:pStyle w:val="Prrafodelista"/>
        <w:numPr>
          <w:ilvl w:val="0"/>
          <w:numId w:val="53"/>
        </w:numPr>
        <w:suppressAutoHyphens w:val="0"/>
        <w:overflowPunct/>
        <w:autoSpaceDE/>
        <w:spacing w:after="160"/>
        <w:contextualSpacing/>
        <w:textAlignment w:val="auto"/>
        <w:rPr>
          <w:rFonts w:eastAsia="Calibri" w:cs="Arial"/>
          <w:sz w:val="22"/>
          <w:szCs w:val="22"/>
        </w:rPr>
      </w:pPr>
      <w:r w:rsidRPr="0034059F">
        <w:rPr>
          <w:rFonts w:eastAsia="Calibri" w:cs="Arial"/>
          <w:sz w:val="22"/>
          <w:szCs w:val="22"/>
        </w:rPr>
        <w:t>XI.    Pacto por la Construcción de Paz: Cultura de la legalidad, convivencia, estabilización y víctimas</w:t>
      </w:r>
    </w:p>
    <w:p w14:paraId="2CF6C058" w14:textId="36FF4743" w:rsidR="005D698A" w:rsidRPr="0034059F" w:rsidRDefault="005D698A" w:rsidP="000A20EE">
      <w:pPr>
        <w:pStyle w:val="Prrafodelista"/>
        <w:numPr>
          <w:ilvl w:val="0"/>
          <w:numId w:val="53"/>
        </w:numPr>
        <w:suppressAutoHyphens w:val="0"/>
        <w:overflowPunct/>
        <w:autoSpaceDE/>
        <w:spacing w:after="160"/>
        <w:contextualSpacing/>
        <w:textAlignment w:val="auto"/>
        <w:rPr>
          <w:rFonts w:eastAsia="Calibri" w:cs="Arial"/>
          <w:sz w:val="22"/>
          <w:szCs w:val="22"/>
        </w:rPr>
      </w:pPr>
      <w:r w:rsidRPr="0034059F">
        <w:rPr>
          <w:rFonts w:eastAsia="Calibri" w:cs="Arial"/>
          <w:sz w:val="22"/>
          <w:szCs w:val="22"/>
        </w:rPr>
        <w:t>XII. Pacto por la equidad de oportunidades para grupos étnicos: Indígenas, Negros, Afrocolombianos, Raizales y Palenqueros</w:t>
      </w:r>
    </w:p>
    <w:p w14:paraId="094049B6" w14:textId="36FF4743" w:rsidR="005D698A" w:rsidRPr="0034059F" w:rsidRDefault="005D698A" w:rsidP="000A20EE">
      <w:pPr>
        <w:pStyle w:val="Prrafodelista"/>
        <w:numPr>
          <w:ilvl w:val="0"/>
          <w:numId w:val="53"/>
        </w:numPr>
        <w:suppressAutoHyphens w:val="0"/>
        <w:overflowPunct/>
        <w:autoSpaceDE/>
        <w:spacing w:after="160"/>
        <w:contextualSpacing/>
        <w:textAlignment w:val="auto"/>
        <w:rPr>
          <w:rFonts w:eastAsiaTheme="minorEastAsia" w:cs="Arial"/>
          <w:sz w:val="22"/>
          <w:szCs w:val="22"/>
        </w:rPr>
      </w:pPr>
      <w:r w:rsidRPr="0034059F">
        <w:rPr>
          <w:rFonts w:eastAsia="Calibri" w:cs="Arial"/>
          <w:sz w:val="22"/>
          <w:szCs w:val="22"/>
        </w:rPr>
        <w:t>XVI. Pacto por la descentralización: conectar territorios, gobiernos y poblaciones</w:t>
      </w:r>
    </w:p>
    <w:p w14:paraId="7C46DC95" w14:textId="36FF4743" w:rsidR="0087099E" w:rsidRDefault="005D698A" w:rsidP="00C72779">
      <w:pPr>
        <w:jc w:val="both"/>
        <w:rPr>
          <w:rFonts w:eastAsia="Calibri" w:cs="Arial"/>
          <w:sz w:val="22"/>
          <w:szCs w:val="22"/>
        </w:rPr>
      </w:pPr>
      <w:r w:rsidRPr="0034059F">
        <w:rPr>
          <w:rFonts w:eastAsia="Calibri" w:cs="Arial"/>
          <w:sz w:val="22"/>
          <w:szCs w:val="22"/>
        </w:rPr>
        <w:t xml:space="preserve">El reporte de avance del cumplimiento de estas metas se realiza por medio del Sistema Nacional de Evaluación de Gestión y Resultados –SINERGIA, administrado por el DNP y a través del cual el Gobierno Nacional realiza seguimiento periódico con enfoque de la gestión orientada a resultados. </w:t>
      </w:r>
    </w:p>
    <w:p w14:paraId="2A859CDE" w14:textId="36FF4743" w:rsidR="0087099E" w:rsidRDefault="0087099E" w:rsidP="00C72779">
      <w:pPr>
        <w:jc w:val="both"/>
        <w:rPr>
          <w:rFonts w:eastAsia="Calibri" w:cs="Arial"/>
          <w:sz w:val="22"/>
          <w:szCs w:val="22"/>
        </w:rPr>
      </w:pPr>
    </w:p>
    <w:p w14:paraId="0258911B" w14:textId="2EF47D26" w:rsidR="005D698A" w:rsidRPr="0034059F" w:rsidRDefault="005D698A" w:rsidP="00C72779">
      <w:pPr>
        <w:jc w:val="both"/>
        <w:rPr>
          <w:rFonts w:eastAsia="Calibri" w:cs="Arial"/>
          <w:sz w:val="22"/>
          <w:szCs w:val="22"/>
        </w:rPr>
      </w:pPr>
      <w:r w:rsidRPr="0034059F">
        <w:rPr>
          <w:rFonts w:eastAsia="Calibri" w:cs="Arial"/>
          <w:sz w:val="22"/>
          <w:szCs w:val="22"/>
        </w:rPr>
        <w:t>A continuación, se presenta el estado de avance de los indicadores a través de los cuales se busca medir el cumplimiento de las metas anteriormente descritas</w:t>
      </w:r>
      <w:r w:rsidR="0087099E">
        <w:rPr>
          <w:rFonts w:eastAsia="Calibri" w:cs="Arial"/>
          <w:sz w:val="22"/>
          <w:szCs w:val="22"/>
        </w:rPr>
        <w:t>:</w:t>
      </w:r>
    </w:p>
    <w:p w14:paraId="1AC35EF3" w14:textId="77777777" w:rsidR="005D698A" w:rsidRPr="0034059F" w:rsidRDefault="005D698A" w:rsidP="00C72779">
      <w:pPr>
        <w:jc w:val="both"/>
        <w:rPr>
          <w:rFonts w:eastAsia="Calibri" w:cs="Arial"/>
          <w:sz w:val="22"/>
          <w:szCs w:val="22"/>
        </w:rPr>
      </w:pPr>
    </w:p>
    <w:p w14:paraId="541E5536" w14:textId="77777777" w:rsidR="005D698A" w:rsidRPr="0034059F" w:rsidRDefault="005D698A" w:rsidP="00C72779">
      <w:pPr>
        <w:jc w:val="both"/>
        <w:rPr>
          <w:rFonts w:eastAsia="Calibri" w:cs="Arial"/>
          <w:sz w:val="22"/>
          <w:szCs w:val="22"/>
        </w:rPr>
      </w:pPr>
    </w:p>
    <w:p w14:paraId="2AB7EDA8" w14:textId="36FF4743" w:rsidR="005D698A" w:rsidRDefault="005D698A" w:rsidP="00C72779">
      <w:pPr>
        <w:jc w:val="both"/>
        <w:rPr>
          <w:rFonts w:eastAsia="Calibri" w:cs="Arial"/>
          <w:sz w:val="22"/>
          <w:szCs w:val="22"/>
        </w:rPr>
      </w:pPr>
    </w:p>
    <w:p w14:paraId="5E29506C" w14:textId="36FF4743" w:rsidR="0087099E" w:rsidRDefault="0087099E" w:rsidP="00C72779">
      <w:pPr>
        <w:jc w:val="both"/>
        <w:rPr>
          <w:rFonts w:eastAsia="Calibri" w:cs="Arial"/>
          <w:sz w:val="22"/>
          <w:szCs w:val="22"/>
        </w:rPr>
      </w:pPr>
    </w:p>
    <w:p w14:paraId="57E4DF50" w14:textId="36FF4743" w:rsidR="0087099E" w:rsidRDefault="0087099E" w:rsidP="00C72779">
      <w:pPr>
        <w:jc w:val="both"/>
        <w:rPr>
          <w:rFonts w:eastAsia="Calibri" w:cs="Arial"/>
          <w:sz w:val="22"/>
          <w:szCs w:val="22"/>
        </w:rPr>
      </w:pPr>
    </w:p>
    <w:p w14:paraId="34F92B6D" w14:textId="36FF4743" w:rsidR="0087099E" w:rsidRDefault="0087099E" w:rsidP="00C72779">
      <w:pPr>
        <w:jc w:val="both"/>
        <w:rPr>
          <w:rFonts w:eastAsia="Calibri" w:cs="Arial"/>
          <w:sz w:val="22"/>
          <w:szCs w:val="22"/>
        </w:rPr>
      </w:pPr>
    </w:p>
    <w:p w14:paraId="3ACE3C60" w14:textId="36FF4743" w:rsidR="0087099E" w:rsidRDefault="0087099E" w:rsidP="00C72779">
      <w:pPr>
        <w:jc w:val="both"/>
        <w:rPr>
          <w:rFonts w:eastAsia="Calibri" w:cs="Arial"/>
          <w:sz w:val="22"/>
          <w:szCs w:val="22"/>
        </w:rPr>
      </w:pPr>
    </w:p>
    <w:p w14:paraId="0BBE9F53" w14:textId="36FF4743" w:rsidR="0087099E" w:rsidRDefault="0087099E" w:rsidP="00C72779">
      <w:pPr>
        <w:jc w:val="both"/>
        <w:rPr>
          <w:rFonts w:eastAsia="Calibri" w:cs="Arial"/>
          <w:sz w:val="22"/>
          <w:szCs w:val="22"/>
        </w:rPr>
      </w:pPr>
    </w:p>
    <w:p w14:paraId="058A90B7" w14:textId="36FF4743" w:rsidR="0087099E" w:rsidRDefault="0087099E" w:rsidP="00C72779">
      <w:pPr>
        <w:jc w:val="both"/>
        <w:rPr>
          <w:rFonts w:eastAsia="Calibri" w:cs="Arial"/>
          <w:sz w:val="22"/>
          <w:szCs w:val="22"/>
        </w:rPr>
      </w:pPr>
    </w:p>
    <w:p w14:paraId="0D2D23A8" w14:textId="36FF4743" w:rsidR="0087099E" w:rsidRDefault="0087099E" w:rsidP="00C72779">
      <w:pPr>
        <w:jc w:val="both"/>
        <w:rPr>
          <w:rFonts w:eastAsia="Calibri" w:cs="Arial"/>
          <w:sz w:val="22"/>
          <w:szCs w:val="22"/>
        </w:rPr>
      </w:pPr>
    </w:p>
    <w:p w14:paraId="091C81DB" w14:textId="36FF4743" w:rsidR="0087099E" w:rsidRDefault="0087099E" w:rsidP="00C72779">
      <w:pPr>
        <w:jc w:val="both"/>
        <w:rPr>
          <w:rFonts w:eastAsia="Calibri" w:cs="Arial"/>
          <w:sz w:val="22"/>
          <w:szCs w:val="22"/>
        </w:rPr>
      </w:pPr>
    </w:p>
    <w:p w14:paraId="7D332A0F" w14:textId="36FF4743" w:rsidR="0087099E" w:rsidRDefault="0087099E" w:rsidP="00C72779">
      <w:pPr>
        <w:jc w:val="both"/>
        <w:rPr>
          <w:rFonts w:eastAsia="Calibri" w:cs="Arial"/>
          <w:sz w:val="22"/>
          <w:szCs w:val="22"/>
        </w:rPr>
      </w:pPr>
    </w:p>
    <w:p w14:paraId="76A46739" w14:textId="36FF4743" w:rsidR="0087099E" w:rsidRDefault="0087099E" w:rsidP="00C72779">
      <w:pPr>
        <w:jc w:val="both"/>
        <w:rPr>
          <w:rFonts w:eastAsia="Calibri" w:cs="Arial"/>
          <w:sz w:val="22"/>
          <w:szCs w:val="22"/>
        </w:rPr>
      </w:pPr>
    </w:p>
    <w:p w14:paraId="34722A0D" w14:textId="36FF4743" w:rsidR="0087099E" w:rsidRDefault="0087099E" w:rsidP="00C72779">
      <w:pPr>
        <w:jc w:val="both"/>
        <w:rPr>
          <w:rFonts w:eastAsia="Calibri" w:cs="Arial"/>
          <w:sz w:val="22"/>
          <w:szCs w:val="22"/>
        </w:rPr>
      </w:pPr>
    </w:p>
    <w:p w14:paraId="1A430A29" w14:textId="3306E2B0" w:rsidR="00BD2A4D" w:rsidRDefault="00BD2A4D" w:rsidP="00C72779">
      <w:pPr>
        <w:jc w:val="both"/>
        <w:rPr>
          <w:rFonts w:eastAsia="Calibri" w:cs="Arial"/>
          <w:sz w:val="22"/>
          <w:szCs w:val="22"/>
        </w:rPr>
        <w:sectPr w:rsidR="00BD2A4D" w:rsidSect="00BD2A4D">
          <w:headerReference w:type="default" r:id="rId10"/>
          <w:footerReference w:type="default" r:id="rId11"/>
          <w:footnotePr>
            <w:pos w:val="beneathText"/>
          </w:footnotePr>
          <w:pgSz w:w="12240" w:h="15840"/>
          <w:pgMar w:top="1440" w:right="1440" w:bottom="1440" w:left="1440" w:header="0" w:footer="335" w:gutter="0"/>
          <w:cols w:space="720"/>
          <w:docGrid w:linePitch="360"/>
        </w:sectPr>
      </w:pPr>
    </w:p>
    <w:p w14:paraId="6FC8BAA7" w14:textId="36FF4743" w:rsidR="0087099E" w:rsidRPr="0034059F" w:rsidRDefault="0087099E" w:rsidP="00C72779">
      <w:pPr>
        <w:jc w:val="both"/>
        <w:rPr>
          <w:rFonts w:eastAsia="Calibri" w:cs="Arial"/>
          <w:sz w:val="22"/>
          <w:szCs w:val="22"/>
        </w:rPr>
      </w:pPr>
    </w:p>
    <w:p w14:paraId="42AC520C" w14:textId="46766840" w:rsidR="005D698A" w:rsidRDefault="00D37989" w:rsidP="00C72779">
      <w:pPr>
        <w:pStyle w:val="Descripcin"/>
        <w:jc w:val="center"/>
        <w:rPr>
          <w:rFonts w:ascii="Arial" w:hAnsi="Arial" w:cs="Arial"/>
          <w:b/>
          <w:i w:val="0"/>
          <w:color w:val="000000" w:themeColor="text1"/>
          <w:sz w:val="16"/>
        </w:rPr>
      </w:pPr>
      <w:bookmarkStart w:id="8" w:name="_Toc88677073"/>
      <w:r w:rsidRPr="00D37989">
        <w:rPr>
          <w:rFonts w:ascii="Arial" w:hAnsi="Arial" w:cs="Arial"/>
          <w:b/>
          <w:i w:val="0"/>
          <w:color w:val="000000" w:themeColor="text1"/>
          <w:sz w:val="16"/>
        </w:rPr>
        <w:t xml:space="preserve">Tabla </w:t>
      </w:r>
      <w:r w:rsidRPr="00D37989">
        <w:rPr>
          <w:rFonts w:ascii="Arial" w:hAnsi="Arial" w:cs="Arial"/>
          <w:b/>
          <w:i w:val="0"/>
          <w:color w:val="000000" w:themeColor="text1"/>
          <w:sz w:val="16"/>
        </w:rPr>
        <w:fldChar w:fldCharType="begin"/>
      </w:r>
      <w:r w:rsidRPr="00D37989">
        <w:rPr>
          <w:rFonts w:ascii="Arial" w:hAnsi="Arial" w:cs="Arial"/>
          <w:b/>
          <w:i w:val="0"/>
          <w:color w:val="000000" w:themeColor="text1"/>
          <w:sz w:val="16"/>
        </w:rPr>
        <w:instrText xml:space="preserve"> SEQ Tabla \* ARABIC </w:instrText>
      </w:r>
      <w:r w:rsidRPr="00D37989">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1</w:t>
      </w:r>
      <w:r w:rsidRPr="00D37989">
        <w:rPr>
          <w:rFonts w:ascii="Arial" w:hAnsi="Arial" w:cs="Arial"/>
          <w:b/>
          <w:i w:val="0"/>
          <w:color w:val="000000" w:themeColor="text1"/>
          <w:sz w:val="16"/>
        </w:rPr>
        <w:fldChar w:fldCharType="end"/>
      </w:r>
      <w:r w:rsidR="00850C74">
        <w:rPr>
          <w:rFonts w:ascii="Arial" w:hAnsi="Arial" w:cs="Arial"/>
          <w:b/>
          <w:i w:val="0"/>
          <w:color w:val="000000" w:themeColor="text1"/>
          <w:sz w:val="16"/>
        </w:rPr>
        <w:t>.</w:t>
      </w:r>
      <w:r w:rsidRPr="00D37989">
        <w:rPr>
          <w:rFonts w:ascii="Arial" w:hAnsi="Arial" w:cs="Arial"/>
          <w:b/>
          <w:i w:val="0"/>
          <w:color w:val="000000" w:themeColor="text1"/>
          <w:sz w:val="16"/>
        </w:rPr>
        <w:t xml:space="preserve"> Avance Metas PND</w:t>
      </w:r>
      <w:bookmarkEnd w:id="8"/>
    </w:p>
    <w:tbl>
      <w:tblPr>
        <w:tblStyle w:val="Tabladecuadrcula4-nfasis1"/>
        <w:tblW w:w="14584" w:type="dxa"/>
        <w:tblInd w:w="-572" w:type="dxa"/>
        <w:tblLayout w:type="fixed"/>
        <w:tblLook w:val="04A0" w:firstRow="1" w:lastRow="0" w:firstColumn="1" w:lastColumn="0" w:noHBand="0" w:noVBand="1"/>
      </w:tblPr>
      <w:tblGrid>
        <w:gridCol w:w="1701"/>
        <w:gridCol w:w="567"/>
        <w:gridCol w:w="709"/>
        <w:gridCol w:w="709"/>
        <w:gridCol w:w="567"/>
        <w:gridCol w:w="709"/>
        <w:gridCol w:w="708"/>
        <w:gridCol w:w="709"/>
        <w:gridCol w:w="851"/>
        <w:gridCol w:w="850"/>
        <w:gridCol w:w="1134"/>
        <w:gridCol w:w="2139"/>
        <w:gridCol w:w="1347"/>
        <w:gridCol w:w="1884"/>
      </w:tblGrid>
      <w:tr w:rsidR="005B054D" w:rsidRPr="00BD3A2E" w14:paraId="3C414AC7" w14:textId="77777777" w:rsidTr="00BD3A2E">
        <w:trPr>
          <w:cnfStyle w:val="100000000000" w:firstRow="1" w:lastRow="0" w:firstColumn="0" w:lastColumn="0" w:oddVBand="0" w:evenVBand="0" w:oddHBand="0" w:evenHBand="0" w:firstRowFirstColumn="0" w:firstRowLastColumn="0" w:lastRowFirstColumn="0" w:lastRowLastColumn="0"/>
          <w:trHeight w:val="299"/>
          <w:tblHeader/>
        </w:trPr>
        <w:tc>
          <w:tcPr>
            <w:cnfStyle w:val="001000000000" w:firstRow="0" w:lastRow="0" w:firstColumn="1" w:lastColumn="0" w:oddVBand="0" w:evenVBand="0" w:oddHBand="0" w:evenHBand="0" w:firstRowFirstColumn="0" w:firstRowLastColumn="0" w:lastRowFirstColumn="0" w:lastRowLastColumn="0"/>
            <w:tcW w:w="1701" w:type="dxa"/>
            <w:vMerge w:val="restart"/>
            <w:vAlign w:val="center"/>
            <w:hideMark/>
          </w:tcPr>
          <w:p w14:paraId="000A7515" w14:textId="77777777" w:rsidR="00BD3A2E" w:rsidRPr="00BD3A2E" w:rsidRDefault="00BD3A2E" w:rsidP="00C72779">
            <w:pPr>
              <w:suppressAutoHyphens w:val="0"/>
              <w:jc w:val="center"/>
              <w:rPr>
                <w:rFonts w:cs="Arial"/>
                <w:b w:val="0"/>
                <w:bCs w:val="0"/>
                <w:color w:val="FFFFFF"/>
                <w:sz w:val="12"/>
                <w:szCs w:val="12"/>
                <w:lang w:val="es-CO" w:eastAsia="es-CO"/>
              </w:rPr>
            </w:pPr>
            <w:r w:rsidRPr="00BD3A2E">
              <w:rPr>
                <w:rFonts w:cs="Arial"/>
                <w:color w:val="FFFFFF"/>
                <w:sz w:val="12"/>
                <w:szCs w:val="12"/>
                <w:lang w:val="es-CO" w:eastAsia="es-CO"/>
              </w:rPr>
              <w:t>Indicador</w:t>
            </w:r>
          </w:p>
        </w:tc>
        <w:tc>
          <w:tcPr>
            <w:tcW w:w="2552" w:type="dxa"/>
            <w:gridSpan w:val="4"/>
            <w:vMerge w:val="restart"/>
            <w:vAlign w:val="center"/>
            <w:hideMark/>
          </w:tcPr>
          <w:p w14:paraId="2C3A5190"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Meta anualizada</w:t>
            </w:r>
          </w:p>
        </w:tc>
        <w:tc>
          <w:tcPr>
            <w:tcW w:w="2126" w:type="dxa"/>
            <w:gridSpan w:val="3"/>
            <w:vMerge w:val="restart"/>
            <w:vAlign w:val="center"/>
            <w:hideMark/>
          </w:tcPr>
          <w:p w14:paraId="5457DE39"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Avance Anual</w:t>
            </w:r>
          </w:p>
        </w:tc>
        <w:tc>
          <w:tcPr>
            <w:tcW w:w="851" w:type="dxa"/>
            <w:vMerge w:val="restart"/>
            <w:vAlign w:val="center"/>
            <w:hideMark/>
          </w:tcPr>
          <w:p w14:paraId="49F5212D"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Meta cuatrienio</w:t>
            </w:r>
          </w:p>
        </w:tc>
        <w:tc>
          <w:tcPr>
            <w:tcW w:w="850" w:type="dxa"/>
            <w:vMerge w:val="restart"/>
            <w:vAlign w:val="center"/>
            <w:hideMark/>
          </w:tcPr>
          <w:p w14:paraId="6EB2B819" w14:textId="77777777" w:rsid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2"/>
                <w:szCs w:val="12"/>
                <w:lang w:val="es-CO" w:eastAsia="es-CO"/>
              </w:rPr>
            </w:pPr>
            <w:r w:rsidRPr="00BD3A2E">
              <w:rPr>
                <w:rFonts w:cs="Arial"/>
                <w:color w:val="FFFFFF"/>
                <w:sz w:val="12"/>
                <w:szCs w:val="12"/>
                <w:lang w:val="es-CO" w:eastAsia="es-CO"/>
              </w:rPr>
              <w:t>Avance</w:t>
            </w:r>
          </w:p>
          <w:p w14:paraId="1D882346" w14:textId="77777777" w:rsid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2"/>
                <w:szCs w:val="12"/>
                <w:lang w:val="es-CO" w:eastAsia="es-CO"/>
              </w:rPr>
            </w:pPr>
            <w:r w:rsidRPr="00BD3A2E">
              <w:rPr>
                <w:rFonts w:cs="Arial"/>
                <w:color w:val="FFFFFF"/>
                <w:sz w:val="12"/>
                <w:szCs w:val="12"/>
                <w:lang w:val="es-CO" w:eastAsia="es-CO"/>
              </w:rPr>
              <w:t xml:space="preserve"> meta </w:t>
            </w:r>
          </w:p>
          <w:p w14:paraId="5C068779" w14:textId="69A5ED29"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cuatrienio</w:t>
            </w:r>
          </w:p>
        </w:tc>
        <w:tc>
          <w:tcPr>
            <w:tcW w:w="1134" w:type="dxa"/>
            <w:vMerge w:val="restart"/>
            <w:vAlign w:val="center"/>
            <w:hideMark/>
          </w:tcPr>
          <w:p w14:paraId="6570AE3F" w14:textId="0790165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b w:val="0"/>
                <w:bCs w:val="0"/>
                <w:color w:val="FFFFFF"/>
                <w:sz w:val="12"/>
                <w:szCs w:val="12"/>
                <w:lang w:val="es-CO" w:eastAsia="es-CO"/>
              </w:rPr>
              <w:t>%</w:t>
            </w:r>
          </w:p>
          <w:p w14:paraId="2CAFDFC2" w14:textId="02214BEC"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cumplimiento meta</w:t>
            </w:r>
          </w:p>
          <w:p w14:paraId="01881BC8" w14:textId="19E621EA"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cuatrienio</w:t>
            </w:r>
          </w:p>
        </w:tc>
        <w:tc>
          <w:tcPr>
            <w:tcW w:w="2139" w:type="dxa"/>
            <w:vMerge w:val="restart"/>
            <w:vAlign w:val="center"/>
            <w:hideMark/>
          </w:tcPr>
          <w:p w14:paraId="4D0ABBB5" w14:textId="1B075220"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Avance</w:t>
            </w:r>
          </w:p>
          <w:p w14:paraId="5D9E6D92" w14:textId="1F459FA8"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cualitativo</w:t>
            </w:r>
          </w:p>
        </w:tc>
        <w:tc>
          <w:tcPr>
            <w:tcW w:w="1347" w:type="dxa"/>
            <w:vMerge w:val="restart"/>
            <w:vAlign w:val="center"/>
            <w:hideMark/>
          </w:tcPr>
          <w:p w14:paraId="21DE506F"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Responsable</w:t>
            </w:r>
          </w:p>
        </w:tc>
        <w:tc>
          <w:tcPr>
            <w:tcW w:w="1884" w:type="dxa"/>
            <w:vMerge w:val="restart"/>
            <w:vAlign w:val="center"/>
            <w:hideMark/>
          </w:tcPr>
          <w:p w14:paraId="68C081D2"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r w:rsidRPr="00BD3A2E">
              <w:rPr>
                <w:rFonts w:cs="Arial"/>
                <w:color w:val="FFFFFF"/>
                <w:sz w:val="12"/>
                <w:szCs w:val="12"/>
                <w:lang w:val="es-CO" w:eastAsia="es-CO"/>
              </w:rPr>
              <w:t>Observaciones</w:t>
            </w:r>
          </w:p>
        </w:tc>
      </w:tr>
      <w:tr w:rsidR="005B054D" w:rsidRPr="00BD3A2E" w14:paraId="3EC47C31" w14:textId="77777777" w:rsidTr="00BD3A2E">
        <w:trPr>
          <w:cnfStyle w:val="100000000000" w:firstRow="1" w:lastRow="0" w:firstColumn="0" w:lastColumn="0" w:oddVBand="0" w:evenVBand="0" w:oddHBand="0" w:evenHBand="0" w:firstRowFirstColumn="0" w:firstRowLastColumn="0" w:lastRowFirstColumn="0" w:lastRowLastColumn="0"/>
          <w:trHeight w:val="314"/>
          <w:tblHeader/>
        </w:trPr>
        <w:tc>
          <w:tcPr>
            <w:cnfStyle w:val="001000000000" w:firstRow="0" w:lastRow="0" w:firstColumn="1" w:lastColumn="0" w:oddVBand="0" w:evenVBand="0" w:oddHBand="0" w:evenHBand="0" w:firstRowFirstColumn="0" w:firstRowLastColumn="0" w:lastRowFirstColumn="0" w:lastRowLastColumn="0"/>
            <w:tcW w:w="1701" w:type="dxa"/>
            <w:vMerge/>
            <w:vAlign w:val="center"/>
            <w:hideMark/>
          </w:tcPr>
          <w:p w14:paraId="2FDE86F1" w14:textId="77777777" w:rsidR="00BD3A2E" w:rsidRPr="00BD3A2E" w:rsidRDefault="00BD3A2E" w:rsidP="00C72779">
            <w:pPr>
              <w:suppressAutoHyphens w:val="0"/>
              <w:jc w:val="center"/>
              <w:rPr>
                <w:rFonts w:cs="Arial"/>
                <w:b w:val="0"/>
                <w:bCs w:val="0"/>
                <w:color w:val="FFFFFF"/>
                <w:sz w:val="12"/>
                <w:szCs w:val="12"/>
                <w:lang w:val="es-CO" w:eastAsia="es-CO"/>
              </w:rPr>
            </w:pPr>
          </w:p>
        </w:tc>
        <w:tc>
          <w:tcPr>
            <w:tcW w:w="2552" w:type="dxa"/>
            <w:gridSpan w:val="4"/>
            <w:vMerge/>
            <w:vAlign w:val="center"/>
            <w:hideMark/>
          </w:tcPr>
          <w:p w14:paraId="06EB8C71"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2126" w:type="dxa"/>
            <w:gridSpan w:val="3"/>
            <w:vMerge/>
            <w:vAlign w:val="center"/>
            <w:hideMark/>
          </w:tcPr>
          <w:p w14:paraId="15778A12"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851" w:type="dxa"/>
            <w:vMerge/>
            <w:vAlign w:val="center"/>
            <w:hideMark/>
          </w:tcPr>
          <w:p w14:paraId="25F87ECD"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850" w:type="dxa"/>
            <w:vMerge/>
            <w:vAlign w:val="center"/>
            <w:hideMark/>
          </w:tcPr>
          <w:p w14:paraId="49254308"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134" w:type="dxa"/>
            <w:vMerge/>
            <w:vAlign w:val="center"/>
            <w:hideMark/>
          </w:tcPr>
          <w:p w14:paraId="35896B77"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2139" w:type="dxa"/>
            <w:vMerge/>
            <w:vAlign w:val="center"/>
            <w:hideMark/>
          </w:tcPr>
          <w:p w14:paraId="73EC7ABC"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347" w:type="dxa"/>
            <w:vMerge/>
            <w:vAlign w:val="center"/>
            <w:hideMark/>
          </w:tcPr>
          <w:p w14:paraId="522D7B94"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884" w:type="dxa"/>
            <w:vMerge/>
            <w:vAlign w:val="center"/>
            <w:hideMark/>
          </w:tcPr>
          <w:p w14:paraId="35EAAB37"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r>
      <w:tr w:rsidR="00A50D5A" w:rsidRPr="00BD3A2E" w14:paraId="3310843C" w14:textId="77777777" w:rsidTr="00BD3A2E">
        <w:trPr>
          <w:cnfStyle w:val="100000000000" w:firstRow="1" w:lastRow="0" w:firstColumn="0" w:lastColumn="0" w:oddVBand="0" w:evenVBand="0" w:oddHBand="0" w:evenHBand="0" w:firstRowFirstColumn="0" w:firstRowLastColumn="0" w:lastRowFirstColumn="0" w:lastRowLastColumn="0"/>
          <w:trHeight w:val="314"/>
          <w:tblHeader/>
        </w:trPr>
        <w:tc>
          <w:tcPr>
            <w:cnfStyle w:val="001000000000" w:firstRow="0" w:lastRow="0" w:firstColumn="1" w:lastColumn="0" w:oddVBand="0" w:evenVBand="0" w:oddHBand="0" w:evenHBand="0" w:firstRowFirstColumn="0" w:firstRowLastColumn="0" w:lastRowFirstColumn="0" w:lastRowLastColumn="0"/>
            <w:tcW w:w="1701" w:type="dxa"/>
            <w:vMerge/>
            <w:vAlign w:val="center"/>
            <w:hideMark/>
          </w:tcPr>
          <w:p w14:paraId="12DD45CF" w14:textId="77777777" w:rsidR="00BD3A2E" w:rsidRPr="00BD3A2E" w:rsidRDefault="00BD3A2E" w:rsidP="00C72779">
            <w:pPr>
              <w:suppressAutoHyphens w:val="0"/>
              <w:jc w:val="center"/>
              <w:rPr>
                <w:rFonts w:cs="Arial"/>
                <w:b w:val="0"/>
                <w:bCs w:val="0"/>
                <w:color w:val="FFFFFF"/>
                <w:sz w:val="12"/>
                <w:szCs w:val="12"/>
                <w:lang w:val="es-CO" w:eastAsia="es-CO"/>
              </w:rPr>
            </w:pPr>
          </w:p>
        </w:tc>
        <w:tc>
          <w:tcPr>
            <w:tcW w:w="567" w:type="dxa"/>
            <w:vAlign w:val="center"/>
            <w:hideMark/>
          </w:tcPr>
          <w:p w14:paraId="4DCBE027"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2019</w:t>
            </w:r>
          </w:p>
        </w:tc>
        <w:tc>
          <w:tcPr>
            <w:tcW w:w="709" w:type="dxa"/>
            <w:vAlign w:val="center"/>
            <w:hideMark/>
          </w:tcPr>
          <w:p w14:paraId="21631CB9"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2020</w:t>
            </w:r>
          </w:p>
        </w:tc>
        <w:tc>
          <w:tcPr>
            <w:tcW w:w="709" w:type="dxa"/>
            <w:vAlign w:val="center"/>
            <w:hideMark/>
          </w:tcPr>
          <w:p w14:paraId="7251B5E7"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2021</w:t>
            </w:r>
          </w:p>
        </w:tc>
        <w:tc>
          <w:tcPr>
            <w:tcW w:w="567" w:type="dxa"/>
            <w:vAlign w:val="center"/>
            <w:hideMark/>
          </w:tcPr>
          <w:p w14:paraId="43BC50CF"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2022</w:t>
            </w:r>
          </w:p>
        </w:tc>
        <w:tc>
          <w:tcPr>
            <w:tcW w:w="709" w:type="dxa"/>
            <w:vAlign w:val="center"/>
            <w:hideMark/>
          </w:tcPr>
          <w:p w14:paraId="2A74F2A3"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2019</w:t>
            </w:r>
          </w:p>
        </w:tc>
        <w:tc>
          <w:tcPr>
            <w:tcW w:w="708" w:type="dxa"/>
            <w:vAlign w:val="center"/>
            <w:hideMark/>
          </w:tcPr>
          <w:p w14:paraId="638D1E18"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2020</w:t>
            </w:r>
          </w:p>
        </w:tc>
        <w:tc>
          <w:tcPr>
            <w:tcW w:w="709" w:type="dxa"/>
            <w:vAlign w:val="center"/>
            <w:hideMark/>
          </w:tcPr>
          <w:p w14:paraId="37C8787A"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2"/>
                <w:szCs w:val="12"/>
                <w:lang w:val="es-CO" w:eastAsia="es-CO"/>
              </w:rPr>
            </w:pPr>
            <w:r w:rsidRPr="00BD3A2E">
              <w:rPr>
                <w:rFonts w:cs="Arial"/>
                <w:sz w:val="12"/>
                <w:szCs w:val="12"/>
                <w:lang w:val="es-CO" w:eastAsia="es-CO"/>
              </w:rPr>
              <w:t>2021</w:t>
            </w:r>
          </w:p>
        </w:tc>
        <w:tc>
          <w:tcPr>
            <w:tcW w:w="851" w:type="dxa"/>
            <w:vMerge/>
            <w:vAlign w:val="center"/>
            <w:hideMark/>
          </w:tcPr>
          <w:p w14:paraId="20C2C088"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850" w:type="dxa"/>
            <w:vMerge/>
            <w:vAlign w:val="center"/>
            <w:hideMark/>
          </w:tcPr>
          <w:p w14:paraId="6A60DD92"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134" w:type="dxa"/>
            <w:vMerge/>
            <w:vAlign w:val="center"/>
            <w:hideMark/>
          </w:tcPr>
          <w:p w14:paraId="212124C6"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2139" w:type="dxa"/>
            <w:vMerge/>
            <w:vAlign w:val="center"/>
            <w:hideMark/>
          </w:tcPr>
          <w:p w14:paraId="0F8C87A4"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347" w:type="dxa"/>
            <w:vMerge/>
            <w:vAlign w:val="center"/>
            <w:hideMark/>
          </w:tcPr>
          <w:p w14:paraId="1D3C4B8A"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c>
          <w:tcPr>
            <w:tcW w:w="1884" w:type="dxa"/>
            <w:vMerge/>
            <w:vAlign w:val="center"/>
            <w:hideMark/>
          </w:tcPr>
          <w:p w14:paraId="2D2AA003" w14:textId="77777777" w:rsidR="00BD3A2E" w:rsidRPr="00BD3A2E" w:rsidRDefault="00BD3A2E"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12"/>
                <w:szCs w:val="12"/>
                <w:lang w:val="es-CO" w:eastAsia="es-CO"/>
              </w:rPr>
            </w:pPr>
          </w:p>
        </w:tc>
      </w:tr>
      <w:tr w:rsidR="00A50D5A" w:rsidRPr="00BD3A2E" w14:paraId="133B7C96" w14:textId="77777777" w:rsidTr="00BD3A2E">
        <w:trPr>
          <w:cnfStyle w:val="000000100000" w:firstRow="0" w:lastRow="0" w:firstColumn="0" w:lastColumn="0" w:oddVBand="0" w:evenVBand="0" w:oddHBand="1" w:evenHBand="0" w:firstRowFirstColumn="0" w:firstRowLastColumn="0" w:lastRowFirstColumn="0" w:lastRowLastColumn="0"/>
          <w:trHeight w:val="1214"/>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1BADBD07"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Porcentaje del área geográfica con cartografía básica a las escalas y con la temporalidad adecuadas (Hectáreas)</w:t>
            </w:r>
          </w:p>
        </w:tc>
        <w:tc>
          <w:tcPr>
            <w:tcW w:w="567" w:type="dxa"/>
            <w:noWrap/>
            <w:vAlign w:val="center"/>
            <w:hideMark/>
          </w:tcPr>
          <w:p w14:paraId="7339771A"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4,9%</w:t>
            </w:r>
          </w:p>
        </w:tc>
        <w:tc>
          <w:tcPr>
            <w:tcW w:w="709" w:type="dxa"/>
            <w:noWrap/>
            <w:vAlign w:val="center"/>
            <w:hideMark/>
          </w:tcPr>
          <w:p w14:paraId="7E9B1E2C"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24,9%</w:t>
            </w:r>
          </w:p>
        </w:tc>
        <w:tc>
          <w:tcPr>
            <w:tcW w:w="709" w:type="dxa"/>
            <w:noWrap/>
            <w:vAlign w:val="center"/>
            <w:hideMark/>
          </w:tcPr>
          <w:p w14:paraId="1FE17665"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51,9%</w:t>
            </w:r>
          </w:p>
        </w:tc>
        <w:tc>
          <w:tcPr>
            <w:tcW w:w="567" w:type="dxa"/>
            <w:noWrap/>
            <w:vAlign w:val="center"/>
            <w:hideMark/>
          </w:tcPr>
          <w:p w14:paraId="2787D6A3"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61.9%</w:t>
            </w:r>
          </w:p>
        </w:tc>
        <w:tc>
          <w:tcPr>
            <w:tcW w:w="709" w:type="dxa"/>
            <w:noWrap/>
            <w:vAlign w:val="center"/>
            <w:hideMark/>
          </w:tcPr>
          <w:p w14:paraId="2141EBCE"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4,9%</w:t>
            </w:r>
          </w:p>
        </w:tc>
        <w:tc>
          <w:tcPr>
            <w:tcW w:w="708" w:type="dxa"/>
            <w:noWrap/>
            <w:vAlign w:val="center"/>
            <w:hideMark/>
          </w:tcPr>
          <w:p w14:paraId="79000756"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16,7%</w:t>
            </w:r>
          </w:p>
        </w:tc>
        <w:tc>
          <w:tcPr>
            <w:tcW w:w="709" w:type="dxa"/>
            <w:noWrap/>
            <w:vAlign w:val="center"/>
            <w:hideMark/>
          </w:tcPr>
          <w:p w14:paraId="112675B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28,54%</w:t>
            </w:r>
          </w:p>
        </w:tc>
        <w:tc>
          <w:tcPr>
            <w:tcW w:w="851" w:type="dxa"/>
            <w:vAlign w:val="center"/>
            <w:hideMark/>
          </w:tcPr>
          <w:p w14:paraId="0B7EB08B"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61,9%</w:t>
            </w:r>
          </w:p>
        </w:tc>
        <w:tc>
          <w:tcPr>
            <w:tcW w:w="850" w:type="dxa"/>
            <w:noWrap/>
            <w:vAlign w:val="center"/>
            <w:hideMark/>
          </w:tcPr>
          <w:p w14:paraId="16478DC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28,5%</w:t>
            </w:r>
          </w:p>
        </w:tc>
        <w:tc>
          <w:tcPr>
            <w:tcW w:w="1134" w:type="dxa"/>
            <w:noWrap/>
            <w:vAlign w:val="center"/>
            <w:hideMark/>
          </w:tcPr>
          <w:p w14:paraId="5216D77F"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40%</w:t>
            </w:r>
          </w:p>
        </w:tc>
        <w:tc>
          <w:tcPr>
            <w:tcW w:w="2139" w:type="dxa"/>
            <w:vAlign w:val="center"/>
            <w:hideMark/>
          </w:tcPr>
          <w:p w14:paraId="5155F28F"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Con corte el mes de octubre de 2021, se han generado 32.566.222,80 hectáreas de productos de cartografía básica.</w:t>
            </w:r>
          </w:p>
        </w:tc>
        <w:tc>
          <w:tcPr>
            <w:tcW w:w="1347" w:type="dxa"/>
            <w:vAlign w:val="center"/>
            <w:hideMark/>
          </w:tcPr>
          <w:p w14:paraId="6947467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Gestión de Información Geográfica</w:t>
            </w:r>
          </w:p>
        </w:tc>
        <w:tc>
          <w:tcPr>
            <w:tcW w:w="1884" w:type="dxa"/>
            <w:vAlign w:val="center"/>
            <w:hideMark/>
          </w:tcPr>
          <w:p w14:paraId="6E67405C"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Indicador de periodicidad de reporte anual. Se incluye la línea base en las metas anuales y del cuatrienio, la cual corresponde al 1,9%</w:t>
            </w:r>
            <w:r w:rsidRPr="00BD3A2E">
              <w:rPr>
                <w:rFonts w:cs="Arial"/>
                <w:color w:val="000000"/>
                <w:sz w:val="12"/>
                <w:szCs w:val="12"/>
                <w:lang w:val="es-CO" w:eastAsia="es-CO"/>
              </w:rPr>
              <w:br/>
            </w:r>
            <w:r w:rsidRPr="00BD3A2E">
              <w:rPr>
                <w:rFonts w:cs="Arial"/>
                <w:color w:val="000000"/>
                <w:sz w:val="12"/>
                <w:szCs w:val="12"/>
                <w:lang w:val="es-CO" w:eastAsia="es-CO"/>
              </w:rPr>
              <w:br/>
              <w:t>La meta para el cuatrienio 2018-2022 definida en el Plan Nacional de Desarrollo para este indicador, es del 60%. Es decir, el 61,90% menos la línea base 1,90%.</w:t>
            </w:r>
            <w:r w:rsidRPr="00BD3A2E">
              <w:rPr>
                <w:rFonts w:cs="Arial"/>
                <w:color w:val="000000"/>
                <w:sz w:val="12"/>
                <w:szCs w:val="12"/>
                <w:lang w:val="es-CO" w:eastAsia="es-CO"/>
              </w:rPr>
              <w:br/>
            </w:r>
            <w:r w:rsidRPr="00BD3A2E">
              <w:rPr>
                <w:rFonts w:cs="Arial"/>
                <w:color w:val="000000"/>
                <w:sz w:val="12"/>
                <w:szCs w:val="12"/>
                <w:lang w:val="es-CO" w:eastAsia="es-CO"/>
              </w:rPr>
              <w:br/>
              <w:t>El avance correspondiente a la vigencia 2021 es un resultado parcial con corte el mes de octubre.</w:t>
            </w:r>
          </w:p>
        </w:tc>
      </w:tr>
      <w:tr w:rsidR="00BD3A2E" w:rsidRPr="00BD3A2E" w14:paraId="45922A4D" w14:textId="77777777" w:rsidTr="00BD3A2E">
        <w:trPr>
          <w:trHeight w:val="2084"/>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6C274C53"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Porcentaje del área geográfica con catastro actualizado (hectáreas)</w:t>
            </w:r>
          </w:p>
        </w:tc>
        <w:tc>
          <w:tcPr>
            <w:tcW w:w="567" w:type="dxa"/>
            <w:noWrap/>
            <w:vAlign w:val="center"/>
            <w:hideMark/>
          </w:tcPr>
          <w:p w14:paraId="3AA7F115"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8,5%</w:t>
            </w:r>
          </w:p>
        </w:tc>
        <w:tc>
          <w:tcPr>
            <w:tcW w:w="709" w:type="dxa"/>
            <w:noWrap/>
            <w:vAlign w:val="center"/>
            <w:hideMark/>
          </w:tcPr>
          <w:p w14:paraId="57D87FE1"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20,1%</w:t>
            </w:r>
          </w:p>
        </w:tc>
        <w:tc>
          <w:tcPr>
            <w:tcW w:w="709" w:type="dxa"/>
            <w:noWrap/>
            <w:vAlign w:val="center"/>
            <w:hideMark/>
          </w:tcPr>
          <w:p w14:paraId="27AEBEF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35,1%</w:t>
            </w:r>
          </w:p>
        </w:tc>
        <w:tc>
          <w:tcPr>
            <w:tcW w:w="567" w:type="dxa"/>
            <w:noWrap/>
            <w:vAlign w:val="center"/>
            <w:hideMark/>
          </w:tcPr>
          <w:p w14:paraId="75E1F175"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60%</w:t>
            </w:r>
          </w:p>
        </w:tc>
        <w:tc>
          <w:tcPr>
            <w:tcW w:w="709" w:type="dxa"/>
            <w:noWrap/>
            <w:vAlign w:val="center"/>
            <w:hideMark/>
          </w:tcPr>
          <w:p w14:paraId="77F917E0"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2,2%</w:t>
            </w:r>
          </w:p>
        </w:tc>
        <w:tc>
          <w:tcPr>
            <w:tcW w:w="708" w:type="dxa"/>
            <w:noWrap/>
            <w:vAlign w:val="center"/>
            <w:hideMark/>
          </w:tcPr>
          <w:p w14:paraId="2A15EEAD"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15,39%</w:t>
            </w:r>
          </w:p>
        </w:tc>
        <w:tc>
          <w:tcPr>
            <w:tcW w:w="709" w:type="dxa"/>
            <w:noWrap/>
            <w:vAlign w:val="center"/>
            <w:hideMark/>
          </w:tcPr>
          <w:p w14:paraId="267237E5"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w:t>
            </w:r>
          </w:p>
        </w:tc>
        <w:tc>
          <w:tcPr>
            <w:tcW w:w="851" w:type="dxa"/>
            <w:vAlign w:val="center"/>
            <w:hideMark/>
          </w:tcPr>
          <w:p w14:paraId="06D705E4"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60%</w:t>
            </w:r>
          </w:p>
        </w:tc>
        <w:tc>
          <w:tcPr>
            <w:tcW w:w="850" w:type="dxa"/>
            <w:noWrap/>
            <w:vAlign w:val="center"/>
            <w:hideMark/>
          </w:tcPr>
          <w:p w14:paraId="0209AA10"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15,39%</w:t>
            </w:r>
          </w:p>
        </w:tc>
        <w:tc>
          <w:tcPr>
            <w:tcW w:w="1134" w:type="dxa"/>
            <w:noWrap/>
            <w:vAlign w:val="center"/>
            <w:hideMark/>
          </w:tcPr>
          <w:p w14:paraId="47CDDE0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26%</w:t>
            </w:r>
          </w:p>
        </w:tc>
        <w:tc>
          <w:tcPr>
            <w:tcW w:w="2139" w:type="dxa"/>
            <w:vAlign w:val="center"/>
            <w:hideMark/>
          </w:tcPr>
          <w:p w14:paraId="3FCCD2C6"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A 1 de enero de 2021 el número de hectáreas actualizadas fue de 17.560.382,69, equivalentes al 15,39% del área geográfica total del país (114.096.603 ha) y al 25,65% de la meta del Plan Nacional de Desarrollo (60% correspondiente a 68.457.962 ha). Adicionalmente, durante el periodo enero-octubre de la actual vigencia se han adelantado las siguientes actividades de intervención catastral en el territorio colombiano:</w:t>
            </w:r>
            <w:r w:rsidRPr="00BD3A2E">
              <w:rPr>
                <w:rFonts w:cs="Arial"/>
                <w:color w:val="000000"/>
                <w:sz w:val="12"/>
                <w:szCs w:val="12"/>
                <w:lang w:val="es-CO" w:eastAsia="es-CO"/>
              </w:rPr>
              <w:br/>
            </w:r>
            <w:r w:rsidRPr="00BD3A2E">
              <w:rPr>
                <w:rFonts w:cs="Arial"/>
                <w:color w:val="000000"/>
                <w:sz w:val="12"/>
                <w:szCs w:val="12"/>
                <w:lang w:val="es-CO" w:eastAsia="es-CO"/>
              </w:rPr>
              <w:br/>
              <w:t>Se ha adelantado reconocimiento predial en 201.496 predios Meta (Villavicencio), Cauca (Popayán), Boyacá (Socha, Tasco, Betéitiva, Corrales, Busbanzá, Sativasur y Socotá), Arauca (Arauquita), Bolívar (El Guamo y Córdoba), Tolima (Rioblanco), Cundinamarca (Ricaurte y Gachancipá).</w:t>
            </w:r>
            <w:r w:rsidRPr="00BD3A2E">
              <w:rPr>
                <w:rFonts w:cs="Arial"/>
                <w:color w:val="000000"/>
                <w:sz w:val="12"/>
                <w:szCs w:val="12"/>
                <w:lang w:val="es-CO" w:eastAsia="es-CO"/>
              </w:rPr>
              <w:br/>
            </w:r>
            <w:r w:rsidRPr="00BD3A2E">
              <w:rPr>
                <w:rFonts w:cs="Arial"/>
                <w:color w:val="000000"/>
                <w:sz w:val="12"/>
                <w:szCs w:val="12"/>
                <w:lang w:val="es-CO" w:eastAsia="es-CO"/>
              </w:rPr>
              <w:br/>
              <w:t>Con respecto a los procesos de contratación del personal que acompaña las actividades de gestión catastral en los territorios, se contrató el personal requerido para adelantar las actividades de intervención catastral en los municipios de La Tebaida, Villarrica, Tocancipá y Paz de Ariporo.</w:t>
            </w:r>
          </w:p>
        </w:tc>
        <w:tc>
          <w:tcPr>
            <w:tcW w:w="1347" w:type="dxa"/>
            <w:vAlign w:val="center"/>
            <w:hideMark/>
          </w:tcPr>
          <w:p w14:paraId="2FBEC0E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Gestión Catastral</w:t>
            </w:r>
          </w:p>
        </w:tc>
        <w:tc>
          <w:tcPr>
            <w:tcW w:w="1884" w:type="dxa"/>
            <w:vAlign w:val="center"/>
            <w:hideMark/>
          </w:tcPr>
          <w:p w14:paraId="43FC63D8"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Indicador de periodicidad de reporte anual.</w:t>
            </w:r>
            <w:r w:rsidRPr="00BD3A2E">
              <w:rPr>
                <w:rFonts w:cs="Arial"/>
                <w:color w:val="000000"/>
                <w:sz w:val="12"/>
                <w:szCs w:val="12"/>
                <w:lang w:val="es-CO" w:eastAsia="es-CO"/>
              </w:rPr>
              <w:br/>
            </w:r>
            <w:r w:rsidRPr="00BD3A2E">
              <w:rPr>
                <w:rFonts w:cs="Arial"/>
                <w:color w:val="000000"/>
                <w:sz w:val="12"/>
                <w:szCs w:val="12"/>
                <w:lang w:val="es-CO" w:eastAsia="es-CO"/>
              </w:rPr>
              <w:br/>
              <w:t>El dato del área actualizada a 1 de enero de 2022 se obtendrá luego de finalizadas las actividades de conservación catastral de los corrientes y que entren en vigencia los procesos de actualización catastral con enfoque multipropósito, datos que serán reportados por el IGAC y los gestores catastrales.</w:t>
            </w:r>
            <w:r w:rsidRPr="00BD3A2E">
              <w:rPr>
                <w:rFonts w:cs="Arial"/>
                <w:color w:val="000000"/>
                <w:sz w:val="12"/>
                <w:szCs w:val="12"/>
                <w:lang w:val="es-CO" w:eastAsia="es-CO"/>
              </w:rPr>
              <w:br/>
            </w:r>
            <w:r w:rsidRPr="00BD3A2E">
              <w:rPr>
                <w:rFonts w:cs="Arial"/>
                <w:color w:val="000000"/>
                <w:sz w:val="12"/>
                <w:szCs w:val="12"/>
                <w:lang w:val="es-CO" w:eastAsia="es-CO"/>
              </w:rPr>
              <w:br/>
              <w:t xml:space="preserve"> Meta transformacional</w:t>
            </w:r>
          </w:p>
        </w:tc>
      </w:tr>
      <w:tr w:rsidR="00A50D5A" w:rsidRPr="00BD3A2E" w14:paraId="32BDD974" w14:textId="77777777" w:rsidTr="00BD3A2E">
        <w:trPr>
          <w:cnfStyle w:val="000000100000" w:firstRow="0" w:lastRow="0" w:firstColumn="0" w:lastColumn="0" w:oddVBand="0" w:evenVBand="0" w:oddHBand="1" w:evenHBand="0" w:firstRowFirstColumn="0" w:firstRowLastColumn="0" w:lastRowFirstColumn="0" w:lastRowLastColumn="0"/>
          <w:trHeight w:val="1439"/>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136D9E79"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lastRenderedPageBreak/>
              <w:t>Porcentaje del área geográfica con caracterización geográfica (Hectáreas)</w:t>
            </w:r>
          </w:p>
        </w:tc>
        <w:tc>
          <w:tcPr>
            <w:tcW w:w="567" w:type="dxa"/>
            <w:noWrap/>
            <w:vAlign w:val="center"/>
            <w:hideMark/>
          </w:tcPr>
          <w:p w14:paraId="6F653AE8"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35,5%</w:t>
            </w:r>
          </w:p>
        </w:tc>
        <w:tc>
          <w:tcPr>
            <w:tcW w:w="709" w:type="dxa"/>
            <w:noWrap/>
            <w:vAlign w:val="center"/>
            <w:hideMark/>
          </w:tcPr>
          <w:p w14:paraId="1991C3E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49,5%</w:t>
            </w:r>
          </w:p>
        </w:tc>
        <w:tc>
          <w:tcPr>
            <w:tcW w:w="709" w:type="dxa"/>
            <w:noWrap/>
            <w:vAlign w:val="center"/>
            <w:hideMark/>
          </w:tcPr>
          <w:p w14:paraId="081544DF"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61,5%</w:t>
            </w:r>
          </w:p>
        </w:tc>
        <w:tc>
          <w:tcPr>
            <w:tcW w:w="567" w:type="dxa"/>
            <w:noWrap/>
            <w:vAlign w:val="center"/>
            <w:hideMark/>
          </w:tcPr>
          <w:p w14:paraId="32FFCB38"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72,5%</w:t>
            </w:r>
          </w:p>
        </w:tc>
        <w:tc>
          <w:tcPr>
            <w:tcW w:w="709" w:type="dxa"/>
            <w:noWrap/>
            <w:vAlign w:val="center"/>
            <w:hideMark/>
          </w:tcPr>
          <w:p w14:paraId="1A2403A1"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35,5%</w:t>
            </w:r>
          </w:p>
        </w:tc>
        <w:tc>
          <w:tcPr>
            <w:tcW w:w="708" w:type="dxa"/>
            <w:noWrap/>
            <w:vAlign w:val="center"/>
            <w:hideMark/>
          </w:tcPr>
          <w:p w14:paraId="72ABFA9F"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49,7%</w:t>
            </w:r>
          </w:p>
        </w:tc>
        <w:tc>
          <w:tcPr>
            <w:tcW w:w="709" w:type="dxa"/>
            <w:noWrap/>
            <w:vAlign w:val="center"/>
            <w:hideMark/>
          </w:tcPr>
          <w:p w14:paraId="4ABA9C5F"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62,01%</w:t>
            </w:r>
          </w:p>
        </w:tc>
        <w:tc>
          <w:tcPr>
            <w:tcW w:w="851" w:type="dxa"/>
            <w:vAlign w:val="center"/>
            <w:hideMark/>
          </w:tcPr>
          <w:p w14:paraId="740DD70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72,50%</w:t>
            </w:r>
          </w:p>
        </w:tc>
        <w:tc>
          <w:tcPr>
            <w:tcW w:w="850" w:type="dxa"/>
            <w:noWrap/>
            <w:vAlign w:val="center"/>
            <w:hideMark/>
          </w:tcPr>
          <w:p w14:paraId="51FF24AC"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62,05%</w:t>
            </w:r>
          </w:p>
        </w:tc>
        <w:tc>
          <w:tcPr>
            <w:tcW w:w="1134" w:type="dxa"/>
            <w:noWrap/>
            <w:vAlign w:val="center"/>
            <w:hideMark/>
          </w:tcPr>
          <w:p w14:paraId="442EC183"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86%</w:t>
            </w:r>
          </w:p>
        </w:tc>
        <w:tc>
          <w:tcPr>
            <w:tcW w:w="2139" w:type="dxa"/>
            <w:vAlign w:val="center"/>
            <w:hideMark/>
          </w:tcPr>
          <w:p w14:paraId="50C28F10"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Con corte el mes de octubre de 2021 se logró un cubrimiento de 70.749.752,99 hectáreas del territorio del país con caracterizaciones territoriales</w:t>
            </w:r>
          </w:p>
        </w:tc>
        <w:tc>
          <w:tcPr>
            <w:tcW w:w="1347" w:type="dxa"/>
            <w:vAlign w:val="center"/>
            <w:hideMark/>
          </w:tcPr>
          <w:p w14:paraId="52F735CC"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Gestión de Información Geográfica</w:t>
            </w:r>
          </w:p>
        </w:tc>
        <w:tc>
          <w:tcPr>
            <w:tcW w:w="1884" w:type="dxa"/>
            <w:vAlign w:val="center"/>
            <w:hideMark/>
          </w:tcPr>
          <w:p w14:paraId="27A0365E" w14:textId="5E123CB2" w:rsidR="00BD3A2E" w:rsidRPr="00BD3A2E" w:rsidRDefault="00BD3A2E" w:rsidP="371D5EDC">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2"/>
                <w:szCs w:val="12"/>
                <w:lang w:val="es-CO" w:eastAsia="es-CO"/>
              </w:rPr>
            </w:pPr>
            <w:r w:rsidRPr="371D5EDC">
              <w:rPr>
                <w:rFonts w:cs="Arial"/>
                <w:color w:val="000000" w:themeColor="text1"/>
                <w:sz w:val="12"/>
                <w:szCs w:val="12"/>
                <w:lang w:val="es-CO" w:eastAsia="es-CO"/>
              </w:rPr>
              <w:t xml:space="preserve">Indicador de periodicidad de reporte anual. Se incluye la línea base en las metas anuales y del cuatrienio, la cual corresponde al 12,5%. </w:t>
            </w:r>
          </w:p>
          <w:p w14:paraId="679A3D8E" w14:textId="5E123CB2" w:rsidR="00BD3A2E" w:rsidRPr="00BD3A2E" w:rsidRDefault="00BD3A2E" w:rsidP="371D5EDC">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2"/>
                <w:szCs w:val="12"/>
                <w:lang w:val="es-CO" w:eastAsia="es-CO"/>
              </w:rPr>
            </w:pPr>
          </w:p>
          <w:p w14:paraId="70D7BCE8" w14:textId="5E123CB2"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371D5EDC">
              <w:rPr>
                <w:rFonts w:cs="Arial"/>
                <w:color w:val="000000" w:themeColor="text1"/>
                <w:sz w:val="12"/>
                <w:szCs w:val="12"/>
                <w:lang w:val="es-CO" w:eastAsia="es-CO"/>
              </w:rPr>
              <w:t xml:space="preserve">La meta para el cuatrienio 2018-2022 definida en el Plan Nacional de Desarrollo para este indicador, es del 60%. Es decir, el 72,50% menos la línea base 12,50% </w:t>
            </w:r>
            <w:r>
              <w:br/>
            </w:r>
            <w:r>
              <w:br/>
            </w:r>
            <w:r w:rsidRPr="371D5EDC">
              <w:rPr>
                <w:rFonts w:cs="Arial"/>
                <w:color w:val="000000" w:themeColor="text1"/>
                <w:sz w:val="12"/>
                <w:szCs w:val="12"/>
                <w:lang w:val="es-CO" w:eastAsia="es-CO"/>
              </w:rPr>
              <w:t>El avance correspondiente a la vigencia 2021 es un resultado parcial con corte el mes de octubre.</w:t>
            </w:r>
          </w:p>
        </w:tc>
      </w:tr>
      <w:tr w:rsidR="00BD3A2E" w:rsidRPr="00BD3A2E" w14:paraId="25AE2D54" w14:textId="77777777" w:rsidTr="00BD3A2E">
        <w:trPr>
          <w:trHeight w:val="719"/>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384C0F68"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Porcentaje de área geográfica en municipios PDET con catastro actualizado (hectáreas)</w:t>
            </w:r>
          </w:p>
        </w:tc>
        <w:tc>
          <w:tcPr>
            <w:tcW w:w="567" w:type="dxa"/>
            <w:noWrap/>
            <w:vAlign w:val="center"/>
            <w:hideMark/>
          </w:tcPr>
          <w:p w14:paraId="58F7E192"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0,31%</w:t>
            </w:r>
          </w:p>
        </w:tc>
        <w:tc>
          <w:tcPr>
            <w:tcW w:w="709" w:type="dxa"/>
            <w:noWrap/>
            <w:vAlign w:val="center"/>
            <w:hideMark/>
          </w:tcPr>
          <w:p w14:paraId="3895813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19,90%</w:t>
            </w:r>
          </w:p>
        </w:tc>
        <w:tc>
          <w:tcPr>
            <w:tcW w:w="709" w:type="dxa"/>
            <w:noWrap/>
            <w:vAlign w:val="center"/>
            <w:hideMark/>
          </w:tcPr>
          <w:p w14:paraId="5A8C143E"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20,30%</w:t>
            </w:r>
          </w:p>
        </w:tc>
        <w:tc>
          <w:tcPr>
            <w:tcW w:w="567" w:type="dxa"/>
            <w:noWrap/>
            <w:vAlign w:val="center"/>
            <w:hideMark/>
          </w:tcPr>
          <w:p w14:paraId="4AF17DDE"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59,40%</w:t>
            </w:r>
          </w:p>
        </w:tc>
        <w:tc>
          <w:tcPr>
            <w:tcW w:w="709" w:type="dxa"/>
            <w:noWrap/>
            <w:vAlign w:val="center"/>
            <w:hideMark/>
          </w:tcPr>
          <w:p w14:paraId="2D768458"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0,31%</w:t>
            </w:r>
          </w:p>
        </w:tc>
        <w:tc>
          <w:tcPr>
            <w:tcW w:w="708" w:type="dxa"/>
            <w:noWrap/>
            <w:vAlign w:val="center"/>
            <w:hideMark/>
          </w:tcPr>
          <w:p w14:paraId="36BFDD84"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10,40%</w:t>
            </w:r>
          </w:p>
        </w:tc>
        <w:tc>
          <w:tcPr>
            <w:tcW w:w="709" w:type="dxa"/>
            <w:noWrap/>
            <w:vAlign w:val="center"/>
            <w:hideMark/>
          </w:tcPr>
          <w:p w14:paraId="79A1D79B" w14:textId="204FD1B3"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p>
          <w:p w14:paraId="50D96086"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p>
          <w:p w14:paraId="3E58E167"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p>
          <w:p w14:paraId="72CBF565"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p>
          <w:p w14:paraId="159220C0"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r w:rsidRPr="00BD3A2E">
              <w:rPr>
                <w:rFonts w:ascii="Times New Roman" w:hAnsi="Times New Roman"/>
                <w:color w:val="000000"/>
                <w:sz w:val="12"/>
                <w:szCs w:val="12"/>
                <w:lang w:val="es-CO" w:eastAsia="es-CO"/>
              </w:rPr>
              <w:t>-</w:t>
            </w:r>
          </w:p>
          <w:p w14:paraId="21FF1F5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12"/>
                <w:szCs w:val="12"/>
                <w:lang w:val="es-CO" w:eastAsia="es-CO"/>
              </w:rPr>
            </w:pPr>
          </w:p>
        </w:tc>
        <w:tc>
          <w:tcPr>
            <w:tcW w:w="851" w:type="dxa"/>
            <w:vAlign w:val="center"/>
            <w:hideMark/>
          </w:tcPr>
          <w:p w14:paraId="53634D23"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100%</w:t>
            </w:r>
          </w:p>
        </w:tc>
        <w:tc>
          <w:tcPr>
            <w:tcW w:w="850" w:type="dxa"/>
            <w:noWrap/>
            <w:vAlign w:val="center"/>
            <w:hideMark/>
          </w:tcPr>
          <w:p w14:paraId="23931873"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10,75%</w:t>
            </w:r>
          </w:p>
        </w:tc>
        <w:tc>
          <w:tcPr>
            <w:tcW w:w="1134" w:type="dxa"/>
            <w:noWrap/>
            <w:vAlign w:val="center"/>
            <w:hideMark/>
          </w:tcPr>
          <w:p w14:paraId="5D1DBA5C"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10,75%</w:t>
            </w:r>
          </w:p>
        </w:tc>
        <w:tc>
          <w:tcPr>
            <w:tcW w:w="2139" w:type="dxa"/>
            <w:vAlign w:val="center"/>
            <w:hideMark/>
          </w:tcPr>
          <w:p w14:paraId="5883394E"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 xml:space="preserve">A 1 de enero de 2021, se logró la actualización catastral de 4.083.550,05 hectáreas del área geográfica de los municipios ubicados en territorios PDET correspondientes al 10,44% del total del área geográfica de los mismos. </w:t>
            </w:r>
            <w:r w:rsidRPr="00BD3A2E">
              <w:rPr>
                <w:rFonts w:cs="Arial"/>
                <w:color w:val="000000"/>
                <w:sz w:val="12"/>
                <w:szCs w:val="12"/>
                <w:lang w:val="es-CO" w:eastAsia="es-CO"/>
              </w:rPr>
              <w:br/>
            </w:r>
            <w:r w:rsidRPr="00BD3A2E">
              <w:rPr>
                <w:rFonts w:cs="Arial"/>
                <w:color w:val="000000"/>
                <w:sz w:val="12"/>
                <w:szCs w:val="12"/>
                <w:lang w:val="es-CO" w:eastAsia="es-CO"/>
              </w:rPr>
              <w:br/>
              <w:t>Con corte a octubre 2021 de obtuvieron los siguientes avances:</w:t>
            </w:r>
            <w:r w:rsidRPr="00BD3A2E">
              <w:rPr>
                <w:rFonts w:cs="Arial"/>
                <w:color w:val="000000"/>
                <w:sz w:val="12"/>
                <w:szCs w:val="12"/>
                <w:lang w:val="es-CO" w:eastAsia="es-CO"/>
              </w:rPr>
              <w:br/>
            </w:r>
            <w:r w:rsidRPr="00BD3A2E">
              <w:rPr>
                <w:rFonts w:cs="Arial"/>
                <w:color w:val="000000"/>
                <w:sz w:val="12"/>
                <w:szCs w:val="12"/>
                <w:lang w:val="es-CO" w:eastAsia="es-CO"/>
              </w:rPr>
              <w:br/>
            </w:r>
            <w:r w:rsidRPr="00BD3A2E">
              <w:rPr>
                <w:rFonts w:cs="Arial"/>
                <w:color w:val="000000"/>
                <w:sz w:val="12"/>
                <w:szCs w:val="12"/>
                <w:lang w:val="es-CO" w:eastAsia="es-CO"/>
              </w:rPr>
              <w:br/>
              <w:t xml:space="preserve">Se brindó apoyo a proyectos estructurados para presentación en OCAD PAZ de cuatro (4) municipios (Arenal, Hacarí, El Carmen y Miranda) que acumulan aproximadamente 244 mil hectáreas con la gestión de 7.180 millones de pesos. </w:t>
            </w:r>
            <w:r w:rsidRPr="00BD3A2E">
              <w:rPr>
                <w:rFonts w:cs="Arial"/>
                <w:color w:val="000000"/>
                <w:sz w:val="12"/>
                <w:szCs w:val="12"/>
                <w:lang w:val="es-CO" w:eastAsia="es-CO"/>
              </w:rPr>
              <w:br/>
            </w:r>
            <w:r w:rsidRPr="00BD3A2E">
              <w:rPr>
                <w:rFonts w:cs="Arial"/>
                <w:color w:val="000000"/>
                <w:sz w:val="12"/>
                <w:szCs w:val="12"/>
                <w:lang w:val="es-CO" w:eastAsia="es-CO"/>
              </w:rPr>
              <w:br/>
              <w:t>Se continúa brindando asistencia técnica en temas catastrales a los municipios que lo requieran para estructurar el proyecto tipo y se brindó atención prioritaria de casos específicos en el marco de las mesas de impulso</w:t>
            </w:r>
          </w:p>
        </w:tc>
        <w:tc>
          <w:tcPr>
            <w:tcW w:w="1347" w:type="dxa"/>
            <w:vAlign w:val="center"/>
            <w:hideMark/>
          </w:tcPr>
          <w:p w14:paraId="3D3A5607"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Gestión Catastral</w:t>
            </w:r>
          </w:p>
        </w:tc>
        <w:tc>
          <w:tcPr>
            <w:tcW w:w="1884" w:type="dxa"/>
            <w:vAlign w:val="center"/>
            <w:hideMark/>
          </w:tcPr>
          <w:p w14:paraId="02032B94"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Indicador de periodicidad de reporte anual.</w:t>
            </w:r>
            <w:r w:rsidRPr="00BD3A2E">
              <w:rPr>
                <w:rFonts w:cs="Arial"/>
                <w:color w:val="000000"/>
                <w:sz w:val="12"/>
                <w:szCs w:val="12"/>
                <w:lang w:val="es-CO" w:eastAsia="es-CO"/>
              </w:rPr>
              <w:br/>
            </w:r>
            <w:r w:rsidRPr="00BD3A2E">
              <w:rPr>
                <w:rFonts w:cs="Arial"/>
                <w:color w:val="000000"/>
                <w:sz w:val="12"/>
                <w:szCs w:val="12"/>
                <w:lang w:val="es-CO" w:eastAsia="es-CO"/>
              </w:rPr>
              <w:br/>
              <w:t>El dato del área actualizada a 1 de enero de 2022 se obtendrá luego de finalizadas las actividades de conservación catastral de los corrientes y que entren en vigencia los procesos de actualización catastral con enfoque multipropósito, datos que serán reportados por el IGAC y los gestores catastrales.</w:t>
            </w:r>
          </w:p>
        </w:tc>
      </w:tr>
      <w:tr w:rsidR="00A50D5A" w:rsidRPr="00BD3A2E" w14:paraId="70E00056" w14:textId="77777777" w:rsidTr="00BD3A2E">
        <w:trPr>
          <w:cnfStyle w:val="000000100000" w:firstRow="0" w:lastRow="0" w:firstColumn="0" w:lastColumn="0" w:oddVBand="0" w:evenVBand="0" w:oddHBand="1" w:evenHBand="0" w:firstRowFirstColumn="0" w:firstRowLastColumn="0" w:lastRowFirstColumn="0" w:lastRowLastColumn="0"/>
          <w:trHeight w:val="1304"/>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260DABFC"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Porcentaje de implementación del Sistema Nacional de Información de Catastro Multipropósito</w:t>
            </w:r>
          </w:p>
        </w:tc>
        <w:tc>
          <w:tcPr>
            <w:tcW w:w="567" w:type="dxa"/>
            <w:noWrap/>
            <w:vAlign w:val="center"/>
            <w:hideMark/>
          </w:tcPr>
          <w:p w14:paraId="758BAC6C"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w:t>
            </w:r>
          </w:p>
        </w:tc>
        <w:tc>
          <w:tcPr>
            <w:tcW w:w="709" w:type="dxa"/>
            <w:noWrap/>
            <w:vAlign w:val="center"/>
            <w:hideMark/>
          </w:tcPr>
          <w:p w14:paraId="0A62AF30"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30%</w:t>
            </w:r>
          </w:p>
        </w:tc>
        <w:tc>
          <w:tcPr>
            <w:tcW w:w="709" w:type="dxa"/>
            <w:noWrap/>
            <w:vAlign w:val="center"/>
            <w:hideMark/>
          </w:tcPr>
          <w:p w14:paraId="06E772F9"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60%</w:t>
            </w:r>
          </w:p>
        </w:tc>
        <w:tc>
          <w:tcPr>
            <w:tcW w:w="567" w:type="dxa"/>
            <w:noWrap/>
            <w:vAlign w:val="center"/>
            <w:hideMark/>
          </w:tcPr>
          <w:p w14:paraId="78326636"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100%</w:t>
            </w:r>
          </w:p>
        </w:tc>
        <w:tc>
          <w:tcPr>
            <w:tcW w:w="709" w:type="dxa"/>
            <w:noWrap/>
            <w:vAlign w:val="center"/>
            <w:hideMark/>
          </w:tcPr>
          <w:p w14:paraId="408828D1"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w:t>
            </w:r>
          </w:p>
        </w:tc>
        <w:tc>
          <w:tcPr>
            <w:tcW w:w="708" w:type="dxa"/>
            <w:noWrap/>
            <w:vAlign w:val="center"/>
            <w:hideMark/>
          </w:tcPr>
          <w:p w14:paraId="4292B5DD"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w:t>
            </w:r>
          </w:p>
        </w:tc>
        <w:tc>
          <w:tcPr>
            <w:tcW w:w="709" w:type="dxa"/>
            <w:noWrap/>
            <w:vAlign w:val="center"/>
            <w:hideMark/>
          </w:tcPr>
          <w:p w14:paraId="1157B442"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25%</w:t>
            </w:r>
          </w:p>
        </w:tc>
        <w:tc>
          <w:tcPr>
            <w:tcW w:w="851" w:type="dxa"/>
            <w:vAlign w:val="center"/>
            <w:hideMark/>
          </w:tcPr>
          <w:p w14:paraId="6CAAFAB3"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100%</w:t>
            </w:r>
          </w:p>
        </w:tc>
        <w:tc>
          <w:tcPr>
            <w:tcW w:w="850" w:type="dxa"/>
            <w:noWrap/>
            <w:vAlign w:val="center"/>
            <w:hideMark/>
          </w:tcPr>
          <w:p w14:paraId="7660A41A"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25%</w:t>
            </w:r>
          </w:p>
        </w:tc>
        <w:tc>
          <w:tcPr>
            <w:tcW w:w="1134" w:type="dxa"/>
            <w:noWrap/>
            <w:vAlign w:val="center"/>
            <w:hideMark/>
          </w:tcPr>
          <w:p w14:paraId="74847C0B"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25%</w:t>
            </w:r>
          </w:p>
        </w:tc>
        <w:tc>
          <w:tcPr>
            <w:tcW w:w="2139" w:type="dxa"/>
            <w:vAlign w:val="center"/>
            <w:hideMark/>
          </w:tcPr>
          <w:p w14:paraId="1997A2EA"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Al mes de octubre se cuenta con un avance acumulado de un 25% en la implementación del Sistema Nacional de Catastro con enfoque multipropósito, frente a la meta programada en la presente vigencia, correspondiente al 60%. Este avance corresponde a la ejecución de los hitos:  1: Análisis: 10%, 2: Diseño: 15%</w:t>
            </w:r>
          </w:p>
        </w:tc>
        <w:tc>
          <w:tcPr>
            <w:tcW w:w="1347" w:type="dxa"/>
            <w:vAlign w:val="center"/>
            <w:hideMark/>
          </w:tcPr>
          <w:p w14:paraId="6951BAA8"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Tecnologías de la Información y Comunicaciones</w:t>
            </w:r>
          </w:p>
        </w:tc>
        <w:tc>
          <w:tcPr>
            <w:tcW w:w="1884" w:type="dxa"/>
            <w:vAlign w:val="center"/>
            <w:hideMark/>
          </w:tcPr>
          <w:p w14:paraId="7F729C17"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Indicador de periodicidad de reporte semestral.</w:t>
            </w:r>
            <w:r w:rsidRPr="00BD3A2E">
              <w:rPr>
                <w:rFonts w:cs="Arial"/>
                <w:color w:val="000000"/>
                <w:sz w:val="12"/>
                <w:szCs w:val="12"/>
                <w:lang w:val="es-CO" w:eastAsia="es-CO"/>
              </w:rPr>
              <w:br/>
            </w:r>
            <w:r w:rsidRPr="00BD3A2E">
              <w:rPr>
                <w:rFonts w:cs="Arial"/>
                <w:color w:val="000000"/>
                <w:sz w:val="12"/>
                <w:szCs w:val="12"/>
                <w:lang w:val="es-CO" w:eastAsia="es-CO"/>
              </w:rPr>
              <w:br/>
              <w:t>El avance correspondiente a la vigencia 2021 es un resultado parcial con corte el mes de octubre.</w:t>
            </w:r>
          </w:p>
        </w:tc>
      </w:tr>
      <w:tr w:rsidR="00BD3A2E" w:rsidRPr="00BD3A2E" w14:paraId="1BC7A67A" w14:textId="77777777" w:rsidTr="00BD3A2E">
        <w:trPr>
          <w:trHeight w:val="554"/>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5C79C89E"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Gestores catastrales habilitados</w:t>
            </w:r>
          </w:p>
        </w:tc>
        <w:tc>
          <w:tcPr>
            <w:tcW w:w="567" w:type="dxa"/>
            <w:noWrap/>
            <w:vAlign w:val="center"/>
            <w:hideMark/>
          </w:tcPr>
          <w:p w14:paraId="47124C76"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w:t>
            </w:r>
          </w:p>
        </w:tc>
        <w:tc>
          <w:tcPr>
            <w:tcW w:w="709" w:type="dxa"/>
            <w:noWrap/>
            <w:vAlign w:val="center"/>
            <w:hideMark/>
          </w:tcPr>
          <w:p w14:paraId="240C1666"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w:t>
            </w:r>
          </w:p>
        </w:tc>
        <w:tc>
          <w:tcPr>
            <w:tcW w:w="709" w:type="dxa"/>
            <w:noWrap/>
            <w:vAlign w:val="center"/>
            <w:hideMark/>
          </w:tcPr>
          <w:p w14:paraId="7EC3FE20"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17</w:t>
            </w:r>
          </w:p>
        </w:tc>
        <w:tc>
          <w:tcPr>
            <w:tcW w:w="567" w:type="dxa"/>
            <w:noWrap/>
            <w:vAlign w:val="center"/>
            <w:hideMark/>
          </w:tcPr>
          <w:p w14:paraId="3FF8FED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w:t>
            </w:r>
          </w:p>
        </w:tc>
        <w:tc>
          <w:tcPr>
            <w:tcW w:w="709" w:type="dxa"/>
            <w:noWrap/>
            <w:vAlign w:val="center"/>
            <w:hideMark/>
          </w:tcPr>
          <w:p w14:paraId="4E56848E"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8</w:t>
            </w:r>
          </w:p>
        </w:tc>
        <w:tc>
          <w:tcPr>
            <w:tcW w:w="708" w:type="dxa"/>
            <w:noWrap/>
            <w:vAlign w:val="center"/>
            <w:hideMark/>
          </w:tcPr>
          <w:p w14:paraId="682829BA"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19</w:t>
            </w:r>
          </w:p>
        </w:tc>
        <w:tc>
          <w:tcPr>
            <w:tcW w:w="709" w:type="dxa"/>
            <w:noWrap/>
            <w:vAlign w:val="center"/>
            <w:hideMark/>
          </w:tcPr>
          <w:p w14:paraId="67D5C538"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31</w:t>
            </w:r>
          </w:p>
        </w:tc>
        <w:tc>
          <w:tcPr>
            <w:tcW w:w="851" w:type="dxa"/>
            <w:vAlign w:val="center"/>
            <w:hideMark/>
          </w:tcPr>
          <w:p w14:paraId="0EFBF0D4"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w:t>
            </w:r>
          </w:p>
        </w:tc>
        <w:tc>
          <w:tcPr>
            <w:tcW w:w="850" w:type="dxa"/>
            <w:noWrap/>
            <w:vAlign w:val="center"/>
            <w:hideMark/>
          </w:tcPr>
          <w:p w14:paraId="7252B5AD"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31</w:t>
            </w:r>
          </w:p>
        </w:tc>
        <w:tc>
          <w:tcPr>
            <w:tcW w:w="1134" w:type="dxa"/>
            <w:noWrap/>
            <w:vAlign w:val="center"/>
            <w:hideMark/>
          </w:tcPr>
          <w:p w14:paraId="6A10A4AF"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155%</w:t>
            </w:r>
          </w:p>
        </w:tc>
        <w:tc>
          <w:tcPr>
            <w:tcW w:w="2139" w:type="dxa"/>
            <w:vAlign w:val="center"/>
            <w:hideMark/>
          </w:tcPr>
          <w:p w14:paraId="1B8AAAB6"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 xml:space="preserve">Al mes de octubre se logró la habilitación de 31 gestores catastrales, lo que corresponde a un </w:t>
            </w:r>
            <w:r w:rsidRPr="00BD3A2E">
              <w:rPr>
                <w:rFonts w:cs="Arial"/>
                <w:color w:val="000000"/>
                <w:sz w:val="12"/>
                <w:szCs w:val="12"/>
                <w:lang w:val="es-CO" w:eastAsia="es-CO"/>
              </w:rPr>
              <w:lastRenderedPageBreak/>
              <w:t>avance de 155% respecto a la meta del cuatrienio.</w:t>
            </w:r>
          </w:p>
        </w:tc>
        <w:tc>
          <w:tcPr>
            <w:tcW w:w="1347" w:type="dxa"/>
            <w:vAlign w:val="center"/>
            <w:hideMark/>
          </w:tcPr>
          <w:p w14:paraId="31C3D97E"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lastRenderedPageBreak/>
              <w:t>Dirección de Regulación y Habilitación</w:t>
            </w:r>
          </w:p>
        </w:tc>
        <w:tc>
          <w:tcPr>
            <w:tcW w:w="1884" w:type="dxa"/>
            <w:vAlign w:val="center"/>
            <w:hideMark/>
          </w:tcPr>
          <w:p w14:paraId="417B744A"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Meta transformacional</w:t>
            </w:r>
          </w:p>
        </w:tc>
      </w:tr>
      <w:tr w:rsidR="00A50D5A" w:rsidRPr="00BD3A2E" w14:paraId="7F729ACD" w14:textId="77777777" w:rsidTr="00BD3A2E">
        <w:trPr>
          <w:cnfStyle w:val="000000100000" w:firstRow="0" w:lastRow="0" w:firstColumn="0" w:lastColumn="0" w:oddVBand="0" w:evenVBand="0" w:oddHBand="1" w:evenHBand="0" w:firstRowFirstColumn="0" w:firstRowLastColumn="0" w:lastRowFirstColumn="0" w:lastRowLastColumn="0"/>
          <w:trHeight w:val="959"/>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554A4A05"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lastRenderedPageBreak/>
              <w:t>Geoservicios publicados y disponibles</w:t>
            </w:r>
          </w:p>
        </w:tc>
        <w:tc>
          <w:tcPr>
            <w:tcW w:w="567" w:type="dxa"/>
            <w:noWrap/>
            <w:vAlign w:val="center"/>
            <w:hideMark/>
          </w:tcPr>
          <w:p w14:paraId="1E068865"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175</w:t>
            </w:r>
          </w:p>
        </w:tc>
        <w:tc>
          <w:tcPr>
            <w:tcW w:w="709" w:type="dxa"/>
            <w:noWrap/>
            <w:vAlign w:val="center"/>
            <w:hideMark/>
          </w:tcPr>
          <w:p w14:paraId="7BAB57B7"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200</w:t>
            </w:r>
          </w:p>
        </w:tc>
        <w:tc>
          <w:tcPr>
            <w:tcW w:w="709" w:type="dxa"/>
            <w:noWrap/>
            <w:vAlign w:val="center"/>
            <w:hideMark/>
          </w:tcPr>
          <w:p w14:paraId="7750FD31"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472</w:t>
            </w:r>
          </w:p>
        </w:tc>
        <w:tc>
          <w:tcPr>
            <w:tcW w:w="567" w:type="dxa"/>
            <w:noWrap/>
            <w:vAlign w:val="center"/>
            <w:hideMark/>
          </w:tcPr>
          <w:p w14:paraId="790E286C"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500</w:t>
            </w:r>
          </w:p>
        </w:tc>
        <w:tc>
          <w:tcPr>
            <w:tcW w:w="709" w:type="dxa"/>
            <w:noWrap/>
            <w:vAlign w:val="center"/>
            <w:hideMark/>
          </w:tcPr>
          <w:p w14:paraId="2F31BF88"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185</w:t>
            </w:r>
          </w:p>
        </w:tc>
        <w:tc>
          <w:tcPr>
            <w:tcW w:w="708" w:type="dxa"/>
            <w:noWrap/>
            <w:vAlign w:val="center"/>
            <w:hideMark/>
          </w:tcPr>
          <w:p w14:paraId="228D8778"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372</w:t>
            </w:r>
          </w:p>
        </w:tc>
        <w:tc>
          <w:tcPr>
            <w:tcW w:w="709" w:type="dxa"/>
            <w:noWrap/>
            <w:vAlign w:val="center"/>
            <w:hideMark/>
          </w:tcPr>
          <w:p w14:paraId="2A92CFE0"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539</w:t>
            </w:r>
          </w:p>
        </w:tc>
        <w:tc>
          <w:tcPr>
            <w:tcW w:w="851" w:type="dxa"/>
            <w:vAlign w:val="center"/>
            <w:hideMark/>
          </w:tcPr>
          <w:p w14:paraId="5D3D9093"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500</w:t>
            </w:r>
          </w:p>
        </w:tc>
        <w:tc>
          <w:tcPr>
            <w:tcW w:w="850" w:type="dxa"/>
            <w:noWrap/>
            <w:vAlign w:val="center"/>
            <w:hideMark/>
          </w:tcPr>
          <w:p w14:paraId="1DE04D31"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539</w:t>
            </w:r>
          </w:p>
        </w:tc>
        <w:tc>
          <w:tcPr>
            <w:tcW w:w="1134" w:type="dxa"/>
            <w:noWrap/>
            <w:vAlign w:val="center"/>
            <w:hideMark/>
          </w:tcPr>
          <w:p w14:paraId="40FE18F5"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108%</w:t>
            </w:r>
          </w:p>
        </w:tc>
        <w:tc>
          <w:tcPr>
            <w:tcW w:w="2139" w:type="dxa"/>
            <w:vAlign w:val="center"/>
            <w:hideMark/>
          </w:tcPr>
          <w:p w14:paraId="6F1045C5"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Al mes de octubre se realizó el monitoreo automático de 539 geoservicios.</w:t>
            </w:r>
            <w:r w:rsidRPr="00BD3A2E">
              <w:rPr>
                <w:rFonts w:cs="Arial"/>
                <w:color w:val="000000"/>
                <w:sz w:val="12"/>
                <w:szCs w:val="12"/>
                <w:lang w:val="es-CO" w:eastAsia="es-CO"/>
              </w:rPr>
              <w:br/>
            </w:r>
            <w:r w:rsidRPr="00BD3A2E">
              <w:rPr>
                <w:rFonts w:cs="Arial"/>
                <w:color w:val="000000"/>
                <w:sz w:val="12"/>
                <w:szCs w:val="12"/>
                <w:lang w:val="es-CO" w:eastAsia="es-CO"/>
              </w:rPr>
              <w:br/>
              <w:t>Se destaca el desarrollo de una nueva herramienta de monitoreo enfocada a servicios geográficos, sobre la cual se realizará una consolidación de servicios llegando a monitorear aproximadamente 1800 servicios.</w:t>
            </w:r>
          </w:p>
        </w:tc>
        <w:tc>
          <w:tcPr>
            <w:tcW w:w="1347" w:type="dxa"/>
            <w:vAlign w:val="center"/>
            <w:hideMark/>
          </w:tcPr>
          <w:p w14:paraId="5E517D71" w14:textId="77777777" w:rsidR="00BD3A2E" w:rsidRPr="00BD3A2E" w:rsidRDefault="00BD3A2E"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Tecnologías de la Información y Comunicaciones</w:t>
            </w:r>
          </w:p>
        </w:tc>
        <w:tc>
          <w:tcPr>
            <w:tcW w:w="1884" w:type="dxa"/>
            <w:vAlign w:val="center"/>
            <w:hideMark/>
          </w:tcPr>
          <w:p w14:paraId="77464106" w14:textId="77777777" w:rsidR="00BD3A2E" w:rsidRPr="00BD3A2E" w:rsidRDefault="00BD3A2E"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Debido a las herramientas que se han desarrollado para agilizar el monitoreo de los geoservicios se logró ampliar la meta del cuatrienio 2018-2022 del Plan Nacional de Desarrollo de 250 geoservicios publicados y disponibles a 500 geoservicios publicados y disponibles en el Portal Geográfico Nacional – PGN</w:t>
            </w:r>
          </w:p>
        </w:tc>
      </w:tr>
      <w:tr w:rsidR="00BD3A2E" w:rsidRPr="00BD3A2E" w14:paraId="6DD885A5" w14:textId="77777777" w:rsidTr="00BD3A2E">
        <w:trPr>
          <w:trHeight w:val="558"/>
        </w:trPr>
        <w:tc>
          <w:tcPr>
            <w:cnfStyle w:val="001000000000" w:firstRow="0" w:lastRow="0" w:firstColumn="1" w:lastColumn="0" w:oddVBand="0" w:evenVBand="0" w:oddHBand="0" w:evenHBand="0" w:firstRowFirstColumn="0" w:firstRowLastColumn="0" w:lastRowFirstColumn="0" w:lastRowLastColumn="0"/>
            <w:tcW w:w="1701" w:type="dxa"/>
            <w:vAlign w:val="center"/>
            <w:hideMark/>
          </w:tcPr>
          <w:p w14:paraId="6AA99E03" w14:textId="77777777" w:rsidR="00BD3A2E" w:rsidRPr="00BD3A2E" w:rsidRDefault="00BD3A2E" w:rsidP="00C72779">
            <w:pPr>
              <w:suppressAutoHyphens w:val="0"/>
              <w:jc w:val="center"/>
              <w:rPr>
                <w:rFonts w:cs="Arial"/>
                <w:b w:val="0"/>
                <w:bCs w:val="0"/>
                <w:color w:val="000000"/>
                <w:sz w:val="12"/>
                <w:szCs w:val="12"/>
                <w:lang w:val="es-CO" w:eastAsia="es-CO"/>
              </w:rPr>
            </w:pPr>
            <w:r w:rsidRPr="00BD3A2E">
              <w:rPr>
                <w:rFonts w:cs="Arial"/>
                <w:color w:val="000000"/>
                <w:sz w:val="12"/>
                <w:szCs w:val="12"/>
                <w:lang w:val="es-CO" w:eastAsia="es-CO"/>
              </w:rPr>
              <w:t xml:space="preserve">Porcentaje de implementación del programa marco de operación del sistema de información Geográfico -SIG </w:t>
            </w:r>
            <w:r w:rsidRPr="00BD3A2E">
              <w:rPr>
                <w:rFonts w:cs="Arial"/>
                <w:color w:val="000000"/>
                <w:sz w:val="12"/>
                <w:szCs w:val="12"/>
                <w:lang w:val="es-CO" w:eastAsia="es-CO"/>
              </w:rPr>
              <w:br/>
              <w:t>(SIG Indígena)</w:t>
            </w:r>
          </w:p>
        </w:tc>
        <w:tc>
          <w:tcPr>
            <w:tcW w:w="567" w:type="dxa"/>
            <w:noWrap/>
            <w:vAlign w:val="center"/>
            <w:hideMark/>
          </w:tcPr>
          <w:p w14:paraId="081FB687"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w:t>
            </w:r>
          </w:p>
        </w:tc>
        <w:tc>
          <w:tcPr>
            <w:tcW w:w="709" w:type="dxa"/>
            <w:noWrap/>
            <w:vAlign w:val="center"/>
            <w:hideMark/>
          </w:tcPr>
          <w:p w14:paraId="43AA1FED"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30%</w:t>
            </w:r>
          </w:p>
        </w:tc>
        <w:tc>
          <w:tcPr>
            <w:tcW w:w="709" w:type="dxa"/>
            <w:noWrap/>
            <w:vAlign w:val="center"/>
            <w:hideMark/>
          </w:tcPr>
          <w:p w14:paraId="70979A7D"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30%</w:t>
            </w:r>
          </w:p>
        </w:tc>
        <w:tc>
          <w:tcPr>
            <w:tcW w:w="567" w:type="dxa"/>
            <w:noWrap/>
            <w:vAlign w:val="center"/>
            <w:hideMark/>
          </w:tcPr>
          <w:p w14:paraId="030EB3FC"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30%</w:t>
            </w:r>
          </w:p>
        </w:tc>
        <w:tc>
          <w:tcPr>
            <w:tcW w:w="709" w:type="dxa"/>
            <w:noWrap/>
            <w:vAlign w:val="center"/>
            <w:hideMark/>
          </w:tcPr>
          <w:p w14:paraId="661B86B6"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w:t>
            </w:r>
          </w:p>
        </w:tc>
        <w:tc>
          <w:tcPr>
            <w:tcW w:w="708" w:type="dxa"/>
            <w:noWrap/>
            <w:vAlign w:val="center"/>
            <w:hideMark/>
          </w:tcPr>
          <w:p w14:paraId="490BEEDA"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30%</w:t>
            </w:r>
          </w:p>
        </w:tc>
        <w:tc>
          <w:tcPr>
            <w:tcW w:w="709" w:type="dxa"/>
            <w:noWrap/>
            <w:vAlign w:val="center"/>
            <w:hideMark/>
          </w:tcPr>
          <w:p w14:paraId="69D6FFE7" w14:textId="020A3CAE"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24,4%</w:t>
            </w:r>
          </w:p>
        </w:tc>
        <w:tc>
          <w:tcPr>
            <w:tcW w:w="851" w:type="dxa"/>
            <w:noWrap/>
            <w:vAlign w:val="center"/>
            <w:hideMark/>
          </w:tcPr>
          <w:p w14:paraId="78243188"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100%</w:t>
            </w:r>
          </w:p>
        </w:tc>
        <w:tc>
          <w:tcPr>
            <w:tcW w:w="850" w:type="dxa"/>
            <w:noWrap/>
            <w:vAlign w:val="center"/>
            <w:hideMark/>
          </w:tcPr>
          <w:p w14:paraId="1F8D2ED6"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64%</w:t>
            </w:r>
          </w:p>
        </w:tc>
        <w:tc>
          <w:tcPr>
            <w:tcW w:w="1134" w:type="dxa"/>
            <w:noWrap/>
            <w:vAlign w:val="center"/>
            <w:hideMark/>
          </w:tcPr>
          <w:p w14:paraId="064A881C"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64%</w:t>
            </w:r>
          </w:p>
        </w:tc>
        <w:tc>
          <w:tcPr>
            <w:tcW w:w="2139" w:type="dxa"/>
            <w:vAlign w:val="center"/>
            <w:hideMark/>
          </w:tcPr>
          <w:p w14:paraId="74544EC5"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Para el cumplimiento de este indicador se están realizando las siguientes acciones:</w:t>
            </w:r>
            <w:r w:rsidRPr="00BD3A2E">
              <w:rPr>
                <w:rFonts w:cs="Arial"/>
                <w:color w:val="000000"/>
                <w:sz w:val="12"/>
                <w:szCs w:val="12"/>
                <w:lang w:val="es-CO" w:eastAsia="es-CO"/>
              </w:rPr>
              <w:br/>
            </w:r>
            <w:r w:rsidRPr="00BD3A2E">
              <w:rPr>
                <w:rFonts w:cs="Arial"/>
                <w:color w:val="000000"/>
                <w:sz w:val="12"/>
                <w:szCs w:val="12"/>
                <w:lang w:val="es-CO" w:eastAsia="es-CO"/>
              </w:rPr>
              <w:br/>
              <w:t>1. Realizar el diseño de las nuevas funcionalidades identificadas en la etapa de análisis para el SIG Indígenas.</w:t>
            </w:r>
            <w:r w:rsidRPr="00BD3A2E">
              <w:rPr>
                <w:rFonts w:cs="Arial"/>
                <w:color w:val="000000"/>
                <w:sz w:val="12"/>
                <w:szCs w:val="12"/>
                <w:lang w:val="es-CO" w:eastAsia="es-CO"/>
              </w:rPr>
              <w:br/>
            </w:r>
            <w:r w:rsidRPr="00BD3A2E">
              <w:rPr>
                <w:rFonts w:cs="Arial"/>
                <w:color w:val="000000"/>
                <w:sz w:val="12"/>
                <w:szCs w:val="12"/>
                <w:lang w:val="es-CO" w:eastAsia="es-CO"/>
              </w:rPr>
              <w:br/>
              <w:t>2. Realizar el desarrollo de las nuevas funcionalidades para el SIG Indígena).</w:t>
            </w:r>
            <w:r w:rsidRPr="00BD3A2E">
              <w:rPr>
                <w:rFonts w:cs="Arial"/>
                <w:color w:val="000000"/>
                <w:sz w:val="12"/>
                <w:szCs w:val="12"/>
                <w:lang w:val="es-CO" w:eastAsia="es-CO"/>
              </w:rPr>
              <w:br/>
            </w:r>
            <w:r w:rsidRPr="00BD3A2E">
              <w:rPr>
                <w:rFonts w:cs="Arial"/>
                <w:color w:val="000000"/>
                <w:sz w:val="12"/>
                <w:szCs w:val="12"/>
                <w:lang w:val="es-CO" w:eastAsia="es-CO"/>
              </w:rPr>
              <w:br/>
              <w:t>3. Realizar la instalación de las nuevas funcionalidades en el servidor de producción del SIG Indígena.</w:t>
            </w:r>
            <w:r w:rsidRPr="00BD3A2E">
              <w:rPr>
                <w:rFonts w:cs="Arial"/>
                <w:color w:val="000000"/>
                <w:sz w:val="12"/>
                <w:szCs w:val="12"/>
                <w:lang w:val="es-CO" w:eastAsia="es-CO"/>
              </w:rPr>
              <w:br/>
            </w:r>
            <w:r w:rsidRPr="00BD3A2E">
              <w:rPr>
                <w:rFonts w:cs="Arial"/>
                <w:color w:val="000000"/>
                <w:sz w:val="12"/>
                <w:szCs w:val="12"/>
                <w:lang w:val="es-CO" w:eastAsia="es-CO"/>
              </w:rPr>
              <w:br/>
              <w:t>4. Realizar actividades de entrenamiento para la apropiación del SIG_Indigena en las comunidades indígenas.</w:t>
            </w:r>
            <w:r w:rsidRPr="00BD3A2E">
              <w:rPr>
                <w:rFonts w:cs="Arial"/>
                <w:color w:val="000000"/>
                <w:sz w:val="12"/>
                <w:szCs w:val="12"/>
                <w:lang w:val="es-CO" w:eastAsia="es-CO"/>
              </w:rPr>
              <w:br/>
            </w:r>
            <w:r w:rsidRPr="00BD3A2E">
              <w:rPr>
                <w:rFonts w:cs="Arial"/>
                <w:color w:val="000000"/>
                <w:sz w:val="12"/>
                <w:szCs w:val="12"/>
                <w:lang w:val="es-CO" w:eastAsia="es-CO"/>
              </w:rPr>
              <w:br/>
              <w:t>5. Realizar soporte permanente al SIG-Indígenas para validación de su correcto funcionamiento.</w:t>
            </w:r>
          </w:p>
        </w:tc>
        <w:tc>
          <w:tcPr>
            <w:tcW w:w="1347" w:type="dxa"/>
            <w:vAlign w:val="center"/>
            <w:hideMark/>
          </w:tcPr>
          <w:p w14:paraId="615EC909" w14:textId="77777777" w:rsidR="00BD3A2E" w:rsidRPr="00BD3A2E" w:rsidRDefault="00BD3A2E"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Dirección de Investigación y Prospectiva</w:t>
            </w:r>
          </w:p>
        </w:tc>
        <w:tc>
          <w:tcPr>
            <w:tcW w:w="1884" w:type="dxa"/>
            <w:vAlign w:val="center"/>
            <w:hideMark/>
          </w:tcPr>
          <w:p w14:paraId="0C5346A6" w14:textId="77777777" w:rsidR="00BD3A2E" w:rsidRPr="00BD3A2E" w:rsidRDefault="00BD3A2E"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color w:val="000000"/>
                <w:sz w:val="12"/>
                <w:szCs w:val="12"/>
                <w:lang w:val="es-CO" w:eastAsia="es-CO"/>
              </w:rPr>
            </w:pPr>
            <w:r w:rsidRPr="00BD3A2E">
              <w:rPr>
                <w:rFonts w:cs="Arial"/>
                <w:color w:val="000000"/>
                <w:sz w:val="12"/>
                <w:szCs w:val="12"/>
                <w:lang w:val="es-CO" w:eastAsia="es-CO"/>
              </w:rPr>
              <w:t>Indicador que hace parte de los compromisos con los grupos étnicos en el marco del Plan Nacional de Desarrollo.</w:t>
            </w:r>
          </w:p>
        </w:tc>
      </w:tr>
    </w:tbl>
    <w:p w14:paraId="07BA70CF" w14:textId="3CC84D32" w:rsidR="005D698A" w:rsidRPr="00AE7239" w:rsidRDefault="00AE7239" w:rsidP="00C72779">
      <w:pPr>
        <w:jc w:val="center"/>
        <w:rPr>
          <w:rFonts w:eastAsia="Calibri" w:cs="Arial"/>
          <w:b/>
          <w:sz w:val="16"/>
        </w:rPr>
      </w:pPr>
      <w:r w:rsidRPr="00AE7239">
        <w:rPr>
          <w:rFonts w:eastAsia="Calibri" w:cs="Arial"/>
          <w:b/>
          <w:sz w:val="16"/>
        </w:rPr>
        <w:t>Fuente: Propia IGAC</w:t>
      </w:r>
    </w:p>
    <w:p w14:paraId="16867842" w14:textId="77777777" w:rsidR="005D698A" w:rsidRDefault="005D698A" w:rsidP="00C72779">
      <w:pPr>
        <w:jc w:val="both"/>
        <w:rPr>
          <w:rFonts w:ascii="Calibri" w:eastAsia="Calibri" w:hAnsi="Calibri" w:cs="Calibri"/>
        </w:rPr>
      </w:pPr>
    </w:p>
    <w:p w14:paraId="1EE2D4A7" w14:textId="15E0979A" w:rsidR="005D698A" w:rsidRDefault="005D698A" w:rsidP="00C72779">
      <w:pPr>
        <w:jc w:val="both"/>
        <w:rPr>
          <w:rFonts w:ascii="Calibri" w:eastAsia="Calibri" w:hAnsi="Calibri" w:cs="Calibri"/>
        </w:rPr>
      </w:pPr>
    </w:p>
    <w:p w14:paraId="36CFC431" w14:textId="77777777" w:rsidR="00067275" w:rsidRDefault="00067275" w:rsidP="00C72779">
      <w:pPr>
        <w:jc w:val="both"/>
        <w:rPr>
          <w:rFonts w:ascii="Calibri" w:eastAsia="Calibri" w:hAnsi="Calibri" w:cs="Calibri"/>
        </w:rPr>
        <w:sectPr w:rsidR="00067275" w:rsidSect="00BD2A4D">
          <w:footnotePr>
            <w:pos w:val="beneathText"/>
          </w:footnotePr>
          <w:pgSz w:w="15840" w:h="12240" w:orient="landscape"/>
          <w:pgMar w:top="1440" w:right="1440" w:bottom="1440" w:left="1440" w:header="0" w:footer="335" w:gutter="0"/>
          <w:cols w:space="720"/>
          <w:docGrid w:linePitch="360"/>
        </w:sectPr>
      </w:pPr>
    </w:p>
    <w:p w14:paraId="6E116573" w14:textId="7DED86EF" w:rsidR="033E4803" w:rsidRPr="002B2367" w:rsidRDefault="002B2367" w:rsidP="000A20EE">
      <w:pPr>
        <w:pStyle w:val="Prrafodelista"/>
        <w:numPr>
          <w:ilvl w:val="1"/>
          <w:numId w:val="22"/>
        </w:numPr>
        <w:spacing w:after="160"/>
        <w:rPr>
          <w:rFonts w:cs="Arial"/>
          <w:b/>
          <w:sz w:val="22"/>
          <w:szCs w:val="22"/>
          <w:lang w:eastAsia="es-CO"/>
        </w:rPr>
      </w:pPr>
      <w:r w:rsidRPr="002B2367">
        <w:rPr>
          <w:rFonts w:cs="Arial"/>
          <w:b/>
          <w:sz w:val="22"/>
          <w:szCs w:val="22"/>
          <w:lang w:eastAsia="es-CO"/>
        </w:rPr>
        <w:lastRenderedPageBreak/>
        <w:t>METAS PROYECTOS DE INVERSIÓN</w:t>
      </w:r>
    </w:p>
    <w:p w14:paraId="4A97A5E9" w14:textId="7C457FE3" w:rsidR="00C23D09" w:rsidRDefault="2F6F5C38" w:rsidP="00C72779">
      <w:pPr>
        <w:jc w:val="both"/>
        <w:rPr>
          <w:rFonts w:cs="Arial"/>
          <w:sz w:val="22"/>
          <w:szCs w:val="22"/>
          <w:lang w:eastAsia="es-CO"/>
        </w:rPr>
      </w:pPr>
      <w:r w:rsidRPr="033E4803">
        <w:rPr>
          <w:rFonts w:cs="Arial"/>
          <w:sz w:val="22"/>
          <w:szCs w:val="22"/>
          <w:lang w:eastAsia="es-CO"/>
        </w:rPr>
        <w:t>El IGAC cuenta con nueve proyectos de inversión, el avance de las metas asignadas para la vigencia se reporta de manera mensual a través del sistema SPI (Seguimiento de Proyectos de Inversión) del DNP. A 31 de octubre de 2021 se presenta el siguiente avance:</w:t>
      </w:r>
    </w:p>
    <w:p w14:paraId="11482127" w14:textId="77777777" w:rsidR="00C23D09" w:rsidRPr="002D2F11" w:rsidRDefault="00C23D09" w:rsidP="00C23D09">
      <w:pPr>
        <w:pStyle w:val="Sinespaciado"/>
      </w:pPr>
    </w:p>
    <w:p w14:paraId="0AC4FF3E" w14:textId="64BB8225" w:rsidR="00DF73D4" w:rsidRPr="005F1986" w:rsidRDefault="00C23D09" w:rsidP="00C23D09">
      <w:pPr>
        <w:pStyle w:val="Descripcin"/>
        <w:keepNext/>
        <w:jc w:val="center"/>
        <w:rPr>
          <w:rFonts w:ascii="Arial" w:hAnsi="Arial" w:cs="Arial"/>
          <w:b/>
          <w:i w:val="0"/>
          <w:color w:val="auto"/>
          <w:sz w:val="16"/>
          <w:szCs w:val="16"/>
        </w:rPr>
      </w:pPr>
      <w:bookmarkStart w:id="9" w:name="_Toc88677074"/>
      <w:r w:rsidRPr="005F1986">
        <w:rPr>
          <w:rFonts w:ascii="Arial" w:hAnsi="Arial" w:cs="Arial"/>
          <w:b/>
          <w:i w:val="0"/>
          <w:color w:val="auto"/>
          <w:sz w:val="16"/>
          <w:szCs w:val="16"/>
        </w:rPr>
        <w:t xml:space="preserve">Tabla </w:t>
      </w:r>
      <w:r w:rsidRPr="005F1986">
        <w:rPr>
          <w:rFonts w:ascii="Arial" w:hAnsi="Arial" w:cs="Arial"/>
          <w:b/>
          <w:i w:val="0"/>
          <w:color w:val="auto"/>
          <w:sz w:val="16"/>
          <w:szCs w:val="16"/>
        </w:rPr>
        <w:fldChar w:fldCharType="begin"/>
      </w:r>
      <w:r w:rsidRPr="005F1986">
        <w:rPr>
          <w:rFonts w:ascii="Arial" w:hAnsi="Arial" w:cs="Arial"/>
          <w:b/>
          <w:i w:val="0"/>
          <w:color w:val="auto"/>
          <w:sz w:val="16"/>
          <w:szCs w:val="16"/>
        </w:rPr>
        <w:instrText xml:space="preserve"> SEQ Tabla \* ARABIC </w:instrText>
      </w:r>
      <w:r w:rsidRPr="005F1986">
        <w:rPr>
          <w:rFonts w:ascii="Arial" w:hAnsi="Arial" w:cs="Arial"/>
          <w:b/>
          <w:i w:val="0"/>
          <w:color w:val="auto"/>
          <w:sz w:val="16"/>
          <w:szCs w:val="16"/>
        </w:rPr>
        <w:fldChar w:fldCharType="separate"/>
      </w:r>
      <w:r w:rsidR="004D4C6A">
        <w:rPr>
          <w:rFonts w:ascii="Arial" w:hAnsi="Arial" w:cs="Arial"/>
          <w:b/>
          <w:i w:val="0"/>
          <w:noProof/>
          <w:color w:val="auto"/>
          <w:sz w:val="16"/>
          <w:szCs w:val="16"/>
        </w:rPr>
        <w:t>2</w:t>
      </w:r>
      <w:r w:rsidRPr="005F1986">
        <w:rPr>
          <w:rFonts w:ascii="Arial" w:hAnsi="Arial" w:cs="Arial"/>
          <w:b/>
          <w:i w:val="0"/>
          <w:color w:val="auto"/>
          <w:sz w:val="16"/>
          <w:szCs w:val="16"/>
        </w:rPr>
        <w:fldChar w:fldCharType="end"/>
      </w:r>
      <w:r w:rsidR="000041C7">
        <w:rPr>
          <w:rFonts w:ascii="Arial" w:hAnsi="Arial" w:cs="Arial"/>
          <w:b/>
          <w:i w:val="0"/>
          <w:color w:val="auto"/>
          <w:sz w:val="16"/>
          <w:szCs w:val="16"/>
        </w:rPr>
        <w:t>.</w:t>
      </w:r>
      <w:r w:rsidRPr="005F1986">
        <w:rPr>
          <w:rFonts w:ascii="Arial" w:hAnsi="Arial" w:cs="Arial"/>
          <w:b/>
          <w:i w:val="0"/>
          <w:color w:val="auto"/>
          <w:sz w:val="16"/>
          <w:szCs w:val="16"/>
        </w:rPr>
        <w:t xml:space="preserve"> Avance Metas de Proyectos de Inversión</w:t>
      </w:r>
      <w:bookmarkEnd w:id="9"/>
    </w:p>
    <w:tbl>
      <w:tblPr>
        <w:tblStyle w:val="Tabladecuadrcula4-nfasis1"/>
        <w:tblW w:w="10627" w:type="dxa"/>
        <w:jc w:val="center"/>
        <w:tblLook w:val="04A0" w:firstRow="1" w:lastRow="0" w:firstColumn="1" w:lastColumn="0" w:noHBand="0" w:noVBand="1"/>
      </w:tblPr>
      <w:tblGrid>
        <w:gridCol w:w="1282"/>
        <w:gridCol w:w="1197"/>
        <w:gridCol w:w="1166"/>
        <w:gridCol w:w="839"/>
        <w:gridCol w:w="1002"/>
        <w:gridCol w:w="932"/>
        <w:gridCol w:w="4209"/>
      </w:tblGrid>
      <w:tr w:rsidR="1D230DC4" w:rsidRPr="00C23D09" w14:paraId="35FD26E9" w14:textId="77777777" w:rsidTr="00F76E97">
        <w:trPr>
          <w:cnfStyle w:val="100000000000" w:firstRow="1" w:lastRow="0" w:firstColumn="0" w:lastColumn="0" w:oddVBand="0" w:evenVBand="0" w:oddHBand="0" w:evenHBand="0" w:firstRowFirstColumn="0" w:firstRowLastColumn="0" w:lastRowFirstColumn="0" w:lastRowLastColumn="0"/>
          <w:trHeight w:val="574"/>
          <w:tblHeader/>
          <w:jc w:val="center"/>
        </w:trPr>
        <w:tc>
          <w:tcPr>
            <w:cnfStyle w:val="001000000000" w:firstRow="0" w:lastRow="0" w:firstColumn="1" w:lastColumn="0" w:oddVBand="0" w:evenVBand="0" w:oddHBand="0" w:evenHBand="0" w:firstRowFirstColumn="0" w:firstRowLastColumn="0" w:lastRowFirstColumn="0" w:lastRowLastColumn="0"/>
            <w:tcW w:w="1282" w:type="dxa"/>
            <w:vAlign w:val="center"/>
          </w:tcPr>
          <w:p w14:paraId="6B979AB1" w14:textId="77777777" w:rsidR="1D230DC4" w:rsidRPr="00C23D09" w:rsidRDefault="1D230DC4" w:rsidP="00C72779">
            <w:pPr>
              <w:jc w:val="center"/>
              <w:rPr>
                <w:sz w:val="14"/>
                <w:szCs w:val="16"/>
                <w:lang w:eastAsia="es-CO"/>
              </w:rPr>
            </w:pPr>
            <w:r w:rsidRPr="00C23D09">
              <w:rPr>
                <w:rFonts w:cs="Arial"/>
                <w:sz w:val="14"/>
                <w:szCs w:val="16"/>
                <w:lang w:eastAsia="es-CO"/>
              </w:rPr>
              <w:t>Proyecto</w:t>
            </w:r>
          </w:p>
        </w:tc>
        <w:tc>
          <w:tcPr>
            <w:tcW w:w="1197" w:type="dxa"/>
            <w:vAlign w:val="center"/>
          </w:tcPr>
          <w:p w14:paraId="78B61975"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sz w:val="14"/>
                <w:szCs w:val="16"/>
                <w:lang w:eastAsia="es-CO"/>
              </w:rPr>
            </w:pPr>
            <w:r w:rsidRPr="00C23D09">
              <w:rPr>
                <w:rFonts w:cs="Arial"/>
                <w:sz w:val="14"/>
                <w:szCs w:val="16"/>
                <w:lang w:eastAsia="es-CO"/>
              </w:rPr>
              <w:t>Producto</w:t>
            </w:r>
          </w:p>
        </w:tc>
        <w:tc>
          <w:tcPr>
            <w:tcW w:w="1166" w:type="dxa"/>
            <w:vAlign w:val="center"/>
          </w:tcPr>
          <w:p w14:paraId="2112960A"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Indicador</w:t>
            </w:r>
          </w:p>
        </w:tc>
        <w:tc>
          <w:tcPr>
            <w:tcW w:w="839" w:type="dxa"/>
            <w:vAlign w:val="center"/>
          </w:tcPr>
          <w:p w14:paraId="7B19CAC4"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sz w:val="14"/>
                <w:szCs w:val="16"/>
                <w:lang w:eastAsia="es-CO"/>
              </w:rPr>
            </w:pPr>
            <w:r w:rsidRPr="00C23D09">
              <w:rPr>
                <w:rFonts w:cs="Arial"/>
                <w:sz w:val="14"/>
                <w:szCs w:val="16"/>
                <w:lang w:eastAsia="es-CO"/>
              </w:rPr>
              <w:t>Meta</w:t>
            </w:r>
          </w:p>
        </w:tc>
        <w:tc>
          <w:tcPr>
            <w:tcW w:w="1002" w:type="dxa"/>
            <w:vAlign w:val="center"/>
          </w:tcPr>
          <w:p w14:paraId="168111D1"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sz w:val="14"/>
                <w:szCs w:val="16"/>
                <w:lang w:eastAsia="es-CO"/>
              </w:rPr>
            </w:pPr>
            <w:r w:rsidRPr="00C23D09">
              <w:rPr>
                <w:rFonts w:cs="Arial"/>
                <w:sz w:val="14"/>
                <w:szCs w:val="16"/>
                <w:lang w:eastAsia="es-CO"/>
              </w:rPr>
              <w:t>Avance cuantitativo</w:t>
            </w:r>
          </w:p>
        </w:tc>
        <w:tc>
          <w:tcPr>
            <w:tcW w:w="463" w:type="dxa"/>
            <w:vAlign w:val="center"/>
          </w:tcPr>
          <w:p w14:paraId="36D71A0F"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Porcentaje de avance</w:t>
            </w:r>
          </w:p>
        </w:tc>
        <w:tc>
          <w:tcPr>
            <w:tcW w:w="4678" w:type="dxa"/>
            <w:vAlign w:val="center"/>
          </w:tcPr>
          <w:p w14:paraId="6107B542" w14:textId="77777777" w:rsidR="1D230DC4" w:rsidRPr="00C23D09" w:rsidRDefault="1D230DC4" w:rsidP="00C72779">
            <w:pPr>
              <w:jc w:val="center"/>
              <w:cnfStyle w:val="100000000000" w:firstRow="1" w:lastRow="0" w:firstColumn="0" w:lastColumn="0" w:oddVBand="0" w:evenVBand="0" w:oddHBand="0" w:evenHBand="0" w:firstRowFirstColumn="0" w:firstRowLastColumn="0" w:lastRowFirstColumn="0" w:lastRowLastColumn="0"/>
              <w:rPr>
                <w:sz w:val="14"/>
                <w:szCs w:val="16"/>
                <w:lang w:eastAsia="es-CO"/>
              </w:rPr>
            </w:pPr>
            <w:r w:rsidRPr="00C23D09">
              <w:rPr>
                <w:rFonts w:cs="Arial"/>
                <w:sz w:val="14"/>
                <w:szCs w:val="16"/>
                <w:lang w:eastAsia="es-CO"/>
              </w:rPr>
              <w:t xml:space="preserve">Avance cualitativo </w:t>
            </w:r>
          </w:p>
        </w:tc>
      </w:tr>
      <w:tr w:rsidR="1D230DC4" w:rsidRPr="00C23D09" w14:paraId="466261BC" w14:textId="77777777" w:rsidTr="00F76E97">
        <w:trPr>
          <w:cnfStyle w:val="000000100000" w:firstRow="0" w:lastRow="0" w:firstColumn="0" w:lastColumn="0" w:oddVBand="0" w:evenVBand="0" w:oddHBand="1" w:evenHBand="0" w:firstRowFirstColumn="0" w:firstRowLastColumn="0" w:lastRowFirstColumn="0" w:lastRowLastColumn="0"/>
          <w:trHeight w:val="874"/>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3638BC7F"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Actualización y gestión catastral nacional</w:t>
            </w:r>
          </w:p>
        </w:tc>
        <w:tc>
          <w:tcPr>
            <w:tcW w:w="1197" w:type="dxa"/>
            <w:vMerge w:val="restart"/>
            <w:vAlign w:val="center"/>
          </w:tcPr>
          <w:p w14:paraId="2F7B1F94"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información catastral</w:t>
            </w:r>
          </w:p>
        </w:tc>
        <w:tc>
          <w:tcPr>
            <w:tcW w:w="1166" w:type="dxa"/>
            <w:vAlign w:val="center"/>
          </w:tcPr>
          <w:p w14:paraId="07523411"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 de Información predial actualizado</w:t>
            </w:r>
          </w:p>
        </w:tc>
        <w:tc>
          <w:tcPr>
            <w:tcW w:w="839" w:type="dxa"/>
            <w:vAlign w:val="center"/>
          </w:tcPr>
          <w:p w14:paraId="75D01166"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1002" w:type="dxa"/>
            <w:vAlign w:val="center"/>
          </w:tcPr>
          <w:p w14:paraId="605F7605"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3" w:type="dxa"/>
            <w:vAlign w:val="center"/>
          </w:tcPr>
          <w:p w14:paraId="0E578E0B"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78" w:type="dxa"/>
            <w:vAlign w:val="center"/>
          </w:tcPr>
          <w:p w14:paraId="1F394617"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Indicador de periodicidad de reporte anual.</w:t>
            </w:r>
          </w:p>
          <w:p w14:paraId="03633811"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p>
          <w:p w14:paraId="22FAD505"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El Avance este meta, depende del avance de las metas secundarias descritas a continuación, por tanto, su avance se reportará en enero de 2022. </w:t>
            </w:r>
          </w:p>
        </w:tc>
      </w:tr>
      <w:tr w:rsidR="1D230DC4" w:rsidRPr="00C23D09" w14:paraId="48EF14F8" w14:textId="77777777" w:rsidTr="00F76E97">
        <w:trPr>
          <w:trHeight w:val="686"/>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6A4497C4" w14:textId="77777777" w:rsidR="00CB3F22" w:rsidRPr="00C23D09" w:rsidRDefault="00CB3F22" w:rsidP="00C23D09">
            <w:pPr>
              <w:jc w:val="center"/>
              <w:rPr>
                <w:sz w:val="14"/>
              </w:rPr>
            </w:pPr>
          </w:p>
        </w:tc>
        <w:tc>
          <w:tcPr>
            <w:tcW w:w="1197" w:type="dxa"/>
            <w:vMerge/>
            <w:vAlign w:val="center"/>
          </w:tcPr>
          <w:p w14:paraId="5345C248" w14:textId="77777777" w:rsidR="00CB3F22" w:rsidRPr="00C23D09" w:rsidRDefault="00CB3F22" w:rsidP="00C23D09">
            <w:pPr>
              <w:jc w:val="center"/>
              <w:cnfStyle w:val="000000000000" w:firstRow="0" w:lastRow="0" w:firstColumn="0" w:lastColumn="0" w:oddVBand="0" w:evenVBand="0" w:oddHBand="0" w:evenHBand="0" w:firstRowFirstColumn="0" w:firstRowLastColumn="0" w:lastRowFirstColumn="0" w:lastRowLastColumn="0"/>
              <w:rPr>
                <w:sz w:val="14"/>
              </w:rPr>
            </w:pPr>
          </w:p>
        </w:tc>
        <w:tc>
          <w:tcPr>
            <w:tcW w:w="1166" w:type="dxa"/>
            <w:vAlign w:val="center"/>
          </w:tcPr>
          <w:p w14:paraId="5B73392C"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Predios actualizados catastralmente</w:t>
            </w:r>
          </w:p>
        </w:tc>
        <w:tc>
          <w:tcPr>
            <w:tcW w:w="839" w:type="dxa"/>
            <w:vAlign w:val="center"/>
          </w:tcPr>
          <w:p w14:paraId="5B1C219D"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271.836</w:t>
            </w:r>
          </w:p>
        </w:tc>
        <w:tc>
          <w:tcPr>
            <w:tcW w:w="1002" w:type="dxa"/>
            <w:vAlign w:val="center"/>
          </w:tcPr>
          <w:p w14:paraId="4B58694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3" w:type="dxa"/>
            <w:vAlign w:val="center"/>
          </w:tcPr>
          <w:p w14:paraId="3CECF7F7"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78" w:type="dxa"/>
            <w:vAlign w:val="center"/>
          </w:tcPr>
          <w:p w14:paraId="15E001DF"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Indicador de periodicidad de reporte anual.</w:t>
            </w:r>
          </w:p>
          <w:p w14:paraId="2BB75077"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p>
          <w:p w14:paraId="4E17F5E7"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El dato del área actualizada a 1 de enero de 2022 se obtendrá luego de finalizadas las actividades de conservación catastral de los corrientes y que entren en vigencia los procesos de actualización catastral con enfoque multipropósito, datos que serán reportados por el IGAC y los gestores catastrales.</w:t>
            </w:r>
          </w:p>
        </w:tc>
      </w:tr>
      <w:tr w:rsidR="1D230DC4" w:rsidRPr="00C23D09" w14:paraId="21071B40" w14:textId="77777777" w:rsidTr="00F76E97">
        <w:trPr>
          <w:cnfStyle w:val="000000100000" w:firstRow="0" w:lastRow="0" w:firstColumn="0" w:lastColumn="0" w:oddVBand="0" w:evenVBand="0" w:oddHBand="1" w:evenHBand="0" w:firstRowFirstColumn="0" w:firstRowLastColumn="0" w:lastRowFirstColumn="0" w:lastRowLastColumn="0"/>
          <w:trHeight w:val="698"/>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23F089EC" w14:textId="77777777" w:rsidR="00CB3F22" w:rsidRPr="00C23D09" w:rsidRDefault="00CB3F22" w:rsidP="00C23D09">
            <w:pPr>
              <w:jc w:val="center"/>
              <w:rPr>
                <w:sz w:val="14"/>
              </w:rPr>
            </w:pPr>
          </w:p>
        </w:tc>
        <w:tc>
          <w:tcPr>
            <w:tcW w:w="1197" w:type="dxa"/>
            <w:vMerge/>
            <w:vAlign w:val="center"/>
          </w:tcPr>
          <w:p w14:paraId="5070D86B" w14:textId="77777777" w:rsidR="00CB3F22" w:rsidRPr="00C23D09" w:rsidRDefault="00CB3F22" w:rsidP="00C23D09">
            <w:pPr>
              <w:jc w:val="center"/>
              <w:cnfStyle w:val="000000100000" w:firstRow="0" w:lastRow="0" w:firstColumn="0" w:lastColumn="0" w:oddVBand="0" w:evenVBand="0" w:oddHBand="1" w:evenHBand="0" w:firstRowFirstColumn="0" w:firstRowLastColumn="0" w:lastRowFirstColumn="0" w:lastRowLastColumn="0"/>
              <w:rPr>
                <w:sz w:val="14"/>
              </w:rPr>
            </w:pPr>
          </w:p>
        </w:tc>
        <w:tc>
          <w:tcPr>
            <w:tcW w:w="1166" w:type="dxa"/>
            <w:vAlign w:val="center"/>
          </w:tcPr>
          <w:p w14:paraId="080CAEF5"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Mutaciones realizadas</w:t>
            </w:r>
          </w:p>
        </w:tc>
        <w:tc>
          <w:tcPr>
            <w:tcW w:w="839" w:type="dxa"/>
            <w:vAlign w:val="center"/>
          </w:tcPr>
          <w:p w14:paraId="0B3EAF04"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448.209</w:t>
            </w:r>
          </w:p>
        </w:tc>
        <w:tc>
          <w:tcPr>
            <w:tcW w:w="1002" w:type="dxa"/>
            <w:vAlign w:val="center"/>
          </w:tcPr>
          <w:p w14:paraId="2F28311E"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313.971</w:t>
            </w:r>
          </w:p>
        </w:tc>
        <w:tc>
          <w:tcPr>
            <w:tcW w:w="463" w:type="dxa"/>
            <w:vAlign w:val="center"/>
          </w:tcPr>
          <w:p w14:paraId="38AD8E4B"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70%</w:t>
            </w:r>
          </w:p>
        </w:tc>
        <w:tc>
          <w:tcPr>
            <w:tcW w:w="4678" w:type="dxa"/>
            <w:vAlign w:val="center"/>
          </w:tcPr>
          <w:p w14:paraId="2D41D256"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 octubre se realizaron 27.501 trámites de conservación, para un total acumulado de 313.971 trámites, que corresponden al 70% de la meta anual.</w:t>
            </w:r>
          </w:p>
        </w:tc>
      </w:tr>
      <w:tr w:rsidR="1D230DC4" w:rsidRPr="00C23D09" w14:paraId="62974B4D" w14:textId="77777777" w:rsidTr="00F76E97">
        <w:trPr>
          <w:trHeight w:val="708"/>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15EB2048" w14:textId="77777777" w:rsidR="00CB3F22" w:rsidRPr="00C23D09" w:rsidRDefault="00CB3F22" w:rsidP="00C23D09">
            <w:pPr>
              <w:jc w:val="center"/>
              <w:rPr>
                <w:sz w:val="14"/>
              </w:rPr>
            </w:pPr>
          </w:p>
        </w:tc>
        <w:tc>
          <w:tcPr>
            <w:tcW w:w="1197" w:type="dxa"/>
            <w:vMerge/>
            <w:vAlign w:val="center"/>
          </w:tcPr>
          <w:p w14:paraId="1AB56BC4" w14:textId="77777777" w:rsidR="00CB3F22" w:rsidRPr="00C23D09" w:rsidRDefault="00CB3F22" w:rsidP="00C23D09">
            <w:pPr>
              <w:jc w:val="center"/>
              <w:cnfStyle w:val="000000000000" w:firstRow="0" w:lastRow="0" w:firstColumn="0" w:lastColumn="0" w:oddVBand="0" w:evenVBand="0" w:oddHBand="0" w:evenHBand="0" w:firstRowFirstColumn="0" w:firstRowLastColumn="0" w:lastRowFirstColumn="0" w:lastRowLastColumn="0"/>
              <w:rPr>
                <w:sz w:val="14"/>
              </w:rPr>
            </w:pPr>
          </w:p>
        </w:tc>
        <w:tc>
          <w:tcPr>
            <w:tcW w:w="1166" w:type="dxa"/>
            <w:vAlign w:val="center"/>
          </w:tcPr>
          <w:p w14:paraId="286A4402"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Solicitudes atendidas</w:t>
            </w:r>
          </w:p>
        </w:tc>
        <w:tc>
          <w:tcPr>
            <w:tcW w:w="839" w:type="dxa"/>
            <w:vAlign w:val="center"/>
          </w:tcPr>
          <w:p w14:paraId="0745CF8F"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85%</w:t>
            </w:r>
          </w:p>
        </w:tc>
        <w:tc>
          <w:tcPr>
            <w:tcW w:w="1002" w:type="dxa"/>
            <w:vAlign w:val="center"/>
          </w:tcPr>
          <w:p w14:paraId="46290DD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85%</w:t>
            </w:r>
          </w:p>
        </w:tc>
        <w:tc>
          <w:tcPr>
            <w:tcW w:w="463" w:type="dxa"/>
            <w:vAlign w:val="center"/>
          </w:tcPr>
          <w:p w14:paraId="1A6D6275"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76EEA333"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A octubre se han recibido 4.930 requerimientos y se han atendido 4.195, incluye solicitudes de información etapa administrativa y judicial, suspensión de predios y solicitud de peritajes en etapa judicial. </w:t>
            </w:r>
          </w:p>
        </w:tc>
      </w:tr>
      <w:tr w:rsidR="1D230DC4" w:rsidRPr="00C23D09" w14:paraId="2E81992F" w14:textId="77777777" w:rsidTr="00F76E97">
        <w:trPr>
          <w:cnfStyle w:val="000000100000" w:firstRow="0" w:lastRow="0" w:firstColumn="0" w:lastColumn="0" w:oddVBand="0" w:evenVBand="0" w:oddHBand="1" w:evenHBand="0" w:firstRowFirstColumn="0" w:firstRowLastColumn="0" w:lastRowFirstColumn="0" w:lastRowLastColumn="0"/>
          <w:trHeight w:val="708"/>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27D04311" w14:textId="77777777" w:rsidR="00CB3F22" w:rsidRPr="00C23D09" w:rsidRDefault="00CB3F22" w:rsidP="00C23D09">
            <w:pPr>
              <w:jc w:val="center"/>
              <w:rPr>
                <w:sz w:val="14"/>
              </w:rPr>
            </w:pPr>
          </w:p>
        </w:tc>
        <w:tc>
          <w:tcPr>
            <w:tcW w:w="1197" w:type="dxa"/>
            <w:vAlign w:val="center"/>
          </w:tcPr>
          <w:p w14:paraId="621E2A86" w14:textId="629CBF4E"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avalúos</w:t>
            </w:r>
          </w:p>
        </w:tc>
        <w:tc>
          <w:tcPr>
            <w:tcW w:w="1166" w:type="dxa"/>
            <w:vAlign w:val="center"/>
          </w:tcPr>
          <w:p w14:paraId="2B555BB0"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Avalúos realizados</w:t>
            </w:r>
          </w:p>
        </w:tc>
        <w:tc>
          <w:tcPr>
            <w:tcW w:w="839" w:type="dxa"/>
            <w:vAlign w:val="center"/>
          </w:tcPr>
          <w:p w14:paraId="53D3DA65"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6.991</w:t>
            </w:r>
          </w:p>
        </w:tc>
        <w:tc>
          <w:tcPr>
            <w:tcW w:w="1002" w:type="dxa"/>
            <w:vAlign w:val="center"/>
          </w:tcPr>
          <w:p w14:paraId="5D797F90"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5.715</w:t>
            </w:r>
          </w:p>
        </w:tc>
        <w:tc>
          <w:tcPr>
            <w:tcW w:w="463" w:type="dxa"/>
            <w:vAlign w:val="center"/>
          </w:tcPr>
          <w:p w14:paraId="362CFBC6"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81,75%</w:t>
            </w:r>
          </w:p>
        </w:tc>
        <w:tc>
          <w:tcPr>
            <w:tcW w:w="4678" w:type="dxa"/>
            <w:vAlign w:val="center"/>
          </w:tcPr>
          <w:p w14:paraId="23550A52"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En IVP se hizo entrega de la información de las 22 ciudades (4.921 puntos) al DANE. Información digital validada por la entidad solicitante. Se entregaron 64 avalúos comerciales: Sede Central(41), Boyacá(7), Córdoba(4), Cauca(3), Nariño(2), Cesar(2), Bolívar(2), Risaralda(1), Caquetá(1) y Valle del Cauca(1)</w:t>
            </w:r>
          </w:p>
        </w:tc>
      </w:tr>
      <w:tr w:rsidR="1D230DC4" w:rsidRPr="00C23D09" w14:paraId="06179BFC"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3DD4B3DD"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Levantamiento, generación y actualización de la red geodésica y la cartografía básica a nivel Nacional</w:t>
            </w:r>
          </w:p>
        </w:tc>
        <w:tc>
          <w:tcPr>
            <w:tcW w:w="1197" w:type="dxa"/>
            <w:vAlign w:val="center"/>
          </w:tcPr>
          <w:p w14:paraId="1666AFF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Servicios de Información Geográfica, geodésica y cartográfica</w:t>
            </w:r>
          </w:p>
        </w:tc>
        <w:tc>
          <w:tcPr>
            <w:tcW w:w="1166" w:type="dxa"/>
            <w:vAlign w:val="center"/>
          </w:tcPr>
          <w:p w14:paraId="0A264981"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p>
          <w:p w14:paraId="3E1F6FB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Datos publicados de información geográfica, geodésica y cartográfica</w:t>
            </w:r>
          </w:p>
        </w:tc>
        <w:tc>
          <w:tcPr>
            <w:tcW w:w="839" w:type="dxa"/>
            <w:vAlign w:val="center"/>
          </w:tcPr>
          <w:p w14:paraId="76AD1FBB" w14:textId="3263F079"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4</w:t>
            </w:r>
          </w:p>
        </w:tc>
        <w:tc>
          <w:tcPr>
            <w:tcW w:w="1002" w:type="dxa"/>
            <w:vAlign w:val="center"/>
          </w:tcPr>
          <w:p w14:paraId="7B618BD3"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3,1</w:t>
            </w:r>
          </w:p>
        </w:tc>
        <w:tc>
          <w:tcPr>
            <w:tcW w:w="463" w:type="dxa"/>
            <w:vAlign w:val="center"/>
          </w:tcPr>
          <w:p w14:paraId="243AC423"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77,5%</w:t>
            </w:r>
          </w:p>
        </w:tc>
        <w:tc>
          <w:tcPr>
            <w:tcW w:w="4678" w:type="dxa"/>
            <w:vAlign w:val="center"/>
          </w:tcPr>
          <w:p w14:paraId="035A2F85"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Al mes de octubre, se realizaron reuniones para el análisis del documento "EVOLUCION DE LOS DEPARTAMENTOS DE LA REPUBLICA DE COLOMBIA A PARTIR DE 1819 HASTA 1940" determinando actividades para el diseño del StoryMap y búsqueda de los mapas que contiene el documento.</w:t>
            </w:r>
          </w:p>
        </w:tc>
      </w:tr>
      <w:tr w:rsidR="1D230DC4" w:rsidRPr="00C23D09" w14:paraId="0EE8B1F0"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4E61B801" w14:textId="77777777" w:rsidR="00CB3F22" w:rsidRPr="00C23D09" w:rsidRDefault="00CB3F22" w:rsidP="00C23D09">
            <w:pPr>
              <w:jc w:val="center"/>
              <w:rPr>
                <w:sz w:val="14"/>
              </w:rPr>
            </w:pPr>
          </w:p>
        </w:tc>
        <w:tc>
          <w:tcPr>
            <w:tcW w:w="1197" w:type="dxa"/>
            <w:vMerge w:val="restart"/>
            <w:vAlign w:val="center"/>
          </w:tcPr>
          <w:p w14:paraId="62736962"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Servicios de Información Geodésica actualizado</w:t>
            </w:r>
          </w:p>
        </w:tc>
        <w:tc>
          <w:tcPr>
            <w:tcW w:w="1166" w:type="dxa"/>
            <w:vAlign w:val="center"/>
          </w:tcPr>
          <w:p w14:paraId="54496F6A"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Sistemas de Información actualizados</w:t>
            </w:r>
          </w:p>
        </w:tc>
        <w:tc>
          <w:tcPr>
            <w:tcW w:w="839" w:type="dxa"/>
            <w:vAlign w:val="center"/>
          </w:tcPr>
          <w:p w14:paraId="44F4694B"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1002" w:type="dxa"/>
            <w:vAlign w:val="center"/>
          </w:tcPr>
          <w:p w14:paraId="17D3D8E2"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463" w:type="dxa"/>
            <w:vAlign w:val="center"/>
          </w:tcPr>
          <w:p w14:paraId="2EAD373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5F50EE49" w14:textId="7F4980CC" w:rsidR="1D230DC4" w:rsidRPr="00C23D09" w:rsidRDefault="77BFED40" w:rsidP="6C46B92D">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dispuso en ambiente de producción las 105 estaciones administradas por el Servicio Geológico Colombiano en la plataforma "Colombia en Mapas", facilitando el acceso a los datos de coordenadas a través de un único canal.</w:t>
            </w:r>
          </w:p>
        </w:tc>
      </w:tr>
      <w:tr w:rsidR="1D230DC4" w:rsidRPr="00C23D09" w14:paraId="185F37EB"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7135525C" w14:textId="77777777" w:rsidR="00CB3F22" w:rsidRPr="00C23D09" w:rsidRDefault="00CB3F22" w:rsidP="00C23D09">
            <w:pPr>
              <w:jc w:val="center"/>
              <w:rPr>
                <w:sz w:val="14"/>
              </w:rPr>
            </w:pPr>
          </w:p>
        </w:tc>
        <w:tc>
          <w:tcPr>
            <w:tcW w:w="1197" w:type="dxa"/>
            <w:vMerge/>
            <w:vAlign w:val="center"/>
          </w:tcPr>
          <w:p w14:paraId="6A527D06" w14:textId="77777777" w:rsidR="00CB3F22" w:rsidRPr="00C23D09" w:rsidRDefault="00CB3F22" w:rsidP="00C23D09">
            <w:pPr>
              <w:jc w:val="center"/>
              <w:cnfStyle w:val="000000000000" w:firstRow="0" w:lastRow="0" w:firstColumn="0" w:lastColumn="0" w:oddVBand="0" w:evenVBand="0" w:oddHBand="0" w:evenHBand="0" w:firstRowFirstColumn="0" w:firstRowLastColumn="0" w:lastRowFirstColumn="0" w:lastRowLastColumn="0"/>
              <w:rPr>
                <w:sz w:val="14"/>
              </w:rPr>
            </w:pPr>
          </w:p>
        </w:tc>
        <w:tc>
          <w:tcPr>
            <w:tcW w:w="1166" w:type="dxa"/>
            <w:vAlign w:val="center"/>
          </w:tcPr>
          <w:p w14:paraId="21A6C63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Puntos Geodésicos Materializados</w:t>
            </w:r>
          </w:p>
        </w:tc>
        <w:tc>
          <w:tcPr>
            <w:tcW w:w="839" w:type="dxa"/>
            <w:vAlign w:val="center"/>
          </w:tcPr>
          <w:p w14:paraId="6340527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w:t>
            </w:r>
          </w:p>
        </w:tc>
        <w:tc>
          <w:tcPr>
            <w:tcW w:w="1002" w:type="dxa"/>
            <w:vAlign w:val="center"/>
          </w:tcPr>
          <w:p w14:paraId="7F7FB1D4"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w:t>
            </w:r>
          </w:p>
        </w:tc>
        <w:tc>
          <w:tcPr>
            <w:tcW w:w="463" w:type="dxa"/>
            <w:vAlign w:val="center"/>
          </w:tcPr>
          <w:p w14:paraId="15D70B9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04002827" w14:textId="2150BAA1" w:rsidR="1D230DC4" w:rsidRPr="00C23D09" w:rsidRDefault="200EC18D" w:rsidP="6C46B92D">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realizó el cálculo y rastreo de los puntos geodésicos en el municipio de Arauquita (Arauca), los cuales utilizaron como base las estaciones materializadas durante el presente año, logrando vincular 10 vértices a la red geodésica pasiva</w:t>
            </w:r>
            <w:r w:rsidR="3FBB1B0E" w:rsidRPr="00C23D09">
              <w:rPr>
                <w:rFonts w:cs="Arial"/>
                <w:color w:val="000000" w:themeColor="text1"/>
                <w:sz w:val="14"/>
                <w:szCs w:val="16"/>
                <w:lang w:eastAsia="es-CO"/>
              </w:rPr>
              <w:t xml:space="preserve">, cumpliendo la meta </w:t>
            </w:r>
            <w:r w:rsidRPr="00C23D09">
              <w:rPr>
                <w:rFonts w:cs="Arial"/>
                <w:color w:val="000000" w:themeColor="text1"/>
                <w:sz w:val="14"/>
                <w:szCs w:val="16"/>
                <w:lang w:eastAsia="es-CO"/>
              </w:rPr>
              <w:t>programada.</w:t>
            </w:r>
          </w:p>
        </w:tc>
      </w:tr>
      <w:tr w:rsidR="1D230DC4" w:rsidRPr="00C23D09" w14:paraId="0CD374A4"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2046E504" w14:textId="77777777" w:rsidR="00CB3F22" w:rsidRPr="00C23D09" w:rsidRDefault="00CB3F22" w:rsidP="00C23D09">
            <w:pPr>
              <w:jc w:val="center"/>
              <w:rPr>
                <w:sz w:val="14"/>
              </w:rPr>
            </w:pPr>
          </w:p>
        </w:tc>
        <w:tc>
          <w:tcPr>
            <w:tcW w:w="1197" w:type="dxa"/>
            <w:vMerge/>
            <w:vAlign w:val="center"/>
          </w:tcPr>
          <w:p w14:paraId="4DBAA315" w14:textId="77777777" w:rsidR="00CB3F22" w:rsidRPr="00C23D09" w:rsidRDefault="00CB3F22" w:rsidP="00C23D09">
            <w:pPr>
              <w:jc w:val="center"/>
              <w:cnfStyle w:val="000000100000" w:firstRow="0" w:lastRow="0" w:firstColumn="0" w:lastColumn="0" w:oddVBand="0" w:evenVBand="0" w:oddHBand="1" w:evenHBand="0" w:firstRowFirstColumn="0" w:firstRowLastColumn="0" w:lastRowFirstColumn="0" w:lastRowLastColumn="0"/>
              <w:rPr>
                <w:sz w:val="14"/>
              </w:rPr>
            </w:pPr>
          </w:p>
        </w:tc>
        <w:tc>
          <w:tcPr>
            <w:tcW w:w="1166" w:type="dxa"/>
            <w:vAlign w:val="center"/>
          </w:tcPr>
          <w:p w14:paraId="7D47A06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Valores geomagnéticos generados</w:t>
            </w:r>
          </w:p>
        </w:tc>
        <w:tc>
          <w:tcPr>
            <w:tcW w:w="839" w:type="dxa"/>
            <w:vAlign w:val="center"/>
          </w:tcPr>
          <w:p w14:paraId="755A426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1002" w:type="dxa"/>
            <w:vAlign w:val="center"/>
          </w:tcPr>
          <w:p w14:paraId="108700F9"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463" w:type="dxa"/>
            <w:vAlign w:val="center"/>
          </w:tcPr>
          <w:p w14:paraId="7F68AE64"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00F6822E" w14:textId="0186A264" w:rsidR="1D230DC4" w:rsidRPr="00C23D09" w:rsidRDefault="6944EF1F" w:rsidP="6C46B92D">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Se procesaron 61.320 datos geomagnéticos para cada año 2017 y 2018, de los cuales, 31.503 (2017) y 31.324 (2018) </w:t>
            </w:r>
            <w:r w:rsidR="4890315A" w:rsidRPr="00C23D09">
              <w:rPr>
                <w:rFonts w:cs="Arial"/>
                <w:color w:val="000000" w:themeColor="text1"/>
                <w:sz w:val="14"/>
                <w:szCs w:val="16"/>
                <w:lang w:eastAsia="es-CO"/>
              </w:rPr>
              <w:t xml:space="preserve">pasaron la prueba de calidad y se encuentran dispuestos en </w:t>
            </w:r>
            <w:hyperlink r:id="rId12">
              <w:r w:rsidR="4890315A" w:rsidRPr="00C23D09">
                <w:rPr>
                  <w:rStyle w:val="Hipervnculo"/>
                  <w:rFonts w:cs="Arial"/>
                  <w:sz w:val="14"/>
                  <w:szCs w:val="16"/>
                  <w:lang w:eastAsia="es-CO"/>
                </w:rPr>
                <w:t>https://tableros.igac.gov.co/datosgeomagneticos/</w:t>
              </w:r>
            </w:hyperlink>
            <w:r w:rsidR="4890315A" w:rsidRPr="00C23D09">
              <w:rPr>
                <w:rFonts w:cs="Arial"/>
                <w:color w:val="000000" w:themeColor="text1"/>
                <w:sz w:val="14"/>
                <w:szCs w:val="16"/>
                <w:lang w:eastAsia="es-CO"/>
              </w:rPr>
              <w:t>; cumpliendo con la meta programada.</w:t>
            </w:r>
          </w:p>
        </w:tc>
      </w:tr>
      <w:tr w:rsidR="1D230DC4" w:rsidRPr="00C23D09" w14:paraId="6CE43A4C"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023A9E8D" w14:textId="77777777" w:rsidR="00CB3F22" w:rsidRPr="00C23D09" w:rsidRDefault="00CB3F22" w:rsidP="00C23D09">
            <w:pPr>
              <w:jc w:val="center"/>
              <w:rPr>
                <w:sz w:val="14"/>
              </w:rPr>
            </w:pPr>
          </w:p>
        </w:tc>
        <w:tc>
          <w:tcPr>
            <w:tcW w:w="1197" w:type="dxa"/>
            <w:vMerge/>
            <w:vAlign w:val="center"/>
          </w:tcPr>
          <w:p w14:paraId="0A39A274" w14:textId="77777777" w:rsidR="00CB3F22" w:rsidRPr="00C23D09" w:rsidRDefault="00CB3F22" w:rsidP="00C23D09">
            <w:pPr>
              <w:jc w:val="center"/>
              <w:cnfStyle w:val="000000000000" w:firstRow="0" w:lastRow="0" w:firstColumn="0" w:lastColumn="0" w:oddVBand="0" w:evenVBand="0" w:oddHBand="0" w:evenHBand="0" w:firstRowFirstColumn="0" w:firstRowLastColumn="0" w:lastRowFirstColumn="0" w:lastRowLastColumn="0"/>
              <w:rPr>
                <w:sz w:val="14"/>
              </w:rPr>
            </w:pPr>
          </w:p>
        </w:tc>
        <w:tc>
          <w:tcPr>
            <w:tcW w:w="1166" w:type="dxa"/>
            <w:vAlign w:val="center"/>
          </w:tcPr>
          <w:p w14:paraId="7C3FB4C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Valores gravimétricos generados</w:t>
            </w:r>
          </w:p>
        </w:tc>
        <w:tc>
          <w:tcPr>
            <w:tcW w:w="839" w:type="dxa"/>
            <w:vAlign w:val="center"/>
          </w:tcPr>
          <w:p w14:paraId="7F39429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50</w:t>
            </w:r>
          </w:p>
        </w:tc>
        <w:tc>
          <w:tcPr>
            <w:tcW w:w="1002" w:type="dxa"/>
            <w:vAlign w:val="center"/>
          </w:tcPr>
          <w:p w14:paraId="3B09DA2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3" w:type="dxa"/>
            <w:vAlign w:val="center"/>
          </w:tcPr>
          <w:p w14:paraId="6109F2FF"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78" w:type="dxa"/>
            <w:vAlign w:val="center"/>
          </w:tcPr>
          <w:p w14:paraId="5C6652A8" w14:textId="18C85A72"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Al mes de octubre, se realizó </w:t>
            </w:r>
            <w:r w:rsidR="45D9FBBD" w:rsidRPr="00C23D09">
              <w:rPr>
                <w:rFonts w:cs="Arial"/>
                <w:color w:val="000000" w:themeColor="text1"/>
                <w:sz w:val="14"/>
                <w:szCs w:val="16"/>
                <w:lang w:eastAsia="es-CO"/>
              </w:rPr>
              <w:t>el control</w:t>
            </w:r>
            <w:r w:rsidRPr="00C23D09">
              <w:rPr>
                <w:rFonts w:cs="Arial"/>
                <w:color w:val="000000" w:themeColor="text1"/>
                <w:sz w:val="14"/>
                <w:szCs w:val="16"/>
                <w:lang w:eastAsia="es-CO"/>
              </w:rPr>
              <w:t xml:space="preserve"> de calidad y organización de la información para su posterior procesamiento en GRAVDATA y GRAVNET de los 180 vértices materializados y 20 sin materializar. Así mismo, se realizó el procesamiento y ajuste de todos los datos tomados con la Universidad del Estado de Ohio (OSU), teniendo en cuenta la corrección por aire libre. Se realizó la verificación de información de la base de datos de gravedad para los ajustes de los años 1998, 2003 y 2019.</w:t>
            </w:r>
          </w:p>
        </w:tc>
      </w:tr>
      <w:tr w:rsidR="1D230DC4" w:rsidRPr="00C23D09" w14:paraId="7CCDF625"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2B9ECBDD" w14:textId="77777777" w:rsidR="00CB3F22" w:rsidRPr="00C23D09" w:rsidRDefault="00CB3F22" w:rsidP="00C23D09">
            <w:pPr>
              <w:jc w:val="center"/>
              <w:rPr>
                <w:sz w:val="14"/>
              </w:rPr>
            </w:pPr>
          </w:p>
        </w:tc>
        <w:tc>
          <w:tcPr>
            <w:tcW w:w="1197" w:type="dxa"/>
            <w:vMerge w:val="restart"/>
            <w:vAlign w:val="center"/>
          </w:tcPr>
          <w:p w14:paraId="3DCBABE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información Cartográfica actualizado</w:t>
            </w:r>
          </w:p>
        </w:tc>
        <w:tc>
          <w:tcPr>
            <w:tcW w:w="1166" w:type="dxa"/>
            <w:vAlign w:val="center"/>
          </w:tcPr>
          <w:p w14:paraId="6A36ABFF"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Imágenes incorporadas al Banco Nacional de imágenes</w:t>
            </w:r>
          </w:p>
        </w:tc>
        <w:tc>
          <w:tcPr>
            <w:tcW w:w="839" w:type="dxa"/>
            <w:vAlign w:val="center"/>
          </w:tcPr>
          <w:p w14:paraId="6CED19CB"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5.000.000</w:t>
            </w:r>
          </w:p>
        </w:tc>
        <w:tc>
          <w:tcPr>
            <w:tcW w:w="1002" w:type="dxa"/>
            <w:vAlign w:val="center"/>
          </w:tcPr>
          <w:p w14:paraId="6D402FB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5.000.000</w:t>
            </w:r>
          </w:p>
        </w:tc>
        <w:tc>
          <w:tcPr>
            <w:tcW w:w="463" w:type="dxa"/>
            <w:vAlign w:val="center"/>
          </w:tcPr>
          <w:p w14:paraId="62A90F7D"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tcPr>
          <w:p w14:paraId="3FF23F21" w14:textId="7802FB85" w:rsidR="1D230DC4" w:rsidRPr="00C23D09" w:rsidRDefault="4D92962A" w:rsidP="6C46B92D">
            <w:pPr>
              <w:jc w:val="both"/>
              <w:cnfStyle w:val="000000100000" w:firstRow="0" w:lastRow="0" w:firstColumn="0" w:lastColumn="0" w:oddVBand="0" w:evenVBand="0" w:oddHBand="1" w:evenHBand="0" w:firstRowFirstColumn="0" w:firstRowLastColumn="0" w:lastRowFirstColumn="0" w:lastRowLastColumn="0"/>
              <w:rPr>
                <w:color w:val="000000" w:themeColor="text1"/>
                <w:sz w:val="14"/>
              </w:rPr>
            </w:pPr>
            <w:r w:rsidRPr="00C23D09">
              <w:rPr>
                <w:rFonts w:cs="Arial"/>
                <w:color w:val="000000" w:themeColor="text1"/>
                <w:sz w:val="14"/>
                <w:szCs w:val="16"/>
                <w:lang w:eastAsia="es-CO"/>
              </w:rPr>
              <w:t>Se capturaron 5.000.000  hectáreas de los municipios de Santander de Quilichao (Cauca), San Andrés de Tumaco (Nariño). Sardinata (Norte de Santander), Valencia (Córdoba), Popayán (Cauca),Q.Yaguilga(Huila), Santa Rosalía (Vichada), María La Baja (Bolívar), Mirití-Paraná (Amazonas), Chaparral (Tolima), Santader de Quilichao (Cauca),</w:t>
            </w:r>
            <w:r w:rsidR="6B1472A5" w:rsidRPr="00C23D09">
              <w:rPr>
                <w:rFonts w:cs="Arial"/>
                <w:color w:val="000000" w:themeColor="text1"/>
                <w:sz w:val="14"/>
                <w:szCs w:val="16"/>
                <w:lang w:eastAsia="es-CO"/>
              </w:rPr>
              <w:t xml:space="preserve"> </w:t>
            </w:r>
            <w:r w:rsidRPr="00C23D09">
              <w:rPr>
                <w:rFonts w:cs="Arial"/>
                <w:color w:val="000000" w:themeColor="text1"/>
                <w:sz w:val="14"/>
                <w:szCs w:val="16"/>
                <w:lang w:eastAsia="es-CO"/>
              </w:rPr>
              <w:t>Colombia (Huila), Cubarral (Meta)</w:t>
            </w:r>
            <w:r w:rsidR="2FFCDD5D" w:rsidRPr="00C23D09">
              <w:rPr>
                <w:rFonts w:cs="Arial"/>
                <w:color w:val="000000" w:themeColor="text1"/>
                <w:sz w:val="14"/>
                <w:szCs w:val="16"/>
                <w:lang w:eastAsia="es-CO"/>
              </w:rPr>
              <w:t xml:space="preserve">, </w:t>
            </w:r>
            <w:r w:rsidRPr="00C23D09">
              <w:rPr>
                <w:rFonts w:cs="Arial"/>
                <w:color w:val="000000" w:themeColor="text1"/>
                <w:sz w:val="14"/>
                <w:szCs w:val="16"/>
                <w:lang w:eastAsia="es-CO"/>
              </w:rPr>
              <w:t>Arauquita (Arauca</w:t>
            </w:r>
            <w:r w:rsidR="450182C0" w:rsidRPr="00C23D09">
              <w:rPr>
                <w:rFonts w:cs="Arial"/>
                <w:color w:val="000000" w:themeColor="text1"/>
                <w:sz w:val="14"/>
                <w:szCs w:val="16"/>
                <w:lang w:eastAsia="es-CO"/>
              </w:rPr>
              <w:t>), Granada</w:t>
            </w:r>
            <w:r w:rsidRPr="00C23D09">
              <w:rPr>
                <w:rFonts w:cs="Arial"/>
                <w:color w:val="000000" w:themeColor="text1"/>
                <w:sz w:val="14"/>
                <w:szCs w:val="16"/>
                <w:lang w:eastAsia="es-CO"/>
              </w:rPr>
              <w:t>, Arbeláez, Venecia, Cabrera, Agua de Dios Cundinamarca (Cundinamarca)</w:t>
            </w:r>
            <w:r w:rsidR="30E148F8" w:rsidRPr="00C23D09">
              <w:rPr>
                <w:rFonts w:cs="Arial"/>
                <w:color w:val="000000" w:themeColor="text1"/>
                <w:sz w:val="14"/>
                <w:szCs w:val="16"/>
                <w:lang w:eastAsia="es-CO"/>
              </w:rPr>
              <w:t>, c</w:t>
            </w:r>
            <w:r w:rsidR="30E148F8" w:rsidRPr="00C23D09">
              <w:rPr>
                <w:rFonts w:eastAsia="Arial" w:cs="Arial"/>
                <w:color w:val="000000" w:themeColor="text1"/>
                <w:sz w:val="14"/>
                <w:szCs w:val="16"/>
              </w:rPr>
              <w:t>umpliendo la meta programada</w:t>
            </w:r>
            <w:r w:rsidR="1C7CB637" w:rsidRPr="00C23D09">
              <w:rPr>
                <w:rFonts w:eastAsia="Arial" w:cs="Arial"/>
                <w:color w:val="000000" w:themeColor="text1"/>
                <w:sz w:val="14"/>
                <w:szCs w:val="16"/>
              </w:rPr>
              <w:t>.</w:t>
            </w:r>
          </w:p>
        </w:tc>
      </w:tr>
      <w:tr w:rsidR="1D230DC4" w:rsidRPr="00C23D09" w14:paraId="64C21764"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30E510D2" w14:textId="77777777" w:rsidR="00CB3F22" w:rsidRPr="00C23D09" w:rsidRDefault="00CB3F22" w:rsidP="00C23D09">
            <w:pPr>
              <w:jc w:val="center"/>
              <w:rPr>
                <w:sz w:val="14"/>
              </w:rPr>
            </w:pPr>
          </w:p>
        </w:tc>
        <w:tc>
          <w:tcPr>
            <w:tcW w:w="1197" w:type="dxa"/>
            <w:vMerge/>
            <w:vAlign w:val="center"/>
          </w:tcPr>
          <w:p w14:paraId="2B302BCA" w14:textId="77777777" w:rsidR="00CB3F22" w:rsidRPr="00C23D09" w:rsidRDefault="00CB3F22" w:rsidP="00C23D09">
            <w:pPr>
              <w:jc w:val="center"/>
              <w:cnfStyle w:val="000000000000" w:firstRow="0" w:lastRow="0" w:firstColumn="0" w:lastColumn="0" w:oddVBand="0" w:evenVBand="0" w:oddHBand="0" w:evenHBand="0" w:firstRowFirstColumn="0" w:firstRowLastColumn="0" w:lastRowFirstColumn="0" w:lastRowLastColumn="0"/>
              <w:rPr>
                <w:sz w:val="14"/>
              </w:rPr>
            </w:pPr>
          </w:p>
        </w:tc>
        <w:tc>
          <w:tcPr>
            <w:tcW w:w="1166" w:type="dxa"/>
            <w:vAlign w:val="center"/>
          </w:tcPr>
          <w:p w14:paraId="784C1C6C"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Cartografía escalas Grandes generada (1:1.000, 1:2,000, 1:5,000)</w:t>
            </w:r>
          </w:p>
        </w:tc>
        <w:tc>
          <w:tcPr>
            <w:tcW w:w="839" w:type="dxa"/>
            <w:vAlign w:val="center"/>
          </w:tcPr>
          <w:p w14:paraId="76FB0CB3"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7.000</w:t>
            </w:r>
          </w:p>
        </w:tc>
        <w:tc>
          <w:tcPr>
            <w:tcW w:w="1002" w:type="dxa"/>
            <w:vAlign w:val="center"/>
          </w:tcPr>
          <w:p w14:paraId="2AB500F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7.000</w:t>
            </w:r>
          </w:p>
        </w:tc>
        <w:tc>
          <w:tcPr>
            <w:tcW w:w="463" w:type="dxa"/>
            <w:vAlign w:val="center"/>
          </w:tcPr>
          <w:p w14:paraId="530916A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7178C1E7" w14:textId="1FFEC745" w:rsidR="1D230DC4" w:rsidRPr="00C23D09" w:rsidRDefault="3A2FB8B6" w:rsidP="6C46B92D">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generaron 7.000 hectáreas de productos cartográficos así:  2.876,09 ha del área urbana del municipio de Villavicencio, Meta, 157 ha del área urbana del municipio Fuente de Oro, Meta y, 3.967 ha del área urbana del municipio de Popayán (Cauca)</w:t>
            </w:r>
            <w:r w:rsidR="52483164" w:rsidRPr="00C23D09">
              <w:rPr>
                <w:rFonts w:cs="Arial"/>
                <w:color w:val="000000" w:themeColor="text1"/>
                <w:sz w:val="14"/>
                <w:szCs w:val="16"/>
                <w:lang w:eastAsia="es-CO"/>
              </w:rPr>
              <w:t>, c</w:t>
            </w:r>
            <w:r w:rsidRPr="00C23D09">
              <w:rPr>
                <w:rFonts w:cs="Arial"/>
                <w:color w:val="000000" w:themeColor="text1"/>
                <w:sz w:val="14"/>
                <w:szCs w:val="16"/>
                <w:lang w:eastAsia="es-CO"/>
              </w:rPr>
              <w:t>umpliendo la meta programada</w:t>
            </w:r>
            <w:r w:rsidR="3E425EAE" w:rsidRPr="00C23D09">
              <w:rPr>
                <w:rFonts w:cs="Arial"/>
                <w:color w:val="000000" w:themeColor="text1"/>
                <w:sz w:val="14"/>
                <w:szCs w:val="16"/>
                <w:lang w:eastAsia="es-CO"/>
              </w:rPr>
              <w:t>.</w:t>
            </w:r>
          </w:p>
        </w:tc>
      </w:tr>
      <w:tr w:rsidR="1D230DC4" w:rsidRPr="00C23D09" w14:paraId="130F49CC"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74BAA126" w14:textId="77777777" w:rsidR="00CB3F22" w:rsidRPr="00C23D09" w:rsidRDefault="00CB3F22" w:rsidP="00C23D09">
            <w:pPr>
              <w:jc w:val="center"/>
              <w:rPr>
                <w:sz w:val="14"/>
              </w:rPr>
            </w:pPr>
          </w:p>
        </w:tc>
        <w:tc>
          <w:tcPr>
            <w:tcW w:w="1197" w:type="dxa"/>
            <w:vMerge/>
            <w:vAlign w:val="center"/>
          </w:tcPr>
          <w:p w14:paraId="5DB96ACE" w14:textId="77777777" w:rsidR="00CB3F22" w:rsidRPr="00C23D09" w:rsidRDefault="00CB3F22" w:rsidP="00C23D09">
            <w:pPr>
              <w:jc w:val="center"/>
              <w:cnfStyle w:val="000000100000" w:firstRow="0" w:lastRow="0" w:firstColumn="0" w:lastColumn="0" w:oddVBand="0" w:evenVBand="0" w:oddHBand="1" w:evenHBand="0" w:firstRowFirstColumn="0" w:firstRowLastColumn="0" w:lastRowFirstColumn="0" w:lastRowLastColumn="0"/>
              <w:rPr>
                <w:sz w:val="14"/>
              </w:rPr>
            </w:pPr>
          </w:p>
        </w:tc>
        <w:tc>
          <w:tcPr>
            <w:tcW w:w="1166" w:type="dxa"/>
            <w:vAlign w:val="center"/>
          </w:tcPr>
          <w:p w14:paraId="5E524E86"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Cartografía escalas Medianas generada (1:10,000, 1:25,000)</w:t>
            </w:r>
          </w:p>
        </w:tc>
        <w:tc>
          <w:tcPr>
            <w:tcW w:w="839" w:type="dxa"/>
            <w:vAlign w:val="center"/>
          </w:tcPr>
          <w:p w14:paraId="0C83489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1.500.000</w:t>
            </w:r>
          </w:p>
        </w:tc>
        <w:tc>
          <w:tcPr>
            <w:tcW w:w="1002" w:type="dxa"/>
            <w:vAlign w:val="center"/>
          </w:tcPr>
          <w:p w14:paraId="696E4399"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784.681</w:t>
            </w:r>
          </w:p>
        </w:tc>
        <w:tc>
          <w:tcPr>
            <w:tcW w:w="463" w:type="dxa"/>
            <w:vAlign w:val="center"/>
          </w:tcPr>
          <w:p w14:paraId="022E262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52,31%</w:t>
            </w:r>
          </w:p>
        </w:tc>
        <w:tc>
          <w:tcPr>
            <w:tcW w:w="4678" w:type="dxa"/>
            <w:vAlign w:val="center"/>
          </w:tcPr>
          <w:p w14:paraId="5698BF88"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Al mes de octubre, se generaron 831.003,1 ha de productos cartográficos así: 75.231,63 hectáreas parcial o total del área rural de los municipios de: Villavicencio (Meta), Cáceres (Antioquia) y Planadas (Tolima); 31.996,77 ha de productos cartográficos del área  rural del municipio de la Plata (Huila); 57.741,22 ha de productos cartográficos parcial o total del área rural de los municipios de La Plata (Huila) y Fuente de Oro (Meta) a escala 1:10.000; 8.907,68 ha de productos cartográficos del área rural correspondientes al municipio de El Tablazo (Cundinamarca), 244.674,36 ha de cartografía escala 1:10.000 de los municipios Popayán (Cauca) y Chaparral (Tolima). . Así mismo, se generó la cartografía escala 1:10.000 de los proyectos Quebrada Yaguilga 24.729 Ha, El Tablazo 17.768,38 Ha, 301.583,2 ha de cartografía escala 1:10.000 del municipio Arauquita (Arauca) , y  858 ha del proyecto Quebrada Yaguilga.. Adicionalmente, se avanzó en la generación de cartografía escala 1:10.000 de los proyectos, Arauquita, Maria La Baja, y Chaparral; y, escala 1:25.000 del municipio de Mirití, y cartografía escala 1:10.000 del municipio de Santander de Quilichao, Cauca en un área de 46.322,01 Ha</w:t>
            </w:r>
          </w:p>
        </w:tc>
      </w:tr>
      <w:tr w:rsidR="1D230DC4" w:rsidRPr="00C23D09" w14:paraId="27657DCF"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0FB43227"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Generación de estudios de suelos, tierras y aplicaciones agrológicas como insumo para el ordenamiento integral y el manejo sostenible del territorio a nivel Nacional</w:t>
            </w:r>
          </w:p>
        </w:tc>
        <w:tc>
          <w:tcPr>
            <w:tcW w:w="1197" w:type="dxa"/>
            <w:vAlign w:val="center"/>
          </w:tcPr>
          <w:p w14:paraId="7B734412"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análisis químicos, físicos, mineralógicos y biológicos de suelos</w:t>
            </w:r>
          </w:p>
        </w:tc>
        <w:tc>
          <w:tcPr>
            <w:tcW w:w="1166" w:type="dxa"/>
            <w:vAlign w:val="center"/>
          </w:tcPr>
          <w:p w14:paraId="0460FBB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Pruebas químicos, físicos, mineralógicos y biológicos de suelos realizadas</w:t>
            </w:r>
          </w:p>
        </w:tc>
        <w:tc>
          <w:tcPr>
            <w:tcW w:w="839" w:type="dxa"/>
            <w:vAlign w:val="center"/>
          </w:tcPr>
          <w:p w14:paraId="344DD162"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80.000</w:t>
            </w:r>
          </w:p>
        </w:tc>
        <w:tc>
          <w:tcPr>
            <w:tcW w:w="1002" w:type="dxa"/>
            <w:vAlign w:val="center"/>
          </w:tcPr>
          <w:p w14:paraId="301D32B2"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60.142</w:t>
            </w:r>
          </w:p>
        </w:tc>
        <w:tc>
          <w:tcPr>
            <w:tcW w:w="463" w:type="dxa"/>
            <w:vAlign w:val="center"/>
          </w:tcPr>
          <w:p w14:paraId="1393860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75%</w:t>
            </w:r>
          </w:p>
        </w:tc>
        <w:tc>
          <w:tcPr>
            <w:tcW w:w="4678" w:type="dxa"/>
            <w:vAlign w:val="center"/>
          </w:tcPr>
          <w:p w14:paraId="1B41ED39"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Durante este mes el LNS. realizó un total de 2.294 análisis. Se aclara que el acumulado es de 60.310 análisis, que corresponde a la sumatoria de análisis para clientes externos (anteriormente reportados dentro del indicador de gestión, como ventas por ventanilla; e internos, convenios y contratos).</w:t>
            </w:r>
          </w:p>
        </w:tc>
      </w:tr>
      <w:tr w:rsidR="1D230DC4" w:rsidRPr="00C23D09" w14:paraId="0E55217A"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4F4DC35C" w14:textId="77777777" w:rsidR="00CB3F22" w:rsidRPr="00C23D09" w:rsidRDefault="00CB3F22" w:rsidP="00C23D09">
            <w:pPr>
              <w:jc w:val="center"/>
              <w:rPr>
                <w:sz w:val="14"/>
              </w:rPr>
            </w:pPr>
          </w:p>
        </w:tc>
        <w:tc>
          <w:tcPr>
            <w:tcW w:w="1197" w:type="dxa"/>
            <w:vAlign w:val="center"/>
          </w:tcPr>
          <w:p w14:paraId="60EC7C5C"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Información agrológica</w:t>
            </w:r>
          </w:p>
        </w:tc>
        <w:tc>
          <w:tcPr>
            <w:tcW w:w="1166" w:type="dxa"/>
            <w:vAlign w:val="center"/>
          </w:tcPr>
          <w:p w14:paraId="4A6A4768"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 de Información Agrológica</w:t>
            </w:r>
          </w:p>
        </w:tc>
        <w:tc>
          <w:tcPr>
            <w:tcW w:w="839" w:type="dxa"/>
            <w:vAlign w:val="center"/>
          </w:tcPr>
          <w:p w14:paraId="12033DF2"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900.000</w:t>
            </w:r>
          </w:p>
        </w:tc>
        <w:tc>
          <w:tcPr>
            <w:tcW w:w="1002" w:type="dxa"/>
            <w:vAlign w:val="center"/>
          </w:tcPr>
          <w:p w14:paraId="493134AE"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2.335.560</w:t>
            </w:r>
          </w:p>
        </w:tc>
        <w:tc>
          <w:tcPr>
            <w:tcW w:w="463" w:type="dxa"/>
            <w:vAlign w:val="center"/>
          </w:tcPr>
          <w:p w14:paraId="09BADBA9"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259%</w:t>
            </w:r>
          </w:p>
        </w:tc>
        <w:tc>
          <w:tcPr>
            <w:tcW w:w="4678" w:type="dxa"/>
            <w:vAlign w:val="center"/>
          </w:tcPr>
          <w:p w14:paraId="3B2BF03F"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superó el cumplimiento de la meta.  Se involucraron las fases cartográficas de suelos de Magdalena al formulario de capacidad de suelos y se reclasificaron hasta el nivel de grupos de manejo, adicionalmente se lleva a cabo la salida de campo al municipio de Pereira donde se espera realizar más de 240 observaciones de campo</w:t>
            </w:r>
          </w:p>
        </w:tc>
      </w:tr>
      <w:tr w:rsidR="1D230DC4" w:rsidRPr="00C23D09" w14:paraId="22C4CBA8"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54A40AAE"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Fortalecimiento de la gestión institucional del IGAC a nivel Nacional</w:t>
            </w:r>
          </w:p>
          <w:p w14:paraId="009B8819" w14:textId="77777777" w:rsidR="1D230DC4" w:rsidRPr="00C23D09" w:rsidRDefault="1D230DC4" w:rsidP="00C23D09">
            <w:pPr>
              <w:jc w:val="center"/>
              <w:rPr>
                <w:rFonts w:cs="Arial"/>
                <w:color w:val="000000" w:themeColor="text1"/>
                <w:sz w:val="14"/>
                <w:szCs w:val="16"/>
                <w:lang w:eastAsia="es-CO"/>
              </w:rPr>
            </w:pPr>
          </w:p>
          <w:p w14:paraId="647EF2B7" w14:textId="77777777" w:rsidR="1D230DC4" w:rsidRPr="00C23D09" w:rsidRDefault="1D230DC4" w:rsidP="00C23D09">
            <w:pPr>
              <w:jc w:val="center"/>
              <w:rPr>
                <w:rFonts w:cs="Arial"/>
                <w:color w:val="000000" w:themeColor="text1"/>
                <w:sz w:val="14"/>
                <w:szCs w:val="16"/>
                <w:lang w:eastAsia="es-CO"/>
              </w:rPr>
            </w:pPr>
          </w:p>
        </w:tc>
        <w:tc>
          <w:tcPr>
            <w:tcW w:w="1197" w:type="dxa"/>
            <w:vAlign w:val="center"/>
          </w:tcPr>
          <w:p w14:paraId="50A8628B"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planeación</w:t>
            </w:r>
          </w:p>
        </w:tc>
        <w:tc>
          <w:tcPr>
            <w:tcW w:w="1166" w:type="dxa"/>
            <w:vAlign w:val="center"/>
          </w:tcPr>
          <w:p w14:paraId="4534C813"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planeación realizados</w:t>
            </w:r>
          </w:p>
        </w:tc>
        <w:tc>
          <w:tcPr>
            <w:tcW w:w="839" w:type="dxa"/>
            <w:vAlign w:val="center"/>
          </w:tcPr>
          <w:p w14:paraId="290C36F2" w14:textId="3F0D2354"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w:t>
            </w:r>
          </w:p>
        </w:tc>
        <w:tc>
          <w:tcPr>
            <w:tcW w:w="1002" w:type="dxa"/>
            <w:vAlign w:val="center"/>
          </w:tcPr>
          <w:p w14:paraId="6960294F"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w:t>
            </w:r>
          </w:p>
        </w:tc>
        <w:tc>
          <w:tcPr>
            <w:tcW w:w="463" w:type="dxa"/>
            <w:vAlign w:val="center"/>
          </w:tcPr>
          <w:p w14:paraId="440F515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100%</w:t>
            </w:r>
          </w:p>
        </w:tc>
        <w:tc>
          <w:tcPr>
            <w:tcW w:w="4678" w:type="dxa"/>
            <w:vAlign w:val="center"/>
          </w:tcPr>
          <w:p w14:paraId="14D1F2B8"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Elaboración de informes de gestión. Actualización del plan de adquisiciones.  Seguimiento a las actividades de cooperación internacional. Seguimiento al Plan Estratégico Institucional. Actualización de los planes institucionales a la nueva estructura. Ejercicios de participación ciudadana y rendición de cuentas.</w:t>
            </w:r>
          </w:p>
        </w:tc>
      </w:tr>
      <w:tr w:rsidR="1D230DC4" w:rsidRPr="00C23D09" w14:paraId="0C07C25C"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2C7CB3F7" w14:textId="77777777" w:rsidR="00CB3F22" w:rsidRPr="00C23D09" w:rsidRDefault="00CB3F22" w:rsidP="00C23D09">
            <w:pPr>
              <w:jc w:val="center"/>
              <w:rPr>
                <w:sz w:val="14"/>
              </w:rPr>
            </w:pPr>
          </w:p>
        </w:tc>
        <w:tc>
          <w:tcPr>
            <w:tcW w:w="1197" w:type="dxa"/>
            <w:vAlign w:val="center"/>
          </w:tcPr>
          <w:p w14:paraId="774F2821"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implementación de sistemas de gestión</w:t>
            </w:r>
          </w:p>
        </w:tc>
        <w:tc>
          <w:tcPr>
            <w:tcW w:w="1166" w:type="dxa"/>
            <w:vAlign w:val="center"/>
          </w:tcPr>
          <w:p w14:paraId="60D73032"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 de gestión implementado</w:t>
            </w:r>
          </w:p>
        </w:tc>
        <w:tc>
          <w:tcPr>
            <w:tcW w:w="839" w:type="dxa"/>
            <w:vAlign w:val="center"/>
          </w:tcPr>
          <w:p w14:paraId="3254B6D1"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1002" w:type="dxa"/>
            <w:vAlign w:val="center"/>
          </w:tcPr>
          <w:p w14:paraId="377CAA5F"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3" w:type="dxa"/>
            <w:vAlign w:val="center"/>
          </w:tcPr>
          <w:p w14:paraId="0AD5362C"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78" w:type="dxa"/>
            <w:vAlign w:val="center"/>
          </w:tcPr>
          <w:p w14:paraId="7C215D3D"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El sistema de gestión a implementar corresponde a MIPG, su avance al 100% se reporta en enero de 2022, una vez se realicen todas las actividades contempladas dentro del plan de acción para su implementación. </w:t>
            </w:r>
          </w:p>
          <w:p w14:paraId="1E24A650"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p>
          <w:p w14:paraId="43FEB816"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 31 de octubre se cuenta con el siguiente avance: Preparación e inicio de la auditoría interna al sistema de gestión integrado. Actualización documental. Arquitectura de procesos. Alineación a la nueva cadena de valor (documentación - riesgos- PNC- Gestión de cambios- Matriz de partes interesadas).</w:t>
            </w:r>
          </w:p>
        </w:tc>
      </w:tr>
      <w:tr w:rsidR="1D230DC4" w:rsidRPr="00C23D09" w14:paraId="09FDB5EB"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01753885" w14:textId="77777777" w:rsidR="00CB3F22" w:rsidRPr="00C23D09" w:rsidRDefault="00CB3F22" w:rsidP="00C23D09">
            <w:pPr>
              <w:jc w:val="center"/>
              <w:rPr>
                <w:sz w:val="14"/>
              </w:rPr>
            </w:pPr>
          </w:p>
        </w:tc>
        <w:tc>
          <w:tcPr>
            <w:tcW w:w="1197" w:type="dxa"/>
            <w:vAlign w:val="center"/>
          </w:tcPr>
          <w:p w14:paraId="3E62446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Servicios tecnológicos</w:t>
            </w:r>
          </w:p>
        </w:tc>
        <w:tc>
          <w:tcPr>
            <w:tcW w:w="1166" w:type="dxa"/>
            <w:vAlign w:val="center"/>
          </w:tcPr>
          <w:p w14:paraId="53A2F66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Índice de capacidad en la prestación de servicios de tecnología</w:t>
            </w:r>
          </w:p>
        </w:tc>
        <w:tc>
          <w:tcPr>
            <w:tcW w:w="839" w:type="dxa"/>
            <w:vAlign w:val="center"/>
          </w:tcPr>
          <w:p w14:paraId="568A301E"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90</w:t>
            </w:r>
          </w:p>
        </w:tc>
        <w:tc>
          <w:tcPr>
            <w:tcW w:w="1002" w:type="dxa"/>
            <w:vAlign w:val="center"/>
          </w:tcPr>
          <w:p w14:paraId="7F47B54C"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79,5</w:t>
            </w:r>
          </w:p>
        </w:tc>
        <w:tc>
          <w:tcPr>
            <w:tcW w:w="463" w:type="dxa"/>
            <w:vAlign w:val="center"/>
          </w:tcPr>
          <w:p w14:paraId="193A6D93"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88,3%</w:t>
            </w:r>
          </w:p>
        </w:tc>
        <w:tc>
          <w:tcPr>
            <w:tcW w:w="4678" w:type="dxa"/>
            <w:vAlign w:val="center"/>
          </w:tcPr>
          <w:p w14:paraId="0D7321C0"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Actualización del portafolio de servicios. Desarrollo del plan de trabajo de actualización del portal web. Mantenimiento y ajustes a los sistemas de información. Sensibilizaciones en seguridad de la información. Mantenimiento de la infraestructura tecnológica. Ajustes en la página web. Elaboración plan de apertura de datos abiertos. Identificación de activos de información. Construcción del documento de plan de apertura de datos.</w:t>
            </w:r>
          </w:p>
        </w:tc>
      </w:tr>
      <w:tr w:rsidR="1D230DC4" w:rsidRPr="00C23D09" w14:paraId="3AF20F5A"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00EA7AF6" w14:textId="77777777" w:rsidR="00CB3F22" w:rsidRPr="00C23D09" w:rsidRDefault="00CB3F22" w:rsidP="00C23D09">
            <w:pPr>
              <w:jc w:val="center"/>
              <w:rPr>
                <w:sz w:val="14"/>
              </w:rPr>
            </w:pPr>
          </w:p>
        </w:tc>
        <w:tc>
          <w:tcPr>
            <w:tcW w:w="1197" w:type="dxa"/>
            <w:vAlign w:val="center"/>
          </w:tcPr>
          <w:p w14:paraId="4DF8061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educación informal para la gestión administrativa</w:t>
            </w:r>
          </w:p>
        </w:tc>
        <w:tc>
          <w:tcPr>
            <w:tcW w:w="1166" w:type="dxa"/>
            <w:vAlign w:val="center"/>
          </w:tcPr>
          <w:p w14:paraId="047AB572"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Personas capacitadas</w:t>
            </w:r>
          </w:p>
        </w:tc>
        <w:tc>
          <w:tcPr>
            <w:tcW w:w="839" w:type="dxa"/>
            <w:vAlign w:val="center"/>
          </w:tcPr>
          <w:p w14:paraId="03755840"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462</w:t>
            </w:r>
          </w:p>
        </w:tc>
        <w:tc>
          <w:tcPr>
            <w:tcW w:w="1002" w:type="dxa"/>
            <w:vAlign w:val="center"/>
          </w:tcPr>
          <w:p w14:paraId="7FD34A98"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260</w:t>
            </w:r>
          </w:p>
        </w:tc>
        <w:tc>
          <w:tcPr>
            <w:tcW w:w="463" w:type="dxa"/>
            <w:vAlign w:val="center"/>
          </w:tcPr>
          <w:p w14:paraId="401B75A6"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56,27%</w:t>
            </w:r>
          </w:p>
        </w:tc>
        <w:tc>
          <w:tcPr>
            <w:tcW w:w="4678" w:type="dxa"/>
            <w:vAlign w:val="center"/>
          </w:tcPr>
          <w:p w14:paraId="088C4999" w14:textId="453C01E4"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Desarrollo y seguimiento de los cursos:  Procesamiento, validación y uso de datos LIDAR, con modalidad virtual, programación en Python y R Studio Cloud, Innovación, Análisis de datos geográficos, Procesamiento de imágenes satelitales, Fortalecimiento de capacidades y entrenamiento para la actualización y cálculo del Modelo Geoidal, Auditor ISO 9001 , Auditor ISO 45001 y Auditor ISO 27001. Técnicas de Auditoría y Redacción de informes de auditoría. Metodologías del Desarrollo. Fortalecimiento de capacidades y entrenamiento para el Marco de Referencia Internacional de Alturas. Tecnologías geoespaciales. Correlación de datos analíticos e interpretación de resultados del laboratorio. Machine Learning Aplicado al Procesamiento Digital de Imágenes de Sensores Remotos. Formación auditor 17025. Formación auditor 14001, Manejo de bases de datos, Toma de muestras de suelo, Fortalecimiento de capacidades y entrenamiento para Aplicaciones geomagnéticas para la generación de productos  y Gobierno TI</w:t>
            </w:r>
          </w:p>
        </w:tc>
      </w:tr>
      <w:tr w:rsidR="1D230DC4" w:rsidRPr="00C23D09" w14:paraId="0DE9FF9C" w14:textId="77777777" w:rsidTr="00F76E97">
        <w:trPr>
          <w:trHeight w:val="963"/>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37AA0354"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Fortalecimiento de la gestión del conocimiento y la innovación en el ámbito geográfico del territorio Nacional</w:t>
            </w:r>
          </w:p>
          <w:p w14:paraId="700CEE40" w14:textId="77777777" w:rsidR="1D230DC4" w:rsidRPr="00C23D09" w:rsidRDefault="1D230DC4" w:rsidP="00C23D09">
            <w:pPr>
              <w:jc w:val="center"/>
              <w:rPr>
                <w:rFonts w:cs="Arial"/>
                <w:color w:val="000000" w:themeColor="text1"/>
                <w:sz w:val="14"/>
                <w:szCs w:val="16"/>
                <w:lang w:eastAsia="es-CO"/>
              </w:rPr>
            </w:pPr>
          </w:p>
        </w:tc>
        <w:tc>
          <w:tcPr>
            <w:tcW w:w="1197" w:type="dxa"/>
            <w:vAlign w:val="center"/>
          </w:tcPr>
          <w:p w14:paraId="67493D51"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Gestión del conocimiento e Innovación Geográfica</w:t>
            </w:r>
          </w:p>
        </w:tc>
        <w:tc>
          <w:tcPr>
            <w:tcW w:w="1166" w:type="dxa"/>
            <w:vAlign w:val="center"/>
          </w:tcPr>
          <w:p w14:paraId="25F0201D"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Modelos de gestión Implementado</w:t>
            </w:r>
          </w:p>
        </w:tc>
        <w:tc>
          <w:tcPr>
            <w:tcW w:w="839" w:type="dxa"/>
            <w:vAlign w:val="center"/>
          </w:tcPr>
          <w:p w14:paraId="1877FF3F" w14:textId="76113164"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1002" w:type="dxa"/>
            <w:vAlign w:val="center"/>
          </w:tcPr>
          <w:p w14:paraId="3B1724D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3" w:type="dxa"/>
            <w:vAlign w:val="center"/>
          </w:tcPr>
          <w:p w14:paraId="00603B1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w:t>
            </w:r>
          </w:p>
        </w:tc>
        <w:tc>
          <w:tcPr>
            <w:tcW w:w="4678" w:type="dxa"/>
            <w:vAlign w:val="center"/>
          </w:tcPr>
          <w:p w14:paraId="25B73CE5"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avanza en el desarrollo de dos proyectos de innovación como apoyo a las áreas misionales y se realizó la implementación de dos proyectos de innovación geoespacial.  Se realizaron 4 eventos técnico científicos, el primero:  Webinar " Uso de la tecnología satelital en la investigación para la gestión del riesgo de desastres, el segundo: "Conferencia sobre el Sistema de Referencia Geodésico Nacional y el tercero: Foro "CATASTRO MULTIPROPÓSITO, NUEVOS RETOS, NUEVOS PROFESIONALES" así mismo, se realizó el Facebook Live para socializar la política de catastro multipropósito y los retos de los profesionales en su implementación y se está gestionando un evento virtual sobre aplicaciones de espectroradiometría.​ Por otra parte, se dispuso  en la plataforma Telecentro Regional 3 cursos los cuales son: curso autónomo Fundamentos LADM, curso autónomo de Fundamentos IDE para usuarios externos y el curso autónomo Fundamentos SIG  y se actualizaron los documentos necesarios para el curso de  Básico de Cartografía y el curso de Percepción Remota; Por otra parte, se consolido la información y se realizó el diseño de las piezas gráficas  para disponer en la plataforma Telecentro Regional los siguientes talleres: Taller 1. El Catastro multipropósito en el marco del Ordenamiento Territorial y el Taller 2: Los Sistemas de información Geográfica como herramientas para el Ordenamiento Territorial.</w:t>
            </w:r>
          </w:p>
        </w:tc>
      </w:tr>
      <w:tr w:rsidR="1D230DC4" w:rsidRPr="00C23D09" w14:paraId="1F46C722"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461BCD35" w14:textId="77777777" w:rsidR="00CB3F22" w:rsidRPr="00C23D09" w:rsidRDefault="00CB3F22" w:rsidP="00C23D09">
            <w:pPr>
              <w:jc w:val="center"/>
              <w:rPr>
                <w:sz w:val="14"/>
              </w:rPr>
            </w:pPr>
          </w:p>
        </w:tc>
        <w:tc>
          <w:tcPr>
            <w:tcW w:w="1197" w:type="dxa"/>
            <w:vAlign w:val="center"/>
          </w:tcPr>
          <w:p w14:paraId="1E0AF50F"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 de asistencia técnica para la gestión de los recursos geográficos</w:t>
            </w:r>
          </w:p>
        </w:tc>
        <w:tc>
          <w:tcPr>
            <w:tcW w:w="1166" w:type="dxa"/>
            <w:vAlign w:val="center"/>
          </w:tcPr>
          <w:p w14:paraId="44F88FD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Entidades Asistidas</w:t>
            </w:r>
          </w:p>
        </w:tc>
        <w:tc>
          <w:tcPr>
            <w:tcW w:w="839" w:type="dxa"/>
            <w:vAlign w:val="center"/>
          </w:tcPr>
          <w:p w14:paraId="2D8F4F51"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w:t>
            </w:r>
          </w:p>
        </w:tc>
        <w:tc>
          <w:tcPr>
            <w:tcW w:w="1002" w:type="dxa"/>
            <w:vAlign w:val="center"/>
          </w:tcPr>
          <w:p w14:paraId="2EE8341C"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463" w:type="dxa"/>
            <w:vAlign w:val="center"/>
          </w:tcPr>
          <w:p w14:paraId="5D9B88D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20%</w:t>
            </w:r>
          </w:p>
        </w:tc>
        <w:tc>
          <w:tcPr>
            <w:tcW w:w="4678" w:type="dxa"/>
            <w:vAlign w:val="center"/>
          </w:tcPr>
          <w:p w14:paraId="25838C85"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avanzó en la ejecución de las asistencias técnicas de los proyectos RENARE (IGAC–IDEAM-Patrimonio Natural) y SIG-GEO (Municipio de Chía), se realizó la entrega de productos de acuerdo con los tiempos definidos, se avanzó en la asistencia técnica a la Comisión Nacional de Territorios Indígenas (SIG Indígenas) y se inició la asistencia técnica de los proyectos IDE Sector Minero-Energético (Ministerio de Minas y Energía) y el desarrollo e implementación del Geovisor de Corpouraba. Por otra parte, se realizaron trece (13) propuestas técnico económicas para generar Sistemas de información Geográfica entregadas a diferentes entidades.</w:t>
            </w:r>
          </w:p>
        </w:tc>
      </w:tr>
      <w:tr w:rsidR="1D230DC4" w:rsidRPr="00C23D09" w14:paraId="7E17AB4D"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17966EEF" w14:textId="77777777" w:rsidR="1D230DC4" w:rsidRPr="00C23D09" w:rsidRDefault="1D230DC4" w:rsidP="00C23D09">
            <w:pPr>
              <w:jc w:val="center"/>
              <w:rPr>
                <w:sz w:val="14"/>
                <w:szCs w:val="16"/>
                <w:lang w:eastAsia="es-CO"/>
              </w:rPr>
            </w:pPr>
            <w:r w:rsidRPr="00C23D09">
              <w:rPr>
                <w:rFonts w:cs="Arial"/>
                <w:color w:val="000000" w:themeColor="text1"/>
                <w:sz w:val="14"/>
                <w:szCs w:val="16"/>
                <w:lang w:eastAsia="es-CO"/>
              </w:rPr>
              <w:lastRenderedPageBreak/>
              <w:t>Generación de estudios geográficos e investigaciones para la caracterización, análisis y delimitación geográfica del territorio Nacional</w:t>
            </w:r>
          </w:p>
          <w:p w14:paraId="235A92C4" w14:textId="77777777" w:rsidR="1D230DC4" w:rsidRPr="00C23D09" w:rsidRDefault="1D230DC4" w:rsidP="00C23D09">
            <w:pPr>
              <w:jc w:val="center"/>
              <w:rPr>
                <w:sz w:val="14"/>
                <w:szCs w:val="16"/>
                <w:lang w:eastAsia="es-CO"/>
              </w:rPr>
            </w:pPr>
          </w:p>
        </w:tc>
        <w:tc>
          <w:tcPr>
            <w:tcW w:w="1197" w:type="dxa"/>
            <w:vMerge w:val="restart"/>
            <w:vAlign w:val="center"/>
          </w:tcPr>
          <w:p w14:paraId="02FFF0B7"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Documentos de estudios técnicos sobre geografía</w:t>
            </w:r>
          </w:p>
        </w:tc>
        <w:tc>
          <w:tcPr>
            <w:tcW w:w="1166" w:type="dxa"/>
            <w:vAlign w:val="center"/>
          </w:tcPr>
          <w:p w14:paraId="79D4FE8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estudios técnicos sobre geografía elaborados</w:t>
            </w:r>
          </w:p>
        </w:tc>
        <w:tc>
          <w:tcPr>
            <w:tcW w:w="839" w:type="dxa"/>
            <w:vAlign w:val="center"/>
          </w:tcPr>
          <w:p w14:paraId="6A8A7348" w14:textId="0CA0CE6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color w:val="000000" w:themeColor="text1"/>
                <w:sz w:val="14"/>
                <w:szCs w:val="16"/>
                <w:lang w:eastAsia="es-CO"/>
              </w:rPr>
              <w:t>30</w:t>
            </w:r>
          </w:p>
        </w:tc>
        <w:tc>
          <w:tcPr>
            <w:tcW w:w="1002" w:type="dxa"/>
            <w:vAlign w:val="center"/>
          </w:tcPr>
          <w:p w14:paraId="6C3F14B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29</w:t>
            </w:r>
          </w:p>
        </w:tc>
        <w:tc>
          <w:tcPr>
            <w:tcW w:w="463" w:type="dxa"/>
            <w:vAlign w:val="center"/>
          </w:tcPr>
          <w:p w14:paraId="0F3B78AB"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96,6%</w:t>
            </w:r>
          </w:p>
        </w:tc>
        <w:tc>
          <w:tcPr>
            <w:tcW w:w="4678" w:type="dxa"/>
            <w:vAlign w:val="center"/>
          </w:tcPr>
          <w:p w14:paraId="50500557"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Al mes de octubre, se realizaron 29 caracterizaciones territoriales de los municipios de Villavicencio, Fuente de Oro y Mesetas (Meta), Popayán, Arauquita y Tame (Arauca), Rioblanco y Ataco (Tolima), El Guamo, Córdoba, Montecristo y San Jacinto  (Bolívar), Cáceres, El Bagre y Remedios (Antioquia), Valencia (Córdoba), Monterrey y Trinidad (Casanare), Santa Rosalía (Vichada),  Puerto Guzmán y Puerto Leguizamo (Putumayo), Cartagena del Chaira, Puerto Rico y Solano (Caquetá), San José del Guaviare (Guaviare), Mapiripán y San Juan de Arama (Meta) y Colombia (Huila) y San Luis de Cubarral (Meta),  correspondiente a 14.013.755,80 hectáreas</w:t>
            </w:r>
          </w:p>
        </w:tc>
      </w:tr>
      <w:tr w:rsidR="1D230DC4" w:rsidRPr="00C23D09" w14:paraId="1FF88B01" w14:textId="77777777" w:rsidTr="00F76E97">
        <w:trPr>
          <w:cnfStyle w:val="000000100000" w:firstRow="0" w:lastRow="0" w:firstColumn="0" w:lastColumn="0" w:oddVBand="0" w:evenVBand="0" w:oddHBand="1" w:evenHBand="0" w:firstRowFirstColumn="0" w:firstRowLastColumn="0" w:lastRowFirstColumn="0" w:lastRowLastColumn="0"/>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6575B18F" w14:textId="77777777" w:rsidR="00CB3F22" w:rsidRPr="00C23D09" w:rsidRDefault="00CB3F22" w:rsidP="00C23D09">
            <w:pPr>
              <w:jc w:val="center"/>
              <w:rPr>
                <w:sz w:val="14"/>
              </w:rPr>
            </w:pPr>
          </w:p>
        </w:tc>
        <w:tc>
          <w:tcPr>
            <w:tcW w:w="1197" w:type="dxa"/>
            <w:vMerge/>
            <w:vAlign w:val="center"/>
          </w:tcPr>
          <w:p w14:paraId="26ED7C81" w14:textId="77777777" w:rsidR="00CB3F22" w:rsidRPr="00C23D09" w:rsidRDefault="00CB3F22" w:rsidP="00C23D09">
            <w:pPr>
              <w:jc w:val="center"/>
              <w:cnfStyle w:val="000000100000" w:firstRow="0" w:lastRow="0" w:firstColumn="0" w:lastColumn="0" w:oddVBand="0" w:evenVBand="0" w:oddHBand="1" w:evenHBand="0" w:firstRowFirstColumn="0" w:firstRowLastColumn="0" w:lastRowFirstColumn="0" w:lastRowLastColumn="0"/>
              <w:rPr>
                <w:sz w:val="14"/>
              </w:rPr>
            </w:pPr>
          </w:p>
        </w:tc>
        <w:tc>
          <w:tcPr>
            <w:tcW w:w="1166" w:type="dxa"/>
            <w:vAlign w:val="center"/>
          </w:tcPr>
          <w:p w14:paraId="3102420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estudios técnicos de deslindes y de Territorios Indígenas elaborados</w:t>
            </w:r>
          </w:p>
        </w:tc>
        <w:tc>
          <w:tcPr>
            <w:tcW w:w="839" w:type="dxa"/>
            <w:vAlign w:val="center"/>
          </w:tcPr>
          <w:p w14:paraId="07DC493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125</w:t>
            </w:r>
          </w:p>
        </w:tc>
        <w:tc>
          <w:tcPr>
            <w:tcW w:w="1002" w:type="dxa"/>
            <w:vAlign w:val="center"/>
          </w:tcPr>
          <w:p w14:paraId="66F8ED3A"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92</w:t>
            </w:r>
          </w:p>
        </w:tc>
        <w:tc>
          <w:tcPr>
            <w:tcW w:w="463" w:type="dxa"/>
            <w:vAlign w:val="center"/>
          </w:tcPr>
          <w:p w14:paraId="77638BE1"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73,6</w:t>
            </w:r>
          </w:p>
        </w:tc>
        <w:tc>
          <w:tcPr>
            <w:tcW w:w="4678" w:type="dxa"/>
            <w:vAlign w:val="center"/>
          </w:tcPr>
          <w:p w14:paraId="0E9054AD"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Al mes de octubre, se realizaron 80 diagnósticos de límites: Villavicencio-Acacias, Villavicencio -El  Calvario , Santa Rosalía-Primavera, Popayán-Puracé, Popayán-Sotará, Popayán-Totoró, Popayán-Timbío, San Juanito-Fómeque, San Juanito-Junín y San Juanito-Gachalá, Villavicencio, Meta y Valencia, Córdoba, El Bagre (Antioquia), Santa Rosa del Sur (Bolívar), Solano (Caquetá), Mesetas (Meta), Bochalema (Norte de Santander), Monterrey (Casanare), Mirití-Paraná (Amazonas), Santa Rosalía(Vichada), Anorí, Remedios, Segovia y Zaragoza (Antioquia), Cartagena de Indias (Bolívar), Mapiripán, Uribe, Puerto Conconrdia, Puerto Rico y Vista Hermosa (Meta) y San José del Guaviare (Guaviare), Amalfi, Apartadó, Carepa (Antioquia), San Carlos (Córdoba), Miraflores (Guaviare), Mitu, Pacoa (Vaupés), higorodó, Dabeiba, Murindó, Mutatá, Nechí, San Pedro De Urabá, Turbo, Vigía del Fuerte (Antioquia); Ricaurte (Cundinamarca); Nóvita y Riosucio (Chocó, Montecristo (Bolívar),, Valledupar (Cesar), Medio San Juan (Chocó), Colombia (Huila), Cubarral (Meta), San Juan de Arama (Meta), Casanare (Trinidad), Arjona (Bolívar), Paz De Rio (Boyacá), Villa Rica (Cauca), González (Cesar), La Apartada (Córdoba), Bojayá, Carmen Del Darién, Condoto, El Litoral Del San Juan e Istmina (Chocó), El Castillo, El Dorado, Lejanías y San Martín (Meta), Orito (Putumayo), San Francisco (Antioquia), Puerto Colombia (Atlántico), Turbana (Bolívar), Nobsa (Boyacá), Gigante (Huila), Barranca de Upía, Castilla La Nueva, Cumaral, El Calvario, Guamal, Restrepo y San Juanito (Meta), La Tebaida (Quindio), San Felipe (Guainía), Puerto Carreño y La Primavera (Vichada). Asi mismo,  se finalizaron 5 procesos de deslinde correspondientes a tres municipios (Cumaribo, San José del Guaviare e Inírida) con el municipio de Barrancominas, el proceso Vijes-Yumbo y los procesos municipales de El Retiro –Envigado (Antioquia) y Fredonia - Venecia (Antioquia). Adicionalmente, Se avanzó en la realización de las sesiones de deslinde de los procesos de Segovia Remedios (Antioquia), deslinde departamental Norte de Santander – Boyacá (Toledo – Cubará) y el deslinde municipal Cocorná – Santuario (Antioquia). Así mismo, se avanzó con la realización de la sesión No.5 del deslinde distrital Bogotá D.C. – La Calera aperturado en el 2021. Se atendieron requerimientos referentes a fronteras internacionales, resguardos y territorios colectivos. Se emitieron dos (2) informes de asesoría para los procesos de constitución de los resguardos indígenas Inti Yaku y Nukajat Maleiwa. En cuanto a Comunidades Negras, se emitieron ocho (8) informes de asesoría para la titulación de los consejos comunitarios Versabal, Campo Alegre, La Esperanza, La Betulia, Panamá de Arauca, Magen de Mi, Rio Palo y La Diáspora.</w:t>
            </w:r>
          </w:p>
        </w:tc>
      </w:tr>
      <w:tr w:rsidR="1D230DC4" w:rsidRPr="00C23D09" w14:paraId="72C81765" w14:textId="77777777" w:rsidTr="00F76E97">
        <w:trPr>
          <w:trHeight w:val="1274"/>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34C74B13" w14:textId="77777777" w:rsidR="00CB3F22" w:rsidRPr="00C23D09" w:rsidRDefault="00CB3F22" w:rsidP="00C23D09">
            <w:pPr>
              <w:jc w:val="center"/>
              <w:rPr>
                <w:sz w:val="14"/>
              </w:rPr>
            </w:pPr>
          </w:p>
        </w:tc>
        <w:tc>
          <w:tcPr>
            <w:tcW w:w="1197" w:type="dxa"/>
            <w:vAlign w:val="center"/>
          </w:tcPr>
          <w:p w14:paraId="2E7AFBAB"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Servicio de información geográfica, geodésica y cartográfica</w:t>
            </w:r>
          </w:p>
        </w:tc>
        <w:tc>
          <w:tcPr>
            <w:tcW w:w="1166" w:type="dxa"/>
            <w:vAlign w:val="center"/>
          </w:tcPr>
          <w:p w14:paraId="7EAD0A0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Datos publicados de información geográfica, geodésica y cartográfica</w:t>
            </w:r>
          </w:p>
        </w:tc>
        <w:tc>
          <w:tcPr>
            <w:tcW w:w="839" w:type="dxa"/>
            <w:vAlign w:val="center"/>
          </w:tcPr>
          <w:p w14:paraId="4F8272B1"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4</w:t>
            </w:r>
          </w:p>
        </w:tc>
        <w:tc>
          <w:tcPr>
            <w:tcW w:w="1002" w:type="dxa"/>
            <w:vAlign w:val="center"/>
          </w:tcPr>
          <w:p w14:paraId="6A2FB3DF"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4</w:t>
            </w:r>
          </w:p>
        </w:tc>
        <w:tc>
          <w:tcPr>
            <w:tcW w:w="463" w:type="dxa"/>
            <w:vAlign w:val="center"/>
          </w:tcPr>
          <w:p w14:paraId="523A7EA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100%</w:t>
            </w:r>
          </w:p>
        </w:tc>
        <w:tc>
          <w:tcPr>
            <w:tcW w:w="4678" w:type="dxa"/>
            <w:vAlign w:val="center"/>
          </w:tcPr>
          <w:p w14:paraId="7353DB1E"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Al mes de octubre,  se actualizó la información de clasificación del suelo dispuesta en Colombia en Mapas para un total de 141 municipios</w:t>
            </w:r>
          </w:p>
        </w:tc>
      </w:tr>
      <w:tr w:rsidR="1D230DC4" w:rsidRPr="00C23D09" w14:paraId="457AC9C8" w14:textId="77777777" w:rsidTr="00F76E97">
        <w:trPr>
          <w:cnfStyle w:val="000000100000" w:firstRow="0" w:lastRow="0" w:firstColumn="0" w:lastColumn="0" w:oddVBand="0" w:evenVBand="0" w:oddHBand="1" w:evenHBand="0" w:firstRowFirstColumn="0" w:firstRowLastColumn="0" w:lastRowFirstColumn="0" w:lastRowLastColumn="0"/>
          <w:trHeight w:val="916"/>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3F0B1C4C" w14:textId="77777777" w:rsidR="1D230DC4" w:rsidRPr="00C23D09" w:rsidRDefault="1D230DC4" w:rsidP="00C23D09">
            <w:pPr>
              <w:jc w:val="center"/>
              <w:rPr>
                <w:sz w:val="14"/>
                <w:szCs w:val="16"/>
                <w:lang w:eastAsia="es-CO"/>
              </w:rPr>
            </w:pPr>
            <w:r w:rsidRPr="00C23D09">
              <w:rPr>
                <w:rFonts w:cs="Arial"/>
                <w:color w:val="000000" w:themeColor="text1"/>
                <w:sz w:val="14"/>
                <w:szCs w:val="16"/>
                <w:lang w:eastAsia="es-CO"/>
              </w:rPr>
              <w:t>Fortalecimiento de la infraestructura física del IGAC a nivel Nacional</w:t>
            </w:r>
          </w:p>
        </w:tc>
        <w:tc>
          <w:tcPr>
            <w:tcW w:w="1197" w:type="dxa"/>
            <w:vAlign w:val="center"/>
          </w:tcPr>
          <w:p w14:paraId="349CFE6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Sedes con reforzamiento estructural</w:t>
            </w:r>
          </w:p>
        </w:tc>
        <w:tc>
          <w:tcPr>
            <w:tcW w:w="1166" w:type="dxa"/>
            <w:vAlign w:val="center"/>
          </w:tcPr>
          <w:p w14:paraId="43BD9087"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Sedes con reforzamiento estructural</w:t>
            </w:r>
          </w:p>
        </w:tc>
        <w:tc>
          <w:tcPr>
            <w:tcW w:w="839" w:type="dxa"/>
            <w:vAlign w:val="center"/>
          </w:tcPr>
          <w:p w14:paraId="16F89F9C" w14:textId="101B0FAD"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color w:val="000000" w:themeColor="text1"/>
                <w:sz w:val="14"/>
                <w:szCs w:val="16"/>
                <w:lang w:eastAsia="es-CO"/>
              </w:rPr>
              <w:t>1</w:t>
            </w:r>
          </w:p>
        </w:tc>
        <w:tc>
          <w:tcPr>
            <w:tcW w:w="1002" w:type="dxa"/>
            <w:vAlign w:val="center"/>
          </w:tcPr>
          <w:p w14:paraId="402627FB"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0</w:t>
            </w:r>
          </w:p>
        </w:tc>
        <w:tc>
          <w:tcPr>
            <w:tcW w:w="463" w:type="dxa"/>
            <w:vAlign w:val="center"/>
          </w:tcPr>
          <w:p w14:paraId="27F0EEBD"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0%</w:t>
            </w:r>
          </w:p>
        </w:tc>
        <w:tc>
          <w:tcPr>
            <w:tcW w:w="4678" w:type="dxa"/>
            <w:vAlign w:val="center"/>
          </w:tcPr>
          <w:p w14:paraId="51237771" w14:textId="4675E983"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Se realizó un traslado presupuestal a la Dirección Territorial Bolívar para contratar la consultoría y diseños para la restauración y reforzamiento de la estructura, incluido el proceso de licenciamiento de la sede de la Territorial Bolívar, el cual, se encuentra en ejecución</w:t>
            </w:r>
          </w:p>
        </w:tc>
      </w:tr>
      <w:tr w:rsidR="1D230DC4" w:rsidRPr="00C23D09" w14:paraId="7A4A9F0F" w14:textId="77777777" w:rsidTr="00F76E97">
        <w:trPr>
          <w:trHeight w:val="916"/>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17FD7AF7" w14:textId="77777777" w:rsidR="00CB3F22" w:rsidRPr="00C23D09" w:rsidRDefault="00CB3F22" w:rsidP="00C23D09">
            <w:pPr>
              <w:jc w:val="center"/>
              <w:rPr>
                <w:sz w:val="14"/>
              </w:rPr>
            </w:pPr>
          </w:p>
        </w:tc>
        <w:tc>
          <w:tcPr>
            <w:tcW w:w="1197" w:type="dxa"/>
            <w:vAlign w:val="center"/>
          </w:tcPr>
          <w:p w14:paraId="3DF4DE94"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Sedes mantenidas</w:t>
            </w:r>
          </w:p>
        </w:tc>
        <w:tc>
          <w:tcPr>
            <w:tcW w:w="1166" w:type="dxa"/>
            <w:vAlign w:val="center"/>
          </w:tcPr>
          <w:p w14:paraId="1537212C"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Sedes mantenidas</w:t>
            </w:r>
          </w:p>
        </w:tc>
        <w:tc>
          <w:tcPr>
            <w:tcW w:w="839" w:type="dxa"/>
            <w:vAlign w:val="center"/>
          </w:tcPr>
          <w:p w14:paraId="23C57DC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11</w:t>
            </w:r>
          </w:p>
        </w:tc>
        <w:tc>
          <w:tcPr>
            <w:tcW w:w="1002" w:type="dxa"/>
            <w:vAlign w:val="center"/>
          </w:tcPr>
          <w:p w14:paraId="699B4710"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0</w:t>
            </w:r>
          </w:p>
        </w:tc>
        <w:tc>
          <w:tcPr>
            <w:tcW w:w="463" w:type="dxa"/>
            <w:vAlign w:val="center"/>
          </w:tcPr>
          <w:p w14:paraId="4311DB8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0%</w:t>
            </w:r>
          </w:p>
        </w:tc>
        <w:tc>
          <w:tcPr>
            <w:tcW w:w="4678" w:type="dxa"/>
            <w:vAlign w:val="center"/>
          </w:tcPr>
          <w:p w14:paraId="1BBE6241" w14:textId="2745D2FD"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rPr>
              <w:t xml:space="preserve">Se han realizado el mantenimiento de los aires acondicionados, mantenimiento de ascensores en la sede central, se cuenta adicionalmente procesos de suministro material eléctrico para redes para las instalaciones en la sede de Casanare, compra de elementos para la impermeabilización techos sede central, </w:t>
            </w:r>
            <w:r w:rsidRPr="00C23D09">
              <w:rPr>
                <w:rFonts w:cs="Arial"/>
                <w:sz w:val="14"/>
                <w:szCs w:val="16"/>
              </w:rPr>
              <w:lastRenderedPageBreak/>
              <w:t>recarga de los extintores del Instituto Geográfico Agustín Codazzi, adquisición de contenedores de basura y realización de reparaciones y adecuaciones locativas de las instalaciones para la DT del Valle del Cauca y Tolima, incluidos materiales y elementos necesarios. Estos procesos se encuentran en ejecución, por lo que no se han podido reportar como terminados.</w:t>
            </w:r>
          </w:p>
        </w:tc>
      </w:tr>
      <w:tr w:rsidR="1D230DC4" w:rsidRPr="00C23D09" w14:paraId="16E96709" w14:textId="77777777" w:rsidTr="00F76E97">
        <w:trPr>
          <w:cnfStyle w:val="000000100000" w:firstRow="0" w:lastRow="0" w:firstColumn="0" w:lastColumn="0" w:oddVBand="0" w:evenVBand="0" w:oddHBand="1" w:evenHBand="0" w:firstRowFirstColumn="0" w:firstRowLastColumn="0" w:lastRowFirstColumn="0" w:lastRowLastColumn="0"/>
          <w:trHeight w:val="916"/>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0652179A" w14:textId="77777777" w:rsidR="00CB3F22" w:rsidRPr="00C23D09" w:rsidRDefault="00CB3F22" w:rsidP="00C23D09">
            <w:pPr>
              <w:jc w:val="center"/>
              <w:rPr>
                <w:sz w:val="14"/>
              </w:rPr>
            </w:pPr>
          </w:p>
        </w:tc>
        <w:tc>
          <w:tcPr>
            <w:tcW w:w="1197" w:type="dxa"/>
            <w:vAlign w:val="center"/>
          </w:tcPr>
          <w:p w14:paraId="50664570"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Sedes adecuadas</w:t>
            </w:r>
          </w:p>
        </w:tc>
        <w:tc>
          <w:tcPr>
            <w:tcW w:w="1166" w:type="dxa"/>
            <w:vAlign w:val="center"/>
          </w:tcPr>
          <w:p w14:paraId="07BE086F"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Sedes adecuadas</w:t>
            </w:r>
          </w:p>
        </w:tc>
        <w:tc>
          <w:tcPr>
            <w:tcW w:w="839" w:type="dxa"/>
            <w:vAlign w:val="center"/>
          </w:tcPr>
          <w:p w14:paraId="4616D3A5"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4</w:t>
            </w:r>
          </w:p>
        </w:tc>
        <w:tc>
          <w:tcPr>
            <w:tcW w:w="1002" w:type="dxa"/>
            <w:vAlign w:val="center"/>
          </w:tcPr>
          <w:p w14:paraId="18CBBAC9"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3</w:t>
            </w:r>
          </w:p>
        </w:tc>
        <w:tc>
          <w:tcPr>
            <w:tcW w:w="463" w:type="dxa"/>
            <w:vAlign w:val="center"/>
          </w:tcPr>
          <w:p w14:paraId="5725B17E"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75%</w:t>
            </w:r>
          </w:p>
        </w:tc>
        <w:tc>
          <w:tcPr>
            <w:tcW w:w="4678" w:type="dxa"/>
            <w:vAlign w:val="center"/>
          </w:tcPr>
          <w:p w14:paraId="2FA5255E" w14:textId="1D1D464E" w:rsidR="1D230DC4" w:rsidRPr="00C23D09" w:rsidRDefault="1D230DC4" w:rsidP="00C72779">
            <w:pPr>
              <w:pStyle w:val="Default"/>
              <w:jc w:val="both"/>
              <w:cnfStyle w:val="000000100000" w:firstRow="0" w:lastRow="0" w:firstColumn="0" w:lastColumn="0" w:oddVBand="0" w:evenVBand="0" w:oddHBand="1" w:evenHBand="0" w:firstRowFirstColumn="0" w:firstRowLastColumn="0" w:lastRowFirstColumn="0" w:lastRowLastColumn="0"/>
              <w:rPr>
                <w:color w:val="000000" w:themeColor="text1"/>
                <w:sz w:val="14"/>
                <w:szCs w:val="16"/>
                <w:lang w:val="es-ES" w:eastAsia="es-CO"/>
              </w:rPr>
            </w:pPr>
            <w:r w:rsidRPr="00C23D09">
              <w:rPr>
                <w:color w:val="000000" w:themeColor="text1"/>
                <w:sz w:val="14"/>
                <w:szCs w:val="16"/>
                <w:lang w:val="es-ES" w:eastAsia="es-CO"/>
              </w:rPr>
              <w:t>Se realizó el traslado de bienes UOC a las DT Boyacá y Valle, adicionalmente se pintó y resanó los predios UOC de la DT Valle y Magdalena</w:t>
            </w:r>
          </w:p>
          <w:p w14:paraId="186C0777" w14:textId="1D1D464E" w:rsidR="1D230DC4" w:rsidRPr="00C23D09" w:rsidRDefault="1D230DC4" w:rsidP="00C72779">
            <w:pPr>
              <w:pStyle w:val="Default"/>
              <w:jc w:val="both"/>
              <w:cnfStyle w:val="000000100000" w:firstRow="0" w:lastRow="0" w:firstColumn="0" w:lastColumn="0" w:oddVBand="0" w:evenVBand="0" w:oddHBand="1" w:evenHBand="0" w:firstRowFirstColumn="0" w:firstRowLastColumn="0" w:lastRowFirstColumn="0" w:lastRowLastColumn="0"/>
              <w:rPr>
                <w:color w:val="000000" w:themeColor="text1"/>
                <w:sz w:val="14"/>
                <w:szCs w:val="16"/>
                <w:lang w:val="es-ES" w:eastAsia="es-CO"/>
              </w:rPr>
            </w:pPr>
            <w:r w:rsidRPr="00C23D09">
              <w:rPr>
                <w:color w:val="000000" w:themeColor="text1"/>
                <w:sz w:val="14"/>
                <w:szCs w:val="16"/>
                <w:lang w:val="es-ES" w:eastAsia="es-CO"/>
              </w:rPr>
              <w:t>Se ha realizado los pagos respectivos al arrendamiento de bien inmueble para el funcionamiento de la dirección territorial Casanare</w:t>
            </w:r>
          </w:p>
          <w:p w14:paraId="52DE57F4" w14:textId="1D1D464E" w:rsidR="1D230DC4" w:rsidRPr="00C23D09" w:rsidRDefault="1D230DC4"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p>
        </w:tc>
      </w:tr>
      <w:tr w:rsidR="1D230DC4" w:rsidRPr="00C23D09" w14:paraId="37EC3562" w14:textId="77777777" w:rsidTr="00F76E97">
        <w:trPr>
          <w:trHeight w:val="916"/>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4E4B5AAD" w14:textId="77777777" w:rsidR="1D230DC4" w:rsidRPr="00C23D09" w:rsidRDefault="1D230DC4" w:rsidP="00C23D09">
            <w:pPr>
              <w:jc w:val="center"/>
              <w:rPr>
                <w:rFonts w:cs="Arial"/>
                <w:color w:val="000000" w:themeColor="text1"/>
                <w:sz w:val="14"/>
                <w:szCs w:val="16"/>
                <w:lang w:eastAsia="es-CO"/>
              </w:rPr>
            </w:pPr>
            <w:r w:rsidRPr="00C23D09">
              <w:rPr>
                <w:rFonts w:cs="Arial"/>
                <w:color w:val="000000" w:themeColor="text1"/>
                <w:sz w:val="14"/>
                <w:szCs w:val="16"/>
                <w:lang w:eastAsia="es-CO"/>
              </w:rPr>
              <w:t>Fortalecimiento de los procesos de difusión y acceso a la información geográfica a nivel Nacional</w:t>
            </w:r>
          </w:p>
          <w:p w14:paraId="2144ED89" w14:textId="77777777" w:rsidR="1D230DC4" w:rsidRPr="00C23D09" w:rsidRDefault="1D230DC4" w:rsidP="00C23D09">
            <w:pPr>
              <w:jc w:val="center"/>
              <w:rPr>
                <w:rFonts w:cs="Arial"/>
                <w:color w:val="000000" w:themeColor="text1"/>
                <w:sz w:val="14"/>
                <w:szCs w:val="16"/>
                <w:lang w:eastAsia="es-CO"/>
              </w:rPr>
            </w:pPr>
          </w:p>
        </w:tc>
        <w:tc>
          <w:tcPr>
            <w:tcW w:w="1197" w:type="dxa"/>
            <w:vAlign w:val="center"/>
          </w:tcPr>
          <w:p w14:paraId="722EED7F"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Servicios de información implementados</w:t>
            </w:r>
          </w:p>
        </w:tc>
        <w:tc>
          <w:tcPr>
            <w:tcW w:w="1166" w:type="dxa"/>
            <w:vAlign w:val="center"/>
          </w:tcPr>
          <w:p w14:paraId="7A55918B"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Sistemas de información implementados</w:t>
            </w:r>
          </w:p>
        </w:tc>
        <w:tc>
          <w:tcPr>
            <w:tcW w:w="839" w:type="dxa"/>
            <w:vAlign w:val="center"/>
          </w:tcPr>
          <w:p w14:paraId="1822CF05" w14:textId="7935138C"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w:t>
            </w:r>
          </w:p>
        </w:tc>
        <w:tc>
          <w:tcPr>
            <w:tcW w:w="1002" w:type="dxa"/>
            <w:vAlign w:val="center"/>
          </w:tcPr>
          <w:p w14:paraId="3CE00A6A"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463" w:type="dxa"/>
            <w:vAlign w:val="center"/>
          </w:tcPr>
          <w:p w14:paraId="619ED5D1"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50%</w:t>
            </w:r>
          </w:p>
        </w:tc>
        <w:tc>
          <w:tcPr>
            <w:tcW w:w="4678" w:type="dxa"/>
            <w:vAlign w:val="center"/>
          </w:tcPr>
          <w:p w14:paraId="6000A15E" w14:textId="6F13FABF"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realizó el lanzamiento de la Plataforma Única de Trámites VIVI como sistema de información implementado, esta plataforma permite realizar diferentes solicitudes de trámites en la entidad. II.Se realizaron diferentes actividades para fortalecer la difusión de la información estratégica de la entidad en los canales digitales y presenciales como: Centro de Información Geográfica - CIG, biblioteca virtual y presencial, canales alternativos como página web, redes sociales, virtual, así mismo foros y trasmisiones en vivo para difundir los avances e implementación relacionados con la Política de Catastro Multipropósito en los diferentes medios de comunicación a nivel nacional. III. Permanentemente se difunde información sobre la misionalidad de entidad a través de sus canales digitales y/o presenciales como página web, medios de comunicación interna y externa redes sociales y Centro de Información Geográfica.  IV. De manera recurrente se atienden diferentes ciudadanos que solicitan los productos y/o servicios de la entidad a través de los canales digitales y físicos.</w:t>
            </w:r>
          </w:p>
        </w:tc>
      </w:tr>
      <w:tr w:rsidR="1D230DC4" w:rsidRPr="00C23D09" w14:paraId="1A49F3C4" w14:textId="77777777" w:rsidTr="00F76E97">
        <w:trPr>
          <w:cnfStyle w:val="000000100000" w:firstRow="0" w:lastRow="0" w:firstColumn="0" w:lastColumn="0" w:oddVBand="0" w:evenVBand="0" w:oddHBand="1" w:evenHBand="0" w:firstRowFirstColumn="0" w:firstRowLastColumn="0" w:lastRowFirstColumn="0" w:lastRowLastColumn="0"/>
          <w:trHeight w:val="916"/>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0EE6501B" w14:textId="77777777" w:rsidR="00CB3F22" w:rsidRPr="00C23D09" w:rsidRDefault="00CB3F22" w:rsidP="00C23D09">
            <w:pPr>
              <w:jc w:val="center"/>
              <w:rPr>
                <w:sz w:val="14"/>
              </w:rPr>
            </w:pPr>
          </w:p>
        </w:tc>
        <w:tc>
          <w:tcPr>
            <w:tcW w:w="1197" w:type="dxa"/>
            <w:vAlign w:val="center"/>
          </w:tcPr>
          <w:p w14:paraId="7F2A4802" w14:textId="043BC871"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Lineamientos Técnicos</w:t>
            </w:r>
          </w:p>
        </w:tc>
        <w:tc>
          <w:tcPr>
            <w:tcW w:w="1166" w:type="dxa"/>
            <w:vAlign w:val="center"/>
          </w:tcPr>
          <w:p w14:paraId="52468AA9"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Documentos de lineamientos técnicos realizados</w:t>
            </w:r>
          </w:p>
        </w:tc>
        <w:tc>
          <w:tcPr>
            <w:tcW w:w="839" w:type="dxa"/>
            <w:vAlign w:val="center"/>
          </w:tcPr>
          <w:p w14:paraId="68C0D4D8"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2</w:t>
            </w:r>
          </w:p>
        </w:tc>
        <w:tc>
          <w:tcPr>
            <w:tcW w:w="1002" w:type="dxa"/>
            <w:vAlign w:val="center"/>
          </w:tcPr>
          <w:p w14:paraId="3B2F10B3"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tc>
        <w:tc>
          <w:tcPr>
            <w:tcW w:w="463" w:type="dxa"/>
            <w:vAlign w:val="center"/>
          </w:tcPr>
          <w:p w14:paraId="4CD8EE0D" w14:textId="77777777" w:rsidR="1D230DC4" w:rsidRPr="00C23D09" w:rsidRDefault="1D230DC4" w:rsidP="00C23D0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50%</w:t>
            </w:r>
          </w:p>
        </w:tc>
        <w:tc>
          <w:tcPr>
            <w:tcW w:w="4678" w:type="dxa"/>
            <w:vAlign w:val="center"/>
          </w:tcPr>
          <w:p w14:paraId="07F9B67E"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Se formuló y entregó el producto: 1. Plan Estratégico de Comunicaciones, el cual se viene ejecutando a la fecha según lo programado, Plan estratégico diseñado para fortalecer la difusión de temas misionales de la entidad y principalmente de cara a los avances, retos, y lineamientos de la Política de catastro multipropósito como uno de los compromisos de la entidad en el Marco del "Pacto por la Descentralización del PND 2018-2022". </w:t>
            </w:r>
          </w:p>
          <w:p w14:paraId="43B4A6E2" w14:textId="77777777" w:rsidR="1D230DC4" w:rsidRPr="00C23D09" w:rsidRDefault="1D230DC4"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p>
          <w:p w14:paraId="40A466FB" w14:textId="77777777"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viene avanzando en el Plan de Mercadeo, el cual se mide principalmente por el indicador de ingresos propios de la entidad, así como el diseño de estrategias desde el Gobierno Nacional, para apoyar el cumplimiento de la meta de Catastro Multipropósito, con herramientas accesibles a las entidades territoriales y fuentes de financiación a las que pueden acceder.</w:t>
            </w:r>
          </w:p>
        </w:tc>
      </w:tr>
      <w:tr w:rsidR="1D230DC4" w:rsidRPr="00C23D09" w14:paraId="78D590B2" w14:textId="77777777" w:rsidTr="00F76E97">
        <w:trPr>
          <w:trHeight w:val="943"/>
          <w:jc w:val="center"/>
        </w:trPr>
        <w:tc>
          <w:tcPr>
            <w:cnfStyle w:val="001000000000" w:firstRow="0" w:lastRow="0" w:firstColumn="1" w:lastColumn="0" w:oddVBand="0" w:evenVBand="0" w:oddHBand="0" w:evenHBand="0" w:firstRowFirstColumn="0" w:firstRowLastColumn="0" w:lastRowFirstColumn="0" w:lastRowLastColumn="0"/>
            <w:tcW w:w="1282" w:type="dxa"/>
            <w:vMerge w:val="restart"/>
            <w:vAlign w:val="center"/>
          </w:tcPr>
          <w:p w14:paraId="2B38ACBC" w14:textId="77777777" w:rsidR="1D230DC4" w:rsidRPr="00C23D09" w:rsidRDefault="1D230DC4" w:rsidP="00C23D09">
            <w:pPr>
              <w:jc w:val="center"/>
              <w:rPr>
                <w:sz w:val="14"/>
                <w:szCs w:val="16"/>
                <w:lang w:eastAsia="es-CO"/>
              </w:rPr>
            </w:pPr>
            <w:r w:rsidRPr="00C23D09">
              <w:rPr>
                <w:rFonts w:cs="Arial"/>
                <w:color w:val="000000" w:themeColor="text1"/>
                <w:sz w:val="14"/>
                <w:szCs w:val="16"/>
                <w:lang w:eastAsia="es-CO"/>
              </w:rPr>
              <w:t>Implementación de un sistema de gestión documental en el IGAC a nivel Nacional</w:t>
            </w:r>
          </w:p>
          <w:p w14:paraId="1BA28868" w14:textId="77777777" w:rsidR="1D230DC4" w:rsidRPr="00C23D09" w:rsidRDefault="1D230DC4" w:rsidP="00C23D09">
            <w:pPr>
              <w:jc w:val="center"/>
              <w:rPr>
                <w:sz w:val="14"/>
                <w:szCs w:val="16"/>
                <w:lang w:eastAsia="es-CO"/>
              </w:rPr>
            </w:pPr>
          </w:p>
        </w:tc>
        <w:tc>
          <w:tcPr>
            <w:tcW w:w="1197" w:type="dxa"/>
            <w:vAlign w:val="center"/>
          </w:tcPr>
          <w:p w14:paraId="5912BB09"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Servicio de Gestión Documental</w:t>
            </w:r>
          </w:p>
        </w:tc>
        <w:tc>
          <w:tcPr>
            <w:tcW w:w="1166" w:type="dxa"/>
            <w:vAlign w:val="center"/>
          </w:tcPr>
          <w:p w14:paraId="5DC81AC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 de gestión documental implementado</w:t>
            </w:r>
          </w:p>
        </w:tc>
        <w:tc>
          <w:tcPr>
            <w:tcW w:w="839" w:type="dxa"/>
            <w:vAlign w:val="center"/>
          </w:tcPr>
          <w:p w14:paraId="2D336E1F" w14:textId="04853DCB"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color w:val="000000" w:themeColor="text1"/>
                <w:sz w:val="14"/>
                <w:szCs w:val="16"/>
                <w:lang w:eastAsia="es-CO"/>
              </w:rPr>
              <w:t>1</w:t>
            </w:r>
          </w:p>
        </w:tc>
        <w:tc>
          <w:tcPr>
            <w:tcW w:w="1002" w:type="dxa"/>
            <w:vAlign w:val="center"/>
          </w:tcPr>
          <w:p w14:paraId="0EEC0F6C" w14:textId="06A044B4"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color w:val="000000" w:themeColor="text1"/>
                <w:sz w:val="14"/>
                <w:szCs w:val="16"/>
                <w:lang w:eastAsia="es-CO"/>
              </w:rPr>
              <w:t>0,72</w:t>
            </w:r>
          </w:p>
        </w:tc>
        <w:tc>
          <w:tcPr>
            <w:tcW w:w="463" w:type="dxa"/>
            <w:vAlign w:val="center"/>
          </w:tcPr>
          <w:p w14:paraId="2D40CED8" w14:textId="77777777" w:rsidR="1D230DC4" w:rsidRPr="00C23D09" w:rsidRDefault="1D230DC4" w:rsidP="00C23D09">
            <w:pPr>
              <w:jc w:val="center"/>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sz w:val="14"/>
                <w:szCs w:val="16"/>
                <w:lang w:eastAsia="es-CO"/>
              </w:rPr>
              <w:t>72%</w:t>
            </w:r>
          </w:p>
        </w:tc>
        <w:tc>
          <w:tcPr>
            <w:tcW w:w="4678" w:type="dxa"/>
            <w:vAlign w:val="center"/>
          </w:tcPr>
          <w:p w14:paraId="1FE4B6F0" w14:textId="1975AB0D"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rPr>
            </w:pPr>
            <w:r w:rsidRPr="00C23D09">
              <w:rPr>
                <w:rFonts w:cs="Arial"/>
                <w:color w:val="000000" w:themeColor="text1"/>
                <w:sz w:val="14"/>
                <w:szCs w:val="16"/>
              </w:rPr>
              <w:t>Se ha realizado el seguimiento a la convalidación de las TRD enviadas al AGN, frente a estas la AGN solicitó ajustes los cuales se están llevando a cabo. Se envió a la AGN las respuestas a las observaciones allegadas para la convalidación de las TRD, el jueves 21 de octubre se llevó a cabo mesa de trabajo con el AGN, cuyo propósito se enmarcó en la verificación y aprobación de los Ajustes realizados a las TRD en proceso de convalidación, posteriormente el lunes 1 de Noviembre se remitió Cuadro Resumen de las TRD del IGAC, como requisito indispensable para presentar la sustentación de las Tablas en Precomité ante el AGN el próximo martes 9 de noviembre de 2021</w:t>
            </w:r>
          </w:p>
          <w:p w14:paraId="201CFC69" w14:textId="77777777"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rPr>
            </w:pPr>
          </w:p>
          <w:p w14:paraId="14D93DB5" w14:textId="4BD0DA0D"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rPr>
            </w:pPr>
            <w:r w:rsidRPr="00C23D09">
              <w:rPr>
                <w:rFonts w:cs="Arial"/>
                <w:color w:val="000000" w:themeColor="text1"/>
                <w:sz w:val="14"/>
                <w:szCs w:val="16"/>
              </w:rPr>
              <w:t>Se remitió correo electrónico a cada una de las Oficinas Productoras del Nivel Central, cuyo propósito se enmarcó en solicitar agenda para la aplicación de Encuesta del Diagnóstico Integral de Archivos a cada una de las Oficina en mención, encuesta que será aplicada durante la segunda y tercera semana del mes de septiembre, durante el mes de Octubre se realizó levantamiento de Información a partir de la aplicación de Formato para Encuesta de Diagnóstico a 5 Oficinas Productoras del Nivel Central</w:t>
            </w:r>
          </w:p>
          <w:p w14:paraId="2690B122" w14:textId="25C155D9"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themeColor="text1"/>
                <w:sz w:val="14"/>
                <w:szCs w:val="16"/>
              </w:rPr>
            </w:pPr>
          </w:p>
          <w:p w14:paraId="1308B72F" w14:textId="6DC50575" w:rsidR="1D230DC4" w:rsidRPr="00C23D09" w:rsidRDefault="1D230DC4" w:rsidP="00C72779">
            <w:pPr>
              <w:jc w:val="both"/>
              <w:cnfStyle w:val="000000000000" w:firstRow="0" w:lastRow="0" w:firstColumn="0" w:lastColumn="0" w:oddVBand="0" w:evenVBand="0" w:oddHBand="0" w:evenHBand="0" w:firstRowFirstColumn="0" w:firstRowLastColumn="0" w:lastRowFirstColumn="0" w:lastRowLastColumn="0"/>
              <w:rPr>
                <w:rFonts w:cs="Arial"/>
                <w:sz w:val="14"/>
                <w:szCs w:val="16"/>
                <w:lang w:eastAsia="es-CO"/>
              </w:rPr>
            </w:pPr>
            <w:r w:rsidRPr="00C23D09">
              <w:rPr>
                <w:rFonts w:cs="Arial"/>
                <w:color w:val="000000" w:themeColor="text1"/>
                <w:sz w:val="14"/>
                <w:szCs w:val="16"/>
              </w:rPr>
              <w:t>Se ha realizado la intervención de 46.5 metros lineales.</w:t>
            </w:r>
          </w:p>
        </w:tc>
      </w:tr>
      <w:tr w:rsidR="1D230DC4" w:rsidRPr="00C23D09" w14:paraId="37B1BBC9" w14:textId="77777777" w:rsidTr="00F76E97">
        <w:trPr>
          <w:cnfStyle w:val="000000100000" w:firstRow="0" w:lastRow="0" w:firstColumn="0" w:lastColumn="0" w:oddVBand="0" w:evenVBand="0" w:oddHBand="1" w:evenHBand="0" w:firstRowFirstColumn="0" w:firstRowLastColumn="0" w:lastRowFirstColumn="0" w:lastRowLastColumn="0"/>
          <w:trHeight w:val="1402"/>
          <w:jc w:val="center"/>
        </w:trPr>
        <w:tc>
          <w:tcPr>
            <w:cnfStyle w:val="001000000000" w:firstRow="0" w:lastRow="0" w:firstColumn="1" w:lastColumn="0" w:oddVBand="0" w:evenVBand="0" w:oddHBand="0" w:evenHBand="0" w:firstRowFirstColumn="0" w:firstRowLastColumn="0" w:lastRowFirstColumn="0" w:lastRowLastColumn="0"/>
            <w:tcW w:w="1282" w:type="dxa"/>
            <w:vMerge/>
            <w:vAlign w:val="center"/>
          </w:tcPr>
          <w:p w14:paraId="63AF39D3" w14:textId="77777777" w:rsidR="00CB3F22" w:rsidRPr="00C23D09" w:rsidRDefault="00CB3F22" w:rsidP="00C23D09">
            <w:pPr>
              <w:jc w:val="center"/>
              <w:rPr>
                <w:sz w:val="14"/>
              </w:rPr>
            </w:pPr>
          </w:p>
        </w:tc>
        <w:tc>
          <w:tcPr>
            <w:tcW w:w="1197" w:type="dxa"/>
            <w:vAlign w:val="center"/>
          </w:tcPr>
          <w:p w14:paraId="13AF1B29" w14:textId="77777777" w:rsidR="1D230DC4" w:rsidRPr="00C23D09"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Servicios de información implementados</w:t>
            </w:r>
          </w:p>
        </w:tc>
        <w:tc>
          <w:tcPr>
            <w:tcW w:w="1166" w:type="dxa"/>
            <w:vAlign w:val="center"/>
          </w:tcPr>
          <w:p w14:paraId="5C87A9E7" w14:textId="77777777" w:rsidR="1D230DC4" w:rsidRPr="00C23D09"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Sistemas de información implementados</w:t>
            </w:r>
          </w:p>
        </w:tc>
        <w:tc>
          <w:tcPr>
            <w:tcW w:w="839" w:type="dxa"/>
            <w:vAlign w:val="center"/>
          </w:tcPr>
          <w:p w14:paraId="40279BAB" w14:textId="491EBEC7" w:rsidR="00C23D09" w:rsidRPr="00F76E97"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1</w:t>
            </w:r>
          </w:p>
          <w:p w14:paraId="7027D159" w14:textId="77777777" w:rsidR="1D230DC4" w:rsidRPr="00C23D09"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p>
        </w:tc>
        <w:tc>
          <w:tcPr>
            <w:tcW w:w="1002" w:type="dxa"/>
            <w:vAlign w:val="center"/>
          </w:tcPr>
          <w:p w14:paraId="3D71C1E2" w14:textId="77777777" w:rsidR="1D230DC4" w:rsidRPr="00C23D09"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0,35</w:t>
            </w:r>
          </w:p>
        </w:tc>
        <w:tc>
          <w:tcPr>
            <w:tcW w:w="463" w:type="dxa"/>
            <w:vAlign w:val="center"/>
          </w:tcPr>
          <w:p w14:paraId="07E4F3A8" w14:textId="77777777" w:rsidR="1D230DC4" w:rsidRPr="00C23D09" w:rsidRDefault="1D230DC4" w:rsidP="00F76E97">
            <w:pPr>
              <w:jc w:val="center"/>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sz w:val="14"/>
                <w:szCs w:val="16"/>
                <w:lang w:eastAsia="es-CO"/>
              </w:rPr>
              <w:t>35%</w:t>
            </w:r>
          </w:p>
        </w:tc>
        <w:tc>
          <w:tcPr>
            <w:tcW w:w="4678" w:type="dxa"/>
            <w:vAlign w:val="center"/>
          </w:tcPr>
          <w:p w14:paraId="19F0B970" w14:textId="56C0C4A4"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Durante lo corrido del año se realizaron capacitaciones a las Direcciones Territoriales y a los procesos de la Sede Central para la puesta en funcionamiento del módulo de archivo en el Sistema de Gestión Documental - SIGAC. </w:t>
            </w:r>
          </w:p>
          <w:p w14:paraId="149A99B4" w14:textId="41858E1B"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han realizado las diferentes intervenciones al SIGAC para corregir falencias que se han presentado, así como el mantenimiento habitual al sistema.</w:t>
            </w:r>
          </w:p>
          <w:p w14:paraId="40BB8339" w14:textId="15D27435"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Se ha prestado todo el soporte técnico a las diferentes áreas de la entidad mediante los casos de la mesa de ayuda GLPI.</w:t>
            </w:r>
          </w:p>
          <w:p w14:paraId="5FA0FEAC" w14:textId="25C155D9"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color w:val="000000" w:themeColor="text1"/>
                <w:sz w:val="14"/>
                <w:szCs w:val="16"/>
                <w:lang w:eastAsia="es-CO"/>
              </w:rPr>
            </w:pPr>
            <w:r w:rsidRPr="00C23D09">
              <w:rPr>
                <w:rFonts w:cs="Arial"/>
                <w:color w:val="000000" w:themeColor="text1"/>
                <w:sz w:val="14"/>
                <w:szCs w:val="16"/>
                <w:lang w:eastAsia="es-CO"/>
              </w:rPr>
              <w:t xml:space="preserve">Se apoyó en las actividades con respecto a la migración de casos activos con actividades en Gestionar Correspondencia para las DT de Nariño y Magdalena. </w:t>
            </w:r>
          </w:p>
          <w:p w14:paraId="4D2C62F4" w14:textId="25C155D9" w:rsidR="1D230DC4" w:rsidRPr="00C23D09" w:rsidRDefault="1D230DC4" w:rsidP="00C72779">
            <w:pPr>
              <w:jc w:val="both"/>
              <w:cnfStyle w:val="000000100000" w:firstRow="0" w:lastRow="0" w:firstColumn="0" w:lastColumn="0" w:oddVBand="0" w:evenVBand="0" w:oddHBand="1" w:evenHBand="0" w:firstRowFirstColumn="0" w:firstRowLastColumn="0" w:lastRowFirstColumn="0" w:lastRowLastColumn="0"/>
              <w:rPr>
                <w:rFonts w:cs="Arial"/>
                <w:sz w:val="14"/>
                <w:szCs w:val="16"/>
                <w:lang w:eastAsia="es-CO"/>
              </w:rPr>
            </w:pPr>
            <w:r w:rsidRPr="00C23D09">
              <w:rPr>
                <w:rFonts w:cs="Arial"/>
                <w:color w:val="000000" w:themeColor="text1"/>
                <w:sz w:val="14"/>
                <w:szCs w:val="16"/>
                <w:lang w:eastAsia="es-CO"/>
              </w:rPr>
              <w:t>Se elaboró Propuesta de Programa de Gestión de Documentos Electrónicos.</w:t>
            </w:r>
          </w:p>
        </w:tc>
      </w:tr>
    </w:tbl>
    <w:p w14:paraId="0B47BD52" w14:textId="3CC84D32" w:rsidR="5A18A1BA" w:rsidRDefault="5A18A1BA" w:rsidP="00C72779">
      <w:pPr>
        <w:jc w:val="center"/>
        <w:rPr>
          <w:rFonts w:eastAsia="Calibri" w:cs="Arial"/>
          <w:b/>
          <w:bCs/>
          <w:sz w:val="16"/>
          <w:szCs w:val="16"/>
        </w:rPr>
      </w:pPr>
      <w:r w:rsidRPr="1D230DC4">
        <w:rPr>
          <w:rFonts w:eastAsia="Calibri" w:cs="Arial"/>
          <w:b/>
          <w:bCs/>
          <w:sz w:val="16"/>
          <w:szCs w:val="16"/>
        </w:rPr>
        <w:lastRenderedPageBreak/>
        <w:t>Fuente: Propia IGAC</w:t>
      </w:r>
    </w:p>
    <w:p w14:paraId="17797741" w14:textId="7B23623C" w:rsidR="1D230DC4" w:rsidRDefault="1D230DC4" w:rsidP="00C72779">
      <w:pPr>
        <w:jc w:val="both"/>
      </w:pPr>
    </w:p>
    <w:p w14:paraId="31687E6F" w14:textId="55BD283F" w:rsidR="033E4803" w:rsidRDefault="033E4803" w:rsidP="00C72779">
      <w:pPr>
        <w:jc w:val="both"/>
      </w:pPr>
    </w:p>
    <w:p w14:paraId="37D9FF3F" w14:textId="55BD283F" w:rsidR="033E4803" w:rsidRDefault="033E4803" w:rsidP="00C72779">
      <w:pPr>
        <w:jc w:val="both"/>
      </w:pPr>
    </w:p>
    <w:p w14:paraId="34E7C21E" w14:textId="55BD283F" w:rsidR="033E4803" w:rsidRDefault="033E4803" w:rsidP="00C72779">
      <w:pPr>
        <w:jc w:val="both"/>
      </w:pPr>
    </w:p>
    <w:p w14:paraId="036F4C52" w14:textId="55BD283F" w:rsidR="033E4803" w:rsidRDefault="033E4803" w:rsidP="00C72779">
      <w:pPr>
        <w:jc w:val="both"/>
      </w:pPr>
    </w:p>
    <w:p w14:paraId="06E9B32F" w14:textId="55BD283F" w:rsidR="033E4803" w:rsidRDefault="033E4803" w:rsidP="00C72779">
      <w:pPr>
        <w:jc w:val="both"/>
      </w:pPr>
    </w:p>
    <w:p w14:paraId="0521E28D" w14:textId="64A45EFB" w:rsidR="033E4803" w:rsidRDefault="033E4803" w:rsidP="00C72779">
      <w:pPr>
        <w:jc w:val="both"/>
      </w:pPr>
    </w:p>
    <w:p w14:paraId="10DCAA5D" w14:textId="025EAACD" w:rsidR="00F76E97" w:rsidRDefault="00F76E97" w:rsidP="00C72779">
      <w:pPr>
        <w:jc w:val="both"/>
      </w:pPr>
    </w:p>
    <w:p w14:paraId="04CB299B" w14:textId="79C90663" w:rsidR="00F76E97" w:rsidRDefault="00F76E97" w:rsidP="00C72779">
      <w:pPr>
        <w:jc w:val="both"/>
      </w:pPr>
    </w:p>
    <w:p w14:paraId="300706C1" w14:textId="003CD4C6" w:rsidR="00F76E97" w:rsidRDefault="00F76E97" w:rsidP="00C72779">
      <w:pPr>
        <w:jc w:val="both"/>
      </w:pPr>
    </w:p>
    <w:p w14:paraId="38BB674D" w14:textId="26891A5B" w:rsidR="00F76E97" w:rsidRDefault="00F76E97" w:rsidP="00C72779">
      <w:pPr>
        <w:jc w:val="both"/>
      </w:pPr>
    </w:p>
    <w:p w14:paraId="74C4CC47" w14:textId="34E54929" w:rsidR="00F76E97" w:rsidRDefault="00F76E97" w:rsidP="00C72779">
      <w:pPr>
        <w:jc w:val="both"/>
      </w:pPr>
    </w:p>
    <w:p w14:paraId="5B347559" w14:textId="56CDCC04" w:rsidR="00F76E97" w:rsidRDefault="00F76E97" w:rsidP="00C72779">
      <w:pPr>
        <w:jc w:val="both"/>
      </w:pPr>
    </w:p>
    <w:p w14:paraId="301887F3" w14:textId="2628149C" w:rsidR="00F76E97" w:rsidRDefault="00F76E97" w:rsidP="00C72779">
      <w:pPr>
        <w:jc w:val="both"/>
      </w:pPr>
    </w:p>
    <w:p w14:paraId="6AAB676E" w14:textId="3409C919" w:rsidR="00F76E97" w:rsidRDefault="00F76E97" w:rsidP="00C72779">
      <w:pPr>
        <w:jc w:val="both"/>
      </w:pPr>
    </w:p>
    <w:p w14:paraId="7674A376" w14:textId="4989399B" w:rsidR="00F76E97" w:rsidRDefault="00F76E97" w:rsidP="00C72779">
      <w:pPr>
        <w:jc w:val="both"/>
      </w:pPr>
    </w:p>
    <w:p w14:paraId="3073CFBE" w14:textId="01401508" w:rsidR="00F76E97" w:rsidRDefault="00F76E97" w:rsidP="00C72779">
      <w:pPr>
        <w:jc w:val="both"/>
      </w:pPr>
    </w:p>
    <w:p w14:paraId="12737A6C" w14:textId="77777777" w:rsidR="00F76E97" w:rsidRDefault="00F76E97" w:rsidP="00C72779">
      <w:pPr>
        <w:jc w:val="both"/>
      </w:pPr>
    </w:p>
    <w:p w14:paraId="1FB0DD2C" w14:textId="3249ACA0" w:rsidR="00DF73D4" w:rsidRPr="00DF73D4" w:rsidRDefault="00DF73D4" w:rsidP="00C72779">
      <w:pPr>
        <w:jc w:val="both"/>
      </w:pPr>
    </w:p>
    <w:p w14:paraId="1F051E60" w14:textId="12C795BA" w:rsidR="1D230DC4" w:rsidRDefault="1D230DC4" w:rsidP="00C72779">
      <w:pPr>
        <w:jc w:val="both"/>
      </w:pPr>
    </w:p>
    <w:p w14:paraId="10D31C63" w14:textId="0EA4BC43" w:rsidR="1D230DC4" w:rsidRDefault="1D230DC4" w:rsidP="00C72779">
      <w:pPr>
        <w:jc w:val="both"/>
      </w:pPr>
    </w:p>
    <w:p w14:paraId="6C63E707" w14:textId="34A257FD" w:rsidR="1D230DC4" w:rsidRDefault="1D230DC4" w:rsidP="00C72779">
      <w:pPr>
        <w:jc w:val="both"/>
      </w:pPr>
    </w:p>
    <w:p w14:paraId="53165156" w14:textId="3987010E" w:rsidR="00F76E97" w:rsidRDefault="00F76E97" w:rsidP="00C72779">
      <w:pPr>
        <w:jc w:val="both"/>
      </w:pPr>
    </w:p>
    <w:p w14:paraId="0B40527A" w14:textId="3D7A84BC" w:rsidR="00F76E97" w:rsidRDefault="00F76E97" w:rsidP="00C72779">
      <w:pPr>
        <w:jc w:val="both"/>
      </w:pPr>
    </w:p>
    <w:p w14:paraId="2042E23C" w14:textId="1A6BF355" w:rsidR="00F76E97" w:rsidRDefault="00F76E97" w:rsidP="00C72779">
      <w:pPr>
        <w:jc w:val="both"/>
      </w:pPr>
    </w:p>
    <w:p w14:paraId="3A62CC8F" w14:textId="2D4C7EC6" w:rsidR="00F76E97" w:rsidRDefault="00F76E97" w:rsidP="00C72779">
      <w:pPr>
        <w:jc w:val="both"/>
      </w:pPr>
    </w:p>
    <w:p w14:paraId="6AA84BEB" w14:textId="48814C32" w:rsidR="00F76E97" w:rsidRDefault="00F76E97" w:rsidP="00C72779">
      <w:pPr>
        <w:jc w:val="both"/>
      </w:pPr>
    </w:p>
    <w:p w14:paraId="2354FECB" w14:textId="49663875" w:rsidR="00F76E97" w:rsidRDefault="00F76E97" w:rsidP="00C72779">
      <w:pPr>
        <w:jc w:val="both"/>
      </w:pPr>
    </w:p>
    <w:p w14:paraId="7190C2BB" w14:textId="77777777" w:rsidR="00F76E97" w:rsidRDefault="00F76E97" w:rsidP="00C72779">
      <w:pPr>
        <w:jc w:val="both"/>
      </w:pPr>
    </w:p>
    <w:p w14:paraId="095F70B4" w14:textId="7C56FE66" w:rsidR="1D230DC4" w:rsidRDefault="1D230DC4" w:rsidP="00C72779">
      <w:pPr>
        <w:jc w:val="both"/>
      </w:pPr>
    </w:p>
    <w:p w14:paraId="306A7AE1" w14:textId="20C4CAC8" w:rsidR="00F76E97" w:rsidRDefault="00F76E97" w:rsidP="00C72779">
      <w:pPr>
        <w:jc w:val="both"/>
      </w:pPr>
    </w:p>
    <w:p w14:paraId="38A40D29" w14:textId="0F0896A9" w:rsidR="00F76E97" w:rsidRDefault="00F76E97" w:rsidP="00C72779">
      <w:pPr>
        <w:jc w:val="both"/>
      </w:pPr>
    </w:p>
    <w:p w14:paraId="57889CB2" w14:textId="05EBD7B5" w:rsidR="00F76E97" w:rsidRDefault="00F76E97" w:rsidP="00C72779">
      <w:pPr>
        <w:jc w:val="both"/>
      </w:pPr>
    </w:p>
    <w:p w14:paraId="43BEE324" w14:textId="580D2779" w:rsidR="00F76E97" w:rsidRDefault="00F76E97" w:rsidP="00C72779">
      <w:pPr>
        <w:jc w:val="both"/>
      </w:pPr>
    </w:p>
    <w:p w14:paraId="6E03B772" w14:textId="630B9C2B" w:rsidR="00F76E97" w:rsidRDefault="00F76E97" w:rsidP="00F76E97">
      <w:pPr>
        <w:pStyle w:val="Sinespaciado"/>
      </w:pPr>
    </w:p>
    <w:p w14:paraId="67DA9924" w14:textId="54CB5FE8" w:rsidR="00AE3674" w:rsidRDefault="00AE3674" w:rsidP="000A20EE">
      <w:pPr>
        <w:pStyle w:val="Ttulo1"/>
        <w:numPr>
          <w:ilvl w:val="0"/>
          <w:numId w:val="22"/>
        </w:numPr>
        <w:tabs>
          <w:tab w:val="center" w:pos="4717"/>
          <w:tab w:val="left" w:pos="8190"/>
        </w:tabs>
        <w:spacing w:line="240" w:lineRule="auto"/>
        <w:jc w:val="both"/>
        <w:rPr>
          <w:sz w:val="22"/>
          <w:szCs w:val="22"/>
        </w:rPr>
      </w:pPr>
      <w:bookmarkStart w:id="10" w:name="_Toc88677052"/>
      <w:r w:rsidRPr="46032A88">
        <w:rPr>
          <w:sz w:val="22"/>
          <w:szCs w:val="22"/>
        </w:rPr>
        <w:lastRenderedPageBreak/>
        <w:t>MODERNIZACIÓN INSTITUCIONAL DEL IGAC</w:t>
      </w:r>
      <w:bookmarkEnd w:id="10"/>
    </w:p>
    <w:p w14:paraId="7B7A28C7" w14:textId="77777777" w:rsidR="009F474A" w:rsidRPr="009F474A" w:rsidRDefault="009F474A" w:rsidP="00C72779"/>
    <w:p w14:paraId="675461F6" w14:textId="77777777" w:rsidR="00296686" w:rsidRDefault="00370BBE" w:rsidP="00C72779">
      <w:pPr>
        <w:suppressAutoHyphens w:val="0"/>
        <w:spacing w:after="160"/>
        <w:contextualSpacing/>
        <w:jc w:val="both"/>
        <w:rPr>
          <w:rFonts w:cs="Arial"/>
          <w:sz w:val="22"/>
          <w:szCs w:val="22"/>
          <w:lang w:val="es-CO" w:eastAsia="en-US"/>
        </w:rPr>
      </w:pPr>
      <w:r w:rsidRPr="00D62313">
        <w:rPr>
          <w:sz w:val="22"/>
          <w:szCs w:val="22"/>
        </w:rPr>
        <w:t xml:space="preserve">Desde el año 2020, se dio inicio </w:t>
      </w:r>
      <w:r w:rsidR="00860BD1" w:rsidRPr="00D62313">
        <w:rPr>
          <w:sz w:val="22"/>
          <w:szCs w:val="22"/>
        </w:rPr>
        <w:t xml:space="preserve">al proyecto de modernización institucional </w:t>
      </w:r>
      <w:r w:rsidR="00CB7717" w:rsidRPr="00D62313">
        <w:rPr>
          <w:sz w:val="22"/>
          <w:szCs w:val="22"/>
        </w:rPr>
        <w:t xml:space="preserve">con un proceso muy importante enfocada no solo en la construcción y consolidación del estudio técnico que sustenta dicho proceso, sino </w:t>
      </w:r>
      <w:r w:rsidR="00861A04" w:rsidRPr="00D62313">
        <w:rPr>
          <w:sz w:val="22"/>
          <w:szCs w:val="22"/>
        </w:rPr>
        <w:t xml:space="preserve">en la dinamización de la plataforma estratégica de la entidad. </w:t>
      </w:r>
      <w:r w:rsidR="00FE35A0" w:rsidRPr="00D62313">
        <w:rPr>
          <w:sz w:val="22"/>
          <w:szCs w:val="22"/>
        </w:rPr>
        <w:t xml:space="preserve">Esta actualización se llevó a cabo por medio de un </w:t>
      </w:r>
      <w:r w:rsidR="00D62313">
        <w:rPr>
          <w:rFonts w:cs="Arial"/>
          <w:sz w:val="22"/>
          <w:szCs w:val="22"/>
          <w:lang w:val="es-CO" w:eastAsia="en-US"/>
        </w:rPr>
        <w:t xml:space="preserve">trabajo colaborativo, del cual se generaron diferentes </w:t>
      </w:r>
      <w:r w:rsidR="00D62313" w:rsidRPr="00D62313">
        <w:rPr>
          <w:rFonts w:cs="Arial"/>
          <w:sz w:val="22"/>
          <w:szCs w:val="22"/>
          <w:lang w:val="es-CO" w:eastAsia="en-US"/>
        </w:rPr>
        <w:t xml:space="preserve">ideas </w:t>
      </w:r>
      <w:r w:rsidR="00D62313">
        <w:rPr>
          <w:rFonts w:cs="Arial"/>
          <w:sz w:val="22"/>
          <w:szCs w:val="22"/>
          <w:lang w:val="es-CO" w:eastAsia="en-US"/>
        </w:rPr>
        <w:t xml:space="preserve">que </w:t>
      </w:r>
      <w:r w:rsidR="00D62313" w:rsidRPr="00D62313">
        <w:rPr>
          <w:rFonts w:cs="Arial"/>
          <w:sz w:val="22"/>
          <w:szCs w:val="22"/>
          <w:lang w:val="es-CO" w:eastAsia="en-US"/>
        </w:rPr>
        <w:t xml:space="preserve">fueron la base y guía para la construcción de esta plataforma. </w:t>
      </w:r>
    </w:p>
    <w:p w14:paraId="2EABE78F" w14:textId="77777777" w:rsidR="00296686" w:rsidRDefault="00296686" w:rsidP="00C72779">
      <w:pPr>
        <w:suppressAutoHyphens w:val="0"/>
        <w:spacing w:after="160"/>
        <w:contextualSpacing/>
        <w:jc w:val="both"/>
        <w:rPr>
          <w:rFonts w:cs="Arial"/>
          <w:sz w:val="22"/>
          <w:szCs w:val="22"/>
          <w:lang w:val="es-CO" w:eastAsia="en-US"/>
        </w:rPr>
      </w:pPr>
    </w:p>
    <w:p w14:paraId="3C63EA81" w14:textId="1C52C435" w:rsidR="00296686" w:rsidRDefault="00B25C30" w:rsidP="00C72779">
      <w:pPr>
        <w:suppressAutoHyphens w:val="0"/>
        <w:spacing w:after="160"/>
        <w:contextualSpacing/>
        <w:jc w:val="both"/>
        <w:rPr>
          <w:rFonts w:cs="Arial"/>
          <w:sz w:val="22"/>
          <w:szCs w:val="22"/>
          <w:lang w:val="es-CO" w:eastAsia="en-US"/>
        </w:rPr>
      </w:pPr>
      <w:r w:rsidRPr="00296686">
        <w:rPr>
          <w:rFonts w:cs="Arial"/>
          <w:sz w:val="22"/>
          <w:szCs w:val="22"/>
          <w:lang w:val="es-CO" w:eastAsia="en-US"/>
        </w:rPr>
        <w:t>Se indagó sobre temas como: imagen de la entidad interna y externa, principales desafíos y metas</w:t>
      </w:r>
      <w:r w:rsidR="001179D5">
        <w:rPr>
          <w:rFonts w:cs="Arial"/>
          <w:sz w:val="22"/>
          <w:szCs w:val="22"/>
          <w:lang w:val="es-CO" w:eastAsia="en-US"/>
        </w:rPr>
        <w:t xml:space="preserve">, </w:t>
      </w:r>
      <w:r w:rsidR="003C33B4">
        <w:rPr>
          <w:rFonts w:cs="Arial"/>
          <w:sz w:val="22"/>
          <w:szCs w:val="22"/>
          <w:lang w:val="es-CO" w:eastAsia="en-US"/>
        </w:rPr>
        <w:t>características relevantes de lo que mejor hace la entidad</w:t>
      </w:r>
      <w:r w:rsidR="00E12E4E">
        <w:rPr>
          <w:rFonts w:cs="Arial"/>
          <w:sz w:val="22"/>
          <w:szCs w:val="22"/>
          <w:lang w:val="es-CO" w:eastAsia="en-US"/>
        </w:rPr>
        <w:t xml:space="preserve">, generación de valor, cumplimiento </w:t>
      </w:r>
      <w:r w:rsidR="00EB6D7D">
        <w:rPr>
          <w:rFonts w:cs="Arial"/>
          <w:sz w:val="22"/>
          <w:szCs w:val="22"/>
          <w:lang w:val="es-CO" w:eastAsia="en-US"/>
        </w:rPr>
        <w:t xml:space="preserve">necesidades y expectativas de los </w:t>
      </w:r>
      <w:r w:rsidR="00296686" w:rsidRPr="00296686">
        <w:rPr>
          <w:rFonts w:cs="Arial"/>
          <w:sz w:val="22"/>
          <w:szCs w:val="22"/>
          <w:lang w:val="es-CO" w:eastAsia="en-US"/>
        </w:rPr>
        <w:t>grupos de interés</w:t>
      </w:r>
      <w:r w:rsidR="00EB6D7D">
        <w:rPr>
          <w:rFonts w:cs="Arial"/>
          <w:sz w:val="22"/>
          <w:szCs w:val="22"/>
          <w:lang w:val="es-CO" w:eastAsia="en-US"/>
        </w:rPr>
        <w:t xml:space="preserve"> y partes interesadas y sobre </w:t>
      </w:r>
      <w:r w:rsidR="008B0B92">
        <w:rPr>
          <w:rFonts w:cs="Arial"/>
          <w:sz w:val="22"/>
          <w:szCs w:val="22"/>
          <w:lang w:val="es-CO" w:eastAsia="en-US"/>
        </w:rPr>
        <w:t xml:space="preserve">la </w:t>
      </w:r>
      <w:r w:rsidR="00EB6D7D">
        <w:rPr>
          <w:rFonts w:cs="Arial"/>
          <w:sz w:val="22"/>
          <w:szCs w:val="22"/>
          <w:lang w:val="es-CO" w:eastAsia="en-US"/>
        </w:rPr>
        <w:t>huella que se busca dejar como entidad.</w:t>
      </w:r>
    </w:p>
    <w:p w14:paraId="589DCC10" w14:textId="77777777" w:rsidR="00C337E8" w:rsidRDefault="00C337E8" w:rsidP="00C72779">
      <w:pPr>
        <w:suppressAutoHyphens w:val="0"/>
        <w:spacing w:after="160"/>
        <w:contextualSpacing/>
        <w:jc w:val="both"/>
        <w:rPr>
          <w:rFonts w:cs="Arial"/>
          <w:sz w:val="22"/>
          <w:szCs w:val="22"/>
          <w:lang w:val="es-CO" w:eastAsia="en-US"/>
        </w:rPr>
      </w:pPr>
    </w:p>
    <w:p w14:paraId="33E2FDE5" w14:textId="099D49E5" w:rsidR="00C337E8" w:rsidRPr="00C337E8" w:rsidRDefault="00C337E8" w:rsidP="00C72779">
      <w:pPr>
        <w:suppressAutoHyphens w:val="0"/>
        <w:spacing w:after="160"/>
        <w:contextualSpacing/>
        <w:jc w:val="both"/>
        <w:rPr>
          <w:rFonts w:cs="Arial"/>
          <w:sz w:val="22"/>
          <w:szCs w:val="22"/>
          <w:lang w:val="es-CO" w:eastAsia="en-US"/>
        </w:rPr>
      </w:pPr>
      <w:r w:rsidRPr="00C337E8">
        <w:rPr>
          <w:rFonts w:cs="Arial"/>
          <w:sz w:val="22"/>
          <w:szCs w:val="22"/>
          <w:lang w:val="es-CO" w:eastAsia="en-US"/>
        </w:rPr>
        <w:t>Llevar a la entidad a la modernización implica un cambio que va desde el lenguaje, por eso, en esta plataforma estratégica,</w:t>
      </w:r>
      <w:r>
        <w:rPr>
          <w:rFonts w:cs="Arial"/>
          <w:sz w:val="22"/>
          <w:szCs w:val="22"/>
          <w:lang w:val="es-CO" w:eastAsia="en-US"/>
        </w:rPr>
        <w:t xml:space="preserve"> que es resultado de los</w:t>
      </w:r>
      <w:r w:rsidRPr="00C337E8">
        <w:rPr>
          <w:rFonts w:cs="Arial"/>
          <w:sz w:val="22"/>
          <w:szCs w:val="22"/>
          <w:lang w:val="es-CO" w:eastAsia="en-US"/>
        </w:rPr>
        <w:t xml:space="preserve"> aportes</w:t>
      </w:r>
      <w:r>
        <w:rPr>
          <w:rFonts w:cs="Arial"/>
          <w:sz w:val="22"/>
          <w:szCs w:val="22"/>
          <w:lang w:val="es-CO" w:eastAsia="en-US"/>
        </w:rPr>
        <w:t xml:space="preserve"> de los funcionarios, la misión pasó</w:t>
      </w:r>
      <w:r w:rsidRPr="00C337E8">
        <w:rPr>
          <w:rFonts w:cs="Arial"/>
          <w:sz w:val="22"/>
          <w:szCs w:val="22"/>
          <w:lang w:val="es-CO" w:eastAsia="en-US"/>
        </w:rPr>
        <w:t xml:space="preserve"> a llamarse propósito central y la visión, obje</w:t>
      </w:r>
      <w:r w:rsidR="00670810">
        <w:rPr>
          <w:rFonts w:cs="Arial"/>
          <w:sz w:val="22"/>
          <w:szCs w:val="22"/>
          <w:lang w:val="es-CO" w:eastAsia="en-US"/>
        </w:rPr>
        <w:t>tivo retador, los cuales estarán</w:t>
      </w:r>
      <w:r w:rsidRPr="00C337E8">
        <w:rPr>
          <w:rFonts w:cs="Arial"/>
          <w:sz w:val="22"/>
          <w:szCs w:val="22"/>
          <w:lang w:val="es-CO" w:eastAsia="en-US"/>
        </w:rPr>
        <w:t xml:space="preserve"> guiados, por supuesto, por los valores y sustentados en los objetivos estratégicos.</w:t>
      </w:r>
    </w:p>
    <w:p w14:paraId="5510295B" w14:textId="663173F4" w:rsidR="00C337E8" w:rsidRPr="00C337E8" w:rsidRDefault="00C337E8" w:rsidP="00C72779">
      <w:pPr>
        <w:suppressAutoHyphens w:val="0"/>
        <w:spacing w:after="160"/>
        <w:contextualSpacing/>
        <w:jc w:val="both"/>
        <w:rPr>
          <w:rFonts w:cs="Arial"/>
          <w:lang w:val="es-CO" w:eastAsia="en-US"/>
        </w:rPr>
      </w:pPr>
    </w:p>
    <w:p w14:paraId="321C965A" w14:textId="1DB72288" w:rsidR="00DC3949" w:rsidRDefault="00C337E8" w:rsidP="00C72779">
      <w:pPr>
        <w:suppressAutoHyphens w:val="0"/>
        <w:spacing w:after="160"/>
        <w:contextualSpacing/>
        <w:jc w:val="both"/>
        <w:rPr>
          <w:rFonts w:cs="Arial"/>
          <w:sz w:val="22"/>
          <w:szCs w:val="22"/>
          <w:lang w:val="es-CO" w:eastAsia="en-US"/>
        </w:rPr>
      </w:pPr>
      <w:r w:rsidRPr="00670810">
        <w:rPr>
          <w:rFonts w:cs="Arial"/>
          <w:sz w:val="22"/>
          <w:szCs w:val="22"/>
          <w:lang w:val="es-CO" w:eastAsia="en-US"/>
        </w:rPr>
        <w:t xml:space="preserve">Así las cosas, el </w:t>
      </w:r>
      <w:r w:rsidRPr="00DC3949">
        <w:rPr>
          <w:rFonts w:cs="Arial"/>
          <w:b/>
          <w:sz w:val="22"/>
          <w:szCs w:val="22"/>
          <w:lang w:val="es-CO" w:eastAsia="en-US"/>
        </w:rPr>
        <w:t xml:space="preserve">propósito central </w:t>
      </w:r>
      <w:r w:rsidRPr="00670810">
        <w:rPr>
          <w:rFonts w:cs="Arial"/>
          <w:sz w:val="22"/>
          <w:szCs w:val="22"/>
          <w:lang w:val="es-CO" w:eastAsia="en-US"/>
        </w:rPr>
        <w:t>del Instituto Geográfico Agustín Codazzi es:</w:t>
      </w:r>
    </w:p>
    <w:p w14:paraId="31D30757" w14:textId="77777777" w:rsidR="00EF4B45" w:rsidRDefault="00DC3949" w:rsidP="000A20EE">
      <w:pPr>
        <w:pStyle w:val="Prrafodelista"/>
        <w:numPr>
          <w:ilvl w:val="0"/>
          <w:numId w:val="54"/>
        </w:numPr>
        <w:suppressAutoHyphens w:val="0"/>
        <w:spacing w:after="160"/>
        <w:contextualSpacing/>
        <w:rPr>
          <w:rFonts w:cs="Arial"/>
          <w:sz w:val="22"/>
          <w:szCs w:val="22"/>
          <w:lang w:val="es-CO" w:eastAsia="en-US"/>
        </w:rPr>
      </w:pPr>
      <w:r w:rsidRPr="00DC3949">
        <w:rPr>
          <w:rFonts w:cs="Arial"/>
          <w:sz w:val="22"/>
          <w:szCs w:val="22"/>
          <w:lang w:val="es-CO" w:eastAsia="en-US"/>
        </w:rPr>
        <w:t>Somos la máxima autoridad en regulación, producción y articulación con altos estándares de calidad, de la información geográfica, catastral y agrológica del país, contribuyendo con su desarrollo, para la toma de decisiones y definición políticas públicas.</w:t>
      </w:r>
    </w:p>
    <w:p w14:paraId="2A08F7C7" w14:textId="77777777" w:rsidR="00CB0439" w:rsidRDefault="00EF4B45" w:rsidP="00C72779">
      <w:pPr>
        <w:suppressAutoHyphens w:val="0"/>
        <w:spacing w:after="160"/>
        <w:contextualSpacing/>
        <w:rPr>
          <w:rFonts w:cs="Arial"/>
          <w:sz w:val="22"/>
          <w:szCs w:val="22"/>
          <w:lang w:val="es-CO" w:eastAsia="en-US"/>
        </w:rPr>
      </w:pPr>
      <w:r w:rsidRPr="00CB0439">
        <w:rPr>
          <w:rFonts w:cs="Arial"/>
          <w:sz w:val="22"/>
          <w:szCs w:val="22"/>
          <w:lang w:val="es-CO" w:eastAsia="en-US"/>
        </w:rPr>
        <w:t xml:space="preserve">Y el </w:t>
      </w:r>
      <w:r w:rsidRPr="00336D93">
        <w:rPr>
          <w:rFonts w:cs="Arial"/>
          <w:b/>
          <w:sz w:val="22"/>
          <w:szCs w:val="22"/>
          <w:lang w:val="es-CO" w:eastAsia="en-US"/>
        </w:rPr>
        <w:t>objetivo retador</w:t>
      </w:r>
      <w:r w:rsidRPr="00CB0439">
        <w:rPr>
          <w:rFonts w:cs="Arial"/>
          <w:sz w:val="22"/>
          <w:szCs w:val="22"/>
          <w:lang w:val="es-CO" w:eastAsia="en-US"/>
        </w:rPr>
        <w:t xml:space="preserve"> es: </w:t>
      </w:r>
    </w:p>
    <w:p w14:paraId="4511AFA0" w14:textId="014D89C4" w:rsidR="00DD3291" w:rsidRDefault="00CB0439" w:rsidP="000A20EE">
      <w:pPr>
        <w:pStyle w:val="Prrafodelista"/>
        <w:numPr>
          <w:ilvl w:val="0"/>
          <w:numId w:val="54"/>
        </w:numPr>
        <w:suppressAutoHyphens w:val="0"/>
        <w:spacing w:after="160"/>
        <w:contextualSpacing/>
        <w:rPr>
          <w:rFonts w:cs="Arial"/>
          <w:sz w:val="22"/>
          <w:szCs w:val="22"/>
          <w:lang w:val="es-CO" w:eastAsia="en-US"/>
        </w:rPr>
      </w:pPr>
      <w:r w:rsidRPr="00CB0439">
        <w:rPr>
          <w:rFonts w:cs="Arial"/>
          <w:sz w:val="22"/>
          <w:szCs w:val="22"/>
          <w:lang w:val="es-CO" w:eastAsia="en-US"/>
        </w:rPr>
        <w:t>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resiliente del país.</w:t>
      </w:r>
    </w:p>
    <w:p w14:paraId="51A98553" w14:textId="77777777" w:rsidR="00DD3291" w:rsidRPr="00DD3291" w:rsidRDefault="00DD3291" w:rsidP="00C72779">
      <w:pPr>
        <w:pStyle w:val="Lista"/>
        <w:rPr>
          <w:lang w:val="es-CO" w:eastAsia="en-US"/>
        </w:rPr>
      </w:pPr>
    </w:p>
    <w:p w14:paraId="3B96CDBD" w14:textId="2DF162D1" w:rsidR="00DD3291" w:rsidRDefault="00DD3291" w:rsidP="00C72779">
      <w:pPr>
        <w:pStyle w:val="Lista"/>
        <w:rPr>
          <w:sz w:val="22"/>
          <w:lang w:val="es-CO" w:eastAsia="en-US"/>
        </w:rPr>
      </w:pPr>
      <w:r>
        <w:rPr>
          <w:sz w:val="22"/>
          <w:lang w:val="es-CO" w:eastAsia="en-US"/>
        </w:rPr>
        <w:t xml:space="preserve">De igual manera se realizó la formulación de los nuevos </w:t>
      </w:r>
      <w:r>
        <w:rPr>
          <w:b/>
          <w:sz w:val="22"/>
          <w:lang w:val="es-CO" w:eastAsia="en-US"/>
        </w:rPr>
        <w:t>objetivos estratégicos y estrategias</w:t>
      </w:r>
      <w:r>
        <w:rPr>
          <w:sz w:val="22"/>
          <w:lang w:val="es-CO" w:eastAsia="en-US"/>
        </w:rPr>
        <w:t xml:space="preserve"> </w:t>
      </w:r>
      <w:r w:rsidR="0023714A">
        <w:rPr>
          <w:sz w:val="22"/>
          <w:lang w:val="es-CO" w:eastAsia="en-US"/>
        </w:rPr>
        <w:t>detallados a continuación:</w:t>
      </w:r>
    </w:p>
    <w:p w14:paraId="14832E86" w14:textId="55EDF901" w:rsidR="002C37F1" w:rsidRDefault="002C37F1" w:rsidP="00C72779">
      <w:pPr>
        <w:pStyle w:val="Lista"/>
        <w:rPr>
          <w:sz w:val="22"/>
          <w:lang w:val="es-CO" w:eastAsia="en-US"/>
        </w:rPr>
      </w:pPr>
    </w:p>
    <w:p w14:paraId="25FA2108" w14:textId="72AFEDF1" w:rsidR="00DA3FF4" w:rsidRPr="0017674A" w:rsidRDefault="0017674A" w:rsidP="00C72779">
      <w:pPr>
        <w:pStyle w:val="Descripcin"/>
        <w:jc w:val="center"/>
        <w:rPr>
          <w:rFonts w:ascii="Arial" w:hAnsi="Arial" w:cs="Arial"/>
          <w:b/>
          <w:i w:val="0"/>
          <w:color w:val="000000" w:themeColor="text1"/>
          <w:sz w:val="22"/>
          <w:lang w:eastAsia="en-US"/>
        </w:rPr>
      </w:pPr>
      <w:bookmarkStart w:id="11" w:name="_Toc88677075"/>
      <w:r w:rsidRPr="0017674A">
        <w:rPr>
          <w:rFonts w:ascii="Arial" w:hAnsi="Arial" w:cs="Arial"/>
          <w:b/>
          <w:i w:val="0"/>
          <w:color w:val="000000" w:themeColor="text1"/>
        </w:rPr>
        <w:t xml:space="preserve">Tabla </w:t>
      </w:r>
      <w:r w:rsidRPr="0017674A">
        <w:rPr>
          <w:rFonts w:ascii="Arial" w:hAnsi="Arial" w:cs="Arial"/>
          <w:b/>
          <w:i w:val="0"/>
          <w:color w:val="000000" w:themeColor="text1"/>
        </w:rPr>
        <w:fldChar w:fldCharType="begin"/>
      </w:r>
      <w:r w:rsidRPr="0017674A">
        <w:rPr>
          <w:rFonts w:ascii="Arial" w:hAnsi="Arial" w:cs="Arial"/>
          <w:b/>
          <w:i w:val="0"/>
          <w:color w:val="000000" w:themeColor="text1"/>
        </w:rPr>
        <w:instrText xml:space="preserve"> SEQ Tabla \* ARABIC </w:instrText>
      </w:r>
      <w:r w:rsidRPr="0017674A">
        <w:rPr>
          <w:rFonts w:ascii="Arial" w:hAnsi="Arial" w:cs="Arial"/>
          <w:b/>
          <w:i w:val="0"/>
          <w:color w:val="000000" w:themeColor="text1"/>
        </w:rPr>
        <w:fldChar w:fldCharType="separate"/>
      </w:r>
      <w:r w:rsidR="004D4C6A">
        <w:rPr>
          <w:rFonts w:ascii="Arial" w:hAnsi="Arial" w:cs="Arial"/>
          <w:b/>
          <w:i w:val="0"/>
          <w:noProof/>
          <w:color w:val="000000" w:themeColor="text1"/>
        </w:rPr>
        <w:t>3</w:t>
      </w:r>
      <w:r w:rsidRPr="0017674A">
        <w:rPr>
          <w:rFonts w:ascii="Arial" w:hAnsi="Arial" w:cs="Arial"/>
          <w:b/>
          <w:i w:val="0"/>
          <w:color w:val="000000" w:themeColor="text1"/>
        </w:rPr>
        <w:fldChar w:fldCharType="end"/>
      </w:r>
      <w:r w:rsidR="000041C7">
        <w:rPr>
          <w:rFonts w:ascii="Arial" w:hAnsi="Arial" w:cs="Arial"/>
          <w:b/>
          <w:i w:val="0"/>
          <w:color w:val="000000" w:themeColor="text1"/>
        </w:rPr>
        <w:t>.</w:t>
      </w:r>
      <w:r w:rsidRPr="0017674A">
        <w:rPr>
          <w:rFonts w:ascii="Arial" w:hAnsi="Arial" w:cs="Arial"/>
          <w:b/>
          <w:i w:val="0"/>
          <w:color w:val="000000" w:themeColor="text1"/>
        </w:rPr>
        <w:t xml:space="preserve"> Objetivos Estratégicos y Estrategias IGAC</w:t>
      </w:r>
      <w:bookmarkEnd w:id="11"/>
    </w:p>
    <w:tbl>
      <w:tblPr>
        <w:tblStyle w:val="Tabladecuadrcula4-nfasis1"/>
        <w:tblW w:w="9923" w:type="dxa"/>
        <w:jc w:val="center"/>
        <w:tblLook w:val="04A0" w:firstRow="1" w:lastRow="0" w:firstColumn="1" w:lastColumn="0" w:noHBand="0" w:noVBand="1"/>
      </w:tblPr>
      <w:tblGrid>
        <w:gridCol w:w="4961"/>
        <w:gridCol w:w="4962"/>
      </w:tblGrid>
      <w:tr w:rsidR="002C37F1" w:rsidRPr="00F76E97" w14:paraId="5664BD3E" w14:textId="77777777" w:rsidTr="00B75FD3">
        <w:trPr>
          <w:cnfStyle w:val="100000000000" w:firstRow="1" w:lastRow="0" w:firstColumn="0" w:lastColumn="0" w:oddVBand="0" w:evenVBand="0" w:oddHBand="0" w:evenHBand="0" w:firstRowFirstColumn="0" w:firstRowLastColumn="0" w:lastRowFirstColumn="0" w:lastRowLastColumn="0"/>
          <w:trHeight w:val="292"/>
          <w:tblHeader/>
          <w:jc w:val="center"/>
        </w:trPr>
        <w:tc>
          <w:tcPr>
            <w:cnfStyle w:val="001000000000" w:firstRow="0" w:lastRow="0" w:firstColumn="1" w:lastColumn="0" w:oddVBand="0" w:evenVBand="0" w:oddHBand="0" w:evenHBand="0" w:firstRowFirstColumn="0" w:firstRowLastColumn="0" w:lastRowFirstColumn="0" w:lastRowLastColumn="0"/>
            <w:tcW w:w="4961" w:type="dxa"/>
            <w:vAlign w:val="center"/>
            <w:hideMark/>
          </w:tcPr>
          <w:p w14:paraId="15BA9CA9" w14:textId="77777777" w:rsidR="0023714A" w:rsidRPr="00F76E97" w:rsidRDefault="0023714A" w:rsidP="00C72779">
            <w:pPr>
              <w:suppressAutoHyphens w:val="0"/>
              <w:jc w:val="center"/>
              <w:rPr>
                <w:rFonts w:cs="Arial"/>
                <w:color w:val="FFFFFF"/>
                <w:sz w:val="18"/>
                <w:szCs w:val="18"/>
                <w:lang w:val="es-CO" w:eastAsia="es-CO"/>
              </w:rPr>
            </w:pPr>
            <w:r w:rsidRPr="00F76E97">
              <w:rPr>
                <w:rFonts w:cs="Arial"/>
                <w:color w:val="FFFFFF"/>
                <w:sz w:val="18"/>
                <w:szCs w:val="18"/>
                <w:lang w:val="es-CO" w:eastAsia="es-CO"/>
              </w:rPr>
              <w:t>OBJETIVO ESTRATÉGICO</w:t>
            </w:r>
          </w:p>
        </w:tc>
        <w:tc>
          <w:tcPr>
            <w:tcW w:w="4962" w:type="dxa"/>
            <w:vAlign w:val="center"/>
            <w:hideMark/>
          </w:tcPr>
          <w:p w14:paraId="3318B857" w14:textId="77777777" w:rsidR="0023714A" w:rsidRPr="00F76E97" w:rsidRDefault="0023714A"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F76E97">
              <w:rPr>
                <w:rFonts w:cs="Arial"/>
                <w:color w:val="FFFFFF"/>
                <w:sz w:val="18"/>
                <w:szCs w:val="18"/>
                <w:lang w:val="es-CO" w:eastAsia="es-CO"/>
              </w:rPr>
              <w:t>ESTRATEGIA</w:t>
            </w:r>
          </w:p>
        </w:tc>
      </w:tr>
      <w:tr w:rsidR="002C37F1" w:rsidRPr="00F76E97" w14:paraId="5EB379C4" w14:textId="77777777" w:rsidTr="00B75FD3">
        <w:trPr>
          <w:cnfStyle w:val="000000100000" w:firstRow="0" w:lastRow="0" w:firstColumn="0" w:lastColumn="0" w:oddVBand="0" w:evenVBand="0" w:oddHBand="1" w:evenHBand="0" w:firstRowFirstColumn="0" w:firstRowLastColumn="0" w:lastRowFirstColumn="0" w:lastRowLastColumn="0"/>
          <w:trHeight w:val="440"/>
          <w:jc w:val="center"/>
        </w:trPr>
        <w:tc>
          <w:tcPr>
            <w:cnfStyle w:val="001000000000" w:firstRow="0" w:lastRow="0" w:firstColumn="1" w:lastColumn="0" w:oddVBand="0" w:evenVBand="0" w:oddHBand="0" w:evenHBand="0" w:firstRowFirstColumn="0" w:firstRowLastColumn="0" w:lastRowFirstColumn="0" w:lastRowLastColumn="0"/>
            <w:tcW w:w="4961" w:type="dxa"/>
            <w:vAlign w:val="center"/>
            <w:hideMark/>
          </w:tcPr>
          <w:p w14:paraId="71BCD2FB" w14:textId="77777777"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1. Consolidar al IGAC como máxima autoridad reguladora en los temas de su competencia</w:t>
            </w:r>
          </w:p>
        </w:tc>
        <w:tc>
          <w:tcPr>
            <w:tcW w:w="4962" w:type="dxa"/>
            <w:noWrap/>
            <w:vAlign w:val="center"/>
            <w:hideMark/>
          </w:tcPr>
          <w:p w14:paraId="73F6D0C1" w14:textId="24929391"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Máxima autoridad reguladora</w:t>
            </w:r>
          </w:p>
        </w:tc>
      </w:tr>
      <w:tr w:rsidR="0023714A" w:rsidRPr="00F76E97" w14:paraId="29B4B42E" w14:textId="77777777" w:rsidTr="00B75FD3">
        <w:trPr>
          <w:trHeight w:val="297"/>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26534592" w14:textId="2633EE41" w:rsidR="0023714A" w:rsidRPr="00F76E97" w:rsidRDefault="0023714A" w:rsidP="00C72779">
            <w:pPr>
              <w:suppressAutoHyphens w:val="0"/>
              <w:jc w:val="center"/>
              <w:rPr>
                <w:rFonts w:cs="Arial"/>
                <w:sz w:val="18"/>
                <w:szCs w:val="18"/>
                <w:lang w:val="es-CO" w:eastAsia="es-CO"/>
              </w:rPr>
            </w:pPr>
            <w:r w:rsidRPr="00F76E97">
              <w:rPr>
                <w:rFonts w:cs="Arial"/>
                <w:sz w:val="18"/>
                <w:szCs w:val="18"/>
                <w:lang w:val="es-CO" w:eastAsia="es-CO"/>
              </w:rPr>
              <w:t>2. Implementar políticas y acciones enfocadas en el fortalecimiento institucional y la arquitectura de procesos como pilar estratégico del Instituto</w:t>
            </w:r>
          </w:p>
        </w:tc>
        <w:tc>
          <w:tcPr>
            <w:tcW w:w="4962" w:type="dxa"/>
            <w:vAlign w:val="center"/>
            <w:hideMark/>
          </w:tcPr>
          <w:p w14:paraId="63A0C50F"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Rediseño del IGAC y modernización basada en procesos</w:t>
            </w:r>
          </w:p>
        </w:tc>
      </w:tr>
      <w:tr w:rsidR="0023714A" w:rsidRPr="00F76E97" w14:paraId="5215B9CF" w14:textId="77777777" w:rsidTr="00B75FD3">
        <w:trPr>
          <w:cnfStyle w:val="000000100000" w:firstRow="0" w:lastRow="0" w:firstColumn="0" w:lastColumn="0" w:oddVBand="0" w:evenVBand="0" w:oddHBand="1" w:evenHBand="0" w:firstRowFirstColumn="0" w:firstRowLastColumn="0" w:lastRowFirstColumn="0" w:lastRowLastColumn="0"/>
          <w:trHeight w:val="415"/>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1471197D"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51EB7C8B"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Arquitectura de procesos</w:t>
            </w:r>
          </w:p>
        </w:tc>
      </w:tr>
      <w:tr w:rsidR="0023714A" w:rsidRPr="00F76E97" w14:paraId="6FF8DDDC" w14:textId="77777777" w:rsidTr="00B75FD3">
        <w:trPr>
          <w:trHeight w:val="54"/>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268627D2"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03B2732B"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Sostenimiento de las políticas del Modelo Institucional de Gestión y Desempeño (MIPG)</w:t>
            </w:r>
          </w:p>
        </w:tc>
      </w:tr>
      <w:tr w:rsidR="002C37F1" w:rsidRPr="00F76E97" w14:paraId="5074D990" w14:textId="77777777" w:rsidTr="00B75FD3">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39642554" w14:textId="77777777" w:rsidR="0023714A" w:rsidRPr="00F76E97" w:rsidRDefault="0023714A" w:rsidP="00C72779">
            <w:pPr>
              <w:suppressAutoHyphens w:val="0"/>
              <w:jc w:val="center"/>
              <w:rPr>
                <w:rFonts w:cs="Arial"/>
                <w:sz w:val="18"/>
                <w:szCs w:val="18"/>
                <w:lang w:val="es-CO" w:eastAsia="es-CO"/>
              </w:rPr>
            </w:pPr>
            <w:r w:rsidRPr="00F76E97">
              <w:rPr>
                <w:rFonts w:cs="Arial"/>
                <w:sz w:val="18"/>
                <w:szCs w:val="18"/>
                <w:lang w:val="es-CO" w:eastAsia="es-CO"/>
              </w:rPr>
              <w:t>3. Consolidar al IGAC como la mejor entidad en la generación e integración de información geográfica, catastral y agrológica con altos estándares de calidad</w:t>
            </w:r>
          </w:p>
        </w:tc>
        <w:tc>
          <w:tcPr>
            <w:tcW w:w="4962" w:type="dxa"/>
            <w:vAlign w:val="center"/>
            <w:hideMark/>
          </w:tcPr>
          <w:p w14:paraId="51F8CA47"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Acreditación del Laboratorio Nacional de Suelos</w:t>
            </w:r>
          </w:p>
        </w:tc>
      </w:tr>
      <w:tr w:rsidR="0023714A" w:rsidRPr="00F76E97" w14:paraId="168CC958" w14:textId="77777777" w:rsidTr="00B75FD3">
        <w:trPr>
          <w:trHeight w:val="416"/>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2DCB4600"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6A493BEC"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Eficiencia en el uso y producción de la información del Laboratorio Nacional de Suelos</w:t>
            </w:r>
          </w:p>
        </w:tc>
      </w:tr>
      <w:tr w:rsidR="0023714A" w:rsidRPr="00F76E97" w14:paraId="5289B28E" w14:textId="77777777" w:rsidTr="00B75FD3">
        <w:trPr>
          <w:cnfStyle w:val="000000100000" w:firstRow="0" w:lastRow="0" w:firstColumn="0" w:lastColumn="0" w:oddVBand="0" w:evenVBand="0" w:oddHBand="1" w:evenHBand="0" w:firstRowFirstColumn="0" w:firstRowLastColumn="0" w:lastRowFirstColumn="0" w:lastRowLastColumn="0"/>
          <w:trHeight w:val="379"/>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3214EB11"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678ACA8F" w14:textId="7DAB8F7C" w:rsidR="0023714A" w:rsidRPr="00F76E97" w:rsidRDefault="61382D96"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themeColor="text1"/>
                <w:sz w:val="18"/>
                <w:szCs w:val="18"/>
                <w:lang w:val="es-CO" w:eastAsia="es-CO"/>
              </w:rPr>
              <w:t>Sostenimiento de las políticas de restitución de tierras y atención a victimas</w:t>
            </w:r>
          </w:p>
        </w:tc>
      </w:tr>
      <w:tr w:rsidR="0023714A" w:rsidRPr="00F76E97" w14:paraId="6AE20444" w14:textId="77777777" w:rsidTr="00B75FD3">
        <w:trPr>
          <w:trHeight w:val="343"/>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0793CCED"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4C2963AF"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Garantizar la sostenibilidad en el tiempo de la política de paz con legalidad</w:t>
            </w:r>
          </w:p>
        </w:tc>
      </w:tr>
      <w:tr w:rsidR="0023714A" w:rsidRPr="00F76E97" w14:paraId="03A68F1F" w14:textId="77777777" w:rsidTr="00B75FD3">
        <w:trPr>
          <w:cnfStyle w:val="000000100000" w:firstRow="0" w:lastRow="0" w:firstColumn="0" w:lastColumn="0" w:oddVBand="0" w:evenVBand="0" w:oddHBand="1" w:evenHBand="0" w:firstRowFirstColumn="0" w:firstRowLastColumn="0" w:lastRowFirstColumn="0" w:lastRowLastColumn="0"/>
          <w:trHeight w:val="463"/>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7BCAA0C8"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27871111" w14:textId="3147FF84"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Actualización del área geográfica</w:t>
            </w:r>
          </w:p>
        </w:tc>
      </w:tr>
      <w:tr w:rsidR="0023714A" w:rsidRPr="00F76E97" w14:paraId="3C14F023" w14:textId="77777777" w:rsidTr="00B75FD3">
        <w:trPr>
          <w:trHeight w:val="427"/>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27CD58DA"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0BD66CB4"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Ampliación de la cobertura en la identificación de los suelos y aplicaciones geográficas</w:t>
            </w:r>
          </w:p>
        </w:tc>
      </w:tr>
      <w:tr w:rsidR="0023714A" w:rsidRPr="00F76E97" w14:paraId="6F679B9A" w14:textId="77777777" w:rsidTr="00B75FD3">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0A4D31C7"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4E7B6893" w14:textId="322244DE"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Áreas homogéneas elaboradas y actualizadas</w:t>
            </w:r>
          </w:p>
        </w:tc>
      </w:tr>
      <w:tr w:rsidR="0023714A" w:rsidRPr="00F76E97" w14:paraId="0D44F4FC" w14:textId="77777777" w:rsidTr="00B75FD3">
        <w:trPr>
          <w:trHeight w:val="666"/>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74C958BB" w14:textId="77777777" w:rsidR="0023714A" w:rsidRPr="00F76E97" w:rsidRDefault="0023714A" w:rsidP="00C72779">
            <w:pPr>
              <w:suppressAutoHyphens w:val="0"/>
              <w:jc w:val="center"/>
              <w:rPr>
                <w:rFonts w:cs="Arial"/>
                <w:sz w:val="18"/>
                <w:szCs w:val="18"/>
                <w:lang w:val="es-CO" w:eastAsia="es-CO"/>
              </w:rPr>
            </w:pPr>
          </w:p>
        </w:tc>
        <w:tc>
          <w:tcPr>
            <w:tcW w:w="4962" w:type="dxa"/>
            <w:vAlign w:val="center"/>
            <w:hideMark/>
          </w:tcPr>
          <w:p w14:paraId="6B5DEC73"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Generación de productos cartográficos, geográficos y geodésicos, a partir de la  implementación de instrumentos efectivos de gestión, estandarización, producción y validación.</w:t>
            </w:r>
          </w:p>
        </w:tc>
      </w:tr>
      <w:tr w:rsidR="0023714A" w:rsidRPr="00F76E97" w14:paraId="0C7D0D49" w14:textId="77777777" w:rsidTr="00B75FD3">
        <w:trPr>
          <w:cnfStyle w:val="000000100000" w:firstRow="0" w:lastRow="0" w:firstColumn="0" w:lastColumn="0" w:oddVBand="0" w:evenVBand="0" w:oddHBand="1" w:evenHBand="0" w:firstRowFirstColumn="0" w:firstRowLastColumn="0" w:lastRowFirstColumn="0" w:lastRowLastColumn="0"/>
          <w:trHeight w:val="489"/>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29772F1B" w14:textId="67B8D149"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4.Maximizar la disposición y uso de la información generada</w:t>
            </w:r>
          </w:p>
        </w:tc>
        <w:tc>
          <w:tcPr>
            <w:tcW w:w="4962" w:type="dxa"/>
            <w:vAlign w:val="center"/>
            <w:hideMark/>
          </w:tcPr>
          <w:p w14:paraId="5C56E431"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Integración y disposición de la información geográfica nacional a través de Colombia en Mapas como portal único de información geográfica nacional</w:t>
            </w:r>
          </w:p>
        </w:tc>
      </w:tr>
      <w:tr w:rsidR="0023714A" w:rsidRPr="00F76E97" w14:paraId="679A6C7C" w14:textId="77777777" w:rsidTr="00B75FD3">
        <w:trPr>
          <w:trHeight w:val="558"/>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3473690F"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4A923F7D"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Impulsar el uso y la explotación de datos y tecnologías de información geográfica a nivel institucional y territorial</w:t>
            </w:r>
          </w:p>
        </w:tc>
      </w:tr>
      <w:tr w:rsidR="0023714A" w:rsidRPr="00F76E97" w14:paraId="21166505" w14:textId="77777777" w:rsidTr="00B75FD3">
        <w:trPr>
          <w:cnfStyle w:val="000000100000" w:firstRow="0" w:lastRow="0" w:firstColumn="0" w:lastColumn="0" w:oddVBand="0" w:evenVBand="0" w:oddHBand="1" w:evenHBand="0" w:firstRowFirstColumn="0" w:firstRowLastColumn="0" w:lastRowFirstColumn="0" w:lastRowLastColumn="0"/>
          <w:trHeight w:val="535"/>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2A40B53A"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0F75464B"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Fortalecimiento de la Infraestructura Colombiana de Datos Espaciales</w:t>
            </w:r>
          </w:p>
        </w:tc>
      </w:tr>
      <w:tr w:rsidR="0023714A" w:rsidRPr="00F76E97" w14:paraId="4922EE52" w14:textId="77777777" w:rsidTr="00B75FD3">
        <w:trPr>
          <w:trHeight w:val="454"/>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732E2603" w14:textId="3841D927"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5. Fortalecer los recursos técnicos y tecnológicos para la modernización institucional</w:t>
            </w:r>
          </w:p>
        </w:tc>
        <w:tc>
          <w:tcPr>
            <w:tcW w:w="4962" w:type="dxa"/>
            <w:vAlign w:val="center"/>
            <w:hideMark/>
          </w:tcPr>
          <w:p w14:paraId="4C753FF1"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Implementación del SINIC (Sistema Nacional de Información de Catastro Multipropósito)</w:t>
            </w:r>
          </w:p>
        </w:tc>
      </w:tr>
      <w:tr w:rsidR="0023714A" w:rsidRPr="00F76E97" w14:paraId="1C30F57E" w14:textId="77777777" w:rsidTr="00B75FD3">
        <w:trPr>
          <w:cnfStyle w:val="000000100000" w:firstRow="0" w:lastRow="0" w:firstColumn="0" w:lastColumn="0" w:oddVBand="0" w:evenVBand="0" w:oddHBand="1" w:evenHBand="0" w:firstRowFirstColumn="0" w:firstRowLastColumn="0" w:lastRowFirstColumn="0" w:lastRowLastColumn="0"/>
          <w:trHeight w:val="407"/>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5C1D9D99"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7733E04E"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Implementación del Nuevo SNC (Sistema Nacional Catastral)</w:t>
            </w:r>
          </w:p>
        </w:tc>
      </w:tr>
      <w:tr w:rsidR="0023714A" w:rsidRPr="00F76E97" w14:paraId="07BC18E2" w14:textId="77777777" w:rsidTr="00B75FD3">
        <w:trPr>
          <w:trHeight w:val="470"/>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1D469EA5"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3940D870"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Unificación de Sistemas de Información de Gestión Catastral</w:t>
            </w:r>
          </w:p>
        </w:tc>
      </w:tr>
      <w:tr w:rsidR="0023714A" w:rsidRPr="00F76E97" w14:paraId="5A4953C6" w14:textId="77777777" w:rsidTr="00B75FD3">
        <w:trPr>
          <w:cnfStyle w:val="000000100000" w:firstRow="0" w:lastRow="0" w:firstColumn="0" w:lastColumn="0" w:oddVBand="0" w:evenVBand="0" w:oddHBand="1"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5613418F"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3BC6F247"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Mejoramiento del servicio de datos abiertos</w:t>
            </w:r>
          </w:p>
        </w:tc>
      </w:tr>
      <w:tr w:rsidR="0023714A" w:rsidRPr="00F76E97" w14:paraId="0B19CC09" w14:textId="77777777" w:rsidTr="00B75FD3">
        <w:trPr>
          <w:trHeight w:val="415"/>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4A1FC5CB"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3FF3E80B"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Modernizar la infraestructura de conectividad del IGAC</w:t>
            </w:r>
          </w:p>
        </w:tc>
      </w:tr>
      <w:tr w:rsidR="0023714A" w:rsidRPr="00F76E97" w14:paraId="27E0DE36" w14:textId="77777777" w:rsidTr="00B75FD3">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77B5272B" w14:textId="77777777"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6. Garantizar una atención eficiente y oportuna a los ciudadanos y partes interesadas</w:t>
            </w:r>
          </w:p>
        </w:tc>
        <w:tc>
          <w:tcPr>
            <w:tcW w:w="4962" w:type="dxa"/>
            <w:vAlign w:val="center"/>
            <w:hideMark/>
          </w:tcPr>
          <w:p w14:paraId="7BAC9BC5"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Mejoramiento en la prestación del servicio a la ciudadanía</w:t>
            </w:r>
          </w:p>
        </w:tc>
      </w:tr>
      <w:tr w:rsidR="0023714A" w:rsidRPr="00F76E97" w14:paraId="6C002EE2" w14:textId="77777777" w:rsidTr="00B75FD3">
        <w:trPr>
          <w:trHeight w:val="558"/>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78B98B04" w14:textId="77777777" w:rsidR="0023714A" w:rsidRPr="00F76E97" w:rsidRDefault="0023714A" w:rsidP="00C72779">
            <w:pPr>
              <w:suppressAutoHyphens w:val="0"/>
              <w:jc w:val="center"/>
              <w:rPr>
                <w:rFonts w:cs="Arial"/>
                <w:color w:val="000000"/>
                <w:sz w:val="18"/>
                <w:szCs w:val="18"/>
                <w:lang w:val="es-CO" w:eastAsia="es-CO"/>
              </w:rPr>
            </w:pPr>
          </w:p>
        </w:tc>
        <w:tc>
          <w:tcPr>
            <w:tcW w:w="4962" w:type="dxa"/>
            <w:noWrap/>
            <w:vAlign w:val="center"/>
            <w:hideMark/>
          </w:tcPr>
          <w:p w14:paraId="01170AA6"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Garantizar la rendición de cuentas permanente para la ciudadanía</w:t>
            </w:r>
          </w:p>
        </w:tc>
      </w:tr>
      <w:tr w:rsidR="0023714A" w:rsidRPr="00F76E97" w14:paraId="225861F0" w14:textId="77777777" w:rsidTr="00B75FD3">
        <w:trPr>
          <w:cnfStyle w:val="000000100000" w:firstRow="0" w:lastRow="0" w:firstColumn="0" w:lastColumn="0" w:oddVBand="0" w:evenVBand="0" w:oddHBand="1" w:evenHBand="0" w:firstRowFirstColumn="0" w:firstRowLastColumn="0" w:lastRowFirstColumn="0" w:lastRowLastColumn="0"/>
          <w:trHeight w:val="677"/>
          <w:jc w:val="center"/>
        </w:trPr>
        <w:tc>
          <w:tcPr>
            <w:cnfStyle w:val="001000000000" w:firstRow="0" w:lastRow="0" w:firstColumn="1" w:lastColumn="0" w:oddVBand="0" w:evenVBand="0" w:oddHBand="0" w:evenHBand="0" w:firstRowFirstColumn="0" w:firstRowLastColumn="0" w:lastRowFirstColumn="0" w:lastRowLastColumn="0"/>
            <w:tcW w:w="4961" w:type="dxa"/>
            <w:vMerge w:val="restart"/>
            <w:vAlign w:val="center"/>
            <w:hideMark/>
          </w:tcPr>
          <w:p w14:paraId="5E13973A" w14:textId="77777777"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7.Trabajar de manera colaborativa y participativa con nuestras partes interesadas para la generación de valor público</w:t>
            </w:r>
          </w:p>
        </w:tc>
        <w:tc>
          <w:tcPr>
            <w:tcW w:w="4962" w:type="dxa"/>
            <w:vAlign w:val="center"/>
            <w:hideMark/>
          </w:tcPr>
          <w:p w14:paraId="309D6C81"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Fortalecimiento de estrategias de comunicación institucional</w:t>
            </w:r>
          </w:p>
        </w:tc>
      </w:tr>
      <w:tr w:rsidR="0023714A" w:rsidRPr="00F76E97" w14:paraId="75BF4964" w14:textId="77777777" w:rsidTr="00B75FD3">
        <w:trPr>
          <w:trHeight w:val="440"/>
          <w:jc w:val="center"/>
        </w:trPr>
        <w:tc>
          <w:tcPr>
            <w:cnfStyle w:val="001000000000" w:firstRow="0" w:lastRow="0" w:firstColumn="1" w:lastColumn="0" w:oddVBand="0" w:evenVBand="0" w:oddHBand="0" w:evenHBand="0" w:firstRowFirstColumn="0" w:firstRowLastColumn="0" w:lastRowFirstColumn="0" w:lastRowLastColumn="0"/>
            <w:tcW w:w="4961" w:type="dxa"/>
            <w:vMerge/>
            <w:vAlign w:val="center"/>
            <w:hideMark/>
          </w:tcPr>
          <w:p w14:paraId="33B1FC32" w14:textId="77777777" w:rsidR="0023714A" w:rsidRPr="00F76E97" w:rsidRDefault="0023714A" w:rsidP="00C72779">
            <w:pPr>
              <w:suppressAutoHyphens w:val="0"/>
              <w:jc w:val="center"/>
              <w:rPr>
                <w:rFonts w:cs="Arial"/>
                <w:color w:val="000000"/>
                <w:sz w:val="18"/>
                <w:szCs w:val="18"/>
                <w:lang w:val="es-CO" w:eastAsia="es-CO"/>
              </w:rPr>
            </w:pPr>
          </w:p>
        </w:tc>
        <w:tc>
          <w:tcPr>
            <w:tcW w:w="4962" w:type="dxa"/>
            <w:vAlign w:val="center"/>
            <w:hideMark/>
          </w:tcPr>
          <w:p w14:paraId="4E24D2FE" w14:textId="77777777" w:rsidR="0023714A" w:rsidRPr="00F76E97" w:rsidRDefault="0023714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F76E97">
              <w:rPr>
                <w:rFonts w:cs="Arial"/>
                <w:color w:val="000000"/>
                <w:sz w:val="18"/>
                <w:szCs w:val="18"/>
                <w:lang w:val="es-CO" w:eastAsia="es-CO"/>
              </w:rPr>
              <w:t>Fortalecimiento de las alianzas estratégicas de cooperación técnica y científica</w:t>
            </w:r>
          </w:p>
        </w:tc>
      </w:tr>
      <w:tr w:rsidR="0023714A" w:rsidRPr="00F76E97" w14:paraId="7C35A17D" w14:textId="77777777" w:rsidTr="00B75FD3">
        <w:trPr>
          <w:cnfStyle w:val="000000100000" w:firstRow="0" w:lastRow="0" w:firstColumn="0" w:lastColumn="0" w:oddVBand="0" w:evenVBand="0" w:oddHBand="1" w:evenHBand="0" w:firstRowFirstColumn="0" w:firstRowLastColumn="0" w:lastRowFirstColumn="0" w:lastRowLastColumn="0"/>
          <w:trHeight w:val="54"/>
          <w:jc w:val="center"/>
        </w:trPr>
        <w:tc>
          <w:tcPr>
            <w:cnfStyle w:val="001000000000" w:firstRow="0" w:lastRow="0" w:firstColumn="1" w:lastColumn="0" w:oddVBand="0" w:evenVBand="0" w:oddHBand="0" w:evenHBand="0" w:firstRowFirstColumn="0" w:firstRowLastColumn="0" w:lastRowFirstColumn="0" w:lastRowLastColumn="0"/>
            <w:tcW w:w="4961" w:type="dxa"/>
            <w:vAlign w:val="center"/>
            <w:hideMark/>
          </w:tcPr>
          <w:p w14:paraId="466F697A" w14:textId="77777777" w:rsidR="0023714A" w:rsidRPr="00F76E97" w:rsidRDefault="0023714A" w:rsidP="00C72779">
            <w:pPr>
              <w:suppressAutoHyphens w:val="0"/>
              <w:jc w:val="center"/>
              <w:rPr>
                <w:rFonts w:cs="Arial"/>
                <w:color w:val="000000"/>
                <w:sz w:val="18"/>
                <w:szCs w:val="18"/>
                <w:lang w:val="es-CO" w:eastAsia="es-CO"/>
              </w:rPr>
            </w:pPr>
            <w:r w:rsidRPr="00F76E97">
              <w:rPr>
                <w:rFonts w:cs="Arial"/>
                <w:color w:val="000000"/>
                <w:sz w:val="18"/>
                <w:szCs w:val="18"/>
                <w:lang w:val="es-CO" w:eastAsia="es-CO"/>
              </w:rPr>
              <w:t>8. Garantizar la autosostenibilidad del Instituto por medio de estrategias de mercadeo y comercialización, orientadas a fortalecer la venta de productos y servicios de la entidad.</w:t>
            </w:r>
          </w:p>
        </w:tc>
        <w:tc>
          <w:tcPr>
            <w:tcW w:w="4962" w:type="dxa"/>
            <w:vAlign w:val="center"/>
            <w:hideMark/>
          </w:tcPr>
          <w:p w14:paraId="3B2E59BE" w14:textId="77777777" w:rsidR="0023714A" w:rsidRPr="00F76E97" w:rsidRDefault="0023714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F76E97">
              <w:rPr>
                <w:rFonts w:cs="Arial"/>
                <w:sz w:val="18"/>
                <w:szCs w:val="18"/>
                <w:lang w:val="es-CO" w:eastAsia="es-CO"/>
              </w:rPr>
              <w:t>Implementación del plan de mercadeo para la promoción de los productos y servicios de la entidad</w:t>
            </w:r>
          </w:p>
        </w:tc>
      </w:tr>
    </w:tbl>
    <w:p w14:paraId="206A5248" w14:textId="09EEDBCA" w:rsidR="002C37F1" w:rsidRPr="00AE7239" w:rsidRDefault="002C37F1" w:rsidP="00C72779">
      <w:pPr>
        <w:jc w:val="center"/>
        <w:rPr>
          <w:rFonts w:eastAsia="Calibri" w:cs="Arial"/>
          <w:b/>
          <w:sz w:val="16"/>
        </w:rPr>
      </w:pPr>
      <w:r w:rsidRPr="00AE7239">
        <w:rPr>
          <w:rFonts w:eastAsia="Calibri" w:cs="Arial"/>
          <w:b/>
          <w:sz w:val="16"/>
        </w:rPr>
        <w:t>Fuente: Propia IGAC</w:t>
      </w:r>
    </w:p>
    <w:p w14:paraId="0D11117A" w14:textId="159FFFEA" w:rsidR="00DD3291" w:rsidRDefault="00DD3291" w:rsidP="00C72779">
      <w:pPr>
        <w:pStyle w:val="Lista"/>
        <w:rPr>
          <w:lang w:val="es-CO" w:eastAsia="en-US"/>
        </w:rPr>
      </w:pPr>
    </w:p>
    <w:p w14:paraId="1B007BD4" w14:textId="5C776CAF" w:rsidR="0055091F" w:rsidRPr="00AD3FEC" w:rsidRDefault="00B47ECD" w:rsidP="00C72779">
      <w:pPr>
        <w:jc w:val="both"/>
        <w:rPr>
          <w:rFonts w:cs="Arial"/>
          <w:sz w:val="22"/>
          <w:szCs w:val="22"/>
          <w:lang w:val="es-MX"/>
        </w:rPr>
      </w:pPr>
      <w:r>
        <w:rPr>
          <w:rFonts w:cs="Arial"/>
          <w:sz w:val="22"/>
          <w:szCs w:val="22"/>
          <w:lang w:val="es-MX"/>
        </w:rPr>
        <w:t>Teniendo como base el marco descrito anteriormente, y e</w:t>
      </w:r>
      <w:r w:rsidR="0055091F" w:rsidRPr="00AD3FEC">
        <w:rPr>
          <w:rFonts w:cs="Arial"/>
          <w:sz w:val="22"/>
          <w:szCs w:val="22"/>
          <w:lang w:val="es-MX"/>
        </w:rPr>
        <w:t xml:space="preserve">n la búsqueda del fortalecimiento </w:t>
      </w:r>
      <w:r w:rsidR="003D7D4D" w:rsidRPr="00AD3FEC">
        <w:rPr>
          <w:rFonts w:cs="Arial"/>
          <w:sz w:val="22"/>
          <w:szCs w:val="22"/>
          <w:lang w:val="es-MX"/>
        </w:rPr>
        <w:t xml:space="preserve">institucional </w:t>
      </w:r>
      <w:r w:rsidR="003D7D4D">
        <w:rPr>
          <w:rFonts w:cs="Arial"/>
          <w:sz w:val="22"/>
          <w:szCs w:val="22"/>
          <w:lang w:val="es-MX"/>
        </w:rPr>
        <w:t>del IGAC, se propuso</w:t>
      </w:r>
      <w:r w:rsidR="0055091F" w:rsidRPr="00AD3FEC">
        <w:rPr>
          <w:rFonts w:cs="Arial"/>
          <w:sz w:val="22"/>
          <w:szCs w:val="22"/>
          <w:lang w:val="es-MX"/>
        </w:rPr>
        <w:t xml:space="preserve"> un nuevo modelo de gestión que permita alinear la cadena de valor con las diferentes estrategias establecidas por el Gobierno Nacional. Es por esto que, dentro del marco</w:t>
      </w:r>
      <w:r w:rsidR="003D7D4D">
        <w:rPr>
          <w:rFonts w:cs="Arial"/>
          <w:sz w:val="22"/>
          <w:szCs w:val="22"/>
          <w:lang w:val="es-MX"/>
        </w:rPr>
        <w:t xml:space="preserve"> de la</w:t>
      </w:r>
      <w:r w:rsidR="0055091F" w:rsidRPr="00AD3FEC">
        <w:rPr>
          <w:rFonts w:cs="Arial"/>
          <w:sz w:val="22"/>
          <w:szCs w:val="22"/>
          <w:lang w:val="es-MX"/>
        </w:rPr>
        <w:t xml:space="preserve"> </w:t>
      </w:r>
      <w:r w:rsidR="003D7D4D">
        <w:rPr>
          <w:rFonts w:cs="Arial"/>
          <w:sz w:val="22"/>
          <w:szCs w:val="22"/>
          <w:lang w:val="es-MX"/>
        </w:rPr>
        <w:t xml:space="preserve">modernización </w:t>
      </w:r>
      <w:r w:rsidR="0055091F" w:rsidRPr="00AD3FEC">
        <w:rPr>
          <w:rFonts w:cs="Arial"/>
          <w:sz w:val="22"/>
          <w:szCs w:val="22"/>
          <w:lang w:val="es-MX"/>
        </w:rPr>
        <w:t>cobra importa</w:t>
      </w:r>
      <w:r w:rsidR="0087025F">
        <w:rPr>
          <w:rFonts w:cs="Arial"/>
          <w:sz w:val="22"/>
          <w:szCs w:val="22"/>
          <w:lang w:val="es-MX"/>
        </w:rPr>
        <w:t>ncia la a</w:t>
      </w:r>
      <w:r w:rsidR="0055091F" w:rsidRPr="00AD3FEC">
        <w:rPr>
          <w:rFonts w:cs="Arial"/>
          <w:sz w:val="22"/>
          <w:szCs w:val="22"/>
          <w:lang w:val="es-MX"/>
        </w:rPr>
        <w:t>rquitectura de procesos</w:t>
      </w:r>
      <w:r w:rsidR="0087025F">
        <w:rPr>
          <w:rFonts w:cs="Arial"/>
          <w:sz w:val="22"/>
          <w:szCs w:val="22"/>
          <w:lang w:val="es-MX"/>
        </w:rPr>
        <w:t xml:space="preserve"> donde se concentra principalmente el desarrollo de</w:t>
      </w:r>
      <w:r w:rsidR="0055091F" w:rsidRPr="00AD3FEC">
        <w:rPr>
          <w:rFonts w:cs="Arial"/>
          <w:sz w:val="22"/>
          <w:szCs w:val="22"/>
          <w:lang w:val="es-MX"/>
        </w:rPr>
        <w:t xml:space="preserve"> la documentación técnica de los nuevos procesos y procedimientos contemplados en el modelo de operación propuesto, incluyendo la incorporación de prácticas eficientes con el fin de producir una información confiable, oportuna y relevante que facilite la toma de decisiones del Estado y la sociedad, contribuyendo a la consolidación del sistema, incentivando la autonomía territorial e incrementando la participación de otros operadores.</w:t>
      </w:r>
    </w:p>
    <w:p w14:paraId="116DA9A2" w14:textId="77777777" w:rsidR="00512E40" w:rsidRDefault="00512E40" w:rsidP="00C72779">
      <w:pPr>
        <w:pStyle w:val="Lista"/>
        <w:rPr>
          <w:rFonts w:cs="Arial"/>
          <w:sz w:val="22"/>
          <w:szCs w:val="22"/>
          <w:lang w:val="es-MX"/>
        </w:rPr>
      </w:pPr>
    </w:p>
    <w:p w14:paraId="16D2795E" w14:textId="53AFF971" w:rsidR="00DD3291" w:rsidRDefault="0055091F" w:rsidP="00C72779">
      <w:pPr>
        <w:pStyle w:val="Lista"/>
        <w:rPr>
          <w:rFonts w:cs="Arial"/>
          <w:sz w:val="22"/>
          <w:szCs w:val="22"/>
          <w:lang w:val="es-MX"/>
        </w:rPr>
      </w:pPr>
      <w:r w:rsidRPr="00AD3FEC">
        <w:rPr>
          <w:rFonts w:cs="Arial"/>
          <w:sz w:val="22"/>
          <w:szCs w:val="22"/>
          <w:lang w:val="es-MX"/>
        </w:rPr>
        <w:lastRenderedPageBreak/>
        <w:t xml:space="preserve">Dado lo anterior, </w:t>
      </w:r>
      <w:r w:rsidR="00512E40">
        <w:rPr>
          <w:rFonts w:cs="Arial"/>
          <w:sz w:val="22"/>
          <w:szCs w:val="22"/>
          <w:lang w:val="es-MX"/>
        </w:rPr>
        <w:t xml:space="preserve">se logró además la formulación, consolidación y puesta en marcha del </w:t>
      </w:r>
      <w:r w:rsidR="00512E40" w:rsidRPr="61382D96">
        <w:rPr>
          <w:rFonts w:cs="Arial"/>
          <w:b/>
          <w:bCs/>
          <w:sz w:val="22"/>
          <w:szCs w:val="22"/>
          <w:lang w:val="es-MX"/>
        </w:rPr>
        <w:t>nuevo mapa de procesos de la entidad</w:t>
      </w:r>
      <w:r w:rsidR="00512E40">
        <w:rPr>
          <w:rFonts w:cs="Arial"/>
          <w:sz w:val="22"/>
          <w:szCs w:val="22"/>
          <w:lang w:val="es-MX"/>
        </w:rPr>
        <w:t>:</w:t>
      </w:r>
    </w:p>
    <w:p w14:paraId="12F25EE8" w14:textId="62621D6F" w:rsidR="008E72A3" w:rsidRDefault="008E72A3" w:rsidP="00C72779">
      <w:pPr>
        <w:pStyle w:val="Lista"/>
        <w:rPr>
          <w:rFonts w:cs="Arial"/>
          <w:sz w:val="22"/>
          <w:szCs w:val="22"/>
          <w:lang w:val="es-MX"/>
        </w:rPr>
      </w:pPr>
    </w:p>
    <w:p w14:paraId="772FB8CE" w14:textId="6B93CE46" w:rsidR="008E72A3" w:rsidRDefault="008E72A3" w:rsidP="00C72779">
      <w:pPr>
        <w:pStyle w:val="Descripcin"/>
        <w:jc w:val="center"/>
        <w:rPr>
          <w:rFonts w:ascii="Arial" w:hAnsi="Arial" w:cs="Arial"/>
          <w:b/>
          <w:i w:val="0"/>
          <w:color w:val="000000" w:themeColor="text1"/>
          <w:sz w:val="16"/>
        </w:rPr>
      </w:pPr>
      <w:bookmarkStart w:id="12" w:name="_Toc88655307"/>
      <w:bookmarkStart w:id="13" w:name="_Toc88656928"/>
      <w:bookmarkStart w:id="14" w:name="_Toc88677158"/>
      <w:r>
        <w:rPr>
          <w:noProof/>
          <w:lang w:eastAsia="es-CO"/>
        </w:rPr>
        <w:drawing>
          <wp:anchor distT="0" distB="0" distL="114300" distR="114300" simplePos="0" relativeHeight="251658241" behindDoc="0" locked="0" layoutInCell="1" allowOverlap="1" wp14:anchorId="22E0D989" wp14:editId="6C16AAC2">
            <wp:simplePos x="0" y="0"/>
            <wp:positionH relativeFrom="margin">
              <wp:align>left</wp:align>
            </wp:positionH>
            <wp:positionV relativeFrom="paragraph">
              <wp:posOffset>170180</wp:posOffset>
            </wp:positionV>
            <wp:extent cx="5975350" cy="3594100"/>
            <wp:effectExtent l="0" t="0" r="6350" b="6350"/>
            <wp:wrapSquare wrapText="bothSides"/>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l="14915" t="18726" r="16197" b="7607"/>
                    <a:stretch/>
                  </pic:blipFill>
                  <pic:spPr bwMode="auto">
                    <a:xfrm>
                      <a:off x="0" y="0"/>
                      <a:ext cx="5975350" cy="35941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02F82">
        <w:rPr>
          <w:rFonts w:ascii="Arial" w:hAnsi="Arial" w:cs="Arial"/>
          <w:b/>
          <w:i w:val="0"/>
          <w:color w:val="000000" w:themeColor="text1"/>
          <w:sz w:val="16"/>
        </w:rPr>
        <w:t xml:space="preserve">Ilustración </w:t>
      </w:r>
      <w:r w:rsidRPr="00002F82">
        <w:rPr>
          <w:rFonts w:ascii="Arial" w:hAnsi="Arial" w:cs="Arial"/>
          <w:b/>
          <w:i w:val="0"/>
          <w:color w:val="000000" w:themeColor="text1"/>
          <w:sz w:val="16"/>
        </w:rPr>
        <w:fldChar w:fldCharType="begin"/>
      </w:r>
      <w:r w:rsidRPr="00002F82">
        <w:rPr>
          <w:rFonts w:ascii="Arial" w:hAnsi="Arial" w:cs="Arial"/>
          <w:b/>
          <w:i w:val="0"/>
          <w:color w:val="000000" w:themeColor="text1"/>
          <w:sz w:val="16"/>
        </w:rPr>
        <w:instrText xml:space="preserve"> SEQ Ilustración \* ARABIC </w:instrText>
      </w:r>
      <w:r w:rsidRPr="00002F82">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2</w:t>
      </w:r>
      <w:r w:rsidRPr="00002F82">
        <w:rPr>
          <w:rFonts w:ascii="Arial" w:hAnsi="Arial" w:cs="Arial"/>
          <w:b/>
          <w:i w:val="0"/>
          <w:color w:val="000000" w:themeColor="text1"/>
          <w:sz w:val="16"/>
        </w:rPr>
        <w:fldChar w:fldCharType="end"/>
      </w:r>
      <w:r w:rsidR="00D75CF9">
        <w:rPr>
          <w:rFonts w:ascii="Arial" w:hAnsi="Arial" w:cs="Arial"/>
          <w:b/>
          <w:i w:val="0"/>
          <w:color w:val="000000" w:themeColor="text1"/>
          <w:sz w:val="16"/>
        </w:rPr>
        <w:t xml:space="preserve">. </w:t>
      </w:r>
      <w:r w:rsidRPr="00002F82">
        <w:rPr>
          <w:rFonts w:ascii="Arial" w:hAnsi="Arial" w:cs="Arial"/>
          <w:b/>
          <w:i w:val="0"/>
          <w:color w:val="000000" w:themeColor="text1"/>
          <w:sz w:val="16"/>
        </w:rPr>
        <w:t>Mapa de Procesos IGAC</w:t>
      </w:r>
      <w:bookmarkEnd w:id="12"/>
      <w:bookmarkEnd w:id="13"/>
      <w:bookmarkEnd w:id="14"/>
    </w:p>
    <w:p w14:paraId="7CD19E75" w14:textId="3ACF130A" w:rsidR="008E72A3" w:rsidRPr="00535D8E" w:rsidRDefault="00535D8E" w:rsidP="00C72779">
      <w:pPr>
        <w:pStyle w:val="Sinespaciado"/>
        <w:jc w:val="center"/>
        <w:rPr>
          <w:rFonts w:ascii="Arial" w:hAnsi="Arial" w:cs="Arial"/>
          <w:b/>
          <w:sz w:val="16"/>
        </w:rPr>
      </w:pPr>
      <w:r w:rsidRPr="00535D8E">
        <w:rPr>
          <w:rFonts w:ascii="Arial" w:hAnsi="Arial" w:cs="Arial"/>
          <w:b/>
          <w:sz w:val="16"/>
        </w:rPr>
        <w:t>Fuente: Propia IGAC</w:t>
      </w:r>
    </w:p>
    <w:p w14:paraId="79FC227A" w14:textId="77777777" w:rsidR="00F76E97" w:rsidRDefault="008E72A3" w:rsidP="00C72779">
      <w:pPr>
        <w:spacing w:beforeAutospacing="1" w:afterAutospacing="1"/>
        <w:jc w:val="both"/>
        <w:rPr>
          <w:rFonts w:cs="Arial"/>
          <w:color w:val="000000" w:themeColor="text1"/>
          <w:sz w:val="22"/>
          <w:szCs w:val="22"/>
          <w:lang w:eastAsia="es-CO"/>
        </w:rPr>
      </w:pPr>
      <w:r w:rsidRPr="69A00A26">
        <w:rPr>
          <w:rFonts w:cs="Arial"/>
          <w:color w:val="000000" w:themeColor="text1"/>
          <w:sz w:val="22"/>
          <w:szCs w:val="22"/>
          <w:lang w:eastAsia="es-CO"/>
        </w:rPr>
        <w:t>Con esta nueva propuesta se pretende enfocar la cadena de valor hacia la producción y articulación de la información geográfica, catastral y agrológica del país, fortaleciendo la capacidad operativa y tecnológica, con el fin de garantizar la entrega de información y productos que permitan a la entidad aumentar sus niveles de eficiencia, y de esta manera consolidar al IGAC como referente en la gestión de información.</w:t>
      </w:r>
    </w:p>
    <w:p w14:paraId="1CA133CB" w14:textId="68720A25" w:rsidR="00593E55" w:rsidRDefault="000153ED" w:rsidP="00C72779">
      <w:pPr>
        <w:spacing w:beforeAutospacing="1" w:afterAutospacing="1"/>
        <w:jc w:val="both"/>
        <w:rPr>
          <w:rFonts w:cs="Arial"/>
          <w:color w:val="000000" w:themeColor="text1"/>
          <w:sz w:val="22"/>
          <w:szCs w:val="22"/>
          <w:lang w:eastAsia="es-CO"/>
        </w:rPr>
      </w:pPr>
      <w:r>
        <w:rPr>
          <w:rFonts w:cs="Arial"/>
          <w:color w:val="000000" w:themeColor="text1"/>
          <w:sz w:val="22"/>
          <w:szCs w:val="22"/>
          <w:lang w:eastAsia="es-CO"/>
        </w:rPr>
        <w:t xml:space="preserve">En julio de 2021, se expiden los Decretos 846 y 847 con los cuales de modifica la estructura y planta de la entidad, la cual tenía más de 16 años sin ser actualizada y con los que se logra además de la creación de </w:t>
      </w:r>
      <w:r w:rsidR="00593E55">
        <w:rPr>
          <w:rFonts w:cs="Arial"/>
          <w:color w:val="000000" w:themeColor="text1"/>
          <w:sz w:val="22"/>
          <w:szCs w:val="22"/>
          <w:lang w:eastAsia="es-CO"/>
        </w:rPr>
        <w:t>nuevas dependencias</w:t>
      </w:r>
      <w:r>
        <w:rPr>
          <w:rFonts w:cs="Arial"/>
          <w:color w:val="000000" w:themeColor="text1"/>
          <w:sz w:val="22"/>
          <w:szCs w:val="22"/>
          <w:lang w:eastAsia="es-CO"/>
        </w:rPr>
        <w:t xml:space="preserve"> que respondan a los retos en el marco del PND y en los documentos CONPES,</w:t>
      </w:r>
      <w:r w:rsidR="00593E55">
        <w:rPr>
          <w:rFonts w:cs="Arial"/>
          <w:color w:val="000000" w:themeColor="text1"/>
          <w:sz w:val="22"/>
          <w:szCs w:val="22"/>
          <w:lang w:eastAsia="es-CO"/>
        </w:rPr>
        <w:t xml:space="preserve"> dar el primer paso hacia la profesionalización de la planta del IGAC, la cual en más del 65% correspondía niveles técnicos y asistenciales.</w:t>
      </w:r>
    </w:p>
    <w:p w14:paraId="528E69B8" w14:textId="4D0FADCE" w:rsidR="00593E55" w:rsidRPr="00593E55" w:rsidRDefault="00593E55" w:rsidP="00C72779">
      <w:pPr>
        <w:spacing w:beforeAutospacing="1" w:afterAutospacing="1"/>
        <w:jc w:val="both"/>
        <w:rPr>
          <w:rFonts w:cs="Arial"/>
          <w:color w:val="000000" w:themeColor="text1"/>
          <w:sz w:val="22"/>
          <w:szCs w:val="22"/>
          <w:lang w:eastAsia="es-CO"/>
        </w:rPr>
      </w:pPr>
      <w:r w:rsidRPr="69A00A26">
        <w:rPr>
          <w:rFonts w:cs="Arial"/>
          <w:color w:val="000000" w:themeColor="text1"/>
          <w:sz w:val="22"/>
          <w:szCs w:val="22"/>
          <w:lang w:eastAsia="es-CO"/>
        </w:rPr>
        <w:t xml:space="preserve">Gracias a este proceso se crearon </w:t>
      </w:r>
      <w:r w:rsidRPr="69A00A26">
        <w:rPr>
          <w:rFonts w:cs="Arial"/>
          <w:color w:val="000000" w:themeColor="text1"/>
          <w:sz w:val="22"/>
          <w:szCs w:val="22"/>
          <w:lang w:val="es-MX" w:eastAsia="es-CO"/>
        </w:rPr>
        <w:t xml:space="preserve">55 cargos profesionales nuevos, de los cuales 22 son de primer empleo, lográndose que el </w:t>
      </w:r>
      <w:r w:rsidR="00DE310D" w:rsidRPr="69A00A26">
        <w:rPr>
          <w:rFonts w:cs="Arial"/>
          <w:color w:val="000000" w:themeColor="text1"/>
          <w:sz w:val="22"/>
          <w:szCs w:val="22"/>
          <w:lang w:val="es-MX" w:eastAsia="es-CO"/>
        </w:rPr>
        <w:t xml:space="preserve">77% de los cargos </w:t>
      </w:r>
      <w:r w:rsidR="008278E7" w:rsidRPr="69A00A26">
        <w:rPr>
          <w:rFonts w:cs="Arial"/>
          <w:color w:val="000000" w:themeColor="text1"/>
          <w:sz w:val="22"/>
          <w:szCs w:val="22"/>
          <w:lang w:val="es-MX" w:eastAsia="es-CO"/>
        </w:rPr>
        <w:t>estén</w:t>
      </w:r>
      <w:r w:rsidRPr="69A00A26">
        <w:rPr>
          <w:rFonts w:cs="Arial"/>
          <w:color w:val="000000" w:themeColor="text1"/>
          <w:sz w:val="22"/>
          <w:szCs w:val="22"/>
          <w:lang w:val="es-MX" w:eastAsia="es-CO"/>
        </w:rPr>
        <w:t xml:space="preserve"> en clave del cumplimiento del Decreto 1800/19 formalización de empleos</w:t>
      </w:r>
      <w:r w:rsidRPr="69A00A26">
        <w:rPr>
          <w:rFonts w:cs="Arial"/>
          <w:color w:val="000000" w:themeColor="text1"/>
          <w:sz w:val="22"/>
          <w:szCs w:val="22"/>
          <w:lang w:eastAsia="es-CO"/>
        </w:rPr>
        <w:t xml:space="preserve"> y </w:t>
      </w:r>
      <w:r w:rsidRPr="69A00A26">
        <w:rPr>
          <w:rFonts w:cs="Arial"/>
          <w:color w:val="000000" w:themeColor="text1"/>
          <w:sz w:val="22"/>
          <w:szCs w:val="22"/>
          <w:lang w:val="es-MX" w:eastAsia="es-CO"/>
        </w:rPr>
        <w:t>23% al Decreto 2365/19 (primer empleo)</w:t>
      </w:r>
      <w:r w:rsidR="00DE310D" w:rsidRPr="69A00A26">
        <w:rPr>
          <w:rFonts w:cs="Arial"/>
          <w:color w:val="000000" w:themeColor="text1"/>
          <w:sz w:val="22"/>
          <w:szCs w:val="22"/>
          <w:lang w:eastAsia="es-CO"/>
        </w:rPr>
        <w:t>;</w:t>
      </w:r>
      <w:r w:rsidRPr="69A00A26">
        <w:rPr>
          <w:rFonts w:cs="Arial"/>
          <w:color w:val="000000" w:themeColor="text1"/>
          <w:sz w:val="22"/>
          <w:szCs w:val="22"/>
          <w:lang w:eastAsia="es-CO"/>
        </w:rPr>
        <w:t xml:space="preserve"> así mismo </w:t>
      </w:r>
      <w:r w:rsidRPr="69A00A26">
        <w:rPr>
          <w:rFonts w:cs="Arial"/>
          <w:color w:val="000000" w:themeColor="text1"/>
          <w:sz w:val="22"/>
          <w:szCs w:val="22"/>
          <w:lang w:val="es-CO" w:eastAsia="es-CO"/>
        </w:rPr>
        <w:t xml:space="preserve">se incrementó la planta de personal en 71 cargos </w:t>
      </w:r>
      <w:r w:rsidRPr="69A00A26">
        <w:rPr>
          <w:rFonts w:cs="Arial"/>
          <w:color w:val="000000" w:themeColor="text1"/>
          <w:sz w:val="22"/>
          <w:szCs w:val="22"/>
          <w:lang w:eastAsia="es-CO"/>
        </w:rPr>
        <w:t>y se</w:t>
      </w:r>
      <w:r w:rsidRPr="69A00A26">
        <w:rPr>
          <w:rFonts w:cs="Arial"/>
          <w:color w:val="000000" w:themeColor="text1"/>
          <w:sz w:val="22"/>
          <w:szCs w:val="22"/>
          <w:lang w:val="es-MX" w:eastAsia="es-CO"/>
        </w:rPr>
        <w:t xml:space="preserve"> reclasificaron como mínimo en un grado en todos los niveles jerárquicos de la entidad.</w:t>
      </w:r>
    </w:p>
    <w:p w14:paraId="207BFED9" w14:textId="707A989F" w:rsidR="00B75FD3" w:rsidRPr="00F76E97" w:rsidRDefault="001D2796" w:rsidP="00C72779">
      <w:pPr>
        <w:spacing w:beforeAutospacing="1" w:afterAutospacing="1"/>
        <w:jc w:val="both"/>
        <w:rPr>
          <w:rFonts w:cs="Arial"/>
          <w:color w:val="000000" w:themeColor="text1"/>
          <w:sz w:val="22"/>
          <w:szCs w:val="22"/>
          <w:lang w:val="es-MX" w:eastAsia="es-CO"/>
        </w:rPr>
      </w:pPr>
      <w:r w:rsidRPr="001D2796">
        <w:rPr>
          <w:rFonts w:cs="Arial"/>
          <w:color w:val="000000" w:themeColor="text1"/>
          <w:sz w:val="22"/>
          <w:szCs w:val="22"/>
          <w:lang w:val="es-MX" w:eastAsia="es-CO"/>
        </w:rPr>
        <w:t xml:space="preserve">Este proceso de modernización </w:t>
      </w:r>
      <w:r>
        <w:rPr>
          <w:rFonts w:cs="Arial"/>
          <w:color w:val="000000" w:themeColor="text1"/>
          <w:sz w:val="22"/>
          <w:szCs w:val="22"/>
          <w:lang w:val="es-MX" w:eastAsia="es-CO"/>
        </w:rPr>
        <w:t>generó</w:t>
      </w:r>
      <w:r w:rsidRPr="001D2796">
        <w:rPr>
          <w:rFonts w:cs="Arial"/>
          <w:color w:val="000000" w:themeColor="text1"/>
          <w:sz w:val="22"/>
          <w:szCs w:val="22"/>
          <w:lang w:val="es-MX" w:eastAsia="es-CO"/>
        </w:rPr>
        <w:t xml:space="preserve"> dinámicas, innovación e ideas refrescantes que se transforman en cr</w:t>
      </w:r>
      <w:r>
        <w:rPr>
          <w:rFonts w:cs="Arial"/>
          <w:color w:val="000000" w:themeColor="text1"/>
          <w:sz w:val="22"/>
          <w:szCs w:val="22"/>
          <w:lang w:val="es-MX" w:eastAsia="es-CO"/>
        </w:rPr>
        <w:t>ecimiento y progreso. Esta es una</w:t>
      </w:r>
      <w:r w:rsidRPr="001D2796">
        <w:rPr>
          <w:rFonts w:cs="Arial"/>
          <w:color w:val="000000" w:themeColor="text1"/>
          <w:sz w:val="22"/>
          <w:szCs w:val="22"/>
          <w:lang w:val="es-MX" w:eastAsia="es-CO"/>
        </w:rPr>
        <w:t xml:space="preserve"> oportunidad para mejorar los servicios a los </w:t>
      </w:r>
      <w:r>
        <w:rPr>
          <w:rFonts w:cs="Arial"/>
          <w:color w:val="000000" w:themeColor="text1"/>
          <w:sz w:val="22"/>
          <w:szCs w:val="22"/>
          <w:lang w:val="es-MX" w:eastAsia="es-CO"/>
        </w:rPr>
        <w:t>ciudadanos, perfeccionar la</w:t>
      </w:r>
      <w:r w:rsidRPr="001D2796">
        <w:rPr>
          <w:rFonts w:cs="Arial"/>
          <w:color w:val="000000" w:themeColor="text1"/>
          <w:sz w:val="22"/>
          <w:szCs w:val="22"/>
          <w:lang w:val="es-MX" w:eastAsia="es-CO"/>
        </w:rPr>
        <w:t xml:space="preserve"> infraestructura digital, optimizar </w:t>
      </w:r>
      <w:r>
        <w:rPr>
          <w:rFonts w:cs="Arial"/>
          <w:color w:val="000000" w:themeColor="text1"/>
          <w:sz w:val="22"/>
          <w:szCs w:val="22"/>
          <w:lang w:val="es-MX" w:eastAsia="es-CO"/>
        </w:rPr>
        <w:t>la capacitación, mejorar la</w:t>
      </w:r>
      <w:r w:rsidRPr="001D2796">
        <w:rPr>
          <w:rFonts w:cs="Arial"/>
          <w:color w:val="000000" w:themeColor="text1"/>
          <w:sz w:val="22"/>
          <w:szCs w:val="22"/>
          <w:lang w:val="es-MX" w:eastAsia="es-CO"/>
        </w:rPr>
        <w:t xml:space="preserve"> a</w:t>
      </w:r>
      <w:r>
        <w:rPr>
          <w:rFonts w:cs="Arial"/>
          <w:color w:val="000000" w:themeColor="text1"/>
          <w:sz w:val="22"/>
          <w:szCs w:val="22"/>
          <w:lang w:val="es-MX" w:eastAsia="es-CO"/>
        </w:rPr>
        <w:t xml:space="preserve">rticulación con otras entidades y </w:t>
      </w:r>
      <w:r w:rsidRPr="001D2796">
        <w:rPr>
          <w:rFonts w:cs="Arial"/>
          <w:color w:val="000000" w:themeColor="text1"/>
          <w:sz w:val="22"/>
          <w:szCs w:val="22"/>
          <w:lang w:val="es-MX" w:eastAsia="es-CO"/>
        </w:rPr>
        <w:t xml:space="preserve">con </w:t>
      </w:r>
      <w:r>
        <w:rPr>
          <w:rFonts w:cs="Arial"/>
          <w:color w:val="000000" w:themeColor="text1"/>
          <w:sz w:val="22"/>
          <w:szCs w:val="22"/>
          <w:lang w:val="es-MX" w:eastAsia="es-CO"/>
        </w:rPr>
        <w:t>los grupos de interés.</w:t>
      </w:r>
    </w:p>
    <w:p w14:paraId="0FDA390D" w14:textId="132FF288" w:rsidR="00AB3DCE" w:rsidRDefault="00AB3DCE" w:rsidP="000A20EE">
      <w:pPr>
        <w:pStyle w:val="Ttulo1"/>
        <w:numPr>
          <w:ilvl w:val="0"/>
          <w:numId w:val="22"/>
        </w:numPr>
        <w:tabs>
          <w:tab w:val="center" w:pos="4717"/>
          <w:tab w:val="left" w:pos="8190"/>
        </w:tabs>
        <w:spacing w:line="240" w:lineRule="auto"/>
        <w:jc w:val="both"/>
        <w:rPr>
          <w:sz w:val="22"/>
          <w:szCs w:val="22"/>
        </w:rPr>
      </w:pPr>
      <w:bookmarkStart w:id="15" w:name="_Toc88677053"/>
      <w:r w:rsidRPr="31FF9146">
        <w:rPr>
          <w:sz w:val="22"/>
          <w:szCs w:val="22"/>
        </w:rPr>
        <w:lastRenderedPageBreak/>
        <w:t xml:space="preserve">GESTIÓN CATASTRAL </w:t>
      </w:r>
      <w:r w:rsidR="225F165F" w:rsidRPr="31FF9146">
        <w:rPr>
          <w:sz w:val="22"/>
          <w:szCs w:val="22"/>
        </w:rPr>
        <w:t xml:space="preserve">CON ENFOQUE MULTIPROPÓSITO </w:t>
      </w:r>
      <w:r w:rsidRPr="31FF9146">
        <w:rPr>
          <w:sz w:val="22"/>
          <w:szCs w:val="22"/>
        </w:rPr>
        <w:t>PARA LA</w:t>
      </w:r>
      <w:r w:rsidR="00DA049D" w:rsidRPr="31FF9146">
        <w:rPr>
          <w:sz w:val="22"/>
          <w:szCs w:val="22"/>
        </w:rPr>
        <w:t xml:space="preserve"> ADMINISTRACIÓN DEL TERRITORIO</w:t>
      </w:r>
      <w:r w:rsidR="00E517A1" w:rsidRPr="31FF9146">
        <w:rPr>
          <w:sz w:val="22"/>
          <w:szCs w:val="22"/>
        </w:rPr>
        <w:t xml:space="preserve"> COLOMBIANO</w:t>
      </w:r>
      <w:bookmarkEnd w:id="15"/>
      <w:r w:rsidRPr="31FF9146">
        <w:rPr>
          <w:sz w:val="22"/>
          <w:szCs w:val="22"/>
        </w:rPr>
        <w:t xml:space="preserve"> </w:t>
      </w:r>
    </w:p>
    <w:p w14:paraId="3178192F" w14:textId="77777777" w:rsidR="00F76E97" w:rsidRPr="00F76E97" w:rsidRDefault="00F76E97" w:rsidP="00F76E97"/>
    <w:p w14:paraId="2F46DE2C" w14:textId="2E8FD562" w:rsidR="00B75FD3" w:rsidRDefault="24C39894" w:rsidP="00F76E97">
      <w:pPr>
        <w:jc w:val="both"/>
      </w:pPr>
      <w:r w:rsidRPr="31FF9146">
        <w:rPr>
          <w:rFonts w:eastAsia="Arial" w:cs="Arial"/>
          <w:sz w:val="22"/>
          <w:szCs w:val="22"/>
          <w:lang w:val="es"/>
        </w:rPr>
        <w:t>El Catastro Multipropósito es uno de los productos transformacionales prioritarios para el Gobierno Nacional, que tiene como objetivo garantizar un catastro integral, completo, actualizado, confiable, consistente con el sistema de registro de la propiedad inmueble, digital e interoperable con otros sistemas de información.</w:t>
      </w:r>
      <w:r w:rsidRPr="31FF9146">
        <w:rPr>
          <w:rFonts w:eastAsia="Arial" w:cs="Arial"/>
          <w:sz w:val="22"/>
          <w:szCs w:val="22"/>
        </w:rPr>
        <w:t xml:space="preserve"> </w:t>
      </w:r>
    </w:p>
    <w:p w14:paraId="34F158A7" w14:textId="581EFF4B" w:rsidR="00B75FD3" w:rsidRDefault="24C39894" w:rsidP="00F76E97">
      <w:pPr>
        <w:jc w:val="both"/>
      </w:pPr>
      <w:r w:rsidRPr="31FF9146">
        <w:rPr>
          <w:rFonts w:eastAsia="Arial" w:cs="Arial"/>
          <w:sz w:val="22"/>
          <w:szCs w:val="22"/>
          <w:lang w:val="es"/>
        </w:rPr>
        <w:t xml:space="preserve"> </w:t>
      </w:r>
      <w:r w:rsidRPr="31FF9146">
        <w:rPr>
          <w:rFonts w:eastAsia="Arial" w:cs="Arial"/>
          <w:sz w:val="22"/>
          <w:szCs w:val="22"/>
        </w:rPr>
        <w:t xml:space="preserve"> </w:t>
      </w:r>
    </w:p>
    <w:p w14:paraId="634B65F2" w14:textId="387C6C30" w:rsidR="00B75FD3" w:rsidRDefault="24C39894" w:rsidP="00F76E97">
      <w:pPr>
        <w:jc w:val="both"/>
      </w:pPr>
      <w:r w:rsidRPr="31FF9146">
        <w:rPr>
          <w:rFonts w:eastAsia="Arial" w:cs="Arial"/>
          <w:color w:val="000000" w:themeColor="text1"/>
          <w:sz w:val="22"/>
          <w:szCs w:val="22"/>
          <w:lang w:val="es"/>
        </w:rPr>
        <w:t xml:space="preserve">Este proyecto es la base fundamental para implementar un Sistema de Administración del Territorio (SAT), el cual </w:t>
      </w:r>
      <w:r w:rsidRPr="31FF9146">
        <w:rPr>
          <w:rFonts w:eastAsia="Arial" w:cs="Arial"/>
          <w:color w:val="000000" w:themeColor="text1"/>
          <w:sz w:val="22"/>
          <w:szCs w:val="22"/>
        </w:rPr>
        <w:t>consiste en la administración tanto de los bienes inmuebles privados como de los bienes inmuebles de uso público, los predios de la Nación, las áreas protegidas, las tierras comunales de grupos étnicos, el patrimonio cultural y arqueológico de la Nación, tanto en suelo, subsuelo, como agua (CONPES 4007 de 2020). De esta forma, con la actualización catastral se contribuye</w:t>
      </w:r>
      <w:r w:rsidRPr="31FF9146">
        <w:rPr>
          <w:rFonts w:eastAsia="Arial" w:cs="Arial"/>
          <w:color w:val="000000" w:themeColor="text1"/>
          <w:sz w:val="22"/>
          <w:szCs w:val="22"/>
          <w:lang w:val="es"/>
        </w:rPr>
        <w:t xml:space="preserve"> a la toma de decisiones en ordenamiento territorial, de planeación económica, social y ambiental, mediante la integración de información sobre derechos, restricciones y responsabilidades.</w:t>
      </w:r>
      <w:r w:rsidRPr="31FF9146">
        <w:rPr>
          <w:rFonts w:eastAsia="Arial" w:cs="Arial"/>
          <w:color w:val="000000" w:themeColor="text1"/>
          <w:sz w:val="22"/>
          <w:szCs w:val="22"/>
        </w:rPr>
        <w:t xml:space="preserve"> </w:t>
      </w:r>
    </w:p>
    <w:p w14:paraId="03D8AD39" w14:textId="3F9EE387" w:rsidR="00B75FD3" w:rsidRDefault="24C39894" w:rsidP="00F76E97">
      <w:pPr>
        <w:jc w:val="both"/>
      </w:pPr>
      <w:r w:rsidRPr="31FF9146">
        <w:rPr>
          <w:rFonts w:eastAsia="Arial" w:cs="Arial"/>
        </w:rPr>
        <w:t xml:space="preserve"> </w:t>
      </w:r>
    </w:p>
    <w:p w14:paraId="1A9672C7" w14:textId="07CE6FC8" w:rsidR="00B75FD3" w:rsidRDefault="24C39894" w:rsidP="00F76E97">
      <w:pPr>
        <w:jc w:val="both"/>
      </w:pPr>
      <w:r w:rsidRPr="31FF9146">
        <w:rPr>
          <w:rFonts w:eastAsia="Arial" w:cs="Arial"/>
          <w:sz w:val="22"/>
          <w:szCs w:val="22"/>
          <w:lang w:val="es"/>
        </w:rPr>
        <w:t>Por su parte, El CONPES 3985 de 2019 que adopta la política de implementación del catastro multipropósito, el CONPES 3951 de 2018, que emite concepto favorable para la contratación de crédito externo que permita la implementación de la Política y la Ley 1955 de 2019, a través de la cual se adopta el Plan Nacional de Desarrollo 2018-2022 “Pacto por Colombia, pacto por la equidad”, son las herramientas principales a partir de las cuales el IGAC definió su horizonte estratégico para este cuatrienio, dados los diferentes lineamientos, acciones, compromisos y metas definidas en cada uno de estos instrumentos de planificación, en los cuales la entidad juega un papel fundamental.</w:t>
      </w:r>
    </w:p>
    <w:p w14:paraId="62B764DC" w14:textId="6CD7034A" w:rsidR="1AD3BAB7" w:rsidRDefault="1AD3BAB7" w:rsidP="1AD3BAB7">
      <w:pPr>
        <w:jc w:val="both"/>
        <w:rPr>
          <w:lang w:val="es"/>
        </w:rPr>
      </w:pPr>
    </w:p>
    <w:p w14:paraId="77C5261F" w14:textId="0B322332" w:rsidR="00B75FD3" w:rsidRDefault="24C39894" w:rsidP="00F76E97">
      <w:pPr>
        <w:jc w:val="both"/>
      </w:pPr>
      <w:r w:rsidRPr="31FF9146">
        <w:rPr>
          <w:rFonts w:eastAsia="Arial" w:cs="Arial"/>
          <w:color w:val="000000" w:themeColor="text1"/>
          <w:sz w:val="22"/>
          <w:szCs w:val="22"/>
          <w:lang w:val="es"/>
        </w:rPr>
        <w:t>A partir del CONPES 3958 de 2019 que define la estrategia para la implementación de la política pública de catastro multipropósito, se identificaron</w:t>
      </w:r>
      <w:r w:rsidRPr="31FF9146">
        <w:rPr>
          <w:rFonts w:eastAsia="Arial" w:cs="Arial"/>
          <w:sz w:val="22"/>
          <w:szCs w:val="22"/>
          <w:lang w:val="es"/>
        </w:rPr>
        <w:t xml:space="preserve"> las siguientes problemáticas para la implementación del catastro multipropósito, desagregadas en cinco componentes: </w:t>
      </w:r>
    </w:p>
    <w:p w14:paraId="0B0CF484" w14:textId="5EAB36B8" w:rsidR="00B75FD3" w:rsidRDefault="24C39894" w:rsidP="00F76E97">
      <w:pPr>
        <w:jc w:val="both"/>
      </w:pPr>
      <w:r w:rsidRPr="31FF9146">
        <w:rPr>
          <w:rFonts w:eastAsia="Arial" w:cs="Arial"/>
          <w:sz w:val="22"/>
          <w:szCs w:val="22"/>
          <w:lang w:val="es"/>
        </w:rPr>
        <w:t xml:space="preserve"> </w:t>
      </w:r>
    </w:p>
    <w:p w14:paraId="20E2FAE1" w14:textId="3BC90B6A" w:rsidR="00B75FD3" w:rsidRDefault="24C39894" w:rsidP="00F76E97">
      <w:pPr>
        <w:pStyle w:val="Prrafodelista"/>
        <w:numPr>
          <w:ilvl w:val="0"/>
          <w:numId w:val="3"/>
        </w:numPr>
        <w:rPr>
          <w:rFonts w:eastAsia="Arial" w:cs="Arial"/>
          <w:i/>
          <w:iCs/>
          <w:sz w:val="22"/>
          <w:szCs w:val="22"/>
        </w:rPr>
      </w:pPr>
      <w:r w:rsidRPr="31FF9146">
        <w:rPr>
          <w:rFonts w:eastAsia="Arial" w:cs="Arial"/>
          <w:i/>
          <w:iCs/>
          <w:sz w:val="22"/>
          <w:szCs w:val="22"/>
          <w:lang w:val="es"/>
        </w:rPr>
        <w:t xml:space="preserve">Componente institucional, por la falta de claridad en la gobernanza de la gestión catastral y debilidades en las entidades ejecutoras del catastro; </w:t>
      </w:r>
    </w:p>
    <w:p w14:paraId="4D574CDD" w14:textId="082B3AE6" w:rsidR="00B75FD3" w:rsidRDefault="24C39894" w:rsidP="00F76E97">
      <w:pPr>
        <w:pStyle w:val="Prrafodelista"/>
        <w:numPr>
          <w:ilvl w:val="0"/>
          <w:numId w:val="3"/>
        </w:numPr>
        <w:rPr>
          <w:rFonts w:eastAsia="Arial" w:cs="Arial"/>
          <w:i/>
          <w:iCs/>
          <w:sz w:val="22"/>
          <w:szCs w:val="22"/>
        </w:rPr>
      </w:pPr>
      <w:r w:rsidRPr="31FF9146">
        <w:rPr>
          <w:rFonts w:eastAsia="Arial" w:cs="Arial"/>
          <w:i/>
          <w:iCs/>
          <w:sz w:val="22"/>
          <w:szCs w:val="22"/>
          <w:lang w:val="es"/>
        </w:rPr>
        <w:t>Componente de insumos para la gestión catastral, dada la necesidad de contar oportunamente con insumos geodésicos, cartográficos, registrales y de estándares y metodologías.</w:t>
      </w:r>
    </w:p>
    <w:p w14:paraId="6F164BF7" w14:textId="341A7A4C" w:rsidR="00B75FD3" w:rsidRDefault="24C39894" w:rsidP="00F76E97">
      <w:pPr>
        <w:pStyle w:val="Prrafodelista"/>
        <w:numPr>
          <w:ilvl w:val="0"/>
          <w:numId w:val="3"/>
        </w:numPr>
        <w:rPr>
          <w:rFonts w:eastAsia="Arial" w:cs="Arial"/>
          <w:i/>
          <w:iCs/>
          <w:sz w:val="22"/>
          <w:szCs w:val="22"/>
        </w:rPr>
      </w:pPr>
      <w:r w:rsidRPr="31FF9146">
        <w:rPr>
          <w:rFonts w:eastAsia="Arial" w:cs="Arial"/>
          <w:i/>
          <w:iCs/>
          <w:sz w:val="22"/>
          <w:szCs w:val="22"/>
          <w:lang w:val="es"/>
        </w:rPr>
        <w:t>Componente del uso de la información catastral, teniendo en cuenta su bajo nivel de incorporación como insumo para la ejecución de políticas sectoriales y territoriales</w:t>
      </w:r>
    </w:p>
    <w:p w14:paraId="6CA4C0A0" w14:textId="702DA460" w:rsidR="00B75FD3" w:rsidRDefault="24C39894" w:rsidP="00F76E97">
      <w:pPr>
        <w:pStyle w:val="Prrafodelista"/>
        <w:numPr>
          <w:ilvl w:val="0"/>
          <w:numId w:val="3"/>
        </w:numPr>
        <w:rPr>
          <w:rFonts w:eastAsia="Arial" w:cs="Arial"/>
          <w:i/>
          <w:iCs/>
          <w:sz w:val="22"/>
          <w:szCs w:val="22"/>
        </w:rPr>
      </w:pPr>
      <w:r w:rsidRPr="31FF9146">
        <w:rPr>
          <w:rFonts w:eastAsia="Arial" w:cs="Arial"/>
          <w:i/>
          <w:iCs/>
          <w:sz w:val="22"/>
          <w:szCs w:val="22"/>
          <w:lang w:val="es"/>
        </w:rPr>
        <w:t>Componente financiero, debido a que no se ha contado con los recursos necesarios para la gestión catastral del país ni con mecanismos para garantizar la sostenibilidad de la actividad catastral</w:t>
      </w:r>
    </w:p>
    <w:p w14:paraId="1758F251" w14:textId="5E9F9DB9" w:rsidR="00B75FD3" w:rsidRDefault="24C39894" w:rsidP="00F76E97">
      <w:pPr>
        <w:pStyle w:val="Prrafodelista"/>
        <w:numPr>
          <w:ilvl w:val="0"/>
          <w:numId w:val="3"/>
        </w:numPr>
        <w:rPr>
          <w:rFonts w:eastAsia="Arial" w:cs="Arial"/>
          <w:i/>
          <w:iCs/>
          <w:sz w:val="22"/>
          <w:szCs w:val="22"/>
        </w:rPr>
      </w:pPr>
      <w:r w:rsidRPr="31FF9146">
        <w:rPr>
          <w:rFonts w:eastAsia="Arial" w:cs="Arial"/>
          <w:i/>
          <w:iCs/>
          <w:sz w:val="22"/>
          <w:szCs w:val="22"/>
          <w:lang w:val="es"/>
        </w:rPr>
        <w:t>Componente de fases de implementación, teniendo en cuenta que es necesario considerar las capacidades institucionales diferenciales de los municipios, así como articular entre sí a las entidades del Gobierno nacional y coordinar la ejecución secuencial o simultánea de las diferentes acciones necesarias para ejecutar la política de catastro multipropósito en todo el territorio nacional.</w:t>
      </w:r>
      <w:r w:rsidR="00B75FD3">
        <w:br/>
      </w:r>
      <w:r w:rsidRPr="31FF9146">
        <w:rPr>
          <w:rFonts w:eastAsia="Arial" w:cs="Arial"/>
          <w:i/>
          <w:iCs/>
          <w:sz w:val="22"/>
          <w:szCs w:val="22"/>
          <w:lang w:val="es"/>
        </w:rPr>
        <w:t xml:space="preserve"> </w:t>
      </w:r>
    </w:p>
    <w:p w14:paraId="7A3F9A06" w14:textId="0223E78A" w:rsidR="00B75FD3" w:rsidRDefault="24C39894" w:rsidP="00F76E97">
      <w:pPr>
        <w:jc w:val="both"/>
      </w:pPr>
      <w:r w:rsidRPr="31FF9146">
        <w:rPr>
          <w:rFonts w:eastAsia="Arial" w:cs="Arial"/>
          <w:color w:val="000000" w:themeColor="text1"/>
          <w:sz w:val="22"/>
          <w:szCs w:val="22"/>
          <w:lang w:val="es"/>
        </w:rPr>
        <w:t xml:space="preserve">Dado lo anterior, este documento de política estableció que para llevar a cabo esta implementación se requiere de un plan de acción a siete años (2019-2025) con el fin de lograr la actualización catastral progresiva del 100% del territorio del país, pasando del 5,68 % al 60 % en 2022 y del 60% al 100 % en el 2025.  </w:t>
      </w:r>
    </w:p>
    <w:p w14:paraId="00EE3F14" w14:textId="0C36BCF7" w:rsidR="00B75FD3" w:rsidRDefault="24C39894" w:rsidP="00F76E97">
      <w:pPr>
        <w:jc w:val="both"/>
      </w:pPr>
      <w:r w:rsidRPr="31FF9146">
        <w:rPr>
          <w:rFonts w:eastAsia="Arial" w:cs="Arial"/>
          <w:sz w:val="22"/>
          <w:szCs w:val="22"/>
          <w:lang w:val="es"/>
        </w:rPr>
        <w:lastRenderedPageBreak/>
        <w:t xml:space="preserve"> </w:t>
      </w:r>
    </w:p>
    <w:p w14:paraId="28AA8BD1" w14:textId="7DACCA9E" w:rsidR="00B75FD3" w:rsidRPr="00F76E97" w:rsidRDefault="24C39894" w:rsidP="00F76E97">
      <w:pPr>
        <w:jc w:val="both"/>
        <w:rPr>
          <w:sz w:val="22"/>
          <w:szCs w:val="22"/>
        </w:rPr>
      </w:pPr>
      <w:r w:rsidRPr="31FF9146">
        <w:rPr>
          <w:rFonts w:eastAsia="Arial" w:cs="Arial"/>
          <w:sz w:val="22"/>
          <w:szCs w:val="22"/>
          <w:lang w:val="es"/>
        </w:rPr>
        <w:t xml:space="preserve">En este sentido, a través de este marco regulatorio, se busca fortalecer las capacidades institucionales de la nación para la implementación del catastro a nivel local y nacional, formalizar la tenencia de la tierra, promover la participación comunitaria con un enfoque diferencial de </w:t>
      </w:r>
      <w:r w:rsidRPr="00F76E97">
        <w:rPr>
          <w:rFonts w:eastAsia="Arial" w:cs="Arial"/>
          <w:sz w:val="22"/>
          <w:szCs w:val="22"/>
          <w:lang w:val="es"/>
        </w:rPr>
        <w:t>género y desarrollar procedimientos especiales</w:t>
      </w:r>
      <w:r w:rsidR="00B75FD3" w:rsidRPr="00F76E97">
        <w:rPr>
          <w:sz w:val="22"/>
          <w:szCs w:val="22"/>
        </w:rPr>
        <w:tab/>
      </w:r>
      <w:r w:rsidRPr="00F76E97">
        <w:rPr>
          <w:rFonts w:eastAsia="Arial" w:cs="Arial"/>
          <w:sz w:val="22"/>
          <w:szCs w:val="22"/>
          <w:lang w:val="es"/>
        </w:rPr>
        <w:t xml:space="preserve">para comunidades étnicas. De esta forma, el IGAC desempeña un rol fundamental dadas las metas a las que se busca llegar según lo definido en las acciones del documento en mención, que busca corregir las limitaciones encontradas en el proceso de implementación de la política que tuvo sus inicios con el CONPES 3859 de 2016. Así mismo, se busca definir los mecanismos para la modernización del modelo de operación de la gestión catastral con el fin de lograr la delegación y habilitación del catastro por demanda y por oferta, objetivo que pone al Instituto como una de las entidades más importantes del país, ya que la define como responsable de la custodia y gestión de la información catastral, encargada de promover su producción y difusión. </w:t>
      </w:r>
    </w:p>
    <w:p w14:paraId="5A8B8B6A" w14:textId="0B9891BB" w:rsidR="00B75FD3" w:rsidRPr="00F76E97" w:rsidRDefault="24C39894" w:rsidP="00F76E97">
      <w:pPr>
        <w:jc w:val="both"/>
        <w:rPr>
          <w:sz w:val="22"/>
          <w:szCs w:val="22"/>
        </w:rPr>
      </w:pPr>
      <w:r w:rsidRPr="00F76E97">
        <w:rPr>
          <w:rFonts w:eastAsia="Arial" w:cs="Arial"/>
          <w:i/>
          <w:iCs/>
          <w:sz w:val="22"/>
          <w:szCs w:val="22"/>
        </w:rPr>
        <w:t xml:space="preserve"> </w:t>
      </w:r>
    </w:p>
    <w:p w14:paraId="2A7EC56E" w14:textId="2ADB6D9F" w:rsidR="00B75FD3" w:rsidRPr="00F76E97" w:rsidRDefault="24C39894" w:rsidP="00F76E97">
      <w:pPr>
        <w:tabs>
          <w:tab w:val="left" w:pos="3916"/>
          <w:tab w:val="left" w:pos="5812"/>
        </w:tabs>
        <w:jc w:val="both"/>
        <w:rPr>
          <w:sz w:val="22"/>
          <w:szCs w:val="22"/>
        </w:rPr>
      </w:pPr>
      <w:r w:rsidRPr="00F76E97">
        <w:rPr>
          <w:rFonts w:eastAsia="Arial" w:cs="Arial"/>
          <w:sz w:val="22"/>
          <w:szCs w:val="22"/>
        </w:rPr>
        <w:t>Estos nuevos retos para la entidad tienen dos importantes acontecimientos que plantean la necesidad de establecer diversos cambios que permitan contar con las herramientas necesarias para mejorar la gestión catastral que se requiere con el fin de dar respuesta a las necesidades del país. Uno de ellos es la contratación de recursos del crédito externo, definidos a través del CONPES 3951 de 2018, que permitan financiar el programa para adoptar la implementación del catastro multipropósito, por medio de los siguientes objetivos:</w:t>
      </w:r>
    </w:p>
    <w:p w14:paraId="6F3B8B4D" w14:textId="535B6158" w:rsidR="00B75FD3" w:rsidRPr="00F76E97" w:rsidRDefault="00B75FD3" w:rsidP="00F76E97">
      <w:pPr>
        <w:tabs>
          <w:tab w:val="left" w:pos="3916"/>
          <w:tab w:val="left" w:pos="5812"/>
        </w:tabs>
        <w:jc w:val="both"/>
        <w:rPr>
          <w:sz w:val="22"/>
          <w:szCs w:val="22"/>
        </w:rPr>
      </w:pPr>
    </w:p>
    <w:p w14:paraId="5FD81A15" w14:textId="57EDA64A" w:rsidR="00B75FD3" w:rsidRPr="00F76E97" w:rsidRDefault="24C39894" w:rsidP="00F76E97">
      <w:pPr>
        <w:pStyle w:val="Prrafodelista"/>
        <w:numPr>
          <w:ilvl w:val="0"/>
          <w:numId w:val="2"/>
        </w:numPr>
        <w:rPr>
          <w:rFonts w:eastAsia="Arial" w:cs="Arial"/>
          <w:i/>
          <w:iCs/>
          <w:sz w:val="22"/>
          <w:szCs w:val="22"/>
        </w:rPr>
      </w:pPr>
      <w:r w:rsidRPr="00F76E97">
        <w:rPr>
          <w:rFonts w:eastAsia="Arial" w:cs="Arial"/>
          <w:i/>
          <w:iCs/>
          <w:sz w:val="22"/>
          <w:szCs w:val="22"/>
        </w:rPr>
        <w:t>Fortalecer la capacidad institucional de las entidades del orden nacional que hacen parte de la adopción e implementación de la política de catastro multipropósito en el marco del Sistema de Administración de Tierras.</w:t>
      </w:r>
    </w:p>
    <w:p w14:paraId="40CB2E2C" w14:textId="34F21AA9" w:rsidR="00B75FD3" w:rsidRPr="00F76E97" w:rsidRDefault="24C39894" w:rsidP="00F76E97">
      <w:pPr>
        <w:pStyle w:val="Prrafodelista"/>
        <w:numPr>
          <w:ilvl w:val="0"/>
          <w:numId w:val="2"/>
        </w:numPr>
        <w:rPr>
          <w:rFonts w:eastAsia="Arial" w:cs="Arial"/>
          <w:i/>
          <w:iCs/>
          <w:sz w:val="22"/>
          <w:szCs w:val="22"/>
        </w:rPr>
      </w:pPr>
      <w:r w:rsidRPr="00F76E97">
        <w:rPr>
          <w:rFonts w:eastAsia="Arial" w:cs="Arial"/>
          <w:i/>
          <w:iCs/>
          <w:sz w:val="22"/>
          <w:szCs w:val="22"/>
        </w:rPr>
        <w:t>Diseñar, desarrollar y poner en operación el repositorio de datos maestros de catastro-registro, modernizar los sistemas de información del IGAC, la SNR y la ANT, y fortalecer la Infraestructura de Datos Espaciales - IDE para Administración de Tierras.</w:t>
      </w:r>
    </w:p>
    <w:p w14:paraId="7D4A2EA3" w14:textId="64A06D8A" w:rsidR="00B75FD3" w:rsidRPr="00F76E97" w:rsidRDefault="24C39894" w:rsidP="00F76E97">
      <w:pPr>
        <w:pStyle w:val="Prrafodelista"/>
        <w:numPr>
          <w:ilvl w:val="0"/>
          <w:numId w:val="2"/>
        </w:numPr>
        <w:rPr>
          <w:rFonts w:eastAsia="Arial" w:cs="Arial"/>
          <w:i/>
          <w:iCs/>
          <w:sz w:val="22"/>
          <w:szCs w:val="22"/>
        </w:rPr>
      </w:pPr>
      <w:r w:rsidRPr="00F76E97">
        <w:rPr>
          <w:rFonts w:eastAsia="Arial" w:cs="Arial"/>
          <w:i/>
          <w:iCs/>
          <w:sz w:val="22"/>
          <w:szCs w:val="22"/>
        </w:rPr>
        <w:t>Implementar el catastro multipropósito en las entidades territoriales participantes del programa y mejorar la calidad de la información.</w:t>
      </w:r>
    </w:p>
    <w:p w14:paraId="7E412187" w14:textId="153D7DD2" w:rsidR="00B75FD3" w:rsidRPr="00F76E97" w:rsidRDefault="24C39894" w:rsidP="00F76E97">
      <w:pPr>
        <w:jc w:val="both"/>
        <w:rPr>
          <w:sz w:val="22"/>
          <w:szCs w:val="22"/>
        </w:rPr>
      </w:pPr>
      <w:r w:rsidRPr="00F76E97">
        <w:rPr>
          <w:rFonts w:eastAsia="Arial" w:cs="Arial"/>
          <w:sz w:val="22"/>
          <w:szCs w:val="22"/>
          <w:lang w:val="es"/>
        </w:rPr>
        <w:t xml:space="preserve"> </w:t>
      </w:r>
    </w:p>
    <w:p w14:paraId="52E0BD46" w14:textId="4B0C383C" w:rsidR="00B75FD3" w:rsidRPr="00F76E97" w:rsidRDefault="24C39894" w:rsidP="00F76E97">
      <w:pPr>
        <w:tabs>
          <w:tab w:val="left" w:pos="3916"/>
          <w:tab w:val="left" w:pos="5812"/>
        </w:tabs>
        <w:jc w:val="both"/>
        <w:rPr>
          <w:sz w:val="22"/>
          <w:szCs w:val="22"/>
        </w:rPr>
      </w:pPr>
      <w:r w:rsidRPr="00F76E97">
        <w:rPr>
          <w:rFonts w:eastAsia="Arial" w:cs="Arial"/>
          <w:sz w:val="22"/>
          <w:szCs w:val="22"/>
          <w:lang w:val="es"/>
        </w:rPr>
        <w:t>De manera complementaria, el Plan Nacional de Desarrollo 2018-2022 “Pacto por Colombia, pacto por la equidad, pacto transversal por la descentralización: conectar territorios, gobiernos y poblaciones”, a través del cual se busca promover la competitividad regional entendida como el aprovechamiento de las potencialidades territoriales, en busca de la equidad de oportunidades y el desarrollo sostenible, que reconocen el papel protagónico que pueden jugar las ciudades, en particular las ciudades intermedias, como dinamizadoras del desarrollo territorial y rural, así como el fortalecimiento del proceso de descentralización sobre la base de la autonomía y capacidad efectiva de los entes territoriales, otorga a la actualización catastral un rol preponderante para el desarrollo de estos territorios. Dado lo anterior, hace énfasis en los siguientes aspectos:</w:t>
      </w:r>
    </w:p>
    <w:p w14:paraId="7425A3B2" w14:textId="175972E6" w:rsidR="00B75FD3" w:rsidRPr="00F76E97" w:rsidRDefault="00B75FD3" w:rsidP="00F76E97">
      <w:pPr>
        <w:tabs>
          <w:tab w:val="left" w:pos="3916"/>
          <w:tab w:val="left" w:pos="5812"/>
        </w:tabs>
        <w:jc w:val="both"/>
        <w:rPr>
          <w:sz w:val="22"/>
          <w:szCs w:val="22"/>
          <w:lang w:val="es"/>
        </w:rPr>
      </w:pPr>
    </w:p>
    <w:p w14:paraId="357CB73F" w14:textId="06C0BB3B" w:rsidR="00B75FD3" w:rsidRPr="00F76E97" w:rsidRDefault="24C39894" w:rsidP="00F76E97">
      <w:pPr>
        <w:pStyle w:val="Prrafodelista"/>
        <w:numPr>
          <w:ilvl w:val="0"/>
          <w:numId w:val="1"/>
        </w:numPr>
        <w:rPr>
          <w:rFonts w:eastAsia="Arial" w:cs="Arial"/>
          <w:sz w:val="22"/>
          <w:szCs w:val="22"/>
        </w:rPr>
      </w:pPr>
      <w:r w:rsidRPr="00F76E97">
        <w:rPr>
          <w:rFonts w:eastAsia="Arial" w:cs="Arial"/>
          <w:sz w:val="22"/>
          <w:szCs w:val="22"/>
          <w:lang w:val="es"/>
        </w:rPr>
        <w:t>Define la gestión catastral como un servicio público “orientado a la adecuada formación, actualización, conservación y difusión de la información catastral, así como los procedimientos del enfoque catastral multipropósito que sean adoptados”.</w:t>
      </w:r>
    </w:p>
    <w:p w14:paraId="51C27E97" w14:textId="75742775" w:rsidR="00B75FD3" w:rsidRPr="00F76E97" w:rsidRDefault="24C39894" w:rsidP="00F76E97">
      <w:pPr>
        <w:pStyle w:val="Prrafodelista"/>
        <w:numPr>
          <w:ilvl w:val="0"/>
          <w:numId w:val="1"/>
        </w:numPr>
        <w:rPr>
          <w:rFonts w:eastAsia="Arial" w:cs="Arial"/>
          <w:sz w:val="22"/>
          <w:szCs w:val="22"/>
        </w:rPr>
      </w:pPr>
      <w:r w:rsidRPr="00F76E97">
        <w:rPr>
          <w:rFonts w:eastAsia="Arial" w:cs="Arial"/>
          <w:sz w:val="22"/>
          <w:szCs w:val="22"/>
          <w:lang w:val="es"/>
        </w:rPr>
        <w:t>Establece que la gestión catastral deberá ser prestada a) por el IGAC como autoridad catastral, b) por gestores catastrales y c) por operadores catastrales quienes desarrollarán labores operativas relativas a la gestión catastral.</w:t>
      </w:r>
    </w:p>
    <w:p w14:paraId="38E41676" w14:textId="15FA190E" w:rsidR="00B75FD3" w:rsidRPr="00F76E97" w:rsidRDefault="24C39894" w:rsidP="00F76E97">
      <w:pPr>
        <w:pStyle w:val="Prrafodelista"/>
        <w:numPr>
          <w:ilvl w:val="0"/>
          <w:numId w:val="1"/>
        </w:numPr>
        <w:rPr>
          <w:rFonts w:eastAsia="Arial" w:cs="Arial"/>
          <w:sz w:val="22"/>
          <w:szCs w:val="22"/>
        </w:rPr>
      </w:pPr>
      <w:r w:rsidRPr="00F76E97">
        <w:rPr>
          <w:rFonts w:eastAsia="Arial" w:cs="Arial"/>
          <w:sz w:val="22"/>
          <w:szCs w:val="22"/>
          <w:lang w:val="es"/>
        </w:rPr>
        <w:t>Define el rol del IGAC como máxima autoridad catastral nacional y prestador por excepción del servicio público catastral en ausencia de gestores catastrales y manifiesta que debe conservar la función reguladora y ejecutora en materia de gestión catastral, agrología, cartografía y geodesia.</w:t>
      </w:r>
    </w:p>
    <w:p w14:paraId="3E90CED1" w14:textId="615A5BB0" w:rsidR="00B75FD3" w:rsidRPr="00F76E97" w:rsidRDefault="24C39894" w:rsidP="00F76E97">
      <w:pPr>
        <w:pStyle w:val="Prrafodelista"/>
        <w:numPr>
          <w:ilvl w:val="0"/>
          <w:numId w:val="1"/>
        </w:numPr>
        <w:rPr>
          <w:rFonts w:eastAsia="Arial" w:cs="Arial"/>
          <w:sz w:val="22"/>
          <w:szCs w:val="22"/>
        </w:rPr>
      </w:pPr>
      <w:r w:rsidRPr="00F76E97">
        <w:rPr>
          <w:rFonts w:eastAsia="Arial" w:cs="Arial"/>
          <w:sz w:val="22"/>
          <w:szCs w:val="22"/>
          <w:lang w:val="es"/>
        </w:rPr>
        <w:lastRenderedPageBreak/>
        <w:t>Establece que el IGAC será la entidad encargada de habilitar como gestores catastrales para la prestación del servicio catastral a las entidades territoriales, las cuales incluyen los diferentes esquemas asociativos de orden territorial existente en el país; y establece que los gestores podrán adelantar la gestión catastral de manera directa o a través de la contratación de operadores catastrales.</w:t>
      </w:r>
    </w:p>
    <w:p w14:paraId="0DE5F33A" w14:textId="4DE2DFBE" w:rsidR="00B75FD3" w:rsidRPr="00F76E97" w:rsidRDefault="00B75FD3" w:rsidP="00F76E97">
      <w:pPr>
        <w:jc w:val="both"/>
        <w:rPr>
          <w:rFonts w:eastAsia="Arial" w:cs="Arial"/>
          <w:sz w:val="22"/>
          <w:szCs w:val="22"/>
        </w:rPr>
      </w:pPr>
    </w:p>
    <w:p w14:paraId="3383E7A2" w14:textId="32D8204E" w:rsidR="00B75FD3" w:rsidRPr="00F76E97" w:rsidRDefault="24C39894" w:rsidP="00F76E97">
      <w:pPr>
        <w:jc w:val="both"/>
        <w:rPr>
          <w:sz w:val="22"/>
          <w:szCs w:val="22"/>
        </w:rPr>
      </w:pPr>
      <w:r w:rsidRPr="00F76E97">
        <w:rPr>
          <w:rFonts w:eastAsia="Arial" w:cs="Arial"/>
          <w:sz w:val="22"/>
          <w:szCs w:val="22"/>
        </w:rPr>
        <w:t>Con la expedición del Plan Nacional de Desarrollo (PND) se consolidan muchos de los instrumentos que robustecen el diseño de la política pública, al establecer el catastro como un servicio público, bajo una estructura de regulación, Inspección, vigilancia y control y sanción (IVC), que permita garantizar la calidad de la prestación del servicio. Toda esta estructura se enmarca en un nuevo esquema de descentralización que permite la habilitación de entidades públicas, creando una oferta mucho más amplia para la prestación del servicio y donde las autoridades locales son los principales actores en la estrategia para la adopción de esta política en los territorios. El conjunto de estrategias para la implementación y acciones que generen valor a los territorios, permiten garantizar la sostenibilidad de la información del catastro.</w:t>
      </w:r>
    </w:p>
    <w:p w14:paraId="7571B45D" w14:textId="4509B69B" w:rsidR="00B75FD3" w:rsidRPr="00F76E97" w:rsidRDefault="00B75FD3" w:rsidP="00F76E97">
      <w:pPr>
        <w:jc w:val="both"/>
        <w:rPr>
          <w:rFonts w:eastAsia="Arial" w:cs="Arial"/>
          <w:sz w:val="22"/>
          <w:szCs w:val="22"/>
          <w:lang w:val="es"/>
        </w:rPr>
      </w:pPr>
    </w:p>
    <w:p w14:paraId="21A01E17" w14:textId="666592AB" w:rsidR="00B75FD3" w:rsidRPr="00F76E97" w:rsidRDefault="24C39894" w:rsidP="00F76E97">
      <w:pPr>
        <w:jc w:val="both"/>
        <w:rPr>
          <w:sz w:val="22"/>
          <w:szCs w:val="22"/>
        </w:rPr>
      </w:pPr>
      <w:r w:rsidRPr="00F76E97">
        <w:rPr>
          <w:rFonts w:eastAsia="Arial" w:cs="Arial"/>
          <w:sz w:val="22"/>
          <w:szCs w:val="22"/>
          <w:lang w:val="es"/>
        </w:rPr>
        <w:t>Así las cosas, el IGAC, en su calidad de máxima autoridad nacional en las materias anteriormente mencionadas, juega un rol preponderante para las actuales necesidades del país que han posicionado en la agenda nacional, la importancia de contar con un sistema catastral multipropósito que provea información permanente y sistemática para la administración de la tierra y de los territorios que se materializa en información física, jurídica, económica y territorial de todos los predios de Colombia. Así mismo, en el Acuerdo Final para la Terminación del Conflicto y la Construcción de una Paz Estable y Duradera, se identificó el catastro como un instrumento necesario para desarrollar la Reforma Rural Integral, a partir de la formación y actualización del catastro e impuesto predial rural.</w:t>
      </w:r>
    </w:p>
    <w:p w14:paraId="7E600586" w14:textId="5D926A57" w:rsidR="00B75FD3" w:rsidRPr="00F76E97" w:rsidRDefault="00B75FD3" w:rsidP="00F76E97">
      <w:pPr>
        <w:rPr>
          <w:rFonts w:eastAsia="Arial" w:cs="Arial"/>
          <w:sz w:val="22"/>
          <w:szCs w:val="22"/>
        </w:rPr>
      </w:pPr>
    </w:p>
    <w:p w14:paraId="55021F0B" w14:textId="1A0BE99F" w:rsidR="00B75FD3" w:rsidRPr="00F76E97" w:rsidRDefault="24C39894" w:rsidP="00F76E97">
      <w:pPr>
        <w:jc w:val="both"/>
        <w:rPr>
          <w:sz w:val="22"/>
          <w:szCs w:val="22"/>
        </w:rPr>
      </w:pPr>
      <w:r w:rsidRPr="00F76E97">
        <w:rPr>
          <w:rFonts w:eastAsia="Arial" w:cs="Arial"/>
          <w:sz w:val="22"/>
          <w:szCs w:val="22"/>
        </w:rPr>
        <w:t>En virtud de lo anterior, en el siguiente capítulo se desagregan las principales actividades desarrolladas y logros obtenidos que dan cuenta de la gestión desarrollada por el Instituto para el cumplimiento de los compromisos y metas de su responsabilidad.</w:t>
      </w:r>
    </w:p>
    <w:p w14:paraId="7223C7D9" w14:textId="785D039A" w:rsidR="00B75FD3" w:rsidRDefault="24C39894" w:rsidP="31FF9146">
      <w:pPr>
        <w:spacing w:line="257" w:lineRule="auto"/>
      </w:pPr>
      <w:r w:rsidRPr="31FF9146">
        <w:rPr>
          <w:rFonts w:ascii="Calibri" w:eastAsia="Calibri" w:hAnsi="Calibri" w:cs="Calibri"/>
          <w:sz w:val="22"/>
          <w:szCs w:val="22"/>
        </w:rPr>
        <w:t xml:space="preserve"> </w:t>
      </w:r>
    </w:p>
    <w:p w14:paraId="70402430" w14:textId="31CE8BD6" w:rsidR="00B75FD3" w:rsidRDefault="00B75FD3" w:rsidP="00C72779">
      <w:r>
        <w:br/>
      </w:r>
      <w:r>
        <w:br/>
      </w:r>
    </w:p>
    <w:p w14:paraId="5BD75E4B" w14:textId="24925755" w:rsidR="00F76E97" w:rsidRDefault="00F76E97" w:rsidP="00C72779"/>
    <w:p w14:paraId="1D2D2CB3" w14:textId="38229045" w:rsidR="00F76E97" w:rsidRDefault="00F76E97" w:rsidP="00C72779"/>
    <w:p w14:paraId="21057991" w14:textId="48A90EF4" w:rsidR="00F76E97" w:rsidRDefault="00F76E97" w:rsidP="00C72779"/>
    <w:p w14:paraId="18AF8FC5" w14:textId="5A478BCA" w:rsidR="00F76E97" w:rsidRDefault="00F76E97" w:rsidP="00C72779"/>
    <w:p w14:paraId="05CAA3C6" w14:textId="6D905A4E" w:rsidR="00F76E97" w:rsidRDefault="00F76E97" w:rsidP="00C72779"/>
    <w:p w14:paraId="55E55400" w14:textId="0403AA49" w:rsidR="00F76E97" w:rsidRDefault="00F76E97" w:rsidP="00C72779"/>
    <w:p w14:paraId="1BA86CAB" w14:textId="6108E8C0" w:rsidR="00F76E97" w:rsidRDefault="00F76E97" w:rsidP="00C72779"/>
    <w:p w14:paraId="2DD5FBF9" w14:textId="0EBF565A" w:rsidR="00F76E97" w:rsidRDefault="00F76E97" w:rsidP="00C72779"/>
    <w:p w14:paraId="5D608001" w14:textId="7D8A3749" w:rsidR="00F76E97" w:rsidRDefault="00F76E97" w:rsidP="00C72779"/>
    <w:p w14:paraId="3A77E2F5" w14:textId="36C025F6" w:rsidR="00F76E97" w:rsidRDefault="00F76E97" w:rsidP="00C72779"/>
    <w:p w14:paraId="047D110F" w14:textId="545857FB" w:rsidR="00F76E97" w:rsidRDefault="00F76E97" w:rsidP="00C72779"/>
    <w:p w14:paraId="5C3415B1" w14:textId="7C953D5C" w:rsidR="00F76E97" w:rsidRDefault="00F76E97" w:rsidP="00C72779"/>
    <w:p w14:paraId="045FFCE5" w14:textId="77777777" w:rsidR="00F76E97" w:rsidRDefault="00F76E97" w:rsidP="00C72779"/>
    <w:p w14:paraId="5350B60D" w14:textId="77777777" w:rsidR="002B2367" w:rsidRDefault="002B2367" w:rsidP="00C72779"/>
    <w:p w14:paraId="387F38FF" w14:textId="77777777" w:rsidR="00B63817" w:rsidRDefault="00B63817" w:rsidP="00B63817">
      <w:pPr>
        <w:pStyle w:val="Sinespaciado"/>
        <w:rPr>
          <w:rFonts w:ascii="Arial" w:hAnsi="Arial" w:cs="Arial"/>
          <w:b/>
        </w:rPr>
      </w:pPr>
    </w:p>
    <w:p w14:paraId="710651CE" w14:textId="77777777" w:rsidR="00B63817" w:rsidRDefault="00B63817" w:rsidP="00B63817">
      <w:pPr>
        <w:pStyle w:val="Sinespaciado"/>
        <w:rPr>
          <w:rFonts w:ascii="Arial" w:hAnsi="Arial" w:cs="Arial"/>
          <w:b/>
        </w:rPr>
      </w:pPr>
    </w:p>
    <w:p w14:paraId="255793F8" w14:textId="77777777" w:rsidR="00AF1FCC" w:rsidRPr="00AF1FCC" w:rsidRDefault="003A679B" w:rsidP="00AF1FCC">
      <w:pPr>
        <w:pStyle w:val="Ttulo1"/>
        <w:numPr>
          <w:ilvl w:val="0"/>
          <w:numId w:val="22"/>
        </w:numPr>
        <w:rPr>
          <w:rFonts w:cs="Arial"/>
          <w:sz w:val="22"/>
        </w:rPr>
      </w:pPr>
      <w:bookmarkStart w:id="16" w:name="_Toc88677054"/>
      <w:r w:rsidRPr="00AF1FCC">
        <w:rPr>
          <w:sz w:val="22"/>
        </w:rPr>
        <w:lastRenderedPageBreak/>
        <w:t>RESULTADOS Y LOGROS DE LAS DEPENDENCIA</w:t>
      </w:r>
      <w:bookmarkEnd w:id="16"/>
    </w:p>
    <w:p w14:paraId="312C3D71" w14:textId="4BEF2254" w:rsidR="00AF1FCC" w:rsidRPr="00AF1FCC" w:rsidRDefault="00A776C4" w:rsidP="00AF1FCC">
      <w:pPr>
        <w:pStyle w:val="Ttulo2"/>
        <w:numPr>
          <w:ilvl w:val="1"/>
          <w:numId w:val="22"/>
        </w:numPr>
        <w:jc w:val="left"/>
        <w:rPr>
          <w:sz w:val="22"/>
          <w:szCs w:val="32"/>
        </w:rPr>
      </w:pPr>
      <w:bookmarkStart w:id="17" w:name="_Toc88677055"/>
      <w:r w:rsidRPr="00AF1FCC">
        <w:rPr>
          <w:sz w:val="22"/>
          <w:szCs w:val="32"/>
        </w:rPr>
        <w:t>DIRECCIÓN DE GESTIÓN CATASTRAL</w:t>
      </w:r>
      <w:bookmarkEnd w:id="17"/>
    </w:p>
    <w:p w14:paraId="415592BC" w14:textId="399837E1" w:rsidR="00424277" w:rsidRPr="00101D97" w:rsidRDefault="00424277" w:rsidP="000A20EE">
      <w:pPr>
        <w:pStyle w:val="Sinespaciado"/>
        <w:numPr>
          <w:ilvl w:val="2"/>
          <w:numId w:val="22"/>
        </w:numPr>
      </w:pPr>
      <w:r w:rsidRPr="00B63817">
        <w:rPr>
          <w:rFonts w:ascii="Arial" w:hAnsi="Arial" w:cs="Arial"/>
          <w:b/>
        </w:rPr>
        <w:t>GENERALIDADES</w:t>
      </w:r>
    </w:p>
    <w:p w14:paraId="1F432AA6" w14:textId="77777777" w:rsidR="00C35F77" w:rsidRDefault="00C35F77" w:rsidP="00F83514"/>
    <w:p w14:paraId="22E73B91" w14:textId="77777777" w:rsidR="00061CC7" w:rsidRPr="0079283D" w:rsidRDefault="00061CC7" w:rsidP="00752C8A">
      <w:pPr>
        <w:jc w:val="both"/>
        <w:rPr>
          <w:rFonts w:cs="Arial"/>
          <w:sz w:val="22"/>
          <w:szCs w:val="22"/>
        </w:rPr>
      </w:pPr>
      <w:r w:rsidRPr="0079283D">
        <w:rPr>
          <w:rFonts w:cs="Arial"/>
          <w:sz w:val="22"/>
          <w:szCs w:val="22"/>
        </w:rPr>
        <w:t xml:space="preserve">La </w:t>
      </w:r>
      <w:r>
        <w:rPr>
          <w:rFonts w:cs="Arial"/>
          <w:sz w:val="22"/>
          <w:szCs w:val="22"/>
        </w:rPr>
        <w:t xml:space="preserve">Dirección de Gestión Catastral </w:t>
      </w:r>
      <w:r w:rsidRPr="0079283D">
        <w:rPr>
          <w:rFonts w:cs="Arial"/>
          <w:sz w:val="22"/>
          <w:szCs w:val="22"/>
        </w:rPr>
        <w:t xml:space="preserve">del Instituto Geográfico Agustín Codazzi - IGAC dirige las acciones relacionadas con la producción, custodia, preservación y documentación de los procesos de formación, actualización y conservación catastral, así como la elaboración de avalúos comerciales. </w:t>
      </w:r>
    </w:p>
    <w:p w14:paraId="1BE4E5D9" w14:textId="77777777" w:rsidR="00061CC7" w:rsidRPr="0079283D" w:rsidRDefault="00061CC7" w:rsidP="00752C8A">
      <w:pPr>
        <w:jc w:val="both"/>
        <w:rPr>
          <w:rFonts w:cs="Arial"/>
          <w:sz w:val="22"/>
          <w:szCs w:val="22"/>
        </w:rPr>
      </w:pPr>
    </w:p>
    <w:p w14:paraId="375263D7" w14:textId="77777777" w:rsidR="00061CC7" w:rsidRDefault="00061CC7" w:rsidP="00752C8A">
      <w:pPr>
        <w:jc w:val="both"/>
        <w:rPr>
          <w:rFonts w:cs="Arial"/>
          <w:sz w:val="22"/>
          <w:szCs w:val="22"/>
        </w:rPr>
      </w:pPr>
      <w:r w:rsidRPr="0079283D">
        <w:rPr>
          <w:rFonts w:cs="Arial"/>
          <w:sz w:val="22"/>
          <w:szCs w:val="22"/>
        </w:rPr>
        <w:t>En el marco de la política de catastro multipropósito, el IGAC, de acuerdo con lo establecido en la Ley 1955 de 2019, es la máxima autoridad catastral nacional y prestador por excepción del servicio público de catastro, en ausencia de gestores catastrales habilitados. En su rol de autoridad catastral, el IGAC mantiene la función reguladora. Así mismo y bajo la función de prestador de servicio por excepción, lidera los procesos de formación y actualización catastral en los municipios que no cuentan con gestor catastral y aquellos que contraten al Instituto como tal, trabajo realizado en conjunto con las Direcciones Territoriales de la entidad.</w:t>
      </w:r>
    </w:p>
    <w:p w14:paraId="6ECCF6CF" w14:textId="77777777" w:rsidR="00061CC7" w:rsidRPr="0079283D" w:rsidRDefault="00061CC7" w:rsidP="00752C8A">
      <w:pPr>
        <w:jc w:val="both"/>
        <w:rPr>
          <w:rFonts w:cs="Arial"/>
          <w:sz w:val="22"/>
          <w:szCs w:val="22"/>
        </w:rPr>
      </w:pPr>
    </w:p>
    <w:p w14:paraId="286387B7" w14:textId="4257B2BA" w:rsidR="00FD5FD2" w:rsidRPr="00A831FA" w:rsidRDefault="00FD5FD2" w:rsidP="000A20EE">
      <w:pPr>
        <w:pStyle w:val="Prrafodelista"/>
        <w:numPr>
          <w:ilvl w:val="3"/>
          <w:numId w:val="22"/>
        </w:numPr>
        <w:rPr>
          <w:rFonts w:cs="Arial"/>
          <w:b/>
          <w:bCs/>
          <w:sz w:val="22"/>
          <w:szCs w:val="22"/>
        </w:rPr>
      </w:pPr>
      <w:r w:rsidRPr="00A831FA">
        <w:rPr>
          <w:rFonts w:cs="Arial"/>
          <w:b/>
          <w:bCs/>
          <w:sz w:val="22"/>
          <w:szCs w:val="22"/>
        </w:rPr>
        <w:t>PRINCIPALES FUNCIONES</w:t>
      </w:r>
    </w:p>
    <w:p w14:paraId="704547FD" w14:textId="77777777" w:rsidR="007D3C64" w:rsidRDefault="007D3C64" w:rsidP="007D3C64">
      <w:pPr>
        <w:rPr>
          <w:rFonts w:cs="Arial"/>
          <w:sz w:val="22"/>
          <w:szCs w:val="22"/>
        </w:rPr>
      </w:pPr>
    </w:p>
    <w:p w14:paraId="48255CE2" w14:textId="423E6F6C" w:rsidR="00061CC7" w:rsidRPr="007D3C64" w:rsidRDefault="00061CC7" w:rsidP="007D3C64">
      <w:pPr>
        <w:rPr>
          <w:rFonts w:cs="Arial"/>
          <w:sz w:val="22"/>
          <w:szCs w:val="22"/>
        </w:rPr>
      </w:pPr>
      <w:r w:rsidRPr="007D3C64">
        <w:rPr>
          <w:rFonts w:cs="Arial"/>
          <w:sz w:val="22"/>
          <w:szCs w:val="22"/>
        </w:rPr>
        <w:t>Las funciones principales de la Dirección (decreto 846 de 2021) son:</w:t>
      </w:r>
    </w:p>
    <w:p w14:paraId="61E373BF" w14:textId="77777777" w:rsidR="00FD5FD2" w:rsidRDefault="00FD5FD2" w:rsidP="00752C8A">
      <w:pPr>
        <w:jc w:val="both"/>
        <w:rPr>
          <w:rFonts w:cs="Arial"/>
          <w:sz w:val="22"/>
          <w:szCs w:val="22"/>
        </w:rPr>
      </w:pPr>
    </w:p>
    <w:p w14:paraId="5C692357" w14:textId="39E0E062" w:rsidR="00061CC7" w:rsidRPr="00101D97" w:rsidRDefault="00061CC7" w:rsidP="000A20EE">
      <w:pPr>
        <w:pStyle w:val="Prrafodelista"/>
        <w:numPr>
          <w:ilvl w:val="0"/>
          <w:numId w:val="256"/>
        </w:numPr>
        <w:rPr>
          <w:rFonts w:cs="Arial"/>
          <w:sz w:val="22"/>
          <w:szCs w:val="22"/>
        </w:rPr>
      </w:pPr>
      <w:r w:rsidRPr="00101D97">
        <w:rPr>
          <w:rFonts w:cs="Arial"/>
          <w:sz w:val="22"/>
          <w:szCs w:val="22"/>
        </w:rPr>
        <w:t>Definir, diseñar y elaborar los productos y servicios derivados de los procesos catastrales para su comercialización.</w:t>
      </w:r>
    </w:p>
    <w:p w14:paraId="487DA742" w14:textId="5E00D8AB" w:rsidR="00061CC7" w:rsidRPr="00101D97" w:rsidRDefault="00061CC7" w:rsidP="000A20EE">
      <w:pPr>
        <w:pStyle w:val="Prrafodelista"/>
        <w:numPr>
          <w:ilvl w:val="0"/>
          <w:numId w:val="256"/>
        </w:numPr>
        <w:rPr>
          <w:rFonts w:cs="Arial"/>
          <w:sz w:val="22"/>
          <w:szCs w:val="22"/>
        </w:rPr>
      </w:pPr>
      <w:r w:rsidRPr="00101D97">
        <w:rPr>
          <w:rFonts w:cs="Arial"/>
          <w:sz w:val="22"/>
          <w:szCs w:val="22"/>
        </w:rPr>
        <w:t>Dirigir y Coordinar los procesos y proyectos y demás acciones relacionad</w:t>
      </w:r>
      <w:r w:rsidR="00FD5FD2" w:rsidRPr="00101D97">
        <w:rPr>
          <w:rFonts w:cs="Arial"/>
          <w:sz w:val="22"/>
          <w:szCs w:val="22"/>
        </w:rPr>
        <w:t>a</w:t>
      </w:r>
      <w:r w:rsidRPr="00101D97">
        <w:rPr>
          <w:rFonts w:cs="Arial"/>
          <w:sz w:val="22"/>
          <w:szCs w:val="22"/>
        </w:rPr>
        <w:t>s con la prestación del servicio público catastral por excepción, de manera articulada con la Subdirección General.</w:t>
      </w:r>
    </w:p>
    <w:p w14:paraId="178662F9" w14:textId="4684CE2A" w:rsidR="00061CC7" w:rsidRPr="00101D97" w:rsidRDefault="00061CC7" w:rsidP="000A20EE">
      <w:pPr>
        <w:pStyle w:val="Prrafodelista"/>
        <w:numPr>
          <w:ilvl w:val="0"/>
          <w:numId w:val="256"/>
        </w:numPr>
        <w:rPr>
          <w:rFonts w:cs="Arial"/>
          <w:sz w:val="22"/>
          <w:szCs w:val="22"/>
        </w:rPr>
      </w:pPr>
      <w:r w:rsidRPr="00101D97">
        <w:rPr>
          <w:rFonts w:cs="Arial"/>
          <w:sz w:val="22"/>
          <w:szCs w:val="22"/>
        </w:rPr>
        <w:t xml:space="preserve">Dirigir la elaboración de avalúos comerciales y administrativos, así como los peritazgos y solicitudes de conceptos técnicos en la materia, de conformidad con la normatividad vigente.   </w:t>
      </w:r>
    </w:p>
    <w:p w14:paraId="198FB5B0" w14:textId="4148F129" w:rsidR="00061CC7" w:rsidRPr="00101D97" w:rsidRDefault="00061CC7" w:rsidP="000A20EE">
      <w:pPr>
        <w:pStyle w:val="Prrafodelista"/>
        <w:numPr>
          <w:ilvl w:val="0"/>
          <w:numId w:val="256"/>
        </w:numPr>
        <w:rPr>
          <w:rFonts w:cs="Arial"/>
          <w:sz w:val="22"/>
          <w:szCs w:val="22"/>
        </w:rPr>
      </w:pPr>
      <w:r w:rsidRPr="00101D97">
        <w:rPr>
          <w:rFonts w:cs="Arial"/>
          <w:sz w:val="22"/>
          <w:szCs w:val="22"/>
        </w:rPr>
        <w:t>Orientar la elaboración y actualización de los procesos de formación, actualización, conservación, difusión y avalúos, proponiendo la implementación de métodos o actividades destinados a promover la optimización de tiempos y recursos.</w:t>
      </w:r>
    </w:p>
    <w:p w14:paraId="3939E280" w14:textId="34F03F2D" w:rsidR="00061CC7" w:rsidRPr="00101D97" w:rsidRDefault="00061CC7" w:rsidP="000A20EE">
      <w:pPr>
        <w:pStyle w:val="Prrafodelista"/>
        <w:numPr>
          <w:ilvl w:val="0"/>
          <w:numId w:val="256"/>
        </w:numPr>
        <w:rPr>
          <w:rFonts w:cs="Arial"/>
          <w:sz w:val="22"/>
          <w:szCs w:val="22"/>
        </w:rPr>
      </w:pPr>
      <w:r w:rsidRPr="00101D97">
        <w:rPr>
          <w:rFonts w:cs="Arial"/>
          <w:sz w:val="22"/>
          <w:szCs w:val="22"/>
        </w:rPr>
        <w:t>Establecer los lineamientos funcionales gráficos y alfanuméricos del Sistema de Información Catastral, para los componentes, físico, jurídico y económico.</w:t>
      </w:r>
    </w:p>
    <w:p w14:paraId="7CB31FDD" w14:textId="4A452988" w:rsidR="00061CC7" w:rsidRPr="00101D97" w:rsidRDefault="00061CC7" w:rsidP="000A20EE">
      <w:pPr>
        <w:pStyle w:val="Prrafodelista"/>
        <w:numPr>
          <w:ilvl w:val="0"/>
          <w:numId w:val="256"/>
        </w:numPr>
        <w:rPr>
          <w:rFonts w:cs="Arial"/>
          <w:sz w:val="22"/>
          <w:szCs w:val="22"/>
        </w:rPr>
      </w:pPr>
      <w:r w:rsidRPr="00101D97">
        <w:rPr>
          <w:rFonts w:cs="Arial"/>
          <w:sz w:val="22"/>
          <w:szCs w:val="22"/>
        </w:rPr>
        <w:t>Realizar seguimiento a la disposición de la información catastral, de conformidad con los estándares establecidos.</w:t>
      </w:r>
    </w:p>
    <w:p w14:paraId="7EDA598B" w14:textId="77777777" w:rsidR="00061CC7" w:rsidRDefault="00061CC7" w:rsidP="00752C8A">
      <w:pPr>
        <w:jc w:val="both"/>
        <w:rPr>
          <w:rFonts w:cs="Arial"/>
          <w:sz w:val="22"/>
          <w:szCs w:val="22"/>
        </w:rPr>
      </w:pPr>
    </w:p>
    <w:p w14:paraId="19AA17DE" w14:textId="654C2FDB" w:rsidR="00061CC7" w:rsidRPr="00641C4C" w:rsidRDefault="00061CC7" w:rsidP="00752C8A">
      <w:pPr>
        <w:jc w:val="both"/>
        <w:rPr>
          <w:rFonts w:cs="Arial"/>
          <w:b/>
          <w:sz w:val="22"/>
          <w:szCs w:val="22"/>
        </w:rPr>
      </w:pPr>
      <w:r>
        <w:rPr>
          <w:rFonts w:cs="Arial"/>
          <w:b/>
          <w:sz w:val="22"/>
          <w:szCs w:val="22"/>
        </w:rPr>
        <w:t>Subdirección de Proyectos</w:t>
      </w:r>
    </w:p>
    <w:p w14:paraId="2D62688E" w14:textId="77777777" w:rsidR="00061CC7" w:rsidRPr="0079283D" w:rsidRDefault="00061CC7" w:rsidP="00752C8A">
      <w:pPr>
        <w:jc w:val="both"/>
        <w:rPr>
          <w:rFonts w:cs="Arial"/>
          <w:sz w:val="22"/>
          <w:szCs w:val="22"/>
        </w:rPr>
      </w:pPr>
    </w:p>
    <w:p w14:paraId="3351DF50" w14:textId="6BD1A0D0" w:rsidR="00061CC7" w:rsidRPr="00C179F2" w:rsidRDefault="00061CC7" w:rsidP="000A20EE">
      <w:pPr>
        <w:pStyle w:val="Prrafodelista"/>
        <w:numPr>
          <w:ilvl w:val="0"/>
          <w:numId w:val="257"/>
        </w:numPr>
        <w:rPr>
          <w:rFonts w:cs="Arial"/>
          <w:sz w:val="22"/>
          <w:szCs w:val="22"/>
        </w:rPr>
      </w:pPr>
      <w:r w:rsidRPr="00C179F2">
        <w:rPr>
          <w:rFonts w:cs="Arial"/>
          <w:sz w:val="22"/>
          <w:szCs w:val="22"/>
        </w:rPr>
        <w:t>Realizar las actividades de planificación requeridas para la elaboración de los productos y servicios derivados de los procesos catastrales.</w:t>
      </w:r>
    </w:p>
    <w:p w14:paraId="66F0BDBA" w14:textId="0157C233" w:rsidR="00061CC7" w:rsidRPr="00C179F2" w:rsidRDefault="00061CC7" w:rsidP="000A20EE">
      <w:pPr>
        <w:pStyle w:val="Prrafodelista"/>
        <w:numPr>
          <w:ilvl w:val="0"/>
          <w:numId w:val="257"/>
        </w:numPr>
        <w:rPr>
          <w:rFonts w:cs="Arial"/>
          <w:sz w:val="22"/>
          <w:szCs w:val="22"/>
        </w:rPr>
      </w:pPr>
      <w:r w:rsidRPr="00C179F2">
        <w:rPr>
          <w:rFonts w:cs="Arial"/>
          <w:sz w:val="22"/>
          <w:szCs w:val="22"/>
        </w:rPr>
        <w:t>Elaborar los productos y prestar los servicios derivados de los procesos catastrales.</w:t>
      </w:r>
    </w:p>
    <w:p w14:paraId="3CAB7538" w14:textId="01591308" w:rsidR="00061CC7" w:rsidRPr="00C179F2" w:rsidRDefault="00061CC7" w:rsidP="000A20EE">
      <w:pPr>
        <w:pStyle w:val="Prrafodelista"/>
        <w:numPr>
          <w:ilvl w:val="0"/>
          <w:numId w:val="257"/>
        </w:numPr>
        <w:rPr>
          <w:rFonts w:cs="Arial"/>
          <w:sz w:val="22"/>
          <w:szCs w:val="22"/>
        </w:rPr>
      </w:pPr>
      <w:r w:rsidRPr="00C179F2">
        <w:rPr>
          <w:rFonts w:cs="Arial"/>
          <w:sz w:val="22"/>
          <w:szCs w:val="22"/>
        </w:rPr>
        <w:t>Realizar la planeación, coordinación y seguimiento de los procesos de la gestión catastral que realice el instituto en calidad de gestor catastral.</w:t>
      </w:r>
    </w:p>
    <w:p w14:paraId="18BCA75C" w14:textId="213B90FF" w:rsidR="00061CC7" w:rsidRPr="00C179F2" w:rsidRDefault="00061CC7" w:rsidP="000A20EE">
      <w:pPr>
        <w:pStyle w:val="Prrafodelista"/>
        <w:numPr>
          <w:ilvl w:val="0"/>
          <w:numId w:val="257"/>
        </w:numPr>
        <w:rPr>
          <w:rFonts w:cs="Arial"/>
          <w:sz w:val="22"/>
          <w:szCs w:val="22"/>
        </w:rPr>
      </w:pPr>
      <w:r w:rsidRPr="00C179F2">
        <w:rPr>
          <w:rFonts w:cs="Arial"/>
          <w:sz w:val="22"/>
          <w:szCs w:val="22"/>
        </w:rPr>
        <w:t>Establecer los métodos de valoración de los predios en el marco de los procesos de formación. y actualización catastral.</w:t>
      </w:r>
    </w:p>
    <w:p w14:paraId="186D28E0" w14:textId="021BA998" w:rsidR="00061CC7" w:rsidRDefault="00061CC7" w:rsidP="000A20EE">
      <w:pPr>
        <w:pStyle w:val="Prrafodelista"/>
        <w:numPr>
          <w:ilvl w:val="0"/>
          <w:numId w:val="257"/>
        </w:numPr>
        <w:rPr>
          <w:rFonts w:cs="Arial"/>
          <w:sz w:val="22"/>
          <w:szCs w:val="22"/>
        </w:rPr>
      </w:pPr>
      <w:r w:rsidRPr="00C179F2">
        <w:rPr>
          <w:rFonts w:cs="Arial"/>
          <w:sz w:val="22"/>
          <w:szCs w:val="22"/>
        </w:rPr>
        <w:t>Asegurar que la información resultante de los procesos catastrales adelantados por el Instituto sea registrada en el sistema de información dispuesto para tal fin por el Gobierno Nacional.</w:t>
      </w:r>
    </w:p>
    <w:p w14:paraId="2EC5D28C" w14:textId="77777777" w:rsidR="00061CC7" w:rsidRDefault="00061CC7" w:rsidP="00752C8A">
      <w:pPr>
        <w:jc w:val="both"/>
        <w:rPr>
          <w:rFonts w:cs="Arial"/>
          <w:sz w:val="22"/>
          <w:szCs w:val="22"/>
        </w:rPr>
      </w:pPr>
    </w:p>
    <w:p w14:paraId="762B0F09" w14:textId="32754826" w:rsidR="00061CC7" w:rsidRPr="00641C4C" w:rsidRDefault="00061CC7" w:rsidP="00752C8A">
      <w:pPr>
        <w:jc w:val="both"/>
        <w:rPr>
          <w:rFonts w:cs="Arial"/>
          <w:b/>
          <w:sz w:val="22"/>
          <w:szCs w:val="22"/>
        </w:rPr>
      </w:pPr>
      <w:r w:rsidRPr="00641C4C">
        <w:rPr>
          <w:rFonts w:cs="Arial"/>
          <w:b/>
          <w:sz w:val="22"/>
          <w:szCs w:val="22"/>
        </w:rPr>
        <w:t>Subdirección de Avalúos</w:t>
      </w:r>
    </w:p>
    <w:p w14:paraId="6CECC5BA" w14:textId="77777777" w:rsidR="00061CC7" w:rsidRDefault="00061CC7" w:rsidP="00752C8A">
      <w:pPr>
        <w:jc w:val="both"/>
        <w:rPr>
          <w:rFonts w:cs="Arial"/>
          <w:sz w:val="22"/>
          <w:szCs w:val="22"/>
        </w:rPr>
      </w:pPr>
    </w:p>
    <w:p w14:paraId="526A5B58" w14:textId="1BD4303C" w:rsidR="00061CC7" w:rsidRPr="00A27E5E" w:rsidRDefault="00061CC7" w:rsidP="000A20EE">
      <w:pPr>
        <w:pStyle w:val="Default"/>
        <w:numPr>
          <w:ilvl w:val="0"/>
          <w:numId w:val="257"/>
        </w:numPr>
        <w:jc w:val="both"/>
        <w:rPr>
          <w:color w:val="auto"/>
          <w:sz w:val="22"/>
          <w:szCs w:val="22"/>
        </w:rPr>
      </w:pPr>
      <w:r w:rsidRPr="00A27E5E">
        <w:rPr>
          <w:color w:val="auto"/>
          <w:sz w:val="22"/>
          <w:szCs w:val="22"/>
        </w:rPr>
        <w:t xml:space="preserve">Elaborar los avalúos comerciales y administrativos de inmuebles solicitados. </w:t>
      </w:r>
    </w:p>
    <w:p w14:paraId="553F12AA" w14:textId="7262B50D" w:rsidR="00061CC7" w:rsidRPr="00A27E5E" w:rsidRDefault="00061CC7" w:rsidP="000A20EE">
      <w:pPr>
        <w:pStyle w:val="Default"/>
        <w:numPr>
          <w:ilvl w:val="0"/>
          <w:numId w:val="257"/>
        </w:numPr>
        <w:jc w:val="both"/>
        <w:rPr>
          <w:color w:val="auto"/>
          <w:sz w:val="22"/>
          <w:szCs w:val="22"/>
        </w:rPr>
      </w:pPr>
      <w:r w:rsidRPr="00A27E5E">
        <w:rPr>
          <w:color w:val="auto"/>
          <w:sz w:val="22"/>
          <w:szCs w:val="22"/>
        </w:rPr>
        <w:t xml:space="preserve">Realizar los peritazgos y dictámenes solicitados por las entidades estatales. </w:t>
      </w:r>
    </w:p>
    <w:p w14:paraId="6FBBD979" w14:textId="4FC8A53D" w:rsidR="00061CC7" w:rsidRPr="00A27E5E" w:rsidRDefault="00061CC7" w:rsidP="000A20EE">
      <w:pPr>
        <w:pStyle w:val="Default"/>
        <w:numPr>
          <w:ilvl w:val="0"/>
          <w:numId w:val="257"/>
        </w:numPr>
        <w:jc w:val="both"/>
        <w:rPr>
          <w:color w:val="auto"/>
          <w:sz w:val="22"/>
          <w:szCs w:val="22"/>
        </w:rPr>
      </w:pPr>
      <w:r w:rsidRPr="00A27E5E">
        <w:rPr>
          <w:color w:val="auto"/>
          <w:sz w:val="22"/>
          <w:szCs w:val="22"/>
        </w:rPr>
        <w:t xml:space="preserve">Mantener actualizada la información de los avalúos en el sistema dispuesto para tal fin.  </w:t>
      </w:r>
    </w:p>
    <w:p w14:paraId="1492EF5F" w14:textId="5F77F631" w:rsidR="00061CC7" w:rsidRPr="00A27E5E" w:rsidRDefault="00061CC7" w:rsidP="000A20EE">
      <w:pPr>
        <w:pStyle w:val="Default"/>
        <w:numPr>
          <w:ilvl w:val="0"/>
          <w:numId w:val="257"/>
        </w:numPr>
        <w:jc w:val="both"/>
        <w:rPr>
          <w:color w:val="auto"/>
          <w:sz w:val="22"/>
          <w:szCs w:val="22"/>
        </w:rPr>
      </w:pPr>
      <w:r w:rsidRPr="00A27E5E">
        <w:rPr>
          <w:color w:val="auto"/>
          <w:sz w:val="22"/>
          <w:szCs w:val="22"/>
        </w:rPr>
        <w:t xml:space="preserve">Proponer a la Dirección de Gestión Catastral las normas que deba expedir el Instituto como autoridad de avalúos en el país. </w:t>
      </w:r>
    </w:p>
    <w:p w14:paraId="63F5BF17" w14:textId="182C9842" w:rsidR="00061CC7" w:rsidRDefault="00061CC7" w:rsidP="000A20EE">
      <w:pPr>
        <w:pStyle w:val="Default"/>
        <w:numPr>
          <w:ilvl w:val="0"/>
          <w:numId w:val="257"/>
        </w:numPr>
        <w:jc w:val="both"/>
        <w:rPr>
          <w:sz w:val="23"/>
          <w:szCs w:val="23"/>
        </w:rPr>
      </w:pPr>
      <w:r w:rsidRPr="00A27E5E">
        <w:rPr>
          <w:color w:val="auto"/>
          <w:sz w:val="22"/>
          <w:szCs w:val="22"/>
        </w:rPr>
        <w:t xml:space="preserve">Resolver las observaciones, revisiones, recursos o impugnaciones contra avalúos de inmuebles solicitados por entidades del Estado o en los que tenga interés el Estado </w:t>
      </w:r>
      <w:r w:rsidRPr="00A27E5E">
        <w:rPr>
          <w:sz w:val="22"/>
          <w:szCs w:val="22"/>
        </w:rPr>
        <w:t>o se requieran en actuación administrativa</w:t>
      </w:r>
      <w:r>
        <w:rPr>
          <w:sz w:val="23"/>
          <w:szCs w:val="23"/>
        </w:rPr>
        <w:t xml:space="preserve">. </w:t>
      </w:r>
    </w:p>
    <w:p w14:paraId="65B0BC4E" w14:textId="77777777" w:rsidR="00061CC7" w:rsidRDefault="00061CC7" w:rsidP="00061CC7">
      <w:pPr>
        <w:jc w:val="both"/>
        <w:rPr>
          <w:rFonts w:cs="Arial"/>
          <w:sz w:val="22"/>
          <w:szCs w:val="22"/>
        </w:rPr>
      </w:pPr>
    </w:p>
    <w:p w14:paraId="65125DE7" w14:textId="211B0B01" w:rsidR="00334301" w:rsidRPr="00334301" w:rsidRDefault="00334301" w:rsidP="000A20EE">
      <w:pPr>
        <w:pStyle w:val="Prrafodelista"/>
        <w:numPr>
          <w:ilvl w:val="3"/>
          <w:numId w:val="22"/>
        </w:numPr>
        <w:rPr>
          <w:b/>
          <w:bCs/>
          <w:sz w:val="22"/>
          <w:szCs w:val="22"/>
        </w:rPr>
      </w:pPr>
      <w:r w:rsidRPr="00334301">
        <w:rPr>
          <w:b/>
          <w:bCs/>
          <w:sz w:val="22"/>
          <w:szCs w:val="22"/>
        </w:rPr>
        <w:t xml:space="preserve">ESTRUCTURA FUNCIONAL DE LA DIRECCIÓN DE </w:t>
      </w:r>
      <w:r>
        <w:rPr>
          <w:b/>
          <w:bCs/>
          <w:sz w:val="22"/>
          <w:szCs w:val="22"/>
        </w:rPr>
        <w:t>GESTIÓN CATASTRAL</w:t>
      </w:r>
    </w:p>
    <w:p w14:paraId="5DDB0889" w14:textId="0CA96314" w:rsidR="008032C4" w:rsidRPr="002D2F11" w:rsidRDefault="008032C4" w:rsidP="00C35F77">
      <w:pPr>
        <w:pStyle w:val="Ttulo2"/>
        <w:spacing w:line="240" w:lineRule="auto"/>
        <w:jc w:val="left"/>
        <w:rPr>
          <w:sz w:val="22"/>
          <w:szCs w:val="22"/>
        </w:rPr>
      </w:pPr>
    </w:p>
    <w:p w14:paraId="776E765D" w14:textId="148304EE" w:rsidR="00A77B3B" w:rsidRPr="00275856" w:rsidRDefault="00153DB7" w:rsidP="00275856">
      <w:pPr>
        <w:pStyle w:val="Descripcin"/>
        <w:jc w:val="center"/>
        <w:rPr>
          <w:rFonts w:ascii="Arial" w:hAnsi="Arial" w:cs="Arial"/>
          <w:b/>
          <w:bCs/>
          <w:i w:val="0"/>
          <w:iCs w:val="0"/>
          <w:color w:val="000000" w:themeColor="text1"/>
          <w:sz w:val="14"/>
          <w:szCs w:val="14"/>
        </w:rPr>
      </w:pPr>
      <w:bookmarkStart w:id="18" w:name="_Hlk58576823"/>
      <w:bookmarkStart w:id="19" w:name="_Toc88655308"/>
      <w:bookmarkStart w:id="20" w:name="_Toc88656929"/>
      <w:bookmarkStart w:id="21" w:name="_Toc88677159"/>
      <w:bookmarkEnd w:id="18"/>
      <w:r>
        <w:rPr>
          <w:noProof/>
          <w:lang w:eastAsia="es-CO"/>
        </w:rPr>
        <w:drawing>
          <wp:anchor distT="0" distB="0" distL="114300" distR="114300" simplePos="0" relativeHeight="251658271" behindDoc="0" locked="0" layoutInCell="1" allowOverlap="1" wp14:anchorId="756DDD75" wp14:editId="27F5DC1C">
            <wp:simplePos x="0" y="0"/>
            <wp:positionH relativeFrom="column">
              <wp:posOffset>-509286</wp:posOffset>
            </wp:positionH>
            <wp:positionV relativeFrom="paragraph">
              <wp:posOffset>251532</wp:posOffset>
            </wp:positionV>
            <wp:extent cx="5923915" cy="3159760"/>
            <wp:effectExtent l="0" t="0" r="0" b="2540"/>
            <wp:wrapSquare wrapText="bothSides"/>
            <wp:docPr id="1793703119" name="Imagen 179370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23915" cy="3159760"/>
                    </a:xfrm>
                    <a:prstGeom prst="rect">
                      <a:avLst/>
                    </a:prstGeom>
                    <a:noFill/>
                  </pic:spPr>
                </pic:pic>
              </a:graphicData>
            </a:graphic>
            <wp14:sizeRelH relativeFrom="page">
              <wp14:pctWidth>0</wp14:pctWidth>
            </wp14:sizeRelH>
            <wp14:sizeRelV relativeFrom="page">
              <wp14:pctHeight>0</wp14:pctHeight>
            </wp14:sizeRelV>
          </wp:anchor>
        </w:drawing>
      </w:r>
      <w:r w:rsidR="002972C3" w:rsidRPr="00275856">
        <w:rPr>
          <w:rFonts w:ascii="Arial" w:hAnsi="Arial" w:cs="Arial"/>
          <w:b/>
          <w:bCs/>
          <w:i w:val="0"/>
          <w:iCs w:val="0"/>
          <w:color w:val="000000" w:themeColor="text1"/>
          <w:sz w:val="16"/>
          <w:szCs w:val="16"/>
        </w:rPr>
        <w:t xml:space="preserve">Ilustración </w:t>
      </w:r>
      <w:r w:rsidR="002972C3" w:rsidRPr="00275856">
        <w:rPr>
          <w:rFonts w:ascii="Arial" w:hAnsi="Arial" w:cs="Arial"/>
          <w:b/>
          <w:bCs/>
          <w:i w:val="0"/>
          <w:iCs w:val="0"/>
          <w:color w:val="000000" w:themeColor="text1"/>
          <w:sz w:val="16"/>
          <w:szCs w:val="16"/>
        </w:rPr>
        <w:fldChar w:fldCharType="begin"/>
      </w:r>
      <w:r w:rsidR="002972C3" w:rsidRPr="00275856">
        <w:rPr>
          <w:rFonts w:ascii="Arial" w:hAnsi="Arial" w:cs="Arial"/>
          <w:b/>
          <w:bCs/>
          <w:i w:val="0"/>
          <w:iCs w:val="0"/>
          <w:color w:val="000000" w:themeColor="text1"/>
          <w:sz w:val="16"/>
          <w:szCs w:val="16"/>
        </w:rPr>
        <w:instrText xml:space="preserve"> SEQ Ilustración \* ARABIC </w:instrText>
      </w:r>
      <w:r w:rsidR="002972C3" w:rsidRPr="00275856">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w:t>
      </w:r>
      <w:r w:rsidR="002972C3" w:rsidRPr="00275856">
        <w:rPr>
          <w:rFonts w:ascii="Arial" w:hAnsi="Arial" w:cs="Arial"/>
          <w:b/>
          <w:bCs/>
          <w:i w:val="0"/>
          <w:iCs w:val="0"/>
          <w:color w:val="000000" w:themeColor="text1"/>
          <w:sz w:val="16"/>
          <w:szCs w:val="16"/>
        </w:rPr>
        <w:fldChar w:fldCharType="end"/>
      </w:r>
      <w:r w:rsidR="002972C3" w:rsidRPr="00275856">
        <w:rPr>
          <w:rFonts w:ascii="Arial" w:hAnsi="Arial" w:cs="Arial"/>
          <w:b/>
          <w:bCs/>
          <w:i w:val="0"/>
          <w:iCs w:val="0"/>
          <w:color w:val="000000" w:themeColor="text1"/>
          <w:sz w:val="16"/>
          <w:szCs w:val="16"/>
        </w:rPr>
        <w:t>. Estructura Funcional</w:t>
      </w:r>
      <w:r w:rsidR="006A5BC5">
        <w:rPr>
          <w:rFonts w:ascii="Arial" w:hAnsi="Arial" w:cs="Arial"/>
          <w:b/>
          <w:bCs/>
          <w:i w:val="0"/>
          <w:iCs w:val="0"/>
          <w:color w:val="000000" w:themeColor="text1"/>
          <w:sz w:val="16"/>
          <w:szCs w:val="16"/>
        </w:rPr>
        <w:t xml:space="preserve"> Dire</w:t>
      </w:r>
      <w:r w:rsidR="00CF1544">
        <w:rPr>
          <w:rFonts w:ascii="Arial" w:hAnsi="Arial" w:cs="Arial"/>
          <w:b/>
          <w:bCs/>
          <w:i w:val="0"/>
          <w:iCs w:val="0"/>
          <w:color w:val="000000" w:themeColor="text1"/>
          <w:sz w:val="16"/>
          <w:szCs w:val="16"/>
        </w:rPr>
        <w:t>c</w:t>
      </w:r>
      <w:r w:rsidR="006A5BC5">
        <w:rPr>
          <w:rFonts w:ascii="Arial" w:hAnsi="Arial" w:cs="Arial"/>
          <w:b/>
          <w:bCs/>
          <w:i w:val="0"/>
          <w:iCs w:val="0"/>
          <w:color w:val="000000" w:themeColor="text1"/>
          <w:sz w:val="16"/>
          <w:szCs w:val="16"/>
        </w:rPr>
        <w:t>ción de Gestión Catastral</w:t>
      </w:r>
      <w:bookmarkEnd w:id="19"/>
      <w:bookmarkEnd w:id="20"/>
      <w:bookmarkEnd w:id="21"/>
    </w:p>
    <w:p w14:paraId="012E325D" w14:textId="77777777" w:rsidR="00325E6B" w:rsidRPr="00325E6B" w:rsidRDefault="00325E6B" w:rsidP="00325E6B"/>
    <w:p w14:paraId="532CEE15" w14:textId="685040E4" w:rsidR="00954535" w:rsidRPr="00954535" w:rsidRDefault="00954535" w:rsidP="00954535"/>
    <w:p w14:paraId="17FFD400" w14:textId="77777777" w:rsidR="00192005" w:rsidRPr="00275856" w:rsidRDefault="00192005" w:rsidP="00192005">
      <w:pPr>
        <w:pStyle w:val="Lista"/>
        <w:rPr>
          <w:b/>
          <w:bCs/>
          <w:sz w:val="16"/>
          <w:szCs w:val="16"/>
        </w:rPr>
      </w:pPr>
    </w:p>
    <w:p w14:paraId="1E73028B" w14:textId="77777777" w:rsidR="000624DC" w:rsidRDefault="000624DC" w:rsidP="00192005">
      <w:pPr>
        <w:pStyle w:val="Lista"/>
        <w:rPr>
          <w:b/>
          <w:bCs/>
          <w:sz w:val="16"/>
          <w:szCs w:val="16"/>
        </w:rPr>
      </w:pPr>
    </w:p>
    <w:p w14:paraId="3E43856D" w14:textId="77777777" w:rsidR="000624DC" w:rsidRDefault="000624DC" w:rsidP="00192005">
      <w:pPr>
        <w:pStyle w:val="Lista"/>
        <w:rPr>
          <w:b/>
          <w:bCs/>
          <w:sz w:val="16"/>
          <w:szCs w:val="16"/>
        </w:rPr>
      </w:pPr>
    </w:p>
    <w:p w14:paraId="36EC1A39" w14:textId="77777777" w:rsidR="000624DC" w:rsidRDefault="000624DC" w:rsidP="00192005">
      <w:pPr>
        <w:pStyle w:val="Lista"/>
        <w:rPr>
          <w:b/>
          <w:bCs/>
          <w:sz w:val="16"/>
          <w:szCs w:val="16"/>
        </w:rPr>
      </w:pPr>
    </w:p>
    <w:p w14:paraId="74F121B4" w14:textId="77777777" w:rsidR="000624DC" w:rsidRDefault="000624DC" w:rsidP="00192005">
      <w:pPr>
        <w:pStyle w:val="Lista"/>
        <w:rPr>
          <w:b/>
          <w:bCs/>
          <w:sz w:val="16"/>
          <w:szCs w:val="16"/>
        </w:rPr>
      </w:pPr>
    </w:p>
    <w:p w14:paraId="18E8C837" w14:textId="77777777" w:rsidR="000624DC" w:rsidRDefault="000624DC" w:rsidP="00192005">
      <w:pPr>
        <w:pStyle w:val="Lista"/>
        <w:rPr>
          <w:b/>
          <w:bCs/>
          <w:sz w:val="16"/>
          <w:szCs w:val="16"/>
        </w:rPr>
      </w:pPr>
    </w:p>
    <w:p w14:paraId="650FB728" w14:textId="77777777" w:rsidR="000624DC" w:rsidRDefault="000624DC" w:rsidP="00192005">
      <w:pPr>
        <w:pStyle w:val="Lista"/>
        <w:rPr>
          <w:b/>
          <w:bCs/>
          <w:sz w:val="16"/>
          <w:szCs w:val="16"/>
        </w:rPr>
      </w:pPr>
    </w:p>
    <w:p w14:paraId="43E34407" w14:textId="77777777" w:rsidR="000624DC" w:rsidRDefault="000624DC" w:rsidP="00192005">
      <w:pPr>
        <w:pStyle w:val="Lista"/>
        <w:rPr>
          <w:b/>
          <w:bCs/>
          <w:sz w:val="16"/>
          <w:szCs w:val="16"/>
        </w:rPr>
      </w:pPr>
    </w:p>
    <w:p w14:paraId="7DFB200D" w14:textId="77777777" w:rsidR="000624DC" w:rsidRDefault="000624DC" w:rsidP="00192005">
      <w:pPr>
        <w:pStyle w:val="Lista"/>
        <w:rPr>
          <w:b/>
          <w:bCs/>
          <w:sz w:val="16"/>
          <w:szCs w:val="16"/>
        </w:rPr>
      </w:pPr>
    </w:p>
    <w:p w14:paraId="2A75D817" w14:textId="77777777" w:rsidR="000624DC" w:rsidRDefault="000624DC" w:rsidP="00192005">
      <w:pPr>
        <w:pStyle w:val="Lista"/>
        <w:rPr>
          <w:b/>
          <w:bCs/>
          <w:sz w:val="16"/>
          <w:szCs w:val="16"/>
        </w:rPr>
      </w:pPr>
    </w:p>
    <w:p w14:paraId="29C31305" w14:textId="77777777" w:rsidR="000624DC" w:rsidRDefault="000624DC" w:rsidP="00192005">
      <w:pPr>
        <w:pStyle w:val="Lista"/>
        <w:rPr>
          <w:b/>
          <w:bCs/>
          <w:sz w:val="16"/>
          <w:szCs w:val="16"/>
        </w:rPr>
      </w:pPr>
    </w:p>
    <w:p w14:paraId="237D802E" w14:textId="77777777" w:rsidR="000624DC" w:rsidRDefault="000624DC" w:rsidP="00192005">
      <w:pPr>
        <w:pStyle w:val="Lista"/>
        <w:rPr>
          <w:b/>
          <w:bCs/>
          <w:sz w:val="16"/>
          <w:szCs w:val="16"/>
        </w:rPr>
      </w:pPr>
    </w:p>
    <w:p w14:paraId="6DBCF399" w14:textId="77777777" w:rsidR="000624DC" w:rsidRDefault="000624DC" w:rsidP="00192005">
      <w:pPr>
        <w:pStyle w:val="Lista"/>
        <w:rPr>
          <w:b/>
          <w:bCs/>
          <w:sz w:val="16"/>
          <w:szCs w:val="16"/>
        </w:rPr>
      </w:pPr>
    </w:p>
    <w:p w14:paraId="3DAF186B" w14:textId="77777777" w:rsidR="000624DC" w:rsidRDefault="000624DC" w:rsidP="00192005">
      <w:pPr>
        <w:pStyle w:val="Lista"/>
        <w:rPr>
          <w:b/>
          <w:bCs/>
          <w:sz w:val="16"/>
          <w:szCs w:val="16"/>
        </w:rPr>
      </w:pPr>
    </w:p>
    <w:p w14:paraId="748074D6" w14:textId="77777777" w:rsidR="000624DC" w:rsidRDefault="000624DC" w:rsidP="00192005">
      <w:pPr>
        <w:pStyle w:val="Lista"/>
        <w:rPr>
          <w:b/>
          <w:bCs/>
          <w:sz w:val="16"/>
          <w:szCs w:val="16"/>
        </w:rPr>
      </w:pPr>
    </w:p>
    <w:p w14:paraId="26CB4EEC" w14:textId="77777777" w:rsidR="000624DC" w:rsidRDefault="000624DC" w:rsidP="00192005">
      <w:pPr>
        <w:pStyle w:val="Lista"/>
        <w:rPr>
          <w:b/>
          <w:bCs/>
          <w:sz w:val="16"/>
          <w:szCs w:val="16"/>
        </w:rPr>
      </w:pPr>
    </w:p>
    <w:p w14:paraId="422E3564" w14:textId="77777777" w:rsidR="000624DC" w:rsidRDefault="000624DC" w:rsidP="00192005">
      <w:pPr>
        <w:pStyle w:val="Lista"/>
        <w:rPr>
          <w:b/>
          <w:bCs/>
          <w:sz w:val="16"/>
          <w:szCs w:val="16"/>
        </w:rPr>
      </w:pPr>
    </w:p>
    <w:p w14:paraId="3A5795C7" w14:textId="77777777" w:rsidR="000624DC" w:rsidRDefault="000624DC" w:rsidP="00192005">
      <w:pPr>
        <w:pStyle w:val="Lista"/>
        <w:rPr>
          <w:b/>
          <w:bCs/>
          <w:sz w:val="16"/>
          <w:szCs w:val="16"/>
        </w:rPr>
      </w:pPr>
    </w:p>
    <w:p w14:paraId="4796E6B4" w14:textId="77777777" w:rsidR="000624DC" w:rsidRDefault="000624DC" w:rsidP="00192005">
      <w:pPr>
        <w:pStyle w:val="Lista"/>
        <w:rPr>
          <w:b/>
          <w:bCs/>
          <w:sz w:val="16"/>
          <w:szCs w:val="16"/>
        </w:rPr>
      </w:pPr>
    </w:p>
    <w:p w14:paraId="4E82ABFF" w14:textId="77777777" w:rsidR="000624DC" w:rsidRDefault="000624DC" w:rsidP="00192005">
      <w:pPr>
        <w:pStyle w:val="Lista"/>
        <w:rPr>
          <w:b/>
          <w:bCs/>
          <w:sz w:val="16"/>
          <w:szCs w:val="16"/>
        </w:rPr>
      </w:pPr>
    </w:p>
    <w:p w14:paraId="7EA65882" w14:textId="77777777" w:rsidR="000624DC" w:rsidRDefault="000624DC" w:rsidP="00192005">
      <w:pPr>
        <w:pStyle w:val="Lista"/>
        <w:rPr>
          <w:b/>
          <w:bCs/>
          <w:sz w:val="16"/>
          <w:szCs w:val="16"/>
        </w:rPr>
      </w:pPr>
    </w:p>
    <w:p w14:paraId="14600948" w14:textId="77777777" w:rsidR="000624DC" w:rsidRDefault="000624DC" w:rsidP="00192005">
      <w:pPr>
        <w:pStyle w:val="Lista"/>
        <w:rPr>
          <w:b/>
          <w:bCs/>
          <w:sz w:val="16"/>
          <w:szCs w:val="16"/>
        </w:rPr>
      </w:pPr>
    </w:p>
    <w:p w14:paraId="21C4DA14" w14:textId="77777777" w:rsidR="000624DC" w:rsidRDefault="000624DC" w:rsidP="00192005">
      <w:pPr>
        <w:pStyle w:val="Lista"/>
        <w:rPr>
          <w:b/>
          <w:bCs/>
          <w:sz w:val="16"/>
          <w:szCs w:val="16"/>
        </w:rPr>
      </w:pPr>
    </w:p>
    <w:p w14:paraId="30354973" w14:textId="77777777" w:rsidR="000624DC" w:rsidRDefault="000624DC" w:rsidP="00192005">
      <w:pPr>
        <w:pStyle w:val="Lista"/>
        <w:rPr>
          <w:b/>
          <w:bCs/>
          <w:sz w:val="16"/>
          <w:szCs w:val="16"/>
        </w:rPr>
      </w:pPr>
    </w:p>
    <w:p w14:paraId="098447B5" w14:textId="77777777" w:rsidR="000624DC" w:rsidRPr="00275856" w:rsidRDefault="000624DC" w:rsidP="00192005">
      <w:pPr>
        <w:pStyle w:val="Lista"/>
        <w:rPr>
          <w:b/>
          <w:bCs/>
          <w:sz w:val="16"/>
          <w:szCs w:val="16"/>
        </w:rPr>
      </w:pPr>
    </w:p>
    <w:p w14:paraId="39332101" w14:textId="5D081AE2" w:rsidR="00192005" w:rsidRDefault="00275856" w:rsidP="00275856">
      <w:pPr>
        <w:pStyle w:val="Lista"/>
        <w:jc w:val="center"/>
        <w:rPr>
          <w:b/>
          <w:bCs/>
          <w:sz w:val="16"/>
          <w:szCs w:val="16"/>
        </w:rPr>
      </w:pPr>
      <w:r w:rsidRPr="00275856">
        <w:rPr>
          <w:b/>
          <w:bCs/>
          <w:sz w:val="16"/>
          <w:szCs w:val="16"/>
        </w:rPr>
        <w:t>Fuente: Dirección de Gestión Catastral</w:t>
      </w:r>
    </w:p>
    <w:p w14:paraId="56CAD542" w14:textId="77777777" w:rsidR="00275856" w:rsidRDefault="00275856" w:rsidP="00275856">
      <w:pPr>
        <w:pStyle w:val="Lista"/>
        <w:jc w:val="center"/>
        <w:rPr>
          <w:b/>
          <w:bCs/>
          <w:sz w:val="16"/>
          <w:szCs w:val="16"/>
        </w:rPr>
      </w:pPr>
    </w:p>
    <w:p w14:paraId="211ED3B0" w14:textId="77777777" w:rsidR="00275856" w:rsidRPr="00275856" w:rsidRDefault="00275856" w:rsidP="00275856">
      <w:pPr>
        <w:pStyle w:val="Lista"/>
        <w:jc w:val="center"/>
        <w:rPr>
          <w:b/>
          <w:bCs/>
          <w:sz w:val="16"/>
          <w:szCs w:val="16"/>
        </w:rPr>
      </w:pPr>
    </w:p>
    <w:p w14:paraId="0CCBC8E9" w14:textId="1067544C" w:rsidR="0067191B" w:rsidRPr="002D2F11" w:rsidRDefault="00334301" w:rsidP="000A20EE">
      <w:pPr>
        <w:pStyle w:val="Prrafodelista"/>
        <w:numPr>
          <w:ilvl w:val="4"/>
          <w:numId w:val="22"/>
        </w:numPr>
        <w:rPr>
          <w:b/>
          <w:bCs/>
          <w:sz w:val="22"/>
          <w:szCs w:val="22"/>
        </w:rPr>
      </w:pPr>
      <w:r w:rsidRPr="00334301">
        <w:rPr>
          <w:b/>
          <w:bCs/>
          <w:sz w:val="22"/>
          <w:szCs w:val="22"/>
        </w:rPr>
        <w:t>EQUIPO Y ROLES</w:t>
      </w:r>
    </w:p>
    <w:p w14:paraId="7737ADDD" w14:textId="77777777" w:rsidR="00275856" w:rsidRDefault="00275856" w:rsidP="00275856">
      <w:pPr>
        <w:pStyle w:val="Lista"/>
      </w:pPr>
    </w:p>
    <w:p w14:paraId="356A521F" w14:textId="77777777" w:rsidR="00C651DD" w:rsidRDefault="00C651DD" w:rsidP="00DB0A77">
      <w:pPr>
        <w:jc w:val="both"/>
        <w:rPr>
          <w:rStyle w:val="normaltextrun"/>
          <w:rFonts w:cs="Arial"/>
          <w:color w:val="000000"/>
          <w:sz w:val="22"/>
          <w:szCs w:val="22"/>
          <w:shd w:val="clear" w:color="auto" w:fill="FFFFFF"/>
        </w:rPr>
      </w:pPr>
      <w:r w:rsidRPr="00510FE8">
        <w:rPr>
          <w:rFonts w:cs="Arial"/>
          <w:sz w:val="22"/>
          <w:szCs w:val="22"/>
        </w:rPr>
        <w:t>La Dirección de Gestión Catastral cuenta con 1</w:t>
      </w:r>
      <w:r>
        <w:rPr>
          <w:rFonts w:cs="Arial"/>
          <w:sz w:val="22"/>
          <w:szCs w:val="22"/>
        </w:rPr>
        <w:t>8</w:t>
      </w:r>
      <w:r w:rsidRPr="00510FE8">
        <w:rPr>
          <w:rFonts w:cs="Arial"/>
          <w:sz w:val="22"/>
          <w:szCs w:val="22"/>
        </w:rPr>
        <w:t xml:space="preserve"> funcionarios de planta</w:t>
      </w:r>
      <w:r>
        <w:rPr>
          <w:rStyle w:val="Refdenotaalpie"/>
          <w:rFonts w:cs="Arial"/>
          <w:sz w:val="22"/>
          <w:szCs w:val="22"/>
        </w:rPr>
        <w:footnoteReference w:id="2"/>
      </w:r>
      <w:r w:rsidRPr="00510FE8">
        <w:rPr>
          <w:rFonts w:cs="Arial"/>
          <w:sz w:val="22"/>
          <w:szCs w:val="22"/>
        </w:rPr>
        <w:t xml:space="preserve"> </w:t>
      </w:r>
      <w:r>
        <w:rPr>
          <w:rFonts w:cs="Arial"/>
          <w:sz w:val="22"/>
          <w:szCs w:val="22"/>
        </w:rPr>
        <w:t xml:space="preserve">nombrados </w:t>
      </w:r>
      <w:r w:rsidRPr="00510FE8">
        <w:rPr>
          <w:rFonts w:cs="Arial"/>
          <w:sz w:val="22"/>
          <w:szCs w:val="22"/>
        </w:rPr>
        <w:t>y 1</w:t>
      </w:r>
      <w:r>
        <w:rPr>
          <w:rFonts w:cs="Arial"/>
          <w:sz w:val="22"/>
          <w:szCs w:val="22"/>
        </w:rPr>
        <w:t>21</w:t>
      </w:r>
      <w:r w:rsidRPr="00510FE8">
        <w:rPr>
          <w:rFonts w:cs="Arial"/>
          <w:sz w:val="22"/>
          <w:szCs w:val="22"/>
        </w:rPr>
        <w:t xml:space="preserve"> contratistas. A continuación, </w:t>
      </w:r>
      <w:r w:rsidRPr="00510FE8">
        <w:rPr>
          <w:rStyle w:val="normaltextrun"/>
          <w:rFonts w:cs="Arial"/>
          <w:color w:val="000000"/>
          <w:sz w:val="22"/>
          <w:szCs w:val="22"/>
          <w:shd w:val="clear" w:color="auto" w:fill="FFFFFF"/>
        </w:rPr>
        <w:t xml:space="preserve">se indican los funcionarios y contratistas asignados y una síntesis de los compromisos u obligaciones que desempeñan en el marco de los subprocesos de </w:t>
      </w:r>
      <w:r>
        <w:rPr>
          <w:rStyle w:val="normaltextrun"/>
          <w:rFonts w:cs="Arial"/>
          <w:color w:val="000000"/>
          <w:sz w:val="22"/>
          <w:szCs w:val="22"/>
          <w:shd w:val="clear" w:color="auto" w:fill="FFFFFF"/>
        </w:rPr>
        <w:t>la Gestión Catastral</w:t>
      </w:r>
      <w:r w:rsidRPr="00510FE8">
        <w:rPr>
          <w:rStyle w:val="normaltextrun"/>
          <w:rFonts w:cs="Arial"/>
          <w:color w:val="000000"/>
          <w:sz w:val="22"/>
          <w:szCs w:val="22"/>
          <w:shd w:val="clear" w:color="auto" w:fill="FFFFFF"/>
        </w:rPr>
        <w:t>.</w:t>
      </w:r>
    </w:p>
    <w:p w14:paraId="1A9395DE" w14:textId="77777777" w:rsidR="00275856" w:rsidRDefault="00275856" w:rsidP="00275856">
      <w:pPr>
        <w:pStyle w:val="Lista"/>
      </w:pPr>
    </w:p>
    <w:p w14:paraId="6789996A" w14:textId="77777777" w:rsidR="00C651DD" w:rsidRDefault="00C651DD" w:rsidP="00275856">
      <w:pPr>
        <w:pStyle w:val="Lista"/>
      </w:pPr>
    </w:p>
    <w:p w14:paraId="67A9C71B" w14:textId="0E942283" w:rsidR="00073AA1" w:rsidRPr="00073AA1" w:rsidRDefault="00C651DD" w:rsidP="00DB0A77">
      <w:pPr>
        <w:jc w:val="center"/>
        <w:rPr>
          <w:rFonts w:cs="Arial"/>
          <w:b/>
          <w:bCs/>
          <w:color w:val="000000" w:themeColor="text1"/>
          <w:sz w:val="22"/>
          <w:szCs w:val="22"/>
        </w:rPr>
      </w:pPr>
      <w:r w:rsidRPr="00073AA1">
        <w:rPr>
          <w:rStyle w:val="normaltextrun"/>
          <w:rFonts w:cs="Arial"/>
          <w:b/>
          <w:bCs/>
          <w:color w:val="000000" w:themeColor="text1"/>
          <w:sz w:val="14"/>
          <w:szCs w:val="14"/>
          <w:shd w:val="clear" w:color="auto" w:fill="FFFFFF"/>
        </w:rPr>
        <w:t xml:space="preserve"> </w:t>
      </w:r>
    </w:p>
    <w:p w14:paraId="041CEE4A" w14:textId="19E08DC1" w:rsidR="00073AA1" w:rsidRPr="008E6AD0" w:rsidRDefault="00073AA1" w:rsidP="008E6AD0">
      <w:pPr>
        <w:pStyle w:val="Descripcin"/>
        <w:keepNext/>
        <w:jc w:val="center"/>
        <w:rPr>
          <w:rFonts w:ascii="Arial" w:hAnsi="Arial" w:cs="Arial"/>
          <w:b/>
          <w:i w:val="0"/>
          <w:color w:val="000000" w:themeColor="text1"/>
          <w:sz w:val="16"/>
          <w:szCs w:val="16"/>
        </w:rPr>
      </w:pPr>
      <w:bookmarkStart w:id="22" w:name="_Toc88677076"/>
      <w:r w:rsidRPr="00073AA1">
        <w:rPr>
          <w:rFonts w:ascii="Arial" w:hAnsi="Arial" w:cs="Arial"/>
          <w:b/>
          <w:bCs/>
          <w:i w:val="0"/>
          <w:iCs w:val="0"/>
          <w:color w:val="000000" w:themeColor="text1"/>
          <w:sz w:val="16"/>
          <w:szCs w:val="16"/>
        </w:rPr>
        <w:lastRenderedPageBreak/>
        <w:t xml:space="preserve">Tabla </w:t>
      </w:r>
      <w:r w:rsidRPr="00073AA1">
        <w:rPr>
          <w:rFonts w:ascii="Arial" w:hAnsi="Arial" w:cs="Arial"/>
          <w:b/>
          <w:bCs/>
          <w:i w:val="0"/>
          <w:iCs w:val="0"/>
          <w:color w:val="000000" w:themeColor="text1"/>
          <w:sz w:val="16"/>
          <w:szCs w:val="16"/>
        </w:rPr>
        <w:fldChar w:fldCharType="begin"/>
      </w:r>
      <w:r w:rsidRPr="00073AA1">
        <w:rPr>
          <w:rFonts w:ascii="Arial" w:hAnsi="Arial" w:cs="Arial"/>
          <w:b/>
          <w:bCs/>
          <w:i w:val="0"/>
          <w:iCs w:val="0"/>
          <w:color w:val="000000" w:themeColor="text1"/>
          <w:sz w:val="16"/>
          <w:szCs w:val="16"/>
        </w:rPr>
        <w:instrText xml:space="preserve"> SEQ Tabla \* ARABIC </w:instrText>
      </w:r>
      <w:r w:rsidRPr="00073AA1">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4</w:t>
      </w:r>
      <w:r w:rsidRPr="00073AA1">
        <w:rPr>
          <w:rFonts w:ascii="Arial" w:hAnsi="Arial" w:cs="Arial"/>
          <w:b/>
          <w:bCs/>
          <w:i w:val="0"/>
          <w:iCs w:val="0"/>
          <w:color w:val="000000" w:themeColor="text1"/>
          <w:sz w:val="16"/>
          <w:szCs w:val="16"/>
        </w:rPr>
        <w:fldChar w:fldCharType="end"/>
      </w:r>
      <w:r w:rsidRPr="00073AA1">
        <w:rPr>
          <w:rFonts w:ascii="Arial" w:hAnsi="Arial" w:cs="Arial"/>
          <w:b/>
          <w:bCs/>
          <w:i w:val="0"/>
          <w:iCs w:val="0"/>
          <w:color w:val="000000" w:themeColor="text1"/>
          <w:sz w:val="16"/>
          <w:szCs w:val="16"/>
        </w:rPr>
        <w:t xml:space="preserve">. Roles </w:t>
      </w:r>
      <w:r w:rsidR="006E5A04">
        <w:rPr>
          <w:rFonts w:ascii="Arial" w:hAnsi="Arial" w:cs="Arial"/>
          <w:b/>
          <w:bCs/>
          <w:i w:val="0"/>
          <w:iCs w:val="0"/>
          <w:color w:val="000000" w:themeColor="text1"/>
          <w:sz w:val="16"/>
          <w:szCs w:val="16"/>
        </w:rPr>
        <w:t xml:space="preserve">Subdirección </w:t>
      </w:r>
      <w:r w:rsidR="005235EB">
        <w:rPr>
          <w:rFonts w:ascii="Arial" w:hAnsi="Arial" w:cs="Arial"/>
          <w:b/>
          <w:bCs/>
          <w:i w:val="0"/>
          <w:iCs w:val="0"/>
          <w:color w:val="000000" w:themeColor="text1"/>
          <w:sz w:val="16"/>
          <w:szCs w:val="16"/>
        </w:rPr>
        <w:t>de Proyectos</w:t>
      </w:r>
      <w:bookmarkEnd w:id="22"/>
    </w:p>
    <w:tbl>
      <w:tblPr>
        <w:tblStyle w:val="Tabladecuadrcula4-nfasis1"/>
        <w:tblW w:w="9634" w:type="dxa"/>
        <w:tblLook w:val="04A0" w:firstRow="1" w:lastRow="0" w:firstColumn="1" w:lastColumn="0" w:noHBand="0" w:noVBand="1"/>
      </w:tblPr>
      <w:tblGrid>
        <w:gridCol w:w="815"/>
        <w:gridCol w:w="1577"/>
        <w:gridCol w:w="5551"/>
        <w:gridCol w:w="1691"/>
      </w:tblGrid>
      <w:tr w:rsidR="00073AA1" w:rsidRPr="00E863E3" w14:paraId="3992A332" w14:textId="77777777" w:rsidTr="00912343">
        <w:trPr>
          <w:cnfStyle w:val="100000000000" w:firstRow="1" w:lastRow="0" w:firstColumn="0" w:lastColumn="0" w:oddVBand="0" w:evenVBand="0" w:oddHBand="0" w:evenHBand="0" w:firstRowFirstColumn="0" w:firstRowLastColumn="0" w:lastRowFirstColumn="0" w:lastRowLastColumn="0"/>
          <w:trHeight w:val="367"/>
          <w:tblHeader/>
        </w:trPr>
        <w:tc>
          <w:tcPr>
            <w:cnfStyle w:val="001000000000" w:firstRow="0" w:lastRow="0" w:firstColumn="1" w:lastColumn="0" w:oddVBand="0" w:evenVBand="0" w:oddHBand="0" w:evenHBand="0" w:firstRowFirstColumn="0" w:firstRowLastColumn="0" w:lastRowFirstColumn="0" w:lastRowLastColumn="0"/>
            <w:tcW w:w="815" w:type="dxa"/>
            <w:vAlign w:val="center"/>
            <w:hideMark/>
          </w:tcPr>
          <w:p w14:paraId="792E7286" w14:textId="291355CE" w:rsidR="00073AA1" w:rsidRPr="00B07C08" w:rsidRDefault="00073AA1" w:rsidP="00A6302C">
            <w:pPr>
              <w:suppressAutoHyphens w:val="0"/>
              <w:jc w:val="center"/>
              <w:textAlignment w:val="baseline"/>
              <w:rPr>
                <w:rFonts w:ascii="Segoe UI" w:hAnsi="Segoe UI" w:cs="Segoe UI"/>
                <w:b w:val="0"/>
                <w:bCs w:val="0"/>
                <w:sz w:val="18"/>
                <w:szCs w:val="18"/>
                <w:lang w:val="es-CO" w:eastAsia="es-CO"/>
              </w:rPr>
            </w:pPr>
            <w:r w:rsidRPr="00B07C08">
              <w:rPr>
                <w:rFonts w:cs="Arial"/>
                <w:sz w:val="18"/>
                <w:szCs w:val="18"/>
                <w:lang w:eastAsia="es-CO"/>
              </w:rPr>
              <w:t>Cant.</w:t>
            </w:r>
          </w:p>
        </w:tc>
        <w:tc>
          <w:tcPr>
            <w:tcW w:w="1577" w:type="dxa"/>
            <w:vAlign w:val="center"/>
            <w:hideMark/>
          </w:tcPr>
          <w:p w14:paraId="05EC83C2" w14:textId="65CF89F0" w:rsidR="00073AA1" w:rsidRPr="00B07C08" w:rsidRDefault="00073AA1" w:rsidP="00A6302C">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ascii="Segoe UI" w:hAnsi="Segoe UI" w:cs="Segoe UI"/>
                <w:b w:val="0"/>
                <w:bCs w:val="0"/>
                <w:sz w:val="18"/>
                <w:szCs w:val="18"/>
                <w:lang w:val="es-CO" w:eastAsia="es-CO"/>
              </w:rPr>
            </w:pPr>
            <w:r w:rsidRPr="00B07C08">
              <w:rPr>
                <w:rFonts w:cs="Arial"/>
                <w:sz w:val="18"/>
                <w:szCs w:val="18"/>
                <w:lang w:eastAsia="es-CO"/>
              </w:rPr>
              <w:t>Funcionario o Contratista</w:t>
            </w:r>
          </w:p>
        </w:tc>
        <w:tc>
          <w:tcPr>
            <w:tcW w:w="5551" w:type="dxa"/>
            <w:vAlign w:val="center"/>
            <w:hideMark/>
          </w:tcPr>
          <w:p w14:paraId="5D874D5E" w14:textId="65EBAEAD" w:rsidR="00073AA1" w:rsidRPr="00B07C08" w:rsidRDefault="00073AA1" w:rsidP="00A6302C">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ascii="Segoe UI" w:hAnsi="Segoe UI" w:cs="Segoe UI"/>
                <w:b w:val="0"/>
                <w:bCs w:val="0"/>
                <w:sz w:val="18"/>
                <w:szCs w:val="18"/>
                <w:lang w:val="es-CO" w:eastAsia="es-CO"/>
              </w:rPr>
            </w:pPr>
            <w:r w:rsidRPr="00B07C08">
              <w:rPr>
                <w:rFonts w:cs="Arial"/>
                <w:sz w:val="18"/>
                <w:szCs w:val="18"/>
                <w:lang w:eastAsia="es-CO"/>
              </w:rPr>
              <w:t>Rol</w:t>
            </w:r>
          </w:p>
        </w:tc>
        <w:tc>
          <w:tcPr>
            <w:tcW w:w="1691" w:type="dxa"/>
            <w:vAlign w:val="center"/>
            <w:hideMark/>
          </w:tcPr>
          <w:p w14:paraId="2AAFE937" w14:textId="1D9911AB" w:rsidR="00073AA1" w:rsidRPr="00B07C08" w:rsidRDefault="00073AA1" w:rsidP="00A6302C">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ascii="Segoe UI" w:hAnsi="Segoe UI" w:cs="Segoe UI"/>
                <w:b w:val="0"/>
                <w:bCs w:val="0"/>
                <w:sz w:val="18"/>
                <w:szCs w:val="18"/>
                <w:lang w:val="es-CO" w:eastAsia="es-CO"/>
              </w:rPr>
            </w:pPr>
            <w:r w:rsidRPr="00B07C08">
              <w:rPr>
                <w:rFonts w:cs="Arial"/>
                <w:sz w:val="18"/>
                <w:szCs w:val="18"/>
                <w:lang w:eastAsia="es-CO"/>
              </w:rPr>
              <w:t>Subproceso</w:t>
            </w:r>
          </w:p>
        </w:tc>
      </w:tr>
      <w:tr w:rsidR="00073AA1" w:rsidRPr="00E863E3" w14:paraId="7AE8A62F" w14:textId="77777777" w:rsidTr="00912343">
        <w:trPr>
          <w:cnfStyle w:val="000000100000" w:firstRow="0" w:lastRow="0" w:firstColumn="0" w:lastColumn="0" w:oddVBand="0" w:evenVBand="0" w:oddHBand="1" w:evenHBand="0" w:firstRowFirstColumn="0" w:firstRowLastColumn="0" w:lastRowFirstColumn="0" w:lastRowLastColumn="0"/>
          <w:trHeight w:val="734"/>
        </w:trPr>
        <w:tc>
          <w:tcPr>
            <w:cnfStyle w:val="001000000000" w:firstRow="0" w:lastRow="0" w:firstColumn="1" w:lastColumn="0" w:oddVBand="0" w:evenVBand="0" w:oddHBand="0" w:evenHBand="0" w:firstRowFirstColumn="0" w:firstRowLastColumn="0" w:lastRowFirstColumn="0" w:lastRowLastColumn="0"/>
            <w:tcW w:w="815" w:type="dxa"/>
            <w:vAlign w:val="center"/>
          </w:tcPr>
          <w:p w14:paraId="07F363EF" w14:textId="77777777" w:rsidR="00073AA1" w:rsidRPr="00DE7475" w:rsidRDefault="00073AA1" w:rsidP="00A6302C">
            <w:pPr>
              <w:suppressAutoHyphens w:val="0"/>
              <w:jc w:val="center"/>
              <w:textAlignment w:val="baseline"/>
              <w:rPr>
                <w:rFonts w:ascii="Segoe UI" w:hAnsi="Segoe UI" w:cs="Segoe UI"/>
                <w:sz w:val="18"/>
                <w:szCs w:val="18"/>
                <w:lang w:val="es-CO" w:eastAsia="es-CO"/>
              </w:rPr>
            </w:pPr>
            <w:r w:rsidRPr="00DE7475">
              <w:rPr>
                <w:rFonts w:ascii="Segoe UI" w:hAnsi="Segoe UI" w:cs="Segoe UI"/>
                <w:sz w:val="18"/>
                <w:szCs w:val="18"/>
                <w:lang w:val="es-CO" w:eastAsia="es-CO"/>
              </w:rPr>
              <w:t>76</w:t>
            </w:r>
          </w:p>
        </w:tc>
        <w:tc>
          <w:tcPr>
            <w:tcW w:w="1577" w:type="dxa"/>
            <w:vAlign w:val="center"/>
          </w:tcPr>
          <w:p w14:paraId="1F4D74EF" w14:textId="77777777" w:rsidR="00073AA1" w:rsidRPr="00DE7475" w:rsidRDefault="00073AA1" w:rsidP="00B5038E">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b/>
                <w:sz w:val="18"/>
                <w:szCs w:val="18"/>
                <w:lang w:val="es-CO" w:eastAsia="es-CO"/>
              </w:rPr>
            </w:pPr>
            <w:r w:rsidRPr="00DE7475">
              <w:rPr>
                <w:rFonts w:cs="Arial"/>
                <w:b/>
                <w:sz w:val="18"/>
                <w:szCs w:val="18"/>
              </w:rPr>
              <w:t>Profesional Especializado</w:t>
            </w:r>
          </w:p>
        </w:tc>
        <w:tc>
          <w:tcPr>
            <w:tcW w:w="5551" w:type="dxa"/>
            <w:vAlign w:val="center"/>
          </w:tcPr>
          <w:p w14:paraId="798BB5A2" w14:textId="14479967"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Realizar seguimiento a la planeación y ejecución de los procesos de la gestión catastral que realice el instituto.</w:t>
            </w:r>
          </w:p>
          <w:p w14:paraId="7FC40C9F" w14:textId="19D4B473"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Formular las especificaciones técnicas y estándares para regular la prestación del servicio público catastral, en coordinación con la Dirección Catastral.</w:t>
            </w:r>
          </w:p>
          <w:p w14:paraId="1F252ADF" w14:textId="101B63D1"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Expedir los lineamientos requeridos para que la información resultante de los procesos catastrales adelantados por el Instituto sea registrada en el sistema de información dispuesto para tal fin.</w:t>
            </w:r>
          </w:p>
          <w:p w14:paraId="6FEA7145" w14:textId="05D0F9B5"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Participar en la formulación, ejecución y control de planes y proyectos de responsabilidad del área, de acuerdo con los procedimientos y normas vigentes.</w:t>
            </w:r>
          </w:p>
          <w:p w14:paraId="1008501E" w14:textId="77777777"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Prestar apoyo en los aspectos administrativos, legales, técnicos y operacionales necesarias para la óptima gestión de la subdirección.</w:t>
            </w:r>
          </w:p>
          <w:p w14:paraId="29F63FAE" w14:textId="3D0851BF" w:rsidR="00073AA1" w:rsidRPr="00EC3B0A" w:rsidRDefault="00073AA1" w:rsidP="000A20EE">
            <w:pPr>
              <w:pStyle w:val="Prrafodelista"/>
              <w:numPr>
                <w:ilvl w:val="0"/>
                <w:numId w:val="222"/>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EC3B0A">
              <w:rPr>
                <w:rFonts w:cs="Arial"/>
                <w:sz w:val="18"/>
                <w:szCs w:val="18"/>
              </w:rPr>
              <w:t>Atender las solicitudes presentadas por los usuarios en los términos y condiciones de ley, de acuerdo con los procedimientos y normas vigentes.</w:t>
            </w:r>
          </w:p>
        </w:tc>
        <w:tc>
          <w:tcPr>
            <w:tcW w:w="1691" w:type="dxa"/>
            <w:vAlign w:val="center"/>
          </w:tcPr>
          <w:p w14:paraId="66F5B333" w14:textId="77777777" w:rsidR="00073AA1" w:rsidRPr="00DE7475" w:rsidRDefault="00073AA1" w:rsidP="00B5038E">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b/>
                <w:sz w:val="18"/>
                <w:szCs w:val="18"/>
                <w:lang w:val="es-CO" w:eastAsia="es-CO"/>
              </w:rPr>
            </w:pPr>
            <w:r w:rsidRPr="00DE7475">
              <w:rPr>
                <w:rFonts w:cs="Arial"/>
                <w:b/>
                <w:sz w:val="18"/>
                <w:szCs w:val="18"/>
                <w:lang w:val="es-CO" w:eastAsia="es-CO"/>
              </w:rPr>
              <w:t>Prestación del Servicio Catastral por Excepción y Formación, Actualización y Conservación Catastral</w:t>
            </w:r>
          </w:p>
        </w:tc>
      </w:tr>
      <w:tr w:rsidR="00073AA1" w:rsidRPr="00E863E3" w14:paraId="70448114" w14:textId="77777777" w:rsidTr="00912343">
        <w:trPr>
          <w:trHeight w:val="734"/>
        </w:trPr>
        <w:tc>
          <w:tcPr>
            <w:cnfStyle w:val="001000000000" w:firstRow="0" w:lastRow="0" w:firstColumn="1" w:lastColumn="0" w:oddVBand="0" w:evenVBand="0" w:oddHBand="0" w:evenHBand="0" w:firstRowFirstColumn="0" w:firstRowLastColumn="0" w:lastRowFirstColumn="0" w:lastRowLastColumn="0"/>
            <w:tcW w:w="815" w:type="dxa"/>
            <w:vAlign w:val="center"/>
          </w:tcPr>
          <w:p w14:paraId="4A3C402D" w14:textId="77777777" w:rsidR="00073AA1" w:rsidRPr="00DE7475" w:rsidRDefault="00073AA1" w:rsidP="00A6302C">
            <w:pPr>
              <w:suppressAutoHyphens w:val="0"/>
              <w:jc w:val="center"/>
              <w:textAlignment w:val="baseline"/>
              <w:rPr>
                <w:rFonts w:ascii="Segoe UI" w:hAnsi="Segoe UI" w:cs="Segoe UI"/>
                <w:sz w:val="18"/>
                <w:szCs w:val="18"/>
                <w:lang w:val="es-CO" w:eastAsia="es-CO"/>
              </w:rPr>
            </w:pPr>
            <w:r w:rsidRPr="00DE7475">
              <w:rPr>
                <w:rFonts w:ascii="Segoe UI" w:hAnsi="Segoe UI" w:cs="Segoe UI"/>
                <w:sz w:val="18"/>
                <w:szCs w:val="18"/>
                <w:lang w:val="es-CO" w:eastAsia="es-CO"/>
              </w:rPr>
              <w:t>9</w:t>
            </w:r>
          </w:p>
        </w:tc>
        <w:tc>
          <w:tcPr>
            <w:tcW w:w="1577" w:type="dxa"/>
            <w:vAlign w:val="center"/>
          </w:tcPr>
          <w:p w14:paraId="0476D5CB" w14:textId="77777777" w:rsidR="00073AA1" w:rsidRPr="00DE7475" w:rsidRDefault="00073AA1" w:rsidP="00B5038E">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b/>
                <w:color w:val="000000"/>
                <w:sz w:val="18"/>
                <w:szCs w:val="18"/>
                <w:lang w:eastAsia="es-CO"/>
              </w:rPr>
            </w:pPr>
            <w:r w:rsidRPr="00DE7475">
              <w:rPr>
                <w:rFonts w:cs="Arial"/>
                <w:b/>
                <w:color w:val="000000"/>
                <w:sz w:val="18"/>
                <w:szCs w:val="18"/>
                <w:lang w:eastAsia="es-CO"/>
              </w:rPr>
              <w:t>Profesional Universitario</w:t>
            </w:r>
          </w:p>
        </w:tc>
        <w:tc>
          <w:tcPr>
            <w:tcW w:w="5551" w:type="dxa"/>
            <w:vAlign w:val="center"/>
          </w:tcPr>
          <w:p w14:paraId="5DF47F3F" w14:textId="0334E0AF"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Elaborar las propuestas técnico-económicas para la comercialización de los productos y servicios derivados de los procesos catastrales.</w:t>
            </w:r>
          </w:p>
          <w:p w14:paraId="07C27E10" w14:textId="1E9C5A51"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Elaborar o actualizar los procedimientos de formación, actualización, conservación en lo que respecta a los componentes físicos y jurídicos, proponiendo la implementación de métodos o actividades destinado a promover la optimización de tiempos y recursos.</w:t>
            </w:r>
          </w:p>
          <w:p w14:paraId="4B6AEE0C" w14:textId="6F418681"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Capacitar al personal designado para realizar las labores de formación, actualización, conservación y difusión en lo relacionado con los componentes físico y jurídico, atendiendo los procedimientos y normas vigentes.</w:t>
            </w:r>
          </w:p>
          <w:p w14:paraId="603B3213" w14:textId="3FD1F2BB"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Realizar control de calidad de los productos generados y servicios prestados por el área.</w:t>
            </w:r>
          </w:p>
          <w:p w14:paraId="59FCFC6F" w14:textId="7459D11D"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Prestar apoyo en la ejecución de las labores técnicas necesarias para atender los procesos de la gestión catastral a cargo del instituto.</w:t>
            </w:r>
          </w:p>
          <w:p w14:paraId="596D1FFD" w14:textId="77777777" w:rsidR="00073AA1" w:rsidRPr="008E3442" w:rsidRDefault="00073AA1" w:rsidP="000A20EE">
            <w:pPr>
              <w:pStyle w:val="Prrafodelista"/>
              <w:numPr>
                <w:ilvl w:val="0"/>
                <w:numId w:val="223"/>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 w:val="18"/>
                <w:szCs w:val="18"/>
              </w:rPr>
            </w:pPr>
            <w:r w:rsidRPr="008E3442">
              <w:rPr>
                <w:rFonts w:cs="Arial"/>
                <w:sz w:val="18"/>
                <w:szCs w:val="18"/>
              </w:rPr>
              <w:t>Atender las solicitudes presentadas por los usuarios en los términos y condiciones de ley, de acuerdo con los procedimientos y normas vigentes.</w:t>
            </w:r>
          </w:p>
        </w:tc>
        <w:tc>
          <w:tcPr>
            <w:tcW w:w="1691" w:type="dxa"/>
            <w:vAlign w:val="center"/>
          </w:tcPr>
          <w:p w14:paraId="4A711BCE" w14:textId="77777777" w:rsidR="00073AA1" w:rsidRPr="00DE7475" w:rsidRDefault="00073AA1" w:rsidP="00A6302C">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b/>
                <w:sz w:val="18"/>
                <w:szCs w:val="18"/>
                <w:lang w:val="es-CO" w:eastAsia="es-CO"/>
              </w:rPr>
            </w:pPr>
            <w:r w:rsidRPr="00DE7475">
              <w:rPr>
                <w:rFonts w:cs="Arial"/>
                <w:b/>
                <w:sz w:val="18"/>
                <w:szCs w:val="18"/>
                <w:lang w:val="es-CO" w:eastAsia="es-CO"/>
              </w:rPr>
              <w:t>Prestación del Servicio Catastral por Excepción y Formación, Actualización y Conservación Catastral</w:t>
            </w:r>
          </w:p>
        </w:tc>
      </w:tr>
      <w:tr w:rsidR="00073AA1" w:rsidRPr="00E863E3" w14:paraId="66535AD9" w14:textId="77777777" w:rsidTr="00912343">
        <w:trPr>
          <w:cnfStyle w:val="000000100000" w:firstRow="0" w:lastRow="0" w:firstColumn="0" w:lastColumn="0" w:oddVBand="0" w:evenVBand="0" w:oddHBand="1" w:evenHBand="0" w:firstRowFirstColumn="0" w:firstRowLastColumn="0" w:lastRowFirstColumn="0" w:lastRowLastColumn="0"/>
          <w:trHeight w:val="734"/>
        </w:trPr>
        <w:tc>
          <w:tcPr>
            <w:cnfStyle w:val="001000000000" w:firstRow="0" w:lastRow="0" w:firstColumn="1" w:lastColumn="0" w:oddVBand="0" w:evenVBand="0" w:oddHBand="0" w:evenHBand="0" w:firstRowFirstColumn="0" w:firstRowLastColumn="0" w:lastRowFirstColumn="0" w:lastRowLastColumn="0"/>
            <w:tcW w:w="815" w:type="dxa"/>
            <w:vAlign w:val="center"/>
          </w:tcPr>
          <w:p w14:paraId="0F18D4E7" w14:textId="42519BBE" w:rsidR="00073AA1" w:rsidRPr="00DE7475" w:rsidRDefault="5FDF5F4B" w:rsidP="00A6302C">
            <w:pPr>
              <w:suppressAutoHyphens w:val="0"/>
              <w:jc w:val="center"/>
              <w:textAlignment w:val="baseline"/>
              <w:rPr>
                <w:rFonts w:ascii="Segoe UI" w:hAnsi="Segoe UI" w:cs="Segoe UI"/>
                <w:sz w:val="18"/>
                <w:szCs w:val="18"/>
                <w:lang w:val="es-CO" w:eastAsia="es-CO"/>
              </w:rPr>
            </w:pPr>
            <w:r w:rsidRPr="00DE7475">
              <w:rPr>
                <w:rFonts w:ascii="Segoe UI" w:hAnsi="Segoe UI" w:cs="Segoe UI"/>
                <w:sz w:val="18"/>
                <w:szCs w:val="18"/>
                <w:lang w:val="es-CO" w:eastAsia="es-CO"/>
              </w:rPr>
              <w:t>10</w:t>
            </w:r>
          </w:p>
        </w:tc>
        <w:tc>
          <w:tcPr>
            <w:tcW w:w="1577" w:type="dxa"/>
            <w:vAlign w:val="center"/>
          </w:tcPr>
          <w:p w14:paraId="46AC667A" w14:textId="69A02AF4" w:rsidR="00073AA1" w:rsidRPr="00DE7475" w:rsidRDefault="2A5B4832" w:rsidP="00B5038E">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b/>
                <w:sz w:val="18"/>
                <w:szCs w:val="18"/>
                <w:lang w:val="es-CO" w:eastAsia="es-CO"/>
              </w:rPr>
            </w:pPr>
            <w:r w:rsidRPr="00DE7475">
              <w:rPr>
                <w:rFonts w:cs="Arial"/>
                <w:b/>
                <w:sz w:val="18"/>
                <w:szCs w:val="18"/>
                <w:lang w:val="es-CO" w:eastAsia="es-CO"/>
              </w:rPr>
              <w:t>Técnico</w:t>
            </w:r>
            <w:r w:rsidR="24A8E620" w:rsidRPr="00DE7475">
              <w:rPr>
                <w:rFonts w:cs="Arial"/>
                <w:b/>
                <w:sz w:val="18"/>
                <w:szCs w:val="18"/>
                <w:lang w:val="es-CO" w:eastAsia="es-CO"/>
              </w:rPr>
              <w:t xml:space="preserve"> Operativo-Técnicos</w:t>
            </w:r>
            <w:r w:rsidRPr="00DE7475">
              <w:rPr>
                <w:rFonts w:cs="Arial"/>
                <w:b/>
                <w:sz w:val="18"/>
                <w:szCs w:val="18"/>
                <w:lang w:val="es-CO" w:eastAsia="es-CO"/>
              </w:rPr>
              <w:t xml:space="preserve"> Administrativo</w:t>
            </w:r>
            <w:r w:rsidR="5C5E4BC9" w:rsidRPr="00DE7475">
              <w:rPr>
                <w:rFonts w:cs="Arial"/>
                <w:b/>
                <w:sz w:val="18"/>
                <w:szCs w:val="18"/>
                <w:lang w:val="es-CO" w:eastAsia="es-CO"/>
              </w:rPr>
              <w:t>s</w:t>
            </w:r>
          </w:p>
        </w:tc>
        <w:tc>
          <w:tcPr>
            <w:tcW w:w="5551" w:type="dxa"/>
            <w:vAlign w:val="center"/>
          </w:tcPr>
          <w:p w14:paraId="5EE437E0" w14:textId="34B835EE"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t>Prestar apoyo en los aspectos técnicos y administrativos requeridos por el área para la generación de productos y/o servicios derivados de los procesos catastrales.</w:t>
            </w:r>
          </w:p>
          <w:p w14:paraId="7440793E" w14:textId="19F9B09F"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t>Preparar los insumos requeridos por el área para la realización del trabajo de campo.</w:t>
            </w:r>
          </w:p>
          <w:p w14:paraId="68783CCD" w14:textId="1AF99057"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t>Realizar las visitas a campo requeridas para la elaboración de los productos y/o servicios de competencia del área, solicitados al instituto.</w:t>
            </w:r>
          </w:p>
          <w:p w14:paraId="67C17949" w14:textId="73232581"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t>Atender las solicitudes presentadas por los usuarios en los términos y condiciones de ley, de acuerdo con los procedimientos y normas vigentes.</w:t>
            </w:r>
          </w:p>
          <w:p w14:paraId="0456C62E" w14:textId="2662C624"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t>Preparar y presentar los informes que sean requeridos interna o externamente, observando criterios de oportunidad, veracidad y confiabilidad de la información, empleando los sistemas de información, gestión o bases de datos, garantizando la seguridad de la información.</w:t>
            </w:r>
          </w:p>
          <w:p w14:paraId="0FFD9254" w14:textId="77777777" w:rsidR="00073AA1" w:rsidRPr="00C407C1" w:rsidRDefault="00073AA1" w:rsidP="000A20EE">
            <w:pPr>
              <w:pStyle w:val="Prrafodelista"/>
              <w:numPr>
                <w:ilvl w:val="0"/>
                <w:numId w:val="224"/>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cs="Arial"/>
                <w:sz w:val="18"/>
                <w:szCs w:val="18"/>
              </w:rPr>
            </w:pPr>
            <w:r w:rsidRPr="00C407C1">
              <w:rPr>
                <w:rFonts w:cs="Arial"/>
                <w:sz w:val="18"/>
                <w:szCs w:val="18"/>
              </w:rPr>
              <w:lastRenderedPageBreak/>
              <w:t>Desempeñar las demás funciones que se le sean asignadas, inherentes a la naturaleza de la dependencia conforme a los requerimientos y las normas vigentes que regulan la materia.</w:t>
            </w:r>
          </w:p>
        </w:tc>
        <w:tc>
          <w:tcPr>
            <w:tcW w:w="1691" w:type="dxa"/>
            <w:vAlign w:val="center"/>
          </w:tcPr>
          <w:p w14:paraId="0DE35C29" w14:textId="77777777" w:rsidR="00073AA1" w:rsidRPr="00DE7475" w:rsidRDefault="00073AA1" w:rsidP="00A6302C">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ascii="Segoe UI" w:hAnsi="Segoe UI" w:cs="Segoe UI"/>
                <w:b/>
                <w:sz w:val="18"/>
                <w:szCs w:val="18"/>
                <w:lang w:val="es-CO" w:eastAsia="es-CO"/>
              </w:rPr>
            </w:pPr>
            <w:r w:rsidRPr="00DE7475">
              <w:rPr>
                <w:rFonts w:cs="Arial"/>
                <w:b/>
                <w:sz w:val="18"/>
                <w:szCs w:val="18"/>
                <w:lang w:val="es-CO" w:eastAsia="es-CO"/>
              </w:rPr>
              <w:lastRenderedPageBreak/>
              <w:t>Prestación del Servicio Catastral por Excepción y Formación, Actualización y Conservación Catastral</w:t>
            </w:r>
          </w:p>
        </w:tc>
      </w:tr>
    </w:tbl>
    <w:p w14:paraId="225BC447" w14:textId="5362FB36" w:rsidR="00073AA1" w:rsidRPr="00D5637C" w:rsidRDefault="00D80B73" w:rsidP="00D5637C">
      <w:pPr>
        <w:ind w:left="360"/>
        <w:jc w:val="center"/>
        <w:rPr>
          <w:rFonts w:cs="Arial"/>
          <w:b/>
          <w:sz w:val="16"/>
          <w:szCs w:val="16"/>
        </w:rPr>
      </w:pPr>
      <w:r w:rsidRPr="001C2F3A">
        <w:rPr>
          <w:rFonts w:cs="Arial"/>
          <w:b/>
          <w:bCs/>
          <w:sz w:val="16"/>
          <w:szCs w:val="16"/>
        </w:rPr>
        <w:lastRenderedPageBreak/>
        <w:t xml:space="preserve">Fuente: Dirección de Gestión Catastral </w:t>
      </w:r>
    </w:p>
    <w:p w14:paraId="3D01D777" w14:textId="77777777" w:rsidR="00D80B73" w:rsidRDefault="00D80B73" w:rsidP="00073AA1">
      <w:pPr>
        <w:rPr>
          <w:lang w:val="es-CO" w:eastAsia="es-ES_tradnl"/>
        </w:rPr>
      </w:pPr>
    </w:p>
    <w:p w14:paraId="0B5999F0" w14:textId="0D3D9DA2" w:rsidR="00D80B73" w:rsidRDefault="00D80B73" w:rsidP="00D80B73">
      <w:pPr>
        <w:pStyle w:val="Descripcin"/>
        <w:jc w:val="center"/>
        <w:rPr>
          <w:rFonts w:ascii="Arial" w:hAnsi="Arial" w:cs="Arial"/>
          <w:b/>
          <w:bCs/>
          <w:i w:val="0"/>
          <w:iCs w:val="0"/>
          <w:color w:val="000000" w:themeColor="text1"/>
          <w:sz w:val="16"/>
          <w:szCs w:val="16"/>
        </w:rPr>
      </w:pPr>
      <w:bookmarkStart w:id="23" w:name="_Toc88677077"/>
      <w:r w:rsidRPr="00D80B73">
        <w:rPr>
          <w:rFonts w:ascii="Arial" w:hAnsi="Arial" w:cs="Arial"/>
          <w:b/>
          <w:bCs/>
          <w:i w:val="0"/>
          <w:iCs w:val="0"/>
          <w:color w:val="000000" w:themeColor="text1"/>
          <w:sz w:val="16"/>
          <w:szCs w:val="16"/>
        </w:rPr>
        <w:t xml:space="preserve">Tabla </w:t>
      </w:r>
      <w:r w:rsidRPr="00D80B73">
        <w:rPr>
          <w:rFonts w:ascii="Arial" w:hAnsi="Arial" w:cs="Arial"/>
          <w:b/>
          <w:bCs/>
          <w:i w:val="0"/>
          <w:iCs w:val="0"/>
          <w:color w:val="000000" w:themeColor="text1"/>
          <w:sz w:val="16"/>
          <w:szCs w:val="16"/>
        </w:rPr>
        <w:fldChar w:fldCharType="begin"/>
      </w:r>
      <w:r w:rsidRPr="00D80B73">
        <w:rPr>
          <w:rFonts w:ascii="Arial" w:hAnsi="Arial" w:cs="Arial"/>
          <w:b/>
          <w:bCs/>
          <w:i w:val="0"/>
          <w:iCs w:val="0"/>
          <w:color w:val="000000" w:themeColor="text1"/>
          <w:sz w:val="16"/>
          <w:szCs w:val="16"/>
        </w:rPr>
        <w:instrText xml:space="preserve"> SEQ Tabla \* ARABIC </w:instrText>
      </w:r>
      <w:r w:rsidRPr="00D80B73">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5</w:t>
      </w:r>
      <w:r w:rsidRPr="00D80B73">
        <w:rPr>
          <w:rFonts w:ascii="Arial" w:hAnsi="Arial" w:cs="Arial"/>
          <w:b/>
          <w:bCs/>
          <w:i w:val="0"/>
          <w:iCs w:val="0"/>
          <w:color w:val="000000" w:themeColor="text1"/>
          <w:sz w:val="16"/>
          <w:szCs w:val="16"/>
        </w:rPr>
        <w:fldChar w:fldCharType="end"/>
      </w:r>
      <w:r w:rsidRPr="00D80B73">
        <w:rPr>
          <w:rFonts w:ascii="Arial" w:hAnsi="Arial" w:cs="Arial"/>
          <w:b/>
          <w:bCs/>
          <w:i w:val="0"/>
          <w:iCs w:val="0"/>
          <w:color w:val="000000" w:themeColor="text1"/>
          <w:sz w:val="16"/>
          <w:szCs w:val="16"/>
        </w:rPr>
        <w:t>. Equipo y Roles del Subproceso Avalúos Comerciales</w:t>
      </w:r>
      <w:bookmarkEnd w:id="23"/>
    </w:p>
    <w:tbl>
      <w:tblPr>
        <w:tblW w:w="977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48"/>
        <w:gridCol w:w="1554"/>
        <w:gridCol w:w="5812"/>
        <w:gridCol w:w="1559"/>
      </w:tblGrid>
      <w:tr w:rsidR="00251B1F" w:rsidRPr="00E863E3" w14:paraId="2EFCDE31" w14:textId="77777777" w:rsidTr="00FB1A51">
        <w:trPr>
          <w:trHeight w:val="370"/>
          <w:tblHeader/>
        </w:trPr>
        <w:tc>
          <w:tcPr>
            <w:tcW w:w="848" w:type="dxa"/>
            <w:tcBorders>
              <w:top w:val="single" w:sz="6" w:space="0" w:color="4F81BD"/>
              <w:left w:val="single" w:sz="6" w:space="0" w:color="4F81BD"/>
              <w:bottom w:val="single" w:sz="6" w:space="0" w:color="4F81BD"/>
              <w:right w:val="nil"/>
            </w:tcBorders>
            <w:shd w:val="clear" w:color="auto" w:fill="4F81BD"/>
            <w:vAlign w:val="center"/>
            <w:hideMark/>
          </w:tcPr>
          <w:p w14:paraId="41B201E6" w14:textId="3A763E0D" w:rsidR="00251B1F" w:rsidRPr="00247D95" w:rsidRDefault="00251B1F" w:rsidP="00A6302C">
            <w:pPr>
              <w:suppressAutoHyphens w:val="0"/>
              <w:jc w:val="center"/>
              <w:textAlignment w:val="baseline"/>
              <w:rPr>
                <w:rFonts w:ascii="Segoe UI" w:hAnsi="Segoe UI" w:cs="Segoe UI"/>
                <w:b/>
                <w:bCs/>
                <w:color w:val="FFFFFF" w:themeColor="background1"/>
                <w:sz w:val="18"/>
                <w:szCs w:val="18"/>
                <w:lang w:val="es-CO" w:eastAsia="es-CO"/>
              </w:rPr>
            </w:pPr>
            <w:r w:rsidRPr="00247D95">
              <w:rPr>
                <w:rFonts w:cs="Arial"/>
                <w:b/>
                <w:bCs/>
                <w:color w:val="FFFFFF" w:themeColor="background1"/>
                <w:sz w:val="18"/>
                <w:szCs w:val="18"/>
                <w:lang w:eastAsia="es-CO"/>
              </w:rPr>
              <w:t>Cant.</w:t>
            </w:r>
          </w:p>
        </w:tc>
        <w:tc>
          <w:tcPr>
            <w:tcW w:w="1554" w:type="dxa"/>
            <w:tcBorders>
              <w:top w:val="single" w:sz="6" w:space="0" w:color="4F81BD"/>
              <w:left w:val="nil"/>
              <w:bottom w:val="single" w:sz="6" w:space="0" w:color="4F81BD"/>
              <w:right w:val="nil"/>
            </w:tcBorders>
            <w:shd w:val="clear" w:color="auto" w:fill="4F81BD"/>
            <w:vAlign w:val="center"/>
            <w:hideMark/>
          </w:tcPr>
          <w:p w14:paraId="64FFA972" w14:textId="65373AE2" w:rsidR="00251B1F" w:rsidRPr="00247D95" w:rsidRDefault="00251B1F" w:rsidP="00A6302C">
            <w:pPr>
              <w:suppressAutoHyphens w:val="0"/>
              <w:jc w:val="center"/>
              <w:textAlignment w:val="baseline"/>
              <w:rPr>
                <w:rFonts w:ascii="Segoe UI" w:hAnsi="Segoe UI" w:cs="Segoe UI"/>
                <w:b/>
                <w:bCs/>
                <w:color w:val="FFFFFF" w:themeColor="background1"/>
                <w:sz w:val="18"/>
                <w:szCs w:val="18"/>
                <w:lang w:val="es-CO" w:eastAsia="es-CO"/>
              </w:rPr>
            </w:pPr>
            <w:r w:rsidRPr="00247D95">
              <w:rPr>
                <w:rFonts w:cs="Arial"/>
                <w:b/>
                <w:bCs/>
                <w:color w:val="FFFFFF" w:themeColor="background1"/>
                <w:sz w:val="18"/>
                <w:szCs w:val="18"/>
                <w:lang w:eastAsia="es-CO"/>
              </w:rPr>
              <w:t>Funcionario o Contratista</w:t>
            </w:r>
          </w:p>
        </w:tc>
        <w:tc>
          <w:tcPr>
            <w:tcW w:w="5812" w:type="dxa"/>
            <w:tcBorders>
              <w:top w:val="single" w:sz="6" w:space="0" w:color="4F81BD"/>
              <w:left w:val="nil"/>
              <w:bottom w:val="single" w:sz="6" w:space="0" w:color="4F81BD"/>
              <w:right w:val="nil"/>
            </w:tcBorders>
            <w:shd w:val="clear" w:color="auto" w:fill="4F81BD"/>
            <w:vAlign w:val="center"/>
            <w:hideMark/>
          </w:tcPr>
          <w:p w14:paraId="3F1472E6" w14:textId="12DAD8DB" w:rsidR="00251B1F" w:rsidRPr="00247D95" w:rsidRDefault="00251B1F" w:rsidP="00A6302C">
            <w:pPr>
              <w:suppressAutoHyphens w:val="0"/>
              <w:jc w:val="center"/>
              <w:textAlignment w:val="baseline"/>
              <w:rPr>
                <w:rFonts w:ascii="Segoe UI" w:hAnsi="Segoe UI" w:cs="Segoe UI"/>
                <w:b/>
                <w:bCs/>
                <w:color w:val="FFFFFF" w:themeColor="background1"/>
                <w:sz w:val="18"/>
                <w:szCs w:val="18"/>
                <w:lang w:val="es-CO" w:eastAsia="es-CO"/>
              </w:rPr>
            </w:pPr>
            <w:r w:rsidRPr="00247D95">
              <w:rPr>
                <w:rFonts w:cs="Arial"/>
                <w:b/>
                <w:bCs/>
                <w:color w:val="FFFFFF" w:themeColor="background1"/>
                <w:sz w:val="18"/>
                <w:szCs w:val="18"/>
                <w:lang w:eastAsia="es-CO"/>
              </w:rPr>
              <w:t>Rol</w:t>
            </w:r>
          </w:p>
        </w:tc>
        <w:tc>
          <w:tcPr>
            <w:tcW w:w="1559" w:type="dxa"/>
            <w:tcBorders>
              <w:top w:val="single" w:sz="6" w:space="0" w:color="4F81BD"/>
              <w:left w:val="nil"/>
              <w:bottom w:val="single" w:sz="6" w:space="0" w:color="4F81BD"/>
              <w:right w:val="single" w:sz="6" w:space="0" w:color="4F81BD"/>
            </w:tcBorders>
            <w:shd w:val="clear" w:color="auto" w:fill="4F81BD"/>
            <w:vAlign w:val="center"/>
            <w:hideMark/>
          </w:tcPr>
          <w:p w14:paraId="0E88BE65" w14:textId="70BDFA7C" w:rsidR="00251B1F" w:rsidRPr="00247D95" w:rsidRDefault="00251B1F" w:rsidP="00A6302C">
            <w:pPr>
              <w:suppressAutoHyphens w:val="0"/>
              <w:jc w:val="center"/>
              <w:textAlignment w:val="baseline"/>
              <w:rPr>
                <w:rFonts w:ascii="Segoe UI" w:hAnsi="Segoe UI" w:cs="Segoe UI"/>
                <w:b/>
                <w:bCs/>
                <w:color w:val="FFFFFF" w:themeColor="background1"/>
                <w:sz w:val="18"/>
                <w:szCs w:val="18"/>
                <w:lang w:val="es-CO" w:eastAsia="es-CO"/>
              </w:rPr>
            </w:pPr>
            <w:r w:rsidRPr="00247D95">
              <w:rPr>
                <w:rFonts w:cs="Arial"/>
                <w:b/>
                <w:bCs/>
                <w:color w:val="FFFFFF" w:themeColor="background1"/>
                <w:sz w:val="18"/>
                <w:szCs w:val="18"/>
                <w:lang w:eastAsia="es-CO"/>
              </w:rPr>
              <w:t>Subproceso</w:t>
            </w:r>
          </w:p>
        </w:tc>
      </w:tr>
      <w:tr w:rsidR="00251B1F" w:rsidRPr="00E863E3" w14:paraId="2ABBDA0B" w14:textId="77777777" w:rsidTr="00FB1A51">
        <w:trPr>
          <w:trHeight w:val="740"/>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5E4CBCD" w14:textId="77777777" w:rsidR="00251B1F" w:rsidRPr="00141886"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t>3</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56B54AF" w14:textId="77777777" w:rsidR="00251B1F" w:rsidRPr="005235EB" w:rsidRDefault="00251B1F" w:rsidP="00A6302C">
            <w:pPr>
              <w:suppressAutoHyphens w:val="0"/>
              <w:jc w:val="center"/>
              <w:textAlignment w:val="baseline"/>
              <w:rPr>
                <w:rFonts w:cs="Arial"/>
                <w:b/>
                <w:sz w:val="18"/>
                <w:szCs w:val="18"/>
                <w:lang w:val="es-CO" w:eastAsia="es-CO"/>
              </w:rPr>
            </w:pPr>
            <w:r w:rsidRPr="005235EB">
              <w:rPr>
                <w:rFonts w:cs="Arial"/>
                <w:b/>
                <w:sz w:val="18"/>
                <w:szCs w:val="18"/>
                <w:lang w:val="es-MX" w:eastAsia="es-CO"/>
              </w:rPr>
              <w:t>Profesional Especializado</w:t>
            </w:r>
          </w:p>
          <w:p w14:paraId="219C95EB" w14:textId="77777777" w:rsidR="00251B1F" w:rsidRPr="005235EB" w:rsidRDefault="00251B1F" w:rsidP="005235EB">
            <w:pPr>
              <w:suppressAutoHyphens w:val="0"/>
              <w:jc w:val="center"/>
              <w:textAlignment w:val="baseline"/>
              <w:rPr>
                <w:rFonts w:cs="Arial"/>
                <w:b/>
                <w:sz w:val="18"/>
                <w:szCs w:val="18"/>
                <w:lang w:val="es-CO" w:eastAsia="es-CO"/>
              </w:rPr>
            </w:pP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F3011C5" w14:textId="77777777" w:rsidR="00251B1F" w:rsidRPr="00141886" w:rsidRDefault="00251B1F" w:rsidP="00A6302C">
            <w:pPr>
              <w:suppressAutoHyphens w:val="0"/>
              <w:jc w:val="both"/>
              <w:textAlignment w:val="baseline"/>
              <w:rPr>
                <w:rFonts w:cs="Arial"/>
                <w:b/>
                <w:bCs/>
                <w:sz w:val="18"/>
                <w:szCs w:val="18"/>
                <w:lang w:val="es-CO" w:eastAsia="es-CO"/>
              </w:rPr>
            </w:pPr>
            <w:r w:rsidRPr="00141886">
              <w:rPr>
                <w:rFonts w:cs="Arial"/>
                <w:b/>
                <w:bCs/>
                <w:sz w:val="18"/>
                <w:szCs w:val="18"/>
                <w:lang w:val="es-CO" w:eastAsia="es-CO"/>
              </w:rPr>
              <w:t>Profesional aprobación avalúos</w:t>
            </w:r>
          </w:p>
          <w:p w14:paraId="42266B4A" w14:textId="7777777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Revisión y aprobación final para la entrega de avalúos comerciales rurales o urbanos que elabora en la Sede Central y los informes que remiten las Direcciones Territoriales para aprobación.</w:t>
            </w:r>
          </w:p>
          <w:p w14:paraId="56EEBC9D" w14:textId="7777777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Resolver las impugnaciones, derechos de petición, consultas técnicas y demás respuestas dentro del término legal, así como presentar informes para emisión de conceptos técnicos que le sean asignados y demás mesas de trabajo que sea convocado.</w:t>
            </w:r>
          </w:p>
          <w:p w14:paraId="1FC6BEDC" w14:textId="433F585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Elaborar, revisar y/o aprobar los avalúos que le sean asignados, dando cumplimiento a las disposiciones vigentes y asistir y participar en los comités técnicos de avalúos a los que sea citado.</w:t>
            </w:r>
          </w:p>
          <w:p w14:paraId="2694C003" w14:textId="7777777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Ejercer supervisión (efectuar el seguimiento respectivo), a los contratos de avalúos suscritos por el Instituto, que le sean asignados.</w:t>
            </w:r>
          </w:p>
          <w:p w14:paraId="3396EE82" w14:textId="7777777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Prestar apoyo en la elaboración y actualización de los documentos del sistema de gestión, integrado, así como apropiar los mismos</w:t>
            </w:r>
          </w:p>
          <w:p w14:paraId="4048CCA4" w14:textId="77777777" w:rsidR="00251B1F" w:rsidRPr="00141886" w:rsidRDefault="00251B1F" w:rsidP="000A20EE">
            <w:pPr>
              <w:pStyle w:val="Prrafodelista"/>
              <w:numPr>
                <w:ilvl w:val="0"/>
                <w:numId w:val="225"/>
              </w:numPr>
              <w:suppressAutoHyphens w:val="0"/>
              <w:overflowPunct/>
              <w:autoSpaceDE/>
              <w:spacing w:after="160"/>
              <w:contextualSpacing/>
              <w:rPr>
                <w:rFonts w:cs="Arial"/>
                <w:sz w:val="18"/>
                <w:szCs w:val="18"/>
                <w:lang w:eastAsia="es-CO"/>
              </w:rPr>
            </w:pPr>
            <w:r w:rsidRPr="00141886">
              <w:rPr>
                <w:rFonts w:cs="Arial"/>
                <w:sz w:val="18"/>
                <w:szCs w:val="18"/>
                <w:lang w:eastAsia="es-CO"/>
              </w:rPr>
              <w:t>Proyectar las respuestas dentro de los términos de ley a los requerimientos y solicitudes asignadas</w:t>
            </w:r>
          </w:p>
          <w:p w14:paraId="43DF7A22" w14:textId="77777777" w:rsidR="00251B1F" w:rsidRPr="00141886" w:rsidRDefault="00251B1F" w:rsidP="00A6302C">
            <w:pPr>
              <w:suppressAutoHyphens w:val="0"/>
              <w:jc w:val="both"/>
              <w:textAlignment w:val="baseline"/>
              <w:rPr>
                <w:rFonts w:cs="Arial"/>
                <w:b/>
                <w:bCs/>
                <w:sz w:val="18"/>
                <w:szCs w:val="18"/>
                <w:lang w:val="es-CO" w:eastAsia="es-CO"/>
              </w:rPr>
            </w:pPr>
            <w:r w:rsidRPr="00141886">
              <w:rPr>
                <w:rFonts w:cs="Arial"/>
                <w:b/>
                <w:bCs/>
                <w:sz w:val="18"/>
                <w:szCs w:val="18"/>
                <w:lang w:val="es-CO" w:eastAsia="es-CO"/>
              </w:rPr>
              <w:t>Profesional Seguimiento IVP y modulo avalúos</w:t>
            </w:r>
          </w:p>
          <w:p w14:paraId="6F5D39EC" w14:textId="58D68829" w:rsidR="00251B1F" w:rsidRPr="00141886" w:rsidRDefault="00251B1F" w:rsidP="000A20EE">
            <w:pPr>
              <w:pStyle w:val="Prrafodelista"/>
              <w:numPr>
                <w:ilvl w:val="0"/>
                <w:numId w:val="226"/>
              </w:numPr>
              <w:suppressAutoHyphens w:val="0"/>
              <w:overflowPunct/>
              <w:autoSpaceDE/>
              <w:spacing w:after="160"/>
              <w:contextualSpacing/>
              <w:rPr>
                <w:rFonts w:cs="Arial"/>
                <w:sz w:val="18"/>
                <w:szCs w:val="18"/>
                <w:lang w:eastAsia="es-CO"/>
              </w:rPr>
            </w:pPr>
            <w:r w:rsidRPr="00141886">
              <w:rPr>
                <w:rFonts w:cs="Arial"/>
                <w:sz w:val="18"/>
                <w:szCs w:val="18"/>
                <w:lang w:eastAsia="es-CO"/>
              </w:rPr>
              <w:t>Revisión y aprobación final para la entrega de avalúos comerciales rurales o urbanos que elabora en la Sede Central y los informes que remiten las Direcciones Territoriales para aprobación.</w:t>
            </w:r>
          </w:p>
          <w:p w14:paraId="66840F30" w14:textId="77777777" w:rsidR="00251B1F" w:rsidRPr="00141886" w:rsidRDefault="00251B1F" w:rsidP="000A20EE">
            <w:pPr>
              <w:pStyle w:val="Prrafodelista"/>
              <w:numPr>
                <w:ilvl w:val="0"/>
                <w:numId w:val="226"/>
              </w:numPr>
              <w:suppressAutoHyphens w:val="0"/>
              <w:overflowPunct/>
              <w:autoSpaceDE/>
              <w:spacing w:after="160"/>
              <w:contextualSpacing/>
              <w:rPr>
                <w:rFonts w:cs="Arial"/>
                <w:sz w:val="18"/>
                <w:szCs w:val="18"/>
                <w:lang w:eastAsia="es-CO"/>
              </w:rPr>
            </w:pPr>
            <w:r w:rsidRPr="00141886">
              <w:rPr>
                <w:rFonts w:cs="Arial"/>
                <w:sz w:val="18"/>
                <w:szCs w:val="18"/>
                <w:lang w:eastAsia="es-CO"/>
              </w:rPr>
              <w:t>Resolver las impugnaciones, derechos de petición, consultas técnicas y demás respuestas dentro del término legal, así como presentar informes para emisión de conceptos técnicos que le sean asignados y demás mesas de trabajo que sea convocado.</w:t>
            </w:r>
          </w:p>
          <w:p w14:paraId="73479966" w14:textId="77777777" w:rsidR="00251B1F" w:rsidRPr="00592604" w:rsidRDefault="00251B1F" w:rsidP="000A20EE">
            <w:pPr>
              <w:pStyle w:val="Prrafodelista"/>
              <w:numPr>
                <w:ilvl w:val="0"/>
                <w:numId w:val="226"/>
              </w:numPr>
              <w:suppressAutoHyphens w:val="0"/>
              <w:overflowPunct/>
              <w:autoSpaceDE/>
              <w:spacing w:after="160"/>
              <w:contextualSpacing/>
              <w:rPr>
                <w:rFonts w:cs="Arial"/>
                <w:sz w:val="18"/>
                <w:szCs w:val="18"/>
                <w:lang w:eastAsia="es-CO"/>
              </w:rPr>
            </w:pPr>
            <w:r w:rsidRPr="00592604">
              <w:rPr>
                <w:rFonts w:cs="Arial"/>
                <w:sz w:val="18"/>
                <w:szCs w:val="18"/>
                <w:lang w:eastAsia="es-CO"/>
              </w:rPr>
              <w:t>Elaborar, revisar y/o aprobar los avalúos que le sean asignados, dando cumplimiento a las disposiciones vigentes y asistir y participar en los comités técnicos de avalúos a los que sea citado</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CD4CCA7" w14:textId="77777777" w:rsidR="00251B1F" w:rsidRPr="005235EB" w:rsidRDefault="00251B1F" w:rsidP="00A6302C">
            <w:pPr>
              <w:suppressAutoHyphens w:val="0"/>
              <w:jc w:val="center"/>
              <w:textAlignment w:val="baseline"/>
              <w:rPr>
                <w:rFonts w:ascii="Segoe UI" w:hAnsi="Segoe UI" w:cs="Segoe UI"/>
                <w:b/>
                <w:sz w:val="18"/>
                <w:szCs w:val="18"/>
                <w:lang w:val="es-CO" w:eastAsia="es-CO"/>
              </w:rPr>
            </w:pPr>
            <w:r w:rsidRPr="005235EB">
              <w:rPr>
                <w:rStyle w:val="normaltextrun"/>
                <w:rFonts w:cs="Arial"/>
                <w:b/>
                <w:color w:val="000000"/>
                <w:sz w:val="18"/>
                <w:szCs w:val="18"/>
                <w:shd w:val="clear" w:color="auto" w:fill="FFFFFF"/>
              </w:rPr>
              <w:t>Avalúos Comerciales</w:t>
            </w:r>
          </w:p>
        </w:tc>
      </w:tr>
      <w:tr w:rsidR="00251B1F" w:rsidRPr="00815EA9" w14:paraId="3F595355" w14:textId="77777777" w:rsidTr="00FB1A51">
        <w:trPr>
          <w:trHeight w:val="740"/>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3A89464" w14:textId="77777777" w:rsidR="00251B1F" w:rsidRPr="00815EA9" w:rsidRDefault="00251B1F" w:rsidP="00A6302C">
            <w:pPr>
              <w:suppressAutoHyphens w:val="0"/>
              <w:jc w:val="center"/>
              <w:textAlignment w:val="baseline"/>
              <w:rPr>
                <w:rFonts w:cs="Arial"/>
                <w:b/>
                <w:bCs/>
                <w:sz w:val="18"/>
                <w:szCs w:val="18"/>
                <w:lang w:val="es-CO" w:eastAsia="es-CO"/>
              </w:rPr>
            </w:pPr>
            <w:r w:rsidRPr="00815EA9">
              <w:rPr>
                <w:rFonts w:cs="Arial"/>
                <w:b/>
                <w:bCs/>
                <w:sz w:val="18"/>
                <w:szCs w:val="18"/>
                <w:lang w:val="es-CO" w:eastAsia="es-CO"/>
              </w:rPr>
              <w:t>1</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551833C" w14:textId="77777777" w:rsidR="00251B1F" w:rsidRPr="005235EB" w:rsidRDefault="00251B1F" w:rsidP="005235EB">
            <w:pPr>
              <w:suppressAutoHyphens w:val="0"/>
              <w:jc w:val="center"/>
              <w:textAlignment w:val="baseline"/>
              <w:rPr>
                <w:rFonts w:cs="Arial"/>
                <w:b/>
                <w:color w:val="000000"/>
                <w:sz w:val="18"/>
                <w:szCs w:val="18"/>
                <w:lang w:eastAsia="es-CO"/>
              </w:rPr>
            </w:pPr>
            <w:r w:rsidRPr="005235EB">
              <w:rPr>
                <w:rFonts w:cs="Arial"/>
                <w:b/>
                <w:color w:val="000000"/>
                <w:sz w:val="18"/>
                <w:szCs w:val="18"/>
                <w:lang w:eastAsia="es-CO"/>
              </w:rPr>
              <w:t>Profesional universitario</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3249CDE" w14:textId="77777777" w:rsidR="00251B1F" w:rsidRPr="00026723"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450304">
              <w:rPr>
                <w:rFonts w:cs="Arial"/>
                <w:color w:val="000000"/>
                <w:sz w:val="18"/>
                <w:szCs w:val="18"/>
                <w:lang w:eastAsia="es-CO"/>
              </w:rPr>
              <w:t>Elaborar, actualizar y socializar los documentos del sistema de gestión integrado, relacionados con la gestión catastral. Ap</w:t>
            </w:r>
            <w:r w:rsidRPr="00026723">
              <w:rPr>
                <w:rFonts w:cs="Arial"/>
                <w:color w:val="000000"/>
                <w:sz w:val="18"/>
                <w:szCs w:val="18"/>
                <w:lang w:eastAsia="es-CO"/>
              </w:rPr>
              <w:t>oyar en la presentación de informes de gestión de calidad que sean solicitados.</w:t>
            </w:r>
          </w:p>
          <w:p w14:paraId="3EA2C518" w14:textId="77777777" w:rsidR="00251B1F" w:rsidRPr="00026723"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026723">
              <w:rPr>
                <w:rFonts w:cs="Arial"/>
                <w:color w:val="000000"/>
                <w:sz w:val="18"/>
                <w:szCs w:val="18"/>
                <w:lang w:eastAsia="es-CO"/>
              </w:rPr>
              <w:t>Realizar la re</w:t>
            </w:r>
            <w:r w:rsidRPr="0085521A">
              <w:rPr>
                <w:rFonts w:cs="Arial"/>
                <w:color w:val="000000"/>
                <w:sz w:val="18"/>
                <w:szCs w:val="18"/>
                <w:lang w:eastAsia="es-CO"/>
              </w:rPr>
              <w:t>visión técnica de las minutas de los contratos a suscribir, así como adelantar la gestión respectiva hasta la suscripción de los mismos.</w:t>
            </w:r>
          </w:p>
          <w:p w14:paraId="056FF866" w14:textId="702CCDA8" w:rsidR="00251B1F" w:rsidRPr="0085521A"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026723">
              <w:rPr>
                <w:rFonts w:cs="Arial"/>
                <w:color w:val="000000"/>
                <w:sz w:val="18"/>
                <w:szCs w:val="18"/>
                <w:lang w:eastAsia="es-CO"/>
              </w:rPr>
              <w:t>Realizar seguimiento y acompañamiento al diligenciamiento de la base de datos de avalúo</w:t>
            </w:r>
            <w:r w:rsidRPr="0085521A">
              <w:rPr>
                <w:rFonts w:cs="Arial"/>
                <w:color w:val="000000"/>
                <w:sz w:val="18"/>
                <w:szCs w:val="18"/>
                <w:lang w:eastAsia="es-CO"/>
              </w:rPr>
              <w:t>s para l</w:t>
            </w:r>
          </w:p>
          <w:p w14:paraId="339909E4" w14:textId="77777777" w:rsidR="00251B1F" w:rsidRPr="00026723"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026723">
              <w:rPr>
                <w:rFonts w:cs="Arial"/>
                <w:color w:val="000000"/>
                <w:sz w:val="18"/>
                <w:szCs w:val="18"/>
                <w:lang w:eastAsia="es-CO"/>
              </w:rPr>
              <w:t>Realizar el seguimiento a la ejecución de los contratos de avalúos suscritos por el Instituto, así como la supervisión de los contratos y profesionales que le sean asignados.</w:t>
            </w:r>
          </w:p>
          <w:p w14:paraId="111D4972" w14:textId="77777777" w:rsidR="00251B1F" w:rsidRPr="00815EA9"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026723">
              <w:rPr>
                <w:rFonts w:cs="Arial"/>
                <w:color w:val="000000"/>
                <w:sz w:val="18"/>
                <w:szCs w:val="18"/>
                <w:lang w:eastAsia="es-CO"/>
              </w:rPr>
              <w:t xml:space="preserve">Apoyar en el seguimiento de la </w:t>
            </w:r>
            <w:r w:rsidRPr="00815EA9">
              <w:rPr>
                <w:rFonts w:cs="Arial"/>
                <w:color w:val="000000"/>
                <w:sz w:val="18"/>
                <w:szCs w:val="18"/>
                <w:lang w:eastAsia="es-CO"/>
              </w:rPr>
              <w:t>ejecución financiera y administrativa de los contratos y avalúos por consignación, apoyar en los procesos administrativos de seguimiento de cartera e informes solicitados de los contratos que le sean solicitados.</w:t>
            </w:r>
          </w:p>
          <w:p w14:paraId="2B97572F" w14:textId="77777777" w:rsidR="00251B1F" w:rsidRPr="00026723" w:rsidRDefault="00251B1F" w:rsidP="000A20EE">
            <w:pPr>
              <w:pStyle w:val="Prrafodelista"/>
              <w:numPr>
                <w:ilvl w:val="0"/>
                <w:numId w:val="227"/>
              </w:numPr>
              <w:suppressAutoHyphens w:val="0"/>
              <w:overflowPunct/>
              <w:autoSpaceDE/>
              <w:spacing w:after="160"/>
              <w:contextualSpacing/>
              <w:rPr>
                <w:rFonts w:cs="Arial"/>
                <w:color w:val="000000"/>
                <w:sz w:val="18"/>
                <w:szCs w:val="18"/>
                <w:lang w:eastAsia="es-CO"/>
              </w:rPr>
            </w:pPr>
            <w:r w:rsidRPr="00815EA9">
              <w:rPr>
                <w:rFonts w:cs="Arial"/>
                <w:color w:val="000000"/>
                <w:sz w:val="18"/>
                <w:szCs w:val="18"/>
                <w:lang w:eastAsia="es-CO"/>
              </w:rPr>
              <w:t>Seguimiento a las s</w:t>
            </w:r>
            <w:r w:rsidRPr="00C325BE">
              <w:rPr>
                <w:rFonts w:cs="Arial"/>
                <w:color w:val="000000"/>
                <w:sz w:val="18"/>
                <w:szCs w:val="18"/>
                <w:lang w:eastAsia="es-CO"/>
              </w:rPr>
              <w:t xml:space="preserve">olicitudes de cotización de avalúos y requerimientos dentro de los términos de ley a los requerimientos y solicitudes </w:t>
            </w:r>
            <w:r w:rsidRPr="00450304">
              <w:rPr>
                <w:rFonts w:cs="Arial"/>
                <w:color w:val="000000"/>
                <w:sz w:val="18"/>
                <w:szCs w:val="18"/>
                <w:lang w:eastAsia="es-CO"/>
              </w:rPr>
              <w:t>asignadas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67F86576" w14:textId="77777777" w:rsidR="00251B1F" w:rsidRPr="005235EB" w:rsidRDefault="00251B1F" w:rsidP="00A6302C">
            <w:pPr>
              <w:suppressAutoHyphens w:val="0"/>
              <w:jc w:val="center"/>
              <w:textAlignment w:val="baseline"/>
              <w:rPr>
                <w:rFonts w:cs="Arial"/>
                <w:b/>
                <w:sz w:val="18"/>
                <w:szCs w:val="18"/>
                <w:lang w:val="es-CO" w:eastAsia="es-CO"/>
              </w:rPr>
            </w:pPr>
            <w:r w:rsidRPr="005235EB">
              <w:rPr>
                <w:rStyle w:val="normaltextrun"/>
                <w:rFonts w:cs="Arial"/>
                <w:b/>
                <w:color w:val="000000"/>
                <w:sz w:val="18"/>
                <w:szCs w:val="18"/>
                <w:shd w:val="clear" w:color="auto" w:fill="FFFFFF"/>
              </w:rPr>
              <w:t>Avalúos Comerciales</w:t>
            </w:r>
          </w:p>
        </w:tc>
      </w:tr>
      <w:tr w:rsidR="00251B1F" w:rsidRPr="00E863E3" w14:paraId="14E3A610" w14:textId="77777777" w:rsidTr="00FB1A51">
        <w:trPr>
          <w:trHeight w:val="1879"/>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60DEBA32" w14:textId="77777777" w:rsidR="00251B1F" w:rsidRPr="00E92987"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lastRenderedPageBreak/>
              <w:t>1</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B99F398"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Secretario Ejecutivo</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C22E97B" w14:textId="77777777" w:rsidR="00251B1F" w:rsidRPr="009E29AC" w:rsidRDefault="00251B1F" w:rsidP="000A20EE">
            <w:pPr>
              <w:pStyle w:val="Prrafodelista"/>
              <w:numPr>
                <w:ilvl w:val="0"/>
                <w:numId w:val="228"/>
              </w:numPr>
              <w:suppressAutoHyphens w:val="0"/>
              <w:overflowPunct/>
              <w:autoSpaceDE/>
              <w:spacing w:after="160"/>
              <w:contextualSpacing/>
              <w:rPr>
                <w:rFonts w:cs="Arial"/>
                <w:sz w:val="18"/>
                <w:szCs w:val="18"/>
                <w:lang w:eastAsia="es-CO"/>
              </w:rPr>
            </w:pPr>
            <w:r w:rsidRPr="009E29AC">
              <w:rPr>
                <w:rFonts w:cs="Arial"/>
                <w:sz w:val="18"/>
                <w:szCs w:val="18"/>
                <w:lang w:eastAsia="es-CO"/>
              </w:rPr>
              <w:t>Proyectar la respuesta a las solicitudes de usuarios, juzgados y entes de control, atendiendo las indicaciones del Subdirector de avalúos y los profesionales a cargo de los procesos, en especial hacer seguimiento a las solicitudes de juzgados de restitución de tierras.</w:t>
            </w:r>
          </w:p>
          <w:p w14:paraId="2263F6AA" w14:textId="77777777" w:rsidR="00251B1F" w:rsidRPr="009E29AC" w:rsidRDefault="00251B1F" w:rsidP="000A20EE">
            <w:pPr>
              <w:pStyle w:val="Prrafodelista"/>
              <w:numPr>
                <w:ilvl w:val="0"/>
                <w:numId w:val="228"/>
              </w:numPr>
              <w:suppressAutoHyphens w:val="0"/>
              <w:overflowPunct/>
              <w:autoSpaceDE/>
              <w:spacing w:after="160"/>
              <w:contextualSpacing/>
              <w:rPr>
                <w:rFonts w:cs="Arial"/>
                <w:sz w:val="18"/>
                <w:szCs w:val="18"/>
                <w:lang w:eastAsia="es-CO"/>
              </w:rPr>
            </w:pPr>
            <w:r w:rsidRPr="009E29AC">
              <w:rPr>
                <w:rFonts w:cs="Arial"/>
                <w:sz w:val="18"/>
                <w:szCs w:val="18"/>
                <w:lang w:eastAsia="es-CO"/>
              </w:rPr>
              <w:t>Proyectar las respuestas, cotizaciones y solicitudes en los formatos establecidos</w:t>
            </w:r>
          </w:p>
          <w:p w14:paraId="6FFAAF92" w14:textId="77777777" w:rsidR="00251B1F" w:rsidRPr="009E29AC" w:rsidRDefault="00251B1F" w:rsidP="000A20EE">
            <w:pPr>
              <w:pStyle w:val="Prrafodelista"/>
              <w:numPr>
                <w:ilvl w:val="0"/>
                <w:numId w:val="228"/>
              </w:numPr>
              <w:suppressAutoHyphens w:val="0"/>
              <w:overflowPunct/>
              <w:autoSpaceDE/>
              <w:spacing w:after="160"/>
              <w:contextualSpacing/>
              <w:rPr>
                <w:rFonts w:cs="Arial"/>
                <w:sz w:val="18"/>
                <w:szCs w:val="18"/>
                <w:lang w:eastAsia="es-CO"/>
              </w:rPr>
            </w:pPr>
            <w:r w:rsidRPr="009E29AC">
              <w:rPr>
                <w:rFonts w:cs="Arial"/>
                <w:sz w:val="18"/>
                <w:szCs w:val="18"/>
                <w:lang w:eastAsia="es-CO"/>
              </w:rPr>
              <w:t>Apoyar con la radicación de los oficios, entrega de avalúos y seguimiento a las solicitudes en el sistema de radicación SIGAC</w:t>
            </w:r>
          </w:p>
          <w:p w14:paraId="7F2E6FBE" w14:textId="77777777" w:rsidR="00251B1F" w:rsidRPr="009E29AC" w:rsidRDefault="00251B1F" w:rsidP="000A20EE">
            <w:pPr>
              <w:pStyle w:val="Prrafodelista"/>
              <w:numPr>
                <w:ilvl w:val="0"/>
                <w:numId w:val="228"/>
              </w:numPr>
              <w:suppressAutoHyphens w:val="0"/>
              <w:overflowPunct/>
              <w:autoSpaceDE/>
              <w:spacing w:after="160"/>
              <w:contextualSpacing/>
              <w:rPr>
                <w:rFonts w:cs="Arial"/>
                <w:sz w:val="18"/>
                <w:szCs w:val="18"/>
                <w:lang w:eastAsia="es-CO"/>
              </w:rPr>
            </w:pPr>
            <w:r w:rsidRPr="009E29AC">
              <w:rPr>
                <w:rFonts w:cs="Arial"/>
                <w:sz w:val="18"/>
                <w:szCs w:val="18"/>
                <w:lang w:eastAsia="es-CO"/>
              </w:rPr>
              <w:t>Realizar el trámite de comisiones para funcionarios y contratistas de la Subdirección de avalúos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381C808" w14:textId="77777777" w:rsidR="00251B1F" w:rsidRPr="005235EB" w:rsidRDefault="00251B1F" w:rsidP="00A6302C">
            <w:pPr>
              <w:suppressAutoHyphens w:val="0"/>
              <w:jc w:val="center"/>
              <w:textAlignment w:val="baseline"/>
              <w:rPr>
                <w:rFonts w:ascii="Segoe UI" w:hAnsi="Segoe UI" w:cs="Segoe UI"/>
                <w:b/>
                <w:sz w:val="18"/>
                <w:szCs w:val="18"/>
                <w:lang w:val="es-CO" w:eastAsia="es-CO"/>
              </w:rPr>
            </w:pPr>
            <w:r w:rsidRPr="005235EB">
              <w:rPr>
                <w:rStyle w:val="normaltextrun"/>
                <w:rFonts w:cs="Arial"/>
                <w:b/>
                <w:color w:val="000000"/>
                <w:sz w:val="18"/>
                <w:szCs w:val="18"/>
                <w:shd w:val="clear" w:color="auto" w:fill="FFFFFF"/>
              </w:rPr>
              <w:t>Avalúos Comerciales</w:t>
            </w:r>
          </w:p>
        </w:tc>
      </w:tr>
      <w:tr w:rsidR="00251B1F" w:rsidRPr="00E863E3" w14:paraId="79BDE2B1" w14:textId="77777777" w:rsidTr="00FB1A51">
        <w:trPr>
          <w:trHeight w:val="489"/>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C666E67" w14:textId="77777777" w:rsidR="00251B1F" w:rsidRPr="00E92987"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t>1</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0A66746"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Secretario</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AD493AB" w14:textId="77777777" w:rsidR="00251B1F" w:rsidRPr="00FD2469" w:rsidRDefault="00251B1F" w:rsidP="000A20EE">
            <w:pPr>
              <w:pStyle w:val="Prrafodelista"/>
              <w:numPr>
                <w:ilvl w:val="0"/>
                <w:numId w:val="229"/>
              </w:numPr>
              <w:suppressAutoHyphens w:val="0"/>
              <w:overflowPunct/>
              <w:autoSpaceDE/>
              <w:spacing w:after="160"/>
              <w:contextualSpacing/>
              <w:rPr>
                <w:rFonts w:cs="Arial"/>
                <w:sz w:val="18"/>
                <w:szCs w:val="18"/>
                <w:lang w:eastAsia="es-CO"/>
              </w:rPr>
            </w:pPr>
            <w:r w:rsidRPr="00FD2469">
              <w:rPr>
                <w:rFonts w:cs="Arial"/>
                <w:sz w:val="18"/>
                <w:szCs w:val="18"/>
                <w:lang w:eastAsia="es-CO"/>
              </w:rPr>
              <w:t>Apoyar en la organización del archivo digital a disponer en la NASS y de contratos y convenios que se le asignen, seguimiento de la correspondencia de la Subdirección de avalúos para el cierre de radicados pendientes.</w:t>
            </w:r>
          </w:p>
          <w:p w14:paraId="1831B32F" w14:textId="77777777" w:rsidR="00251B1F" w:rsidRPr="00FD2469" w:rsidRDefault="00251B1F" w:rsidP="000A20EE">
            <w:pPr>
              <w:pStyle w:val="Prrafodelista"/>
              <w:numPr>
                <w:ilvl w:val="0"/>
                <w:numId w:val="229"/>
              </w:numPr>
              <w:suppressAutoHyphens w:val="0"/>
              <w:overflowPunct/>
              <w:autoSpaceDE/>
              <w:spacing w:after="160"/>
              <w:contextualSpacing/>
              <w:rPr>
                <w:rFonts w:cs="Arial"/>
                <w:sz w:val="18"/>
                <w:szCs w:val="18"/>
                <w:lang w:eastAsia="es-CO"/>
              </w:rPr>
            </w:pPr>
            <w:r w:rsidRPr="00FD2469">
              <w:rPr>
                <w:rFonts w:cs="Arial"/>
                <w:sz w:val="18"/>
                <w:szCs w:val="18"/>
                <w:lang w:eastAsia="es-CO"/>
              </w:rPr>
              <w:t>Realizar seguimiento a las solicitudes de avalúos realizados por consignación, adelantando la legalización de los respectivos pagos. Y su trámite hasta el cierre del expediente</w:t>
            </w:r>
          </w:p>
          <w:p w14:paraId="45B3C98F" w14:textId="77777777" w:rsidR="00251B1F" w:rsidRPr="00FD2469" w:rsidRDefault="00251B1F" w:rsidP="000A20EE">
            <w:pPr>
              <w:pStyle w:val="Prrafodelista"/>
              <w:numPr>
                <w:ilvl w:val="0"/>
                <w:numId w:val="229"/>
              </w:numPr>
              <w:suppressAutoHyphens w:val="0"/>
              <w:overflowPunct/>
              <w:autoSpaceDE/>
              <w:spacing w:after="160"/>
              <w:contextualSpacing/>
              <w:rPr>
                <w:rFonts w:cs="Arial"/>
                <w:sz w:val="18"/>
                <w:szCs w:val="18"/>
                <w:lang w:eastAsia="es-CO"/>
              </w:rPr>
            </w:pPr>
            <w:r w:rsidRPr="00FD2469">
              <w:rPr>
                <w:rFonts w:cs="Arial"/>
                <w:sz w:val="18"/>
                <w:szCs w:val="18"/>
                <w:lang w:eastAsia="es-CO"/>
              </w:rPr>
              <w:t>Dar respuesta a las solicitudes realizadas por juzgados civiles del circuito en el marco de la ley 56 de 1981 referente a la lista de auxiliares de la justicia, diligenciar la base de seguimiento correspondiente a procesos judiciales y actualizar la lista de auxiliares de la justicia. Y apoyar en el manejo del módulo de correspondencia de la subdirección de avalúos.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D484CFA" w14:textId="77777777" w:rsidR="00251B1F" w:rsidRPr="005235EB" w:rsidRDefault="00251B1F" w:rsidP="00A6302C">
            <w:pPr>
              <w:suppressAutoHyphens w:val="0"/>
              <w:jc w:val="center"/>
              <w:textAlignment w:val="baseline"/>
              <w:rPr>
                <w:rFonts w:ascii="Segoe UI" w:hAnsi="Segoe UI" w:cs="Segoe UI"/>
                <w:b/>
                <w:sz w:val="18"/>
                <w:szCs w:val="18"/>
                <w:lang w:val="es-CO" w:eastAsia="es-CO"/>
              </w:rPr>
            </w:pPr>
            <w:r w:rsidRPr="005235EB">
              <w:rPr>
                <w:rStyle w:val="normaltextrun"/>
                <w:rFonts w:cs="Arial"/>
                <w:b/>
                <w:color w:val="000000"/>
                <w:sz w:val="18"/>
                <w:szCs w:val="18"/>
                <w:shd w:val="clear" w:color="auto" w:fill="FFFFFF"/>
              </w:rPr>
              <w:t>Avalúos Comerciales</w:t>
            </w:r>
          </w:p>
        </w:tc>
      </w:tr>
      <w:tr w:rsidR="00251B1F" w:rsidRPr="00E863E3" w14:paraId="4EBD8FC1" w14:textId="77777777" w:rsidTr="00FB1A51">
        <w:trPr>
          <w:trHeight w:val="684"/>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4AE9245" w14:textId="77777777" w:rsidR="00251B1F" w:rsidRPr="00E92987"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t>8</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82E1F2F"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Control de calidad</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C6F17CD"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Control de calidad de los informes de avalúo elaborados por peritos de Sede Central y de las Direcciones Territoriales que tiene a su cargo dando cumplimiento a las disposiciones vigentes, así como programar y participar en los comités técnicos de avalúos a los que sea citado.</w:t>
            </w:r>
          </w:p>
          <w:p w14:paraId="0E2857B9" w14:textId="77777777" w:rsidR="0090601D"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 xml:space="preserve">Resolver las impugnaciones, derechos de petición y consultas </w:t>
            </w:r>
          </w:p>
          <w:p w14:paraId="2CF1097C" w14:textId="65371B8A"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técnicas dentro del término legal.</w:t>
            </w:r>
          </w:p>
          <w:p w14:paraId="3605B71C"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Hacer seguimiento a la Direcciones Territoriales que le sean asignadas sobre la ejecución de los avalúos de la Unidad de Restitución.</w:t>
            </w:r>
          </w:p>
          <w:p w14:paraId="144E7794"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Apoyar en la elaboración, actualización de los documentos técnicos en materia de avalúos y mesas de trabajo para el desarrollo de metodologías valuatorias de competencia del Instituto.</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14E2A68"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t>Avalúos Comerciales</w:t>
            </w:r>
          </w:p>
        </w:tc>
      </w:tr>
      <w:tr w:rsidR="00251B1F" w:rsidRPr="00E863E3" w14:paraId="18283EF3" w14:textId="77777777" w:rsidTr="00FB1A51">
        <w:trPr>
          <w:trHeight w:val="836"/>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940ACE3" w14:textId="77777777" w:rsidR="00251B1F" w:rsidRPr="00E92987"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t>8</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1356F23"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Peritos Regionales</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9F5500F"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Practicar avalúos de bienes tanto urbanos como rurales y entregar los informes de avalúos a nivel nacional y avalúos IVP dentro del plazo señalado dando cumplimiento de la función misional de valoración de la propiedad raíz de todo el país, dando cumplimiento a las normas establecidas para tal fin.</w:t>
            </w:r>
          </w:p>
          <w:p w14:paraId="730D07B8"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Dar respuesta a las ampliaciones y aclaraciones que le sean asignados sobre los informes de los avalúos asignados, dentro del plazo establecido.</w:t>
            </w:r>
          </w:p>
          <w:p w14:paraId="55EE077E" w14:textId="77777777" w:rsidR="00251B1F" w:rsidRPr="008E5A3D" w:rsidRDefault="00251B1F" w:rsidP="000A20EE">
            <w:pPr>
              <w:pStyle w:val="Prrafodelista"/>
              <w:numPr>
                <w:ilvl w:val="0"/>
                <w:numId w:val="230"/>
              </w:numPr>
              <w:suppressAutoHyphens w:val="0"/>
              <w:overflowPunct/>
              <w:autoSpaceDE/>
              <w:spacing w:after="160"/>
              <w:contextualSpacing/>
              <w:rPr>
                <w:rFonts w:cs="Arial"/>
                <w:sz w:val="18"/>
                <w:szCs w:val="18"/>
                <w:lang w:eastAsia="es-CO"/>
              </w:rPr>
            </w:pPr>
            <w:r w:rsidRPr="008E5A3D">
              <w:rPr>
                <w:rFonts w:cs="Arial"/>
                <w:sz w:val="18"/>
                <w:szCs w:val="18"/>
                <w:lang w:eastAsia="es-CO"/>
              </w:rPr>
              <w:t>Proyectar las respuestas dentro de los términos de ley a los requerimientos y solicitudes asignadas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7A24B1C"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t>Avalúos Comerciales</w:t>
            </w:r>
          </w:p>
        </w:tc>
      </w:tr>
      <w:tr w:rsidR="00251B1F" w:rsidRPr="00E863E3" w14:paraId="0C088109" w14:textId="77777777" w:rsidTr="00FB1A51">
        <w:trPr>
          <w:trHeight w:val="971"/>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B03B895" w14:textId="77777777" w:rsidR="00251B1F" w:rsidRPr="00E92987" w:rsidRDefault="00251B1F" w:rsidP="00A6302C">
            <w:pPr>
              <w:suppressAutoHyphens w:val="0"/>
              <w:jc w:val="center"/>
              <w:textAlignment w:val="baseline"/>
              <w:rPr>
                <w:rFonts w:cs="Arial"/>
                <w:b/>
                <w:bCs/>
                <w:sz w:val="18"/>
                <w:szCs w:val="18"/>
                <w:lang w:val="es-CO" w:eastAsia="es-CO"/>
              </w:rPr>
            </w:pPr>
            <w:r>
              <w:rPr>
                <w:rFonts w:cs="Arial"/>
                <w:b/>
                <w:bCs/>
                <w:sz w:val="18"/>
                <w:szCs w:val="18"/>
                <w:lang w:val="es-CO" w:eastAsia="es-CO"/>
              </w:rPr>
              <w:t>8</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8CD10D5"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Peritos Junior</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E0B9A04" w14:textId="77777777" w:rsidR="00251B1F" w:rsidRPr="00494ABA" w:rsidRDefault="00251B1F" w:rsidP="000A20EE">
            <w:pPr>
              <w:pStyle w:val="Prrafodelista"/>
              <w:numPr>
                <w:ilvl w:val="0"/>
                <w:numId w:val="231"/>
              </w:numPr>
              <w:suppressAutoHyphens w:val="0"/>
              <w:overflowPunct/>
              <w:autoSpaceDE/>
              <w:spacing w:after="160"/>
              <w:contextualSpacing/>
              <w:rPr>
                <w:rFonts w:cs="Arial"/>
                <w:sz w:val="18"/>
                <w:szCs w:val="18"/>
                <w:lang w:eastAsia="es-CO"/>
              </w:rPr>
            </w:pPr>
            <w:r w:rsidRPr="00494ABA">
              <w:rPr>
                <w:rFonts w:cs="Arial"/>
                <w:sz w:val="18"/>
                <w:szCs w:val="18"/>
                <w:lang w:eastAsia="es-CO"/>
              </w:rPr>
              <w:t>Realizar avalúos de bienes urbanos, rurales y mejoras asignadas. Apoyar en la realización del trabajo de campo del IVP – Índice de Valoración Predial, todas las actividades relacionadas según el manual vigente.</w:t>
            </w:r>
          </w:p>
          <w:p w14:paraId="0E204EBE" w14:textId="77777777" w:rsidR="00251B1F" w:rsidRPr="00494ABA" w:rsidRDefault="00251B1F" w:rsidP="000A20EE">
            <w:pPr>
              <w:pStyle w:val="Prrafodelista"/>
              <w:numPr>
                <w:ilvl w:val="0"/>
                <w:numId w:val="231"/>
              </w:numPr>
              <w:suppressAutoHyphens w:val="0"/>
              <w:overflowPunct/>
              <w:autoSpaceDE/>
              <w:spacing w:after="160"/>
              <w:contextualSpacing/>
              <w:rPr>
                <w:rFonts w:cs="Arial"/>
                <w:sz w:val="18"/>
                <w:szCs w:val="18"/>
                <w:lang w:eastAsia="es-CO"/>
              </w:rPr>
            </w:pPr>
            <w:r w:rsidRPr="00494ABA">
              <w:rPr>
                <w:rFonts w:cs="Arial"/>
                <w:sz w:val="18"/>
                <w:szCs w:val="18"/>
                <w:lang w:eastAsia="es-CO"/>
              </w:rPr>
              <w:t>Participar en los comités de avalúos a los cuales sea citado.</w:t>
            </w:r>
          </w:p>
          <w:p w14:paraId="087986D9" w14:textId="77777777" w:rsidR="00251B1F" w:rsidRPr="00494ABA" w:rsidRDefault="00251B1F" w:rsidP="000A20EE">
            <w:pPr>
              <w:pStyle w:val="Prrafodelista"/>
              <w:numPr>
                <w:ilvl w:val="0"/>
                <w:numId w:val="231"/>
              </w:numPr>
              <w:suppressAutoHyphens w:val="0"/>
              <w:overflowPunct/>
              <w:autoSpaceDE/>
              <w:spacing w:after="160"/>
              <w:contextualSpacing/>
              <w:rPr>
                <w:rFonts w:cs="Arial"/>
                <w:sz w:val="18"/>
                <w:szCs w:val="18"/>
                <w:lang w:eastAsia="es-CO"/>
              </w:rPr>
            </w:pPr>
            <w:r w:rsidRPr="00494ABA">
              <w:rPr>
                <w:rFonts w:cs="Arial"/>
                <w:sz w:val="18"/>
                <w:szCs w:val="18"/>
                <w:lang w:eastAsia="es-CO"/>
              </w:rPr>
              <w:t>Apoyar técnicamente en la georreferenciación de predios que le sean solicitados, así como las Áreas Homogéneas de Tierra y suelos.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936F2AC"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t>Avalúos Comerciales</w:t>
            </w:r>
          </w:p>
        </w:tc>
      </w:tr>
      <w:tr w:rsidR="00251B1F" w:rsidRPr="00E863E3" w14:paraId="0AFB7BB2" w14:textId="77777777" w:rsidTr="00FB1A51">
        <w:trPr>
          <w:trHeight w:val="2189"/>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D4AF3DC" w14:textId="77777777" w:rsidR="00251B1F" w:rsidRPr="00163DB2" w:rsidRDefault="00251B1F" w:rsidP="00A6302C">
            <w:pPr>
              <w:suppressAutoHyphens w:val="0"/>
              <w:jc w:val="center"/>
              <w:textAlignment w:val="baseline"/>
              <w:rPr>
                <w:rFonts w:cs="Arial"/>
                <w:b/>
                <w:bCs/>
                <w:sz w:val="18"/>
                <w:szCs w:val="18"/>
                <w:lang w:val="es-CO" w:eastAsia="es-CO"/>
              </w:rPr>
            </w:pPr>
            <w:r w:rsidRPr="00163DB2">
              <w:rPr>
                <w:rFonts w:cs="Arial"/>
                <w:b/>
                <w:bCs/>
                <w:sz w:val="18"/>
                <w:szCs w:val="18"/>
                <w:lang w:val="es-CO" w:eastAsia="es-CO"/>
              </w:rPr>
              <w:lastRenderedPageBreak/>
              <w:t>7</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F7A2499"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Peritos externos</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BDAEE15" w14:textId="77777777" w:rsidR="00251B1F" w:rsidRPr="00163DB2" w:rsidRDefault="00251B1F" w:rsidP="000A20EE">
            <w:pPr>
              <w:pStyle w:val="Prrafodelista"/>
              <w:numPr>
                <w:ilvl w:val="0"/>
                <w:numId w:val="232"/>
              </w:numPr>
              <w:suppressAutoHyphens w:val="0"/>
              <w:overflowPunct/>
              <w:autoSpaceDE/>
              <w:spacing w:after="160"/>
              <w:contextualSpacing/>
              <w:rPr>
                <w:rFonts w:cs="Arial"/>
                <w:sz w:val="18"/>
                <w:szCs w:val="18"/>
                <w:lang w:eastAsia="es-CO"/>
              </w:rPr>
            </w:pPr>
            <w:r w:rsidRPr="00163DB2">
              <w:rPr>
                <w:rFonts w:cs="Arial"/>
                <w:sz w:val="18"/>
                <w:szCs w:val="18"/>
                <w:lang w:eastAsia="es-CO"/>
              </w:rPr>
              <w:t>Practicar avalúos de bienes tanto urbanos como rurales y entregar los informes de avalúos dentro del plazo señalado dando cumplimiento de la función misional de valoración de la propiedad raíz de todo el país, dando cumplimiento a las normas establecidas para tal fin.</w:t>
            </w:r>
          </w:p>
          <w:p w14:paraId="68EC4FB4" w14:textId="77777777" w:rsidR="00251B1F" w:rsidRPr="00163DB2" w:rsidRDefault="00251B1F" w:rsidP="000A20EE">
            <w:pPr>
              <w:pStyle w:val="Prrafodelista"/>
              <w:numPr>
                <w:ilvl w:val="0"/>
                <w:numId w:val="232"/>
              </w:numPr>
              <w:suppressAutoHyphens w:val="0"/>
              <w:overflowPunct/>
              <w:autoSpaceDE/>
              <w:spacing w:after="160"/>
              <w:contextualSpacing/>
              <w:rPr>
                <w:rFonts w:cs="Arial"/>
                <w:sz w:val="18"/>
                <w:szCs w:val="18"/>
                <w:lang w:eastAsia="es-CO"/>
              </w:rPr>
            </w:pPr>
            <w:r w:rsidRPr="00163DB2">
              <w:rPr>
                <w:rFonts w:cs="Arial"/>
                <w:sz w:val="18"/>
                <w:szCs w:val="18"/>
                <w:lang w:eastAsia="es-CO"/>
              </w:rPr>
              <w:t>Realizar avalúos para Índice de Valoración Predial (IVP) cuando le sean asignados.</w:t>
            </w:r>
          </w:p>
          <w:p w14:paraId="4CBA8F72" w14:textId="77777777" w:rsidR="00251B1F" w:rsidRPr="00163DB2" w:rsidRDefault="00251B1F" w:rsidP="000A20EE">
            <w:pPr>
              <w:pStyle w:val="Prrafodelista"/>
              <w:numPr>
                <w:ilvl w:val="0"/>
                <w:numId w:val="232"/>
              </w:numPr>
              <w:suppressAutoHyphens w:val="0"/>
              <w:overflowPunct/>
              <w:autoSpaceDE/>
              <w:spacing w:after="160"/>
              <w:contextualSpacing/>
              <w:rPr>
                <w:rFonts w:cs="Arial"/>
                <w:sz w:val="18"/>
                <w:szCs w:val="18"/>
                <w:lang w:eastAsia="es-CO"/>
              </w:rPr>
            </w:pPr>
            <w:r w:rsidRPr="00163DB2">
              <w:rPr>
                <w:rFonts w:cs="Arial"/>
                <w:sz w:val="18"/>
                <w:szCs w:val="18"/>
                <w:lang w:eastAsia="es-CO"/>
              </w:rPr>
              <w:t>Entregar los informes de avalúos dentro del plazo señalado de acuerdo con las normas establecidas y el manual de procedimientos y a satisfacción del supervisor del contrato.</w:t>
            </w:r>
          </w:p>
          <w:p w14:paraId="2C1DE733" w14:textId="77777777" w:rsidR="00251B1F" w:rsidRPr="00163DB2" w:rsidRDefault="00251B1F" w:rsidP="000A20EE">
            <w:pPr>
              <w:pStyle w:val="Prrafodelista"/>
              <w:numPr>
                <w:ilvl w:val="0"/>
                <w:numId w:val="232"/>
              </w:numPr>
              <w:suppressAutoHyphens w:val="0"/>
              <w:overflowPunct/>
              <w:autoSpaceDE/>
              <w:spacing w:after="160"/>
              <w:contextualSpacing/>
              <w:rPr>
                <w:rFonts w:cs="Arial"/>
                <w:sz w:val="18"/>
                <w:szCs w:val="18"/>
                <w:lang w:eastAsia="es-CO"/>
              </w:rPr>
            </w:pPr>
            <w:r w:rsidRPr="00163DB2">
              <w:rPr>
                <w:rFonts w:cs="Arial"/>
                <w:sz w:val="18"/>
                <w:szCs w:val="18"/>
                <w:lang w:eastAsia="es-CO"/>
              </w:rPr>
              <w:t>Apoyar técnicamente y operativamente la ejecución de las actividades que le sean solicitadas por el supervisor en el marco del objeto del contrato</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23B60C1"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t>Avalúos Comerciales</w:t>
            </w:r>
          </w:p>
        </w:tc>
      </w:tr>
      <w:tr w:rsidR="00251B1F" w:rsidRPr="00E863E3" w14:paraId="5070F7E2" w14:textId="77777777" w:rsidTr="00FB1A51">
        <w:trPr>
          <w:trHeight w:val="971"/>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6CC51C40" w14:textId="77777777" w:rsidR="00251B1F" w:rsidRPr="008C5792" w:rsidRDefault="00251B1F" w:rsidP="00A6302C">
            <w:pPr>
              <w:suppressAutoHyphens w:val="0"/>
              <w:jc w:val="center"/>
              <w:textAlignment w:val="baseline"/>
              <w:rPr>
                <w:rFonts w:cs="Arial"/>
                <w:b/>
                <w:bCs/>
                <w:sz w:val="18"/>
                <w:szCs w:val="18"/>
                <w:lang w:val="es-CO" w:eastAsia="es-CO"/>
              </w:rPr>
            </w:pPr>
            <w:r w:rsidRPr="008C5792">
              <w:rPr>
                <w:rFonts w:cs="Arial"/>
                <w:b/>
                <w:bCs/>
                <w:sz w:val="18"/>
                <w:szCs w:val="18"/>
                <w:lang w:val="es-CO" w:eastAsia="es-CO"/>
              </w:rPr>
              <w:t>3</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60D9B31E"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Administrativo</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AB96715"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Adelantar las actividades necesarias para el trámite de las cuentas de los contratistas de la Subdirección de Avalúos, desde el proceso de alistamiento de documentos para la generación de las cuentas, el registro en el sistema ERP, validación de los documentos de soporte para los pagos, verificación y actualización de los documentos en el SECOP II bajo los lineamientos de la oficina financiera y de contratación.</w:t>
            </w:r>
          </w:p>
          <w:p w14:paraId="55B45AA8"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Seguimiento a la ejecución financiera de los contratos de peritos externos y apoyar en la presentación de los informes de ejecución de los contratos por prestación de servicios.</w:t>
            </w:r>
          </w:p>
          <w:p w14:paraId="0306CA8F"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Proyectar el PAC mensual para contratistas y comisiones.</w:t>
            </w:r>
          </w:p>
          <w:p w14:paraId="3695762A"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Apoyar en la organización del archivo de avalúos físico, tanto de los informes de avalúo impresos y como el archivo digital en los espacios dispuestos para tal fin. Siguiendo las instrucciones de Gestión documental. Apoyar en el cierre de radicados en el sistema de correspondencia.</w:t>
            </w:r>
          </w:p>
          <w:p w14:paraId="1EE2F52A"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Apoyar técnicamente y operativamente con la búsqueda de antecedentes de avalúos y documentos que le sean solicitados, así como la digitalización de los documentos.</w:t>
            </w:r>
          </w:p>
          <w:p w14:paraId="03E416D1"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Realizar alistamiento, envío, archivo de los documentos generados y registrarlos en una base digital, en el marco de las funciones propias del área.</w:t>
            </w:r>
          </w:p>
          <w:p w14:paraId="604BF922"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Apoyar en el seguimiento y control de los implementos de papelería y equipos (computadores e impresoras) de la Subdirección de avalúos</w:t>
            </w:r>
          </w:p>
          <w:p w14:paraId="5DA189CE"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Apoyar las tareas de enrutamiento y asignación de correspondencia en el sistema de gestión documental del Instituto.</w:t>
            </w:r>
          </w:p>
          <w:p w14:paraId="193098BA"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Mantener actualizados los soportes físicos y digitales de correspondencia del proceso, de acuerdo con las directrices emitidas por el jefe del área.</w:t>
            </w:r>
          </w:p>
          <w:p w14:paraId="785FD8D4"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Realizar el alistamiento, envío, archivo de los documentos generados y registrarlos en una base digital, en el marco de las funciones propias del área.</w:t>
            </w:r>
          </w:p>
          <w:p w14:paraId="100E453D" w14:textId="77777777" w:rsidR="00251B1F" w:rsidRPr="008C5792" w:rsidRDefault="00251B1F" w:rsidP="000A20EE">
            <w:pPr>
              <w:pStyle w:val="Prrafodelista"/>
              <w:numPr>
                <w:ilvl w:val="0"/>
                <w:numId w:val="233"/>
              </w:numPr>
              <w:suppressAutoHyphens w:val="0"/>
              <w:overflowPunct/>
              <w:autoSpaceDE/>
              <w:spacing w:after="160"/>
              <w:contextualSpacing/>
              <w:rPr>
                <w:rFonts w:cs="Arial"/>
                <w:sz w:val="18"/>
                <w:szCs w:val="18"/>
                <w:lang w:eastAsia="es-CO"/>
              </w:rPr>
            </w:pPr>
            <w:r w:rsidRPr="008C5792">
              <w:rPr>
                <w:rFonts w:cs="Arial"/>
                <w:sz w:val="18"/>
                <w:szCs w:val="18"/>
                <w:lang w:eastAsia="es-CO"/>
              </w:rPr>
              <w:t>Apoyar en el proceso de elaboración de los documentos requeridos por el área.</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E82F155"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t>Avalúos Comerciales</w:t>
            </w:r>
          </w:p>
        </w:tc>
      </w:tr>
      <w:tr w:rsidR="00251B1F" w:rsidRPr="00E863E3" w14:paraId="02045B6B" w14:textId="77777777" w:rsidTr="00FB1A51">
        <w:trPr>
          <w:trHeight w:val="971"/>
        </w:trPr>
        <w:tc>
          <w:tcPr>
            <w:tcW w:w="848"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8E2872D" w14:textId="77777777" w:rsidR="00251B1F" w:rsidRPr="00C46A59" w:rsidRDefault="00251B1F" w:rsidP="00A6302C">
            <w:pPr>
              <w:suppressAutoHyphens w:val="0"/>
              <w:jc w:val="center"/>
              <w:textAlignment w:val="baseline"/>
              <w:rPr>
                <w:rFonts w:cs="Arial"/>
                <w:b/>
                <w:bCs/>
                <w:sz w:val="18"/>
                <w:szCs w:val="18"/>
                <w:lang w:val="es-CO" w:eastAsia="es-CO"/>
              </w:rPr>
            </w:pPr>
            <w:r w:rsidRPr="00C46A59">
              <w:rPr>
                <w:rFonts w:cs="Arial"/>
                <w:b/>
                <w:bCs/>
                <w:sz w:val="18"/>
                <w:szCs w:val="18"/>
                <w:lang w:val="es-CO" w:eastAsia="es-CO"/>
              </w:rPr>
              <w:t>1</w:t>
            </w:r>
          </w:p>
        </w:tc>
        <w:tc>
          <w:tcPr>
            <w:tcW w:w="1554"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568764E" w14:textId="77777777" w:rsidR="00251B1F" w:rsidRPr="005235EB" w:rsidRDefault="00251B1F" w:rsidP="005235EB">
            <w:pPr>
              <w:suppressAutoHyphens w:val="0"/>
              <w:jc w:val="center"/>
              <w:textAlignment w:val="baseline"/>
              <w:rPr>
                <w:rFonts w:cs="Arial"/>
                <w:b/>
                <w:sz w:val="18"/>
                <w:szCs w:val="18"/>
                <w:lang w:val="es-CO" w:eastAsia="es-CO"/>
              </w:rPr>
            </w:pPr>
            <w:r w:rsidRPr="005235EB">
              <w:rPr>
                <w:rFonts w:cs="Arial"/>
                <w:b/>
                <w:sz w:val="18"/>
                <w:szCs w:val="18"/>
                <w:lang w:val="es-CO" w:eastAsia="es-CO"/>
              </w:rPr>
              <w:t>Control y Seguimiento de Avalúos</w:t>
            </w:r>
          </w:p>
        </w:tc>
        <w:tc>
          <w:tcPr>
            <w:tcW w:w="5812"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38F6793" w14:textId="77777777" w:rsidR="00251B1F" w:rsidRPr="00474414" w:rsidRDefault="00251B1F" w:rsidP="000A20EE">
            <w:pPr>
              <w:pStyle w:val="Prrafodelista"/>
              <w:numPr>
                <w:ilvl w:val="0"/>
                <w:numId w:val="234"/>
              </w:numPr>
              <w:suppressAutoHyphens w:val="0"/>
              <w:overflowPunct/>
              <w:autoSpaceDE/>
              <w:spacing w:after="160"/>
              <w:contextualSpacing/>
              <w:rPr>
                <w:rFonts w:cs="Arial"/>
                <w:sz w:val="18"/>
                <w:szCs w:val="18"/>
                <w:lang w:eastAsia="es-CO"/>
              </w:rPr>
            </w:pPr>
            <w:r w:rsidRPr="00130C0F">
              <w:rPr>
                <w:rFonts w:ascii="Segoe UI" w:hAnsi="Segoe UI" w:cs="Segoe UI"/>
                <w:sz w:val="18"/>
                <w:szCs w:val="18"/>
                <w:lang w:eastAsia="es-CO"/>
              </w:rPr>
              <w:t xml:space="preserve">Registrar en la base de avalúos las solicitudes de avalúos en cada una de sus etapas desde la solicitud, </w:t>
            </w:r>
            <w:r w:rsidRPr="00474414">
              <w:rPr>
                <w:rFonts w:cs="Arial"/>
                <w:sz w:val="18"/>
                <w:szCs w:val="18"/>
                <w:lang w:eastAsia="es-CO"/>
              </w:rPr>
              <w:t>asignación, elaboración, control de calidad hasta la entrega de los avalúos realizados en Sede Central y de los avalúos realizados en las Direcciones Territoriales y hacer seguimiento a las asignaciones entregadas de los distintos contratos.</w:t>
            </w:r>
          </w:p>
          <w:p w14:paraId="3F85590E" w14:textId="77777777" w:rsidR="00251B1F" w:rsidRPr="00474414" w:rsidRDefault="00251B1F" w:rsidP="000A20EE">
            <w:pPr>
              <w:pStyle w:val="Prrafodelista"/>
              <w:numPr>
                <w:ilvl w:val="0"/>
                <w:numId w:val="234"/>
              </w:numPr>
              <w:suppressAutoHyphens w:val="0"/>
              <w:overflowPunct/>
              <w:autoSpaceDE/>
              <w:spacing w:after="160"/>
              <w:contextualSpacing/>
              <w:rPr>
                <w:rFonts w:cs="Arial"/>
                <w:sz w:val="18"/>
                <w:szCs w:val="18"/>
                <w:lang w:eastAsia="es-CO"/>
              </w:rPr>
            </w:pPr>
            <w:r w:rsidRPr="00474414">
              <w:rPr>
                <w:rFonts w:cs="Arial"/>
                <w:sz w:val="18"/>
                <w:szCs w:val="18"/>
                <w:lang w:eastAsia="es-CO"/>
              </w:rPr>
              <w:t>Presentar los indicadores de gestión relacionados con la base de avalúos para el sistema de calidad</w:t>
            </w:r>
          </w:p>
          <w:p w14:paraId="79B64214" w14:textId="77777777" w:rsidR="00251B1F" w:rsidRPr="00474414" w:rsidRDefault="00251B1F" w:rsidP="000A20EE">
            <w:pPr>
              <w:pStyle w:val="Prrafodelista"/>
              <w:numPr>
                <w:ilvl w:val="0"/>
                <w:numId w:val="234"/>
              </w:numPr>
              <w:suppressAutoHyphens w:val="0"/>
              <w:overflowPunct/>
              <w:autoSpaceDE/>
              <w:spacing w:after="160"/>
              <w:contextualSpacing/>
              <w:rPr>
                <w:rFonts w:cs="Arial"/>
                <w:sz w:val="18"/>
                <w:szCs w:val="18"/>
                <w:lang w:eastAsia="es-CO"/>
              </w:rPr>
            </w:pPr>
            <w:r w:rsidRPr="00474414">
              <w:rPr>
                <w:rFonts w:cs="Arial"/>
                <w:sz w:val="18"/>
                <w:szCs w:val="18"/>
                <w:lang w:eastAsia="es-CO"/>
              </w:rPr>
              <w:t xml:space="preserve">Prestar apoyo en la presentación de los informes de gestión de avalúos relacionados con la ejecución de contratos </w:t>
            </w:r>
            <w:r w:rsidRPr="00474414">
              <w:rPr>
                <w:rFonts w:cs="Arial"/>
                <w:sz w:val="18"/>
                <w:szCs w:val="18"/>
                <w:lang w:eastAsia="es-CO"/>
              </w:rPr>
              <w:lastRenderedPageBreak/>
              <w:t>interadministrativos, en particular el de Unidad de Restitución de Tierras y Agencia Nacional de Tierras.</w:t>
            </w:r>
          </w:p>
          <w:p w14:paraId="6011EADB" w14:textId="77777777" w:rsidR="00251B1F" w:rsidRPr="00130C0F" w:rsidRDefault="00251B1F" w:rsidP="000A20EE">
            <w:pPr>
              <w:pStyle w:val="Prrafodelista"/>
              <w:numPr>
                <w:ilvl w:val="0"/>
                <w:numId w:val="234"/>
              </w:numPr>
              <w:suppressAutoHyphens w:val="0"/>
              <w:overflowPunct/>
              <w:autoSpaceDE/>
              <w:spacing w:after="160"/>
              <w:contextualSpacing/>
              <w:rPr>
                <w:rFonts w:ascii="Segoe UI" w:hAnsi="Segoe UI" w:cs="Segoe UI"/>
                <w:sz w:val="18"/>
                <w:szCs w:val="18"/>
                <w:lang w:eastAsia="es-CO"/>
              </w:rPr>
            </w:pPr>
            <w:r w:rsidRPr="00474414">
              <w:rPr>
                <w:rFonts w:cs="Arial"/>
                <w:sz w:val="18"/>
                <w:szCs w:val="18"/>
                <w:lang w:eastAsia="es-CO"/>
              </w:rPr>
              <w:t>Proyectar las respuestas dentro de los términos de ley a los requerimientos y solicitudes asignadas</w:t>
            </w:r>
          </w:p>
        </w:tc>
        <w:tc>
          <w:tcPr>
            <w:tcW w:w="155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A6BBB7C" w14:textId="77777777" w:rsidR="00251B1F" w:rsidRPr="005235EB" w:rsidRDefault="00251B1F" w:rsidP="00A6302C">
            <w:pPr>
              <w:suppressAutoHyphens w:val="0"/>
              <w:jc w:val="center"/>
              <w:textAlignment w:val="baseline"/>
              <w:rPr>
                <w:rStyle w:val="normaltextrun"/>
                <w:rFonts w:cs="Arial"/>
                <w:b/>
                <w:color w:val="000000"/>
                <w:sz w:val="18"/>
                <w:szCs w:val="18"/>
                <w:shd w:val="clear" w:color="auto" w:fill="FFFFFF"/>
              </w:rPr>
            </w:pPr>
            <w:r w:rsidRPr="005235EB">
              <w:rPr>
                <w:rStyle w:val="normaltextrun"/>
                <w:rFonts w:cs="Arial"/>
                <w:b/>
                <w:color w:val="000000"/>
                <w:sz w:val="18"/>
                <w:szCs w:val="18"/>
                <w:shd w:val="clear" w:color="auto" w:fill="FFFFFF"/>
              </w:rPr>
              <w:lastRenderedPageBreak/>
              <w:t>Avalúos Comerciales</w:t>
            </w:r>
          </w:p>
        </w:tc>
      </w:tr>
    </w:tbl>
    <w:p w14:paraId="7C33C367" w14:textId="77777777" w:rsidR="00251B1F" w:rsidRPr="007D1CCF" w:rsidRDefault="00251B1F" w:rsidP="00DB0A77">
      <w:pPr>
        <w:ind w:left="360"/>
        <w:jc w:val="center"/>
        <w:rPr>
          <w:rFonts w:cs="Arial"/>
          <w:b/>
          <w:bCs/>
          <w:sz w:val="16"/>
          <w:szCs w:val="16"/>
        </w:rPr>
      </w:pPr>
      <w:r w:rsidRPr="007D1CCF">
        <w:rPr>
          <w:rFonts w:cs="Arial"/>
          <w:b/>
          <w:bCs/>
          <w:sz w:val="16"/>
          <w:szCs w:val="16"/>
        </w:rPr>
        <w:lastRenderedPageBreak/>
        <w:t xml:space="preserve">Fuente: Dirección de Gestión Catastral </w:t>
      </w:r>
    </w:p>
    <w:p w14:paraId="7D6C8618" w14:textId="77777777" w:rsidR="00C651DD" w:rsidRPr="00275856" w:rsidRDefault="00C651DD" w:rsidP="00275856">
      <w:pPr>
        <w:pStyle w:val="Lista"/>
      </w:pPr>
    </w:p>
    <w:p w14:paraId="764CB8D5" w14:textId="4DC3A683" w:rsidR="0067191B" w:rsidRPr="002D2F11" w:rsidRDefault="004E1F1C" w:rsidP="000A20EE">
      <w:pPr>
        <w:pStyle w:val="Prrafodelista"/>
        <w:numPr>
          <w:ilvl w:val="2"/>
          <w:numId w:val="22"/>
        </w:numPr>
        <w:rPr>
          <w:b/>
          <w:bCs/>
          <w:sz w:val="22"/>
          <w:szCs w:val="22"/>
        </w:rPr>
      </w:pPr>
      <w:r w:rsidRPr="002D2F11">
        <w:rPr>
          <w:b/>
          <w:bCs/>
          <w:sz w:val="22"/>
          <w:szCs w:val="22"/>
        </w:rPr>
        <w:t xml:space="preserve">PROCESOS A CARGO </w:t>
      </w:r>
    </w:p>
    <w:p w14:paraId="65DDAD1A" w14:textId="77777777" w:rsidR="00AF57D9" w:rsidRDefault="00AF57D9" w:rsidP="00AF57D9">
      <w:pPr>
        <w:pStyle w:val="Lista"/>
      </w:pPr>
    </w:p>
    <w:p w14:paraId="0B2B8DED" w14:textId="77777777" w:rsidR="00AF57D9" w:rsidRPr="002C022F" w:rsidRDefault="00AF57D9" w:rsidP="00DB0A77">
      <w:pPr>
        <w:jc w:val="both"/>
        <w:rPr>
          <w:rFonts w:cs="Arial"/>
          <w:sz w:val="22"/>
          <w:szCs w:val="22"/>
        </w:rPr>
      </w:pPr>
      <w:r w:rsidRPr="002C022F">
        <w:rPr>
          <w:rFonts w:cs="Arial"/>
          <w:sz w:val="22"/>
          <w:szCs w:val="22"/>
        </w:rPr>
        <w:t>La Dirección de Gestión Catastral, tiene a su cargo el proceso de Gestión Catastral con tres subprocesos: prestación del servicio catastral por excepción; formación, actualización y conservación catastral y avalúos comerciales. Se ubica dentro del mapa de procesos de la entidad como un proceso misional. Esta Dirección fue creada por medio del Decreto 846 de</w:t>
      </w:r>
      <w:r>
        <w:rPr>
          <w:rFonts w:cs="Arial"/>
          <w:sz w:val="22"/>
          <w:szCs w:val="22"/>
        </w:rPr>
        <w:t>l 29 de julio de</w:t>
      </w:r>
      <w:r w:rsidRPr="002C022F">
        <w:rPr>
          <w:rFonts w:cs="Arial"/>
          <w:sz w:val="22"/>
          <w:szCs w:val="22"/>
        </w:rPr>
        <w:t xml:space="preserve"> 2021, y dentro de ella se encuentran la Subdirección de Proyectos y la Subdirección de Avalúos, las funciones de estas dependencias se encuentran detalladas en el Decreto citado.</w:t>
      </w:r>
    </w:p>
    <w:p w14:paraId="20F07047" w14:textId="77777777" w:rsidR="00AF57D9" w:rsidRPr="002C022F" w:rsidRDefault="00AF57D9" w:rsidP="00DB0A77">
      <w:pPr>
        <w:jc w:val="both"/>
        <w:rPr>
          <w:rFonts w:cs="Arial"/>
          <w:sz w:val="22"/>
          <w:szCs w:val="22"/>
        </w:rPr>
      </w:pPr>
    </w:p>
    <w:p w14:paraId="43100997" w14:textId="77777777" w:rsidR="00AF57D9" w:rsidRPr="002C022F" w:rsidRDefault="00AF57D9" w:rsidP="00DB0A77">
      <w:pPr>
        <w:jc w:val="both"/>
        <w:rPr>
          <w:rFonts w:cs="Arial"/>
          <w:sz w:val="22"/>
          <w:szCs w:val="22"/>
        </w:rPr>
      </w:pPr>
      <w:r w:rsidRPr="002C022F">
        <w:rPr>
          <w:rFonts w:cs="Arial"/>
          <w:sz w:val="22"/>
          <w:szCs w:val="22"/>
        </w:rPr>
        <w:t>El proceso de gestión catastral tiene como propósitos dirigir la prestación del servicio público catastral por excepción, así como los procedimientos del enfoque catastral multipropósito que sean adoptados, de los bienes inmuebles pertenecientes al Estado y a los particulares en el territorio nacional, garantizando información confiable, con calidad y de ámbito nacional para nuestros clientes y usuarios, cumpliendo con los estándares de producción de información geográfica. Así como lo relacionado con la elaboración de avalúos comerciales y administrativos, igualmente los peritazgos y solicitudes de conceptos técnicos en la materia, de conformidad con la normatividad vigente.</w:t>
      </w:r>
    </w:p>
    <w:p w14:paraId="594CCFBA" w14:textId="77777777" w:rsidR="00AF57D9" w:rsidRPr="002C022F" w:rsidRDefault="00AF57D9" w:rsidP="00DB0A77">
      <w:pPr>
        <w:jc w:val="both"/>
        <w:rPr>
          <w:rFonts w:cs="Arial"/>
          <w:sz w:val="22"/>
          <w:szCs w:val="22"/>
        </w:rPr>
      </w:pPr>
    </w:p>
    <w:p w14:paraId="72CA05A8" w14:textId="77777777" w:rsidR="00AF57D9" w:rsidRDefault="00AF57D9" w:rsidP="00DB0A77">
      <w:pPr>
        <w:jc w:val="both"/>
        <w:rPr>
          <w:rFonts w:cs="Arial"/>
          <w:sz w:val="22"/>
          <w:szCs w:val="22"/>
        </w:rPr>
      </w:pPr>
      <w:r w:rsidRPr="002C022F">
        <w:rPr>
          <w:rFonts w:cs="Arial"/>
          <w:sz w:val="22"/>
          <w:szCs w:val="22"/>
        </w:rPr>
        <w:t>A partir de las funciones de la Dirección de Gestión Catastral y de los objetivos de los subprocesos anteriormente mencionados, se aporta al cumplimiento del Plan Nacional de Desarrollo, principalmente en lo relacionado con el área geográfica del país con catastro actualizado y el área geográfica de los municipios PDET con catastro actualizado.</w:t>
      </w:r>
    </w:p>
    <w:p w14:paraId="4B47FE3C" w14:textId="77777777" w:rsidR="00AF57D9" w:rsidRDefault="00AF57D9" w:rsidP="00DB0A77">
      <w:pPr>
        <w:jc w:val="both"/>
        <w:rPr>
          <w:rFonts w:cs="Arial"/>
          <w:sz w:val="22"/>
          <w:szCs w:val="22"/>
        </w:rPr>
      </w:pPr>
    </w:p>
    <w:p w14:paraId="72D455DA" w14:textId="1F54065F" w:rsidR="00AF57D9" w:rsidRPr="00D85602" w:rsidRDefault="00AF57D9" w:rsidP="00270F1A">
      <w:pPr>
        <w:pStyle w:val="NormalWeb"/>
        <w:shd w:val="clear" w:color="auto" w:fill="FFFFFF" w:themeFill="background1"/>
        <w:spacing w:before="0" w:beforeAutospacing="0"/>
        <w:jc w:val="both"/>
        <w:rPr>
          <w:rFonts w:eastAsiaTheme="minorEastAsia" w:cs="Arial"/>
          <w:b/>
          <w:bCs/>
          <w:sz w:val="22"/>
          <w:szCs w:val="22"/>
          <w:lang w:eastAsia="en-US"/>
        </w:rPr>
      </w:pPr>
      <w:r w:rsidRPr="00D85602">
        <w:rPr>
          <w:rFonts w:eastAsiaTheme="minorEastAsia" w:cs="Arial"/>
          <w:b/>
          <w:bCs/>
          <w:sz w:val="22"/>
          <w:szCs w:val="22"/>
          <w:lang w:eastAsia="en-US"/>
        </w:rPr>
        <w:t>PRESTACIÓN DEL SERVICIO CATASTRAL POR EXCEPCIÓN (A CARGO DE LA SUBDIRECCIÓN DE PROYECTOS)</w:t>
      </w:r>
    </w:p>
    <w:p w14:paraId="56EE7CA9" w14:textId="77777777" w:rsidR="00AF57D9" w:rsidRDefault="00AF57D9" w:rsidP="00270F1A">
      <w:pPr>
        <w:pStyle w:val="NormalWeb"/>
        <w:shd w:val="clear" w:color="auto" w:fill="FFFFFF" w:themeFill="background1"/>
        <w:spacing w:before="0" w:beforeAutospacing="0"/>
        <w:jc w:val="both"/>
        <w:rPr>
          <w:rFonts w:eastAsiaTheme="minorEastAsia" w:cs="Arial"/>
          <w:b/>
          <w:sz w:val="22"/>
          <w:szCs w:val="22"/>
          <w:lang w:eastAsia="en-US"/>
        </w:rPr>
      </w:pPr>
      <w:r w:rsidRPr="00270F1A">
        <w:rPr>
          <w:rFonts w:eastAsiaTheme="minorEastAsia" w:cs="Arial"/>
          <w:b/>
          <w:sz w:val="22"/>
          <w:szCs w:val="22"/>
          <w:lang w:eastAsia="en-US"/>
        </w:rPr>
        <w:t>Objetivo:</w:t>
      </w:r>
      <w:r w:rsidRPr="00D85602">
        <w:rPr>
          <w:rFonts w:eastAsiaTheme="minorEastAsia" w:cs="Arial"/>
          <w:sz w:val="22"/>
          <w:szCs w:val="22"/>
          <w:lang w:eastAsia="en-US"/>
        </w:rPr>
        <w:t xml:space="preserve"> Realizar las actividades de planificación, coordinación y seguimiento, requeridas para la elaboración de los productos y servicios derivados de los procesos catastrales. Contempla la realización de los estudios de viabilidad y pertinencia de proyectos, modernización, la atención de lineamientos y directrices, la expedición de los diferentes tipos de certificados, los trámites catastrales con efectos registrales de carácter puntual y la atención de las solicitudes en el marco de la Política de Atención y Reparación Integral a Victimas y el proceso de restitución de tierras, hasta el seguimiento y la toma de acciones como resultado de la gestión del proceso.</w:t>
      </w:r>
    </w:p>
    <w:p w14:paraId="163151F6" w14:textId="71FE6145" w:rsidR="00AF57D9" w:rsidRPr="00D85602" w:rsidRDefault="00AF57D9" w:rsidP="00270F1A">
      <w:pPr>
        <w:pStyle w:val="NormalWeb"/>
        <w:shd w:val="clear" w:color="auto" w:fill="FFFFFF" w:themeFill="background1"/>
        <w:spacing w:before="0" w:beforeAutospacing="0"/>
        <w:jc w:val="both"/>
        <w:rPr>
          <w:rFonts w:eastAsiaTheme="minorEastAsia" w:cs="Arial"/>
          <w:b/>
          <w:bCs/>
          <w:sz w:val="22"/>
          <w:szCs w:val="22"/>
          <w:lang w:eastAsia="en-US"/>
        </w:rPr>
      </w:pPr>
      <w:r w:rsidRPr="00D85602">
        <w:rPr>
          <w:rFonts w:eastAsiaTheme="minorEastAsia" w:cs="Arial"/>
          <w:b/>
          <w:bCs/>
          <w:sz w:val="22"/>
          <w:szCs w:val="22"/>
          <w:lang w:eastAsia="en-US"/>
        </w:rPr>
        <w:t>FORMACIÓN, ACTUALIZACIÓN Y CONSERVACIÓN CATASTRAL (A CARGO DE LA SUBDIRECCIÓN DE PROYECTOS)</w:t>
      </w:r>
    </w:p>
    <w:p w14:paraId="7D2219CA" w14:textId="77777777" w:rsidR="00AF57D9" w:rsidRPr="00D85602" w:rsidRDefault="00AF57D9" w:rsidP="004020D7">
      <w:pPr>
        <w:pStyle w:val="NormalWeb"/>
        <w:shd w:val="clear" w:color="auto" w:fill="FFFFFF" w:themeFill="background1"/>
        <w:spacing w:before="0" w:beforeAutospacing="0"/>
        <w:jc w:val="both"/>
        <w:rPr>
          <w:rFonts w:eastAsiaTheme="minorEastAsia" w:cs="Arial"/>
          <w:sz w:val="22"/>
          <w:szCs w:val="22"/>
          <w:lang w:eastAsia="en-US"/>
        </w:rPr>
      </w:pPr>
      <w:r w:rsidRPr="004020D7">
        <w:rPr>
          <w:rFonts w:eastAsiaTheme="minorEastAsia" w:cs="Arial"/>
          <w:b/>
          <w:sz w:val="22"/>
          <w:szCs w:val="22"/>
          <w:lang w:eastAsia="en-US"/>
        </w:rPr>
        <w:t>Objetivo:</w:t>
      </w:r>
      <w:r w:rsidRPr="00D85602">
        <w:rPr>
          <w:rFonts w:eastAsiaTheme="minorEastAsia" w:cs="Arial"/>
          <w:sz w:val="22"/>
          <w:szCs w:val="22"/>
          <w:lang w:eastAsia="en-US"/>
        </w:rPr>
        <w:t xml:space="preserve"> Planear, coordinar y/o ejecutar los procesos de formación, actualización, conservación y difusión de la información catastral con fundamento en los diferentes marcos regulatorios que rigen estas actividades, lo anterior con el fin de identificar cambios en el aspecto físico  jurídico y económico de los predios, a partir del uso de fuentes de información primaria y secundaria, que permita clasificar los predios por método de captura de información predial para optimizar la calidad del dato y los recursos. Los procesos citados buscan garantizar los siguientes principios: </w:t>
      </w:r>
      <w:r w:rsidRPr="00D85602">
        <w:rPr>
          <w:rFonts w:eastAsiaTheme="minorEastAsia" w:cs="Arial"/>
          <w:sz w:val="22"/>
          <w:szCs w:val="22"/>
          <w:lang w:eastAsia="en-US"/>
        </w:rPr>
        <w:lastRenderedPageBreak/>
        <w:t>calidad, eficiencia, progresividad, libre competencia, seguridad jurídica, apertura tecnológica, integralidad, participación ciudadana, publicidad y uso de la información y sostenibilidad. Adicionalmente, estructurar los diferentes documentos y procedimientos que sirvan de base para la ejecución de los procesos de formación, actualización, conservación y difusión de la información catastral.</w:t>
      </w:r>
    </w:p>
    <w:p w14:paraId="204448E8" w14:textId="77777777" w:rsidR="00AF57D9" w:rsidRPr="00D85602" w:rsidRDefault="00AF57D9" w:rsidP="004020D7">
      <w:pPr>
        <w:pStyle w:val="NormalWeb"/>
        <w:shd w:val="clear" w:color="auto" w:fill="FFFFFF" w:themeFill="background1"/>
        <w:spacing w:before="0" w:beforeAutospacing="0"/>
        <w:jc w:val="both"/>
        <w:rPr>
          <w:rFonts w:eastAsiaTheme="minorEastAsia" w:cs="Arial"/>
          <w:sz w:val="22"/>
          <w:szCs w:val="22"/>
          <w:lang w:eastAsia="en-US"/>
        </w:rPr>
      </w:pPr>
      <w:r w:rsidRPr="00D85602">
        <w:rPr>
          <w:rFonts w:eastAsiaTheme="minorEastAsia" w:cs="Arial"/>
          <w:sz w:val="22"/>
          <w:szCs w:val="22"/>
          <w:lang w:eastAsia="en-US"/>
        </w:rPr>
        <w:t>Inicia desde la planeación de las actividades, continúa con el análisis de los requerimientos de las partes interesadas y finaliza con la entrega de los productos requeridos en cada uno de los procesos de formación, actualización, conservación y difusión de la información catastral.</w:t>
      </w:r>
    </w:p>
    <w:p w14:paraId="76AD9CC2" w14:textId="7A492BEB" w:rsidR="00AF57D9" w:rsidRPr="00D85602" w:rsidRDefault="00AF57D9" w:rsidP="00AF57D9">
      <w:pPr>
        <w:pStyle w:val="NormalWeb"/>
        <w:shd w:val="clear" w:color="auto" w:fill="FFFFFF" w:themeFill="background1"/>
        <w:spacing w:before="0" w:beforeAutospacing="0"/>
        <w:rPr>
          <w:rFonts w:eastAsiaTheme="minorEastAsia" w:cs="Arial"/>
          <w:b/>
          <w:bCs/>
          <w:sz w:val="22"/>
          <w:szCs w:val="22"/>
          <w:lang w:eastAsia="en-US"/>
        </w:rPr>
      </w:pPr>
      <w:r w:rsidRPr="00D85602">
        <w:rPr>
          <w:rFonts w:eastAsiaTheme="minorEastAsia" w:cs="Arial"/>
          <w:b/>
          <w:bCs/>
          <w:sz w:val="22"/>
          <w:szCs w:val="22"/>
          <w:lang w:eastAsia="en-US"/>
        </w:rPr>
        <w:t>AVALÚOS COMERCIALES (A CARGO DE LA SUBDIRECCIÓN DE AVALÚOS)</w:t>
      </w:r>
    </w:p>
    <w:p w14:paraId="7D63AC51" w14:textId="77777777" w:rsidR="00AF57D9" w:rsidRPr="00D85602" w:rsidRDefault="00AF57D9" w:rsidP="00344653">
      <w:pPr>
        <w:jc w:val="both"/>
        <w:rPr>
          <w:rFonts w:eastAsiaTheme="minorEastAsia" w:cs="Arial"/>
          <w:sz w:val="22"/>
          <w:szCs w:val="22"/>
          <w:lang w:val="es-CO" w:eastAsia="en-US"/>
        </w:rPr>
      </w:pPr>
      <w:r w:rsidRPr="00344653">
        <w:rPr>
          <w:rFonts w:eastAsiaTheme="minorEastAsia" w:cs="Arial"/>
          <w:b/>
          <w:sz w:val="22"/>
          <w:szCs w:val="22"/>
          <w:lang w:val="es-CO" w:eastAsia="en-US"/>
        </w:rPr>
        <w:t>Objetivos:</w:t>
      </w:r>
      <w:r w:rsidRPr="00D85602">
        <w:rPr>
          <w:rFonts w:eastAsiaTheme="minorEastAsia" w:cs="Arial"/>
          <w:sz w:val="22"/>
          <w:szCs w:val="22"/>
          <w:lang w:val="es-CO" w:eastAsia="en-US"/>
        </w:rPr>
        <w:t xml:space="preserve"> Elaborar los avalúos comerciales para atender las solicitudes presentadas por las entidades estatales, autoridades judiciales, empresas de economía mixta, entidades sin ánimo de lucro, demás personas jurídicas, públicas, particulares y naturales, requeridos en distintas etapas de procesos judiciales o durante la ejecución de un contrato de prestación de servicio o interadministrativo y/o convenio con el Instituto Geográfico Agustín Codazzi – IGAC; atender las solicitudes de revisión e impugnación de avalúos comerciales de conformidad con las normas y leyes vigentes y determinar el valor comercial más probable por el cual se puede pactar en una negociación los predios seleccionados como puntos muestra usados para la determinación del Índice de Valoración Predial – IVP en las principales ciudades del país, requeridos por el Departamento Nacional de Estadísticas - DANE en el cumplimiento de sus funciones. </w:t>
      </w:r>
    </w:p>
    <w:p w14:paraId="73D6AAB7" w14:textId="77777777" w:rsidR="00AF57D9" w:rsidRPr="00661784" w:rsidRDefault="00AF57D9" w:rsidP="00AF57D9">
      <w:pPr>
        <w:pStyle w:val="NormalWeb"/>
        <w:shd w:val="clear" w:color="auto" w:fill="FFFFFF" w:themeFill="background1"/>
        <w:jc w:val="both"/>
        <w:rPr>
          <w:rFonts w:cs="Arial"/>
          <w:sz w:val="22"/>
          <w:szCs w:val="22"/>
        </w:rPr>
      </w:pPr>
      <w:r w:rsidRPr="00661784">
        <w:rPr>
          <w:rFonts w:cs="Arial"/>
          <w:sz w:val="22"/>
          <w:szCs w:val="22"/>
        </w:rPr>
        <w:t>En cuanto a las acciones de mejora encontradas se destacan las siguientes:</w:t>
      </w:r>
    </w:p>
    <w:p w14:paraId="0D602219" w14:textId="77777777" w:rsidR="00AF57D9" w:rsidRPr="00661784" w:rsidRDefault="00AF57D9" w:rsidP="000A20EE">
      <w:pPr>
        <w:pStyle w:val="NormalWeb"/>
        <w:numPr>
          <w:ilvl w:val="0"/>
          <w:numId w:val="235"/>
        </w:numPr>
        <w:shd w:val="clear" w:color="auto" w:fill="FFFFFF" w:themeFill="background1"/>
        <w:jc w:val="both"/>
        <w:rPr>
          <w:rFonts w:cs="Arial"/>
          <w:sz w:val="22"/>
          <w:szCs w:val="22"/>
        </w:rPr>
      </w:pPr>
      <w:r w:rsidRPr="00661784">
        <w:rPr>
          <w:rFonts w:cs="Arial"/>
          <w:sz w:val="22"/>
          <w:szCs w:val="22"/>
        </w:rPr>
        <w:t>No se evidenció un riguroso monitoreo al cumplimiento de metas, en especial en las direcciones territoriales, para lo cual se elaboró un procedimiento con el fin de realizar seguimiento a las direcciones territoriales, en lo relacionado con la gestión catastral.</w:t>
      </w:r>
    </w:p>
    <w:p w14:paraId="3C08D70C" w14:textId="77777777" w:rsidR="00AF57D9" w:rsidRPr="00661784" w:rsidRDefault="00AF57D9" w:rsidP="000A20EE">
      <w:pPr>
        <w:pStyle w:val="NormalWeb"/>
        <w:numPr>
          <w:ilvl w:val="0"/>
          <w:numId w:val="235"/>
        </w:numPr>
        <w:shd w:val="clear" w:color="auto" w:fill="FFFFFF" w:themeFill="background1"/>
        <w:jc w:val="both"/>
        <w:rPr>
          <w:rFonts w:cs="Arial"/>
          <w:sz w:val="22"/>
          <w:szCs w:val="22"/>
        </w:rPr>
      </w:pPr>
      <w:r w:rsidRPr="00661784">
        <w:rPr>
          <w:rFonts w:cs="Arial"/>
          <w:sz w:val="22"/>
          <w:szCs w:val="22"/>
        </w:rPr>
        <w:t>Para el año 2019, se detectó un número importante de solicitudes recibidas sin revisar de fondo y sin efectuar el respectivo tramite. Respecto a esta situación, desde la Dirección de Gestión Catastral (anteriormente Subdirección de Catastro) se elaboró un diagnóstico del estado de la correspondencia de la Subdirección. Como resultado de este diagnóstico, se documentaron las acciones a adelantar con el fin de dar respuesta oportuna a las solicitudes radicadas.</w:t>
      </w:r>
    </w:p>
    <w:p w14:paraId="3A2EC984" w14:textId="77777777" w:rsidR="00AF57D9" w:rsidRPr="00661784" w:rsidRDefault="00AF57D9" w:rsidP="000A20EE">
      <w:pPr>
        <w:pStyle w:val="NormalWeb"/>
        <w:numPr>
          <w:ilvl w:val="0"/>
          <w:numId w:val="235"/>
        </w:numPr>
        <w:shd w:val="clear" w:color="auto" w:fill="FFFFFF" w:themeFill="background1"/>
        <w:jc w:val="both"/>
        <w:rPr>
          <w:rFonts w:cs="Arial"/>
          <w:sz w:val="22"/>
          <w:szCs w:val="22"/>
        </w:rPr>
      </w:pPr>
      <w:r w:rsidRPr="00661784">
        <w:rPr>
          <w:rFonts w:cs="Arial"/>
          <w:sz w:val="22"/>
          <w:szCs w:val="22"/>
        </w:rPr>
        <w:t>Se evidenció la falta de procedimientos que regulen el accionar de los funcionarios y sus responsabilidades en las actividades realizadas, por lo cual en la vigencia 2020 y 2021 se han venido actualizando los procedimientos, instructivos y formatos asociados a la gestión catastral y a los subprocesos de gestión catastral por excepción, formación y actualización catastral.</w:t>
      </w:r>
    </w:p>
    <w:p w14:paraId="2FF5A4D8" w14:textId="77777777" w:rsidR="00AF57D9" w:rsidRPr="00661784" w:rsidRDefault="00AF57D9" w:rsidP="000A20EE">
      <w:pPr>
        <w:pStyle w:val="NormalWeb"/>
        <w:numPr>
          <w:ilvl w:val="0"/>
          <w:numId w:val="235"/>
        </w:numPr>
        <w:shd w:val="clear" w:color="auto" w:fill="FFFFFF" w:themeFill="background1"/>
        <w:jc w:val="both"/>
        <w:rPr>
          <w:rFonts w:cs="Arial"/>
          <w:sz w:val="22"/>
          <w:szCs w:val="22"/>
        </w:rPr>
      </w:pPr>
      <w:r w:rsidRPr="00661784">
        <w:rPr>
          <w:rFonts w:cs="Arial"/>
          <w:sz w:val="22"/>
          <w:szCs w:val="22"/>
        </w:rPr>
        <w:t>Se identificó la necesidad de unificar en un único sistema de información las diferentes bases catastrales que maneja el IGAC, para lo cual se ha venido migrando información de dichas bases catastrales al Sistema Nacional Catastral -SNC definido como Sistema Único de información catastral a nivel nacional.</w:t>
      </w:r>
    </w:p>
    <w:p w14:paraId="0F26A01B" w14:textId="22B5A61E" w:rsidR="00AF57D9" w:rsidRDefault="00AF57D9" w:rsidP="000A20EE">
      <w:pPr>
        <w:pStyle w:val="NormalWeb"/>
        <w:numPr>
          <w:ilvl w:val="0"/>
          <w:numId w:val="235"/>
        </w:numPr>
        <w:shd w:val="clear" w:color="auto" w:fill="FFFFFF" w:themeFill="background1"/>
        <w:jc w:val="both"/>
        <w:rPr>
          <w:rFonts w:cs="Arial"/>
          <w:sz w:val="22"/>
          <w:szCs w:val="22"/>
        </w:rPr>
      </w:pPr>
      <w:r w:rsidRPr="00661784">
        <w:rPr>
          <w:rFonts w:cs="Arial"/>
          <w:sz w:val="22"/>
          <w:szCs w:val="22"/>
        </w:rPr>
        <w:t>Con el fin de atender a los nuevos roles impartidos al IGAC y a la definición del catastro como un servicio público, en el marco del Plan Nacional de Desarrollo y de la Política Pública de Catastro Multipropósito, se identificó la necesidad de proferir normatividad al interior del IGAC para reglamentar el catastro con enfoque multipropósito y los procesos de habilitación de gestores catastrales.</w:t>
      </w:r>
    </w:p>
    <w:p w14:paraId="2DB28EE9" w14:textId="77777777" w:rsidR="00553569" w:rsidRPr="00D13F4E" w:rsidRDefault="00553569" w:rsidP="00553569">
      <w:pPr>
        <w:pStyle w:val="NormalWeb"/>
        <w:shd w:val="clear" w:color="auto" w:fill="FFFFFF" w:themeFill="background1"/>
        <w:ind w:left="720"/>
        <w:jc w:val="both"/>
        <w:rPr>
          <w:rFonts w:cs="Arial"/>
          <w:sz w:val="22"/>
          <w:szCs w:val="22"/>
        </w:rPr>
      </w:pPr>
    </w:p>
    <w:p w14:paraId="62FF4F53" w14:textId="2A1F5186" w:rsidR="00210F1F" w:rsidRPr="002D2F11" w:rsidRDefault="00853B8C" w:rsidP="000A20EE">
      <w:pPr>
        <w:pStyle w:val="Prrafodelista"/>
        <w:numPr>
          <w:ilvl w:val="2"/>
          <w:numId w:val="22"/>
        </w:numPr>
        <w:rPr>
          <w:b/>
          <w:bCs/>
          <w:sz w:val="22"/>
          <w:szCs w:val="22"/>
        </w:rPr>
      </w:pPr>
      <w:r w:rsidRPr="002D2F11">
        <w:rPr>
          <w:b/>
          <w:bCs/>
          <w:sz w:val="22"/>
          <w:szCs w:val="22"/>
        </w:rPr>
        <w:lastRenderedPageBreak/>
        <w:t>RESULTADOS Y LOGROS</w:t>
      </w:r>
    </w:p>
    <w:p w14:paraId="6B8055F7" w14:textId="77777777" w:rsidR="00853B8C" w:rsidRDefault="00853B8C" w:rsidP="00853B8C">
      <w:pPr>
        <w:pStyle w:val="Lista"/>
      </w:pPr>
    </w:p>
    <w:p w14:paraId="3020402A" w14:textId="77777777" w:rsidR="004F01BC" w:rsidRPr="004C6640" w:rsidRDefault="004F01BC" w:rsidP="00D13F4E">
      <w:pPr>
        <w:jc w:val="both"/>
        <w:rPr>
          <w:rFonts w:cs="Arial"/>
          <w:b/>
          <w:bCs/>
          <w:sz w:val="22"/>
          <w:szCs w:val="22"/>
        </w:rPr>
      </w:pPr>
      <w:r w:rsidRPr="004C6640">
        <w:rPr>
          <w:rFonts w:cs="Arial"/>
          <w:b/>
          <w:bCs/>
          <w:sz w:val="22"/>
          <w:szCs w:val="22"/>
        </w:rPr>
        <w:t>FORMACIÓN, ACTUALIZACIÓN Y CONSERVACIÓN CATASTRAL CON ENFOQUE MULTIPROPÓSITO</w:t>
      </w:r>
    </w:p>
    <w:p w14:paraId="604A4B9F" w14:textId="77777777" w:rsidR="004F01BC" w:rsidRPr="004C6640" w:rsidRDefault="004F01BC" w:rsidP="004F01BC">
      <w:pPr>
        <w:pStyle w:val="Lista"/>
        <w:rPr>
          <w:rFonts w:cs="Arial"/>
          <w:sz w:val="22"/>
          <w:szCs w:val="22"/>
        </w:rPr>
      </w:pPr>
    </w:p>
    <w:p w14:paraId="1D43EDBA" w14:textId="69C3D664" w:rsidR="004F01BC" w:rsidRPr="00D13F4E" w:rsidRDefault="004F01BC" w:rsidP="004F01BC">
      <w:pPr>
        <w:pStyle w:val="Lista"/>
        <w:rPr>
          <w:b/>
          <w:sz w:val="22"/>
          <w:szCs w:val="22"/>
        </w:rPr>
      </w:pPr>
      <w:r w:rsidRPr="00D13F4E">
        <w:rPr>
          <w:b/>
          <w:sz w:val="22"/>
          <w:szCs w:val="22"/>
        </w:rPr>
        <w:t xml:space="preserve">CUMPLIMIENTO DE LAS METAS </w:t>
      </w:r>
      <w:r>
        <w:rPr>
          <w:b/>
          <w:sz w:val="22"/>
          <w:szCs w:val="22"/>
        </w:rPr>
        <w:t>DEL PLAN NACIONAL DE DESARROLLO</w:t>
      </w:r>
    </w:p>
    <w:p w14:paraId="5203BFAD" w14:textId="77777777" w:rsidR="004F01BC" w:rsidRPr="004C6640" w:rsidRDefault="004F01BC" w:rsidP="004F01BC">
      <w:pPr>
        <w:pStyle w:val="Lista"/>
        <w:rPr>
          <w:sz w:val="22"/>
          <w:szCs w:val="22"/>
        </w:rPr>
      </w:pPr>
    </w:p>
    <w:p w14:paraId="74DD3825" w14:textId="77777777" w:rsidR="004F01BC" w:rsidRPr="004C6640" w:rsidRDefault="004F01BC" w:rsidP="00D13F4E">
      <w:pPr>
        <w:jc w:val="both"/>
        <w:rPr>
          <w:rFonts w:cs="Arial"/>
          <w:sz w:val="22"/>
          <w:szCs w:val="22"/>
        </w:rPr>
      </w:pPr>
      <w:r w:rsidRPr="004C6640">
        <w:rPr>
          <w:rFonts w:cs="Arial"/>
          <w:sz w:val="22"/>
          <w:szCs w:val="22"/>
        </w:rPr>
        <w:t xml:space="preserve">En el marco del </w:t>
      </w:r>
      <w:r w:rsidRPr="004C6640">
        <w:rPr>
          <w:rFonts w:cs="Arial"/>
          <w:i/>
          <w:iCs/>
          <w:sz w:val="22"/>
          <w:szCs w:val="22"/>
        </w:rPr>
        <w:t>‘Plan Nacional de Desarrollo 2018-2022: Pacto por Colombia pacto por la Equidad’</w:t>
      </w:r>
      <w:r w:rsidRPr="004C6640">
        <w:rPr>
          <w:rFonts w:cs="Arial"/>
          <w:sz w:val="22"/>
          <w:szCs w:val="22"/>
        </w:rPr>
        <w:t xml:space="preserve">, se establecieron las siguientes metas de actualización catastral: </w:t>
      </w:r>
    </w:p>
    <w:p w14:paraId="65BFDDA6" w14:textId="77777777" w:rsidR="004F01BC" w:rsidRPr="004F01BC" w:rsidRDefault="004F01BC" w:rsidP="00D13F4E">
      <w:pPr>
        <w:jc w:val="both"/>
        <w:rPr>
          <w:rFonts w:cs="Arial"/>
        </w:rPr>
      </w:pPr>
    </w:p>
    <w:p w14:paraId="0CA70D0A" w14:textId="77777777" w:rsidR="004F01BC" w:rsidRPr="004F01BC" w:rsidRDefault="004F01BC" w:rsidP="000A20EE">
      <w:pPr>
        <w:pStyle w:val="Prrafodelista"/>
        <w:numPr>
          <w:ilvl w:val="0"/>
          <w:numId w:val="236"/>
        </w:numPr>
        <w:suppressAutoHyphens w:val="0"/>
        <w:overflowPunct/>
        <w:autoSpaceDE/>
        <w:spacing w:after="160"/>
        <w:contextualSpacing/>
        <w:textAlignment w:val="auto"/>
        <w:rPr>
          <w:rFonts w:cs="Arial"/>
          <w:sz w:val="22"/>
          <w:szCs w:val="22"/>
        </w:rPr>
      </w:pPr>
      <w:r w:rsidRPr="004F01BC">
        <w:rPr>
          <w:rFonts w:cs="Arial"/>
          <w:sz w:val="22"/>
          <w:szCs w:val="22"/>
        </w:rPr>
        <w:t>Actualización catastral del 60% del área geográfica del país.</w:t>
      </w:r>
    </w:p>
    <w:p w14:paraId="0031EF7F" w14:textId="5453C8DC" w:rsidR="004F01BC" w:rsidRPr="004C6640" w:rsidRDefault="004F01BC" w:rsidP="000A20EE">
      <w:pPr>
        <w:pStyle w:val="Prrafodelista"/>
        <w:numPr>
          <w:ilvl w:val="0"/>
          <w:numId w:val="236"/>
        </w:numPr>
        <w:suppressAutoHyphens w:val="0"/>
        <w:overflowPunct/>
        <w:autoSpaceDE/>
        <w:spacing w:after="160"/>
        <w:contextualSpacing/>
        <w:textAlignment w:val="auto"/>
        <w:rPr>
          <w:rFonts w:cs="Arial"/>
          <w:sz w:val="22"/>
          <w:szCs w:val="22"/>
        </w:rPr>
      </w:pPr>
      <w:r w:rsidRPr="004F01BC">
        <w:rPr>
          <w:rFonts w:cs="Arial"/>
          <w:sz w:val="22"/>
          <w:szCs w:val="22"/>
        </w:rPr>
        <w:t>Actualización catastral del 100% del área geográfica de los municipios del Programa de Desarrollo con Enfoque Territorial - PDET.</w:t>
      </w:r>
    </w:p>
    <w:p w14:paraId="16BD8E2A" w14:textId="77777777" w:rsidR="004F01BC" w:rsidRPr="004C6640" w:rsidRDefault="004F01BC" w:rsidP="00D13F4E">
      <w:pPr>
        <w:jc w:val="both"/>
        <w:rPr>
          <w:rFonts w:cs="Arial"/>
          <w:sz w:val="22"/>
          <w:szCs w:val="22"/>
        </w:rPr>
      </w:pPr>
      <w:r w:rsidRPr="004C6640">
        <w:rPr>
          <w:rFonts w:cs="Arial"/>
          <w:sz w:val="22"/>
          <w:szCs w:val="22"/>
        </w:rPr>
        <w:t>Con relación a la primera meta se obtuvieron los siguientes logros:</w:t>
      </w:r>
    </w:p>
    <w:p w14:paraId="0103AF7D" w14:textId="77777777" w:rsidR="004F01BC" w:rsidRPr="004C6640" w:rsidRDefault="004F01BC" w:rsidP="00D13F4E">
      <w:pPr>
        <w:jc w:val="both"/>
        <w:rPr>
          <w:rFonts w:cs="Arial"/>
          <w:sz w:val="22"/>
          <w:szCs w:val="22"/>
        </w:rPr>
      </w:pPr>
    </w:p>
    <w:p w14:paraId="24236F0A" w14:textId="30B0A478" w:rsidR="004F01BC" w:rsidRPr="004C6640" w:rsidRDefault="004F01BC" w:rsidP="00D13F4E">
      <w:pPr>
        <w:jc w:val="both"/>
        <w:rPr>
          <w:rFonts w:cs="Arial"/>
          <w:sz w:val="22"/>
          <w:szCs w:val="22"/>
        </w:rPr>
      </w:pPr>
      <w:r w:rsidRPr="004C6640">
        <w:rPr>
          <w:rFonts w:cs="Arial"/>
          <w:sz w:val="22"/>
          <w:szCs w:val="22"/>
        </w:rPr>
        <w:t xml:space="preserve">A 1 de enero de 2021 el número de hectáreas actualizadas fue de </w:t>
      </w:r>
      <w:r w:rsidRPr="004C6640">
        <w:rPr>
          <w:rFonts w:cs="Arial"/>
          <w:b/>
          <w:bCs/>
          <w:sz w:val="22"/>
          <w:szCs w:val="22"/>
        </w:rPr>
        <w:t>17.560.382,69</w:t>
      </w:r>
      <w:r w:rsidRPr="004C6640">
        <w:rPr>
          <w:rFonts w:cs="Arial"/>
          <w:sz w:val="22"/>
          <w:szCs w:val="22"/>
        </w:rPr>
        <w:t xml:space="preserve">, equivalentes al </w:t>
      </w:r>
      <w:r w:rsidRPr="004C6640">
        <w:rPr>
          <w:rFonts w:cs="Arial"/>
          <w:b/>
          <w:bCs/>
          <w:sz w:val="22"/>
          <w:szCs w:val="22"/>
        </w:rPr>
        <w:t>15,39%</w:t>
      </w:r>
      <w:r w:rsidRPr="004C6640">
        <w:rPr>
          <w:rFonts w:cs="Arial"/>
          <w:sz w:val="22"/>
          <w:szCs w:val="22"/>
        </w:rPr>
        <w:t xml:space="preserve"> del área geográfica total del país (</w:t>
      </w:r>
      <w:r w:rsidRPr="004C6640">
        <w:rPr>
          <w:rFonts w:cs="Arial"/>
          <w:sz w:val="22"/>
          <w:szCs w:val="22"/>
          <w:lang w:val="es-CO"/>
        </w:rPr>
        <w:t xml:space="preserve">114.096.603 ha) </w:t>
      </w:r>
      <w:r w:rsidRPr="004C6640">
        <w:rPr>
          <w:rFonts w:cs="Arial"/>
          <w:sz w:val="22"/>
          <w:szCs w:val="22"/>
        </w:rPr>
        <w:t>y al 25,65% de la meta del Plan Nacional de Desarrollo (60% correspondiente a 68.457.962 ha), discriminadas así:</w:t>
      </w:r>
    </w:p>
    <w:p w14:paraId="410FB7B1" w14:textId="77777777" w:rsidR="004F01BC" w:rsidRDefault="004F01BC" w:rsidP="004F01BC">
      <w:pPr>
        <w:spacing w:line="276" w:lineRule="auto"/>
        <w:jc w:val="both"/>
        <w:rPr>
          <w:rFonts w:cs="Arial"/>
          <w:sz w:val="22"/>
          <w:szCs w:val="22"/>
        </w:rPr>
      </w:pPr>
    </w:p>
    <w:p w14:paraId="66DBA65A" w14:textId="65BFAEBF" w:rsidR="00D4668E" w:rsidRPr="00D13F4E" w:rsidRDefault="00D4668E" w:rsidP="00D13F4E">
      <w:pPr>
        <w:pStyle w:val="Descripcin"/>
        <w:jc w:val="center"/>
        <w:rPr>
          <w:rFonts w:ascii="Arial" w:hAnsi="Arial" w:cs="Arial"/>
          <w:b/>
          <w:i w:val="0"/>
          <w:color w:val="000000" w:themeColor="text1"/>
          <w:sz w:val="16"/>
          <w:szCs w:val="16"/>
        </w:rPr>
      </w:pPr>
      <w:bookmarkStart w:id="24" w:name="_Toc88677078"/>
      <w:r w:rsidRPr="00D4668E">
        <w:rPr>
          <w:rFonts w:ascii="Arial" w:hAnsi="Arial" w:cs="Arial"/>
          <w:b/>
          <w:bCs/>
          <w:i w:val="0"/>
          <w:iCs w:val="0"/>
          <w:color w:val="000000" w:themeColor="text1"/>
          <w:sz w:val="16"/>
          <w:szCs w:val="16"/>
        </w:rPr>
        <w:t xml:space="preserve">Tabla </w:t>
      </w:r>
      <w:r w:rsidRPr="00D4668E">
        <w:rPr>
          <w:rFonts w:ascii="Arial" w:hAnsi="Arial" w:cs="Arial"/>
          <w:b/>
          <w:bCs/>
          <w:i w:val="0"/>
          <w:iCs w:val="0"/>
          <w:color w:val="000000" w:themeColor="text1"/>
          <w:sz w:val="16"/>
          <w:szCs w:val="16"/>
        </w:rPr>
        <w:fldChar w:fldCharType="begin"/>
      </w:r>
      <w:r w:rsidRPr="00D4668E">
        <w:rPr>
          <w:rFonts w:ascii="Arial" w:hAnsi="Arial" w:cs="Arial"/>
          <w:b/>
          <w:bCs/>
          <w:i w:val="0"/>
          <w:iCs w:val="0"/>
          <w:color w:val="000000" w:themeColor="text1"/>
          <w:sz w:val="16"/>
          <w:szCs w:val="16"/>
        </w:rPr>
        <w:instrText xml:space="preserve"> SEQ Tabla \* ARABIC </w:instrText>
      </w:r>
      <w:r w:rsidRPr="00D4668E">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w:t>
      </w:r>
      <w:r w:rsidRPr="00D4668E">
        <w:rPr>
          <w:rFonts w:ascii="Arial" w:hAnsi="Arial" w:cs="Arial"/>
          <w:b/>
          <w:bCs/>
          <w:i w:val="0"/>
          <w:iCs w:val="0"/>
          <w:color w:val="000000" w:themeColor="text1"/>
          <w:sz w:val="16"/>
          <w:szCs w:val="16"/>
        </w:rPr>
        <w:fldChar w:fldCharType="end"/>
      </w:r>
      <w:r w:rsidRPr="00D4668E">
        <w:rPr>
          <w:rFonts w:ascii="Arial" w:hAnsi="Arial" w:cs="Arial"/>
          <w:b/>
          <w:bCs/>
          <w:i w:val="0"/>
          <w:iCs w:val="0"/>
          <w:color w:val="000000" w:themeColor="text1"/>
          <w:sz w:val="16"/>
          <w:szCs w:val="16"/>
        </w:rPr>
        <w:t>. Hectáreas actualizadas meta del Plan Nacional de Desarrollo 2018-2022</w:t>
      </w:r>
      <w:bookmarkEnd w:id="24"/>
    </w:p>
    <w:tbl>
      <w:tblPr>
        <w:tblStyle w:val="Tabladecuadrcula4-nfasis1"/>
        <w:tblW w:w="0" w:type="auto"/>
        <w:tblLook w:val="04A0" w:firstRow="1" w:lastRow="0" w:firstColumn="1" w:lastColumn="0" w:noHBand="0" w:noVBand="1"/>
      </w:tblPr>
      <w:tblGrid>
        <w:gridCol w:w="3964"/>
        <w:gridCol w:w="1276"/>
        <w:gridCol w:w="1701"/>
        <w:gridCol w:w="992"/>
        <w:gridCol w:w="1130"/>
      </w:tblGrid>
      <w:tr w:rsidR="00D4668E" w:rsidRPr="004C6640" w14:paraId="34E62488" w14:textId="77777777" w:rsidTr="009827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vAlign w:val="center"/>
          </w:tcPr>
          <w:p w14:paraId="1391B933" w14:textId="77777777" w:rsidR="00D4668E" w:rsidRPr="00832807" w:rsidRDefault="00D4668E" w:rsidP="00A6302C">
            <w:pPr>
              <w:spacing w:line="276" w:lineRule="auto"/>
              <w:jc w:val="center"/>
              <w:rPr>
                <w:rFonts w:eastAsia="Arial" w:cs="Arial"/>
                <w:b w:val="0"/>
                <w:bCs w:val="0"/>
                <w:sz w:val="20"/>
                <w:szCs w:val="20"/>
                <w:lang w:val="es-CO"/>
              </w:rPr>
            </w:pPr>
            <w:r w:rsidRPr="00832807">
              <w:rPr>
                <w:rFonts w:eastAsia="Arial" w:cs="Arial"/>
                <w:sz w:val="20"/>
                <w:szCs w:val="20"/>
                <w:lang w:val="es-CO"/>
              </w:rPr>
              <w:t>Concepto</w:t>
            </w:r>
          </w:p>
        </w:tc>
        <w:tc>
          <w:tcPr>
            <w:tcW w:w="1276" w:type="dxa"/>
            <w:vAlign w:val="center"/>
          </w:tcPr>
          <w:p w14:paraId="587A8822" w14:textId="77777777" w:rsidR="00D4668E" w:rsidRPr="00832807" w:rsidRDefault="00D4668E"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lang w:val="es-CO"/>
              </w:rPr>
            </w:pPr>
            <w:r w:rsidRPr="00832807">
              <w:rPr>
                <w:rFonts w:eastAsia="Arial" w:cs="Arial"/>
                <w:sz w:val="20"/>
                <w:szCs w:val="20"/>
                <w:lang w:val="es-CO"/>
              </w:rPr>
              <w:t>No. Municipios</w:t>
            </w:r>
          </w:p>
        </w:tc>
        <w:tc>
          <w:tcPr>
            <w:tcW w:w="1701" w:type="dxa"/>
            <w:vAlign w:val="center"/>
          </w:tcPr>
          <w:p w14:paraId="6FC55970" w14:textId="77777777" w:rsidR="00D4668E" w:rsidRPr="00832807" w:rsidRDefault="00D4668E"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lang w:val="es-CO"/>
              </w:rPr>
            </w:pPr>
            <w:r w:rsidRPr="00832807">
              <w:rPr>
                <w:rFonts w:eastAsia="Arial" w:cs="Arial"/>
                <w:sz w:val="20"/>
                <w:szCs w:val="20"/>
                <w:lang w:val="es-CO"/>
              </w:rPr>
              <w:t>No. hectáreas</w:t>
            </w:r>
          </w:p>
        </w:tc>
        <w:tc>
          <w:tcPr>
            <w:tcW w:w="992" w:type="dxa"/>
            <w:vAlign w:val="center"/>
          </w:tcPr>
          <w:p w14:paraId="01051CC5" w14:textId="77777777" w:rsidR="00D4668E" w:rsidRPr="00832807" w:rsidRDefault="00D4668E"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lang w:val="es-CO"/>
              </w:rPr>
            </w:pPr>
            <w:r w:rsidRPr="00832807">
              <w:rPr>
                <w:rFonts w:cs="Arial"/>
                <w:sz w:val="20"/>
                <w:szCs w:val="20"/>
                <w:lang w:val="es-CO" w:eastAsia="es-CO"/>
              </w:rPr>
              <w:t>% Área país</w:t>
            </w:r>
          </w:p>
        </w:tc>
        <w:tc>
          <w:tcPr>
            <w:tcW w:w="1130" w:type="dxa"/>
            <w:vAlign w:val="center"/>
          </w:tcPr>
          <w:p w14:paraId="3C2D6771" w14:textId="77777777" w:rsidR="00D4668E" w:rsidRPr="00832807" w:rsidRDefault="00D4668E"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lang w:val="es-CO"/>
              </w:rPr>
            </w:pPr>
            <w:r w:rsidRPr="00832807">
              <w:rPr>
                <w:rFonts w:cs="Arial"/>
                <w:sz w:val="20"/>
                <w:szCs w:val="20"/>
                <w:lang w:val="es-CO" w:eastAsia="es-CO"/>
              </w:rPr>
              <w:t>% Meta PND</w:t>
            </w:r>
          </w:p>
        </w:tc>
      </w:tr>
      <w:tr w:rsidR="00D4668E" w:rsidRPr="004C6640" w14:paraId="3EB7C6BC"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7C144979" w14:textId="77777777" w:rsidR="00D4668E" w:rsidRPr="004C6640" w:rsidRDefault="00D4668E" w:rsidP="00A6302C">
            <w:pPr>
              <w:spacing w:line="276" w:lineRule="auto"/>
              <w:jc w:val="center"/>
              <w:rPr>
                <w:rFonts w:eastAsia="Arial" w:cs="Arial"/>
                <w:b w:val="0"/>
                <w:bCs w:val="0"/>
                <w:sz w:val="20"/>
                <w:szCs w:val="20"/>
                <w:lang w:val="es-CO"/>
              </w:rPr>
            </w:pPr>
            <w:r w:rsidRPr="004C6640">
              <w:rPr>
                <w:rFonts w:cs="Arial"/>
                <w:b w:val="0"/>
                <w:bCs w:val="0"/>
                <w:color w:val="000000"/>
                <w:sz w:val="20"/>
                <w:szCs w:val="20"/>
                <w:lang w:val="es-CO" w:eastAsia="es-CO"/>
              </w:rPr>
              <w:t>Actualizado últimos 5 años</w:t>
            </w:r>
          </w:p>
        </w:tc>
        <w:tc>
          <w:tcPr>
            <w:tcW w:w="1276" w:type="dxa"/>
          </w:tcPr>
          <w:p w14:paraId="31539F85"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45</w:t>
            </w:r>
          </w:p>
        </w:tc>
        <w:tc>
          <w:tcPr>
            <w:tcW w:w="1701" w:type="dxa"/>
          </w:tcPr>
          <w:p w14:paraId="701B6ED4"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8.992.639,63</w:t>
            </w:r>
          </w:p>
        </w:tc>
        <w:tc>
          <w:tcPr>
            <w:tcW w:w="992" w:type="dxa"/>
          </w:tcPr>
          <w:p w14:paraId="6777C016"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7,88%</w:t>
            </w:r>
          </w:p>
        </w:tc>
        <w:tc>
          <w:tcPr>
            <w:tcW w:w="1130" w:type="dxa"/>
          </w:tcPr>
          <w:p w14:paraId="7810FC9B"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13,14%</w:t>
            </w:r>
          </w:p>
        </w:tc>
      </w:tr>
      <w:tr w:rsidR="00D4668E" w:rsidRPr="004C6640" w14:paraId="2529A151" w14:textId="77777777" w:rsidTr="00A6302C">
        <w:tc>
          <w:tcPr>
            <w:cnfStyle w:val="001000000000" w:firstRow="0" w:lastRow="0" w:firstColumn="1" w:lastColumn="0" w:oddVBand="0" w:evenVBand="0" w:oddHBand="0" w:evenHBand="0" w:firstRowFirstColumn="0" w:firstRowLastColumn="0" w:lastRowFirstColumn="0" w:lastRowLastColumn="0"/>
            <w:tcW w:w="3964" w:type="dxa"/>
          </w:tcPr>
          <w:p w14:paraId="2B500106" w14:textId="77777777" w:rsidR="00D4668E" w:rsidRPr="004C6640" w:rsidRDefault="00D4668E" w:rsidP="00A6302C">
            <w:pPr>
              <w:spacing w:line="276" w:lineRule="auto"/>
              <w:jc w:val="center"/>
              <w:rPr>
                <w:rFonts w:eastAsia="Arial" w:cs="Arial"/>
                <w:b w:val="0"/>
                <w:bCs w:val="0"/>
                <w:sz w:val="20"/>
                <w:szCs w:val="20"/>
                <w:lang w:val="es-CO"/>
              </w:rPr>
            </w:pPr>
            <w:r w:rsidRPr="004C6640">
              <w:rPr>
                <w:rFonts w:cs="Arial"/>
                <w:b w:val="0"/>
                <w:bCs w:val="0"/>
                <w:color w:val="000000"/>
                <w:sz w:val="20"/>
                <w:szCs w:val="20"/>
                <w:lang w:val="es-CO" w:eastAsia="es-CO"/>
              </w:rPr>
              <w:t xml:space="preserve">Conservación (2019 a 2020) </w:t>
            </w:r>
          </w:p>
        </w:tc>
        <w:tc>
          <w:tcPr>
            <w:tcW w:w="1276" w:type="dxa"/>
          </w:tcPr>
          <w:p w14:paraId="37441E25" w14:textId="77777777" w:rsidR="00D4668E" w:rsidRPr="004C6640" w:rsidRDefault="00D4668E"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N/A</w:t>
            </w:r>
          </w:p>
        </w:tc>
        <w:tc>
          <w:tcPr>
            <w:tcW w:w="1701" w:type="dxa"/>
          </w:tcPr>
          <w:p w14:paraId="4B45388C" w14:textId="77777777" w:rsidR="00D4668E" w:rsidRPr="004C6640" w:rsidRDefault="00D4668E"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8.567.743,06</w:t>
            </w:r>
          </w:p>
        </w:tc>
        <w:tc>
          <w:tcPr>
            <w:tcW w:w="992" w:type="dxa"/>
          </w:tcPr>
          <w:p w14:paraId="39973B29" w14:textId="77777777" w:rsidR="00D4668E" w:rsidRPr="004C6640" w:rsidRDefault="00D4668E"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7,51%</w:t>
            </w:r>
          </w:p>
        </w:tc>
        <w:tc>
          <w:tcPr>
            <w:tcW w:w="1130" w:type="dxa"/>
          </w:tcPr>
          <w:p w14:paraId="79C567BC" w14:textId="77777777" w:rsidR="00D4668E" w:rsidRPr="004C6640" w:rsidRDefault="00D4668E"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lang w:val="es-CO"/>
              </w:rPr>
            </w:pPr>
            <w:r w:rsidRPr="004C6640">
              <w:rPr>
                <w:rFonts w:cs="Arial"/>
                <w:color w:val="000000"/>
                <w:sz w:val="20"/>
                <w:szCs w:val="20"/>
                <w:lang w:val="es-CO" w:eastAsia="es-CO"/>
              </w:rPr>
              <w:t>12,52%</w:t>
            </w:r>
          </w:p>
        </w:tc>
      </w:tr>
      <w:tr w:rsidR="00D4668E" w:rsidRPr="004C6640" w14:paraId="59E5ADCB"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491E6A61" w14:textId="3185BECB" w:rsidR="00D4668E" w:rsidRPr="004C6640" w:rsidRDefault="00D4668E" w:rsidP="00A6302C">
            <w:pPr>
              <w:spacing w:line="276" w:lineRule="auto"/>
              <w:jc w:val="center"/>
              <w:rPr>
                <w:rFonts w:cs="Arial"/>
                <w:color w:val="000000"/>
                <w:sz w:val="20"/>
                <w:szCs w:val="20"/>
                <w:lang w:val="es-CO" w:eastAsia="es-CO"/>
              </w:rPr>
            </w:pPr>
            <w:r w:rsidRPr="004C6640">
              <w:rPr>
                <w:rFonts w:cs="Arial"/>
                <w:color w:val="000000"/>
                <w:sz w:val="20"/>
                <w:szCs w:val="20"/>
                <w:lang w:val="es-CO" w:eastAsia="es-CO"/>
              </w:rPr>
              <w:t>Total a 1ro. enero de 2021</w:t>
            </w:r>
          </w:p>
        </w:tc>
        <w:tc>
          <w:tcPr>
            <w:tcW w:w="1276" w:type="dxa"/>
          </w:tcPr>
          <w:p w14:paraId="2EE3EFCB"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b/>
                <w:bCs/>
                <w:color w:val="000000"/>
                <w:sz w:val="20"/>
                <w:szCs w:val="20"/>
                <w:lang w:val="es-CO" w:eastAsia="es-CO"/>
              </w:rPr>
            </w:pPr>
            <w:r w:rsidRPr="004C6640">
              <w:rPr>
                <w:rFonts w:cs="Arial"/>
                <w:b/>
                <w:bCs/>
                <w:color w:val="000000"/>
                <w:sz w:val="20"/>
                <w:szCs w:val="20"/>
                <w:lang w:val="es-CO" w:eastAsia="es-CO"/>
              </w:rPr>
              <w:t> </w:t>
            </w:r>
          </w:p>
        </w:tc>
        <w:tc>
          <w:tcPr>
            <w:tcW w:w="1701" w:type="dxa"/>
          </w:tcPr>
          <w:p w14:paraId="79730F71"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b/>
                <w:bCs/>
                <w:color w:val="000000"/>
                <w:sz w:val="20"/>
                <w:szCs w:val="20"/>
                <w:lang w:val="es-CO" w:eastAsia="es-CO"/>
              </w:rPr>
            </w:pPr>
            <w:r w:rsidRPr="004C6640">
              <w:rPr>
                <w:rFonts w:cs="Arial"/>
                <w:b/>
                <w:bCs/>
                <w:color w:val="000000"/>
                <w:sz w:val="20"/>
                <w:szCs w:val="20"/>
                <w:lang w:val="es-CO" w:eastAsia="es-CO"/>
              </w:rPr>
              <w:t>17.560.382,69</w:t>
            </w:r>
          </w:p>
        </w:tc>
        <w:tc>
          <w:tcPr>
            <w:tcW w:w="992" w:type="dxa"/>
          </w:tcPr>
          <w:p w14:paraId="4E2453F1"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b/>
                <w:bCs/>
                <w:color w:val="000000"/>
                <w:sz w:val="20"/>
                <w:szCs w:val="20"/>
                <w:lang w:val="es-CO" w:eastAsia="es-CO"/>
              </w:rPr>
            </w:pPr>
            <w:r w:rsidRPr="004C6640">
              <w:rPr>
                <w:rFonts w:cs="Arial"/>
                <w:b/>
                <w:bCs/>
                <w:color w:val="000000"/>
                <w:sz w:val="20"/>
                <w:szCs w:val="20"/>
                <w:lang w:val="es-CO" w:eastAsia="es-CO"/>
              </w:rPr>
              <w:t>15,39%</w:t>
            </w:r>
          </w:p>
        </w:tc>
        <w:tc>
          <w:tcPr>
            <w:tcW w:w="1130" w:type="dxa"/>
          </w:tcPr>
          <w:p w14:paraId="62B521FC" w14:textId="77777777" w:rsidR="00D4668E" w:rsidRPr="004C6640" w:rsidRDefault="00D4668E"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b/>
                <w:bCs/>
                <w:color w:val="000000"/>
                <w:sz w:val="20"/>
                <w:szCs w:val="20"/>
                <w:lang w:val="es-CO" w:eastAsia="es-CO"/>
              </w:rPr>
            </w:pPr>
            <w:r w:rsidRPr="004C6640">
              <w:rPr>
                <w:rFonts w:cs="Arial"/>
                <w:b/>
                <w:bCs/>
                <w:color w:val="000000"/>
                <w:sz w:val="20"/>
                <w:szCs w:val="20"/>
                <w:lang w:val="es-CO" w:eastAsia="es-CO"/>
              </w:rPr>
              <w:t>25,65%</w:t>
            </w:r>
          </w:p>
        </w:tc>
      </w:tr>
    </w:tbl>
    <w:p w14:paraId="1E31C219" w14:textId="77777777" w:rsidR="00D4668E" w:rsidRPr="00FF225C" w:rsidRDefault="00D4668E" w:rsidP="00D4668E">
      <w:pPr>
        <w:spacing w:line="276" w:lineRule="auto"/>
        <w:jc w:val="center"/>
        <w:rPr>
          <w:rFonts w:cs="Arial"/>
          <w:b/>
          <w:bCs/>
          <w:sz w:val="16"/>
          <w:szCs w:val="16"/>
        </w:rPr>
      </w:pPr>
      <w:r w:rsidRPr="00FF225C">
        <w:rPr>
          <w:rFonts w:eastAsia="Arial" w:cs="Arial"/>
          <w:b/>
          <w:bCs/>
          <w:sz w:val="16"/>
          <w:szCs w:val="16"/>
          <w:lang w:val="es-CO"/>
        </w:rPr>
        <w:t>Fuente: Dirección de Gestión Catastral</w:t>
      </w:r>
    </w:p>
    <w:p w14:paraId="75F006DB" w14:textId="77777777" w:rsidR="00D4668E" w:rsidRPr="005E23C4" w:rsidRDefault="00D4668E" w:rsidP="00D4668E">
      <w:pPr>
        <w:spacing w:line="276" w:lineRule="auto"/>
        <w:jc w:val="both"/>
        <w:rPr>
          <w:rFonts w:cs="Arial"/>
          <w:sz w:val="22"/>
          <w:szCs w:val="22"/>
          <w:lang w:val="es-CO"/>
        </w:rPr>
      </w:pPr>
    </w:p>
    <w:p w14:paraId="1443EE3B" w14:textId="77777777" w:rsidR="00D4668E" w:rsidRDefault="00D4668E" w:rsidP="00982741">
      <w:pPr>
        <w:jc w:val="both"/>
        <w:rPr>
          <w:rFonts w:cs="Arial"/>
          <w:sz w:val="22"/>
          <w:szCs w:val="22"/>
          <w:lang w:val="es-CO"/>
        </w:rPr>
      </w:pPr>
      <w:r w:rsidRPr="004C6640">
        <w:rPr>
          <w:rFonts w:cs="Arial"/>
          <w:sz w:val="22"/>
          <w:szCs w:val="22"/>
          <w:lang w:val="es-CO"/>
        </w:rPr>
        <w:t>De los 17,56 millones de hectáreas actualizadas, 8,99 millones son producto del trabajo realizado por el IGAC, la ANT y los Catastros de Antioquia y Soacha durante el 2020, así como de los municipios que han sido actualizados durante los últimos cinco años, y 8,56 millones corresponden a las áreas actualizadas mediante el proceso de conservación adelantado por el Instituto y otros gestores.</w:t>
      </w:r>
    </w:p>
    <w:p w14:paraId="0D170BDA" w14:textId="77777777" w:rsidR="00D4668E" w:rsidRDefault="00D4668E" w:rsidP="00D4668E">
      <w:pPr>
        <w:spacing w:line="276" w:lineRule="auto"/>
        <w:jc w:val="both"/>
        <w:rPr>
          <w:rFonts w:cs="Arial"/>
          <w:sz w:val="22"/>
          <w:szCs w:val="22"/>
          <w:lang w:val="es-CO"/>
        </w:rPr>
      </w:pPr>
    </w:p>
    <w:p w14:paraId="482E696F" w14:textId="77777777" w:rsidR="00D4668E" w:rsidRDefault="00D4668E" w:rsidP="00D665BF">
      <w:pPr>
        <w:jc w:val="both"/>
        <w:rPr>
          <w:rFonts w:cs="Arial"/>
          <w:sz w:val="22"/>
          <w:szCs w:val="22"/>
          <w:lang w:val="es-CO"/>
        </w:rPr>
      </w:pPr>
      <w:r>
        <w:rPr>
          <w:rFonts w:cs="Arial"/>
          <w:sz w:val="22"/>
          <w:szCs w:val="22"/>
          <w:lang w:val="es-CO"/>
        </w:rPr>
        <w:t>Adicionalmente, en la vigencia 2019 se cumplió la meta del PND en un 2,25% y en la vigencia 2020 se cumplió en un 15,39%</w:t>
      </w:r>
    </w:p>
    <w:p w14:paraId="378FACDA" w14:textId="77777777" w:rsidR="00D4668E" w:rsidRPr="004C6640" w:rsidRDefault="00D4668E" w:rsidP="00D665BF">
      <w:pPr>
        <w:jc w:val="both"/>
        <w:rPr>
          <w:rFonts w:cs="Arial"/>
          <w:sz w:val="22"/>
          <w:szCs w:val="22"/>
          <w:lang w:val="es-CO"/>
        </w:rPr>
      </w:pPr>
    </w:p>
    <w:p w14:paraId="1DE705C2" w14:textId="77777777" w:rsidR="00D4668E" w:rsidRDefault="00D4668E" w:rsidP="00D4668E">
      <w:pPr>
        <w:pStyle w:val="Lista"/>
        <w:rPr>
          <w:rFonts w:cs="Arial"/>
          <w:sz w:val="22"/>
          <w:szCs w:val="22"/>
          <w:lang w:val="es-CO"/>
        </w:rPr>
      </w:pPr>
      <w:r w:rsidRPr="004C6640">
        <w:rPr>
          <w:rFonts w:cs="Arial"/>
          <w:sz w:val="22"/>
          <w:szCs w:val="22"/>
          <w:lang w:val="es-CO"/>
        </w:rPr>
        <w:t>Con relación a la gestión realizada por el IGAC, en su calidad de gestor catastral por excepción, se llevó a cabo la intervención catastral de 6.952.631,42 Ha, detalladas a continuación:</w:t>
      </w:r>
    </w:p>
    <w:p w14:paraId="4250509F" w14:textId="77777777" w:rsidR="00D4668E" w:rsidRPr="000E0C68" w:rsidRDefault="00D4668E" w:rsidP="000E0C68">
      <w:pPr>
        <w:jc w:val="center"/>
        <w:rPr>
          <w:rFonts w:cs="Arial"/>
          <w:b/>
          <w:bCs/>
          <w:color w:val="000000" w:themeColor="text1"/>
          <w:sz w:val="22"/>
          <w:szCs w:val="22"/>
          <w:lang w:val="es-CO" w:eastAsia="es-ES_tradnl"/>
        </w:rPr>
      </w:pPr>
    </w:p>
    <w:p w14:paraId="0C5EF57D" w14:textId="0BCD51BF" w:rsidR="00D4668E" w:rsidRDefault="000E0C68" w:rsidP="000E0C68">
      <w:pPr>
        <w:pStyle w:val="Descripcin"/>
        <w:jc w:val="center"/>
        <w:rPr>
          <w:rFonts w:ascii="Arial" w:hAnsi="Arial" w:cs="Arial"/>
          <w:b/>
          <w:bCs/>
          <w:i w:val="0"/>
          <w:iCs w:val="0"/>
          <w:color w:val="000000" w:themeColor="text1"/>
          <w:sz w:val="16"/>
          <w:szCs w:val="16"/>
        </w:rPr>
      </w:pPr>
      <w:bookmarkStart w:id="25" w:name="_Toc88677079"/>
      <w:r w:rsidRPr="000E0C68">
        <w:rPr>
          <w:rFonts w:ascii="Arial" w:hAnsi="Arial" w:cs="Arial"/>
          <w:b/>
          <w:bCs/>
          <w:i w:val="0"/>
          <w:iCs w:val="0"/>
          <w:color w:val="000000" w:themeColor="text1"/>
          <w:sz w:val="16"/>
          <w:szCs w:val="16"/>
        </w:rPr>
        <w:t xml:space="preserve">Tabla </w:t>
      </w:r>
      <w:r w:rsidRPr="000E0C68">
        <w:rPr>
          <w:rFonts w:ascii="Arial" w:hAnsi="Arial" w:cs="Arial"/>
          <w:b/>
          <w:bCs/>
          <w:i w:val="0"/>
          <w:iCs w:val="0"/>
          <w:color w:val="000000" w:themeColor="text1"/>
          <w:sz w:val="16"/>
          <w:szCs w:val="16"/>
        </w:rPr>
        <w:fldChar w:fldCharType="begin"/>
      </w:r>
      <w:r w:rsidRPr="000E0C68">
        <w:rPr>
          <w:rFonts w:ascii="Arial" w:hAnsi="Arial" w:cs="Arial"/>
          <w:b/>
          <w:bCs/>
          <w:i w:val="0"/>
          <w:iCs w:val="0"/>
          <w:color w:val="000000" w:themeColor="text1"/>
          <w:sz w:val="16"/>
          <w:szCs w:val="16"/>
        </w:rPr>
        <w:instrText xml:space="preserve"> SEQ Tabla \* ARABIC </w:instrText>
      </w:r>
      <w:r w:rsidRPr="000E0C68">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7</w:t>
      </w:r>
      <w:r w:rsidRPr="000E0C68">
        <w:rPr>
          <w:rFonts w:ascii="Arial" w:hAnsi="Arial" w:cs="Arial"/>
          <w:b/>
          <w:bCs/>
          <w:i w:val="0"/>
          <w:iCs w:val="0"/>
          <w:color w:val="000000" w:themeColor="text1"/>
          <w:sz w:val="16"/>
          <w:szCs w:val="16"/>
        </w:rPr>
        <w:fldChar w:fldCharType="end"/>
      </w:r>
      <w:r w:rsidRPr="000E0C68">
        <w:rPr>
          <w:rFonts w:ascii="Arial" w:hAnsi="Arial" w:cs="Arial"/>
          <w:b/>
          <w:bCs/>
          <w:i w:val="0"/>
          <w:iCs w:val="0"/>
          <w:color w:val="000000" w:themeColor="text1"/>
          <w:sz w:val="16"/>
          <w:szCs w:val="16"/>
        </w:rPr>
        <w:t>. Hectáreas actualizadas a diciembre 2020</w:t>
      </w:r>
      <w:bookmarkEnd w:id="25"/>
    </w:p>
    <w:tbl>
      <w:tblPr>
        <w:tblStyle w:val="Tabladecuadrcula4-nfasis1"/>
        <w:tblW w:w="9161" w:type="dxa"/>
        <w:tblLook w:val="04A0" w:firstRow="1" w:lastRow="0" w:firstColumn="1" w:lastColumn="0" w:noHBand="0" w:noVBand="1"/>
      </w:tblPr>
      <w:tblGrid>
        <w:gridCol w:w="2312"/>
        <w:gridCol w:w="2107"/>
        <w:gridCol w:w="2846"/>
        <w:gridCol w:w="1896"/>
      </w:tblGrid>
      <w:tr w:rsidR="000E0C68" w:rsidRPr="004C6640" w14:paraId="32667302" w14:textId="77777777" w:rsidTr="00D665BF">
        <w:trPr>
          <w:cnfStyle w:val="100000000000" w:firstRow="1" w:lastRow="0" w:firstColumn="0" w:lastColumn="0" w:oddVBand="0" w:evenVBand="0" w:oddHBand="0" w:evenHBand="0" w:firstRowFirstColumn="0" w:firstRowLastColumn="0" w:lastRowFirstColumn="0" w:lastRowLastColumn="0"/>
          <w:trHeight w:val="404"/>
        </w:trPr>
        <w:tc>
          <w:tcPr>
            <w:cnfStyle w:val="001000000000" w:firstRow="0" w:lastRow="0" w:firstColumn="1" w:lastColumn="0" w:oddVBand="0" w:evenVBand="0" w:oddHBand="0" w:evenHBand="0" w:firstRowFirstColumn="0" w:firstRowLastColumn="0" w:lastRowFirstColumn="0" w:lastRowLastColumn="0"/>
            <w:tcW w:w="2312" w:type="dxa"/>
            <w:vAlign w:val="center"/>
            <w:hideMark/>
          </w:tcPr>
          <w:p w14:paraId="3CAD65EE" w14:textId="77777777" w:rsidR="000E0C68" w:rsidRPr="00DA1026" w:rsidRDefault="000E0C68" w:rsidP="00A6302C">
            <w:pPr>
              <w:jc w:val="center"/>
              <w:rPr>
                <w:rFonts w:cs="Arial"/>
                <w:b w:val="0"/>
                <w:sz w:val="20"/>
                <w:szCs w:val="20"/>
              </w:rPr>
            </w:pPr>
            <w:r w:rsidRPr="00DA1026">
              <w:rPr>
                <w:rFonts w:cs="Arial"/>
                <w:sz w:val="20"/>
                <w:szCs w:val="20"/>
              </w:rPr>
              <w:t>Departamento</w:t>
            </w:r>
          </w:p>
        </w:tc>
        <w:tc>
          <w:tcPr>
            <w:tcW w:w="2107" w:type="dxa"/>
            <w:vAlign w:val="center"/>
            <w:hideMark/>
          </w:tcPr>
          <w:p w14:paraId="632C42EF" w14:textId="77777777" w:rsidR="000E0C68" w:rsidRPr="00DA1026" w:rsidRDefault="000E0C68"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DA1026">
              <w:rPr>
                <w:rFonts w:cs="Arial"/>
                <w:sz w:val="20"/>
                <w:szCs w:val="20"/>
              </w:rPr>
              <w:t>Municipio</w:t>
            </w:r>
          </w:p>
        </w:tc>
        <w:tc>
          <w:tcPr>
            <w:tcW w:w="2845" w:type="dxa"/>
            <w:vAlign w:val="center"/>
            <w:hideMark/>
          </w:tcPr>
          <w:p w14:paraId="3410C51C" w14:textId="77777777" w:rsidR="000E0C68" w:rsidRPr="00DA1026" w:rsidRDefault="000E0C68"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DA1026">
              <w:rPr>
                <w:rFonts w:cs="Arial"/>
                <w:sz w:val="20"/>
                <w:szCs w:val="20"/>
              </w:rPr>
              <w:t>Zona</w:t>
            </w:r>
          </w:p>
        </w:tc>
        <w:tc>
          <w:tcPr>
            <w:tcW w:w="1896" w:type="dxa"/>
            <w:vAlign w:val="center"/>
            <w:hideMark/>
          </w:tcPr>
          <w:p w14:paraId="02668770" w14:textId="77777777" w:rsidR="000E0C68" w:rsidRPr="00DA1026" w:rsidRDefault="000E0C68"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DA1026">
              <w:rPr>
                <w:rFonts w:cs="Arial"/>
                <w:sz w:val="20"/>
                <w:szCs w:val="20"/>
              </w:rPr>
              <w:t>Área (ha.)</w:t>
            </w:r>
          </w:p>
        </w:tc>
      </w:tr>
      <w:tr w:rsidR="000E0C68" w:rsidRPr="004C6640" w14:paraId="3B25CF4E"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1F56EAB9" w14:textId="77777777" w:rsidR="000E0C68" w:rsidRPr="004C6640" w:rsidRDefault="000E0C68" w:rsidP="00A6302C">
            <w:pPr>
              <w:jc w:val="center"/>
              <w:rPr>
                <w:rFonts w:cs="Arial"/>
                <w:b w:val="0"/>
                <w:bCs w:val="0"/>
                <w:sz w:val="20"/>
                <w:szCs w:val="20"/>
              </w:rPr>
            </w:pPr>
            <w:r w:rsidRPr="004C6640">
              <w:rPr>
                <w:rFonts w:cs="Arial"/>
                <w:b w:val="0"/>
                <w:bCs w:val="0"/>
                <w:sz w:val="20"/>
                <w:szCs w:val="20"/>
              </w:rPr>
              <w:t>Vichada</w:t>
            </w:r>
          </w:p>
        </w:tc>
        <w:tc>
          <w:tcPr>
            <w:tcW w:w="2107" w:type="dxa"/>
            <w:hideMark/>
          </w:tcPr>
          <w:p w14:paraId="64778143"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Cumaribo</w:t>
            </w:r>
          </w:p>
        </w:tc>
        <w:tc>
          <w:tcPr>
            <w:tcW w:w="2845" w:type="dxa"/>
            <w:hideMark/>
          </w:tcPr>
          <w:p w14:paraId="57A6E12C"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Rural</w:t>
            </w:r>
          </w:p>
        </w:tc>
        <w:tc>
          <w:tcPr>
            <w:tcW w:w="1896" w:type="dxa"/>
            <w:hideMark/>
          </w:tcPr>
          <w:p w14:paraId="38193C29"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6.559.632,28</w:t>
            </w:r>
          </w:p>
        </w:tc>
      </w:tr>
      <w:tr w:rsidR="000E0C68" w:rsidRPr="004C6640" w14:paraId="2860A659"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348EB815"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6238C1D0"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Apia</w:t>
            </w:r>
          </w:p>
        </w:tc>
        <w:tc>
          <w:tcPr>
            <w:tcW w:w="2845" w:type="dxa"/>
            <w:hideMark/>
          </w:tcPr>
          <w:p w14:paraId="36702DA4"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0893C7B2"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74,46</w:t>
            </w:r>
          </w:p>
        </w:tc>
      </w:tr>
      <w:tr w:rsidR="000E0C68" w:rsidRPr="004C6640" w14:paraId="19701B53"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1EDA5E07"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3A560723"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Balboa</w:t>
            </w:r>
          </w:p>
        </w:tc>
        <w:tc>
          <w:tcPr>
            <w:tcW w:w="2845" w:type="dxa"/>
            <w:hideMark/>
          </w:tcPr>
          <w:p w14:paraId="115CA654"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2A65AB79"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25,98</w:t>
            </w:r>
          </w:p>
        </w:tc>
      </w:tr>
      <w:tr w:rsidR="000E0C68" w:rsidRPr="004C6640" w14:paraId="3B466836"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7CD4F4DF"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10C31849"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Belén de Umbría</w:t>
            </w:r>
          </w:p>
        </w:tc>
        <w:tc>
          <w:tcPr>
            <w:tcW w:w="2845" w:type="dxa"/>
            <w:hideMark/>
          </w:tcPr>
          <w:p w14:paraId="27875301"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0D8826D5"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154,09</w:t>
            </w:r>
          </w:p>
        </w:tc>
      </w:tr>
      <w:tr w:rsidR="000E0C68" w:rsidRPr="004C6640" w14:paraId="04955B8E"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1718A740"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27D50E9B"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Guática</w:t>
            </w:r>
          </w:p>
        </w:tc>
        <w:tc>
          <w:tcPr>
            <w:tcW w:w="2845" w:type="dxa"/>
            <w:hideMark/>
          </w:tcPr>
          <w:p w14:paraId="339E074F"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508B219D"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59,92</w:t>
            </w:r>
          </w:p>
        </w:tc>
      </w:tr>
      <w:tr w:rsidR="000E0C68" w:rsidRPr="004C6640" w14:paraId="12FF1710"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70E6100E"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4502CF23"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La Celia</w:t>
            </w:r>
          </w:p>
        </w:tc>
        <w:tc>
          <w:tcPr>
            <w:tcW w:w="2845" w:type="dxa"/>
            <w:hideMark/>
          </w:tcPr>
          <w:p w14:paraId="17D15AD8"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5596BDE0"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39,74</w:t>
            </w:r>
          </w:p>
        </w:tc>
      </w:tr>
      <w:tr w:rsidR="000E0C68" w:rsidRPr="004C6640" w14:paraId="39E9FE5E"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5F248EBD"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1884BEE8"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Marsella</w:t>
            </w:r>
          </w:p>
        </w:tc>
        <w:tc>
          <w:tcPr>
            <w:tcW w:w="2845" w:type="dxa"/>
            <w:hideMark/>
          </w:tcPr>
          <w:p w14:paraId="379C8061"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09F5E8A0"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236,28</w:t>
            </w:r>
          </w:p>
        </w:tc>
      </w:tr>
      <w:tr w:rsidR="000E0C68" w:rsidRPr="004C6640" w14:paraId="6ABA00A0"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60D0377C" w14:textId="77777777" w:rsidR="000E0C68" w:rsidRPr="004C6640" w:rsidRDefault="000E0C68" w:rsidP="00A6302C">
            <w:pPr>
              <w:jc w:val="center"/>
              <w:rPr>
                <w:rFonts w:cs="Arial"/>
                <w:b w:val="0"/>
                <w:bCs w:val="0"/>
                <w:sz w:val="20"/>
                <w:szCs w:val="20"/>
              </w:rPr>
            </w:pPr>
            <w:r w:rsidRPr="004C6640">
              <w:rPr>
                <w:rFonts w:cs="Arial"/>
                <w:b w:val="0"/>
                <w:bCs w:val="0"/>
                <w:sz w:val="20"/>
                <w:szCs w:val="20"/>
              </w:rPr>
              <w:lastRenderedPageBreak/>
              <w:t>Risaralda</w:t>
            </w:r>
          </w:p>
        </w:tc>
        <w:tc>
          <w:tcPr>
            <w:tcW w:w="2107" w:type="dxa"/>
            <w:hideMark/>
          </w:tcPr>
          <w:p w14:paraId="2EED79FF"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Pueblo Rico</w:t>
            </w:r>
          </w:p>
        </w:tc>
        <w:tc>
          <w:tcPr>
            <w:tcW w:w="2845" w:type="dxa"/>
            <w:hideMark/>
          </w:tcPr>
          <w:p w14:paraId="676DFF54"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01E9359A"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sidRPr="004C6640">
              <w:rPr>
                <w:rFonts w:cs="Arial"/>
                <w:sz w:val="20"/>
                <w:szCs w:val="20"/>
              </w:rPr>
              <w:t>46,92</w:t>
            </w:r>
          </w:p>
        </w:tc>
      </w:tr>
      <w:tr w:rsidR="000E0C68" w:rsidRPr="004C6640" w14:paraId="7A26111D"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7CB6F65B" w14:textId="77777777" w:rsidR="000E0C68" w:rsidRPr="004C6640" w:rsidRDefault="000E0C68" w:rsidP="00A6302C">
            <w:pPr>
              <w:jc w:val="center"/>
              <w:rPr>
                <w:rFonts w:cs="Arial"/>
                <w:b w:val="0"/>
                <w:bCs w:val="0"/>
                <w:sz w:val="20"/>
                <w:szCs w:val="20"/>
              </w:rPr>
            </w:pPr>
            <w:r w:rsidRPr="004C6640">
              <w:rPr>
                <w:rFonts w:cs="Arial"/>
                <w:b w:val="0"/>
                <w:bCs w:val="0"/>
                <w:sz w:val="20"/>
                <w:szCs w:val="20"/>
              </w:rPr>
              <w:t>Risaralda</w:t>
            </w:r>
          </w:p>
        </w:tc>
        <w:tc>
          <w:tcPr>
            <w:tcW w:w="2107" w:type="dxa"/>
            <w:hideMark/>
          </w:tcPr>
          <w:p w14:paraId="1215F80C"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Santuario</w:t>
            </w:r>
          </w:p>
        </w:tc>
        <w:tc>
          <w:tcPr>
            <w:tcW w:w="2845" w:type="dxa"/>
            <w:hideMark/>
          </w:tcPr>
          <w:p w14:paraId="6FD9A8EB"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Urbana</w:t>
            </w:r>
          </w:p>
        </w:tc>
        <w:tc>
          <w:tcPr>
            <w:tcW w:w="1896" w:type="dxa"/>
            <w:hideMark/>
          </w:tcPr>
          <w:p w14:paraId="0C3220EE"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sidRPr="004C6640">
              <w:rPr>
                <w:rFonts w:cs="Arial"/>
                <w:sz w:val="20"/>
                <w:szCs w:val="20"/>
              </w:rPr>
              <w:t>44,31</w:t>
            </w:r>
          </w:p>
        </w:tc>
      </w:tr>
      <w:tr w:rsidR="000E0C68" w:rsidRPr="004C6640" w14:paraId="4EFFD4A5"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216B90C1" w14:textId="77777777" w:rsidR="000E0C68" w:rsidRPr="004C6640" w:rsidRDefault="000E0C68" w:rsidP="00A6302C">
            <w:pPr>
              <w:jc w:val="center"/>
              <w:rPr>
                <w:rFonts w:cs="Arial"/>
                <w:b w:val="0"/>
                <w:bCs w:val="0"/>
                <w:sz w:val="20"/>
                <w:szCs w:val="20"/>
              </w:rPr>
            </w:pPr>
            <w:r w:rsidRPr="004C6640">
              <w:rPr>
                <w:rFonts w:cs="Arial"/>
                <w:b w:val="0"/>
                <w:bCs w:val="0"/>
                <w:sz w:val="20"/>
                <w:szCs w:val="20"/>
              </w:rPr>
              <w:t>Cundinamarca</w:t>
            </w:r>
          </w:p>
        </w:tc>
        <w:tc>
          <w:tcPr>
            <w:tcW w:w="2107" w:type="dxa"/>
            <w:hideMark/>
          </w:tcPr>
          <w:p w14:paraId="369D0279"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bCs/>
                <w:sz w:val="20"/>
                <w:szCs w:val="20"/>
              </w:rPr>
              <w:t>Gachancipá</w:t>
            </w:r>
          </w:p>
        </w:tc>
        <w:tc>
          <w:tcPr>
            <w:tcW w:w="2845" w:type="dxa"/>
            <w:hideMark/>
          </w:tcPr>
          <w:p w14:paraId="4074A4F0"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bCs/>
                <w:sz w:val="20"/>
                <w:szCs w:val="20"/>
              </w:rPr>
              <w:t>Urbana</w:t>
            </w:r>
          </w:p>
        </w:tc>
        <w:tc>
          <w:tcPr>
            <w:tcW w:w="1896" w:type="dxa"/>
            <w:hideMark/>
          </w:tcPr>
          <w:p w14:paraId="55E861E1"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sz w:val="20"/>
                <w:szCs w:val="20"/>
              </w:rPr>
              <w:t>103,14</w:t>
            </w:r>
          </w:p>
        </w:tc>
      </w:tr>
      <w:tr w:rsidR="000E0C68" w:rsidRPr="004C6640" w14:paraId="40D60F71" w14:textId="77777777" w:rsidTr="00A6302C">
        <w:trPr>
          <w:cnfStyle w:val="000000100000" w:firstRow="0" w:lastRow="0" w:firstColumn="0" w:lastColumn="0" w:oddVBand="0" w:evenVBand="0" w:oddHBand="1"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312" w:type="dxa"/>
            <w:hideMark/>
          </w:tcPr>
          <w:p w14:paraId="478DAAF6" w14:textId="77777777" w:rsidR="000E0C68" w:rsidRPr="004C6640" w:rsidRDefault="000E0C68" w:rsidP="00A6302C">
            <w:pPr>
              <w:jc w:val="center"/>
              <w:rPr>
                <w:rFonts w:cs="Arial"/>
                <w:b w:val="0"/>
                <w:bCs w:val="0"/>
                <w:sz w:val="20"/>
                <w:szCs w:val="20"/>
              </w:rPr>
            </w:pPr>
            <w:r w:rsidRPr="004C6640">
              <w:rPr>
                <w:rFonts w:cs="Arial"/>
                <w:b w:val="0"/>
                <w:bCs w:val="0"/>
                <w:sz w:val="20"/>
                <w:szCs w:val="20"/>
              </w:rPr>
              <w:t>Meta</w:t>
            </w:r>
          </w:p>
        </w:tc>
        <w:tc>
          <w:tcPr>
            <w:tcW w:w="2107" w:type="dxa"/>
            <w:hideMark/>
          </w:tcPr>
          <w:p w14:paraId="20E48439"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bCs/>
                <w:sz w:val="20"/>
                <w:szCs w:val="20"/>
              </w:rPr>
            </w:pPr>
            <w:r w:rsidRPr="004C6640">
              <w:rPr>
                <w:rFonts w:cs="Arial"/>
                <w:bCs/>
                <w:sz w:val="20"/>
                <w:szCs w:val="20"/>
              </w:rPr>
              <w:t>Villavicencio</w:t>
            </w:r>
          </w:p>
        </w:tc>
        <w:tc>
          <w:tcPr>
            <w:tcW w:w="2845" w:type="dxa"/>
            <w:hideMark/>
          </w:tcPr>
          <w:p w14:paraId="79B144E9"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bCs/>
                <w:sz w:val="20"/>
                <w:szCs w:val="20"/>
              </w:rPr>
            </w:pPr>
            <w:r w:rsidRPr="004C6640">
              <w:rPr>
                <w:rFonts w:cs="Arial"/>
                <w:bCs/>
                <w:sz w:val="20"/>
                <w:szCs w:val="20"/>
              </w:rPr>
              <w:t>2 sectores</w:t>
            </w:r>
          </w:p>
        </w:tc>
        <w:tc>
          <w:tcPr>
            <w:tcW w:w="1896" w:type="dxa"/>
            <w:hideMark/>
          </w:tcPr>
          <w:p w14:paraId="20ADA66B"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bCs/>
                <w:sz w:val="20"/>
                <w:szCs w:val="20"/>
              </w:rPr>
            </w:pPr>
            <w:r w:rsidRPr="004C6640">
              <w:rPr>
                <w:rFonts w:cs="Arial"/>
                <w:sz w:val="20"/>
                <w:szCs w:val="20"/>
              </w:rPr>
              <w:t>18.973,00</w:t>
            </w:r>
          </w:p>
        </w:tc>
      </w:tr>
      <w:tr w:rsidR="000E0C68" w:rsidRPr="004C6640" w14:paraId="5E0B14ED" w14:textId="77777777" w:rsidTr="00A6302C">
        <w:trPr>
          <w:trHeight w:val="474"/>
        </w:trPr>
        <w:tc>
          <w:tcPr>
            <w:cnfStyle w:val="001000000000" w:firstRow="0" w:lastRow="0" w:firstColumn="1" w:lastColumn="0" w:oddVBand="0" w:evenVBand="0" w:oddHBand="0" w:evenHBand="0" w:firstRowFirstColumn="0" w:firstRowLastColumn="0" w:lastRowFirstColumn="0" w:lastRowLastColumn="0"/>
            <w:tcW w:w="2312" w:type="dxa"/>
            <w:hideMark/>
          </w:tcPr>
          <w:p w14:paraId="6F1B4135" w14:textId="77777777" w:rsidR="000E0C68" w:rsidRPr="004C6640" w:rsidRDefault="000E0C68" w:rsidP="00A6302C">
            <w:pPr>
              <w:jc w:val="center"/>
              <w:rPr>
                <w:rFonts w:cs="Arial"/>
                <w:b w:val="0"/>
                <w:bCs w:val="0"/>
                <w:sz w:val="20"/>
                <w:szCs w:val="20"/>
              </w:rPr>
            </w:pPr>
            <w:r w:rsidRPr="004C6640">
              <w:rPr>
                <w:rFonts w:cs="Arial"/>
                <w:b w:val="0"/>
                <w:bCs w:val="0"/>
                <w:sz w:val="20"/>
                <w:szCs w:val="20"/>
              </w:rPr>
              <w:t>Arauca</w:t>
            </w:r>
          </w:p>
        </w:tc>
        <w:tc>
          <w:tcPr>
            <w:tcW w:w="2107" w:type="dxa"/>
            <w:hideMark/>
          </w:tcPr>
          <w:p w14:paraId="03A18252"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bCs/>
                <w:sz w:val="20"/>
                <w:szCs w:val="20"/>
              </w:rPr>
              <w:t>Arauca</w:t>
            </w:r>
          </w:p>
        </w:tc>
        <w:tc>
          <w:tcPr>
            <w:tcW w:w="2845" w:type="dxa"/>
            <w:hideMark/>
          </w:tcPr>
          <w:p w14:paraId="66114533" w14:textId="77777777" w:rsidR="000E0C68" w:rsidRPr="004C6640" w:rsidRDefault="000E0C68" w:rsidP="00A6302C">
            <w:pPr>
              <w:jc w:val="center"/>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bCs/>
                <w:sz w:val="20"/>
                <w:szCs w:val="20"/>
              </w:rPr>
              <w:t>Distrito Nacional de Manejo Cinaruco</w:t>
            </w:r>
          </w:p>
        </w:tc>
        <w:tc>
          <w:tcPr>
            <w:tcW w:w="1896" w:type="dxa"/>
            <w:hideMark/>
          </w:tcPr>
          <w:p w14:paraId="3F98A552"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bCs/>
                <w:sz w:val="20"/>
                <w:szCs w:val="20"/>
              </w:rPr>
            </w:pPr>
            <w:r w:rsidRPr="004C6640">
              <w:rPr>
                <w:rFonts w:cs="Arial"/>
                <w:sz w:val="20"/>
                <w:szCs w:val="20"/>
              </w:rPr>
              <w:t>134.643,33</w:t>
            </w:r>
          </w:p>
        </w:tc>
      </w:tr>
      <w:tr w:rsidR="000E0C68" w:rsidRPr="004C6640" w14:paraId="18CB55C2" w14:textId="77777777" w:rsidTr="00A6302C">
        <w:trPr>
          <w:cnfStyle w:val="000000100000" w:firstRow="0" w:lastRow="0" w:firstColumn="0" w:lastColumn="0" w:oddVBand="0" w:evenVBand="0" w:oddHBand="1" w:evenHBand="0" w:firstRowFirstColumn="0" w:firstRowLastColumn="0" w:lastRowFirstColumn="0" w:lastRowLastColumn="0"/>
          <w:trHeight w:val="474"/>
        </w:trPr>
        <w:tc>
          <w:tcPr>
            <w:cnfStyle w:val="001000000000" w:firstRow="0" w:lastRow="0" w:firstColumn="1" w:lastColumn="0" w:oddVBand="0" w:evenVBand="0" w:oddHBand="0" w:evenHBand="0" w:firstRowFirstColumn="0" w:firstRowLastColumn="0" w:lastRowFirstColumn="0" w:lastRowLastColumn="0"/>
            <w:tcW w:w="2312" w:type="dxa"/>
            <w:hideMark/>
          </w:tcPr>
          <w:p w14:paraId="6A2EB5A4" w14:textId="77777777" w:rsidR="000E0C68" w:rsidRPr="004C6640" w:rsidRDefault="000E0C68" w:rsidP="00A6302C">
            <w:pPr>
              <w:jc w:val="center"/>
              <w:rPr>
                <w:rFonts w:cs="Arial"/>
                <w:b w:val="0"/>
                <w:bCs w:val="0"/>
                <w:sz w:val="20"/>
                <w:szCs w:val="20"/>
              </w:rPr>
            </w:pPr>
            <w:r w:rsidRPr="004C6640">
              <w:rPr>
                <w:rFonts w:cs="Arial"/>
                <w:b w:val="0"/>
                <w:bCs w:val="0"/>
                <w:sz w:val="20"/>
                <w:szCs w:val="20"/>
              </w:rPr>
              <w:t>Arauca</w:t>
            </w:r>
          </w:p>
        </w:tc>
        <w:tc>
          <w:tcPr>
            <w:tcW w:w="2107" w:type="dxa"/>
            <w:hideMark/>
          </w:tcPr>
          <w:p w14:paraId="1CFB43D9"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4C6640">
              <w:rPr>
                <w:rFonts w:cs="Arial"/>
                <w:bCs/>
                <w:sz w:val="20"/>
                <w:szCs w:val="20"/>
              </w:rPr>
              <w:t>Cravo Norte</w:t>
            </w:r>
          </w:p>
        </w:tc>
        <w:tc>
          <w:tcPr>
            <w:tcW w:w="2845" w:type="dxa"/>
            <w:hideMark/>
          </w:tcPr>
          <w:p w14:paraId="6E66AB8E" w14:textId="77777777" w:rsidR="000E0C68" w:rsidRPr="004C6640" w:rsidRDefault="000E0C68" w:rsidP="00A6302C">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4C6640">
              <w:rPr>
                <w:rFonts w:cs="Arial"/>
                <w:bCs/>
                <w:sz w:val="20"/>
                <w:szCs w:val="20"/>
              </w:rPr>
              <w:t>Distrito Nacional de Manejo Cinaruco</w:t>
            </w:r>
          </w:p>
        </w:tc>
        <w:tc>
          <w:tcPr>
            <w:tcW w:w="1896" w:type="dxa"/>
            <w:hideMark/>
          </w:tcPr>
          <w:p w14:paraId="73D04A9D" w14:textId="77777777" w:rsidR="000E0C68" w:rsidRPr="004C6640" w:rsidRDefault="000E0C68" w:rsidP="00A6302C">
            <w:pPr>
              <w:jc w:val="right"/>
              <w:cnfStyle w:val="000000100000" w:firstRow="0" w:lastRow="0" w:firstColumn="0" w:lastColumn="0" w:oddVBand="0" w:evenVBand="0" w:oddHBand="1" w:evenHBand="0" w:firstRowFirstColumn="0" w:firstRowLastColumn="0" w:lastRowFirstColumn="0" w:lastRowLastColumn="0"/>
              <w:rPr>
                <w:rFonts w:cs="Arial"/>
                <w:bCs/>
                <w:sz w:val="20"/>
                <w:szCs w:val="20"/>
              </w:rPr>
            </w:pPr>
            <w:r w:rsidRPr="004C6640">
              <w:rPr>
                <w:rFonts w:cs="Arial"/>
                <w:sz w:val="20"/>
                <w:szCs w:val="20"/>
              </w:rPr>
              <w:t>238.597,97</w:t>
            </w:r>
          </w:p>
        </w:tc>
      </w:tr>
      <w:tr w:rsidR="000E0C68" w:rsidRPr="004C6640" w14:paraId="6A69E6F6" w14:textId="77777777" w:rsidTr="00A6302C">
        <w:trPr>
          <w:trHeight w:val="237"/>
        </w:trPr>
        <w:tc>
          <w:tcPr>
            <w:cnfStyle w:val="001000000000" w:firstRow="0" w:lastRow="0" w:firstColumn="1" w:lastColumn="0" w:oddVBand="0" w:evenVBand="0" w:oddHBand="0" w:evenHBand="0" w:firstRowFirstColumn="0" w:firstRowLastColumn="0" w:lastRowFirstColumn="0" w:lastRowLastColumn="0"/>
            <w:tcW w:w="7265" w:type="dxa"/>
            <w:gridSpan w:val="3"/>
            <w:hideMark/>
          </w:tcPr>
          <w:p w14:paraId="4BA5BC88" w14:textId="77777777" w:rsidR="000E0C68" w:rsidRPr="004C6640" w:rsidRDefault="000E0C68" w:rsidP="00D665BF">
            <w:pPr>
              <w:jc w:val="center"/>
              <w:rPr>
                <w:rFonts w:cs="Arial"/>
                <w:b w:val="0"/>
                <w:sz w:val="20"/>
                <w:szCs w:val="20"/>
              </w:rPr>
            </w:pPr>
            <w:r w:rsidRPr="004C6640">
              <w:rPr>
                <w:rFonts w:cs="Arial"/>
                <w:sz w:val="20"/>
                <w:szCs w:val="20"/>
              </w:rPr>
              <w:t>TOTAL</w:t>
            </w:r>
          </w:p>
        </w:tc>
        <w:tc>
          <w:tcPr>
            <w:tcW w:w="1896" w:type="dxa"/>
            <w:hideMark/>
          </w:tcPr>
          <w:p w14:paraId="303E8B11" w14:textId="77777777" w:rsidR="000E0C68" w:rsidRPr="004C6640" w:rsidRDefault="000E0C68" w:rsidP="00A6302C">
            <w:pPr>
              <w:jc w:val="right"/>
              <w:cnfStyle w:val="000000000000" w:firstRow="0" w:lastRow="0" w:firstColumn="0" w:lastColumn="0" w:oddVBand="0" w:evenVBand="0" w:oddHBand="0" w:evenHBand="0" w:firstRowFirstColumn="0" w:firstRowLastColumn="0" w:lastRowFirstColumn="0" w:lastRowLastColumn="0"/>
              <w:rPr>
                <w:rFonts w:cs="Arial"/>
                <w:b/>
                <w:sz w:val="20"/>
                <w:szCs w:val="20"/>
              </w:rPr>
            </w:pPr>
            <w:bookmarkStart w:id="26" w:name="OLE_LINK1"/>
            <w:r w:rsidRPr="004C6640">
              <w:rPr>
                <w:rFonts w:cs="Arial"/>
                <w:b/>
                <w:sz w:val="20"/>
                <w:szCs w:val="20"/>
              </w:rPr>
              <w:t>6.952.631,42</w:t>
            </w:r>
            <w:bookmarkEnd w:id="26"/>
          </w:p>
        </w:tc>
      </w:tr>
    </w:tbl>
    <w:p w14:paraId="277456EB" w14:textId="77777777" w:rsidR="00AA6160" w:rsidRPr="00011F99" w:rsidRDefault="00AA6160" w:rsidP="00AA6160">
      <w:pPr>
        <w:spacing w:line="276" w:lineRule="auto"/>
        <w:jc w:val="center"/>
        <w:rPr>
          <w:rFonts w:eastAsia="Arial" w:cs="Arial"/>
          <w:b/>
          <w:bCs/>
          <w:sz w:val="16"/>
          <w:szCs w:val="16"/>
          <w:lang w:val="es-CO"/>
        </w:rPr>
      </w:pPr>
      <w:r w:rsidRPr="00011F99">
        <w:rPr>
          <w:rFonts w:eastAsia="Arial" w:cs="Arial"/>
          <w:b/>
          <w:bCs/>
          <w:sz w:val="16"/>
          <w:szCs w:val="16"/>
          <w:lang w:val="es-CO"/>
        </w:rPr>
        <w:t>Fuente: Dirección de Gestión Catastral</w:t>
      </w:r>
    </w:p>
    <w:p w14:paraId="35373FA0" w14:textId="77777777" w:rsidR="00AA6160" w:rsidRDefault="00AA6160" w:rsidP="00AA6160">
      <w:pPr>
        <w:spacing w:line="276" w:lineRule="auto"/>
        <w:jc w:val="both"/>
        <w:rPr>
          <w:rFonts w:cs="Arial"/>
          <w:sz w:val="22"/>
          <w:szCs w:val="22"/>
        </w:rPr>
      </w:pPr>
    </w:p>
    <w:p w14:paraId="2390B731" w14:textId="77777777" w:rsidR="00AA6160" w:rsidRPr="004C6640" w:rsidRDefault="00AA6160" w:rsidP="00B008FB">
      <w:pPr>
        <w:jc w:val="both"/>
        <w:rPr>
          <w:rFonts w:cs="Arial"/>
          <w:sz w:val="22"/>
          <w:szCs w:val="22"/>
        </w:rPr>
      </w:pPr>
      <w:r w:rsidRPr="004C6640">
        <w:rPr>
          <w:rFonts w:cs="Arial"/>
          <w:sz w:val="22"/>
          <w:szCs w:val="22"/>
        </w:rPr>
        <w:t xml:space="preserve">Es de resaltar que durante el periodo comprendido entre 2015 y 2020, el año 2020 ha sido el de mayor número de hectáreas actualizadas en el país, pasando de </w:t>
      </w:r>
      <w:r>
        <w:rPr>
          <w:rFonts w:cs="Arial"/>
          <w:sz w:val="22"/>
          <w:szCs w:val="22"/>
        </w:rPr>
        <w:t>262.016</w:t>
      </w:r>
      <w:r w:rsidRPr="004C6640">
        <w:rPr>
          <w:rFonts w:cs="Arial"/>
          <w:sz w:val="22"/>
          <w:szCs w:val="22"/>
        </w:rPr>
        <w:t xml:space="preserve"> hectáreas actualizadas en la vigencia 201</w:t>
      </w:r>
      <w:r>
        <w:rPr>
          <w:rFonts w:cs="Arial"/>
          <w:sz w:val="22"/>
          <w:szCs w:val="22"/>
        </w:rPr>
        <w:t>9</w:t>
      </w:r>
      <w:r w:rsidRPr="004C6640">
        <w:rPr>
          <w:rFonts w:cs="Arial"/>
          <w:sz w:val="22"/>
          <w:szCs w:val="22"/>
        </w:rPr>
        <w:t xml:space="preserve"> a 6.952.63</w:t>
      </w:r>
      <w:r>
        <w:rPr>
          <w:rFonts w:cs="Arial"/>
          <w:sz w:val="22"/>
          <w:szCs w:val="22"/>
        </w:rPr>
        <w:t>1,42</w:t>
      </w:r>
      <w:r w:rsidRPr="004C6640">
        <w:rPr>
          <w:rFonts w:cs="Arial"/>
          <w:sz w:val="22"/>
          <w:szCs w:val="22"/>
        </w:rPr>
        <w:t xml:space="preserve"> hectáreas actualizadas en el 2020. Así mismo, es de anotar que en este mismo año se intervino el municipio de Cumaribo, el más grande de Colombia, pese a las consecuencias de la pandemia y las condiciones adversas que la misma trajo consigo. </w:t>
      </w:r>
    </w:p>
    <w:p w14:paraId="41E26178" w14:textId="7CA2122C" w:rsidR="00D73828" w:rsidRDefault="00D73828" w:rsidP="00912343">
      <w:pPr>
        <w:pStyle w:val="Descripcin"/>
        <w:rPr>
          <w:rFonts w:ascii="Arial" w:hAnsi="Arial" w:cs="Arial"/>
          <w:b/>
          <w:bCs/>
          <w:i w:val="0"/>
          <w:iCs w:val="0"/>
          <w:color w:val="000000" w:themeColor="text1"/>
          <w:sz w:val="16"/>
          <w:szCs w:val="16"/>
        </w:rPr>
      </w:pPr>
    </w:p>
    <w:p w14:paraId="0760CBBA" w14:textId="6ECC8B0A" w:rsidR="00AA6160" w:rsidRPr="00B31CA9" w:rsidRDefault="00912343" w:rsidP="00B87D90">
      <w:pPr>
        <w:pStyle w:val="Descripcin"/>
        <w:jc w:val="center"/>
        <w:rPr>
          <w:rFonts w:ascii="Arial" w:hAnsi="Arial" w:cs="Arial"/>
          <w:b/>
          <w:bCs/>
          <w:i w:val="0"/>
          <w:iCs w:val="0"/>
        </w:rPr>
      </w:pPr>
      <w:bookmarkStart w:id="27" w:name="_Toc88655309"/>
      <w:bookmarkStart w:id="28" w:name="_Toc88656930"/>
      <w:bookmarkStart w:id="29" w:name="_Toc88677160"/>
      <w:r w:rsidRPr="00B22252">
        <w:rPr>
          <w:noProof/>
          <w:lang w:eastAsia="es-CO"/>
        </w:rPr>
        <w:drawing>
          <wp:anchor distT="0" distB="0" distL="114300" distR="114300" simplePos="0" relativeHeight="251658272" behindDoc="0" locked="0" layoutInCell="1" allowOverlap="1" wp14:anchorId="7C14D286" wp14:editId="3B63BEF8">
            <wp:simplePos x="0" y="0"/>
            <wp:positionH relativeFrom="margin">
              <wp:posOffset>1023620</wp:posOffset>
            </wp:positionH>
            <wp:positionV relativeFrom="paragraph">
              <wp:posOffset>180340</wp:posOffset>
            </wp:positionV>
            <wp:extent cx="3954145" cy="2111375"/>
            <wp:effectExtent l="0" t="0" r="8255" b="3175"/>
            <wp:wrapSquare wrapText="bothSides"/>
            <wp:docPr id="1793703123" name="Imagen 1793703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954145" cy="2111375"/>
                    </a:xfrm>
                    <a:prstGeom prst="rect">
                      <a:avLst/>
                    </a:prstGeom>
                    <a:noFill/>
                    <a:ln>
                      <a:noFill/>
                    </a:ln>
                  </pic:spPr>
                </pic:pic>
              </a:graphicData>
            </a:graphic>
            <wp14:sizeRelH relativeFrom="page">
              <wp14:pctWidth>0</wp14:pctWidth>
            </wp14:sizeRelH>
            <wp14:sizeRelV relativeFrom="page">
              <wp14:pctHeight>0</wp14:pctHeight>
            </wp14:sizeRelV>
          </wp:anchor>
        </w:drawing>
      </w:r>
      <w:r w:rsidR="00B31CA9" w:rsidRPr="00B31CA9">
        <w:rPr>
          <w:rFonts w:ascii="Arial" w:hAnsi="Arial" w:cs="Arial"/>
          <w:b/>
          <w:bCs/>
          <w:i w:val="0"/>
          <w:iCs w:val="0"/>
          <w:color w:val="000000" w:themeColor="text1"/>
          <w:sz w:val="16"/>
          <w:szCs w:val="16"/>
        </w:rPr>
        <w:t xml:space="preserve">Ilustración </w:t>
      </w:r>
      <w:r w:rsidR="00B31CA9" w:rsidRPr="00B31CA9">
        <w:rPr>
          <w:rFonts w:ascii="Arial" w:hAnsi="Arial" w:cs="Arial"/>
          <w:b/>
          <w:bCs/>
          <w:i w:val="0"/>
          <w:iCs w:val="0"/>
          <w:color w:val="000000" w:themeColor="text1"/>
          <w:sz w:val="16"/>
          <w:szCs w:val="16"/>
        </w:rPr>
        <w:fldChar w:fldCharType="begin"/>
      </w:r>
      <w:r w:rsidR="00B31CA9" w:rsidRPr="00B31CA9">
        <w:rPr>
          <w:rFonts w:ascii="Arial" w:hAnsi="Arial" w:cs="Arial"/>
          <w:b/>
          <w:bCs/>
          <w:i w:val="0"/>
          <w:iCs w:val="0"/>
          <w:color w:val="000000" w:themeColor="text1"/>
          <w:sz w:val="16"/>
          <w:szCs w:val="16"/>
        </w:rPr>
        <w:instrText xml:space="preserve"> SEQ Ilustración \* ARABIC </w:instrText>
      </w:r>
      <w:r w:rsidR="00B31CA9" w:rsidRPr="00B31CA9">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4</w:t>
      </w:r>
      <w:r w:rsidR="00B31CA9" w:rsidRPr="00B31CA9">
        <w:rPr>
          <w:rFonts w:ascii="Arial" w:hAnsi="Arial" w:cs="Arial"/>
          <w:b/>
          <w:bCs/>
          <w:i w:val="0"/>
          <w:iCs w:val="0"/>
          <w:color w:val="000000" w:themeColor="text1"/>
          <w:sz w:val="16"/>
          <w:szCs w:val="16"/>
        </w:rPr>
        <w:fldChar w:fldCharType="end"/>
      </w:r>
      <w:r w:rsidR="00B31CA9" w:rsidRPr="00B31CA9">
        <w:rPr>
          <w:rFonts w:ascii="Arial" w:hAnsi="Arial" w:cs="Arial"/>
          <w:b/>
          <w:bCs/>
          <w:i w:val="0"/>
          <w:iCs w:val="0"/>
          <w:color w:val="000000" w:themeColor="text1"/>
          <w:sz w:val="16"/>
          <w:szCs w:val="16"/>
        </w:rPr>
        <w:t xml:space="preserve">. </w:t>
      </w:r>
      <w:r w:rsidR="00B008FB" w:rsidRPr="00B31CA9">
        <w:rPr>
          <w:rFonts w:ascii="Arial" w:hAnsi="Arial" w:cs="Arial"/>
          <w:b/>
          <w:bCs/>
          <w:i w:val="0"/>
          <w:iCs w:val="0"/>
          <w:color w:val="000000" w:themeColor="text1"/>
          <w:sz w:val="16"/>
          <w:szCs w:val="16"/>
        </w:rPr>
        <w:t>Comparativa</w:t>
      </w:r>
      <w:r w:rsidR="00B31CA9" w:rsidRPr="00B31CA9">
        <w:rPr>
          <w:rFonts w:ascii="Arial" w:hAnsi="Arial" w:cs="Arial"/>
          <w:b/>
          <w:bCs/>
          <w:i w:val="0"/>
          <w:iCs w:val="0"/>
          <w:color w:val="000000" w:themeColor="text1"/>
          <w:sz w:val="16"/>
          <w:szCs w:val="16"/>
        </w:rPr>
        <w:t xml:space="preserve"> actualización catastral nacional 2015-2020</w:t>
      </w:r>
      <w:bookmarkEnd w:id="27"/>
      <w:bookmarkEnd w:id="28"/>
      <w:bookmarkEnd w:id="29"/>
    </w:p>
    <w:p w14:paraId="3B604B83" w14:textId="755BEEDF" w:rsidR="00D4668E" w:rsidRDefault="00D4668E" w:rsidP="00B008FB">
      <w:pPr>
        <w:jc w:val="center"/>
        <w:rPr>
          <w:lang w:val="es-CO" w:eastAsia="es-ES_tradnl"/>
        </w:rPr>
      </w:pPr>
    </w:p>
    <w:p w14:paraId="3E805227" w14:textId="77777777" w:rsidR="00524C66" w:rsidRDefault="00524C66" w:rsidP="00B87D90">
      <w:pPr>
        <w:spacing w:line="276" w:lineRule="auto"/>
        <w:ind w:left="2832" w:firstLine="708"/>
        <w:rPr>
          <w:rFonts w:eastAsia="Arial" w:cs="Arial"/>
          <w:b/>
          <w:bCs/>
          <w:sz w:val="16"/>
          <w:szCs w:val="16"/>
          <w:lang w:val="es-CO"/>
        </w:rPr>
      </w:pPr>
    </w:p>
    <w:p w14:paraId="2C16AF88" w14:textId="77777777" w:rsidR="00524C66" w:rsidRDefault="00524C66" w:rsidP="00B87D90">
      <w:pPr>
        <w:spacing w:line="276" w:lineRule="auto"/>
        <w:ind w:left="2832" w:firstLine="708"/>
        <w:rPr>
          <w:rFonts w:eastAsia="Arial" w:cs="Arial"/>
          <w:b/>
          <w:bCs/>
          <w:sz w:val="16"/>
          <w:szCs w:val="16"/>
          <w:lang w:val="es-CO"/>
        </w:rPr>
      </w:pPr>
    </w:p>
    <w:p w14:paraId="05DDB264" w14:textId="77777777" w:rsidR="00524C66" w:rsidRDefault="00524C66" w:rsidP="00B87D90">
      <w:pPr>
        <w:spacing w:line="276" w:lineRule="auto"/>
        <w:ind w:left="2832" w:firstLine="708"/>
        <w:rPr>
          <w:rFonts w:eastAsia="Arial" w:cs="Arial"/>
          <w:b/>
          <w:bCs/>
          <w:sz w:val="16"/>
          <w:szCs w:val="16"/>
          <w:lang w:val="es-CO"/>
        </w:rPr>
      </w:pPr>
    </w:p>
    <w:p w14:paraId="6F5E96C2" w14:textId="77777777" w:rsidR="00524C66" w:rsidRDefault="00524C66" w:rsidP="00B87D90">
      <w:pPr>
        <w:spacing w:line="276" w:lineRule="auto"/>
        <w:ind w:left="2832" w:firstLine="708"/>
        <w:rPr>
          <w:rFonts w:eastAsia="Arial" w:cs="Arial"/>
          <w:b/>
          <w:bCs/>
          <w:sz w:val="16"/>
          <w:szCs w:val="16"/>
          <w:lang w:val="es-CO"/>
        </w:rPr>
      </w:pPr>
    </w:p>
    <w:p w14:paraId="3B694D5A" w14:textId="77777777" w:rsidR="00524C66" w:rsidRDefault="00524C66" w:rsidP="00B87D90">
      <w:pPr>
        <w:spacing w:line="276" w:lineRule="auto"/>
        <w:ind w:left="2832" w:firstLine="708"/>
        <w:rPr>
          <w:rFonts w:eastAsia="Arial" w:cs="Arial"/>
          <w:b/>
          <w:bCs/>
          <w:sz w:val="16"/>
          <w:szCs w:val="16"/>
          <w:lang w:val="es-CO"/>
        </w:rPr>
      </w:pPr>
    </w:p>
    <w:p w14:paraId="32A15A25" w14:textId="77777777" w:rsidR="00524C66" w:rsidRDefault="00524C66" w:rsidP="00B87D90">
      <w:pPr>
        <w:spacing w:line="276" w:lineRule="auto"/>
        <w:ind w:left="2832" w:firstLine="708"/>
        <w:rPr>
          <w:rFonts w:eastAsia="Arial" w:cs="Arial"/>
          <w:b/>
          <w:bCs/>
          <w:sz w:val="16"/>
          <w:szCs w:val="16"/>
          <w:lang w:val="es-CO"/>
        </w:rPr>
      </w:pPr>
    </w:p>
    <w:p w14:paraId="4DB07C5B" w14:textId="77777777" w:rsidR="00524C66" w:rsidRDefault="00524C66" w:rsidP="00B87D90">
      <w:pPr>
        <w:spacing w:line="276" w:lineRule="auto"/>
        <w:ind w:left="2832" w:firstLine="708"/>
        <w:rPr>
          <w:rFonts w:eastAsia="Arial" w:cs="Arial"/>
          <w:b/>
          <w:bCs/>
          <w:sz w:val="16"/>
          <w:szCs w:val="16"/>
          <w:lang w:val="es-CO"/>
        </w:rPr>
      </w:pPr>
    </w:p>
    <w:p w14:paraId="561FA1D3" w14:textId="77777777" w:rsidR="00524C66" w:rsidRDefault="00524C66" w:rsidP="00B87D90">
      <w:pPr>
        <w:spacing w:line="276" w:lineRule="auto"/>
        <w:ind w:left="2832" w:firstLine="708"/>
        <w:rPr>
          <w:rFonts w:eastAsia="Arial" w:cs="Arial"/>
          <w:b/>
          <w:bCs/>
          <w:sz w:val="16"/>
          <w:szCs w:val="16"/>
          <w:lang w:val="es-CO"/>
        </w:rPr>
      </w:pPr>
    </w:p>
    <w:p w14:paraId="7C35CE94" w14:textId="77777777" w:rsidR="00524C66" w:rsidRDefault="00524C66" w:rsidP="00B87D90">
      <w:pPr>
        <w:spacing w:line="276" w:lineRule="auto"/>
        <w:ind w:left="2832" w:firstLine="708"/>
        <w:rPr>
          <w:rFonts w:eastAsia="Arial" w:cs="Arial"/>
          <w:b/>
          <w:bCs/>
          <w:sz w:val="16"/>
          <w:szCs w:val="16"/>
          <w:lang w:val="es-CO"/>
        </w:rPr>
      </w:pPr>
    </w:p>
    <w:p w14:paraId="7EE1F7B5" w14:textId="77777777" w:rsidR="00524C66" w:rsidRDefault="00524C66" w:rsidP="00B87D90">
      <w:pPr>
        <w:spacing w:line="276" w:lineRule="auto"/>
        <w:ind w:left="2832" w:firstLine="708"/>
        <w:rPr>
          <w:rFonts w:eastAsia="Arial" w:cs="Arial"/>
          <w:b/>
          <w:bCs/>
          <w:sz w:val="16"/>
          <w:szCs w:val="16"/>
          <w:lang w:val="es-CO"/>
        </w:rPr>
      </w:pPr>
    </w:p>
    <w:p w14:paraId="67406184" w14:textId="77777777" w:rsidR="00524C66" w:rsidRDefault="00524C66" w:rsidP="00B87D90">
      <w:pPr>
        <w:spacing w:line="276" w:lineRule="auto"/>
        <w:ind w:left="2832" w:firstLine="708"/>
        <w:rPr>
          <w:rFonts w:eastAsia="Arial" w:cs="Arial"/>
          <w:b/>
          <w:bCs/>
          <w:sz w:val="16"/>
          <w:szCs w:val="16"/>
          <w:lang w:val="es-CO"/>
        </w:rPr>
      </w:pPr>
    </w:p>
    <w:p w14:paraId="17ED1CAA" w14:textId="77777777" w:rsidR="00524C66" w:rsidRDefault="00524C66" w:rsidP="00B87D90">
      <w:pPr>
        <w:spacing w:line="276" w:lineRule="auto"/>
        <w:ind w:left="2832" w:firstLine="708"/>
        <w:rPr>
          <w:rFonts w:eastAsia="Arial" w:cs="Arial"/>
          <w:b/>
          <w:bCs/>
          <w:sz w:val="16"/>
          <w:szCs w:val="16"/>
          <w:lang w:val="es-CO"/>
        </w:rPr>
      </w:pPr>
    </w:p>
    <w:p w14:paraId="0C1AC5DE" w14:textId="77777777" w:rsidR="00524C66" w:rsidRDefault="00524C66" w:rsidP="00B87D90">
      <w:pPr>
        <w:spacing w:line="276" w:lineRule="auto"/>
        <w:ind w:left="2832" w:firstLine="708"/>
        <w:rPr>
          <w:rFonts w:eastAsia="Arial" w:cs="Arial"/>
          <w:b/>
          <w:bCs/>
          <w:sz w:val="16"/>
          <w:szCs w:val="16"/>
          <w:lang w:val="es-CO"/>
        </w:rPr>
      </w:pPr>
    </w:p>
    <w:p w14:paraId="51FA448B" w14:textId="77777777" w:rsidR="00524C66" w:rsidRDefault="00524C66" w:rsidP="00B87D90">
      <w:pPr>
        <w:spacing w:line="276" w:lineRule="auto"/>
        <w:ind w:left="2832" w:firstLine="708"/>
        <w:rPr>
          <w:rFonts w:eastAsia="Arial" w:cs="Arial"/>
          <w:b/>
          <w:bCs/>
          <w:sz w:val="16"/>
          <w:szCs w:val="16"/>
          <w:lang w:val="es-CO"/>
        </w:rPr>
      </w:pPr>
    </w:p>
    <w:p w14:paraId="541618CF" w14:textId="77777777" w:rsidR="00B87D90" w:rsidRPr="00312935" w:rsidRDefault="00B87D90" w:rsidP="00B87D90">
      <w:pPr>
        <w:spacing w:line="276" w:lineRule="auto"/>
        <w:ind w:left="2832" w:firstLine="708"/>
        <w:rPr>
          <w:rFonts w:eastAsia="Arial" w:cs="Arial"/>
          <w:b/>
          <w:bCs/>
          <w:sz w:val="16"/>
          <w:szCs w:val="16"/>
          <w:lang w:val="es-CO"/>
        </w:rPr>
      </w:pPr>
      <w:r w:rsidRPr="00312935">
        <w:rPr>
          <w:rFonts w:eastAsia="Arial" w:cs="Arial"/>
          <w:b/>
          <w:bCs/>
          <w:sz w:val="16"/>
          <w:szCs w:val="16"/>
          <w:lang w:val="es-CO"/>
        </w:rPr>
        <w:t>Fuente:  Dirección de Gestión Catastral</w:t>
      </w:r>
    </w:p>
    <w:p w14:paraId="6EC29024" w14:textId="77777777" w:rsidR="00B87D90" w:rsidRDefault="00B87D90" w:rsidP="00B87D90">
      <w:pPr>
        <w:spacing w:line="276" w:lineRule="auto"/>
        <w:ind w:left="2832" w:firstLine="708"/>
        <w:rPr>
          <w:rFonts w:eastAsia="Arial" w:cs="Arial"/>
          <w:sz w:val="22"/>
          <w:szCs w:val="22"/>
          <w:lang w:val="es-CO"/>
        </w:rPr>
      </w:pPr>
    </w:p>
    <w:p w14:paraId="3920B834" w14:textId="77777777" w:rsidR="00B87D90" w:rsidRPr="004C6640" w:rsidRDefault="00B87D90" w:rsidP="00524C66">
      <w:pPr>
        <w:jc w:val="both"/>
        <w:rPr>
          <w:rFonts w:cs="Arial"/>
          <w:sz w:val="22"/>
          <w:szCs w:val="22"/>
          <w:lang w:val="es-CO"/>
        </w:rPr>
      </w:pPr>
      <w:r w:rsidRPr="004C6640">
        <w:rPr>
          <w:rFonts w:cs="Arial"/>
          <w:sz w:val="22"/>
          <w:szCs w:val="22"/>
          <w:lang w:val="es-CO"/>
        </w:rPr>
        <w:t>El dato del área actualizada a 1 de enero de 2022 se obtendrá luego de finalizadas las actividades de conservación catastral de los corrientes y que entren en vigencia los procesos de actualización catastral con enfoque multipropósito, datos que serán reportados por el IGAC y los gestores catastrales.</w:t>
      </w:r>
    </w:p>
    <w:p w14:paraId="374777EF" w14:textId="77777777" w:rsidR="00B87D90" w:rsidRPr="009318A4" w:rsidRDefault="00B87D90" w:rsidP="00524C66">
      <w:pPr>
        <w:jc w:val="both"/>
        <w:rPr>
          <w:rFonts w:cs="Arial"/>
          <w:sz w:val="22"/>
          <w:szCs w:val="22"/>
        </w:rPr>
      </w:pPr>
    </w:p>
    <w:p w14:paraId="4BD0EBE2" w14:textId="77777777" w:rsidR="00B87D90" w:rsidRPr="004C6640" w:rsidRDefault="00B87D90" w:rsidP="00B87D90">
      <w:pPr>
        <w:jc w:val="both"/>
        <w:rPr>
          <w:rFonts w:cs="Arial"/>
          <w:sz w:val="22"/>
          <w:szCs w:val="22"/>
          <w:lang w:eastAsia="es-CO"/>
        </w:rPr>
      </w:pPr>
      <w:r w:rsidRPr="004C6640">
        <w:rPr>
          <w:rFonts w:cs="Arial"/>
          <w:sz w:val="22"/>
          <w:szCs w:val="22"/>
        </w:rPr>
        <w:t>A octubre de 2021 se vienen adelantando 18 procesos de actualización catastral con enfoque multipropósito. E</w:t>
      </w:r>
      <w:r w:rsidRPr="004C6640">
        <w:rPr>
          <w:rFonts w:cs="Arial"/>
          <w:sz w:val="22"/>
          <w:szCs w:val="22"/>
          <w:lang w:eastAsia="es-CO"/>
        </w:rPr>
        <w:t>l reporte oficial de las áreas intervenidas se presentará el 1 de enero de 2022 cuando entren en vigencia los procesos a continuación señalados</w:t>
      </w:r>
      <w:r w:rsidRPr="004C6640">
        <w:rPr>
          <w:rFonts w:cs="Arial"/>
          <w:sz w:val="22"/>
          <w:szCs w:val="22"/>
        </w:rPr>
        <w:t>:</w:t>
      </w:r>
    </w:p>
    <w:p w14:paraId="28F611B3" w14:textId="77777777" w:rsidR="00B87D90" w:rsidRPr="00704957" w:rsidRDefault="00B87D90" w:rsidP="00B87D90">
      <w:pPr>
        <w:spacing w:line="256" w:lineRule="auto"/>
        <w:jc w:val="both"/>
        <w:rPr>
          <w:rFonts w:cs="Arial"/>
        </w:rPr>
      </w:pPr>
    </w:p>
    <w:p w14:paraId="37EB9BBE" w14:textId="0376001A" w:rsidR="00EE40F6" w:rsidRPr="007E4498" w:rsidRDefault="00E70AEE" w:rsidP="007E4498">
      <w:pPr>
        <w:pStyle w:val="Descripcin"/>
        <w:jc w:val="center"/>
        <w:rPr>
          <w:rFonts w:ascii="Arial" w:hAnsi="Arial" w:cs="Arial"/>
          <w:b/>
          <w:i w:val="0"/>
          <w:color w:val="000000" w:themeColor="text1"/>
          <w:sz w:val="16"/>
          <w:szCs w:val="16"/>
        </w:rPr>
      </w:pPr>
      <w:bookmarkStart w:id="30" w:name="_Toc88677080"/>
      <w:r w:rsidRPr="00E70AEE">
        <w:rPr>
          <w:rFonts w:ascii="Arial" w:hAnsi="Arial" w:cs="Arial"/>
          <w:b/>
          <w:bCs/>
          <w:i w:val="0"/>
          <w:iCs w:val="0"/>
          <w:color w:val="000000" w:themeColor="text1"/>
          <w:sz w:val="16"/>
          <w:szCs w:val="16"/>
        </w:rPr>
        <w:t xml:space="preserve">Tabla </w:t>
      </w:r>
      <w:r w:rsidRPr="00E70AEE">
        <w:rPr>
          <w:rFonts w:ascii="Arial" w:hAnsi="Arial" w:cs="Arial"/>
          <w:b/>
          <w:bCs/>
          <w:i w:val="0"/>
          <w:iCs w:val="0"/>
          <w:color w:val="000000" w:themeColor="text1"/>
          <w:sz w:val="16"/>
          <w:szCs w:val="16"/>
        </w:rPr>
        <w:fldChar w:fldCharType="begin"/>
      </w:r>
      <w:r w:rsidRPr="00E70AEE">
        <w:rPr>
          <w:rFonts w:ascii="Arial" w:hAnsi="Arial" w:cs="Arial"/>
          <w:b/>
          <w:bCs/>
          <w:i w:val="0"/>
          <w:iCs w:val="0"/>
          <w:color w:val="000000" w:themeColor="text1"/>
          <w:sz w:val="16"/>
          <w:szCs w:val="16"/>
        </w:rPr>
        <w:instrText xml:space="preserve"> SEQ Tabla \* ARABIC </w:instrText>
      </w:r>
      <w:r w:rsidRPr="00E70AEE">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8</w:t>
      </w:r>
      <w:r w:rsidRPr="00E70AEE">
        <w:rPr>
          <w:rFonts w:ascii="Arial" w:hAnsi="Arial" w:cs="Arial"/>
          <w:b/>
          <w:bCs/>
          <w:i w:val="0"/>
          <w:iCs w:val="0"/>
          <w:color w:val="000000" w:themeColor="text1"/>
          <w:sz w:val="16"/>
          <w:szCs w:val="16"/>
        </w:rPr>
        <w:fldChar w:fldCharType="end"/>
      </w:r>
      <w:r w:rsidRPr="00E70AEE">
        <w:rPr>
          <w:rFonts w:ascii="Arial" w:hAnsi="Arial" w:cs="Arial"/>
          <w:b/>
          <w:bCs/>
          <w:i w:val="0"/>
          <w:iCs w:val="0"/>
          <w:color w:val="000000" w:themeColor="text1"/>
          <w:sz w:val="16"/>
          <w:szCs w:val="16"/>
        </w:rPr>
        <w:t>. Municipios intervenidos vigencia 2021</w:t>
      </w:r>
      <w:bookmarkEnd w:id="30"/>
    </w:p>
    <w:tbl>
      <w:tblPr>
        <w:tblStyle w:val="Tabladecuadrcula4-nfasis1"/>
        <w:tblpPr w:leftFromText="141" w:rightFromText="141" w:vertAnchor="text" w:horzAnchor="page" w:tblpXSpec="center" w:tblpY="126"/>
        <w:tblW w:w="5660" w:type="dxa"/>
        <w:tblLook w:val="04A0" w:firstRow="1" w:lastRow="0" w:firstColumn="1" w:lastColumn="0" w:noHBand="0" w:noVBand="1"/>
      </w:tblPr>
      <w:tblGrid>
        <w:gridCol w:w="1620"/>
        <w:gridCol w:w="1580"/>
        <w:gridCol w:w="2460"/>
      </w:tblGrid>
      <w:tr w:rsidR="00EE40F6" w:rsidRPr="004C6640" w14:paraId="1A5D349B" w14:textId="77777777" w:rsidTr="00912343">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64C29ECA" w14:textId="77777777" w:rsidR="00EE40F6" w:rsidRPr="00702057" w:rsidRDefault="00EE40F6" w:rsidP="00A6302C">
            <w:pPr>
              <w:suppressAutoHyphens w:val="0"/>
              <w:jc w:val="center"/>
              <w:rPr>
                <w:rFonts w:cs="Arial"/>
                <w:b w:val="0"/>
                <w:bCs w:val="0"/>
                <w:sz w:val="20"/>
                <w:szCs w:val="20"/>
                <w:lang w:val="es-CO" w:eastAsia="es-CO"/>
              </w:rPr>
            </w:pPr>
            <w:r w:rsidRPr="00702057">
              <w:rPr>
                <w:rFonts w:cs="Arial"/>
                <w:sz w:val="20"/>
                <w:szCs w:val="20"/>
                <w:lang w:eastAsia="es-CO"/>
              </w:rPr>
              <w:t>Departamento</w:t>
            </w:r>
          </w:p>
        </w:tc>
        <w:tc>
          <w:tcPr>
            <w:tcW w:w="1580" w:type="dxa"/>
            <w:hideMark/>
          </w:tcPr>
          <w:p w14:paraId="19529243" w14:textId="77777777" w:rsidR="00EE40F6" w:rsidRPr="00702057" w:rsidRDefault="00EE40F6"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eastAsia="es-CO"/>
              </w:rPr>
            </w:pPr>
            <w:r w:rsidRPr="00702057">
              <w:rPr>
                <w:rFonts w:cs="Arial"/>
                <w:sz w:val="20"/>
                <w:szCs w:val="20"/>
                <w:lang w:eastAsia="es-CO"/>
              </w:rPr>
              <w:t>Municipio</w:t>
            </w:r>
          </w:p>
        </w:tc>
        <w:tc>
          <w:tcPr>
            <w:tcW w:w="2460" w:type="dxa"/>
            <w:hideMark/>
          </w:tcPr>
          <w:p w14:paraId="0FC1D6E1" w14:textId="77777777" w:rsidR="00EE40F6" w:rsidRPr="00702057" w:rsidRDefault="00EE40F6"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eastAsia="es-CO"/>
              </w:rPr>
            </w:pPr>
            <w:r w:rsidRPr="00702057">
              <w:rPr>
                <w:rFonts w:cs="Arial"/>
                <w:sz w:val="20"/>
                <w:szCs w:val="20"/>
                <w:lang w:eastAsia="es-CO"/>
              </w:rPr>
              <w:t>Zona</w:t>
            </w:r>
          </w:p>
        </w:tc>
      </w:tr>
      <w:tr w:rsidR="00EE40F6" w:rsidRPr="004C6640" w14:paraId="7BD7F5AF" w14:textId="77777777" w:rsidTr="0091234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04B7E100"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t>Boyacá</w:t>
            </w:r>
          </w:p>
        </w:tc>
        <w:tc>
          <w:tcPr>
            <w:tcW w:w="1580" w:type="dxa"/>
            <w:hideMark/>
          </w:tcPr>
          <w:p w14:paraId="1D3F6371"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Tasco</w:t>
            </w:r>
          </w:p>
        </w:tc>
        <w:tc>
          <w:tcPr>
            <w:tcW w:w="2460" w:type="dxa"/>
            <w:hideMark/>
          </w:tcPr>
          <w:p w14:paraId="23D6A07F"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Urbano-Rural</w:t>
            </w:r>
          </w:p>
        </w:tc>
      </w:tr>
      <w:tr w:rsidR="00EE40F6" w:rsidRPr="004C6640" w14:paraId="6E3C5D10" w14:textId="77777777" w:rsidTr="00912343">
        <w:trPr>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26F93AB4"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t>Boyacá</w:t>
            </w:r>
          </w:p>
        </w:tc>
        <w:tc>
          <w:tcPr>
            <w:tcW w:w="1580" w:type="dxa"/>
            <w:hideMark/>
          </w:tcPr>
          <w:p w14:paraId="424DD63F"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Sativasur</w:t>
            </w:r>
          </w:p>
        </w:tc>
        <w:tc>
          <w:tcPr>
            <w:tcW w:w="2460" w:type="dxa"/>
            <w:hideMark/>
          </w:tcPr>
          <w:p w14:paraId="3F20F3F9"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Urbano-Rural</w:t>
            </w:r>
          </w:p>
        </w:tc>
      </w:tr>
      <w:tr w:rsidR="00EE40F6" w:rsidRPr="004C6640" w14:paraId="631F3C1D" w14:textId="77777777" w:rsidTr="0091234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1CCB2534"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t>Boyacá</w:t>
            </w:r>
          </w:p>
        </w:tc>
        <w:tc>
          <w:tcPr>
            <w:tcW w:w="1580" w:type="dxa"/>
            <w:hideMark/>
          </w:tcPr>
          <w:p w14:paraId="385EEF11"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Socotá</w:t>
            </w:r>
          </w:p>
        </w:tc>
        <w:tc>
          <w:tcPr>
            <w:tcW w:w="2460" w:type="dxa"/>
            <w:hideMark/>
          </w:tcPr>
          <w:p w14:paraId="2D063B57"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Urbano-Rural</w:t>
            </w:r>
          </w:p>
        </w:tc>
      </w:tr>
      <w:tr w:rsidR="00EE40F6" w:rsidRPr="004C6640" w14:paraId="2717C7CF" w14:textId="77777777" w:rsidTr="00912343">
        <w:trPr>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405217A0"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t>Cundinamarca</w:t>
            </w:r>
          </w:p>
        </w:tc>
        <w:tc>
          <w:tcPr>
            <w:tcW w:w="1580" w:type="dxa"/>
            <w:hideMark/>
          </w:tcPr>
          <w:p w14:paraId="28612EF7"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Ricaurte</w:t>
            </w:r>
          </w:p>
        </w:tc>
        <w:tc>
          <w:tcPr>
            <w:tcW w:w="2460" w:type="dxa"/>
            <w:hideMark/>
          </w:tcPr>
          <w:p w14:paraId="33538B67"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w:t>
            </w:r>
          </w:p>
        </w:tc>
      </w:tr>
      <w:tr w:rsidR="00EE40F6" w:rsidRPr="004C6640" w14:paraId="4DCC4E5E" w14:textId="77777777" w:rsidTr="0091234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56591E6C"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lastRenderedPageBreak/>
              <w:t>Cundinamarca</w:t>
            </w:r>
          </w:p>
        </w:tc>
        <w:tc>
          <w:tcPr>
            <w:tcW w:w="1580" w:type="dxa"/>
            <w:hideMark/>
          </w:tcPr>
          <w:p w14:paraId="33F1075A"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themeColor="text1"/>
                <w:sz w:val="20"/>
                <w:szCs w:val="20"/>
                <w:lang w:val="es-CO" w:eastAsia="es-CO"/>
              </w:rPr>
              <w:t>Gachancipá</w:t>
            </w:r>
          </w:p>
        </w:tc>
        <w:tc>
          <w:tcPr>
            <w:tcW w:w="2460" w:type="dxa"/>
            <w:hideMark/>
          </w:tcPr>
          <w:p w14:paraId="40B3D3AC"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Rural</w:t>
            </w:r>
          </w:p>
        </w:tc>
      </w:tr>
      <w:tr w:rsidR="00EE40F6" w:rsidRPr="004C6640" w14:paraId="1FBC0326" w14:textId="77777777" w:rsidTr="00912343">
        <w:trPr>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31E740AB"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themeColor="text1"/>
                <w:sz w:val="20"/>
                <w:szCs w:val="20"/>
                <w:lang w:val="es-CO" w:eastAsia="es-CO"/>
              </w:rPr>
              <w:t>Córdoba</w:t>
            </w:r>
          </w:p>
        </w:tc>
        <w:tc>
          <w:tcPr>
            <w:tcW w:w="1580" w:type="dxa"/>
            <w:hideMark/>
          </w:tcPr>
          <w:p w14:paraId="0FA8B5C4"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San Carlos</w:t>
            </w:r>
          </w:p>
        </w:tc>
        <w:tc>
          <w:tcPr>
            <w:tcW w:w="2460" w:type="dxa"/>
            <w:hideMark/>
          </w:tcPr>
          <w:p w14:paraId="5651EB48"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 Rural</w:t>
            </w:r>
          </w:p>
        </w:tc>
      </w:tr>
      <w:tr w:rsidR="00EE40F6" w:rsidRPr="004C6640" w14:paraId="02A908A0" w14:textId="77777777" w:rsidTr="0091234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0AD1820E"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themeColor="text1"/>
                <w:sz w:val="20"/>
                <w:szCs w:val="20"/>
                <w:lang w:val="es-CO" w:eastAsia="es-CO"/>
              </w:rPr>
              <w:t>Quindío</w:t>
            </w:r>
          </w:p>
        </w:tc>
        <w:tc>
          <w:tcPr>
            <w:tcW w:w="1580" w:type="dxa"/>
            <w:hideMark/>
          </w:tcPr>
          <w:p w14:paraId="2276FDDF"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La Tebaida</w:t>
            </w:r>
          </w:p>
        </w:tc>
        <w:tc>
          <w:tcPr>
            <w:tcW w:w="2460" w:type="dxa"/>
            <w:hideMark/>
          </w:tcPr>
          <w:p w14:paraId="49F622FC" w14:textId="77777777" w:rsidR="00EE40F6" w:rsidRPr="004C6640" w:rsidRDefault="00EE40F6"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4C6640">
              <w:rPr>
                <w:rFonts w:cs="Arial"/>
                <w:color w:val="000000"/>
                <w:sz w:val="20"/>
                <w:szCs w:val="20"/>
                <w:lang w:val="es-CO" w:eastAsia="es-CO"/>
              </w:rPr>
              <w:t>Urbano</w:t>
            </w:r>
          </w:p>
        </w:tc>
      </w:tr>
      <w:tr w:rsidR="00EE40F6" w:rsidRPr="004C6640" w14:paraId="25A312B1" w14:textId="77777777" w:rsidTr="00912343">
        <w:trPr>
          <w:trHeight w:val="315"/>
        </w:trPr>
        <w:tc>
          <w:tcPr>
            <w:cnfStyle w:val="001000000000" w:firstRow="0" w:lastRow="0" w:firstColumn="1" w:lastColumn="0" w:oddVBand="0" w:evenVBand="0" w:oddHBand="0" w:evenHBand="0" w:firstRowFirstColumn="0" w:firstRowLastColumn="0" w:lastRowFirstColumn="0" w:lastRowLastColumn="0"/>
            <w:tcW w:w="1620" w:type="dxa"/>
            <w:hideMark/>
          </w:tcPr>
          <w:p w14:paraId="29BC84E5" w14:textId="77777777" w:rsidR="00EE40F6" w:rsidRPr="004C6640" w:rsidRDefault="00EE40F6" w:rsidP="00A6302C">
            <w:pPr>
              <w:suppressAutoHyphens w:val="0"/>
              <w:jc w:val="center"/>
              <w:rPr>
                <w:rFonts w:cs="Arial"/>
                <w:color w:val="000000"/>
                <w:sz w:val="20"/>
                <w:szCs w:val="20"/>
                <w:lang w:val="es-CO" w:eastAsia="es-CO"/>
              </w:rPr>
            </w:pPr>
            <w:r w:rsidRPr="004C6640">
              <w:rPr>
                <w:rFonts w:cs="Arial"/>
                <w:color w:val="000000"/>
                <w:sz w:val="20"/>
                <w:szCs w:val="20"/>
                <w:lang w:val="es-CO" w:eastAsia="es-CO"/>
              </w:rPr>
              <w:t>Tolima</w:t>
            </w:r>
          </w:p>
        </w:tc>
        <w:tc>
          <w:tcPr>
            <w:tcW w:w="1580" w:type="dxa"/>
            <w:hideMark/>
          </w:tcPr>
          <w:p w14:paraId="40430376"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themeColor="text1"/>
                <w:sz w:val="20"/>
                <w:szCs w:val="20"/>
                <w:lang w:val="es-CO" w:eastAsia="es-CO"/>
              </w:rPr>
              <w:t>Villarrica</w:t>
            </w:r>
          </w:p>
        </w:tc>
        <w:tc>
          <w:tcPr>
            <w:tcW w:w="2460" w:type="dxa"/>
            <w:hideMark/>
          </w:tcPr>
          <w:p w14:paraId="65E88E2C" w14:textId="77777777" w:rsidR="00EE40F6" w:rsidRPr="004C6640" w:rsidRDefault="00EE40F6"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4C6640">
              <w:rPr>
                <w:rFonts w:cs="Arial"/>
                <w:color w:val="000000" w:themeColor="text1"/>
                <w:sz w:val="20"/>
                <w:szCs w:val="20"/>
                <w:lang w:val="es-CO" w:eastAsia="es-CO"/>
              </w:rPr>
              <w:t>Urbano</w:t>
            </w:r>
          </w:p>
        </w:tc>
      </w:tr>
    </w:tbl>
    <w:p w14:paraId="7C10C892" w14:textId="77777777" w:rsidR="00EE40F6" w:rsidRDefault="00EE40F6" w:rsidP="004C5D32">
      <w:pPr>
        <w:pStyle w:val="Sinespaciado"/>
      </w:pPr>
    </w:p>
    <w:p w14:paraId="2AEB72B1" w14:textId="77777777" w:rsidR="00EE40F6" w:rsidRDefault="00EE40F6" w:rsidP="00EE40F6">
      <w:pPr>
        <w:spacing w:line="276" w:lineRule="auto"/>
        <w:jc w:val="both"/>
        <w:rPr>
          <w:rFonts w:cs="Arial"/>
          <w:sz w:val="22"/>
          <w:szCs w:val="22"/>
        </w:rPr>
      </w:pPr>
    </w:p>
    <w:p w14:paraId="259BA846" w14:textId="77777777" w:rsidR="00EE40F6" w:rsidRDefault="00EE40F6" w:rsidP="00EE40F6">
      <w:pPr>
        <w:spacing w:line="276" w:lineRule="auto"/>
        <w:jc w:val="both"/>
        <w:rPr>
          <w:rFonts w:cs="Arial"/>
          <w:sz w:val="22"/>
          <w:szCs w:val="22"/>
        </w:rPr>
      </w:pPr>
    </w:p>
    <w:p w14:paraId="5F935334" w14:textId="77777777" w:rsidR="00EE40F6" w:rsidRDefault="00EE40F6" w:rsidP="00EE40F6">
      <w:pPr>
        <w:spacing w:line="276" w:lineRule="auto"/>
        <w:jc w:val="both"/>
        <w:rPr>
          <w:rFonts w:cs="Arial"/>
          <w:sz w:val="22"/>
          <w:szCs w:val="22"/>
        </w:rPr>
      </w:pPr>
    </w:p>
    <w:p w14:paraId="3D6295A2" w14:textId="031A11C8" w:rsidR="007E4498" w:rsidRDefault="007E4498" w:rsidP="00912343">
      <w:pPr>
        <w:spacing w:line="276" w:lineRule="auto"/>
        <w:rPr>
          <w:rFonts w:cs="Arial"/>
          <w:sz w:val="22"/>
          <w:szCs w:val="22"/>
        </w:rPr>
      </w:pPr>
    </w:p>
    <w:p w14:paraId="09AC615F" w14:textId="77777777" w:rsidR="00EE40F6" w:rsidRDefault="00EE40F6" w:rsidP="004C5D32">
      <w:pPr>
        <w:spacing w:line="276" w:lineRule="auto"/>
        <w:jc w:val="center"/>
        <w:rPr>
          <w:rFonts w:cs="Arial"/>
          <w:sz w:val="22"/>
          <w:szCs w:val="22"/>
        </w:rPr>
      </w:pPr>
      <w:r w:rsidRPr="001F2EAF">
        <w:rPr>
          <w:rFonts w:eastAsia="Arial" w:cs="Arial"/>
          <w:b/>
          <w:bCs/>
          <w:sz w:val="16"/>
          <w:szCs w:val="16"/>
          <w:lang w:val="es-CO"/>
        </w:rPr>
        <w:t>Fuente: Dirección de Gestión Catastral</w:t>
      </w:r>
    </w:p>
    <w:p w14:paraId="4873C205" w14:textId="77777777" w:rsidR="00E70AEE" w:rsidRDefault="00E70AEE" w:rsidP="00E70AEE">
      <w:pPr>
        <w:rPr>
          <w:lang w:val="es-CO" w:eastAsia="es-ES_tradnl"/>
        </w:rPr>
      </w:pPr>
    </w:p>
    <w:p w14:paraId="75BA52C4" w14:textId="77777777" w:rsidR="00EE40F6" w:rsidRPr="0004760D" w:rsidRDefault="00EE40F6" w:rsidP="007E4498">
      <w:pPr>
        <w:jc w:val="both"/>
        <w:rPr>
          <w:rFonts w:cs="Arial"/>
          <w:sz w:val="22"/>
          <w:szCs w:val="22"/>
        </w:rPr>
      </w:pPr>
      <w:r>
        <w:rPr>
          <w:rFonts w:cs="Arial"/>
          <w:sz w:val="22"/>
          <w:szCs w:val="22"/>
        </w:rPr>
        <w:t xml:space="preserve">El avance al mes de </w:t>
      </w:r>
      <w:r w:rsidRPr="0004760D">
        <w:rPr>
          <w:rFonts w:cs="Arial"/>
          <w:sz w:val="22"/>
          <w:szCs w:val="22"/>
        </w:rPr>
        <w:t xml:space="preserve">octubre </w:t>
      </w:r>
      <w:r>
        <w:rPr>
          <w:rFonts w:cs="Arial"/>
          <w:sz w:val="22"/>
          <w:szCs w:val="22"/>
        </w:rPr>
        <w:t xml:space="preserve">ha sido el siguiente </w:t>
      </w:r>
      <w:r w:rsidRPr="0004760D">
        <w:rPr>
          <w:rFonts w:cs="Arial"/>
          <w:sz w:val="22"/>
          <w:szCs w:val="22"/>
        </w:rPr>
        <w:t>en los municipios que se describen a continuación, en los cuales se viene implementando el proceso de gestión catastral durante la vigencia 2021:</w:t>
      </w:r>
    </w:p>
    <w:p w14:paraId="08061FF8" w14:textId="77777777" w:rsidR="00EE40F6" w:rsidRPr="0004760D" w:rsidRDefault="00EE40F6" w:rsidP="007E4498">
      <w:pPr>
        <w:jc w:val="both"/>
        <w:rPr>
          <w:rFonts w:cs="Arial"/>
          <w:sz w:val="22"/>
          <w:szCs w:val="22"/>
        </w:rPr>
      </w:pPr>
    </w:p>
    <w:p w14:paraId="6E051CD2" w14:textId="77777777" w:rsidR="00EE40F6" w:rsidRDefault="00EE40F6" w:rsidP="000A20EE">
      <w:pPr>
        <w:pStyle w:val="Prrafodelista"/>
        <w:numPr>
          <w:ilvl w:val="0"/>
          <w:numId w:val="258"/>
        </w:numPr>
        <w:rPr>
          <w:rFonts w:cs="Arial"/>
          <w:b/>
          <w:sz w:val="22"/>
          <w:szCs w:val="22"/>
        </w:rPr>
      </w:pPr>
      <w:r w:rsidRPr="004C5D32">
        <w:rPr>
          <w:rFonts w:cs="Arial"/>
          <w:b/>
          <w:sz w:val="22"/>
          <w:szCs w:val="22"/>
        </w:rPr>
        <w:t xml:space="preserve">Popayán: </w:t>
      </w:r>
      <w:r w:rsidRPr="0004760D">
        <w:rPr>
          <w:rFonts w:cs="Arial"/>
          <w:sz w:val="22"/>
          <w:szCs w:val="22"/>
        </w:rPr>
        <w:t>Identificación predial de 104.431 predios</w:t>
      </w:r>
      <w:r w:rsidRPr="004C5D32">
        <w:rPr>
          <w:rFonts w:cs="Arial"/>
          <w:b/>
          <w:sz w:val="22"/>
          <w:szCs w:val="22"/>
        </w:rPr>
        <w:t xml:space="preserve"> </w:t>
      </w:r>
    </w:p>
    <w:p w14:paraId="1E143AFA" w14:textId="77777777" w:rsidR="00EE40F6" w:rsidRPr="004C5D32" w:rsidRDefault="00EE40F6" w:rsidP="000A20EE">
      <w:pPr>
        <w:pStyle w:val="Prrafodelista"/>
        <w:numPr>
          <w:ilvl w:val="0"/>
          <w:numId w:val="258"/>
        </w:numPr>
        <w:rPr>
          <w:rFonts w:cs="Arial"/>
          <w:b/>
          <w:sz w:val="22"/>
          <w:szCs w:val="22"/>
        </w:rPr>
      </w:pPr>
      <w:r w:rsidRPr="004C5D32">
        <w:rPr>
          <w:rFonts w:cs="Arial"/>
          <w:b/>
          <w:sz w:val="22"/>
          <w:szCs w:val="22"/>
        </w:rPr>
        <w:t>Arauquita:</w:t>
      </w:r>
      <w:r w:rsidRPr="0004760D">
        <w:rPr>
          <w:rFonts w:cs="Arial"/>
          <w:sz w:val="22"/>
          <w:szCs w:val="22"/>
        </w:rPr>
        <w:t xml:space="preserve"> Se reanudó el proceso de actualización. Se llevó a cabo la identificación predial de 2.996 predios. </w:t>
      </w:r>
    </w:p>
    <w:p w14:paraId="5C1B11D1" w14:textId="77777777" w:rsidR="00392B2D" w:rsidRPr="00392B2D" w:rsidRDefault="00EE40F6" w:rsidP="000A20EE">
      <w:pPr>
        <w:pStyle w:val="Prrafodelista"/>
        <w:numPr>
          <w:ilvl w:val="0"/>
          <w:numId w:val="258"/>
        </w:numPr>
        <w:rPr>
          <w:rFonts w:cs="Arial"/>
          <w:b/>
          <w:sz w:val="22"/>
          <w:szCs w:val="22"/>
        </w:rPr>
      </w:pPr>
      <w:r w:rsidRPr="00AD750E">
        <w:rPr>
          <w:rFonts w:cs="Arial"/>
          <w:b/>
          <w:sz w:val="22"/>
          <w:szCs w:val="22"/>
        </w:rPr>
        <w:t>8 municipios de Boyacá:</w:t>
      </w:r>
      <w:r w:rsidR="00AD750E">
        <w:rPr>
          <w:rFonts w:cs="Arial"/>
          <w:sz w:val="22"/>
          <w:szCs w:val="22"/>
        </w:rPr>
        <w:t xml:space="preserve"> </w:t>
      </w:r>
      <w:r w:rsidRPr="004C5D32">
        <w:rPr>
          <w:rFonts w:cs="Arial"/>
          <w:sz w:val="22"/>
          <w:szCs w:val="22"/>
        </w:rPr>
        <w:t>Operación en campo: Identificación predial de 6.757 predios en los municipios de Socha, Socotá, Sativasur, Tasco, Betéitiva, Busbanzá y Corrales. Se encuentra pendiente la aprobación del control de calidad de este proceso, por parte del IGAC.</w:t>
      </w:r>
    </w:p>
    <w:p w14:paraId="627AA223" w14:textId="626006A0" w:rsidR="00392B2D" w:rsidRPr="00392B2D" w:rsidRDefault="00EE40F6" w:rsidP="000A20EE">
      <w:pPr>
        <w:pStyle w:val="Prrafodelista"/>
        <w:numPr>
          <w:ilvl w:val="0"/>
          <w:numId w:val="258"/>
        </w:numPr>
        <w:rPr>
          <w:rFonts w:cs="Arial"/>
          <w:b/>
          <w:sz w:val="22"/>
          <w:szCs w:val="22"/>
        </w:rPr>
      </w:pPr>
      <w:r w:rsidRPr="00392B2D">
        <w:rPr>
          <w:rFonts w:cs="Arial"/>
          <w:b/>
          <w:sz w:val="22"/>
          <w:szCs w:val="22"/>
        </w:rPr>
        <w:t>Rioblanco (</w:t>
      </w:r>
      <w:r w:rsidR="00392B2D" w:rsidRPr="00392B2D">
        <w:rPr>
          <w:rFonts w:cs="Arial"/>
          <w:b/>
          <w:sz w:val="22"/>
          <w:szCs w:val="22"/>
        </w:rPr>
        <w:t>Tolima) El</w:t>
      </w:r>
      <w:r w:rsidRPr="00392B2D">
        <w:rPr>
          <w:rFonts w:cs="Arial"/>
          <w:b/>
          <w:sz w:val="22"/>
          <w:szCs w:val="22"/>
        </w:rPr>
        <w:t xml:space="preserve"> Guamo y Córdoba (Bolívar):</w:t>
      </w:r>
      <w:r w:rsidRPr="00392B2D">
        <w:rPr>
          <w:rFonts w:cs="Arial"/>
          <w:sz w:val="22"/>
          <w:szCs w:val="22"/>
        </w:rPr>
        <w:t xml:space="preserve"> Se llevó a cabo la identificación predial de 2.706 predios.</w:t>
      </w:r>
    </w:p>
    <w:p w14:paraId="315C8E5B" w14:textId="77777777" w:rsidR="00EE40F6" w:rsidRPr="00392B2D" w:rsidRDefault="00EE40F6" w:rsidP="000A20EE">
      <w:pPr>
        <w:pStyle w:val="Prrafodelista"/>
        <w:numPr>
          <w:ilvl w:val="0"/>
          <w:numId w:val="258"/>
        </w:numPr>
        <w:rPr>
          <w:rFonts w:cs="Arial"/>
          <w:b/>
          <w:sz w:val="22"/>
          <w:szCs w:val="22"/>
        </w:rPr>
      </w:pPr>
      <w:r w:rsidRPr="00392B2D">
        <w:rPr>
          <w:rFonts w:cs="Arial"/>
          <w:b/>
          <w:sz w:val="22"/>
          <w:szCs w:val="22"/>
        </w:rPr>
        <w:t>Ricaurte:</w:t>
      </w:r>
      <w:r w:rsidRPr="0004760D">
        <w:rPr>
          <w:rFonts w:cs="Arial"/>
          <w:sz w:val="22"/>
          <w:szCs w:val="22"/>
        </w:rPr>
        <w:t xml:space="preserve"> Se llevó a cabo la Identificación predial de 4.101 predios.</w:t>
      </w:r>
    </w:p>
    <w:p w14:paraId="6753BA48" w14:textId="77777777" w:rsidR="00EE40F6" w:rsidRPr="00392B2D" w:rsidRDefault="00EE40F6" w:rsidP="000A20EE">
      <w:pPr>
        <w:pStyle w:val="Prrafodelista"/>
        <w:numPr>
          <w:ilvl w:val="0"/>
          <w:numId w:val="258"/>
        </w:numPr>
        <w:rPr>
          <w:rFonts w:cs="Arial"/>
          <w:b/>
          <w:sz w:val="22"/>
          <w:szCs w:val="22"/>
        </w:rPr>
      </w:pPr>
      <w:r w:rsidRPr="00392B2D">
        <w:rPr>
          <w:rFonts w:cs="Arial"/>
          <w:b/>
          <w:sz w:val="22"/>
          <w:szCs w:val="22"/>
        </w:rPr>
        <w:t>Gachancipá:</w:t>
      </w:r>
      <w:r>
        <w:rPr>
          <w:rFonts w:cs="Arial"/>
          <w:sz w:val="22"/>
          <w:szCs w:val="22"/>
        </w:rPr>
        <w:t xml:space="preserve"> </w:t>
      </w:r>
      <w:r w:rsidRPr="0004760D">
        <w:rPr>
          <w:rFonts w:cs="Arial"/>
          <w:sz w:val="22"/>
          <w:szCs w:val="22"/>
        </w:rPr>
        <w:t>Se llevó a cabo la Identificación predial de 170 predios.</w:t>
      </w:r>
    </w:p>
    <w:p w14:paraId="39140481" w14:textId="4D8BE544" w:rsidR="00392B2D" w:rsidRPr="00392B2D" w:rsidRDefault="00EE40F6" w:rsidP="000A20EE">
      <w:pPr>
        <w:pStyle w:val="Prrafodelista"/>
        <w:numPr>
          <w:ilvl w:val="0"/>
          <w:numId w:val="258"/>
        </w:numPr>
        <w:rPr>
          <w:rFonts w:cs="Arial"/>
          <w:b/>
          <w:sz w:val="22"/>
          <w:szCs w:val="22"/>
        </w:rPr>
      </w:pPr>
      <w:r w:rsidRPr="00392B2D">
        <w:rPr>
          <w:rFonts w:cs="Arial"/>
          <w:b/>
          <w:sz w:val="22"/>
          <w:szCs w:val="22"/>
        </w:rPr>
        <w:t>Villavicencio:</w:t>
      </w:r>
      <w:r w:rsidRPr="00392B2D">
        <w:rPr>
          <w:rFonts w:cs="Arial"/>
          <w:sz w:val="22"/>
          <w:szCs w:val="22"/>
        </w:rPr>
        <w:t xml:space="preserve"> Con la identificación predial de 80.335 predios, se terminó el 100% del reconocimiento predial de este municipio. Se está realizando </w:t>
      </w:r>
      <w:r w:rsidR="00392B2D" w:rsidRPr="00392B2D">
        <w:rPr>
          <w:rFonts w:cs="Arial"/>
          <w:sz w:val="22"/>
          <w:szCs w:val="22"/>
        </w:rPr>
        <w:t>la validación</w:t>
      </w:r>
      <w:r w:rsidRPr="00392B2D">
        <w:rPr>
          <w:rFonts w:cs="Arial"/>
          <w:sz w:val="22"/>
          <w:szCs w:val="22"/>
        </w:rPr>
        <w:t xml:space="preserve"> de la información e iniciando el cierre respectivo de la intervención.</w:t>
      </w:r>
    </w:p>
    <w:p w14:paraId="15B56E31" w14:textId="77777777" w:rsidR="00EE40F6" w:rsidRPr="00392B2D" w:rsidRDefault="00EE40F6" w:rsidP="000A20EE">
      <w:pPr>
        <w:pStyle w:val="Prrafodelista"/>
        <w:numPr>
          <w:ilvl w:val="0"/>
          <w:numId w:val="258"/>
        </w:numPr>
        <w:rPr>
          <w:rFonts w:cs="Arial"/>
          <w:b/>
          <w:sz w:val="22"/>
          <w:szCs w:val="22"/>
        </w:rPr>
      </w:pPr>
      <w:r w:rsidRPr="00392B2D">
        <w:rPr>
          <w:rFonts w:cs="Arial"/>
          <w:b/>
          <w:sz w:val="22"/>
          <w:szCs w:val="22"/>
        </w:rPr>
        <w:t>Tarapacá, La Tebaida, Villarrica, Tocancipá y Paz de Ariporo: Durante</w:t>
      </w:r>
      <w:r w:rsidRPr="0004760D">
        <w:rPr>
          <w:rFonts w:cs="Arial"/>
          <w:sz w:val="22"/>
          <w:szCs w:val="22"/>
        </w:rPr>
        <w:t xml:space="preserve"> el mes de octubre se dio inicio al proceso de intervención catastral de estos municipios, En este sentido, se viene adelantando la etapa de reclutamiento del personal.</w:t>
      </w:r>
    </w:p>
    <w:p w14:paraId="7D2EB57E" w14:textId="77777777" w:rsidR="00EE40F6" w:rsidRPr="00392B2D" w:rsidRDefault="00EE40F6" w:rsidP="000A20EE">
      <w:pPr>
        <w:pStyle w:val="Prrafodelista"/>
        <w:numPr>
          <w:ilvl w:val="0"/>
          <w:numId w:val="258"/>
        </w:numPr>
        <w:rPr>
          <w:rFonts w:cs="Arial"/>
          <w:b/>
          <w:sz w:val="22"/>
          <w:szCs w:val="22"/>
        </w:rPr>
      </w:pPr>
      <w:r w:rsidRPr="00392B2D">
        <w:rPr>
          <w:rFonts w:cs="Arial"/>
          <w:b/>
          <w:sz w:val="22"/>
          <w:szCs w:val="22"/>
        </w:rPr>
        <w:t>San Carlos:</w:t>
      </w:r>
      <w:r>
        <w:rPr>
          <w:rFonts w:cs="Arial"/>
          <w:sz w:val="22"/>
          <w:szCs w:val="22"/>
        </w:rPr>
        <w:t xml:space="preserve"> </w:t>
      </w:r>
      <w:r w:rsidRPr="0004760D">
        <w:rPr>
          <w:rFonts w:cs="Arial"/>
          <w:sz w:val="22"/>
          <w:szCs w:val="22"/>
        </w:rPr>
        <w:t>Durante el mes de octubre se dio inicio al proceso de intervención catastral de este municipio, En este sentido, se encuentra en proceso la expedición de la Resolución de apertura para dar inicio al reconocimiento predial.</w:t>
      </w:r>
    </w:p>
    <w:p w14:paraId="03F5A048" w14:textId="77777777" w:rsidR="00EE40F6" w:rsidRDefault="00EE40F6" w:rsidP="00EE40F6">
      <w:pPr>
        <w:spacing w:line="276" w:lineRule="auto"/>
        <w:jc w:val="both"/>
        <w:rPr>
          <w:rFonts w:cs="Arial"/>
          <w:sz w:val="22"/>
          <w:szCs w:val="22"/>
        </w:rPr>
      </w:pPr>
    </w:p>
    <w:p w14:paraId="0112A73A" w14:textId="77777777" w:rsidR="00EE40F6" w:rsidRPr="003D59D6" w:rsidRDefault="00EE40F6" w:rsidP="00EE40F6">
      <w:pPr>
        <w:jc w:val="both"/>
        <w:textAlignment w:val="baseline"/>
        <w:rPr>
          <w:rFonts w:cs="Arial"/>
          <w:color w:val="000000"/>
          <w:sz w:val="22"/>
          <w:szCs w:val="22"/>
          <w:lang w:eastAsia="es-MX"/>
        </w:rPr>
      </w:pPr>
      <w:r w:rsidRPr="00F411B1">
        <w:rPr>
          <w:rFonts w:cs="Arial"/>
          <w:bCs/>
          <w:sz w:val="22"/>
          <w:szCs w:val="22"/>
        </w:rPr>
        <w:t>Por otra parte e</w:t>
      </w:r>
      <w:r w:rsidRPr="00F411B1">
        <w:rPr>
          <w:rFonts w:cs="Arial"/>
          <w:bCs/>
          <w:color w:val="000000"/>
          <w:sz w:val="22"/>
          <w:szCs w:val="22"/>
          <w:lang w:eastAsia="es-MX"/>
        </w:rPr>
        <w:t>l</w:t>
      </w:r>
      <w:r w:rsidRPr="003D59D6">
        <w:rPr>
          <w:rFonts w:cs="Arial"/>
          <w:color w:val="000000"/>
          <w:sz w:val="22"/>
          <w:szCs w:val="22"/>
          <w:lang w:eastAsia="es-MX"/>
        </w:rPr>
        <w:t xml:space="preserve"> 8, 9 y 10 de julio de 2020, en la primera sesión de la Comisión Nacional de territorios Indígenas CNTI, el Gobierno (DNP) planteó en la agenda la socialización de la guía metodológica para la implementación del Catastro Multipropósito en territorios indígenas, frente a esto la CNTI expuso que debía consultarse a la MPC y que el Gobierno debía adelantar la consulta previa, toda vez que “El Departamento Nacional de Planeación – DNP elaboró unilateralmente una Guía Metodológica de implementación del Catastro Multipropósito y Barrido Predial, sin la participación de Pueblos Indígenas […].</w:t>
      </w:r>
    </w:p>
    <w:p w14:paraId="43A610F8" w14:textId="77777777" w:rsidR="00EE40F6" w:rsidRPr="003D59D6" w:rsidRDefault="00EE40F6" w:rsidP="00EE40F6">
      <w:pPr>
        <w:jc w:val="both"/>
        <w:textAlignment w:val="baseline"/>
        <w:rPr>
          <w:rFonts w:cs="Arial"/>
          <w:color w:val="000000"/>
          <w:sz w:val="22"/>
          <w:szCs w:val="22"/>
          <w:lang w:eastAsia="es-MX"/>
        </w:rPr>
      </w:pPr>
    </w:p>
    <w:p w14:paraId="54E5DD13" w14:textId="77777777" w:rsidR="00EE40F6" w:rsidRPr="003D59D6" w:rsidRDefault="00EE40F6" w:rsidP="00EE40F6">
      <w:pPr>
        <w:jc w:val="both"/>
        <w:textAlignment w:val="baseline"/>
        <w:rPr>
          <w:rFonts w:cs="Arial"/>
          <w:color w:val="000000"/>
          <w:sz w:val="22"/>
          <w:szCs w:val="22"/>
          <w:lang w:eastAsia="es-MX"/>
        </w:rPr>
      </w:pPr>
      <w:r w:rsidRPr="003D59D6">
        <w:rPr>
          <w:rFonts w:cs="Arial"/>
          <w:color w:val="000000"/>
          <w:sz w:val="22"/>
          <w:szCs w:val="22"/>
          <w:lang w:eastAsia="es-MX"/>
        </w:rPr>
        <w:t>Después de algunos meses de conversación, en diciembre de 2020, entre autoridades indígenas y funcionarios de Gobierno, los responsables de la Política de Catastro Multipropósito aceptan que se necesita la Consulta Previa para el proceso y se concert</w:t>
      </w:r>
      <w:r>
        <w:rPr>
          <w:rFonts w:cs="Arial"/>
          <w:color w:val="000000"/>
          <w:sz w:val="22"/>
          <w:szCs w:val="22"/>
          <w:lang w:eastAsia="es-MX"/>
        </w:rPr>
        <w:t>ó</w:t>
      </w:r>
      <w:r w:rsidRPr="003D59D6">
        <w:rPr>
          <w:rFonts w:cs="Arial"/>
          <w:color w:val="000000"/>
          <w:sz w:val="22"/>
          <w:szCs w:val="22"/>
          <w:lang w:eastAsia="es-MX"/>
        </w:rPr>
        <w:t xml:space="preserve"> la siguiente ruta metodológica: </w:t>
      </w:r>
    </w:p>
    <w:p w14:paraId="0556A967" w14:textId="1A28E3ED" w:rsidR="00EE40F6" w:rsidRDefault="00EE40F6" w:rsidP="00EE40F6">
      <w:pPr>
        <w:jc w:val="both"/>
        <w:textAlignment w:val="baseline"/>
        <w:rPr>
          <w:rFonts w:cs="Arial"/>
          <w:color w:val="000000"/>
          <w:sz w:val="22"/>
          <w:szCs w:val="22"/>
          <w:lang w:eastAsia="es-MX"/>
        </w:rPr>
      </w:pPr>
    </w:p>
    <w:p w14:paraId="2DBCAC67" w14:textId="3A2EC9D4" w:rsidR="00912343" w:rsidRDefault="00912343" w:rsidP="00EE40F6">
      <w:pPr>
        <w:jc w:val="both"/>
        <w:textAlignment w:val="baseline"/>
        <w:rPr>
          <w:rFonts w:cs="Arial"/>
          <w:color w:val="000000"/>
          <w:sz w:val="22"/>
          <w:szCs w:val="22"/>
          <w:lang w:eastAsia="es-MX"/>
        </w:rPr>
      </w:pPr>
    </w:p>
    <w:p w14:paraId="30019EC3" w14:textId="49346306" w:rsidR="00912343" w:rsidRDefault="00912343" w:rsidP="00EE40F6">
      <w:pPr>
        <w:jc w:val="both"/>
        <w:textAlignment w:val="baseline"/>
        <w:rPr>
          <w:rFonts w:cs="Arial"/>
          <w:color w:val="000000"/>
          <w:sz w:val="22"/>
          <w:szCs w:val="22"/>
          <w:lang w:eastAsia="es-MX"/>
        </w:rPr>
      </w:pPr>
    </w:p>
    <w:p w14:paraId="79C7C241" w14:textId="7F743916" w:rsidR="00912343" w:rsidRDefault="00912343" w:rsidP="00EE40F6">
      <w:pPr>
        <w:jc w:val="both"/>
        <w:textAlignment w:val="baseline"/>
        <w:rPr>
          <w:rFonts w:cs="Arial"/>
          <w:color w:val="000000"/>
          <w:sz w:val="22"/>
          <w:szCs w:val="22"/>
          <w:lang w:eastAsia="es-MX"/>
        </w:rPr>
      </w:pPr>
    </w:p>
    <w:p w14:paraId="28BEFC67" w14:textId="41E5B530" w:rsidR="00912343" w:rsidRDefault="00912343" w:rsidP="00EE40F6">
      <w:pPr>
        <w:jc w:val="both"/>
        <w:textAlignment w:val="baseline"/>
        <w:rPr>
          <w:rFonts w:cs="Arial"/>
          <w:color w:val="000000"/>
          <w:sz w:val="22"/>
          <w:szCs w:val="22"/>
          <w:lang w:eastAsia="es-MX"/>
        </w:rPr>
      </w:pPr>
    </w:p>
    <w:p w14:paraId="2464CE00" w14:textId="4A3FAE7D" w:rsidR="00912343" w:rsidRDefault="00912343" w:rsidP="00EE40F6">
      <w:pPr>
        <w:jc w:val="both"/>
        <w:textAlignment w:val="baseline"/>
        <w:rPr>
          <w:rFonts w:cs="Arial"/>
          <w:color w:val="000000"/>
          <w:sz w:val="22"/>
          <w:szCs w:val="22"/>
          <w:lang w:eastAsia="es-MX"/>
        </w:rPr>
      </w:pPr>
    </w:p>
    <w:p w14:paraId="0815DF1C" w14:textId="77777777" w:rsidR="00912343" w:rsidRPr="003D59D6" w:rsidRDefault="00912343" w:rsidP="00EE40F6">
      <w:pPr>
        <w:jc w:val="both"/>
        <w:textAlignment w:val="baseline"/>
        <w:rPr>
          <w:rFonts w:cs="Arial"/>
          <w:color w:val="000000"/>
          <w:sz w:val="22"/>
          <w:szCs w:val="22"/>
          <w:lang w:eastAsia="es-MX"/>
        </w:rPr>
      </w:pPr>
    </w:p>
    <w:p w14:paraId="0BAD5CEA" w14:textId="6C1CA271" w:rsidR="00E70AEE" w:rsidRDefault="00922BC2" w:rsidP="00922BC2">
      <w:pPr>
        <w:pStyle w:val="Descripcin"/>
        <w:jc w:val="center"/>
        <w:rPr>
          <w:rFonts w:ascii="Arial" w:hAnsi="Arial" w:cs="Arial"/>
          <w:b/>
          <w:bCs/>
          <w:i w:val="0"/>
          <w:iCs w:val="0"/>
          <w:color w:val="000000" w:themeColor="text1"/>
          <w:sz w:val="16"/>
          <w:szCs w:val="16"/>
        </w:rPr>
      </w:pPr>
      <w:bookmarkStart w:id="31" w:name="_Toc88655310"/>
      <w:bookmarkStart w:id="32" w:name="_Toc88656931"/>
      <w:bookmarkStart w:id="33" w:name="_Toc88677161"/>
      <w:r w:rsidRPr="00922BC2">
        <w:rPr>
          <w:rFonts w:ascii="Arial" w:hAnsi="Arial" w:cs="Arial"/>
          <w:b/>
          <w:bCs/>
          <w:i w:val="0"/>
          <w:iCs w:val="0"/>
          <w:color w:val="000000" w:themeColor="text1"/>
          <w:sz w:val="16"/>
          <w:szCs w:val="16"/>
        </w:rPr>
        <w:t xml:space="preserve">Ilustración </w:t>
      </w:r>
      <w:r w:rsidRPr="00922BC2">
        <w:rPr>
          <w:rFonts w:ascii="Arial" w:hAnsi="Arial" w:cs="Arial"/>
          <w:b/>
          <w:bCs/>
          <w:i w:val="0"/>
          <w:iCs w:val="0"/>
          <w:color w:val="000000" w:themeColor="text1"/>
          <w:sz w:val="16"/>
          <w:szCs w:val="16"/>
        </w:rPr>
        <w:fldChar w:fldCharType="begin"/>
      </w:r>
      <w:r w:rsidRPr="00922BC2">
        <w:rPr>
          <w:rFonts w:ascii="Arial" w:hAnsi="Arial" w:cs="Arial"/>
          <w:b/>
          <w:bCs/>
          <w:i w:val="0"/>
          <w:iCs w:val="0"/>
          <w:color w:val="000000" w:themeColor="text1"/>
          <w:sz w:val="16"/>
          <w:szCs w:val="16"/>
        </w:rPr>
        <w:instrText xml:space="preserve"> SEQ Ilustración \* ARABIC </w:instrText>
      </w:r>
      <w:r w:rsidRPr="00922BC2">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w:t>
      </w:r>
      <w:r w:rsidRPr="00922BC2">
        <w:rPr>
          <w:rFonts w:ascii="Arial" w:hAnsi="Arial" w:cs="Arial"/>
          <w:b/>
          <w:bCs/>
          <w:i w:val="0"/>
          <w:iCs w:val="0"/>
          <w:color w:val="000000" w:themeColor="text1"/>
          <w:sz w:val="16"/>
          <w:szCs w:val="16"/>
        </w:rPr>
        <w:fldChar w:fldCharType="end"/>
      </w:r>
      <w:r w:rsidRPr="00922BC2">
        <w:rPr>
          <w:rFonts w:ascii="Arial" w:hAnsi="Arial" w:cs="Arial"/>
          <w:b/>
          <w:bCs/>
          <w:i w:val="0"/>
          <w:iCs w:val="0"/>
          <w:color w:val="000000" w:themeColor="text1"/>
          <w:sz w:val="16"/>
          <w:szCs w:val="16"/>
        </w:rPr>
        <w:t>. Ruta metodológica consulta previa</w:t>
      </w:r>
      <w:bookmarkEnd w:id="31"/>
      <w:bookmarkEnd w:id="32"/>
      <w:bookmarkEnd w:id="33"/>
    </w:p>
    <w:p w14:paraId="39798E2E" w14:textId="77777777" w:rsidR="00513904" w:rsidRDefault="00513904" w:rsidP="00513904">
      <w:pPr>
        <w:jc w:val="center"/>
        <w:rPr>
          <w:rFonts w:eastAsia="Arial" w:cs="Arial"/>
          <w:b/>
          <w:bCs/>
          <w:sz w:val="16"/>
          <w:szCs w:val="16"/>
          <w:lang w:val="es-CO"/>
        </w:rPr>
      </w:pPr>
      <w:r w:rsidRPr="00371434">
        <w:rPr>
          <w:rFonts w:ascii="Garamond" w:hAnsi="Garamond" w:cs="Arial"/>
          <w:noProof/>
          <w:lang w:val="es-CO" w:eastAsia="es-CO"/>
        </w:rPr>
        <w:drawing>
          <wp:inline distT="0" distB="0" distL="0" distR="0" wp14:anchorId="7DFCD310" wp14:editId="673A0020">
            <wp:extent cx="5569267" cy="1139190"/>
            <wp:effectExtent l="0" t="0" r="0" b="3810"/>
            <wp:docPr id="3" name="Imagen 3" descr="Escala de tiem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Escala de tiempo&#10;&#10;Descripción generada automáticamente con confianza media"/>
                    <pic:cNvPicPr/>
                  </pic:nvPicPr>
                  <pic:blipFill rotWithShape="1">
                    <a:blip r:embed="rId16">
                      <a:extLst>
                        <a:ext uri="{28A0092B-C50C-407E-A947-70E740481C1C}">
                          <a14:useLocalDpi xmlns:a14="http://schemas.microsoft.com/office/drawing/2010/main" val="0"/>
                        </a:ext>
                      </a:extLst>
                    </a:blip>
                    <a:srcRect l="764"/>
                    <a:stretch/>
                  </pic:blipFill>
                  <pic:spPr bwMode="auto">
                    <a:xfrm>
                      <a:off x="0" y="0"/>
                      <a:ext cx="5569267" cy="1139190"/>
                    </a:xfrm>
                    <a:prstGeom prst="rect">
                      <a:avLst/>
                    </a:prstGeom>
                    <a:ln>
                      <a:noFill/>
                    </a:ln>
                    <a:extLst>
                      <a:ext uri="{53640926-AAD7-44D8-BBD7-CCE9431645EC}">
                        <a14:shadowObscured xmlns:a14="http://schemas.microsoft.com/office/drawing/2010/main"/>
                      </a:ext>
                    </a:extLst>
                  </pic:spPr>
                </pic:pic>
              </a:graphicData>
            </a:graphic>
          </wp:inline>
        </w:drawing>
      </w:r>
    </w:p>
    <w:p w14:paraId="1812FDFC" w14:textId="2CA10CEC" w:rsidR="00513904" w:rsidRDefault="00513904" w:rsidP="00513904">
      <w:pPr>
        <w:jc w:val="center"/>
        <w:rPr>
          <w:rFonts w:eastAsia="Arial" w:cs="Arial"/>
          <w:b/>
          <w:bCs/>
          <w:sz w:val="16"/>
          <w:szCs w:val="16"/>
          <w:lang w:val="es-CO"/>
        </w:rPr>
      </w:pPr>
      <w:r w:rsidRPr="001F2EAF">
        <w:rPr>
          <w:rFonts w:eastAsia="Arial" w:cs="Arial"/>
          <w:b/>
          <w:bCs/>
          <w:sz w:val="16"/>
          <w:szCs w:val="16"/>
          <w:lang w:val="es-CO"/>
        </w:rPr>
        <w:t>Fuente: Dirección de Gestión Catastral</w:t>
      </w:r>
    </w:p>
    <w:p w14:paraId="4222D67B" w14:textId="77777777" w:rsidR="00513904" w:rsidRDefault="00513904" w:rsidP="007C2C2D">
      <w:pPr>
        <w:rPr>
          <w:lang w:val="es-CO" w:eastAsia="es-ES_tradnl"/>
        </w:rPr>
      </w:pPr>
    </w:p>
    <w:p w14:paraId="0F78619A" w14:textId="77777777" w:rsidR="00513904" w:rsidRPr="00F56F6E" w:rsidRDefault="00513904" w:rsidP="00513904">
      <w:pPr>
        <w:jc w:val="both"/>
        <w:textAlignment w:val="baseline"/>
        <w:rPr>
          <w:rFonts w:cs="Arial"/>
          <w:color w:val="000000"/>
          <w:sz w:val="22"/>
          <w:szCs w:val="22"/>
          <w:lang w:eastAsia="es-MX"/>
        </w:rPr>
      </w:pPr>
      <w:r w:rsidRPr="00F56F6E">
        <w:rPr>
          <w:rFonts w:cs="Arial"/>
          <w:color w:val="000000"/>
          <w:sz w:val="22"/>
          <w:szCs w:val="22"/>
          <w:lang w:eastAsia="es-MX"/>
        </w:rPr>
        <w:t xml:space="preserve">De esta manera, en el mes de diciembre del año 2020 y enero de 2021, el Gobierno Nacional adelantó conversaciones con cada organización para determinar el presupuesto que cada una de ellas requiere para adelantar el proceso de consulta previa. Desde entonces se ha construido la propuesta con cada organización para lo que se han atravesado diferentes momentos que pasan por: establecer la forma de pago, solicitar garantías bancarias, solicitar anticipos de los pagos, pagar contra producto, etc.; discutido todo lo anterior con los bancos, el IGAC elaboró una propuesta y la envió a Fondo Acción y al Banco Mundial para su revisión, una vez se cuente con la aprobación, se espera conversar nuevamente con las organizaciones para socializar los cambios y continuar con el proceso de contratación. </w:t>
      </w:r>
    </w:p>
    <w:p w14:paraId="75CCACC7" w14:textId="77777777" w:rsidR="007C2C2D" w:rsidRDefault="007C2C2D" w:rsidP="00C47A73">
      <w:pPr>
        <w:jc w:val="both"/>
        <w:rPr>
          <w:rFonts w:cs="Arial"/>
          <w:sz w:val="22"/>
          <w:szCs w:val="22"/>
        </w:rPr>
      </w:pPr>
    </w:p>
    <w:p w14:paraId="18450194" w14:textId="77777777" w:rsidR="00513904" w:rsidRPr="00AE236D" w:rsidRDefault="00513904" w:rsidP="00C47A73">
      <w:pPr>
        <w:jc w:val="both"/>
        <w:rPr>
          <w:rFonts w:cs="Arial"/>
          <w:sz w:val="22"/>
          <w:szCs w:val="22"/>
        </w:rPr>
      </w:pPr>
      <w:r w:rsidRPr="00AE236D">
        <w:rPr>
          <w:rFonts w:cs="Arial"/>
          <w:sz w:val="22"/>
          <w:szCs w:val="22"/>
        </w:rPr>
        <w:t>En un trabajo articulado con el DNP, el IGAC ha estado al frente de las conversaciones que se han adelantado para avanzar con la Guía metodológica. En este sentido, ya hay una ruta de trabajo acordada con la Mesa Permanente de Concertación, la cual incluye la realización de la consulta previa. Llegar a este acuerdo requirió de un gran esfuerzo interinstitucional, especialmente para establecer aquellos temas prioritarios, propuestas viables y la ejecución de una ruta que sea efectiva y garantice los derechos de las comunidades étnicas y los pueblos indígenas. De esta manera, en la actualidad el gobierno está realizando las labores de alistamiento para abordar las actividades acordadas de la manera más eficiente y articulada.</w:t>
      </w:r>
    </w:p>
    <w:p w14:paraId="2A5A39D2" w14:textId="77777777" w:rsidR="00513904" w:rsidRPr="00AE236D" w:rsidRDefault="00513904" w:rsidP="00C47A73">
      <w:pPr>
        <w:jc w:val="both"/>
        <w:rPr>
          <w:rFonts w:cs="Arial"/>
          <w:sz w:val="22"/>
          <w:szCs w:val="22"/>
        </w:rPr>
      </w:pPr>
    </w:p>
    <w:p w14:paraId="626909D3" w14:textId="77777777" w:rsidR="00513904" w:rsidRDefault="00513904" w:rsidP="00C47A73">
      <w:pPr>
        <w:jc w:val="both"/>
        <w:rPr>
          <w:rFonts w:cs="Arial"/>
          <w:sz w:val="22"/>
          <w:szCs w:val="22"/>
        </w:rPr>
      </w:pPr>
      <w:r w:rsidRPr="00AE236D">
        <w:rPr>
          <w:rFonts w:cs="Arial"/>
          <w:sz w:val="22"/>
          <w:szCs w:val="22"/>
        </w:rPr>
        <w:t>En cuant</w:t>
      </w:r>
      <w:r>
        <w:rPr>
          <w:rFonts w:cs="Arial"/>
          <w:sz w:val="22"/>
          <w:szCs w:val="22"/>
        </w:rPr>
        <w:t>o</w:t>
      </w:r>
      <w:r w:rsidRPr="00AE236D">
        <w:rPr>
          <w:rFonts w:cs="Arial"/>
          <w:sz w:val="22"/>
          <w:szCs w:val="22"/>
        </w:rPr>
        <w:t xml:space="preserve"> a la Guía metodológica del proceso de gestión catastral multipropósito con grupos étnicos: Para avanzar con el diseño y desarrollo de la Guía, es necesario primero surtir un proceso de consulta previa, en el que se tiene contemplado la consulta de un instrumento operativo. Para cumplir con este propósito durante el transcurso del año se han realizado varias actividades, dentro de las cuales se encuentran:</w:t>
      </w:r>
    </w:p>
    <w:p w14:paraId="72AACA00" w14:textId="77777777" w:rsidR="00513904" w:rsidRPr="00F56F6E" w:rsidRDefault="00513904" w:rsidP="00C47A73">
      <w:pPr>
        <w:jc w:val="both"/>
        <w:rPr>
          <w:rFonts w:cs="Arial"/>
          <w:b/>
          <w:bCs/>
          <w:sz w:val="22"/>
          <w:szCs w:val="22"/>
        </w:rPr>
      </w:pPr>
    </w:p>
    <w:p w14:paraId="1D1466DA" w14:textId="77777777" w:rsidR="00513904" w:rsidRPr="00F56F6E" w:rsidRDefault="00513904" w:rsidP="00C47A73">
      <w:pPr>
        <w:jc w:val="both"/>
        <w:rPr>
          <w:rFonts w:cs="Arial"/>
          <w:sz w:val="22"/>
          <w:szCs w:val="22"/>
        </w:rPr>
      </w:pPr>
      <w:r w:rsidRPr="00F56F6E">
        <w:rPr>
          <w:rFonts w:cs="Arial"/>
          <w:sz w:val="22"/>
          <w:szCs w:val="22"/>
        </w:rPr>
        <w:t>Durante el primer semestre del 2021 se realizaron varias reuniones con cada una de las organizaciones y pueblos involucrados en la consulta previa y el alistamiento contractual con base en la ruta metodológica acordada en diciembre de 2020</w:t>
      </w:r>
    </w:p>
    <w:p w14:paraId="32BA6E9F" w14:textId="77777777" w:rsidR="00513904" w:rsidRDefault="00513904" w:rsidP="00C47A73">
      <w:pPr>
        <w:jc w:val="both"/>
        <w:rPr>
          <w:rFonts w:cs="Arial"/>
          <w:sz w:val="22"/>
          <w:szCs w:val="22"/>
        </w:rPr>
      </w:pPr>
    </w:p>
    <w:p w14:paraId="1F116BA0" w14:textId="3D65CE6F" w:rsidR="00513904" w:rsidRPr="00363DF9" w:rsidRDefault="00513904" w:rsidP="00C47A73">
      <w:pPr>
        <w:jc w:val="both"/>
        <w:rPr>
          <w:rFonts w:cs="Arial"/>
          <w:sz w:val="22"/>
          <w:szCs w:val="22"/>
        </w:rPr>
      </w:pPr>
      <w:r w:rsidRPr="00F56F6E">
        <w:rPr>
          <w:rFonts w:cs="Arial"/>
          <w:sz w:val="22"/>
          <w:szCs w:val="22"/>
        </w:rPr>
        <w:t xml:space="preserve">En la sesión el 13 de julio con la Mesa Permanente de Concertación, en la que se acordó una nueva ruta metodológica para realizar la consulta previa (diferente a la concertada en diciembre), la cual quedó establecida para un plazo de ocho meses. Igualmente, se acordó que dichos tiempos comenzaban una vez se resolvieran los aspectos administrativos. Posterior a esta reunión se han sostenido diversos espacios con cada una de las organizaciones para brindar claridades sobre el proceso administrativo. </w:t>
      </w:r>
      <w:r w:rsidRPr="00D44DAF">
        <w:rPr>
          <w:rFonts w:cs="Arial"/>
          <w:sz w:val="22"/>
          <w:szCs w:val="22"/>
        </w:rPr>
        <w:t>En la actualidad el IGAC está a la espera del envío de las propuestas para avanzar con el proceso administrativo y comenzar la ruta acordada en julio.</w:t>
      </w:r>
      <w:r w:rsidRPr="00363DF9">
        <w:rPr>
          <w:rFonts w:cs="Arial"/>
          <w:sz w:val="22"/>
          <w:szCs w:val="22"/>
        </w:rPr>
        <w:t xml:space="preserve"> </w:t>
      </w:r>
    </w:p>
    <w:p w14:paraId="7A5A9CB5" w14:textId="77777777" w:rsidR="00513904" w:rsidRPr="00363DF9" w:rsidRDefault="00513904" w:rsidP="00C47A73">
      <w:pPr>
        <w:jc w:val="both"/>
        <w:rPr>
          <w:rFonts w:cs="Arial"/>
          <w:sz w:val="22"/>
          <w:szCs w:val="22"/>
        </w:rPr>
      </w:pPr>
    </w:p>
    <w:p w14:paraId="57D28613" w14:textId="555521B4" w:rsidR="00513904" w:rsidRPr="00363DF9" w:rsidRDefault="00513904" w:rsidP="00C47A73">
      <w:pPr>
        <w:jc w:val="both"/>
        <w:rPr>
          <w:rFonts w:cs="Arial"/>
          <w:sz w:val="22"/>
          <w:szCs w:val="22"/>
        </w:rPr>
      </w:pPr>
      <w:r w:rsidRPr="00363DF9">
        <w:rPr>
          <w:rFonts w:cs="Arial"/>
          <w:sz w:val="22"/>
          <w:szCs w:val="22"/>
        </w:rPr>
        <w:lastRenderedPageBreak/>
        <w:t>Respecto a la Comunidades Negras Afrodescendientes Raizales y Palenqueras, para realizar las primeras recomendaciones a la Guía metodológica se adelantará un proceso con la Comisión Consultiva de Alto Nivel, quienes en el marco del Decreto 1640 de 2020 tienen dentro de sus funciones brindar recomendaciones a este tipo de documentos que tienen un alcance nacional y versan sobre temas territoriales</w:t>
      </w:r>
      <w:r w:rsidR="00E608DF">
        <w:rPr>
          <w:rFonts w:cs="Arial"/>
          <w:sz w:val="22"/>
          <w:szCs w:val="22"/>
        </w:rPr>
        <w:t xml:space="preserve">. </w:t>
      </w:r>
      <w:r w:rsidRPr="00363DF9">
        <w:rPr>
          <w:rFonts w:cs="Arial"/>
          <w:sz w:val="22"/>
          <w:szCs w:val="22"/>
        </w:rPr>
        <w:t>Es preciso enfatizar que solo es posible avanzar en las actividades de levantamiento de información catastral en los territorios étnicos constituidos, una vez se surta la consulta previa.</w:t>
      </w:r>
    </w:p>
    <w:p w14:paraId="426E641D" w14:textId="77777777" w:rsidR="00513904" w:rsidRDefault="00513904" w:rsidP="00513904">
      <w:pPr>
        <w:spacing w:line="276" w:lineRule="auto"/>
        <w:jc w:val="both"/>
        <w:rPr>
          <w:rFonts w:cs="Arial"/>
        </w:rPr>
      </w:pPr>
    </w:p>
    <w:p w14:paraId="200384E1" w14:textId="77777777" w:rsidR="00513904" w:rsidRPr="00513904" w:rsidRDefault="00513904" w:rsidP="00E608DF">
      <w:pPr>
        <w:jc w:val="both"/>
        <w:rPr>
          <w:rFonts w:cs="Arial"/>
          <w:sz w:val="22"/>
          <w:szCs w:val="22"/>
        </w:rPr>
      </w:pPr>
      <w:r w:rsidRPr="00513904">
        <w:rPr>
          <w:rFonts w:cs="Arial"/>
          <w:sz w:val="22"/>
          <w:szCs w:val="22"/>
        </w:rPr>
        <w:t xml:space="preserve">A continuación, se presenta el avance de meta de la actualización catastral en lo referente a las áreas confirmadas vigencias 2021 y 2022 así: </w:t>
      </w:r>
    </w:p>
    <w:p w14:paraId="420D6522" w14:textId="77777777" w:rsidR="00513904" w:rsidRDefault="00513904" w:rsidP="00513904">
      <w:pPr>
        <w:spacing w:line="276" w:lineRule="auto"/>
        <w:jc w:val="both"/>
        <w:rPr>
          <w:rFonts w:cs="Arial"/>
          <w:sz w:val="22"/>
          <w:szCs w:val="22"/>
        </w:rPr>
      </w:pPr>
    </w:p>
    <w:p w14:paraId="4E848BF6" w14:textId="51547F90" w:rsidR="0022269F" w:rsidRPr="0022269F" w:rsidRDefault="0022269F" w:rsidP="0022269F">
      <w:pPr>
        <w:pStyle w:val="Descripcin"/>
        <w:jc w:val="center"/>
        <w:rPr>
          <w:rFonts w:ascii="Arial" w:hAnsi="Arial" w:cs="Arial"/>
          <w:b/>
          <w:bCs/>
          <w:i w:val="0"/>
          <w:iCs w:val="0"/>
          <w:color w:val="000000" w:themeColor="text1"/>
          <w:sz w:val="20"/>
          <w:szCs w:val="20"/>
        </w:rPr>
      </w:pPr>
      <w:bookmarkStart w:id="34" w:name="_Toc88655311"/>
      <w:bookmarkStart w:id="35" w:name="_Toc88656932"/>
      <w:bookmarkStart w:id="36" w:name="_Toc88677162"/>
      <w:r w:rsidRPr="0022269F">
        <w:rPr>
          <w:rFonts w:ascii="Arial" w:hAnsi="Arial" w:cs="Arial"/>
          <w:b/>
          <w:bCs/>
          <w:i w:val="0"/>
          <w:iCs w:val="0"/>
          <w:color w:val="000000" w:themeColor="text1"/>
          <w:sz w:val="16"/>
          <w:szCs w:val="16"/>
        </w:rPr>
        <w:t xml:space="preserve">Ilustración </w:t>
      </w:r>
      <w:r w:rsidRPr="0022269F">
        <w:rPr>
          <w:rFonts w:ascii="Arial" w:hAnsi="Arial" w:cs="Arial"/>
          <w:b/>
          <w:bCs/>
          <w:i w:val="0"/>
          <w:iCs w:val="0"/>
          <w:color w:val="000000" w:themeColor="text1"/>
          <w:sz w:val="16"/>
          <w:szCs w:val="16"/>
        </w:rPr>
        <w:fldChar w:fldCharType="begin"/>
      </w:r>
      <w:r w:rsidRPr="0022269F">
        <w:rPr>
          <w:rFonts w:ascii="Arial" w:hAnsi="Arial" w:cs="Arial"/>
          <w:b/>
          <w:bCs/>
          <w:i w:val="0"/>
          <w:iCs w:val="0"/>
          <w:color w:val="000000" w:themeColor="text1"/>
          <w:sz w:val="16"/>
          <w:szCs w:val="16"/>
        </w:rPr>
        <w:instrText xml:space="preserve"> SEQ Ilustración \* ARABIC </w:instrText>
      </w:r>
      <w:r w:rsidRPr="0022269F">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6</w:t>
      </w:r>
      <w:r w:rsidRPr="0022269F">
        <w:rPr>
          <w:rFonts w:ascii="Arial" w:hAnsi="Arial" w:cs="Arial"/>
          <w:b/>
          <w:bCs/>
          <w:i w:val="0"/>
          <w:iCs w:val="0"/>
          <w:color w:val="000000" w:themeColor="text1"/>
          <w:sz w:val="16"/>
          <w:szCs w:val="16"/>
        </w:rPr>
        <w:fldChar w:fldCharType="end"/>
      </w:r>
      <w:r w:rsidRPr="0022269F">
        <w:rPr>
          <w:rFonts w:ascii="Arial" w:hAnsi="Arial" w:cs="Arial"/>
          <w:b/>
          <w:bCs/>
          <w:i w:val="0"/>
          <w:iCs w:val="0"/>
          <w:color w:val="000000" w:themeColor="text1"/>
          <w:sz w:val="16"/>
          <w:szCs w:val="16"/>
        </w:rPr>
        <w:t>. Área Confirmada 2021 y 2022</w:t>
      </w:r>
      <w:bookmarkEnd w:id="34"/>
      <w:bookmarkEnd w:id="35"/>
      <w:bookmarkEnd w:id="36"/>
    </w:p>
    <w:p w14:paraId="6F6EF2B7" w14:textId="67330866" w:rsidR="00D5151A" w:rsidRDefault="00D5151A" w:rsidP="00513904">
      <w:pPr>
        <w:spacing w:line="276" w:lineRule="auto"/>
        <w:jc w:val="both"/>
        <w:rPr>
          <w:rFonts w:cs="Arial"/>
        </w:rPr>
      </w:pPr>
      <w:r w:rsidRPr="00E77D77">
        <w:rPr>
          <w:rFonts w:cs="Arial"/>
          <w:noProof/>
          <w:lang w:val="es-CO" w:eastAsia="es-CO"/>
        </w:rPr>
        <w:drawing>
          <wp:inline distT="0" distB="0" distL="0" distR="0" wp14:anchorId="73470185" wp14:editId="3EA8AE3E">
            <wp:extent cx="5943600" cy="3046300"/>
            <wp:effectExtent l="0" t="0" r="0" b="1905"/>
            <wp:docPr id="1793703124" name="Imagen 1793703124"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nterfaz de usuario gráfica, Texto, Aplicación, Correo electrónico&#10;&#10;Descripción generada automáticamente"/>
                    <pic:cNvPicPr/>
                  </pic:nvPicPr>
                  <pic:blipFill rotWithShape="1">
                    <a:blip r:embed="rId17"/>
                    <a:srcRect l="827" t="10185" r="1041"/>
                    <a:stretch/>
                  </pic:blipFill>
                  <pic:spPr bwMode="auto">
                    <a:xfrm>
                      <a:off x="0" y="0"/>
                      <a:ext cx="5943600" cy="3046300"/>
                    </a:xfrm>
                    <a:prstGeom prst="rect">
                      <a:avLst/>
                    </a:prstGeom>
                    <a:ln>
                      <a:noFill/>
                    </a:ln>
                    <a:extLst>
                      <a:ext uri="{53640926-AAD7-44D8-BBD7-CCE9431645EC}">
                        <a14:shadowObscured xmlns:a14="http://schemas.microsoft.com/office/drawing/2010/main"/>
                      </a:ext>
                    </a:extLst>
                  </pic:spPr>
                </pic:pic>
              </a:graphicData>
            </a:graphic>
          </wp:inline>
        </w:drawing>
      </w:r>
    </w:p>
    <w:p w14:paraId="393A7E32" w14:textId="2CA2D1C3" w:rsidR="00540AEF" w:rsidRPr="00F8391A" w:rsidRDefault="00D5151A" w:rsidP="00F8391A">
      <w:pPr>
        <w:spacing w:line="276" w:lineRule="auto"/>
        <w:jc w:val="center"/>
        <w:rPr>
          <w:rFonts w:cs="Arial"/>
          <w:b/>
          <w:bCs/>
          <w:sz w:val="16"/>
          <w:szCs w:val="16"/>
        </w:rPr>
      </w:pPr>
      <w:r w:rsidRPr="001F2EAF">
        <w:rPr>
          <w:rFonts w:eastAsia="Arial" w:cs="Arial"/>
          <w:b/>
          <w:bCs/>
          <w:sz w:val="16"/>
          <w:szCs w:val="16"/>
          <w:lang w:val="es-CO"/>
        </w:rPr>
        <w:t>Fuente: Dirección de Gestión Catastral</w:t>
      </w:r>
    </w:p>
    <w:p w14:paraId="74B232A4" w14:textId="77777777" w:rsidR="00540AEF" w:rsidRDefault="00540AEF" w:rsidP="00513904">
      <w:pPr>
        <w:spacing w:line="276" w:lineRule="auto"/>
        <w:jc w:val="both"/>
        <w:rPr>
          <w:rFonts w:cs="Arial"/>
        </w:rPr>
      </w:pPr>
    </w:p>
    <w:p w14:paraId="26F1A6B4" w14:textId="08D9058A" w:rsidR="00D15527" w:rsidRPr="00E729F7" w:rsidRDefault="00E729F7" w:rsidP="00E729F7">
      <w:pPr>
        <w:pStyle w:val="Descripcin"/>
        <w:jc w:val="center"/>
        <w:rPr>
          <w:rFonts w:ascii="Arial" w:hAnsi="Arial" w:cs="Arial"/>
          <w:b/>
          <w:i w:val="0"/>
          <w:color w:val="auto"/>
          <w:sz w:val="14"/>
          <w:szCs w:val="24"/>
        </w:rPr>
      </w:pPr>
      <w:bookmarkStart w:id="37" w:name="_Toc88677081"/>
      <w:r w:rsidRPr="00E729F7">
        <w:rPr>
          <w:rFonts w:ascii="Arial" w:hAnsi="Arial" w:cs="Arial"/>
          <w:b/>
          <w:i w:val="0"/>
          <w:color w:val="auto"/>
          <w:sz w:val="16"/>
        </w:rPr>
        <w:t xml:space="preserve">Tabla </w:t>
      </w:r>
      <w:r w:rsidRPr="00E729F7">
        <w:rPr>
          <w:rFonts w:ascii="Arial" w:hAnsi="Arial" w:cs="Arial"/>
          <w:b/>
          <w:i w:val="0"/>
          <w:color w:val="auto"/>
          <w:sz w:val="16"/>
        </w:rPr>
        <w:fldChar w:fldCharType="begin"/>
      </w:r>
      <w:r w:rsidRPr="00E729F7">
        <w:rPr>
          <w:rFonts w:ascii="Arial" w:hAnsi="Arial" w:cs="Arial"/>
          <w:b/>
          <w:i w:val="0"/>
          <w:color w:val="auto"/>
          <w:sz w:val="16"/>
        </w:rPr>
        <w:instrText xml:space="preserve"> SEQ Tabla \* ARABIC </w:instrText>
      </w:r>
      <w:r w:rsidRPr="00E729F7">
        <w:rPr>
          <w:rFonts w:ascii="Arial" w:hAnsi="Arial" w:cs="Arial"/>
          <w:b/>
          <w:i w:val="0"/>
          <w:color w:val="auto"/>
          <w:sz w:val="16"/>
        </w:rPr>
        <w:fldChar w:fldCharType="separate"/>
      </w:r>
      <w:r w:rsidR="004D4C6A">
        <w:rPr>
          <w:rFonts w:ascii="Arial" w:hAnsi="Arial" w:cs="Arial"/>
          <w:b/>
          <w:i w:val="0"/>
          <w:noProof/>
          <w:color w:val="auto"/>
          <w:sz w:val="16"/>
        </w:rPr>
        <w:t>9</w:t>
      </w:r>
      <w:r w:rsidRPr="00E729F7">
        <w:rPr>
          <w:rFonts w:ascii="Arial" w:hAnsi="Arial" w:cs="Arial"/>
          <w:b/>
          <w:i w:val="0"/>
          <w:color w:val="auto"/>
          <w:sz w:val="16"/>
        </w:rPr>
        <w:fldChar w:fldCharType="end"/>
      </w:r>
      <w:r w:rsidRPr="00E729F7">
        <w:rPr>
          <w:rFonts w:ascii="Arial" w:hAnsi="Arial" w:cs="Arial"/>
          <w:b/>
          <w:i w:val="0"/>
          <w:color w:val="auto"/>
          <w:sz w:val="16"/>
        </w:rPr>
        <w:t xml:space="preserve">. </w:t>
      </w:r>
      <w:r w:rsidR="001A78FC" w:rsidRPr="00E729F7">
        <w:rPr>
          <w:rFonts w:ascii="Arial" w:hAnsi="Arial" w:cs="Arial"/>
          <w:b/>
          <w:i w:val="0"/>
          <w:color w:val="auto"/>
          <w:sz w:val="16"/>
        </w:rPr>
        <w:t>Detalle Estrategias Financiación</w:t>
      </w:r>
      <w:bookmarkEnd w:id="37"/>
    </w:p>
    <w:tbl>
      <w:tblPr>
        <w:tblStyle w:val="Tabladecuadrcula4-nfasis1"/>
        <w:tblW w:w="5000" w:type="pct"/>
        <w:tblLook w:val="04A0" w:firstRow="1" w:lastRow="0" w:firstColumn="1" w:lastColumn="0" w:noHBand="0" w:noVBand="1"/>
      </w:tblPr>
      <w:tblGrid>
        <w:gridCol w:w="2404"/>
        <w:gridCol w:w="3688"/>
        <w:gridCol w:w="3258"/>
      </w:tblGrid>
      <w:tr w:rsidR="00D15527" w:rsidRPr="00EA2B81" w14:paraId="39B092AB" w14:textId="77777777" w:rsidTr="00E729F7">
        <w:trPr>
          <w:cnfStyle w:val="100000000000" w:firstRow="1" w:lastRow="0" w:firstColumn="0" w:lastColumn="0" w:oddVBand="0" w:evenVBand="0" w:oddHBand="0" w:evenHBand="0" w:firstRowFirstColumn="0" w:firstRowLastColumn="0" w:lastRowFirstColumn="0" w:lastRowLastColumn="0"/>
          <w:trHeight w:val="290"/>
          <w:tblHeader/>
        </w:trPr>
        <w:tc>
          <w:tcPr>
            <w:cnfStyle w:val="001000000000" w:firstRow="0" w:lastRow="0" w:firstColumn="1" w:lastColumn="0" w:oddVBand="0" w:evenVBand="0" w:oddHBand="0" w:evenHBand="0" w:firstRowFirstColumn="0" w:firstRowLastColumn="0" w:lastRowFirstColumn="0" w:lastRowLastColumn="0"/>
            <w:tcW w:w="1286" w:type="pct"/>
            <w:vAlign w:val="center"/>
            <w:hideMark/>
          </w:tcPr>
          <w:p w14:paraId="701BBE16" w14:textId="77777777" w:rsidR="00D15527" w:rsidRPr="00EA2B81" w:rsidRDefault="00D15527" w:rsidP="00EA2B81">
            <w:pPr>
              <w:jc w:val="center"/>
              <w:rPr>
                <w:rFonts w:cs="Arial"/>
                <w:sz w:val="16"/>
                <w:szCs w:val="20"/>
                <w:lang w:eastAsia="es-CO"/>
              </w:rPr>
            </w:pPr>
            <w:r w:rsidRPr="00EA2B81">
              <w:rPr>
                <w:rFonts w:cs="Arial"/>
                <w:sz w:val="16"/>
                <w:szCs w:val="20"/>
                <w:lang w:eastAsia="es-CO"/>
              </w:rPr>
              <w:t>ESTRATEGIA</w:t>
            </w:r>
          </w:p>
        </w:tc>
        <w:tc>
          <w:tcPr>
            <w:tcW w:w="1972" w:type="pct"/>
            <w:vAlign w:val="center"/>
            <w:hideMark/>
          </w:tcPr>
          <w:p w14:paraId="7358338C" w14:textId="77777777" w:rsidR="00D15527" w:rsidRPr="00EA2B81" w:rsidRDefault="00D15527" w:rsidP="00EA2B81">
            <w:pPr>
              <w:jc w:val="center"/>
              <w:cnfStyle w:val="100000000000" w:firstRow="1" w:lastRow="0" w:firstColumn="0" w:lastColumn="0" w:oddVBand="0" w:evenVBand="0" w:oddHBand="0" w:evenHBand="0" w:firstRowFirstColumn="0" w:firstRowLastColumn="0" w:lastRowFirstColumn="0" w:lastRowLastColumn="0"/>
              <w:rPr>
                <w:rFonts w:cs="Arial"/>
                <w:sz w:val="16"/>
                <w:szCs w:val="20"/>
                <w:lang w:eastAsia="es-CO"/>
              </w:rPr>
            </w:pPr>
            <w:r w:rsidRPr="00EA2B81">
              <w:rPr>
                <w:rFonts w:cs="Arial"/>
                <w:sz w:val="16"/>
                <w:szCs w:val="20"/>
                <w:lang w:eastAsia="es-CO"/>
              </w:rPr>
              <w:t>ESTADO</w:t>
            </w:r>
          </w:p>
        </w:tc>
        <w:tc>
          <w:tcPr>
            <w:tcW w:w="1742" w:type="pct"/>
            <w:vAlign w:val="center"/>
            <w:hideMark/>
          </w:tcPr>
          <w:p w14:paraId="19BE6EE2" w14:textId="77777777" w:rsidR="00D15527" w:rsidRPr="00EA2B81" w:rsidRDefault="00D15527" w:rsidP="00EA2B81">
            <w:pPr>
              <w:jc w:val="center"/>
              <w:cnfStyle w:val="100000000000" w:firstRow="1" w:lastRow="0" w:firstColumn="0" w:lastColumn="0" w:oddVBand="0" w:evenVBand="0" w:oddHBand="0" w:evenHBand="0" w:firstRowFirstColumn="0" w:firstRowLastColumn="0" w:lastRowFirstColumn="0" w:lastRowLastColumn="0"/>
              <w:rPr>
                <w:rFonts w:cs="Arial"/>
                <w:sz w:val="16"/>
                <w:szCs w:val="20"/>
                <w:lang w:eastAsia="es-CO"/>
              </w:rPr>
            </w:pPr>
            <w:r w:rsidRPr="00EA2B81">
              <w:rPr>
                <w:rFonts w:cs="Arial"/>
                <w:sz w:val="16"/>
                <w:szCs w:val="20"/>
                <w:lang w:eastAsia="es-CO"/>
              </w:rPr>
              <w:t>PENDIENTE</w:t>
            </w:r>
          </w:p>
        </w:tc>
      </w:tr>
      <w:tr w:rsidR="006530A4" w:rsidRPr="00EA2B81" w14:paraId="163D8F5B" w14:textId="77777777" w:rsidTr="00E729F7">
        <w:trPr>
          <w:cnfStyle w:val="000000100000" w:firstRow="0" w:lastRow="0" w:firstColumn="0" w:lastColumn="0" w:oddVBand="0" w:evenVBand="0" w:oddHBand="1" w:evenHBand="0" w:firstRowFirstColumn="0" w:firstRowLastColumn="0" w:lastRowFirstColumn="0" w:lastRowLastColumn="0"/>
          <w:trHeight w:val="2669"/>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5641C5E8" w14:textId="06B41F34" w:rsidR="006530A4" w:rsidRPr="002C7E51" w:rsidRDefault="006530A4" w:rsidP="00263E30">
            <w:pPr>
              <w:spacing w:line="276" w:lineRule="auto"/>
              <w:jc w:val="center"/>
              <w:rPr>
                <w:rFonts w:cs="Arial"/>
                <w:sz w:val="16"/>
                <w:szCs w:val="22"/>
              </w:rPr>
            </w:pPr>
            <w:r w:rsidRPr="002C7E51">
              <w:rPr>
                <w:rFonts w:cs="Arial"/>
                <w:sz w:val="16"/>
                <w:szCs w:val="22"/>
              </w:rPr>
              <w:t>Cooperación UK</w:t>
            </w:r>
          </w:p>
          <w:p w14:paraId="6016B91F" w14:textId="77777777" w:rsidR="002C7E51" w:rsidRPr="00671405" w:rsidRDefault="002C7E51" w:rsidP="00263E30">
            <w:pPr>
              <w:spacing w:line="276" w:lineRule="auto"/>
              <w:jc w:val="center"/>
              <w:rPr>
                <w:rFonts w:cs="Arial"/>
                <w:sz w:val="16"/>
                <w:szCs w:val="22"/>
              </w:rPr>
            </w:pPr>
          </w:p>
          <w:p w14:paraId="34523D95" w14:textId="77777777" w:rsidR="006530A4" w:rsidRPr="00671405" w:rsidRDefault="006530A4" w:rsidP="00E02598">
            <w:pPr>
              <w:spacing w:line="276" w:lineRule="auto"/>
              <w:jc w:val="center"/>
              <w:rPr>
                <w:rFonts w:cs="Arial"/>
                <w:b w:val="0"/>
                <w:sz w:val="16"/>
                <w:szCs w:val="22"/>
              </w:rPr>
            </w:pPr>
            <w:r w:rsidRPr="002C7E51">
              <w:rPr>
                <w:rFonts w:cs="Arial"/>
                <w:sz w:val="16"/>
                <w:szCs w:val="22"/>
              </w:rPr>
              <w:t>Municipios financiados:</w:t>
            </w:r>
            <w:r w:rsidRPr="00671405">
              <w:rPr>
                <w:rFonts w:cs="Arial"/>
                <w:b w:val="0"/>
                <w:sz w:val="16"/>
                <w:szCs w:val="22"/>
              </w:rPr>
              <w:t xml:space="preserve"> 20 municipios PDET y 2 Parques Nacionales, con 16.570.773 Has.</w:t>
            </w:r>
          </w:p>
          <w:p w14:paraId="521150F9" w14:textId="77777777" w:rsidR="006530A4" w:rsidRPr="00671405" w:rsidRDefault="006530A4" w:rsidP="00E02598">
            <w:pPr>
              <w:spacing w:line="276" w:lineRule="auto"/>
              <w:jc w:val="center"/>
              <w:rPr>
                <w:rFonts w:cs="Arial"/>
                <w:b w:val="0"/>
                <w:sz w:val="16"/>
                <w:szCs w:val="22"/>
              </w:rPr>
            </w:pPr>
            <w:r w:rsidRPr="002C7E51">
              <w:rPr>
                <w:rFonts w:cs="Arial"/>
                <w:sz w:val="16"/>
                <w:szCs w:val="22"/>
              </w:rPr>
              <w:t>Acuerdo de donación suscrito:</w:t>
            </w:r>
            <w:r w:rsidRPr="00671405">
              <w:rPr>
                <w:rFonts w:cs="Arial"/>
                <w:b w:val="0"/>
                <w:sz w:val="16"/>
                <w:szCs w:val="22"/>
              </w:rPr>
              <w:t xml:space="preserve"> 8 de marzo de 2021</w:t>
            </w:r>
          </w:p>
          <w:p w14:paraId="7D5C441C" w14:textId="77777777" w:rsidR="006530A4" w:rsidRPr="00671405" w:rsidRDefault="006530A4" w:rsidP="00E02598">
            <w:pPr>
              <w:spacing w:line="276" w:lineRule="auto"/>
              <w:jc w:val="center"/>
              <w:rPr>
                <w:rFonts w:cs="Arial"/>
                <w:b w:val="0"/>
                <w:sz w:val="16"/>
                <w:szCs w:val="22"/>
              </w:rPr>
            </w:pPr>
            <w:r w:rsidRPr="002C7E51">
              <w:rPr>
                <w:rFonts w:cs="Arial"/>
                <w:sz w:val="16"/>
                <w:szCs w:val="22"/>
              </w:rPr>
              <w:t>Aprobación Reglamento Operativo</w:t>
            </w:r>
            <w:r w:rsidRPr="00671405">
              <w:rPr>
                <w:rFonts w:cs="Arial"/>
                <w:b w:val="0"/>
                <w:sz w:val="16"/>
                <w:szCs w:val="22"/>
              </w:rPr>
              <w:t>: 29 de abril de 2021</w:t>
            </w:r>
          </w:p>
          <w:p w14:paraId="6EF78B87" w14:textId="6B102D68" w:rsidR="006530A4" w:rsidRPr="002C7E51" w:rsidRDefault="006530A4" w:rsidP="00E02598">
            <w:pPr>
              <w:spacing w:line="276" w:lineRule="auto"/>
              <w:jc w:val="center"/>
              <w:rPr>
                <w:rFonts w:cs="Arial"/>
                <w:sz w:val="16"/>
                <w:szCs w:val="22"/>
              </w:rPr>
            </w:pPr>
            <w:r w:rsidRPr="002C7E51">
              <w:rPr>
                <w:rFonts w:cs="Arial"/>
                <w:sz w:val="16"/>
                <w:szCs w:val="22"/>
              </w:rPr>
              <w:t>Aprobación áreas a intervenir:</w:t>
            </w:r>
            <w:r w:rsidRPr="00671405">
              <w:rPr>
                <w:rFonts w:cs="Arial"/>
                <w:b w:val="0"/>
                <w:sz w:val="16"/>
                <w:szCs w:val="22"/>
              </w:rPr>
              <w:t xml:space="preserve"> 7 de julio 2021</w:t>
            </w:r>
          </w:p>
        </w:tc>
        <w:tc>
          <w:tcPr>
            <w:tcW w:w="1972" w:type="pct"/>
            <w:vAlign w:val="center"/>
          </w:tcPr>
          <w:p w14:paraId="664B05ED" w14:textId="77777777" w:rsidR="00671405" w:rsidRDefault="006530A4" w:rsidP="000A20EE">
            <w:pPr>
              <w:pStyle w:val="Prrafodelista"/>
              <w:numPr>
                <w:ilvl w:val="0"/>
                <w:numId w:val="260"/>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657F5E">
              <w:rPr>
                <w:rFonts w:cs="Arial"/>
                <w:sz w:val="16"/>
                <w:szCs w:val="22"/>
              </w:rPr>
              <w:t>Inicialmente se definió que los 20 municipios se ejecutarían 3 por parte de Antioquia, por ser de su jurisdicción; 10 directamente por el IGAC (4 Caque</w:t>
            </w:r>
            <w:r w:rsidR="00671405">
              <w:rPr>
                <w:rFonts w:cs="Arial"/>
                <w:sz w:val="16"/>
                <w:szCs w:val="22"/>
              </w:rPr>
              <w:t>tá, 4 Guaviare y 2 de Putumayo)</w:t>
            </w:r>
          </w:p>
          <w:p w14:paraId="29B0A438" w14:textId="066C811C" w:rsidR="006530A4" w:rsidRPr="00E02598" w:rsidRDefault="006530A4" w:rsidP="000A20EE">
            <w:pPr>
              <w:pStyle w:val="Prrafodelista"/>
              <w:numPr>
                <w:ilvl w:val="0"/>
                <w:numId w:val="260"/>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657F5E">
              <w:rPr>
                <w:rFonts w:cs="Arial"/>
                <w:sz w:val="16"/>
                <w:szCs w:val="22"/>
              </w:rPr>
              <w:t>Después de realizar las reuniones con los municipios involucrados en el proyecto, en la primera semana de noviembre se definió que el IGAC ejecutará la actualización catastral de 17 municipios, por medio de la contratación de operadores catastrales.</w:t>
            </w:r>
          </w:p>
        </w:tc>
        <w:tc>
          <w:tcPr>
            <w:tcW w:w="1742" w:type="pct"/>
            <w:vAlign w:val="center"/>
          </w:tcPr>
          <w:p w14:paraId="1CB11BE3" w14:textId="293921BB" w:rsidR="006530A4" w:rsidRPr="002C7E51" w:rsidRDefault="006530A4" w:rsidP="000A20EE">
            <w:pPr>
              <w:pStyle w:val="Prrafodelista"/>
              <w:numPr>
                <w:ilvl w:val="0"/>
                <w:numId w:val="260"/>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2C7E51">
              <w:rPr>
                <w:rFonts w:cs="Arial"/>
                <w:sz w:val="16"/>
                <w:szCs w:val="22"/>
              </w:rPr>
              <w:t>Se encuentra en proceso precontractual la licitación para la contratación de los operadores catastrales de 17 municipios.</w:t>
            </w:r>
          </w:p>
          <w:p w14:paraId="51878C7C" w14:textId="77777777" w:rsidR="006530A4" w:rsidRPr="002C7E51" w:rsidRDefault="006530A4" w:rsidP="000A20EE">
            <w:pPr>
              <w:pStyle w:val="Prrafodelista"/>
              <w:numPr>
                <w:ilvl w:val="0"/>
                <w:numId w:val="260"/>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2C7E51">
              <w:rPr>
                <w:rFonts w:cs="Arial"/>
                <w:sz w:val="16"/>
                <w:szCs w:val="22"/>
              </w:rPr>
              <w:t>Aprobación de procesos de entrada parcial en municipios que tienen presencia étnica.</w:t>
            </w:r>
          </w:p>
          <w:p w14:paraId="7898BAA7" w14:textId="19054214" w:rsidR="006530A4" w:rsidRPr="00671405" w:rsidRDefault="006530A4" w:rsidP="000A20EE">
            <w:pPr>
              <w:pStyle w:val="Prrafodelista"/>
              <w:numPr>
                <w:ilvl w:val="0"/>
                <w:numId w:val="260"/>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2C7E51">
              <w:rPr>
                <w:rFonts w:cs="Arial"/>
                <w:sz w:val="16"/>
                <w:szCs w:val="22"/>
              </w:rPr>
              <w:t>Articulación con Catastro Antioquia para la intervención de los 3 municipios y el área del parque de Paramillo, financiados por Reino Unido y que están bajo su jurisdicción.</w:t>
            </w:r>
          </w:p>
        </w:tc>
      </w:tr>
      <w:tr w:rsidR="006530A4" w:rsidRPr="00EA2B81" w14:paraId="0C45D4FD" w14:textId="77777777" w:rsidTr="00540AEF">
        <w:trPr>
          <w:trHeight w:val="2248"/>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4B080D03" w14:textId="3C7BF08E" w:rsidR="00AF4279" w:rsidRPr="00EC74DB" w:rsidRDefault="00AF4279" w:rsidP="00AF4279">
            <w:pPr>
              <w:spacing w:line="276" w:lineRule="auto"/>
              <w:jc w:val="center"/>
              <w:rPr>
                <w:rFonts w:cs="Arial"/>
                <w:sz w:val="16"/>
                <w:szCs w:val="16"/>
              </w:rPr>
            </w:pPr>
            <w:r w:rsidRPr="0172BF66">
              <w:rPr>
                <w:rFonts w:cs="Arial"/>
                <w:sz w:val="16"/>
                <w:szCs w:val="16"/>
              </w:rPr>
              <w:lastRenderedPageBreak/>
              <w:t>Crédito de Catastro Multipropósito</w:t>
            </w:r>
          </w:p>
          <w:p w14:paraId="4746B3BA" w14:textId="3C7BF08E" w:rsidR="00EC74DB" w:rsidRDefault="00EC74DB" w:rsidP="00AF4279">
            <w:pPr>
              <w:spacing w:line="276" w:lineRule="auto"/>
              <w:jc w:val="center"/>
              <w:rPr>
                <w:rFonts w:cs="Arial"/>
                <w:sz w:val="16"/>
                <w:szCs w:val="16"/>
              </w:rPr>
            </w:pPr>
          </w:p>
          <w:p w14:paraId="0EE804E2" w14:textId="4F1C616E" w:rsidR="00AF4279" w:rsidRPr="0078056F" w:rsidRDefault="00AF4279" w:rsidP="00AF4279">
            <w:pPr>
              <w:spacing w:line="276" w:lineRule="auto"/>
              <w:jc w:val="center"/>
              <w:rPr>
                <w:rFonts w:cs="Arial"/>
                <w:sz w:val="16"/>
                <w:szCs w:val="16"/>
              </w:rPr>
            </w:pPr>
            <w:r w:rsidRPr="0172BF66">
              <w:rPr>
                <w:rFonts w:cs="Arial"/>
                <w:sz w:val="16"/>
                <w:szCs w:val="16"/>
              </w:rPr>
              <w:t xml:space="preserve">Municipios financiados: </w:t>
            </w:r>
            <w:r w:rsidRPr="0078056F">
              <w:rPr>
                <w:rFonts w:cs="Arial"/>
                <w:sz w:val="16"/>
                <w:szCs w:val="16"/>
              </w:rPr>
              <w:t>83 municipios (39 PDET).</w:t>
            </w:r>
          </w:p>
          <w:p w14:paraId="67205F69" w14:textId="3C7BF08E" w:rsidR="006530A4" w:rsidRPr="00EA2B81" w:rsidRDefault="006530A4" w:rsidP="00EA2B81">
            <w:pPr>
              <w:spacing w:after="240"/>
              <w:jc w:val="center"/>
              <w:rPr>
                <w:rFonts w:cs="Arial"/>
                <w:color w:val="000000"/>
                <w:sz w:val="16"/>
                <w:szCs w:val="16"/>
                <w:lang w:eastAsia="es-CO"/>
              </w:rPr>
            </w:pPr>
          </w:p>
        </w:tc>
        <w:tc>
          <w:tcPr>
            <w:tcW w:w="1972" w:type="pct"/>
            <w:vAlign w:val="center"/>
          </w:tcPr>
          <w:p w14:paraId="28180DF5" w14:textId="5EFB3C67"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 xml:space="preserve">Firma del Acuerdo </w:t>
            </w:r>
            <w:r w:rsidR="00927DA4" w:rsidRPr="00445883">
              <w:rPr>
                <w:rFonts w:cs="Arial"/>
                <w:sz w:val="16"/>
                <w:szCs w:val="12"/>
              </w:rPr>
              <w:t>interinstitucional</w:t>
            </w:r>
            <w:r w:rsidRPr="00445883">
              <w:rPr>
                <w:rFonts w:cs="Arial"/>
                <w:sz w:val="16"/>
                <w:szCs w:val="12"/>
              </w:rPr>
              <w:t xml:space="preserve"> 620 de 2019</w:t>
            </w:r>
          </w:p>
          <w:p w14:paraId="3DDC3CA8"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Selección inicial de 79 municipios, que por temas seguridad y buscando guardar la economía de escala fue modificada y aprobada en septiembre de 2020.</w:t>
            </w:r>
          </w:p>
          <w:p w14:paraId="450FCBE7"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En las salvaguardas y contratos de préstamo de catastro multipropósito con BM y BID (Crédito BIRF 8937-CO y Crédito BID 4856/OC-CO) se incluye la necesidad de concertar un documento metodológico para los levantamientos catastrales en territorios con presencia de grupos indígenas y NARP. La concertación de este documento se tenía prevista para 2020, por lo cual la ejecución de los municipios financiados por el Crédito se realizaría en 2021. Sin embargo, se presentan dificultades en la concertación de la guía.</w:t>
            </w:r>
          </w:p>
          <w:p w14:paraId="0A0E32B7"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Debido a estas dificultades, en septiembre de 2020 se decide lanzar la licitación de los 8 municipios de Boyacá no PDET y que no tienen presencia étnica, con el fin de iniciar con parte de la ejecución, porque de otra forma el cronograma de la licitación no hubiera permitido una adjudicación durante el 2020.</w:t>
            </w:r>
          </w:p>
          <w:p w14:paraId="5DBC4921"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En diciembre de 2020 en el marco de la MPC se define que el proceso de gestión catastral debe surtir consulta previa, que en principio culminaría en marzo de 2021.</w:t>
            </w:r>
          </w:p>
          <w:p w14:paraId="1B4E6F1A" w14:textId="79BDCF50"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Los 71 municipios restantes, de los cuales 39 son PDET, se programaron en una licitación que se adjudicaría en el primer semestre de 2021.</w:t>
            </w:r>
          </w:p>
          <w:p w14:paraId="2B08F271"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Cuando se ve que la consulta previa no se puede finalizar en el primer semestre de 2021, se define proyectar un proceso de licitación por los municipios que no tienen presencia étnica.</w:t>
            </w:r>
          </w:p>
          <w:p w14:paraId="1149A328"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 xml:space="preserve">En mayo de 2021, con presupuesto liberado por otros componentes a cargo del IGAC, se propone la intervención de cuatro (4) municipios adicionales, propuesta que fue aprobada por el Comité del Crédito. </w:t>
            </w:r>
          </w:p>
          <w:p w14:paraId="510501A8" w14:textId="3C7BF08E" w:rsidR="00C701D1" w:rsidRPr="00445883"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Para marzo de 2022 se tiene prevista la adjudicación de 32 municipios (10 PDET) que no tienen presencia étnica y la intervención parcial de 2 municipios.</w:t>
            </w:r>
          </w:p>
          <w:p w14:paraId="5FF91A2E" w14:textId="42770535" w:rsidR="006530A4" w:rsidRPr="00927DA4" w:rsidRDefault="00C701D1"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2"/>
              </w:rPr>
            </w:pPr>
            <w:r w:rsidRPr="00445883">
              <w:rPr>
                <w:rFonts w:cs="Arial"/>
                <w:sz w:val="16"/>
                <w:szCs w:val="12"/>
              </w:rPr>
              <w:t>La contratación de los 41 municipios restantes (29 PDET), iniciará en agosto de 2022, una vez finalice la consulta previa.</w:t>
            </w:r>
          </w:p>
        </w:tc>
        <w:tc>
          <w:tcPr>
            <w:tcW w:w="1742" w:type="pct"/>
            <w:vAlign w:val="center"/>
          </w:tcPr>
          <w:p w14:paraId="60A3FE5F" w14:textId="77777777" w:rsidR="00927DA4" w:rsidRPr="00927DA4" w:rsidRDefault="00927DA4"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4"/>
              </w:rPr>
            </w:pPr>
            <w:r w:rsidRPr="00927DA4">
              <w:rPr>
                <w:rFonts w:cs="Arial"/>
                <w:sz w:val="16"/>
                <w:szCs w:val="14"/>
              </w:rPr>
              <w:t>Consulta previa tanto para comunidades indígenas, como para comunidades NARP.</w:t>
            </w:r>
          </w:p>
          <w:p w14:paraId="0E626B1D" w14:textId="77777777" w:rsidR="00927DA4" w:rsidRPr="00927DA4" w:rsidRDefault="00927DA4"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14"/>
              </w:rPr>
            </w:pPr>
            <w:r w:rsidRPr="00927DA4">
              <w:rPr>
                <w:rFonts w:cs="Arial"/>
                <w:sz w:val="16"/>
                <w:szCs w:val="14"/>
              </w:rPr>
              <w:t>Definición de procesos con ejecución parcial por área con presencia étnica.</w:t>
            </w:r>
          </w:p>
          <w:p w14:paraId="70B400E3" w14:textId="77777777" w:rsidR="00927DA4" w:rsidRPr="00927DA4" w:rsidRDefault="00927DA4" w:rsidP="000A20EE">
            <w:pPr>
              <w:pStyle w:val="Prrafodelista"/>
              <w:numPr>
                <w:ilvl w:val="0"/>
                <w:numId w:val="237"/>
              </w:numPr>
              <w:spacing w:line="276" w:lineRule="auto"/>
              <w:cnfStyle w:val="000000000000" w:firstRow="0" w:lastRow="0" w:firstColumn="0" w:lastColumn="0" w:oddVBand="0" w:evenVBand="0" w:oddHBand="0" w:evenHBand="0" w:firstRowFirstColumn="0" w:firstRowLastColumn="0" w:lastRowFirstColumn="0" w:lastRowLastColumn="0"/>
              <w:rPr>
                <w:rFonts w:cs="Arial"/>
                <w:sz w:val="16"/>
                <w:szCs w:val="22"/>
              </w:rPr>
            </w:pPr>
            <w:r w:rsidRPr="00927DA4">
              <w:rPr>
                <w:rFonts w:cs="Arial"/>
                <w:sz w:val="16"/>
                <w:szCs w:val="22"/>
              </w:rPr>
              <w:t>Finalización procesos de contratación en curso y de los procesos programados para 2022.</w:t>
            </w:r>
          </w:p>
          <w:p w14:paraId="726E4B26" w14:textId="77777777" w:rsidR="006530A4" w:rsidRPr="00EA2B81" w:rsidRDefault="006530A4" w:rsidP="00927DA4">
            <w:pPr>
              <w:jc w:val="both"/>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p>
        </w:tc>
      </w:tr>
      <w:tr w:rsidR="006530A4" w:rsidRPr="00EA2B81" w14:paraId="1EFD08C0" w14:textId="77777777" w:rsidTr="00E729F7">
        <w:trPr>
          <w:cnfStyle w:val="000000100000" w:firstRow="0" w:lastRow="0" w:firstColumn="0" w:lastColumn="0" w:oddVBand="0" w:evenVBand="0" w:oddHBand="1" w:evenHBand="0" w:firstRowFirstColumn="0" w:firstRowLastColumn="0" w:lastRowFirstColumn="0" w:lastRowLastColumn="0"/>
          <w:trHeight w:val="1362"/>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4A5FBF71" w14:textId="77777777" w:rsidR="007A4079" w:rsidRDefault="007A4079" w:rsidP="007A4079">
            <w:pPr>
              <w:spacing w:line="276" w:lineRule="auto"/>
              <w:jc w:val="center"/>
              <w:rPr>
                <w:rFonts w:cs="Arial"/>
                <w:sz w:val="16"/>
                <w:szCs w:val="22"/>
              </w:rPr>
            </w:pPr>
          </w:p>
          <w:p w14:paraId="704AAA7F" w14:textId="732E181B" w:rsidR="00061B75" w:rsidRPr="00061B75" w:rsidRDefault="00061B75" w:rsidP="00061B75">
            <w:pPr>
              <w:spacing w:line="276" w:lineRule="auto"/>
              <w:jc w:val="center"/>
              <w:rPr>
                <w:rFonts w:cs="Arial"/>
                <w:sz w:val="16"/>
                <w:szCs w:val="22"/>
              </w:rPr>
            </w:pPr>
            <w:r>
              <w:rPr>
                <w:rFonts w:cs="Arial"/>
                <w:sz w:val="16"/>
                <w:szCs w:val="22"/>
              </w:rPr>
              <w:t>USAID</w:t>
            </w:r>
          </w:p>
          <w:p w14:paraId="626427A4" w14:textId="77777777" w:rsidR="007A4079" w:rsidRPr="00061B75" w:rsidRDefault="007A4079" w:rsidP="007A4079">
            <w:pPr>
              <w:spacing w:line="276" w:lineRule="auto"/>
              <w:jc w:val="center"/>
              <w:rPr>
                <w:rFonts w:cs="Arial"/>
                <w:sz w:val="16"/>
                <w:szCs w:val="22"/>
              </w:rPr>
            </w:pPr>
          </w:p>
          <w:p w14:paraId="37664D78" w14:textId="6B350BBD" w:rsidR="00061B75" w:rsidRPr="0078056F" w:rsidRDefault="00061B75" w:rsidP="00061B75">
            <w:pPr>
              <w:spacing w:line="276" w:lineRule="auto"/>
              <w:jc w:val="center"/>
              <w:rPr>
                <w:rFonts w:cs="Arial"/>
                <w:sz w:val="16"/>
                <w:szCs w:val="22"/>
              </w:rPr>
            </w:pPr>
            <w:r w:rsidRPr="00061B75">
              <w:rPr>
                <w:rFonts w:cs="Arial"/>
                <w:sz w:val="16"/>
                <w:szCs w:val="22"/>
              </w:rPr>
              <w:t xml:space="preserve">Municipios financiados: </w:t>
            </w:r>
            <w:r w:rsidRPr="0078056F">
              <w:rPr>
                <w:rFonts w:cs="Arial"/>
                <w:sz w:val="16"/>
                <w:szCs w:val="22"/>
              </w:rPr>
              <w:t>11 municipios PDET con 1.840.385 Has.</w:t>
            </w:r>
          </w:p>
          <w:p w14:paraId="1479A2E6" w14:textId="77777777" w:rsidR="006530A4" w:rsidRPr="00EA2B81" w:rsidRDefault="006530A4" w:rsidP="00EA2B81">
            <w:pPr>
              <w:spacing w:after="240"/>
              <w:jc w:val="center"/>
              <w:rPr>
                <w:rFonts w:cs="Arial"/>
                <w:color w:val="000000"/>
                <w:sz w:val="16"/>
                <w:szCs w:val="20"/>
                <w:lang w:eastAsia="es-CO"/>
              </w:rPr>
            </w:pPr>
          </w:p>
        </w:tc>
        <w:tc>
          <w:tcPr>
            <w:tcW w:w="1972" w:type="pct"/>
            <w:vAlign w:val="center"/>
          </w:tcPr>
          <w:p w14:paraId="096EE33E" w14:textId="77777777" w:rsidR="00E83F36" w:rsidRDefault="00E83F36" w:rsidP="000A20EE">
            <w:pPr>
              <w:pStyle w:val="Prrafodelista"/>
              <w:numPr>
                <w:ilvl w:val="0"/>
                <w:numId w:val="262"/>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E83F36">
              <w:rPr>
                <w:rFonts w:cs="Arial"/>
                <w:sz w:val="16"/>
                <w:szCs w:val="22"/>
              </w:rPr>
              <w:lastRenderedPageBreak/>
              <w:t>1 municipio ejecutado en 2019 en conjunto con el IGAC, Ovejas – Sucre.</w:t>
            </w:r>
          </w:p>
          <w:p w14:paraId="196B01E3" w14:textId="1FEAB001" w:rsidR="006530A4" w:rsidRPr="00E83F36" w:rsidRDefault="00E83F36" w:rsidP="000A20EE">
            <w:pPr>
              <w:pStyle w:val="Prrafodelista"/>
              <w:numPr>
                <w:ilvl w:val="0"/>
                <w:numId w:val="262"/>
              </w:numPr>
              <w:spacing w:line="276" w:lineRule="auto"/>
              <w:cnfStyle w:val="000000100000" w:firstRow="0" w:lastRow="0" w:firstColumn="0" w:lastColumn="0" w:oddVBand="0" w:evenVBand="0" w:oddHBand="1" w:evenHBand="0" w:firstRowFirstColumn="0" w:firstRowLastColumn="0" w:lastRowFirstColumn="0" w:lastRowLastColumn="0"/>
              <w:rPr>
                <w:rFonts w:cs="Arial"/>
                <w:sz w:val="16"/>
                <w:szCs w:val="22"/>
              </w:rPr>
            </w:pPr>
            <w:r w:rsidRPr="00E83F36">
              <w:rPr>
                <w:rFonts w:cs="Arial"/>
                <w:sz w:val="16"/>
                <w:szCs w:val="22"/>
              </w:rPr>
              <w:t>Tiene programada la intervención de 6 municipios en 2022 y 4 municipios en 2023.</w:t>
            </w:r>
          </w:p>
        </w:tc>
        <w:tc>
          <w:tcPr>
            <w:tcW w:w="1742" w:type="pct"/>
            <w:vAlign w:val="center"/>
          </w:tcPr>
          <w:p w14:paraId="39341B03" w14:textId="77777777" w:rsidR="006530A4" w:rsidRPr="00EA2B81" w:rsidRDefault="006530A4" w:rsidP="00EA2B81">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p>
        </w:tc>
      </w:tr>
      <w:tr w:rsidR="00D15527" w:rsidRPr="00EA2B81" w14:paraId="7F10D73F" w14:textId="77777777" w:rsidTr="00E729F7">
        <w:trPr>
          <w:trHeight w:val="2669"/>
        </w:trPr>
        <w:tc>
          <w:tcPr>
            <w:cnfStyle w:val="001000000000" w:firstRow="0" w:lastRow="0" w:firstColumn="1" w:lastColumn="0" w:oddVBand="0" w:evenVBand="0" w:oddHBand="0" w:evenHBand="0" w:firstRowFirstColumn="0" w:firstRowLastColumn="0" w:lastRowFirstColumn="0" w:lastRowLastColumn="0"/>
            <w:tcW w:w="1286" w:type="pct"/>
            <w:vAlign w:val="center"/>
            <w:hideMark/>
          </w:tcPr>
          <w:p w14:paraId="5F0C28FD" w14:textId="77777777" w:rsidR="000B4666" w:rsidRPr="000B4666" w:rsidRDefault="00D15527" w:rsidP="000B4666">
            <w:pPr>
              <w:pStyle w:val="Sinespaciado"/>
              <w:jc w:val="center"/>
              <w:rPr>
                <w:rFonts w:ascii="Arial" w:hAnsi="Arial" w:cs="Arial"/>
                <w:sz w:val="16"/>
              </w:rPr>
            </w:pPr>
            <w:r w:rsidRPr="000B4666">
              <w:rPr>
                <w:rFonts w:ascii="Arial" w:hAnsi="Arial" w:cs="Arial"/>
                <w:sz w:val="16"/>
              </w:rPr>
              <w:lastRenderedPageBreak/>
              <w:t>OCAD PAZ</w:t>
            </w:r>
          </w:p>
          <w:p w14:paraId="7F84ADF3" w14:textId="3F69F5EC" w:rsidR="00E86774" w:rsidRPr="000B4666" w:rsidRDefault="00D15527" w:rsidP="000B4666">
            <w:pPr>
              <w:pStyle w:val="Sinespaciado"/>
              <w:jc w:val="center"/>
              <w:rPr>
                <w:rFonts w:ascii="Arial" w:hAnsi="Arial" w:cs="Arial"/>
                <w:sz w:val="16"/>
              </w:rPr>
            </w:pPr>
            <w:r w:rsidRPr="000B4666">
              <w:rPr>
                <w:rFonts w:ascii="Arial" w:hAnsi="Arial" w:cs="Arial"/>
                <w:sz w:val="16"/>
              </w:rPr>
              <w:br/>
              <w:t xml:space="preserve">Municipios programados a financiar: </w:t>
            </w:r>
            <w:r w:rsidRPr="00092C22">
              <w:rPr>
                <w:rFonts w:ascii="Arial" w:hAnsi="Arial" w:cs="Arial"/>
                <w:b w:val="0"/>
                <w:sz w:val="16"/>
              </w:rPr>
              <w:t>39 municipios PDET con 5.911.179 Has.</w:t>
            </w:r>
            <w:r w:rsidRPr="000B4666">
              <w:rPr>
                <w:rFonts w:ascii="Arial" w:hAnsi="Arial" w:cs="Arial"/>
                <w:sz w:val="16"/>
              </w:rPr>
              <w:br/>
            </w:r>
          </w:p>
          <w:p w14:paraId="588E4218" w14:textId="77777777" w:rsidR="000B4666" w:rsidRPr="00092C22" w:rsidRDefault="00D15527" w:rsidP="000B4666">
            <w:pPr>
              <w:pStyle w:val="Sinespaciado"/>
              <w:jc w:val="center"/>
              <w:rPr>
                <w:rFonts w:ascii="Arial" w:hAnsi="Arial" w:cs="Arial"/>
                <w:b w:val="0"/>
                <w:sz w:val="16"/>
              </w:rPr>
            </w:pPr>
            <w:r w:rsidRPr="000B4666">
              <w:rPr>
                <w:rFonts w:ascii="Arial" w:hAnsi="Arial" w:cs="Arial"/>
                <w:sz w:val="16"/>
              </w:rPr>
              <w:t xml:space="preserve">Municipios asignados al IGAC: </w:t>
            </w:r>
            <w:r w:rsidRPr="00092C22">
              <w:rPr>
                <w:rFonts w:ascii="Arial" w:hAnsi="Arial" w:cs="Arial"/>
                <w:b w:val="0"/>
                <w:sz w:val="16"/>
              </w:rPr>
              <w:t>Balboa - Cauca y Orito – Putumayo</w:t>
            </w:r>
          </w:p>
          <w:p w14:paraId="41A87BE5" w14:textId="152C1E2C" w:rsidR="00D15527" w:rsidRPr="00EA2B81" w:rsidRDefault="00D15527" w:rsidP="000B4666">
            <w:pPr>
              <w:pStyle w:val="Sinespaciado"/>
              <w:jc w:val="center"/>
            </w:pPr>
            <w:r w:rsidRPr="000B4666">
              <w:rPr>
                <w:rFonts w:ascii="Arial" w:hAnsi="Arial" w:cs="Arial"/>
                <w:sz w:val="16"/>
              </w:rPr>
              <w:br/>
              <w:t xml:space="preserve">Recursos asignados directamente a los municipios: </w:t>
            </w:r>
            <w:r w:rsidRPr="00092C22">
              <w:rPr>
                <w:rFonts w:ascii="Arial" w:hAnsi="Arial" w:cs="Arial"/>
                <w:b w:val="0"/>
                <w:sz w:val="16"/>
              </w:rPr>
              <w:t>4 municipios (San Pablo, Cantagallo, Morales y Simití – Bolívar)</w:t>
            </w:r>
          </w:p>
        </w:tc>
        <w:tc>
          <w:tcPr>
            <w:tcW w:w="1972" w:type="pct"/>
            <w:vAlign w:val="center"/>
            <w:hideMark/>
          </w:tcPr>
          <w:p w14:paraId="6DDF94E4" w14:textId="37D1E680" w:rsidR="001F0327"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r w:rsidRPr="037BBEDB">
              <w:rPr>
                <w:rFonts w:cs="Arial"/>
                <w:color w:val="000000" w:themeColor="text1"/>
                <w:sz w:val="16"/>
                <w:szCs w:val="16"/>
                <w:lang w:eastAsia="es-CO"/>
              </w:rPr>
              <w:t xml:space="preserve">Balboa: el 12 de octubre de 2021, el IGAC aceptó designación de ejecutor y el 20 de octubre la Secretaría Técnica de OCAD PAZ, comunicó que ya había sido cargada en el SUIFP esta aceptación. </w:t>
            </w:r>
          </w:p>
          <w:p w14:paraId="0436B36B" w14:textId="37D1E680" w:rsidR="001F0327"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r w:rsidRPr="037BBEDB">
              <w:rPr>
                <w:rFonts w:cs="Arial"/>
                <w:color w:val="000000" w:themeColor="text1"/>
                <w:sz w:val="16"/>
                <w:szCs w:val="16"/>
                <w:lang w:eastAsia="es-CO"/>
              </w:rPr>
              <w:t>Orito: El 4 de noviembre se recibió en IGAC la designación de ejecutor, el IGAC aceptó designación de ejecutor el 9 de noviembre.</w:t>
            </w:r>
          </w:p>
          <w:p w14:paraId="29FAB48B" w14:textId="37D1E680" w:rsidR="001F0327"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r w:rsidRPr="037BBEDB">
              <w:rPr>
                <w:rFonts w:cs="Arial"/>
                <w:color w:val="000000" w:themeColor="text1"/>
                <w:sz w:val="16"/>
                <w:szCs w:val="16"/>
                <w:lang w:eastAsia="es-CO"/>
              </w:rPr>
              <w:t>San Pablo, Cantagallo, Morales y Simití – Bolívar: el IGAC realizó gestión ante estos municipios para definir la ejecución de los recursos asignados; sin embargo, hasta el momento estos municipios no han definido si el IGAC va a seguir siendo su gestor catastral.</w:t>
            </w:r>
          </w:p>
          <w:p w14:paraId="77A5DF7F" w14:textId="37D1E680" w:rsidR="00D15527" w:rsidRPr="00EA2B81"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r w:rsidRPr="037BBEDB">
              <w:rPr>
                <w:rFonts w:cs="Arial"/>
                <w:color w:val="000000" w:themeColor="text1"/>
                <w:sz w:val="16"/>
                <w:szCs w:val="16"/>
                <w:lang w:eastAsia="es-CO"/>
              </w:rPr>
              <w:t xml:space="preserve">El 11 de noviembre en sesión de OCAD PAZ, se definió que </w:t>
            </w:r>
            <w:r w:rsidRPr="037BBEDB">
              <w:rPr>
                <w:rFonts w:cs="Arial"/>
                <w:b/>
                <w:color w:val="000000" w:themeColor="text1"/>
                <w:sz w:val="16"/>
                <w:szCs w:val="16"/>
                <w:lang w:eastAsia="es-CO"/>
              </w:rPr>
              <w:t>no hay recursos para la financiación de los demás municipios.</w:t>
            </w:r>
          </w:p>
        </w:tc>
        <w:tc>
          <w:tcPr>
            <w:tcW w:w="1742" w:type="pct"/>
            <w:vAlign w:val="center"/>
            <w:hideMark/>
          </w:tcPr>
          <w:p w14:paraId="0D0EF631" w14:textId="77777777" w:rsidR="00E83F36"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EA2B81">
              <w:rPr>
                <w:rFonts w:cs="Arial"/>
                <w:color w:val="000000"/>
                <w:sz w:val="16"/>
                <w:lang w:eastAsia="es-CO"/>
              </w:rPr>
              <w:t>Definir los municipios que tenían proyecto formulado por OCAD PAZ y que ahora se financiarán por la Subcuenta de Catastro Multipropósito del Fondo Colombia en Paz.</w:t>
            </w:r>
          </w:p>
          <w:p w14:paraId="317C0D23" w14:textId="3D7A0497" w:rsidR="00D15527" w:rsidRPr="00EA2B81" w:rsidRDefault="00D15527" w:rsidP="000A20EE">
            <w:pPr>
              <w:pStyle w:val="Prrafodelista"/>
              <w:numPr>
                <w:ilvl w:val="0"/>
                <w:numId w:val="261"/>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EA2B81">
              <w:rPr>
                <w:rFonts w:cs="Arial"/>
                <w:color w:val="000000"/>
                <w:sz w:val="16"/>
                <w:lang w:eastAsia="es-CO"/>
              </w:rPr>
              <w:t>Asignación al IGAC de los recursos de los municipios de Balboa y Orito, para iniciar ejecución.</w:t>
            </w:r>
          </w:p>
        </w:tc>
      </w:tr>
      <w:tr w:rsidR="00D15527" w:rsidRPr="00EA2B81" w14:paraId="3E6C4974" w14:textId="77777777" w:rsidTr="00E729F7">
        <w:trPr>
          <w:cnfStyle w:val="000000100000" w:firstRow="0" w:lastRow="0" w:firstColumn="0" w:lastColumn="0" w:oddVBand="0" w:evenVBand="0" w:oddHBand="1" w:evenHBand="0" w:firstRowFirstColumn="0" w:firstRowLastColumn="0" w:lastRowFirstColumn="0" w:lastRowLastColumn="0"/>
          <w:trHeight w:val="6760"/>
        </w:trPr>
        <w:tc>
          <w:tcPr>
            <w:cnfStyle w:val="001000000000" w:firstRow="0" w:lastRow="0" w:firstColumn="1" w:lastColumn="0" w:oddVBand="0" w:evenVBand="0" w:oddHBand="0" w:evenHBand="0" w:firstRowFirstColumn="0" w:firstRowLastColumn="0" w:lastRowFirstColumn="0" w:lastRowLastColumn="0"/>
            <w:tcW w:w="1286" w:type="pct"/>
            <w:vAlign w:val="center"/>
            <w:hideMark/>
          </w:tcPr>
          <w:p w14:paraId="0FD857D7" w14:textId="77777777" w:rsidR="00092C22" w:rsidRDefault="00D15527" w:rsidP="00EA2B81">
            <w:pPr>
              <w:jc w:val="center"/>
              <w:rPr>
                <w:rFonts w:cs="Arial"/>
                <w:color w:val="000000"/>
                <w:sz w:val="16"/>
                <w:szCs w:val="20"/>
                <w:lang w:eastAsia="es-CO"/>
              </w:rPr>
            </w:pPr>
            <w:r w:rsidRPr="00EA2B81">
              <w:rPr>
                <w:rFonts w:cs="Arial"/>
                <w:color w:val="000000"/>
                <w:sz w:val="16"/>
                <w:szCs w:val="20"/>
                <w:lang w:eastAsia="es-CO"/>
              </w:rPr>
              <w:t>Fondo Colombia en Paz</w:t>
            </w:r>
          </w:p>
          <w:p w14:paraId="441E7C6E" w14:textId="0F7E253C" w:rsidR="00D15527" w:rsidRPr="00EA2B81" w:rsidRDefault="00D15527" w:rsidP="00EA2B81">
            <w:pPr>
              <w:jc w:val="center"/>
              <w:rPr>
                <w:rFonts w:cs="Arial"/>
                <w:color w:val="000000"/>
                <w:sz w:val="16"/>
                <w:szCs w:val="20"/>
                <w:lang w:eastAsia="es-CO"/>
              </w:rPr>
            </w:pPr>
            <w:r w:rsidRPr="00EA2B81">
              <w:rPr>
                <w:rFonts w:cs="Arial"/>
                <w:color w:val="000000"/>
                <w:sz w:val="16"/>
                <w:szCs w:val="20"/>
                <w:lang w:eastAsia="es-CO"/>
              </w:rPr>
              <w:br/>
              <w:t xml:space="preserve">Municipios PDET financiados: </w:t>
            </w:r>
            <w:r w:rsidRPr="00092C22">
              <w:rPr>
                <w:rFonts w:cs="Arial"/>
                <w:b w:val="0"/>
                <w:color w:val="000000"/>
                <w:sz w:val="16"/>
                <w:szCs w:val="20"/>
                <w:lang w:eastAsia="es-CO"/>
              </w:rPr>
              <w:t>46 municipios, con 6.275.701 Has.</w:t>
            </w:r>
            <w:r w:rsidRPr="00092C22">
              <w:rPr>
                <w:rFonts w:cs="Arial"/>
                <w:b w:val="0"/>
                <w:color w:val="000000"/>
                <w:sz w:val="16"/>
                <w:szCs w:val="20"/>
                <w:lang w:eastAsia="es-CO"/>
              </w:rPr>
              <w:br/>
            </w:r>
            <w:r w:rsidRPr="00EA2B81">
              <w:rPr>
                <w:rFonts w:cs="Arial"/>
                <w:color w:val="000000"/>
                <w:sz w:val="16"/>
                <w:szCs w:val="20"/>
                <w:lang w:eastAsia="es-CO"/>
              </w:rPr>
              <w:t>Recursos asignados a la subcuenta de catastro multipropósito FCP</w:t>
            </w:r>
            <w:r w:rsidRPr="00EA2B81">
              <w:rPr>
                <w:rFonts w:cs="Arial"/>
                <w:color w:val="000000"/>
                <w:sz w:val="16"/>
                <w:szCs w:val="20"/>
                <w:lang w:eastAsia="es-CO"/>
              </w:rPr>
              <w:br/>
              <w:t>IGAC líder de la subcuenta</w:t>
            </w:r>
          </w:p>
        </w:tc>
        <w:tc>
          <w:tcPr>
            <w:tcW w:w="1972" w:type="pct"/>
            <w:vAlign w:val="center"/>
            <w:hideMark/>
          </w:tcPr>
          <w:p w14:paraId="1166B29E" w14:textId="77777777" w:rsidR="00727DC2" w:rsidRDefault="00D15527" w:rsidP="00727DC2">
            <w:p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Actividades desarrolladas entre septiembre 01 y octubre 15 de 2021:</w:t>
            </w:r>
          </w:p>
          <w:p w14:paraId="6CFA2806" w14:textId="72786FD2" w:rsidR="006354EC" w:rsidRPr="00727DC2" w:rsidRDefault="00D15527" w:rsidP="00727DC2">
            <w:p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Proyecto - Presupuesto – Contratación</w:t>
            </w:r>
          </w:p>
          <w:p w14:paraId="1F5E6999"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Elaboración documento técnico de justificación actualización del proyecto</w:t>
            </w:r>
          </w:p>
          <w:p w14:paraId="5F5C36DF"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Envío justificación para revisión previa por parte del DANE, DNP y del DAPRE</w:t>
            </w:r>
          </w:p>
          <w:p w14:paraId="32D36068"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Registro y aprobación vigencia futura que superan el periodo de gobierno CONPES Importancia Estratégica</w:t>
            </w:r>
          </w:p>
          <w:p w14:paraId="5848EB75"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Creación y envío de la solicitud en el SUIFP (IGAC) para la aprobación de la vigencia futura por parte de DANE y DNP</w:t>
            </w:r>
          </w:p>
          <w:p w14:paraId="64FE336A"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Revisión, solicitud de ajustes y aprobación por parte de la cabeza de sector a los documentos soporte de la solicitud de la vigencia futura</w:t>
            </w:r>
          </w:p>
          <w:p w14:paraId="3AA7EC90"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Remisión de la solicitud con los respectivos soportes a través de SUIFP por parte de la cabeza del sector al DNP para aprobación</w:t>
            </w:r>
          </w:p>
          <w:p w14:paraId="5A162398"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Aprobar solicitud Dirección técnica y Dirección de Inversiones y Finanzas Públicas (DNP)</w:t>
            </w:r>
          </w:p>
          <w:p w14:paraId="69F157A1"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Autorización vigencias futuras Director General del Presupuesto Público Nacional (MINHACIENDA)</w:t>
            </w:r>
          </w:p>
          <w:p w14:paraId="7C9311EC"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 xml:space="preserve">Aprobación Reforma Tributaria </w:t>
            </w:r>
          </w:p>
          <w:p w14:paraId="0A5BF966"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 xml:space="preserve">Registro Actualización Proyecto de Inversión </w:t>
            </w:r>
          </w:p>
          <w:p w14:paraId="2046789D"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 xml:space="preserve">Aprobar solicitud cabeza del sector </w:t>
            </w:r>
          </w:p>
          <w:p w14:paraId="73FEC863" w14:textId="77777777" w:rsidR="006354EC"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 xml:space="preserve">Revisión y Aprobación Actualización proyecto de inversión </w:t>
            </w:r>
          </w:p>
          <w:p w14:paraId="60985B34" w14:textId="004862B1" w:rsidR="00D15527" w:rsidRPr="002B3799"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Elaboración y Entrega plan de Contratación al FCP</w:t>
            </w:r>
          </w:p>
        </w:tc>
        <w:tc>
          <w:tcPr>
            <w:tcW w:w="1742" w:type="pct"/>
            <w:vAlign w:val="center"/>
            <w:hideMark/>
          </w:tcPr>
          <w:p w14:paraId="4FEFD286" w14:textId="0FEB3E6E" w:rsidR="00D15527" w:rsidRPr="002B3799" w:rsidRDefault="00D15527" w:rsidP="000A20EE">
            <w:pPr>
              <w:pStyle w:val="Prrafodelista"/>
              <w:numPr>
                <w:ilvl w:val="0"/>
                <w:numId w:val="263"/>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2B3799">
              <w:rPr>
                <w:rFonts w:cs="Arial"/>
                <w:color w:val="000000"/>
                <w:sz w:val="16"/>
                <w:lang w:eastAsia="es-CO"/>
              </w:rPr>
              <w:t>Se está a la espera del registro de la actualización del proyecto de Distribución por parte de la Consejería para la Estabilización, actividad que no se ha podido desarrollar porque el MinHacienda no viabilizó los 20.000 millones para el 2021.</w:t>
            </w:r>
          </w:p>
        </w:tc>
      </w:tr>
      <w:tr w:rsidR="00D15527" w:rsidRPr="00EA2B81" w14:paraId="3ABB04FD" w14:textId="77777777" w:rsidTr="00E729F7">
        <w:trPr>
          <w:trHeight w:val="3393"/>
        </w:trPr>
        <w:tc>
          <w:tcPr>
            <w:cnfStyle w:val="001000000000" w:firstRow="0" w:lastRow="0" w:firstColumn="1" w:lastColumn="0" w:oddVBand="0" w:evenVBand="0" w:oddHBand="0" w:evenHBand="0" w:firstRowFirstColumn="0" w:firstRowLastColumn="0" w:lastRowFirstColumn="0" w:lastRowLastColumn="0"/>
            <w:tcW w:w="1286" w:type="pct"/>
            <w:vAlign w:val="center"/>
            <w:hideMark/>
          </w:tcPr>
          <w:p w14:paraId="0C69BFB1" w14:textId="77777777" w:rsidR="00727DC2" w:rsidRDefault="00D15527" w:rsidP="00EA2B81">
            <w:pPr>
              <w:jc w:val="center"/>
              <w:rPr>
                <w:rFonts w:cs="Arial"/>
                <w:color w:val="000000"/>
                <w:sz w:val="16"/>
                <w:szCs w:val="20"/>
                <w:lang w:eastAsia="es-CO"/>
              </w:rPr>
            </w:pPr>
            <w:r w:rsidRPr="00EA2B81">
              <w:rPr>
                <w:rFonts w:cs="Arial"/>
                <w:color w:val="000000"/>
                <w:sz w:val="16"/>
                <w:szCs w:val="20"/>
                <w:lang w:eastAsia="es-CO"/>
              </w:rPr>
              <w:lastRenderedPageBreak/>
              <w:t>Zonas Futuro</w:t>
            </w:r>
          </w:p>
          <w:p w14:paraId="5B4ABAC2" w14:textId="6C004F0C" w:rsidR="00D15527" w:rsidRPr="00EA2B81" w:rsidRDefault="001A66C5" w:rsidP="00EA2B81">
            <w:pPr>
              <w:jc w:val="center"/>
              <w:rPr>
                <w:rFonts w:cs="Arial"/>
                <w:color w:val="000000"/>
                <w:sz w:val="16"/>
                <w:szCs w:val="20"/>
                <w:lang w:eastAsia="es-CO"/>
              </w:rPr>
            </w:pPr>
            <w:r>
              <w:rPr>
                <w:rFonts w:cs="Arial"/>
                <w:color w:val="000000"/>
                <w:sz w:val="16"/>
                <w:szCs w:val="20"/>
                <w:lang w:eastAsia="es-CO"/>
              </w:rPr>
              <w:br/>
            </w:r>
            <w:r w:rsidR="00D15527" w:rsidRPr="00EA2B81">
              <w:rPr>
                <w:rFonts w:cs="Arial"/>
                <w:color w:val="000000"/>
                <w:sz w:val="16"/>
                <w:szCs w:val="20"/>
                <w:lang w:eastAsia="es-CO"/>
              </w:rPr>
              <w:br/>
            </w:r>
            <w:r w:rsidR="00D15527" w:rsidRPr="00727DC2">
              <w:rPr>
                <w:rFonts w:cs="Arial"/>
                <w:color w:val="000000"/>
                <w:sz w:val="16"/>
                <w:szCs w:val="20"/>
                <w:lang w:eastAsia="es-CO"/>
              </w:rPr>
              <w:t>Municipios financiados:</w:t>
            </w:r>
            <w:r w:rsidR="00D15527" w:rsidRPr="00EA2B81">
              <w:rPr>
                <w:rFonts w:cs="Arial"/>
                <w:b w:val="0"/>
                <w:color w:val="000000"/>
                <w:sz w:val="16"/>
                <w:szCs w:val="20"/>
                <w:lang w:eastAsia="es-CO"/>
              </w:rPr>
              <w:t xml:space="preserve"> 3 municipios para insumos y actualización catastral (San Calixto – Norte de Santander, Puerto Libertador - Córdoba y Fortul - Arauca), 2 municipios para insumos parciales (Bojayá – Chocó y El Charco - Nariño)</w:t>
            </w:r>
            <w:r w:rsidR="00D15527" w:rsidRPr="00EA2B81">
              <w:rPr>
                <w:rFonts w:cs="Arial"/>
                <w:color w:val="000000"/>
                <w:sz w:val="16"/>
                <w:szCs w:val="20"/>
                <w:lang w:eastAsia="es-CO"/>
              </w:rPr>
              <w:br/>
            </w:r>
          </w:p>
          <w:p w14:paraId="5CEB9997" w14:textId="77777777" w:rsidR="00D15527" w:rsidRPr="00EA2B81" w:rsidRDefault="00D15527" w:rsidP="00EA2B81">
            <w:pPr>
              <w:jc w:val="center"/>
              <w:rPr>
                <w:rFonts w:cs="Arial"/>
                <w:color w:val="000000"/>
                <w:sz w:val="16"/>
                <w:szCs w:val="20"/>
                <w:lang w:eastAsia="es-CO"/>
              </w:rPr>
            </w:pPr>
            <w:r w:rsidRPr="00EA2B81">
              <w:rPr>
                <w:rFonts w:cs="Arial"/>
                <w:color w:val="000000"/>
                <w:sz w:val="16"/>
                <w:szCs w:val="20"/>
                <w:lang w:eastAsia="es-CO"/>
              </w:rPr>
              <w:t>Recursos asignados a la subcuenta de catastro multipropósito FCP</w:t>
            </w:r>
            <w:r w:rsidRPr="00EA2B81">
              <w:rPr>
                <w:rFonts w:cs="Arial"/>
                <w:color w:val="000000"/>
                <w:sz w:val="16"/>
                <w:szCs w:val="20"/>
                <w:lang w:eastAsia="es-CO"/>
              </w:rPr>
              <w:br/>
              <w:t>IGAC líder de la subcuenta</w:t>
            </w:r>
          </w:p>
        </w:tc>
        <w:tc>
          <w:tcPr>
            <w:tcW w:w="1972" w:type="pct"/>
            <w:vAlign w:val="center"/>
            <w:hideMark/>
          </w:tcPr>
          <w:p w14:paraId="5D565091" w14:textId="77777777" w:rsidR="001A66C5" w:rsidRPr="001A66C5" w:rsidRDefault="00D15527" w:rsidP="001A66C5">
            <w:p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Actividades desarrolladas</w:t>
            </w:r>
          </w:p>
          <w:p w14:paraId="5B093522"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 xml:space="preserve">En junio se informa desde Presidencia que a través de recursos de Zonas Futuro se direccionan recursos para la generación de insumos y actualización catastral de 5 municipios; San Calixto, Puerto Libertador, Fortul, Bojayá y El Charco, estos dos últimos </w:t>
            </w:r>
            <w:r>
              <w:rPr>
                <w:rFonts w:cs="Arial"/>
                <w:color w:val="000000"/>
                <w:sz w:val="16"/>
                <w:lang w:eastAsia="es-CO"/>
              </w:rPr>
              <w:t>con un presupuesto parcial.</w:t>
            </w:r>
          </w:p>
          <w:p w14:paraId="1A1134D5"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En junio se presenta la cotización por parte del IGAC y el 18 de junio, el IGAC remite propuesta de minuta del contrato. La proyección para finalización en diciembre de los proyectos tiene la condición que los contratos se sus</w:t>
            </w:r>
            <w:r>
              <w:rPr>
                <w:rFonts w:cs="Arial"/>
                <w:color w:val="000000"/>
                <w:sz w:val="16"/>
                <w:lang w:eastAsia="es-CO"/>
              </w:rPr>
              <w:t>criban a más tardar en julio</w:t>
            </w:r>
          </w:p>
          <w:p w14:paraId="65A2419B"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 xml:space="preserve">En julio, desde Fondo Paz informan que sólo suscriben el contrato por la totalidad del municipio de acuerdo con las directrices recibidas por parte del Director. El IGAC responde que se puede firmar por la totalidad del municipio, pero es posible hacer el levantamiento de las zonas con presencia étnica en 2021, debido a que se tiene que surtir el trámite de la consulta previa y hay municipios como Bojayá y El Charco que tienen más del 90% de su </w:t>
            </w:r>
            <w:r>
              <w:rPr>
                <w:rFonts w:cs="Arial"/>
                <w:color w:val="000000"/>
                <w:sz w:val="16"/>
                <w:lang w:eastAsia="es-CO"/>
              </w:rPr>
              <w:t>territorio con presencia étnica</w:t>
            </w:r>
          </w:p>
          <w:p w14:paraId="4C5D040A"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A finales de julio la Consejería para el Cumplimiento informa que va a mediar ante el Director de Fondo Acció</w:t>
            </w:r>
            <w:r>
              <w:rPr>
                <w:rFonts w:cs="Arial"/>
                <w:color w:val="000000"/>
                <w:sz w:val="16"/>
                <w:lang w:eastAsia="es-CO"/>
              </w:rPr>
              <w:t>n para avanzar en el proceso.</w:t>
            </w:r>
          </w:p>
          <w:p w14:paraId="630532F2"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En agosto toda vez que no se habían suscrito los contratos, el IGAC propone suscribir estos contratos con la posibilidad de contar con vigencias futuras a lo que Fondo Acción respond</w:t>
            </w:r>
            <w:r>
              <w:rPr>
                <w:rFonts w:cs="Arial"/>
                <w:color w:val="000000"/>
                <w:sz w:val="16"/>
                <w:lang w:eastAsia="es-CO"/>
              </w:rPr>
              <w:t>e diciendo que no es posible.</w:t>
            </w:r>
          </w:p>
          <w:p w14:paraId="6E3F8F3D"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En septiembre le solicitan al IGAC las propuestas de ejecución a 3 meses. El 8 de septiembre el IGAC remite las propuestas con los productos que serían entregados y el presup</w:t>
            </w:r>
            <w:r>
              <w:rPr>
                <w:rFonts w:cs="Arial"/>
                <w:color w:val="000000"/>
                <w:sz w:val="16"/>
                <w:lang w:eastAsia="es-CO"/>
              </w:rPr>
              <w:t>uesto ejecutado en ese plazo.</w:t>
            </w:r>
          </w:p>
          <w:p w14:paraId="51FB6C6C"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En octubre se define que el proyecto se ejecuta a través de Fondo Colombia en Paz. El IGAC remite el 6 de octubre la memoria justificativa para el aumento de techo de la Subcuenta de Catastro Multipropósito en FCP y las propuestas con ejecución total del presupu</w:t>
            </w:r>
            <w:r>
              <w:rPr>
                <w:rFonts w:cs="Arial"/>
                <w:color w:val="000000"/>
                <w:sz w:val="16"/>
                <w:lang w:eastAsia="es-CO"/>
              </w:rPr>
              <w:t xml:space="preserve">esto asignado por municipio. </w:t>
            </w:r>
          </w:p>
          <w:p w14:paraId="0299B6D0" w14:textId="77777777" w:rsid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El 20 de octubre Fondo Paz informó que el presupuesto de los municipios de Bojayá y El Charco sería de 500 millones de pesos, por lo cual se tuvo que remitir nuevamente la propuesta incluyendo los productos que se pueden generar con este presupuesto. La nueva propuesta f</w:t>
            </w:r>
            <w:r>
              <w:rPr>
                <w:rFonts w:cs="Arial"/>
                <w:color w:val="000000"/>
                <w:sz w:val="16"/>
                <w:lang w:eastAsia="es-CO"/>
              </w:rPr>
              <w:t>ue remitida el 21 de octubre.</w:t>
            </w:r>
          </w:p>
          <w:p w14:paraId="55700C06" w14:textId="49DB7163" w:rsidR="00D15527" w:rsidRPr="001A66C5" w:rsidRDefault="00D15527" w:rsidP="000A20EE">
            <w:pPr>
              <w:pStyle w:val="Prrafodelista"/>
              <w:numPr>
                <w:ilvl w:val="0"/>
                <w:numId w:val="263"/>
              </w:numP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sidRPr="001A66C5">
              <w:rPr>
                <w:rFonts w:cs="Arial"/>
                <w:color w:val="000000"/>
                <w:sz w:val="16"/>
                <w:lang w:eastAsia="es-CO"/>
              </w:rPr>
              <w:t>El 5 de noviembre el IGAC presentó ante el Consejo Directivo de Fondo Colombia en Paz, la solicitud de aumento de tope de la Subcuenta de Catastro Multipropósito, con el fin de que puedan ingresar los recursos de los 5 municipios de Zonas Futuro.</w:t>
            </w:r>
          </w:p>
        </w:tc>
        <w:tc>
          <w:tcPr>
            <w:tcW w:w="1742" w:type="pct"/>
            <w:vAlign w:val="center"/>
            <w:hideMark/>
          </w:tcPr>
          <w:p w14:paraId="468A17AC" w14:textId="77777777" w:rsidR="00D15527" w:rsidRPr="00EA2B81" w:rsidRDefault="00D15527" w:rsidP="00727DC2">
            <w:pPr>
              <w:jc w:val="both"/>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EA2B81">
              <w:rPr>
                <w:rFonts w:cs="Arial"/>
                <w:color w:val="000000"/>
                <w:sz w:val="16"/>
                <w:szCs w:val="20"/>
                <w:lang w:eastAsia="es-CO"/>
              </w:rPr>
              <w:t>• Suscripción del convenio entre Fondo Paz y Fondo Colombia en Paz.</w:t>
            </w:r>
            <w:r w:rsidRPr="00EA2B81">
              <w:rPr>
                <w:rFonts w:cs="Arial"/>
                <w:color w:val="000000"/>
                <w:sz w:val="16"/>
                <w:szCs w:val="20"/>
                <w:lang w:eastAsia="es-CO"/>
              </w:rPr>
              <w:br/>
              <w:t>• Definición por parte de Fondo Colombia en Paz, de la figura que se utilizará para la participación de Asomunicipios del Catatumbo como gestor catastral de San Calixto. Lo anterior, debido a que en la subcuenta de catastro multipropósito el único ejecutor que puede participar es el IGAC.</w:t>
            </w:r>
          </w:p>
        </w:tc>
      </w:tr>
      <w:tr w:rsidR="00D15527" w:rsidRPr="00EA2B81" w14:paraId="6DF94BC6" w14:textId="77777777" w:rsidTr="00E729F7">
        <w:trPr>
          <w:cnfStyle w:val="000000100000" w:firstRow="0" w:lastRow="0" w:firstColumn="0" w:lastColumn="0" w:oddVBand="0" w:evenVBand="0" w:oddHBand="1" w:evenHBand="0" w:firstRowFirstColumn="0" w:firstRowLastColumn="0" w:lastRowFirstColumn="0" w:lastRowLastColumn="0"/>
          <w:trHeight w:val="1940"/>
        </w:trPr>
        <w:tc>
          <w:tcPr>
            <w:cnfStyle w:val="001000000000" w:firstRow="0" w:lastRow="0" w:firstColumn="1" w:lastColumn="0" w:oddVBand="0" w:evenVBand="0" w:oddHBand="0" w:evenHBand="0" w:firstRowFirstColumn="0" w:firstRowLastColumn="0" w:lastRowFirstColumn="0" w:lastRowLastColumn="0"/>
            <w:tcW w:w="1286" w:type="pct"/>
            <w:vAlign w:val="center"/>
            <w:hideMark/>
          </w:tcPr>
          <w:p w14:paraId="33BB4024" w14:textId="77777777" w:rsidR="00D15527" w:rsidRPr="00EA2B81" w:rsidRDefault="00D15527" w:rsidP="00EA2B81">
            <w:pPr>
              <w:spacing w:after="240"/>
              <w:jc w:val="center"/>
              <w:rPr>
                <w:rFonts w:cs="Arial"/>
                <w:color w:val="000000"/>
                <w:sz w:val="16"/>
                <w:szCs w:val="20"/>
                <w:lang w:eastAsia="es-CO"/>
              </w:rPr>
            </w:pPr>
            <w:r w:rsidRPr="00EA2B81">
              <w:rPr>
                <w:rFonts w:cs="Arial"/>
                <w:color w:val="000000"/>
                <w:sz w:val="16"/>
                <w:szCs w:val="20"/>
                <w:lang w:eastAsia="es-CO"/>
              </w:rPr>
              <w:lastRenderedPageBreak/>
              <w:t>Findeter</w:t>
            </w:r>
          </w:p>
          <w:p w14:paraId="319883F0" w14:textId="77777777" w:rsidR="00D15527" w:rsidRPr="00EA2B81" w:rsidRDefault="00D15527" w:rsidP="00EA2B81">
            <w:pPr>
              <w:spacing w:after="240"/>
              <w:jc w:val="center"/>
              <w:rPr>
                <w:rFonts w:cs="Arial"/>
                <w:color w:val="000000"/>
                <w:sz w:val="16"/>
                <w:szCs w:val="20"/>
                <w:lang w:eastAsia="es-CO"/>
              </w:rPr>
            </w:pPr>
            <w:r w:rsidRPr="00EA2B81">
              <w:rPr>
                <w:rFonts w:cs="Arial"/>
                <w:color w:val="000000"/>
                <w:sz w:val="16"/>
                <w:szCs w:val="20"/>
                <w:lang w:eastAsia="es-CO"/>
              </w:rPr>
              <w:t>Recursos asignados al presupuesto del IGAC 2022 fuente nación</w:t>
            </w:r>
          </w:p>
        </w:tc>
        <w:tc>
          <w:tcPr>
            <w:tcW w:w="1972" w:type="pct"/>
            <w:vAlign w:val="center"/>
            <w:hideMark/>
          </w:tcPr>
          <w:p w14:paraId="430A6661" w14:textId="77777777" w:rsidR="00D15527" w:rsidRPr="00EA2B81" w:rsidRDefault="00D15527" w:rsidP="000A20EE">
            <w:pPr>
              <w:pStyle w:val="Prrafodelista"/>
              <w:numPr>
                <w:ilvl w:val="0"/>
                <w:numId w:val="259"/>
              </w:numPr>
              <w:suppressAutoHyphens w:val="0"/>
              <w:overflowPunct/>
              <w:autoSpaceDE/>
              <w:contextualSpacing/>
              <w:textAlignment w:val="auto"/>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EA2B81">
              <w:rPr>
                <w:rFonts w:cs="Arial"/>
                <w:color w:val="000000"/>
                <w:sz w:val="16"/>
                <w:lang w:eastAsia="es-CO"/>
              </w:rPr>
              <w:t>Asignados $80.000.000.000 por ley de presupuesto para 2022</w:t>
            </w:r>
          </w:p>
        </w:tc>
        <w:tc>
          <w:tcPr>
            <w:tcW w:w="1742" w:type="pct"/>
            <w:vAlign w:val="center"/>
            <w:hideMark/>
          </w:tcPr>
          <w:p w14:paraId="01066910" w14:textId="723B21B3" w:rsidR="00D15527" w:rsidRPr="00E729F7" w:rsidRDefault="00D15527" w:rsidP="000A20EE">
            <w:pPr>
              <w:pStyle w:val="Prrafodelista"/>
              <w:numPr>
                <w:ilvl w:val="0"/>
                <w:numId w:val="259"/>
              </w:numPr>
              <w:cnfStyle w:val="000000100000" w:firstRow="0" w:lastRow="0" w:firstColumn="0" w:lastColumn="0" w:oddVBand="0" w:evenVBand="0" w:oddHBand="1" w:evenHBand="0" w:firstRowFirstColumn="0" w:firstRowLastColumn="0" w:lastRowFirstColumn="0" w:lastRowLastColumn="0"/>
              <w:rPr>
                <w:rFonts w:cs="Arial"/>
                <w:color w:val="000000"/>
                <w:sz w:val="16"/>
                <w:lang w:eastAsia="es-CO"/>
              </w:rPr>
            </w:pPr>
            <w:r w:rsidRPr="00E729F7">
              <w:rPr>
                <w:rFonts w:cs="Arial"/>
                <w:color w:val="000000"/>
                <w:sz w:val="16"/>
                <w:lang w:eastAsia="es-CO"/>
              </w:rPr>
              <w:t>Está en proceso la expedición del decreto que reglamenta la financiación o cofinanciación de procesos catastrales a través de un Patrimonio Autónomo, su administración, funcionamiento y determinación de la entidad financiera que administrará los recursos.</w:t>
            </w:r>
            <w:r w:rsidRPr="00E729F7">
              <w:rPr>
                <w:rFonts w:cs="Arial"/>
                <w:color w:val="000000"/>
                <w:sz w:val="16"/>
                <w:lang w:eastAsia="es-CO"/>
              </w:rPr>
              <w:br/>
              <w:t>• En proceso de elaboración el CONPES de importancia estratégica para este proceso.</w:t>
            </w:r>
          </w:p>
        </w:tc>
      </w:tr>
      <w:tr w:rsidR="000012BB" w:rsidRPr="00EA2B81" w14:paraId="5EF0320C" w14:textId="77777777" w:rsidTr="00E729F7">
        <w:trPr>
          <w:trHeight w:val="439"/>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5D93745F" w14:textId="48C7926F" w:rsidR="000012BB" w:rsidRPr="00197632" w:rsidRDefault="000012BB" w:rsidP="000012BB">
            <w:pPr>
              <w:spacing w:line="276" w:lineRule="auto"/>
              <w:jc w:val="center"/>
              <w:rPr>
                <w:rFonts w:cs="Arial"/>
                <w:sz w:val="16"/>
                <w:szCs w:val="22"/>
              </w:rPr>
            </w:pPr>
            <w:r w:rsidRPr="000012BB">
              <w:rPr>
                <w:rFonts w:cs="Arial"/>
                <w:sz w:val="16"/>
                <w:szCs w:val="22"/>
              </w:rPr>
              <w:t>ANT</w:t>
            </w:r>
          </w:p>
          <w:p w14:paraId="3E2B76BB" w14:textId="7BEE2FA2" w:rsidR="000012BB" w:rsidRPr="000012BB" w:rsidRDefault="000012BB" w:rsidP="000012BB">
            <w:pPr>
              <w:spacing w:line="276" w:lineRule="auto"/>
              <w:jc w:val="center"/>
              <w:rPr>
                <w:rFonts w:cs="Arial"/>
                <w:b w:val="0"/>
                <w:sz w:val="16"/>
                <w:szCs w:val="22"/>
              </w:rPr>
            </w:pPr>
            <w:r w:rsidRPr="000012BB">
              <w:rPr>
                <w:rFonts w:cs="Arial"/>
                <w:sz w:val="16"/>
                <w:szCs w:val="22"/>
              </w:rPr>
              <w:t xml:space="preserve">Municipios financiados: </w:t>
            </w:r>
            <w:r w:rsidRPr="000012BB">
              <w:rPr>
                <w:rFonts w:cs="Arial"/>
                <w:b w:val="0"/>
                <w:sz w:val="16"/>
                <w:szCs w:val="22"/>
              </w:rPr>
              <w:t>5 municipios zona rural con 496.5050 Has.</w:t>
            </w:r>
          </w:p>
        </w:tc>
        <w:tc>
          <w:tcPr>
            <w:tcW w:w="1972" w:type="pct"/>
            <w:vAlign w:val="center"/>
          </w:tcPr>
          <w:p w14:paraId="2476B66F" w14:textId="61E88CCE" w:rsidR="000012BB" w:rsidRPr="000012BB" w:rsidRDefault="000012BB" w:rsidP="000012BB">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color w:val="000000"/>
                <w:sz w:val="16"/>
                <w:lang w:eastAsia="es-CO"/>
              </w:rPr>
            </w:pPr>
            <w:r>
              <w:rPr>
                <w:rFonts w:cs="Arial"/>
                <w:color w:val="000000"/>
                <w:sz w:val="16"/>
                <w:lang w:eastAsia="es-CO"/>
              </w:rPr>
              <w:t>En ejecución</w:t>
            </w:r>
          </w:p>
        </w:tc>
        <w:tc>
          <w:tcPr>
            <w:tcW w:w="1742" w:type="pct"/>
            <w:vAlign w:val="center"/>
          </w:tcPr>
          <w:p w14:paraId="79417346" w14:textId="77777777" w:rsidR="000012BB" w:rsidRPr="00EA2B81" w:rsidRDefault="000012BB" w:rsidP="00EA2B81">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p>
        </w:tc>
      </w:tr>
      <w:tr w:rsidR="000012BB" w:rsidRPr="00EA2B81" w14:paraId="0F66E79F" w14:textId="77777777" w:rsidTr="00E729F7">
        <w:trPr>
          <w:cnfStyle w:val="000000100000" w:firstRow="0" w:lastRow="0" w:firstColumn="0" w:lastColumn="0" w:oddVBand="0" w:evenVBand="0" w:oddHBand="1" w:evenHBand="0"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1A6845B2" w14:textId="77777777" w:rsidR="000012BB" w:rsidRPr="00E44823" w:rsidRDefault="000012BB" w:rsidP="000012BB">
            <w:pPr>
              <w:spacing w:line="276" w:lineRule="auto"/>
              <w:jc w:val="center"/>
              <w:rPr>
                <w:rFonts w:cs="Arial"/>
                <w:b w:val="0"/>
                <w:sz w:val="16"/>
                <w:szCs w:val="16"/>
              </w:rPr>
            </w:pPr>
            <w:r w:rsidRPr="00E44823">
              <w:rPr>
                <w:rFonts w:cs="Arial"/>
                <w:sz w:val="16"/>
                <w:szCs w:val="16"/>
              </w:rPr>
              <w:t>ANT-IGAC</w:t>
            </w:r>
          </w:p>
          <w:p w14:paraId="758378BD" w14:textId="57BB0E25" w:rsidR="000012BB" w:rsidRPr="00E44823" w:rsidRDefault="000012BB" w:rsidP="000012BB">
            <w:pPr>
              <w:spacing w:line="276" w:lineRule="auto"/>
              <w:jc w:val="center"/>
              <w:rPr>
                <w:rFonts w:cs="Arial"/>
                <w:sz w:val="16"/>
                <w:szCs w:val="16"/>
              </w:rPr>
            </w:pPr>
            <w:r w:rsidRPr="00E44823">
              <w:rPr>
                <w:rFonts w:cs="Arial"/>
                <w:sz w:val="16"/>
                <w:szCs w:val="16"/>
              </w:rPr>
              <w:t xml:space="preserve">Municipios financiados: </w:t>
            </w:r>
            <w:r w:rsidRPr="00E44823">
              <w:rPr>
                <w:rFonts w:cs="Arial"/>
                <w:b w:val="0"/>
                <w:sz w:val="16"/>
                <w:szCs w:val="16"/>
              </w:rPr>
              <w:t>3 municipios urbano – rural con 302.673 Has.</w:t>
            </w:r>
          </w:p>
        </w:tc>
        <w:tc>
          <w:tcPr>
            <w:tcW w:w="1972" w:type="pct"/>
            <w:vAlign w:val="center"/>
          </w:tcPr>
          <w:p w14:paraId="4FBBE7CA" w14:textId="758A7FDC" w:rsidR="000012BB" w:rsidRPr="00E44823" w:rsidRDefault="00E44823" w:rsidP="00E44823">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eastAsia="es-CO"/>
              </w:rPr>
            </w:pPr>
            <w:r w:rsidRPr="00E44823">
              <w:rPr>
                <w:rFonts w:cs="Arial"/>
                <w:color w:val="000000"/>
                <w:sz w:val="16"/>
                <w:szCs w:val="16"/>
                <w:lang w:eastAsia="es-CO"/>
              </w:rPr>
              <w:t>En ejecución</w:t>
            </w:r>
          </w:p>
        </w:tc>
        <w:tc>
          <w:tcPr>
            <w:tcW w:w="1742" w:type="pct"/>
            <w:vAlign w:val="center"/>
          </w:tcPr>
          <w:p w14:paraId="76B81768" w14:textId="77777777" w:rsidR="000012BB" w:rsidRPr="00E44823" w:rsidRDefault="000012BB" w:rsidP="00EA2B81">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eastAsia="es-CO"/>
              </w:rPr>
            </w:pPr>
          </w:p>
        </w:tc>
      </w:tr>
      <w:tr w:rsidR="00E44823" w:rsidRPr="00EA2B81" w14:paraId="625785A8" w14:textId="77777777" w:rsidTr="00E729F7">
        <w:trPr>
          <w:trHeight w:val="576"/>
        </w:trPr>
        <w:tc>
          <w:tcPr>
            <w:cnfStyle w:val="001000000000" w:firstRow="0" w:lastRow="0" w:firstColumn="1" w:lastColumn="0" w:oddVBand="0" w:evenVBand="0" w:oddHBand="0" w:evenHBand="0" w:firstRowFirstColumn="0" w:firstRowLastColumn="0" w:lastRowFirstColumn="0" w:lastRowLastColumn="0"/>
            <w:tcW w:w="1286" w:type="pct"/>
            <w:vAlign w:val="center"/>
          </w:tcPr>
          <w:p w14:paraId="4FE38F51" w14:textId="77777777" w:rsidR="00092C22" w:rsidRDefault="00092C22" w:rsidP="00E44823">
            <w:pPr>
              <w:spacing w:line="276" w:lineRule="auto"/>
              <w:jc w:val="center"/>
              <w:rPr>
                <w:rFonts w:cs="Arial"/>
                <w:sz w:val="16"/>
                <w:szCs w:val="16"/>
              </w:rPr>
            </w:pPr>
          </w:p>
          <w:p w14:paraId="3A881E57" w14:textId="69788718" w:rsidR="00E44823" w:rsidRDefault="00E44823" w:rsidP="00E44823">
            <w:pPr>
              <w:spacing w:line="276" w:lineRule="auto"/>
              <w:jc w:val="center"/>
              <w:rPr>
                <w:rFonts w:cs="Arial"/>
                <w:sz w:val="16"/>
                <w:szCs w:val="16"/>
              </w:rPr>
            </w:pPr>
            <w:r w:rsidRPr="00E44823">
              <w:rPr>
                <w:rFonts w:cs="Arial"/>
                <w:sz w:val="16"/>
                <w:szCs w:val="16"/>
              </w:rPr>
              <w:t>Biocarbono</w:t>
            </w:r>
          </w:p>
          <w:p w14:paraId="3C08BFE8" w14:textId="77777777" w:rsidR="00197632" w:rsidRPr="00E44823" w:rsidRDefault="00197632" w:rsidP="00E44823">
            <w:pPr>
              <w:spacing w:line="276" w:lineRule="auto"/>
              <w:jc w:val="center"/>
              <w:rPr>
                <w:rFonts w:cs="Arial"/>
                <w:b w:val="0"/>
                <w:bCs w:val="0"/>
                <w:sz w:val="16"/>
                <w:szCs w:val="16"/>
              </w:rPr>
            </w:pPr>
          </w:p>
          <w:p w14:paraId="1300C733" w14:textId="77777777" w:rsidR="00E44823" w:rsidRPr="00197632" w:rsidRDefault="00E44823" w:rsidP="00E44823">
            <w:pPr>
              <w:spacing w:line="276" w:lineRule="auto"/>
              <w:jc w:val="center"/>
              <w:rPr>
                <w:rFonts w:cs="Arial"/>
                <w:b w:val="0"/>
                <w:sz w:val="16"/>
                <w:szCs w:val="16"/>
              </w:rPr>
            </w:pPr>
            <w:r w:rsidRPr="00E44823">
              <w:rPr>
                <w:rFonts w:cs="Arial"/>
                <w:sz w:val="16"/>
                <w:szCs w:val="16"/>
              </w:rPr>
              <w:t xml:space="preserve">Municipios PDET financiados: </w:t>
            </w:r>
            <w:r w:rsidRPr="00197632">
              <w:rPr>
                <w:rFonts w:cs="Arial"/>
                <w:b w:val="0"/>
                <w:sz w:val="16"/>
                <w:szCs w:val="16"/>
              </w:rPr>
              <w:t>1 Arauquita, Arauca</w:t>
            </w:r>
          </w:p>
          <w:p w14:paraId="1FE6AFF8" w14:textId="2401CE37" w:rsidR="00E44823" w:rsidRPr="00197632" w:rsidRDefault="00E44823" w:rsidP="00E44823">
            <w:pPr>
              <w:spacing w:line="276" w:lineRule="auto"/>
              <w:jc w:val="center"/>
              <w:rPr>
                <w:rFonts w:cs="Arial"/>
                <w:b w:val="0"/>
                <w:sz w:val="16"/>
                <w:szCs w:val="16"/>
              </w:rPr>
            </w:pPr>
            <w:r w:rsidRPr="00E44823">
              <w:rPr>
                <w:rFonts w:cs="Arial"/>
                <w:sz w:val="16"/>
                <w:szCs w:val="16"/>
              </w:rPr>
              <w:t xml:space="preserve">Contrato suscrito: </w:t>
            </w:r>
            <w:r w:rsidRPr="00197632">
              <w:rPr>
                <w:rFonts w:cs="Arial"/>
                <w:b w:val="0"/>
                <w:sz w:val="16"/>
                <w:szCs w:val="16"/>
              </w:rPr>
              <w:t>28 de enero de 2021</w:t>
            </w:r>
          </w:p>
          <w:p w14:paraId="6FF978A9" w14:textId="77777777" w:rsidR="00E44823" w:rsidRPr="00197632" w:rsidRDefault="00E44823" w:rsidP="00E44823">
            <w:pPr>
              <w:spacing w:line="276" w:lineRule="auto"/>
              <w:jc w:val="center"/>
              <w:rPr>
                <w:rFonts w:cs="Arial"/>
                <w:b w:val="0"/>
                <w:sz w:val="16"/>
                <w:szCs w:val="16"/>
              </w:rPr>
            </w:pPr>
            <w:r w:rsidRPr="00E44823">
              <w:rPr>
                <w:rFonts w:cs="Arial"/>
                <w:sz w:val="16"/>
                <w:szCs w:val="16"/>
              </w:rPr>
              <w:t xml:space="preserve">Acta de inicio: </w:t>
            </w:r>
            <w:r w:rsidRPr="00197632">
              <w:rPr>
                <w:rFonts w:cs="Arial"/>
                <w:b w:val="0"/>
                <w:sz w:val="16"/>
                <w:szCs w:val="16"/>
              </w:rPr>
              <w:t>18 de febrero de 2021</w:t>
            </w:r>
          </w:p>
          <w:p w14:paraId="40CCEC98" w14:textId="77777777" w:rsidR="00E44823" w:rsidRPr="00E44823" w:rsidRDefault="00E44823" w:rsidP="00E44823">
            <w:pPr>
              <w:spacing w:line="276" w:lineRule="auto"/>
              <w:jc w:val="center"/>
              <w:rPr>
                <w:rFonts w:cs="Arial"/>
                <w:b w:val="0"/>
                <w:bCs w:val="0"/>
                <w:sz w:val="16"/>
                <w:szCs w:val="16"/>
              </w:rPr>
            </w:pPr>
          </w:p>
        </w:tc>
        <w:tc>
          <w:tcPr>
            <w:tcW w:w="1972" w:type="pct"/>
            <w:vAlign w:val="center"/>
          </w:tcPr>
          <w:p w14:paraId="109D4A8E" w14:textId="35CD9F29" w:rsidR="00E44823" w:rsidRPr="00E44823" w:rsidRDefault="00197632" w:rsidP="00E44823">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r>
              <w:rPr>
                <w:rFonts w:cs="Arial"/>
                <w:sz w:val="16"/>
                <w:szCs w:val="16"/>
              </w:rPr>
              <w:t>E</w:t>
            </w:r>
            <w:r w:rsidR="00E44823" w:rsidRPr="00E44823">
              <w:rPr>
                <w:rFonts w:cs="Arial"/>
                <w:sz w:val="16"/>
                <w:szCs w:val="16"/>
              </w:rPr>
              <w:t>l proceso inició en marzo de 2021 y finalizará en 2022, por dificultades con el orden público que se presenta en la zona.</w:t>
            </w:r>
          </w:p>
        </w:tc>
        <w:tc>
          <w:tcPr>
            <w:tcW w:w="1742" w:type="pct"/>
            <w:vAlign w:val="center"/>
          </w:tcPr>
          <w:p w14:paraId="7D41DA10" w14:textId="77777777" w:rsidR="00E44823" w:rsidRPr="00E44823" w:rsidRDefault="00E44823" w:rsidP="00E44823">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eastAsia="es-CO"/>
              </w:rPr>
            </w:pPr>
          </w:p>
        </w:tc>
      </w:tr>
    </w:tbl>
    <w:p w14:paraId="272352C4" w14:textId="77777777" w:rsidR="00E729F7" w:rsidRPr="00B9137A" w:rsidRDefault="00E729F7" w:rsidP="00E729F7">
      <w:pPr>
        <w:spacing w:line="276" w:lineRule="auto"/>
        <w:jc w:val="center"/>
        <w:rPr>
          <w:rFonts w:eastAsia="Arial" w:cs="Arial"/>
          <w:b/>
          <w:bCs/>
          <w:sz w:val="16"/>
          <w:szCs w:val="16"/>
          <w:lang w:val="es-CO"/>
        </w:rPr>
      </w:pPr>
      <w:r w:rsidRPr="00B9137A">
        <w:rPr>
          <w:rFonts w:eastAsia="Arial" w:cs="Arial"/>
          <w:b/>
          <w:bCs/>
          <w:sz w:val="16"/>
          <w:szCs w:val="16"/>
          <w:lang w:val="es-CO"/>
        </w:rPr>
        <w:t>Fuente: Dirección de Gestión Catastral</w:t>
      </w:r>
    </w:p>
    <w:p w14:paraId="0FDCD748" w14:textId="77777777" w:rsidR="00D15527" w:rsidRDefault="00D15527" w:rsidP="00D15527"/>
    <w:p w14:paraId="0CFD7C05" w14:textId="0B3418E6" w:rsidR="00400167" w:rsidRPr="004C6640" w:rsidRDefault="00400167" w:rsidP="000012BB">
      <w:pPr>
        <w:jc w:val="both"/>
        <w:rPr>
          <w:rFonts w:cs="Arial"/>
          <w:b/>
          <w:bCs/>
          <w:sz w:val="22"/>
          <w:szCs w:val="22"/>
        </w:rPr>
      </w:pPr>
      <w:r w:rsidRPr="004C6640">
        <w:rPr>
          <w:rFonts w:cs="Arial"/>
          <w:b/>
          <w:bCs/>
          <w:sz w:val="22"/>
          <w:szCs w:val="22"/>
        </w:rPr>
        <w:t>CONSERVACIÓN CATASTRAL</w:t>
      </w:r>
    </w:p>
    <w:p w14:paraId="738B75EC" w14:textId="77777777" w:rsidR="00400167" w:rsidRPr="004C6640" w:rsidRDefault="00400167" w:rsidP="000012BB">
      <w:pPr>
        <w:jc w:val="both"/>
        <w:rPr>
          <w:rFonts w:cs="Arial"/>
          <w:b/>
          <w:sz w:val="22"/>
          <w:szCs w:val="22"/>
        </w:rPr>
      </w:pPr>
    </w:p>
    <w:p w14:paraId="4837E215" w14:textId="77777777" w:rsidR="00400167" w:rsidRPr="004C6640" w:rsidRDefault="00400167" w:rsidP="000012BB">
      <w:pPr>
        <w:jc w:val="both"/>
        <w:rPr>
          <w:rFonts w:cs="Arial"/>
          <w:sz w:val="22"/>
          <w:szCs w:val="22"/>
        </w:rPr>
      </w:pPr>
      <w:r w:rsidRPr="004C6640">
        <w:rPr>
          <w:rFonts w:cs="Arial"/>
          <w:sz w:val="22"/>
          <w:szCs w:val="22"/>
        </w:rPr>
        <w:t xml:space="preserve">En el 2020, la meta para ejecutar por las 22 Direcciones Territoriales fue de 440.072 trámites, de las cuales 172.871 corresponden a solicitudes que se atienden desde oficina con base en los soportes allegados por los interesados y 267.201 a aquellos que requieren de verificaciones en campo para su trámite. En esta misma vigencia, se tuvo el siguiente cumplimiento: </w:t>
      </w:r>
    </w:p>
    <w:p w14:paraId="22E92981" w14:textId="77777777" w:rsidR="00400167" w:rsidRPr="004C6640" w:rsidRDefault="00400167" w:rsidP="00E729F7">
      <w:pPr>
        <w:jc w:val="both"/>
        <w:rPr>
          <w:rFonts w:cs="Arial"/>
          <w:sz w:val="22"/>
          <w:szCs w:val="22"/>
        </w:rPr>
      </w:pPr>
    </w:p>
    <w:p w14:paraId="6285207A" w14:textId="0D3B0AEB" w:rsidR="009B21D5" w:rsidRPr="00E729F7" w:rsidRDefault="009B21D5" w:rsidP="00E729F7">
      <w:pPr>
        <w:pStyle w:val="Descripcin"/>
        <w:jc w:val="center"/>
        <w:rPr>
          <w:rFonts w:ascii="Arial" w:hAnsi="Arial" w:cs="Arial"/>
          <w:b/>
          <w:i w:val="0"/>
          <w:color w:val="000000" w:themeColor="text1"/>
          <w:sz w:val="16"/>
          <w:szCs w:val="16"/>
        </w:rPr>
      </w:pPr>
      <w:bookmarkStart w:id="38" w:name="_Toc88677082"/>
      <w:r w:rsidRPr="009B21D5">
        <w:rPr>
          <w:rFonts w:ascii="Arial" w:hAnsi="Arial" w:cs="Arial"/>
          <w:b/>
          <w:bCs/>
          <w:i w:val="0"/>
          <w:iCs w:val="0"/>
          <w:color w:val="000000" w:themeColor="text1"/>
          <w:sz w:val="16"/>
          <w:szCs w:val="16"/>
        </w:rPr>
        <w:t xml:space="preserve">Tabla </w:t>
      </w:r>
      <w:r w:rsidRPr="009B21D5">
        <w:rPr>
          <w:rFonts w:ascii="Arial" w:hAnsi="Arial" w:cs="Arial"/>
          <w:b/>
          <w:bCs/>
          <w:i w:val="0"/>
          <w:iCs w:val="0"/>
          <w:color w:val="000000" w:themeColor="text1"/>
          <w:sz w:val="16"/>
          <w:szCs w:val="16"/>
        </w:rPr>
        <w:fldChar w:fldCharType="begin"/>
      </w:r>
      <w:r w:rsidRPr="009B21D5">
        <w:rPr>
          <w:rFonts w:ascii="Arial" w:hAnsi="Arial" w:cs="Arial"/>
          <w:b/>
          <w:bCs/>
          <w:i w:val="0"/>
          <w:iCs w:val="0"/>
          <w:color w:val="000000" w:themeColor="text1"/>
          <w:sz w:val="16"/>
          <w:szCs w:val="16"/>
        </w:rPr>
        <w:instrText xml:space="preserve"> SEQ Tabla \* ARABIC </w:instrText>
      </w:r>
      <w:r w:rsidRPr="009B21D5">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10</w:t>
      </w:r>
      <w:r w:rsidRPr="009B21D5">
        <w:rPr>
          <w:rFonts w:ascii="Arial" w:hAnsi="Arial" w:cs="Arial"/>
          <w:b/>
          <w:bCs/>
          <w:i w:val="0"/>
          <w:iCs w:val="0"/>
          <w:color w:val="000000" w:themeColor="text1"/>
          <w:sz w:val="16"/>
          <w:szCs w:val="16"/>
        </w:rPr>
        <w:fldChar w:fldCharType="end"/>
      </w:r>
      <w:r w:rsidRPr="009B21D5">
        <w:rPr>
          <w:rFonts w:ascii="Arial" w:hAnsi="Arial" w:cs="Arial"/>
          <w:b/>
          <w:bCs/>
          <w:i w:val="0"/>
          <w:iCs w:val="0"/>
          <w:color w:val="000000" w:themeColor="text1"/>
          <w:sz w:val="16"/>
          <w:szCs w:val="16"/>
        </w:rPr>
        <w:t>. Trámites realizados por territorial (meta-ejecución) año 2020</w:t>
      </w:r>
      <w:bookmarkEnd w:id="38"/>
    </w:p>
    <w:tbl>
      <w:tblPr>
        <w:tblStyle w:val="Tabladecuadrcula4-nfasis1"/>
        <w:tblW w:w="10491" w:type="dxa"/>
        <w:tblInd w:w="-431" w:type="dxa"/>
        <w:tblLayout w:type="fixed"/>
        <w:tblLook w:val="04A0" w:firstRow="1" w:lastRow="0" w:firstColumn="1" w:lastColumn="0" w:noHBand="0" w:noVBand="1"/>
      </w:tblPr>
      <w:tblGrid>
        <w:gridCol w:w="1986"/>
        <w:gridCol w:w="992"/>
        <w:gridCol w:w="1276"/>
        <w:gridCol w:w="1134"/>
        <w:gridCol w:w="992"/>
        <w:gridCol w:w="1276"/>
        <w:gridCol w:w="1134"/>
        <w:gridCol w:w="1701"/>
      </w:tblGrid>
      <w:tr w:rsidR="009B21D5" w:rsidRPr="00161650" w14:paraId="06751FDA" w14:textId="77777777" w:rsidTr="00BA3794">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1986" w:type="dxa"/>
            <w:vMerge w:val="restart"/>
            <w:noWrap/>
            <w:vAlign w:val="center"/>
            <w:hideMark/>
          </w:tcPr>
          <w:p w14:paraId="36FB743D" w14:textId="77777777" w:rsidR="009B21D5" w:rsidRPr="00BA3794" w:rsidRDefault="009B21D5" w:rsidP="00A6302C">
            <w:pPr>
              <w:jc w:val="center"/>
              <w:rPr>
                <w:rFonts w:cs="Arial"/>
                <w:b w:val="0"/>
                <w:sz w:val="16"/>
                <w:szCs w:val="20"/>
                <w:lang w:eastAsia="es-CO"/>
              </w:rPr>
            </w:pPr>
            <w:r w:rsidRPr="00BA3794">
              <w:rPr>
                <w:rFonts w:cs="Arial"/>
                <w:sz w:val="16"/>
                <w:szCs w:val="20"/>
                <w:lang w:eastAsia="es-CO"/>
              </w:rPr>
              <w:t>DIRECCIÓN TERRITORIAL</w:t>
            </w:r>
          </w:p>
        </w:tc>
        <w:tc>
          <w:tcPr>
            <w:tcW w:w="3402" w:type="dxa"/>
            <w:gridSpan w:val="3"/>
            <w:noWrap/>
            <w:vAlign w:val="center"/>
            <w:hideMark/>
          </w:tcPr>
          <w:p w14:paraId="67A70839" w14:textId="77777777" w:rsidR="009B21D5" w:rsidRPr="00BA3794" w:rsidRDefault="009B21D5"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6"/>
                <w:szCs w:val="20"/>
                <w:lang w:eastAsia="es-CO"/>
              </w:rPr>
            </w:pPr>
            <w:r w:rsidRPr="00BA3794">
              <w:rPr>
                <w:rFonts w:cs="Arial"/>
                <w:sz w:val="16"/>
                <w:szCs w:val="20"/>
                <w:lang w:eastAsia="es-CO"/>
              </w:rPr>
              <w:t>META</w:t>
            </w:r>
          </w:p>
        </w:tc>
        <w:tc>
          <w:tcPr>
            <w:tcW w:w="3402" w:type="dxa"/>
            <w:gridSpan w:val="3"/>
            <w:noWrap/>
            <w:vAlign w:val="center"/>
            <w:hideMark/>
          </w:tcPr>
          <w:p w14:paraId="0DF3582A" w14:textId="77777777" w:rsidR="009B21D5" w:rsidRPr="00BA3794" w:rsidRDefault="009B21D5"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6"/>
                <w:szCs w:val="20"/>
                <w:lang w:eastAsia="es-CO"/>
              </w:rPr>
            </w:pPr>
            <w:r w:rsidRPr="00BA3794">
              <w:rPr>
                <w:rFonts w:cs="Arial"/>
                <w:sz w:val="16"/>
                <w:szCs w:val="20"/>
                <w:lang w:eastAsia="es-CO"/>
              </w:rPr>
              <w:t>EJECUCIÓN</w:t>
            </w:r>
          </w:p>
        </w:tc>
        <w:tc>
          <w:tcPr>
            <w:tcW w:w="1701" w:type="dxa"/>
            <w:vMerge w:val="restart"/>
            <w:vAlign w:val="center"/>
            <w:hideMark/>
          </w:tcPr>
          <w:p w14:paraId="4B89F47C" w14:textId="77777777" w:rsidR="009B21D5" w:rsidRPr="00BA3794" w:rsidRDefault="009B21D5" w:rsidP="00A6302C">
            <w:pPr>
              <w:jc w:val="center"/>
              <w:cnfStyle w:val="100000000000" w:firstRow="1" w:lastRow="0" w:firstColumn="0" w:lastColumn="0" w:oddVBand="0" w:evenVBand="0" w:oddHBand="0" w:evenHBand="0" w:firstRowFirstColumn="0" w:firstRowLastColumn="0" w:lastRowFirstColumn="0" w:lastRowLastColumn="0"/>
              <w:rPr>
                <w:rFonts w:cs="Arial"/>
                <w:b w:val="0"/>
                <w:color w:val="000000"/>
                <w:sz w:val="16"/>
                <w:szCs w:val="20"/>
                <w:lang w:eastAsia="es-CO"/>
              </w:rPr>
            </w:pPr>
            <w:r w:rsidRPr="00BA3794">
              <w:rPr>
                <w:rFonts w:cs="Arial"/>
                <w:sz w:val="16"/>
                <w:szCs w:val="20"/>
                <w:lang w:eastAsia="es-CO"/>
              </w:rPr>
              <w:t>CUMPLIMIENTO GENERAL</w:t>
            </w:r>
          </w:p>
        </w:tc>
      </w:tr>
      <w:tr w:rsidR="00C82CA6" w:rsidRPr="00161650" w14:paraId="190983C4" w14:textId="77777777" w:rsidTr="00BA379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986" w:type="dxa"/>
            <w:vMerge/>
            <w:vAlign w:val="center"/>
            <w:hideMark/>
          </w:tcPr>
          <w:p w14:paraId="5653A9C3" w14:textId="77777777" w:rsidR="009B21D5" w:rsidRPr="00BA3794" w:rsidRDefault="009B21D5" w:rsidP="00B15E6F">
            <w:pPr>
              <w:suppressAutoHyphens w:val="0"/>
              <w:jc w:val="center"/>
              <w:rPr>
                <w:rFonts w:cs="Arial"/>
                <w:b w:val="0"/>
                <w:color w:val="FFFFFF" w:themeColor="background1"/>
                <w:sz w:val="16"/>
                <w:szCs w:val="20"/>
                <w:lang w:eastAsia="es-CO"/>
              </w:rPr>
            </w:pPr>
          </w:p>
        </w:tc>
        <w:tc>
          <w:tcPr>
            <w:tcW w:w="992" w:type="dxa"/>
            <w:noWrap/>
            <w:vAlign w:val="center"/>
            <w:hideMark/>
          </w:tcPr>
          <w:p w14:paraId="62A4873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OFICINA</w:t>
            </w:r>
          </w:p>
        </w:tc>
        <w:tc>
          <w:tcPr>
            <w:tcW w:w="1276" w:type="dxa"/>
            <w:noWrap/>
            <w:vAlign w:val="center"/>
            <w:hideMark/>
          </w:tcPr>
          <w:p w14:paraId="5CE3251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TERRENO</w:t>
            </w:r>
          </w:p>
        </w:tc>
        <w:tc>
          <w:tcPr>
            <w:tcW w:w="1134" w:type="dxa"/>
            <w:vAlign w:val="center"/>
            <w:hideMark/>
          </w:tcPr>
          <w:p w14:paraId="111399D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TOTAL</w:t>
            </w:r>
          </w:p>
        </w:tc>
        <w:tc>
          <w:tcPr>
            <w:tcW w:w="992" w:type="dxa"/>
            <w:noWrap/>
            <w:vAlign w:val="center"/>
            <w:hideMark/>
          </w:tcPr>
          <w:p w14:paraId="38025BF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OFICINA</w:t>
            </w:r>
          </w:p>
        </w:tc>
        <w:tc>
          <w:tcPr>
            <w:tcW w:w="1276" w:type="dxa"/>
            <w:noWrap/>
            <w:vAlign w:val="center"/>
            <w:hideMark/>
          </w:tcPr>
          <w:p w14:paraId="4D8F2B2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TERRENO</w:t>
            </w:r>
          </w:p>
        </w:tc>
        <w:tc>
          <w:tcPr>
            <w:tcW w:w="1134" w:type="dxa"/>
            <w:vAlign w:val="center"/>
            <w:hideMark/>
          </w:tcPr>
          <w:p w14:paraId="0876A2BA"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b/>
                <w:sz w:val="16"/>
                <w:szCs w:val="20"/>
                <w:lang w:eastAsia="es-CO"/>
              </w:rPr>
            </w:pPr>
            <w:r w:rsidRPr="00BA3794">
              <w:rPr>
                <w:rFonts w:cs="Arial"/>
                <w:b/>
                <w:sz w:val="16"/>
                <w:szCs w:val="20"/>
                <w:lang w:eastAsia="es-CO"/>
              </w:rPr>
              <w:t>TOTAL</w:t>
            </w:r>
          </w:p>
        </w:tc>
        <w:tc>
          <w:tcPr>
            <w:tcW w:w="1701" w:type="dxa"/>
            <w:vMerge/>
            <w:vAlign w:val="center"/>
            <w:hideMark/>
          </w:tcPr>
          <w:p w14:paraId="4A4D7836" w14:textId="77777777" w:rsidR="009B21D5" w:rsidRPr="00BA3794" w:rsidRDefault="009B21D5" w:rsidP="00B15E6F">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20"/>
                <w:lang w:eastAsia="es-CO"/>
              </w:rPr>
            </w:pPr>
          </w:p>
        </w:tc>
      </w:tr>
      <w:tr w:rsidR="009B21D5" w:rsidRPr="00161650" w14:paraId="78EA36AC" w14:textId="77777777" w:rsidTr="00BA3794">
        <w:trPr>
          <w:trHeight w:val="195"/>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1D10A902" w14:textId="03087438" w:rsidR="009B21D5" w:rsidRPr="00BA3794" w:rsidRDefault="006E668D" w:rsidP="00B15E6F">
            <w:pPr>
              <w:jc w:val="center"/>
              <w:rPr>
                <w:rFonts w:cs="Arial"/>
                <w:color w:val="000000"/>
                <w:sz w:val="16"/>
                <w:szCs w:val="20"/>
                <w:lang w:eastAsia="es-CO"/>
              </w:rPr>
            </w:pPr>
            <w:r w:rsidRPr="00BA3794">
              <w:rPr>
                <w:rFonts w:cs="Arial"/>
                <w:sz w:val="16"/>
                <w:szCs w:val="20"/>
              </w:rPr>
              <w:t>RISARALDA</w:t>
            </w:r>
          </w:p>
        </w:tc>
        <w:tc>
          <w:tcPr>
            <w:tcW w:w="992" w:type="dxa"/>
            <w:noWrap/>
            <w:vAlign w:val="center"/>
            <w:hideMark/>
          </w:tcPr>
          <w:p w14:paraId="23306B0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2.269</w:t>
            </w:r>
          </w:p>
        </w:tc>
        <w:tc>
          <w:tcPr>
            <w:tcW w:w="1276" w:type="dxa"/>
            <w:noWrap/>
            <w:vAlign w:val="center"/>
            <w:hideMark/>
          </w:tcPr>
          <w:p w14:paraId="1387837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2.931</w:t>
            </w:r>
          </w:p>
        </w:tc>
        <w:tc>
          <w:tcPr>
            <w:tcW w:w="1134" w:type="dxa"/>
            <w:noWrap/>
            <w:vAlign w:val="center"/>
            <w:hideMark/>
          </w:tcPr>
          <w:p w14:paraId="50CBAA2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5.200</w:t>
            </w:r>
          </w:p>
        </w:tc>
        <w:tc>
          <w:tcPr>
            <w:tcW w:w="992" w:type="dxa"/>
            <w:noWrap/>
            <w:vAlign w:val="center"/>
            <w:hideMark/>
          </w:tcPr>
          <w:p w14:paraId="304C456F"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13.618</w:t>
            </w:r>
          </w:p>
        </w:tc>
        <w:tc>
          <w:tcPr>
            <w:tcW w:w="1276" w:type="dxa"/>
            <w:noWrap/>
            <w:vAlign w:val="center"/>
            <w:hideMark/>
          </w:tcPr>
          <w:p w14:paraId="791078E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2.164</w:t>
            </w:r>
          </w:p>
        </w:tc>
        <w:tc>
          <w:tcPr>
            <w:tcW w:w="1134" w:type="dxa"/>
            <w:noWrap/>
            <w:vAlign w:val="center"/>
            <w:hideMark/>
          </w:tcPr>
          <w:p w14:paraId="07FC38D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15.782</w:t>
            </w:r>
          </w:p>
        </w:tc>
        <w:tc>
          <w:tcPr>
            <w:tcW w:w="1701" w:type="dxa"/>
            <w:noWrap/>
            <w:vAlign w:val="center"/>
            <w:hideMark/>
          </w:tcPr>
          <w:p w14:paraId="721DB65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304%</w:t>
            </w:r>
          </w:p>
        </w:tc>
      </w:tr>
      <w:tr w:rsidR="00C82CA6" w:rsidRPr="00161650" w14:paraId="28548FF4" w14:textId="77777777" w:rsidTr="00BA3794">
        <w:trPr>
          <w:cnfStyle w:val="000000100000" w:firstRow="0" w:lastRow="0" w:firstColumn="0" w:lastColumn="0" w:oddVBand="0" w:evenVBand="0" w:oddHBand="1" w:evenHBand="0" w:firstRowFirstColumn="0" w:firstRowLastColumn="0" w:lastRowFirstColumn="0" w:lastRowLastColumn="0"/>
          <w:trHeight w:val="109"/>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4C404E82" w14:textId="3FB1AB84" w:rsidR="009B21D5" w:rsidRPr="00BA3794" w:rsidRDefault="006E668D" w:rsidP="00B15E6F">
            <w:pPr>
              <w:jc w:val="center"/>
              <w:rPr>
                <w:rFonts w:cs="Arial"/>
                <w:color w:val="000000"/>
                <w:sz w:val="16"/>
                <w:szCs w:val="20"/>
                <w:lang w:eastAsia="es-CO"/>
              </w:rPr>
            </w:pPr>
            <w:r w:rsidRPr="00BA3794">
              <w:rPr>
                <w:rFonts w:cs="Arial"/>
                <w:sz w:val="16"/>
                <w:szCs w:val="20"/>
              </w:rPr>
              <w:t>CAQUETÁ</w:t>
            </w:r>
          </w:p>
        </w:tc>
        <w:tc>
          <w:tcPr>
            <w:tcW w:w="992" w:type="dxa"/>
            <w:noWrap/>
            <w:vAlign w:val="center"/>
            <w:hideMark/>
          </w:tcPr>
          <w:p w14:paraId="5A10ABF7"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934</w:t>
            </w:r>
          </w:p>
        </w:tc>
        <w:tc>
          <w:tcPr>
            <w:tcW w:w="1276" w:type="dxa"/>
            <w:noWrap/>
            <w:vAlign w:val="center"/>
            <w:hideMark/>
          </w:tcPr>
          <w:p w14:paraId="4CA1FB4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1.970</w:t>
            </w:r>
          </w:p>
        </w:tc>
        <w:tc>
          <w:tcPr>
            <w:tcW w:w="1134" w:type="dxa"/>
            <w:noWrap/>
            <w:vAlign w:val="center"/>
            <w:hideMark/>
          </w:tcPr>
          <w:p w14:paraId="7D3260E8"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2.904</w:t>
            </w:r>
          </w:p>
        </w:tc>
        <w:tc>
          <w:tcPr>
            <w:tcW w:w="992" w:type="dxa"/>
            <w:noWrap/>
            <w:vAlign w:val="center"/>
            <w:hideMark/>
          </w:tcPr>
          <w:p w14:paraId="10BC9D5E"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4.115</w:t>
            </w:r>
          </w:p>
        </w:tc>
        <w:tc>
          <w:tcPr>
            <w:tcW w:w="1276" w:type="dxa"/>
            <w:noWrap/>
            <w:vAlign w:val="center"/>
            <w:hideMark/>
          </w:tcPr>
          <w:p w14:paraId="2EEDE70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2.631</w:t>
            </w:r>
          </w:p>
        </w:tc>
        <w:tc>
          <w:tcPr>
            <w:tcW w:w="1134" w:type="dxa"/>
            <w:noWrap/>
            <w:vAlign w:val="center"/>
            <w:hideMark/>
          </w:tcPr>
          <w:p w14:paraId="77C3F29E"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6.746</w:t>
            </w:r>
          </w:p>
        </w:tc>
        <w:tc>
          <w:tcPr>
            <w:tcW w:w="1701" w:type="dxa"/>
            <w:noWrap/>
            <w:vAlign w:val="center"/>
            <w:hideMark/>
          </w:tcPr>
          <w:p w14:paraId="333F8EC3"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232%</w:t>
            </w:r>
          </w:p>
        </w:tc>
      </w:tr>
      <w:tr w:rsidR="009B21D5" w:rsidRPr="00161650" w14:paraId="6A406CC0" w14:textId="77777777" w:rsidTr="00BA3794">
        <w:trPr>
          <w:trHeight w:val="141"/>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4F23578F" w14:textId="0D5163F6" w:rsidR="009B21D5" w:rsidRPr="00BA3794" w:rsidRDefault="006E668D" w:rsidP="00B15E6F">
            <w:pPr>
              <w:jc w:val="center"/>
              <w:rPr>
                <w:rFonts w:cs="Arial"/>
                <w:color w:val="000000"/>
                <w:sz w:val="16"/>
                <w:szCs w:val="20"/>
                <w:lang w:eastAsia="es-CO"/>
              </w:rPr>
            </w:pPr>
            <w:r w:rsidRPr="00BA3794">
              <w:rPr>
                <w:rFonts w:cs="Arial"/>
                <w:sz w:val="16"/>
                <w:szCs w:val="20"/>
              </w:rPr>
              <w:t>VALLE DEL CAUCA</w:t>
            </w:r>
          </w:p>
        </w:tc>
        <w:tc>
          <w:tcPr>
            <w:tcW w:w="992" w:type="dxa"/>
            <w:noWrap/>
            <w:vAlign w:val="center"/>
            <w:hideMark/>
          </w:tcPr>
          <w:p w14:paraId="19E2F39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9.828</w:t>
            </w:r>
          </w:p>
        </w:tc>
        <w:tc>
          <w:tcPr>
            <w:tcW w:w="1276" w:type="dxa"/>
            <w:noWrap/>
            <w:vAlign w:val="center"/>
            <w:hideMark/>
          </w:tcPr>
          <w:p w14:paraId="32A71416"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17.330</w:t>
            </w:r>
          </w:p>
        </w:tc>
        <w:tc>
          <w:tcPr>
            <w:tcW w:w="1134" w:type="dxa"/>
            <w:noWrap/>
            <w:vAlign w:val="center"/>
            <w:hideMark/>
          </w:tcPr>
          <w:p w14:paraId="4EBA66F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27.158</w:t>
            </w:r>
          </w:p>
        </w:tc>
        <w:tc>
          <w:tcPr>
            <w:tcW w:w="992" w:type="dxa"/>
            <w:noWrap/>
            <w:vAlign w:val="center"/>
            <w:hideMark/>
          </w:tcPr>
          <w:p w14:paraId="600DA6F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44.636</w:t>
            </w:r>
          </w:p>
        </w:tc>
        <w:tc>
          <w:tcPr>
            <w:tcW w:w="1276" w:type="dxa"/>
            <w:noWrap/>
            <w:vAlign w:val="center"/>
            <w:hideMark/>
          </w:tcPr>
          <w:p w14:paraId="06CB2E4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8.157</w:t>
            </w:r>
          </w:p>
        </w:tc>
        <w:tc>
          <w:tcPr>
            <w:tcW w:w="1134" w:type="dxa"/>
            <w:noWrap/>
            <w:vAlign w:val="center"/>
            <w:hideMark/>
          </w:tcPr>
          <w:p w14:paraId="3BBACD0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52.793</w:t>
            </w:r>
          </w:p>
        </w:tc>
        <w:tc>
          <w:tcPr>
            <w:tcW w:w="1701" w:type="dxa"/>
            <w:noWrap/>
            <w:vAlign w:val="center"/>
            <w:hideMark/>
          </w:tcPr>
          <w:p w14:paraId="0859709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194%</w:t>
            </w:r>
          </w:p>
        </w:tc>
      </w:tr>
      <w:tr w:rsidR="00C82CA6" w:rsidRPr="00161650" w14:paraId="28EA146D" w14:textId="77777777" w:rsidTr="00BA3794">
        <w:trPr>
          <w:cnfStyle w:val="000000100000" w:firstRow="0" w:lastRow="0" w:firstColumn="0" w:lastColumn="0" w:oddVBand="0" w:evenVBand="0" w:oddHBand="1"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4498E82D" w14:textId="3F8C3B24" w:rsidR="009B21D5" w:rsidRPr="00BA3794" w:rsidRDefault="006E668D" w:rsidP="00B15E6F">
            <w:pPr>
              <w:jc w:val="center"/>
              <w:rPr>
                <w:rFonts w:cs="Arial"/>
                <w:color w:val="000000"/>
                <w:sz w:val="16"/>
                <w:szCs w:val="20"/>
                <w:lang w:eastAsia="es-CO"/>
              </w:rPr>
            </w:pPr>
            <w:r w:rsidRPr="00BA3794">
              <w:rPr>
                <w:rFonts w:cs="Arial"/>
                <w:sz w:val="16"/>
                <w:szCs w:val="20"/>
              </w:rPr>
              <w:t>NARIÑO</w:t>
            </w:r>
          </w:p>
        </w:tc>
        <w:tc>
          <w:tcPr>
            <w:tcW w:w="992" w:type="dxa"/>
            <w:noWrap/>
            <w:vAlign w:val="center"/>
            <w:hideMark/>
          </w:tcPr>
          <w:p w14:paraId="390FEBC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3.017</w:t>
            </w:r>
          </w:p>
        </w:tc>
        <w:tc>
          <w:tcPr>
            <w:tcW w:w="1276" w:type="dxa"/>
            <w:noWrap/>
            <w:vAlign w:val="center"/>
            <w:hideMark/>
          </w:tcPr>
          <w:p w14:paraId="32D5EF11"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14.159</w:t>
            </w:r>
          </w:p>
        </w:tc>
        <w:tc>
          <w:tcPr>
            <w:tcW w:w="1134" w:type="dxa"/>
            <w:noWrap/>
            <w:vAlign w:val="center"/>
            <w:hideMark/>
          </w:tcPr>
          <w:p w14:paraId="54411F9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17.176</w:t>
            </w:r>
          </w:p>
        </w:tc>
        <w:tc>
          <w:tcPr>
            <w:tcW w:w="992" w:type="dxa"/>
            <w:noWrap/>
            <w:vAlign w:val="center"/>
            <w:hideMark/>
          </w:tcPr>
          <w:p w14:paraId="6166ABF7"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26.992</w:t>
            </w:r>
          </w:p>
        </w:tc>
        <w:tc>
          <w:tcPr>
            <w:tcW w:w="1276" w:type="dxa"/>
            <w:noWrap/>
            <w:vAlign w:val="center"/>
            <w:hideMark/>
          </w:tcPr>
          <w:p w14:paraId="3AE00C15"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5.654</w:t>
            </w:r>
          </w:p>
        </w:tc>
        <w:tc>
          <w:tcPr>
            <w:tcW w:w="1134" w:type="dxa"/>
            <w:noWrap/>
            <w:vAlign w:val="center"/>
            <w:hideMark/>
          </w:tcPr>
          <w:p w14:paraId="403C43F1"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32.646</w:t>
            </w:r>
          </w:p>
        </w:tc>
        <w:tc>
          <w:tcPr>
            <w:tcW w:w="1701" w:type="dxa"/>
            <w:noWrap/>
            <w:vAlign w:val="center"/>
            <w:hideMark/>
          </w:tcPr>
          <w:p w14:paraId="630744D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190%</w:t>
            </w:r>
          </w:p>
        </w:tc>
      </w:tr>
      <w:tr w:rsidR="009B21D5" w:rsidRPr="00161650" w14:paraId="05930D72" w14:textId="77777777" w:rsidTr="00BA3794">
        <w:trPr>
          <w:trHeight w:val="85"/>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371E6547" w14:textId="179CA2D2" w:rsidR="009B21D5" w:rsidRPr="00BA3794" w:rsidRDefault="006E668D" w:rsidP="00B15E6F">
            <w:pPr>
              <w:jc w:val="center"/>
              <w:rPr>
                <w:rFonts w:cs="Arial"/>
                <w:color w:val="000000"/>
                <w:sz w:val="16"/>
                <w:szCs w:val="20"/>
                <w:lang w:eastAsia="es-CO"/>
              </w:rPr>
            </w:pPr>
            <w:r w:rsidRPr="00BA3794">
              <w:rPr>
                <w:rFonts w:cs="Arial"/>
                <w:sz w:val="16"/>
                <w:szCs w:val="20"/>
              </w:rPr>
              <w:t>BOLÍVAR</w:t>
            </w:r>
          </w:p>
        </w:tc>
        <w:tc>
          <w:tcPr>
            <w:tcW w:w="992" w:type="dxa"/>
            <w:noWrap/>
            <w:vAlign w:val="center"/>
            <w:hideMark/>
          </w:tcPr>
          <w:p w14:paraId="242019C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4.157</w:t>
            </w:r>
          </w:p>
        </w:tc>
        <w:tc>
          <w:tcPr>
            <w:tcW w:w="1276" w:type="dxa"/>
            <w:noWrap/>
            <w:vAlign w:val="center"/>
            <w:hideMark/>
          </w:tcPr>
          <w:p w14:paraId="7E8AB279"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7.865</w:t>
            </w:r>
          </w:p>
        </w:tc>
        <w:tc>
          <w:tcPr>
            <w:tcW w:w="1134" w:type="dxa"/>
            <w:noWrap/>
            <w:vAlign w:val="center"/>
            <w:hideMark/>
          </w:tcPr>
          <w:p w14:paraId="29EDC67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12.022</w:t>
            </w:r>
          </w:p>
        </w:tc>
        <w:tc>
          <w:tcPr>
            <w:tcW w:w="992" w:type="dxa"/>
            <w:noWrap/>
            <w:vAlign w:val="center"/>
            <w:hideMark/>
          </w:tcPr>
          <w:p w14:paraId="21E39C79"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12.350</w:t>
            </w:r>
          </w:p>
        </w:tc>
        <w:tc>
          <w:tcPr>
            <w:tcW w:w="1276" w:type="dxa"/>
            <w:noWrap/>
            <w:vAlign w:val="center"/>
            <w:hideMark/>
          </w:tcPr>
          <w:p w14:paraId="33F68E3F"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7.163</w:t>
            </w:r>
          </w:p>
        </w:tc>
        <w:tc>
          <w:tcPr>
            <w:tcW w:w="1134" w:type="dxa"/>
            <w:noWrap/>
            <w:vAlign w:val="center"/>
            <w:hideMark/>
          </w:tcPr>
          <w:p w14:paraId="14BBDAE2"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19.513</w:t>
            </w:r>
          </w:p>
        </w:tc>
        <w:tc>
          <w:tcPr>
            <w:tcW w:w="1701" w:type="dxa"/>
            <w:noWrap/>
            <w:vAlign w:val="center"/>
            <w:hideMark/>
          </w:tcPr>
          <w:p w14:paraId="05C8DB5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162%</w:t>
            </w:r>
          </w:p>
        </w:tc>
      </w:tr>
      <w:tr w:rsidR="00C82CA6" w:rsidRPr="00161650" w14:paraId="3F2AF5A4" w14:textId="77777777" w:rsidTr="00BA3794">
        <w:trPr>
          <w:cnfStyle w:val="000000100000" w:firstRow="0" w:lastRow="0" w:firstColumn="0" w:lastColumn="0" w:oddVBand="0" w:evenVBand="0" w:oddHBand="1" w:evenHBand="0" w:firstRowFirstColumn="0" w:firstRowLastColumn="0" w:lastRowFirstColumn="0" w:lastRowLastColumn="0"/>
          <w:trHeight w:val="137"/>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75777F6A" w14:textId="17D06EFB" w:rsidR="009B21D5" w:rsidRPr="00BA3794" w:rsidRDefault="006E668D" w:rsidP="00B15E6F">
            <w:pPr>
              <w:jc w:val="center"/>
              <w:rPr>
                <w:rFonts w:cs="Arial"/>
                <w:color w:val="000000"/>
                <w:sz w:val="16"/>
                <w:szCs w:val="20"/>
                <w:lang w:eastAsia="es-CO"/>
              </w:rPr>
            </w:pPr>
            <w:r w:rsidRPr="00BA3794">
              <w:rPr>
                <w:rFonts w:cs="Arial"/>
                <w:sz w:val="16"/>
                <w:szCs w:val="20"/>
              </w:rPr>
              <w:t>ATLÁNTICO</w:t>
            </w:r>
          </w:p>
        </w:tc>
        <w:tc>
          <w:tcPr>
            <w:tcW w:w="992" w:type="dxa"/>
            <w:noWrap/>
            <w:vAlign w:val="center"/>
            <w:hideMark/>
          </w:tcPr>
          <w:p w14:paraId="045FFDC6"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3.064</w:t>
            </w:r>
          </w:p>
        </w:tc>
        <w:tc>
          <w:tcPr>
            <w:tcW w:w="1276" w:type="dxa"/>
            <w:noWrap/>
            <w:vAlign w:val="center"/>
            <w:hideMark/>
          </w:tcPr>
          <w:p w14:paraId="7197369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8.695</w:t>
            </w:r>
          </w:p>
        </w:tc>
        <w:tc>
          <w:tcPr>
            <w:tcW w:w="1134" w:type="dxa"/>
            <w:noWrap/>
            <w:vAlign w:val="center"/>
            <w:hideMark/>
          </w:tcPr>
          <w:p w14:paraId="51156E3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11.759</w:t>
            </w:r>
          </w:p>
        </w:tc>
        <w:tc>
          <w:tcPr>
            <w:tcW w:w="992" w:type="dxa"/>
            <w:noWrap/>
            <w:vAlign w:val="center"/>
            <w:hideMark/>
          </w:tcPr>
          <w:p w14:paraId="3E32BC8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12.671</w:t>
            </w:r>
          </w:p>
        </w:tc>
        <w:tc>
          <w:tcPr>
            <w:tcW w:w="1276" w:type="dxa"/>
            <w:noWrap/>
            <w:vAlign w:val="center"/>
            <w:hideMark/>
          </w:tcPr>
          <w:p w14:paraId="3B78556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4.634</w:t>
            </w:r>
          </w:p>
        </w:tc>
        <w:tc>
          <w:tcPr>
            <w:tcW w:w="1134" w:type="dxa"/>
            <w:noWrap/>
            <w:vAlign w:val="center"/>
            <w:hideMark/>
          </w:tcPr>
          <w:p w14:paraId="127009C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17.305</w:t>
            </w:r>
          </w:p>
        </w:tc>
        <w:tc>
          <w:tcPr>
            <w:tcW w:w="1701" w:type="dxa"/>
            <w:noWrap/>
            <w:vAlign w:val="center"/>
            <w:hideMark/>
          </w:tcPr>
          <w:p w14:paraId="6F34298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147%</w:t>
            </w:r>
          </w:p>
        </w:tc>
      </w:tr>
      <w:tr w:rsidR="009B21D5" w:rsidRPr="00161650" w14:paraId="20DFFBB8" w14:textId="77777777" w:rsidTr="00BA3794">
        <w:trPr>
          <w:trHeight w:val="18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6E1E7250" w14:textId="19DED66E" w:rsidR="009B21D5" w:rsidRPr="00BA3794" w:rsidRDefault="006E668D" w:rsidP="00B15E6F">
            <w:pPr>
              <w:jc w:val="center"/>
              <w:rPr>
                <w:rFonts w:cs="Arial"/>
                <w:color w:val="000000"/>
                <w:sz w:val="16"/>
                <w:szCs w:val="20"/>
                <w:lang w:eastAsia="es-CO"/>
              </w:rPr>
            </w:pPr>
            <w:r w:rsidRPr="00BA3794">
              <w:rPr>
                <w:rFonts w:cs="Arial"/>
                <w:sz w:val="16"/>
                <w:szCs w:val="20"/>
              </w:rPr>
              <w:t>TOLIMA</w:t>
            </w:r>
          </w:p>
        </w:tc>
        <w:tc>
          <w:tcPr>
            <w:tcW w:w="992" w:type="dxa"/>
            <w:noWrap/>
            <w:vAlign w:val="center"/>
            <w:hideMark/>
          </w:tcPr>
          <w:p w14:paraId="211449D2"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11.455</w:t>
            </w:r>
          </w:p>
        </w:tc>
        <w:tc>
          <w:tcPr>
            <w:tcW w:w="1276" w:type="dxa"/>
            <w:noWrap/>
            <w:vAlign w:val="center"/>
            <w:hideMark/>
          </w:tcPr>
          <w:p w14:paraId="2260C05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18.959</w:t>
            </w:r>
          </w:p>
        </w:tc>
        <w:tc>
          <w:tcPr>
            <w:tcW w:w="1134" w:type="dxa"/>
            <w:noWrap/>
            <w:vAlign w:val="center"/>
            <w:hideMark/>
          </w:tcPr>
          <w:p w14:paraId="74C005F9"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30.414</w:t>
            </w:r>
          </w:p>
        </w:tc>
        <w:tc>
          <w:tcPr>
            <w:tcW w:w="992" w:type="dxa"/>
            <w:noWrap/>
            <w:vAlign w:val="center"/>
            <w:hideMark/>
          </w:tcPr>
          <w:p w14:paraId="05B2140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26.007</w:t>
            </w:r>
          </w:p>
        </w:tc>
        <w:tc>
          <w:tcPr>
            <w:tcW w:w="1276" w:type="dxa"/>
            <w:noWrap/>
            <w:vAlign w:val="center"/>
            <w:hideMark/>
          </w:tcPr>
          <w:p w14:paraId="1BB6F9A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17.698</w:t>
            </w:r>
          </w:p>
        </w:tc>
        <w:tc>
          <w:tcPr>
            <w:tcW w:w="1134" w:type="dxa"/>
            <w:noWrap/>
            <w:vAlign w:val="center"/>
            <w:hideMark/>
          </w:tcPr>
          <w:p w14:paraId="55955756"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43.705</w:t>
            </w:r>
          </w:p>
        </w:tc>
        <w:tc>
          <w:tcPr>
            <w:tcW w:w="1701" w:type="dxa"/>
            <w:noWrap/>
            <w:vAlign w:val="center"/>
            <w:hideMark/>
          </w:tcPr>
          <w:p w14:paraId="5D4450E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144%</w:t>
            </w:r>
          </w:p>
        </w:tc>
      </w:tr>
      <w:tr w:rsidR="00C82CA6" w:rsidRPr="00161650" w14:paraId="1CCA4A11" w14:textId="77777777" w:rsidTr="00BA3794">
        <w:trPr>
          <w:cnfStyle w:val="000000100000" w:firstRow="0" w:lastRow="0" w:firstColumn="0" w:lastColumn="0" w:oddVBand="0" w:evenVBand="0" w:oddHBand="1" w:evenHBand="0" w:firstRowFirstColumn="0" w:firstRowLastColumn="0" w:lastRowFirstColumn="0" w:lastRowLastColumn="0"/>
          <w:trHeight w:val="7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4BC880DC" w14:textId="4C237FA1" w:rsidR="009B21D5" w:rsidRPr="00BA3794" w:rsidRDefault="006E668D" w:rsidP="00B15E6F">
            <w:pPr>
              <w:jc w:val="center"/>
              <w:rPr>
                <w:rFonts w:cs="Arial"/>
                <w:color w:val="000000"/>
                <w:sz w:val="16"/>
                <w:szCs w:val="20"/>
                <w:lang w:eastAsia="es-CO"/>
              </w:rPr>
            </w:pPr>
            <w:r w:rsidRPr="00BA3794">
              <w:rPr>
                <w:rFonts w:cs="Arial"/>
                <w:sz w:val="16"/>
                <w:szCs w:val="20"/>
              </w:rPr>
              <w:t>CAUCA</w:t>
            </w:r>
          </w:p>
        </w:tc>
        <w:tc>
          <w:tcPr>
            <w:tcW w:w="992" w:type="dxa"/>
            <w:noWrap/>
            <w:vAlign w:val="center"/>
            <w:hideMark/>
          </w:tcPr>
          <w:p w14:paraId="6604488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2.353</w:t>
            </w:r>
          </w:p>
        </w:tc>
        <w:tc>
          <w:tcPr>
            <w:tcW w:w="1276" w:type="dxa"/>
            <w:noWrap/>
            <w:vAlign w:val="center"/>
            <w:hideMark/>
          </w:tcPr>
          <w:p w14:paraId="4D5FE76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7.078</w:t>
            </w:r>
          </w:p>
        </w:tc>
        <w:tc>
          <w:tcPr>
            <w:tcW w:w="1134" w:type="dxa"/>
            <w:noWrap/>
            <w:vAlign w:val="center"/>
            <w:hideMark/>
          </w:tcPr>
          <w:p w14:paraId="733DD56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9.431</w:t>
            </w:r>
          </w:p>
        </w:tc>
        <w:tc>
          <w:tcPr>
            <w:tcW w:w="992" w:type="dxa"/>
            <w:noWrap/>
            <w:vAlign w:val="center"/>
            <w:hideMark/>
          </w:tcPr>
          <w:p w14:paraId="2631A378"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9.643</w:t>
            </w:r>
          </w:p>
        </w:tc>
        <w:tc>
          <w:tcPr>
            <w:tcW w:w="1276" w:type="dxa"/>
            <w:noWrap/>
            <w:vAlign w:val="center"/>
            <w:hideMark/>
          </w:tcPr>
          <w:p w14:paraId="59590996"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3.672</w:t>
            </w:r>
          </w:p>
        </w:tc>
        <w:tc>
          <w:tcPr>
            <w:tcW w:w="1134" w:type="dxa"/>
            <w:noWrap/>
            <w:vAlign w:val="center"/>
            <w:hideMark/>
          </w:tcPr>
          <w:p w14:paraId="47D194E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13.315</w:t>
            </w:r>
          </w:p>
        </w:tc>
        <w:tc>
          <w:tcPr>
            <w:tcW w:w="1701" w:type="dxa"/>
            <w:noWrap/>
            <w:vAlign w:val="center"/>
            <w:hideMark/>
          </w:tcPr>
          <w:p w14:paraId="4E4A8B2E"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141%</w:t>
            </w:r>
          </w:p>
        </w:tc>
      </w:tr>
      <w:tr w:rsidR="009B21D5" w:rsidRPr="00161650" w14:paraId="28123A2B" w14:textId="77777777" w:rsidTr="00BA3794">
        <w:trPr>
          <w:trHeight w:val="119"/>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1788264D" w14:textId="3262AFE5" w:rsidR="009B21D5" w:rsidRPr="00BA3794" w:rsidRDefault="006E668D" w:rsidP="00B15E6F">
            <w:pPr>
              <w:jc w:val="center"/>
              <w:rPr>
                <w:rFonts w:cs="Arial"/>
                <w:color w:val="000000"/>
                <w:sz w:val="16"/>
                <w:szCs w:val="20"/>
                <w:lang w:eastAsia="es-CO"/>
              </w:rPr>
            </w:pPr>
            <w:r w:rsidRPr="00BA3794">
              <w:rPr>
                <w:rFonts w:cs="Arial"/>
                <w:sz w:val="16"/>
                <w:szCs w:val="20"/>
              </w:rPr>
              <w:t>SUCRE</w:t>
            </w:r>
          </w:p>
        </w:tc>
        <w:tc>
          <w:tcPr>
            <w:tcW w:w="992" w:type="dxa"/>
            <w:noWrap/>
            <w:vAlign w:val="center"/>
            <w:hideMark/>
          </w:tcPr>
          <w:p w14:paraId="5D320D52"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3.947</w:t>
            </w:r>
          </w:p>
        </w:tc>
        <w:tc>
          <w:tcPr>
            <w:tcW w:w="1276" w:type="dxa"/>
            <w:noWrap/>
            <w:vAlign w:val="center"/>
            <w:hideMark/>
          </w:tcPr>
          <w:p w14:paraId="6435E93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4.326</w:t>
            </w:r>
          </w:p>
        </w:tc>
        <w:tc>
          <w:tcPr>
            <w:tcW w:w="1134" w:type="dxa"/>
            <w:noWrap/>
            <w:vAlign w:val="center"/>
            <w:hideMark/>
          </w:tcPr>
          <w:p w14:paraId="0340C870"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8.273</w:t>
            </w:r>
          </w:p>
        </w:tc>
        <w:tc>
          <w:tcPr>
            <w:tcW w:w="992" w:type="dxa"/>
            <w:noWrap/>
            <w:vAlign w:val="center"/>
            <w:hideMark/>
          </w:tcPr>
          <w:p w14:paraId="675621E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7.214</w:t>
            </w:r>
          </w:p>
        </w:tc>
        <w:tc>
          <w:tcPr>
            <w:tcW w:w="1276" w:type="dxa"/>
            <w:noWrap/>
            <w:vAlign w:val="center"/>
            <w:hideMark/>
          </w:tcPr>
          <w:p w14:paraId="6E5FF4CF"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4.417</w:t>
            </w:r>
          </w:p>
        </w:tc>
        <w:tc>
          <w:tcPr>
            <w:tcW w:w="1134" w:type="dxa"/>
            <w:noWrap/>
            <w:vAlign w:val="center"/>
            <w:hideMark/>
          </w:tcPr>
          <w:p w14:paraId="723FA221"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11.631</w:t>
            </w:r>
          </w:p>
        </w:tc>
        <w:tc>
          <w:tcPr>
            <w:tcW w:w="1701" w:type="dxa"/>
            <w:noWrap/>
            <w:vAlign w:val="center"/>
            <w:hideMark/>
          </w:tcPr>
          <w:p w14:paraId="0E3BD2C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141%</w:t>
            </w:r>
          </w:p>
        </w:tc>
      </w:tr>
      <w:tr w:rsidR="00C82CA6" w:rsidRPr="00161650" w14:paraId="5796F306" w14:textId="77777777" w:rsidTr="00BA3794">
        <w:trPr>
          <w:cnfStyle w:val="000000100000" w:firstRow="0" w:lastRow="0" w:firstColumn="0" w:lastColumn="0" w:oddVBand="0" w:evenVBand="0" w:oddHBand="1" w:evenHBand="0" w:firstRowFirstColumn="0" w:firstRowLastColumn="0" w:lastRowFirstColumn="0" w:lastRowLastColumn="0"/>
          <w:trHeight w:val="5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5E4E5298" w14:textId="76C29044" w:rsidR="009B21D5" w:rsidRPr="00BA3794" w:rsidRDefault="006E668D" w:rsidP="00B15E6F">
            <w:pPr>
              <w:jc w:val="center"/>
              <w:rPr>
                <w:rFonts w:cs="Arial"/>
                <w:color w:val="000000"/>
                <w:sz w:val="16"/>
                <w:szCs w:val="20"/>
                <w:lang w:eastAsia="es-CO"/>
              </w:rPr>
            </w:pPr>
            <w:r w:rsidRPr="00BA3794">
              <w:rPr>
                <w:rFonts w:cs="Arial"/>
                <w:sz w:val="16"/>
                <w:szCs w:val="20"/>
              </w:rPr>
              <w:t>HUILA</w:t>
            </w:r>
          </w:p>
        </w:tc>
        <w:tc>
          <w:tcPr>
            <w:tcW w:w="992" w:type="dxa"/>
            <w:noWrap/>
            <w:vAlign w:val="center"/>
            <w:hideMark/>
          </w:tcPr>
          <w:p w14:paraId="7DC37C4A"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8.691</w:t>
            </w:r>
          </w:p>
        </w:tc>
        <w:tc>
          <w:tcPr>
            <w:tcW w:w="1276" w:type="dxa"/>
            <w:noWrap/>
            <w:vAlign w:val="center"/>
            <w:hideMark/>
          </w:tcPr>
          <w:p w14:paraId="4F84126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8.510</w:t>
            </w:r>
          </w:p>
        </w:tc>
        <w:tc>
          <w:tcPr>
            <w:tcW w:w="1134" w:type="dxa"/>
            <w:noWrap/>
            <w:vAlign w:val="center"/>
            <w:hideMark/>
          </w:tcPr>
          <w:p w14:paraId="18C1D18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17.201</w:t>
            </w:r>
          </w:p>
        </w:tc>
        <w:tc>
          <w:tcPr>
            <w:tcW w:w="992" w:type="dxa"/>
            <w:noWrap/>
            <w:vAlign w:val="center"/>
            <w:hideMark/>
          </w:tcPr>
          <w:p w14:paraId="5E8F1987"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21.442</w:t>
            </w:r>
          </w:p>
        </w:tc>
        <w:tc>
          <w:tcPr>
            <w:tcW w:w="1276" w:type="dxa"/>
            <w:noWrap/>
            <w:vAlign w:val="center"/>
            <w:hideMark/>
          </w:tcPr>
          <w:p w14:paraId="32D33DD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1.643</w:t>
            </w:r>
          </w:p>
        </w:tc>
        <w:tc>
          <w:tcPr>
            <w:tcW w:w="1134" w:type="dxa"/>
            <w:noWrap/>
            <w:vAlign w:val="center"/>
            <w:hideMark/>
          </w:tcPr>
          <w:p w14:paraId="6CF7325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23.085</w:t>
            </w:r>
          </w:p>
        </w:tc>
        <w:tc>
          <w:tcPr>
            <w:tcW w:w="1701" w:type="dxa"/>
            <w:noWrap/>
            <w:vAlign w:val="center"/>
            <w:hideMark/>
          </w:tcPr>
          <w:p w14:paraId="6254503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134%</w:t>
            </w:r>
          </w:p>
        </w:tc>
      </w:tr>
      <w:tr w:rsidR="009B21D5" w:rsidRPr="00161650" w14:paraId="56B976E5" w14:textId="77777777" w:rsidTr="00BA3794">
        <w:trPr>
          <w:trHeight w:val="69"/>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54F6163A" w14:textId="352B68E9" w:rsidR="009B21D5" w:rsidRPr="00BA3794" w:rsidRDefault="006E668D" w:rsidP="00B15E6F">
            <w:pPr>
              <w:jc w:val="center"/>
              <w:rPr>
                <w:rFonts w:cs="Arial"/>
                <w:color w:val="000000"/>
                <w:sz w:val="16"/>
                <w:szCs w:val="20"/>
                <w:lang w:eastAsia="es-CO"/>
              </w:rPr>
            </w:pPr>
            <w:r w:rsidRPr="00BA3794">
              <w:rPr>
                <w:rFonts w:cs="Arial"/>
                <w:sz w:val="16"/>
                <w:szCs w:val="20"/>
              </w:rPr>
              <w:t>MAGDALENA</w:t>
            </w:r>
          </w:p>
        </w:tc>
        <w:tc>
          <w:tcPr>
            <w:tcW w:w="992" w:type="dxa"/>
            <w:noWrap/>
            <w:vAlign w:val="center"/>
            <w:hideMark/>
          </w:tcPr>
          <w:p w14:paraId="7FBFA23B"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3.748</w:t>
            </w:r>
          </w:p>
        </w:tc>
        <w:tc>
          <w:tcPr>
            <w:tcW w:w="1276" w:type="dxa"/>
            <w:noWrap/>
            <w:vAlign w:val="center"/>
            <w:hideMark/>
          </w:tcPr>
          <w:p w14:paraId="75BFB89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13.627</w:t>
            </w:r>
          </w:p>
        </w:tc>
        <w:tc>
          <w:tcPr>
            <w:tcW w:w="1134" w:type="dxa"/>
            <w:noWrap/>
            <w:vAlign w:val="center"/>
            <w:hideMark/>
          </w:tcPr>
          <w:p w14:paraId="5719DFD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17.375</w:t>
            </w:r>
          </w:p>
        </w:tc>
        <w:tc>
          <w:tcPr>
            <w:tcW w:w="992" w:type="dxa"/>
            <w:noWrap/>
            <w:vAlign w:val="center"/>
            <w:hideMark/>
          </w:tcPr>
          <w:p w14:paraId="16ADD4C4"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13.290</w:t>
            </w:r>
          </w:p>
        </w:tc>
        <w:tc>
          <w:tcPr>
            <w:tcW w:w="1276" w:type="dxa"/>
            <w:noWrap/>
            <w:vAlign w:val="center"/>
            <w:hideMark/>
          </w:tcPr>
          <w:p w14:paraId="25C80E8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7.669</w:t>
            </w:r>
          </w:p>
        </w:tc>
        <w:tc>
          <w:tcPr>
            <w:tcW w:w="1134" w:type="dxa"/>
            <w:noWrap/>
            <w:vAlign w:val="center"/>
            <w:hideMark/>
          </w:tcPr>
          <w:p w14:paraId="06E190F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20.959</w:t>
            </w:r>
          </w:p>
        </w:tc>
        <w:tc>
          <w:tcPr>
            <w:tcW w:w="1701" w:type="dxa"/>
            <w:noWrap/>
            <w:vAlign w:val="center"/>
            <w:hideMark/>
          </w:tcPr>
          <w:p w14:paraId="1683BB69"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121%</w:t>
            </w:r>
          </w:p>
        </w:tc>
      </w:tr>
      <w:tr w:rsidR="00C82CA6" w:rsidRPr="00161650" w14:paraId="7200E1EA" w14:textId="77777777" w:rsidTr="00BA3794">
        <w:trPr>
          <w:cnfStyle w:val="000000100000" w:firstRow="0" w:lastRow="0" w:firstColumn="0" w:lastColumn="0" w:oddVBand="0" w:evenVBand="0" w:oddHBand="1" w:evenHBand="0" w:firstRowFirstColumn="0" w:firstRowLastColumn="0" w:lastRowFirstColumn="0" w:lastRowLastColumn="0"/>
          <w:trHeight w:val="116"/>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24132189" w14:textId="7496AC6A" w:rsidR="009B21D5" w:rsidRPr="00BA3794" w:rsidRDefault="006E668D" w:rsidP="00B15E6F">
            <w:pPr>
              <w:jc w:val="center"/>
              <w:rPr>
                <w:rFonts w:cs="Arial"/>
                <w:color w:val="000000"/>
                <w:sz w:val="16"/>
                <w:szCs w:val="20"/>
                <w:lang w:eastAsia="es-CO"/>
              </w:rPr>
            </w:pPr>
            <w:r w:rsidRPr="00BA3794">
              <w:rPr>
                <w:rFonts w:cs="Arial"/>
                <w:sz w:val="16"/>
                <w:szCs w:val="20"/>
              </w:rPr>
              <w:t>CUNDINAMARCA</w:t>
            </w:r>
          </w:p>
        </w:tc>
        <w:tc>
          <w:tcPr>
            <w:tcW w:w="992" w:type="dxa"/>
            <w:noWrap/>
            <w:vAlign w:val="center"/>
            <w:hideMark/>
          </w:tcPr>
          <w:p w14:paraId="0CFA3F4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44.326</w:t>
            </w:r>
          </w:p>
        </w:tc>
        <w:tc>
          <w:tcPr>
            <w:tcW w:w="1276" w:type="dxa"/>
            <w:noWrap/>
            <w:vAlign w:val="center"/>
            <w:hideMark/>
          </w:tcPr>
          <w:p w14:paraId="775ACE66"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41.423</w:t>
            </w:r>
          </w:p>
        </w:tc>
        <w:tc>
          <w:tcPr>
            <w:tcW w:w="1134" w:type="dxa"/>
            <w:noWrap/>
            <w:vAlign w:val="center"/>
            <w:hideMark/>
          </w:tcPr>
          <w:p w14:paraId="71AD1B0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85.749</w:t>
            </w:r>
          </w:p>
        </w:tc>
        <w:tc>
          <w:tcPr>
            <w:tcW w:w="992" w:type="dxa"/>
            <w:noWrap/>
            <w:vAlign w:val="center"/>
            <w:hideMark/>
          </w:tcPr>
          <w:p w14:paraId="18F3FFF8"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51.091</w:t>
            </w:r>
          </w:p>
        </w:tc>
        <w:tc>
          <w:tcPr>
            <w:tcW w:w="1276" w:type="dxa"/>
            <w:noWrap/>
            <w:vAlign w:val="center"/>
            <w:hideMark/>
          </w:tcPr>
          <w:p w14:paraId="63AF87C3"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47.735</w:t>
            </w:r>
          </w:p>
        </w:tc>
        <w:tc>
          <w:tcPr>
            <w:tcW w:w="1134" w:type="dxa"/>
            <w:noWrap/>
            <w:vAlign w:val="center"/>
            <w:hideMark/>
          </w:tcPr>
          <w:p w14:paraId="5FF8264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98.826</w:t>
            </w:r>
          </w:p>
        </w:tc>
        <w:tc>
          <w:tcPr>
            <w:tcW w:w="1701" w:type="dxa"/>
            <w:noWrap/>
            <w:vAlign w:val="center"/>
            <w:hideMark/>
          </w:tcPr>
          <w:p w14:paraId="4DE1FF03"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115%</w:t>
            </w:r>
          </w:p>
        </w:tc>
      </w:tr>
      <w:tr w:rsidR="009B21D5" w:rsidRPr="00161650" w14:paraId="4049DBA6" w14:textId="77777777" w:rsidTr="00BA3794">
        <w:trPr>
          <w:trHeight w:val="5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26E7C752" w14:textId="59BD5AF7" w:rsidR="009B21D5" w:rsidRPr="00BA3794" w:rsidRDefault="006E668D" w:rsidP="00B15E6F">
            <w:pPr>
              <w:jc w:val="center"/>
              <w:rPr>
                <w:rFonts w:cs="Arial"/>
                <w:color w:val="000000"/>
                <w:sz w:val="16"/>
                <w:szCs w:val="20"/>
                <w:lang w:eastAsia="es-CO"/>
              </w:rPr>
            </w:pPr>
            <w:r w:rsidRPr="00BA3794">
              <w:rPr>
                <w:rFonts w:cs="Arial"/>
                <w:sz w:val="16"/>
                <w:szCs w:val="20"/>
              </w:rPr>
              <w:t>QUINDÍO</w:t>
            </w:r>
          </w:p>
        </w:tc>
        <w:tc>
          <w:tcPr>
            <w:tcW w:w="992" w:type="dxa"/>
            <w:noWrap/>
            <w:vAlign w:val="center"/>
            <w:hideMark/>
          </w:tcPr>
          <w:p w14:paraId="24D64B44"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5.673</w:t>
            </w:r>
          </w:p>
        </w:tc>
        <w:tc>
          <w:tcPr>
            <w:tcW w:w="1276" w:type="dxa"/>
            <w:noWrap/>
            <w:vAlign w:val="center"/>
            <w:hideMark/>
          </w:tcPr>
          <w:p w14:paraId="4C122534"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5.909</w:t>
            </w:r>
          </w:p>
        </w:tc>
        <w:tc>
          <w:tcPr>
            <w:tcW w:w="1134" w:type="dxa"/>
            <w:noWrap/>
            <w:vAlign w:val="center"/>
            <w:hideMark/>
          </w:tcPr>
          <w:p w14:paraId="6F2A09E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11.582</w:t>
            </w:r>
          </w:p>
        </w:tc>
        <w:tc>
          <w:tcPr>
            <w:tcW w:w="992" w:type="dxa"/>
            <w:noWrap/>
            <w:vAlign w:val="center"/>
            <w:hideMark/>
          </w:tcPr>
          <w:p w14:paraId="3ACA4D0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11.140</w:t>
            </w:r>
          </w:p>
        </w:tc>
        <w:tc>
          <w:tcPr>
            <w:tcW w:w="1276" w:type="dxa"/>
            <w:noWrap/>
            <w:vAlign w:val="center"/>
            <w:hideMark/>
          </w:tcPr>
          <w:p w14:paraId="7DFA50F8"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2.195</w:t>
            </w:r>
          </w:p>
        </w:tc>
        <w:tc>
          <w:tcPr>
            <w:tcW w:w="1134" w:type="dxa"/>
            <w:noWrap/>
            <w:vAlign w:val="center"/>
            <w:hideMark/>
          </w:tcPr>
          <w:p w14:paraId="07014038"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13.335</w:t>
            </w:r>
          </w:p>
        </w:tc>
        <w:tc>
          <w:tcPr>
            <w:tcW w:w="1701" w:type="dxa"/>
            <w:noWrap/>
            <w:vAlign w:val="center"/>
            <w:hideMark/>
          </w:tcPr>
          <w:p w14:paraId="56095D3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115%</w:t>
            </w:r>
          </w:p>
        </w:tc>
      </w:tr>
      <w:tr w:rsidR="00C82CA6" w:rsidRPr="00161650" w14:paraId="165BF152" w14:textId="77777777" w:rsidTr="00BA3794">
        <w:trPr>
          <w:cnfStyle w:val="000000100000" w:firstRow="0" w:lastRow="0" w:firstColumn="0" w:lastColumn="0" w:oddVBand="0" w:evenVBand="0" w:oddHBand="1" w:evenHBand="0" w:firstRowFirstColumn="0" w:firstRowLastColumn="0" w:lastRowFirstColumn="0" w:lastRowLastColumn="0"/>
          <w:trHeight w:val="5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6C7C52E2" w14:textId="497C4D99" w:rsidR="009B21D5" w:rsidRPr="00BA3794" w:rsidRDefault="006E668D" w:rsidP="00B15E6F">
            <w:pPr>
              <w:jc w:val="center"/>
              <w:rPr>
                <w:rFonts w:cs="Arial"/>
                <w:color w:val="000000"/>
                <w:sz w:val="16"/>
                <w:szCs w:val="20"/>
                <w:lang w:eastAsia="es-CO"/>
              </w:rPr>
            </w:pPr>
            <w:r w:rsidRPr="00BA3794">
              <w:rPr>
                <w:rFonts w:cs="Arial"/>
                <w:sz w:val="16"/>
                <w:szCs w:val="20"/>
              </w:rPr>
              <w:t>META</w:t>
            </w:r>
          </w:p>
        </w:tc>
        <w:tc>
          <w:tcPr>
            <w:tcW w:w="992" w:type="dxa"/>
            <w:noWrap/>
            <w:vAlign w:val="center"/>
            <w:hideMark/>
          </w:tcPr>
          <w:p w14:paraId="7884914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7.149</w:t>
            </w:r>
          </w:p>
        </w:tc>
        <w:tc>
          <w:tcPr>
            <w:tcW w:w="1276" w:type="dxa"/>
            <w:noWrap/>
            <w:vAlign w:val="center"/>
            <w:hideMark/>
          </w:tcPr>
          <w:p w14:paraId="10C711B7"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10.701</w:t>
            </w:r>
          </w:p>
        </w:tc>
        <w:tc>
          <w:tcPr>
            <w:tcW w:w="1134" w:type="dxa"/>
            <w:noWrap/>
            <w:vAlign w:val="center"/>
            <w:hideMark/>
          </w:tcPr>
          <w:p w14:paraId="3FFF4BC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17.850</w:t>
            </w:r>
          </w:p>
        </w:tc>
        <w:tc>
          <w:tcPr>
            <w:tcW w:w="992" w:type="dxa"/>
            <w:noWrap/>
            <w:vAlign w:val="center"/>
            <w:hideMark/>
          </w:tcPr>
          <w:p w14:paraId="400A26B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10.606</w:t>
            </w:r>
          </w:p>
        </w:tc>
        <w:tc>
          <w:tcPr>
            <w:tcW w:w="1276" w:type="dxa"/>
            <w:noWrap/>
            <w:vAlign w:val="center"/>
            <w:hideMark/>
          </w:tcPr>
          <w:p w14:paraId="607D3BF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9.042</w:t>
            </w:r>
          </w:p>
        </w:tc>
        <w:tc>
          <w:tcPr>
            <w:tcW w:w="1134" w:type="dxa"/>
            <w:noWrap/>
            <w:vAlign w:val="center"/>
            <w:hideMark/>
          </w:tcPr>
          <w:p w14:paraId="3F732124"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19.648</w:t>
            </w:r>
          </w:p>
        </w:tc>
        <w:tc>
          <w:tcPr>
            <w:tcW w:w="1701" w:type="dxa"/>
            <w:noWrap/>
            <w:vAlign w:val="center"/>
            <w:hideMark/>
          </w:tcPr>
          <w:p w14:paraId="3ECB3FD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110%</w:t>
            </w:r>
          </w:p>
        </w:tc>
      </w:tr>
      <w:tr w:rsidR="009B21D5" w:rsidRPr="00161650" w14:paraId="1C16B248" w14:textId="77777777" w:rsidTr="00BA3794">
        <w:trPr>
          <w:trHeight w:val="5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604599B3" w14:textId="3433FD16" w:rsidR="009B21D5" w:rsidRPr="00BA3794" w:rsidRDefault="006E668D" w:rsidP="00B15E6F">
            <w:pPr>
              <w:jc w:val="center"/>
              <w:rPr>
                <w:rFonts w:cs="Arial"/>
                <w:color w:val="000000"/>
                <w:sz w:val="16"/>
                <w:szCs w:val="20"/>
                <w:lang w:eastAsia="es-CO"/>
              </w:rPr>
            </w:pPr>
            <w:r w:rsidRPr="00BA3794">
              <w:rPr>
                <w:rFonts w:cs="Arial"/>
                <w:sz w:val="16"/>
                <w:szCs w:val="20"/>
              </w:rPr>
              <w:t>CESAR</w:t>
            </w:r>
          </w:p>
        </w:tc>
        <w:tc>
          <w:tcPr>
            <w:tcW w:w="992" w:type="dxa"/>
            <w:noWrap/>
            <w:vAlign w:val="center"/>
            <w:hideMark/>
          </w:tcPr>
          <w:p w14:paraId="692649BB"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2.547</w:t>
            </w:r>
          </w:p>
        </w:tc>
        <w:tc>
          <w:tcPr>
            <w:tcW w:w="1276" w:type="dxa"/>
            <w:noWrap/>
            <w:vAlign w:val="center"/>
            <w:hideMark/>
          </w:tcPr>
          <w:p w14:paraId="7CE785B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10.706</w:t>
            </w:r>
          </w:p>
        </w:tc>
        <w:tc>
          <w:tcPr>
            <w:tcW w:w="1134" w:type="dxa"/>
            <w:noWrap/>
            <w:vAlign w:val="center"/>
            <w:hideMark/>
          </w:tcPr>
          <w:p w14:paraId="590298B2"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13.253</w:t>
            </w:r>
          </w:p>
        </w:tc>
        <w:tc>
          <w:tcPr>
            <w:tcW w:w="992" w:type="dxa"/>
            <w:noWrap/>
            <w:vAlign w:val="center"/>
            <w:hideMark/>
          </w:tcPr>
          <w:p w14:paraId="53A8DA60"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8.042</w:t>
            </w:r>
          </w:p>
        </w:tc>
        <w:tc>
          <w:tcPr>
            <w:tcW w:w="1276" w:type="dxa"/>
            <w:noWrap/>
            <w:vAlign w:val="center"/>
            <w:hideMark/>
          </w:tcPr>
          <w:p w14:paraId="0FCE7C6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5.475</w:t>
            </w:r>
          </w:p>
        </w:tc>
        <w:tc>
          <w:tcPr>
            <w:tcW w:w="1134" w:type="dxa"/>
            <w:noWrap/>
            <w:vAlign w:val="center"/>
            <w:hideMark/>
          </w:tcPr>
          <w:p w14:paraId="7F883C7B"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13.517</w:t>
            </w:r>
          </w:p>
        </w:tc>
        <w:tc>
          <w:tcPr>
            <w:tcW w:w="1701" w:type="dxa"/>
            <w:noWrap/>
            <w:vAlign w:val="center"/>
            <w:hideMark/>
          </w:tcPr>
          <w:p w14:paraId="2885478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102%</w:t>
            </w:r>
          </w:p>
        </w:tc>
      </w:tr>
      <w:tr w:rsidR="00C82CA6" w:rsidRPr="00161650" w14:paraId="0EDBACFC" w14:textId="77777777" w:rsidTr="00BA3794">
        <w:trPr>
          <w:cnfStyle w:val="000000100000" w:firstRow="0" w:lastRow="0" w:firstColumn="0" w:lastColumn="0" w:oddVBand="0" w:evenVBand="0" w:oddHBand="1" w:evenHBand="0" w:firstRowFirstColumn="0" w:firstRowLastColumn="0" w:lastRowFirstColumn="0" w:lastRowLastColumn="0"/>
          <w:trHeight w:val="14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2DC247A1" w14:textId="72B925DF" w:rsidR="009B21D5" w:rsidRPr="00BA3794" w:rsidRDefault="006E668D" w:rsidP="00B15E6F">
            <w:pPr>
              <w:jc w:val="center"/>
              <w:rPr>
                <w:rFonts w:cs="Arial"/>
                <w:color w:val="000000"/>
                <w:sz w:val="16"/>
                <w:szCs w:val="20"/>
                <w:lang w:eastAsia="es-CO"/>
              </w:rPr>
            </w:pPr>
            <w:r w:rsidRPr="00BA3794">
              <w:rPr>
                <w:rFonts w:cs="Arial"/>
                <w:sz w:val="16"/>
                <w:szCs w:val="20"/>
              </w:rPr>
              <w:t>BOYACÁ</w:t>
            </w:r>
          </w:p>
        </w:tc>
        <w:tc>
          <w:tcPr>
            <w:tcW w:w="992" w:type="dxa"/>
            <w:noWrap/>
            <w:vAlign w:val="center"/>
            <w:hideMark/>
          </w:tcPr>
          <w:p w14:paraId="1142AC4E"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11.917</w:t>
            </w:r>
          </w:p>
        </w:tc>
        <w:tc>
          <w:tcPr>
            <w:tcW w:w="1276" w:type="dxa"/>
            <w:noWrap/>
            <w:vAlign w:val="center"/>
            <w:hideMark/>
          </w:tcPr>
          <w:p w14:paraId="45D8E462"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24.076</w:t>
            </w:r>
          </w:p>
        </w:tc>
        <w:tc>
          <w:tcPr>
            <w:tcW w:w="1134" w:type="dxa"/>
            <w:noWrap/>
            <w:vAlign w:val="center"/>
            <w:hideMark/>
          </w:tcPr>
          <w:p w14:paraId="2CBE585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35.993</w:t>
            </w:r>
          </w:p>
        </w:tc>
        <w:tc>
          <w:tcPr>
            <w:tcW w:w="992" w:type="dxa"/>
            <w:noWrap/>
            <w:vAlign w:val="center"/>
            <w:hideMark/>
          </w:tcPr>
          <w:p w14:paraId="1D501285"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25.264</w:t>
            </w:r>
          </w:p>
        </w:tc>
        <w:tc>
          <w:tcPr>
            <w:tcW w:w="1276" w:type="dxa"/>
            <w:noWrap/>
            <w:vAlign w:val="center"/>
            <w:hideMark/>
          </w:tcPr>
          <w:p w14:paraId="23E3370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11.225</w:t>
            </w:r>
          </w:p>
        </w:tc>
        <w:tc>
          <w:tcPr>
            <w:tcW w:w="1134" w:type="dxa"/>
            <w:noWrap/>
            <w:vAlign w:val="center"/>
            <w:hideMark/>
          </w:tcPr>
          <w:p w14:paraId="5EC30904"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36.489</w:t>
            </w:r>
          </w:p>
        </w:tc>
        <w:tc>
          <w:tcPr>
            <w:tcW w:w="1701" w:type="dxa"/>
            <w:noWrap/>
            <w:vAlign w:val="center"/>
            <w:hideMark/>
          </w:tcPr>
          <w:p w14:paraId="7B3DD9D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101%</w:t>
            </w:r>
          </w:p>
        </w:tc>
      </w:tr>
      <w:tr w:rsidR="009B21D5" w:rsidRPr="00161650" w14:paraId="5300A0F2" w14:textId="77777777" w:rsidTr="00BA3794">
        <w:trPr>
          <w:trHeight w:val="176"/>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1C87EDEE" w14:textId="3EB0CE13" w:rsidR="009B21D5" w:rsidRPr="00BA3794" w:rsidRDefault="006E668D" w:rsidP="00B15E6F">
            <w:pPr>
              <w:jc w:val="center"/>
              <w:rPr>
                <w:rFonts w:cs="Arial"/>
                <w:color w:val="000000"/>
                <w:sz w:val="16"/>
                <w:szCs w:val="20"/>
                <w:lang w:eastAsia="es-CO"/>
              </w:rPr>
            </w:pPr>
            <w:r w:rsidRPr="00BA3794">
              <w:rPr>
                <w:rFonts w:cs="Arial"/>
                <w:sz w:val="16"/>
                <w:szCs w:val="20"/>
              </w:rPr>
              <w:lastRenderedPageBreak/>
              <w:t>NORTE DE SANTANDER</w:t>
            </w:r>
          </w:p>
        </w:tc>
        <w:tc>
          <w:tcPr>
            <w:tcW w:w="992" w:type="dxa"/>
            <w:noWrap/>
            <w:vAlign w:val="center"/>
            <w:hideMark/>
          </w:tcPr>
          <w:p w14:paraId="25BF87A6"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19.864</w:t>
            </w:r>
          </w:p>
        </w:tc>
        <w:tc>
          <w:tcPr>
            <w:tcW w:w="1276" w:type="dxa"/>
            <w:noWrap/>
            <w:vAlign w:val="center"/>
            <w:hideMark/>
          </w:tcPr>
          <w:p w14:paraId="3FC3AA0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13.063</w:t>
            </w:r>
          </w:p>
        </w:tc>
        <w:tc>
          <w:tcPr>
            <w:tcW w:w="1134" w:type="dxa"/>
            <w:noWrap/>
            <w:vAlign w:val="center"/>
            <w:hideMark/>
          </w:tcPr>
          <w:p w14:paraId="505E5CEE"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32.927</w:t>
            </w:r>
          </w:p>
        </w:tc>
        <w:tc>
          <w:tcPr>
            <w:tcW w:w="992" w:type="dxa"/>
            <w:noWrap/>
            <w:vAlign w:val="center"/>
            <w:hideMark/>
          </w:tcPr>
          <w:p w14:paraId="4F1FEB81"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22.388</w:t>
            </w:r>
          </w:p>
        </w:tc>
        <w:tc>
          <w:tcPr>
            <w:tcW w:w="1276" w:type="dxa"/>
            <w:noWrap/>
            <w:vAlign w:val="center"/>
            <w:hideMark/>
          </w:tcPr>
          <w:p w14:paraId="169A93E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10.496</w:t>
            </w:r>
          </w:p>
        </w:tc>
        <w:tc>
          <w:tcPr>
            <w:tcW w:w="1134" w:type="dxa"/>
            <w:noWrap/>
            <w:vAlign w:val="center"/>
            <w:hideMark/>
          </w:tcPr>
          <w:p w14:paraId="43299954"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32.884</w:t>
            </w:r>
          </w:p>
        </w:tc>
        <w:tc>
          <w:tcPr>
            <w:tcW w:w="1701" w:type="dxa"/>
            <w:noWrap/>
            <w:vAlign w:val="center"/>
            <w:hideMark/>
          </w:tcPr>
          <w:p w14:paraId="2DEC0821"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100%</w:t>
            </w:r>
          </w:p>
        </w:tc>
      </w:tr>
      <w:tr w:rsidR="00C82CA6" w:rsidRPr="00161650" w14:paraId="246D33B0" w14:textId="77777777" w:rsidTr="00BA3794">
        <w:trPr>
          <w:cnfStyle w:val="000000100000" w:firstRow="0" w:lastRow="0" w:firstColumn="0" w:lastColumn="0" w:oddVBand="0" w:evenVBand="0" w:oddHBand="1" w:evenHBand="0" w:firstRowFirstColumn="0" w:firstRowLastColumn="0" w:lastRowFirstColumn="0" w:lastRowLastColumn="0"/>
          <w:trHeight w:val="9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5A2B3E47" w14:textId="358465F7" w:rsidR="009B21D5" w:rsidRPr="00BA3794" w:rsidRDefault="006E668D" w:rsidP="00B15E6F">
            <w:pPr>
              <w:jc w:val="center"/>
              <w:rPr>
                <w:rFonts w:cs="Arial"/>
                <w:color w:val="000000"/>
                <w:sz w:val="16"/>
                <w:szCs w:val="20"/>
                <w:lang w:eastAsia="es-CO"/>
              </w:rPr>
            </w:pPr>
            <w:r w:rsidRPr="00BA3794">
              <w:rPr>
                <w:rFonts w:cs="Arial"/>
                <w:sz w:val="16"/>
                <w:szCs w:val="20"/>
              </w:rPr>
              <w:t>GUAJIRA</w:t>
            </w:r>
          </w:p>
        </w:tc>
        <w:tc>
          <w:tcPr>
            <w:tcW w:w="992" w:type="dxa"/>
            <w:noWrap/>
            <w:vAlign w:val="center"/>
            <w:hideMark/>
          </w:tcPr>
          <w:p w14:paraId="480105E1"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3.125</w:t>
            </w:r>
          </w:p>
        </w:tc>
        <w:tc>
          <w:tcPr>
            <w:tcW w:w="1276" w:type="dxa"/>
            <w:noWrap/>
            <w:vAlign w:val="center"/>
            <w:hideMark/>
          </w:tcPr>
          <w:p w14:paraId="6A4B6BA4"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5.025</w:t>
            </w:r>
          </w:p>
        </w:tc>
        <w:tc>
          <w:tcPr>
            <w:tcW w:w="1134" w:type="dxa"/>
            <w:noWrap/>
            <w:vAlign w:val="center"/>
            <w:hideMark/>
          </w:tcPr>
          <w:p w14:paraId="6A6D69C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8.150</w:t>
            </w:r>
          </w:p>
        </w:tc>
        <w:tc>
          <w:tcPr>
            <w:tcW w:w="992" w:type="dxa"/>
            <w:noWrap/>
            <w:vAlign w:val="center"/>
            <w:hideMark/>
          </w:tcPr>
          <w:p w14:paraId="028043DA"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3.665</w:t>
            </w:r>
          </w:p>
        </w:tc>
        <w:tc>
          <w:tcPr>
            <w:tcW w:w="1276" w:type="dxa"/>
            <w:noWrap/>
            <w:vAlign w:val="center"/>
            <w:hideMark/>
          </w:tcPr>
          <w:p w14:paraId="0DB7B107"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4.375</w:t>
            </w:r>
          </w:p>
        </w:tc>
        <w:tc>
          <w:tcPr>
            <w:tcW w:w="1134" w:type="dxa"/>
            <w:noWrap/>
            <w:vAlign w:val="center"/>
            <w:hideMark/>
          </w:tcPr>
          <w:p w14:paraId="5B0F212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8.040</w:t>
            </w:r>
          </w:p>
        </w:tc>
        <w:tc>
          <w:tcPr>
            <w:tcW w:w="1701" w:type="dxa"/>
            <w:noWrap/>
            <w:vAlign w:val="center"/>
            <w:hideMark/>
          </w:tcPr>
          <w:p w14:paraId="6E789EB3"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99%</w:t>
            </w:r>
          </w:p>
        </w:tc>
      </w:tr>
      <w:tr w:rsidR="009B21D5" w:rsidRPr="00161650" w14:paraId="110DF8FA" w14:textId="77777777" w:rsidTr="00BA3794">
        <w:trPr>
          <w:trHeight w:val="140"/>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0C64A7C1" w14:textId="0189A91A" w:rsidR="009B21D5" w:rsidRPr="00BA3794" w:rsidRDefault="006E668D" w:rsidP="00B15E6F">
            <w:pPr>
              <w:jc w:val="center"/>
              <w:rPr>
                <w:rFonts w:cs="Arial"/>
                <w:color w:val="000000"/>
                <w:sz w:val="16"/>
                <w:szCs w:val="20"/>
                <w:lang w:eastAsia="es-CO"/>
              </w:rPr>
            </w:pPr>
            <w:r w:rsidRPr="00BA3794">
              <w:rPr>
                <w:rFonts w:cs="Arial"/>
                <w:sz w:val="16"/>
                <w:szCs w:val="20"/>
              </w:rPr>
              <w:t>CÓRDOBA</w:t>
            </w:r>
          </w:p>
        </w:tc>
        <w:tc>
          <w:tcPr>
            <w:tcW w:w="992" w:type="dxa"/>
            <w:noWrap/>
            <w:vAlign w:val="center"/>
            <w:hideMark/>
          </w:tcPr>
          <w:p w14:paraId="0C844F2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3.663</w:t>
            </w:r>
          </w:p>
        </w:tc>
        <w:tc>
          <w:tcPr>
            <w:tcW w:w="1276" w:type="dxa"/>
            <w:noWrap/>
            <w:vAlign w:val="center"/>
            <w:hideMark/>
          </w:tcPr>
          <w:p w14:paraId="4ADDACA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7.303</w:t>
            </w:r>
          </w:p>
        </w:tc>
        <w:tc>
          <w:tcPr>
            <w:tcW w:w="1134" w:type="dxa"/>
            <w:noWrap/>
            <w:vAlign w:val="center"/>
            <w:hideMark/>
          </w:tcPr>
          <w:p w14:paraId="3534D3C4"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10.966</w:t>
            </w:r>
          </w:p>
        </w:tc>
        <w:tc>
          <w:tcPr>
            <w:tcW w:w="992" w:type="dxa"/>
            <w:noWrap/>
            <w:vAlign w:val="center"/>
            <w:hideMark/>
          </w:tcPr>
          <w:p w14:paraId="46ACC4EB"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5.639</w:t>
            </w:r>
          </w:p>
        </w:tc>
        <w:tc>
          <w:tcPr>
            <w:tcW w:w="1276" w:type="dxa"/>
            <w:noWrap/>
            <w:vAlign w:val="center"/>
            <w:hideMark/>
          </w:tcPr>
          <w:p w14:paraId="6D0B467B"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4.912</w:t>
            </w:r>
          </w:p>
        </w:tc>
        <w:tc>
          <w:tcPr>
            <w:tcW w:w="1134" w:type="dxa"/>
            <w:noWrap/>
            <w:vAlign w:val="center"/>
            <w:hideMark/>
          </w:tcPr>
          <w:p w14:paraId="649BD817"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10.551</w:t>
            </w:r>
          </w:p>
        </w:tc>
        <w:tc>
          <w:tcPr>
            <w:tcW w:w="1701" w:type="dxa"/>
            <w:noWrap/>
            <w:vAlign w:val="center"/>
            <w:hideMark/>
          </w:tcPr>
          <w:p w14:paraId="49BDCA7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96%</w:t>
            </w:r>
          </w:p>
        </w:tc>
      </w:tr>
      <w:tr w:rsidR="00C82CA6" w:rsidRPr="00161650" w14:paraId="553D6DDC" w14:textId="77777777" w:rsidTr="00BA3794">
        <w:trPr>
          <w:cnfStyle w:val="000000100000" w:firstRow="0" w:lastRow="0" w:firstColumn="0" w:lastColumn="0" w:oddVBand="0" w:evenVBand="0" w:oddHBand="1" w:evenHBand="0" w:firstRowFirstColumn="0" w:firstRowLastColumn="0" w:lastRowFirstColumn="0" w:lastRowLastColumn="0"/>
          <w:trHeight w:val="53"/>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601540F2" w14:textId="566B23D8" w:rsidR="009B21D5" w:rsidRPr="00BA3794" w:rsidRDefault="006E668D" w:rsidP="00B15E6F">
            <w:pPr>
              <w:jc w:val="center"/>
              <w:rPr>
                <w:rFonts w:cs="Arial"/>
                <w:color w:val="000000"/>
                <w:sz w:val="16"/>
                <w:szCs w:val="20"/>
                <w:lang w:eastAsia="es-CO"/>
              </w:rPr>
            </w:pPr>
            <w:r w:rsidRPr="00BA3794">
              <w:rPr>
                <w:rFonts w:cs="Arial"/>
                <w:sz w:val="16"/>
                <w:szCs w:val="20"/>
              </w:rPr>
              <w:t>SANTANDER</w:t>
            </w:r>
          </w:p>
        </w:tc>
        <w:tc>
          <w:tcPr>
            <w:tcW w:w="992" w:type="dxa"/>
            <w:noWrap/>
            <w:vAlign w:val="center"/>
            <w:hideMark/>
          </w:tcPr>
          <w:p w14:paraId="2A69719C"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9.269</w:t>
            </w:r>
          </w:p>
        </w:tc>
        <w:tc>
          <w:tcPr>
            <w:tcW w:w="1276" w:type="dxa"/>
            <w:noWrap/>
            <w:vAlign w:val="center"/>
            <w:hideMark/>
          </w:tcPr>
          <w:p w14:paraId="2A384484"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29.400</w:t>
            </w:r>
          </w:p>
        </w:tc>
        <w:tc>
          <w:tcPr>
            <w:tcW w:w="1134" w:type="dxa"/>
            <w:noWrap/>
            <w:vAlign w:val="center"/>
            <w:hideMark/>
          </w:tcPr>
          <w:p w14:paraId="4BA9436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38.669</w:t>
            </w:r>
          </w:p>
        </w:tc>
        <w:tc>
          <w:tcPr>
            <w:tcW w:w="992" w:type="dxa"/>
            <w:noWrap/>
            <w:vAlign w:val="center"/>
            <w:hideMark/>
          </w:tcPr>
          <w:p w14:paraId="378CDE1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28.910</w:t>
            </w:r>
          </w:p>
        </w:tc>
        <w:tc>
          <w:tcPr>
            <w:tcW w:w="1276" w:type="dxa"/>
            <w:noWrap/>
            <w:vAlign w:val="center"/>
            <w:hideMark/>
          </w:tcPr>
          <w:p w14:paraId="3231710D"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7.312</w:t>
            </w:r>
          </w:p>
        </w:tc>
        <w:tc>
          <w:tcPr>
            <w:tcW w:w="1134" w:type="dxa"/>
            <w:noWrap/>
            <w:vAlign w:val="center"/>
            <w:hideMark/>
          </w:tcPr>
          <w:p w14:paraId="2DCABEE3"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36.222</w:t>
            </w:r>
          </w:p>
        </w:tc>
        <w:tc>
          <w:tcPr>
            <w:tcW w:w="1701" w:type="dxa"/>
            <w:noWrap/>
            <w:vAlign w:val="center"/>
            <w:hideMark/>
          </w:tcPr>
          <w:p w14:paraId="5609E906"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94%</w:t>
            </w:r>
          </w:p>
        </w:tc>
      </w:tr>
      <w:tr w:rsidR="009B21D5" w:rsidRPr="00161650" w14:paraId="06FBB797" w14:textId="77777777" w:rsidTr="00BA3794">
        <w:trPr>
          <w:trHeight w:val="75"/>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30AC733B" w14:textId="41FD9D90" w:rsidR="009B21D5" w:rsidRPr="00BA3794" w:rsidRDefault="006E668D" w:rsidP="00B15E6F">
            <w:pPr>
              <w:jc w:val="center"/>
              <w:rPr>
                <w:rFonts w:cs="Arial"/>
                <w:color w:val="000000"/>
                <w:sz w:val="16"/>
                <w:szCs w:val="20"/>
                <w:lang w:eastAsia="es-CO"/>
              </w:rPr>
            </w:pPr>
            <w:r w:rsidRPr="00BA3794">
              <w:rPr>
                <w:rFonts w:cs="Arial"/>
                <w:sz w:val="16"/>
                <w:szCs w:val="20"/>
              </w:rPr>
              <w:t>CALDAS</w:t>
            </w:r>
          </w:p>
        </w:tc>
        <w:tc>
          <w:tcPr>
            <w:tcW w:w="992" w:type="dxa"/>
            <w:noWrap/>
            <w:vAlign w:val="center"/>
            <w:hideMark/>
          </w:tcPr>
          <w:p w14:paraId="62CD5DE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4.324</w:t>
            </w:r>
          </w:p>
        </w:tc>
        <w:tc>
          <w:tcPr>
            <w:tcW w:w="1276" w:type="dxa"/>
            <w:noWrap/>
            <w:vAlign w:val="center"/>
            <w:hideMark/>
          </w:tcPr>
          <w:p w14:paraId="7B98149F"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9.091</w:t>
            </w:r>
          </w:p>
        </w:tc>
        <w:tc>
          <w:tcPr>
            <w:tcW w:w="1134" w:type="dxa"/>
            <w:noWrap/>
            <w:vAlign w:val="center"/>
            <w:hideMark/>
          </w:tcPr>
          <w:p w14:paraId="145C105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13.415</w:t>
            </w:r>
          </w:p>
        </w:tc>
        <w:tc>
          <w:tcPr>
            <w:tcW w:w="992" w:type="dxa"/>
            <w:noWrap/>
            <w:vAlign w:val="center"/>
            <w:hideMark/>
          </w:tcPr>
          <w:p w14:paraId="2AEAFDAC"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7.737</w:t>
            </w:r>
          </w:p>
        </w:tc>
        <w:tc>
          <w:tcPr>
            <w:tcW w:w="1276" w:type="dxa"/>
            <w:noWrap/>
            <w:vAlign w:val="center"/>
            <w:hideMark/>
          </w:tcPr>
          <w:p w14:paraId="141267D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2.505</w:t>
            </w:r>
          </w:p>
        </w:tc>
        <w:tc>
          <w:tcPr>
            <w:tcW w:w="1134" w:type="dxa"/>
            <w:noWrap/>
            <w:vAlign w:val="center"/>
            <w:hideMark/>
          </w:tcPr>
          <w:p w14:paraId="212620A3"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10.242</w:t>
            </w:r>
          </w:p>
        </w:tc>
        <w:tc>
          <w:tcPr>
            <w:tcW w:w="1701" w:type="dxa"/>
            <w:noWrap/>
            <w:vAlign w:val="center"/>
            <w:hideMark/>
          </w:tcPr>
          <w:p w14:paraId="4EBEC0EA"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20"/>
                <w:lang w:eastAsia="es-CO"/>
              </w:rPr>
            </w:pPr>
            <w:r w:rsidRPr="00BA3794">
              <w:rPr>
                <w:rFonts w:cs="Arial"/>
                <w:sz w:val="16"/>
                <w:szCs w:val="20"/>
              </w:rPr>
              <w:t>76%</w:t>
            </w:r>
          </w:p>
        </w:tc>
      </w:tr>
      <w:tr w:rsidR="00C82CA6" w:rsidRPr="00161650" w14:paraId="4EAC5162" w14:textId="77777777" w:rsidTr="00BA3794">
        <w:trPr>
          <w:cnfStyle w:val="000000100000" w:firstRow="0" w:lastRow="0" w:firstColumn="0" w:lastColumn="0" w:oddVBand="0" w:evenVBand="0" w:oddHBand="1" w:evenHBand="0" w:firstRowFirstColumn="0" w:firstRowLastColumn="0" w:lastRowFirstColumn="0" w:lastRowLastColumn="0"/>
          <w:trHeight w:val="122"/>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01BEC286" w14:textId="3FD2C8CB" w:rsidR="009B21D5" w:rsidRPr="00BA3794" w:rsidRDefault="006E668D" w:rsidP="00B15E6F">
            <w:pPr>
              <w:jc w:val="center"/>
              <w:rPr>
                <w:rFonts w:cs="Arial"/>
                <w:color w:val="000000"/>
                <w:sz w:val="16"/>
                <w:szCs w:val="20"/>
                <w:lang w:eastAsia="es-CO"/>
              </w:rPr>
            </w:pPr>
            <w:r w:rsidRPr="00BA3794">
              <w:rPr>
                <w:rFonts w:cs="Arial"/>
                <w:sz w:val="16"/>
                <w:szCs w:val="20"/>
              </w:rPr>
              <w:t>CASANARE</w:t>
            </w:r>
          </w:p>
        </w:tc>
        <w:tc>
          <w:tcPr>
            <w:tcW w:w="992" w:type="dxa"/>
            <w:noWrap/>
            <w:vAlign w:val="center"/>
            <w:hideMark/>
          </w:tcPr>
          <w:p w14:paraId="0E3937AB"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7.551</w:t>
            </w:r>
          </w:p>
        </w:tc>
        <w:tc>
          <w:tcPr>
            <w:tcW w:w="1276" w:type="dxa"/>
            <w:noWrap/>
            <w:vAlign w:val="center"/>
            <w:hideMark/>
          </w:tcPr>
          <w:p w14:paraId="44195C5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5.054</w:t>
            </w:r>
          </w:p>
        </w:tc>
        <w:tc>
          <w:tcPr>
            <w:tcW w:w="1134" w:type="dxa"/>
            <w:noWrap/>
            <w:vAlign w:val="center"/>
            <w:hideMark/>
          </w:tcPr>
          <w:p w14:paraId="1BF73498"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12.605</w:t>
            </w:r>
          </w:p>
        </w:tc>
        <w:tc>
          <w:tcPr>
            <w:tcW w:w="992" w:type="dxa"/>
            <w:noWrap/>
            <w:vAlign w:val="center"/>
            <w:hideMark/>
          </w:tcPr>
          <w:p w14:paraId="75A9624A"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8.410</w:t>
            </w:r>
          </w:p>
        </w:tc>
        <w:tc>
          <w:tcPr>
            <w:tcW w:w="1276" w:type="dxa"/>
            <w:noWrap/>
            <w:vAlign w:val="center"/>
            <w:hideMark/>
          </w:tcPr>
          <w:p w14:paraId="7E2C9E20"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659</w:t>
            </w:r>
          </w:p>
        </w:tc>
        <w:tc>
          <w:tcPr>
            <w:tcW w:w="1134" w:type="dxa"/>
            <w:noWrap/>
            <w:vAlign w:val="center"/>
            <w:hideMark/>
          </w:tcPr>
          <w:p w14:paraId="10BB2B89"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9.069</w:t>
            </w:r>
          </w:p>
        </w:tc>
        <w:tc>
          <w:tcPr>
            <w:tcW w:w="1701" w:type="dxa"/>
            <w:noWrap/>
            <w:vAlign w:val="center"/>
            <w:hideMark/>
          </w:tcPr>
          <w:p w14:paraId="7781EE9F" w14:textId="77777777" w:rsidR="009B21D5" w:rsidRPr="00BA3794" w:rsidRDefault="009B21D5"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20"/>
                <w:lang w:eastAsia="es-CO"/>
              </w:rPr>
            </w:pPr>
            <w:r w:rsidRPr="00BA3794">
              <w:rPr>
                <w:rFonts w:cs="Arial"/>
                <w:sz w:val="16"/>
                <w:szCs w:val="20"/>
              </w:rPr>
              <w:t>72%</w:t>
            </w:r>
          </w:p>
        </w:tc>
      </w:tr>
      <w:tr w:rsidR="009B21D5" w:rsidRPr="00161650" w14:paraId="61263BD9" w14:textId="77777777" w:rsidTr="00BA3794">
        <w:trPr>
          <w:trHeight w:val="315"/>
        </w:trPr>
        <w:tc>
          <w:tcPr>
            <w:cnfStyle w:val="001000000000" w:firstRow="0" w:lastRow="0" w:firstColumn="1" w:lastColumn="0" w:oddVBand="0" w:evenVBand="0" w:oddHBand="0" w:evenHBand="0" w:firstRowFirstColumn="0" w:firstRowLastColumn="0" w:lastRowFirstColumn="0" w:lastRowLastColumn="0"/>
            <w:tcW w:w="1986" w:type="dxa"/>
            <w:noWrap/>
            <w:vAlign w:val="center"/>
            <w:hideMark/>
          </w:tcPr>
          <w:p w14:paraId="43BAEDC0" w14:textId="5765EEFE" w:rsidR="009B21D5" w:rsidRPr="00BA3794" w:rsidRDefault="006E668D" w:rsidP="00B15E6F">
            <w:pPr>
              <w:jc w:val="center"/>
              <w:rPr>
                <w:rFonts w:cs="Arial"/>
                <w:b w:val="0"/>
                <w:color w:val="000000"/>
                <w:sz w:val="16"/>
                <w:szCs w:val="20"/>
                <w:lang w:eastAsia="es-CO"/>
              </w:rPr>
            </w:pPr>
            <w:r w:rsidRPr="00BA3794">
              <w:rPr>
                <w:rFonts w:cs="Arial"/>
                <w:sz w:val="16"/>
                <w:szCs w:val="20"/>
              </w:rPr>
              <w:t>TOTALES</w:t>
            </w:r>
          </w:p>
        </w:tc>
        <w:tc>
          <w:tcPr>
            <w:tcW w:w="992" w:type="dxa"/>
            <w:noWrap/>
            <w:vAlign w:val="center"/>
            <w:hideMark/>
          </w:tcPr>
          <w:p w14:paraId="753FADB9"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172.871</w:t>
            </w:r>
          </w:p>
        </w:tc>
        <w:tc>
          <w:tcPr>
            <w:tcW w:w="1276" w:type="dxa"/>
            <w:noWrap/>
            <w:vAlign w:val="center"/>
            <w:hideMark/>
          </w:tcPr>
          <w:p w14:paraId="26F87D48"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267.201</w:t>
            </w:r>
          </w:p>
        </w:tc>
        <w:tc>
          <w:tcPr>
            <w:tcW w:w="1134" w:type="dxa"/>
            <w:noWrap/>
            <w:vAlign w:val="center"/>
            <w:hideMark/>
          </w:tcPr>
          <w:p w14:paraId="25EAFC5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440.072</w:t>
            </w:r>
          </w:p>
        </w:tc>
        <w:tc>
          <w:tcPr>
            <w:tcW w:w="992" w:type="dxa"/>
            <w:noWrap/>
            <w:vAlign w:val="center"/>
            <w:hideMark/>
          </w:tcPr>
          <w:p w14:paraId="42E04105"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374.870</w:t>
            </w:r>
          </w:p>
        </w:tc>
        <w:tc>
          <w:tcPr>
            <w:tcW w:w="1276" w:type="dxa"/>
            <w:noWrap/>
            <w:vAlign w:val="center"/>
            <w:hideMark/>
          </w:tcPr>
          <w:p w14:paraId="302B305D"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171.433</w:t>
            </w:r>
          </w:p>
        </w:tc>
        <w:tc>
          <w:tcPr>
            <w:tcW w:w="1134" w:type="dxa"/>
            <w:noWrap/>
            <w:vAlign w:val="center"/>
            <w:hideMark/>
          </w:tcPr>
          <w:p w14:paraId="03EB2792"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546.303</w:t>
            </w:r>
          </w:p>
        </w:tc>
        <w:tc>
          <w:tcPr>
            <w:tcW w:w="1701" w:type="dxa"/>
            <w:noWrap/>
            <w:vAlign w:val="center"/>
            <w:hideMark/>
          </w:tcPr>
          <w:p w14:paraId="6F59BFF6" w14:textId="77777777" w:rsidR="009B21D5" w:rsidRPr="00BA3794" w:rsidRDefault="009B21D5" w:rsidP="00A6302C">
            <w:pPr>
              <w:jc w:val="center"/>
              <w:cnfStyle w:val="000000000000" w:firstRow="0" w:lastRow="0" w:firstColumn="0" w:lastColumn="0" w:oddVBand="0" w:evenVBand="0" w:oddHBand="0" w:evenHBand="0" w:firstRowFirstColumn="0" w:firstRowLastColumn="0" w:lastRowFirstColumn="0" w:lastRowLastColumn="0"/>
              <w:rPr>
                <w:rFonts w:cs="Arial"/>
                <w:b/>
                <w:color w:val="000000"/>
                <w:sz w:val="16"/>
                <w:szCs w:val="20"/>
                <w:lang w:eastAsia="es-CO"/>
              </w:rPr>
            </w:pPr>
            <w:r w:rsidRPr="00BA3794">
              <w:rPr>
                <w:rFonts w:cs="Arial"/>
                <w:b/>
                <w:sz w:val="16"/>
                <w:szCs w:val="20"/>
              </w:rPr>
              <w:t>124%</w:t>
            </w:r>
          </w:p>
        </w:tc>
      </w:tr>
    </w:tbl>
    <w:p w14:paraId="2B4EFCF0" w14:textId="3EA87293" w:rsidR="009B21D5" w:rsidRPr="00B9137A" w:rsidRDefault="009B21D5" w:rsidP="00E729F7">
      <w:pPr>
        <w:jc w:val="center"/>
        <w:rPr>
          <w:rFonts w:eastAsia="Arial" w:cs="Arial"/>
          <w:b/>
          <w:bCs/>
          <w:sz w:val="16"/>
          <w:szCs w:val="16"/>
          <w:lang w:val="es-CO"/>
        </w:rPr>
      </w:pPr>
      <w:r w:rsidRPr="00B9137A">
        <w:rPr>
          <w:rFonts w:eastAsia="Arial" w:cs="Arial"/>
          <w:b/>
          <w:bCs/>
          <w:sz w:val="16"/>
          <w:szCs w:val="16"/>
          <w:lang w:val="es-CO"/>
        </w:rPr>
        <w:t>Fuente: Dirección de Gestión Catastral</w:t>
      </w:r>
    </w:p>
    <w:p w14:paraId="0CAF4BF2" w14:textId="0FA4AD8A" w:rsidR="009B21D5" w:rsidRPr="004C6640" w:rsidRDefault="009B21D5" w:rsidP="00E729F7">
      <w:pPr>
        <w:jc w:val="both"/>
        <w:rPr>
          <w:rFonts w:cs="Arial"/>
          <w:sz w:val="22"/>
          <w:szCs w:val="22"/>
        </w:rPr>
      </w:pPr>
      <w:r w:rsidRPr="004C6640">
        <w:rPr>
          <w:rFonts w:cs="Arial"/>
          <w:sz w:val="22"/>
          <w:szCs w:val="22"/>
        </w:rPr>
        <w:t>De acuerdo con lo anterior, con respecto a la meta total, el cumplimiento fue del 124%. No obstante, al discriminar la meta entre las radicaciones que se atienden en oficina y las que requieren labor de campo, se observa el siguiente cumplimento: 216,85% y 64,16% respectivamente; la ejecución obtenida en el caso de los trámites de oficina fue más baja debido a que por efectos de la pandemia del COVID 19 se restringió la realización de las visitas a los predios durante la mayor parte del año 2020.</w:t>
      </w:r>
    </w:p>
    <w:p w14:paraId="3C01496C" w14:textId="77777777" w:rsidR="009B21D5" w:rsidRPr="004C6640" w:rsidRDefault="009B21D5" w:rsidP="00E729F7">
      <w:pPr>
        <w:jc w:val="both"/>
        <w:rPr>
          <w:rFonts w:cs="Arial"/>
          <w:sz w:val="22"/>
          <w:szCs w:val="22"/>
        </w:rPr>
      </w:pPr>
    </w:p>
    <w:p w14:paraId="65D7F15B" w14:textId="0E252542" w:rsidR="006F30FF" w:rsidRPr="00F8391A" w:rsidRDefault="009B21D5" w:rsidP="00F8391A">
      <w:pPr>
        <w:jc w:val="both"/>
        <w:rPr>
          <w:rFonts w:cs="Arial"/>
          <w:sz w:val="22"/>
          <w:szCs w:val="22"/>
        </w:rPr>
      </w:pPr>
      <w:r w:rsidRPr="004C6640">
        <w:rPr>
          <w:rFonts w:cs="Arial"/>
          <w:sz w:val="22"/>
          <w:szCs w:val="22"/>
        </w:rPr>
        <w:t>A octubre de 2021 el estado de avance de conservación catastral por parte de las Direcciones Territoriales, presenta un</w:t>
      </w:r>
      <w:r w:rsidRPr="004C6640">
        <w:rPr>
          <w:rFonts w:cs="Arial"/>
          <w:sz w:val="22"/>
          <w:szCs w:val="22"/>
          <w:lang w:val="es-CO"/>
        </w:rPr>
        <w:t xml:space="preserve"> total acumulado de 313.971 trámites de conservación realizados que corresponden al 70% de la meta anual. A continuación, se presenta la información detallada de este proceso:</w:t>
      </w:r>
      <w:r w:rsidR="00F8391A">
        <w:rPr>
          <w:rFonts w:cs="Arial"/>
          <w:sz w:val="22"/>
          <w:szCs w:val="22"/>
        </w:rPr>
        <w:t xml:space="preserve"> </w:t>
      </w:r>
    </w:p>
    <w:p w14:paraId="5CC92BAB" w14:textId="21D9A036" w:rsidR="00E70AEE" w:rsidRPr="006E668D" w:rsidRDefault="009B21D5" w:rsidP="006E668D">
      <w:pPr>
        <w:pStyle w:val="Descripcin"/>
        <w:jc w:val="center"/>
        <w:rPr>
          <w:rFonts w:ascii="Arial" w:hAnsi="Arial" w:cs="Arial"/>
          <w:b/>
          <w:i w:val="0"/>
        </w:rPr>
      </w:pPr>
      <w:bookmarkStart w:id="39" w:name="_Toc88677083"/>
      <w:r w:rsidRPr="009B21D5">
        <w:rPr>
          <w:rFonts w:ascii="Arial" w:hAnsi="Arial" w:cs="Arial"/>
          <w:b/>
          <w:bCs/>
          <w:i w:val="0"/>
          <w:iCs w:val="0"/>
          <w:color w:val="000000" w:themeColor="text1"/>
          <w:sz w:val="16"/>
          <w:szCs w:val="16"/>
        </w:rPr>
        <w:t xml:space="preserve">Tabla </w:t>
      </w:r>
      <w:r w:rsidRPr="009B21D5">
        <w:rPr>
          <w:rFonts w:ascii="Arial" w:hAnsi="Arial" w:cs="Arial"/>
          <w:b/>
          <w:bCs/>
          <w:i w:val="0"/>
          <w:iCs w:val="0"/>
          <w:color w:val="000000" w:themeColor="text1"/>
          <w:sz w:val="16"/>
          <w:szCs w:val="16"/>
        </w:rPr>
        <w:fldChar w:fldCharType="begin"/>
      </w:r>
      <w:r w:rsidRPr="009B21D5">
        <w:rPr>
          <w:rFonts w:ascii="Arial" w:hAnsi="Arial" w:cs="Arial"/>
          <w:b/>
          <w:bCs/>
          <w:i w:val="0"/>
          <w:iCs w:val="0"/>
          <w:color w:val="000000" w:themeColor="text1"/>
          <w:sz w:val="16"/>
          <w:szCs w:val="16"/>
        </w:rPr>
        <w:instrText xml:space="preserve"> SEQ Tabla \* ARABIC </w:instrText>
      </w:r>
      <w:r w:rsidRPr="009B21D5">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11</w:t>
      </w:r>
      <w:r w:rsidRPr="009B21D5">
        <w:rPr>
          <w:rFonts w:ascii="Arial" w:hAnsi="Arial" w:cs="Arial"/>
          <w:b/>
          <w:bCs/>
          <w:i w:val="0"/>
          <w:iCs w:val="0"/>
          <w:color w:val="000000" w:themeColor="text1"/>
          <w:sz w:val="16"/>
          <w:szCs w:val="16"/>
        </w:rPr>
        <w:fldChar w:fldCharType="end"/>
      </w:r>
      <w:r w:rsidRPr="009B21D5">
        <w:rPr>
          <w:rFonts w:ascii="Arial" w:hAnsi="Arial" w:cs="Arial"/>
          <w:b/>
          <w:bCs/>
          <w:i w:val="0"/>
          <w:iCs w:val="0"/>
          <w:color w:val="000000" w:themeColor="text1"/>
          <w:sz w:val="16"/>
          <w:szCs w:val="16"/>
        </w:rPr>
        <w:t>.Trámites realizados por territorial (meta-ejecución) octubre 2021</w:t>
      </w:r>
      <w:bookmarkEnd w:id="39"/>
    </w:p>
    <w:tbl>
      <w:tblPr>
        <w:tblStyle w:val="Tabladecuadrcula4-nfasis1"/>
        <w:tblW w:w="9726" w:type="dxa"/>
        <w:tblInd w:w="-5" w:type="dxa"/>
        <w:tblLook w:val="04A0" w:firstRow="1" w:lastRow="0" w:firstColumn="1" w:lastColumn="0" w:noHBand="0" w:noVBand="1"/>
      </w:tblPr>
      <w:tblGrid>
        <w:gridCol w:w="1831"/>
        <w:gridCol w:w="956"/>
        <w:gridCol w:w="1097"/>
        <w:gridCol w:w="956"/>
        <w:gridCol w:w="1097"/>
        <w:gridCol w:w="956"/>
        <w:gridCol w:w="1097"/>
        <w:gridCol w:w="941"/>
        <w:gridCol w:w="795"/>
      </w:tblGrid>
      <w:tr w:rsidR="00552FB2" w:rsidRPr="002F26A9" w14:paraId="6342F78F" w14:textId="77777777" w:rsidTr="006E668D">
        <w:trPr>
          <w:cnfStyle w:val="100000000000" w:firstRow="1" w:lastRow="0" w:firstColumn="0" w:lastColumn="0" w:oddVBand="0" w:evenVBand="0" w:oddHBand="0" w:evenHBand="0" w:firstRowFirstColumn="0" w:firstRowLastColumn="0" w:lastRowFirstColumn="0" w:lastRowLastColumn="0"/>
          <w:trHeight w:val="188"/>
          <w:tblHeader/>
        </w:trPr>
        <w:tc>
          <w:tcPr>
            <w:cnfStyle w:val="001000000000" w:firstRow="0" w:lastRow="0" w:firstColumn="1" w:lastColumn="0" w:oddVBand="0" w:evenVBand="0" w:oddHBand="0" w:evenHBand="0" w:firstRowFirstColumn="0" w:firstRowLastColumn="0" w:lastRowFirstColumn="0" w:lastRowLastColumn="0"/>
            <w:tcW w:w="1831" w:type="dxa"/>
            <w:vMerge w:val="restart"/>
            <w:noWrap/>
            <w:vAlign w:val="center"/>
            <w:hideMark/>
          </w:tcPr>
          <w:p w14:paraId="7F405F87" w14:textId="77777777" w:rsidR="00E62EF1" w:rsidRPr="005A51DE" w:rsidRDefault="00E62EF1" w:rsidP="00A6302C">
            <w:pPr>
              <w:suppressAutoHyphens w:val="0"/>
              <w:jc w:val="center"/>
              <w:rPr>
                <w:rFonts w:cs="Arial"/>
                <w:b w:val="0"/>
                <w:sz w:val="16"/>
                <w:szCs w:val="16"/>
                <w:lang w:val="es-CO" w:eastAsia="es-CO"/>
              </w:rPr>
            </w:pPr>
            <w:r w:rsidRPr="005A51DE">
              <w:rPr>
                <w:rFonts w:cs="Arial"/>
                <w:sz w:val="16"/>
                <w:szCs w:val="16"/>
                <w:lang w:val="es-CO" w:eastAsia="es-CO"/>
              </w:rPr>
              <w:t>DIRECCIÓN TERRITORIAL</w:t>
            </w:r>
          </w:p>
        </w:tc>
        <w:tc>
          <w:tcPr>
            <w:tcW w:w="2053" w:type="dxa"/>
            <w:gridSpan w:val="2"/>
            <w:noWrap/>
            <w:vAlign w:val="center"/>
            <w:hideMark/>
          </w:tcPr>
          <w:p w14:paraId="639DBF4B" w14:textId="77777777" w:rsidR="00E62EF1" w:rsidRPr="005A51DE" w:rsidRDefault="00E62EF1"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sz w:val="16"/>
                <w:szCs w:val="16"/>
                <w:lang w:val="es-CO" w:eastAsia="es-CO"/>
              </w:rPr>
            </w:pPr>
            <w:r w:rsidRPr="005A51DE">
              <w:rPr>
                <w:rFonts w:cs="Arial"/>
                <w:sz w:val="16"/>
                <w:szCs w:val="16"/>
                <w:lang w:val="es-CO" w:eastAsia="es-CO"/>
              </w:rPr>
              <w:t>META</w:t>
            </w:r>
          </w:p>
        </w:tc>
        <w:tc>
          <w:tcPr>
            <w:tcW w:w="2053" w:type="dxa"/>
            <w:gridSpan w:val="2"/>
            <w:noWrap/>
            <w:vAlign w:val="center"/>
            <w:hideMark/>
          </w:tcPr>
          <w:p w14:paraId="35C086D3" w14:textId="77777777" w:rsidR="00E62EF1" w:rsidRPr="005A51DE" w:rsidRDefault="00E62EF1"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sz w:val="16"/>
                <w:szCs w:val="16"/>
                <w:lang w:val="es-CO" w:eastAsia="es-CO"/>
              </w:rPr>
            </w:pPr>
            <w:r w:rsidRPr="005A51DE">
              <w:rPr>
                <w:rFonts w:cs="Arial"/>
                <w:sz w:val="16"/>
                <w:szCs w:val="16"/>
                <w:lang w:val="es-CO" w:eastAsia="es-CO"/>
              </w:rPr>
              <w:t>EJECUTADO</w:t>
            </w:r>
          </w:p>
        </w:tc>
        <w:tc>
          <w:tcPr>
            <w:tcW w:w="3789" w:type="dxa"/>
            <w:gridSpan w:val="4"/>
            <w:vAlign w:val="center"/>
            <w:hideMark/>
          </w:tcPr>
          <w:p w14:paraId="360119AE" w14:textId="77777777" w:rsidR="00E62EF1" w:rsidRPr="005A51DE" w:rsidRDefault="00E62EF1"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sz w:val="16"/>
                <w:szCs w:val="16"/>
                <w:lang w:val="es-CO" w:eastAsia="es-CO"/>
              </w:rPr>
            </w:pPr>
            <w:r w:rsidRPr="005A51DE">
              <w:rPr>
                <w:rFonts w:cs="Arial"/>
                <w:sz w:val="16"/>
                <w:szCs w:val="16"/>
                <w:lang w:val="es-CO" w:eastAsia="es-CO"/>
              </w:rPr>
              <w:t>% AVANCE OCTUBRE 2021</w:t>
            </w:r>
          </w:p>
        </w:tc>
      </w:tr>
      <w:tr w:rsidR="005B054D" w:rsidRPr="002F26A9" w14:paraId="0C7DB4AF" w14:textId="77777777" w:rsidTr="006E668D">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1831" w:type="dxa"/>
            <w:vMerge/>
            <w:vAlign w:val="center"/>
            <w:hideMark/>
          </w:tcPr>
          <w:p w14:paraId="1B201081" w14:textId="77777777" w:rsidR="00E62EF1" w:rsidRPr="005A51DE" w:rsidRDefault="00E62EF1" w:rsidP="005A51DE">
            <w:pPr>
              <w:suppressAutoHyphens w:val="0"/>
              <w:jc w:val="center"/>
              <w:rPr>
                <w:rFonts w:cs="Arial"/>
                <w:b w:val="0"/>
                <w:color w:val="000000"/>
                <w:sz w:val="16"/>
                <w:szCs w:val="16"/>
                <w:lang w:val="es-CO" w:eastAsia="es-CO"/>
              </w:rPr>
            </w:pPr>
          </w:p>
        </w:tc>
        <w:tc>
          <w:tcPr>
            <w:tcW w:w="956" w:type="dxa"/>
            <w:noWrap/>
            <w:vAlign w:val="center"/>
            <w:hideMark/>
          </w:tcPr>
          <w:p w14:paraId="3825D96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sz w:val="16"/>
                <w:szCs w:val="16"/>
                <w:lang w:val="es-CO" w:eastAsia="es-CO"/>
              </w:rPr>
              <w:t>OFICINA</w:t>
            </w:r>
          </w:p>
        </w:tc>
        <w:tc>
          <w:tcPr>
            <w:tcW w:w="1097" w:type="dxa"/>
            <w:noWrap/>
            <w:vAlign w:val="center"/>
            <w:hideMark/>
          </w:tcPr>
          <w:p w14:paraId="1F119178"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sz w:val="16"/>
                <w:szCs w:val="16"/>
                <w:lang w:val="es-CO" w:eastAsia="es-CO"/>
              </w:rPr>
              <w:t>TERRENO</w:t>
            </w:r>
          </w:p>
        </w:tc>
        <w:tc>
          <w:tcPr>
            <w:tcW w:w="956" w:type="dxa"/>
            <w:noWrap/>
            <w:vAlign w:val="center"/>
            <w:hideMark/>
          </w:tcPr>
          <w:p w14:paraId="00066EA8"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sz w:val="16"/>
                <w:szCs w:val="16"/>
                <w:lang w:val="es-CO" w:eastAsia="es-CO"/>
              </w:rPr>
              <w:t>OFICINA</w:t>
            </w:r>
          </w:p>
        </w:tc>
        <w:tc>
          <w:tcPr>
            <w:tcW w:w="1097" w:type="dxa"/>
            <w:noWrap/>
            <w:vAlign w:val="center"/>
            <w:hideMark/>
          </w:tcPr>
          <w:p w14:paraId="11CFD024" w14:textId="77777777" w:rsidR="00E62EF1" w:rsidRPr="005A51DE" w:rsidRDefault="00E62EF1"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themeColor="text1"/>
                <w:sz w:val="16"/>
                <w:szCs w:val="16"/>
                <w:lang w:val="es-CO" w:eastAsia="es-CO"/>
              </w:rPr>
              <w:t>TERRENO</w:t>
            </w:r>
          </w:p>
        </w:tc>
        <w:tc>
          <w:tcPr>
            <w:tcW w:w="956" w:type="dxa"/>
            <w:noWrap/>
            <w:vAlign w:val="center"/>
            <w:hideMark/>
          </w:tcPr>
          <w:p w14:paraId="6C70B5E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sz w:val="16"/>
                <w:szCs w:val="16"/>
                <w:lang w:val="es-CO" w:eastAsia="es-CO"/>
              </w:rPr>
              <w:t>OFICINA</w:t>
            </w:r>
          </w:p>
        </w:tc>
        <w:tc>
          <w:tcPr>
            <w:tcW w:w="1097" w:type="dxa"/>
            <w:noWrap/>
            <w:vAlign w:val="center"/>
            <w:hideMark/>
          </w:tcPr>
          <w:p w14:paraId="3AFED7E5"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sz w:val="16"/>
                <w:szCs w:val="16"/>
                <w:lang w:val="es-CO" w:eastAsia="es-CO"/>
              </w:rPr>
              <w:t>TERRENO</w:t>
            </w:r>
          </w:p>
        </w:tc>
        <w:tc>
          <w:tcPr>
            <w:tcW w:w="941" w:type="dxa"/>
            <w:noWrap/>
            <w:vAlign w:val="center"/>
            <w:hideMark/>
          </w:tcPr>
          <w:p w14:paraId="5DAD3B64" w14:textId="77777777" w:rsidR="00E62EF1" w:rsidRPr="005A51DE" w:rsidRDefault="00E62EF1"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themeColor="text1"/>
                <w:sz w:val="16"/>
                <w:szCs w:val="16"/>
                <w:lang w:val="es-CO" w:eastAsia="es-CO"/>
              </w:rPr>
              <w:t>Total Meta</w:t>
            </w:r>
          </w:p>
        </w:tc>
        <w:tc>
          <w:tcPr>
            <w:tcW w:w="795" w:type="dxa"/>
            <w:vAlign w:val="center"/>
            <w:hideMark/>
          </w:tcPr>
          <w:p w14:paraId="59CC44F1" w14:textId="77777777" w:rsidR="00E62EF1" w:rsidRPr="005A51DE" w:rsidRDefault="00E62EF1"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sidRPr="005A51DE">
              <w:rPr>
                <w:rFonts w:cs="Arial"/>
                <w:b/>
                <w:color w:val="000000" w:themeColor="text1"/>
                <w:sz w:val="16"/>
                <w:szCs w:val="16"/>
                <w:lang w:val="es-CO" w:eastAsia="es-CO"/>
              </w:rPr>
              <w:t>Total Avance</w:t>
            </w:r>
          </w:p>
        </w:tc>
      </w:tr>
      <w:tr w:rsidR="00E62EF1" w:rsidRPr="002F26A9" w14:paraId="021D9F9E"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4D895CF7"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ATLANTICO</w:t>
            </w:r>
          </w:p>
        </w:tc>
        <w:tc>
          <w:tcPr>
            <w:tcW w:w="956" w:type="dxa"/>
            <w:noWrap/>
            <w:vAlign w:val="center"/>
            <w:hideMark/>
          </w:tcPr>
          <w:p w14:paraId="29C03CD5" w14:textId="044EE1F5"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8.782</w:t>
            </w:r>
          </w:p>
        </w:tc>
        <w:tc>
          <w:tcPr>
            <w:tcW w:w="1097" w:type="dxa"/>
            <w:noWrap/>
            <w:vAlign w:val="center"/>
            <w:hideMark/>
          </w:tcPr>
          <w:p w14:paraId="4EEA8DB2" w14:textId="5124D0F9"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5.541</w:t>
            </w:r>
          </w:p>
        </w:tc>
        <w:tc>
          <w:tcPr>
            <w:tcW w:w="956" w:type="dxa"/>
            <w:noWrap/>
            <w:vAlign w:val="center"/>
            <w:hideMark/>
          </w:tcPr>
          <w:p w14:paraId="174AC919" w14:textId="0272025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9.628</w:t>
            </w:r>
          </w:p>
        </w:tc>
        <w:tc>
          <w:tcPr>
            <w:tcW w:w="1097" w:type="dxa"/>
            <w:noWrap/>
            <w:vAlign w:val="center"/>
            <w:hideMark/>
          </w:tcPr>
          <w:p w14:paraId="2B1178FC" w14:textId="07E926CC"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1.919</w:t>
            </w:r>
          </w:p>
        </w:tc>
        <w:tc>
          <w:tcPr>
            <w:tcW w:w="956" w:type="dxa"/>
            <w:noWrap/>
            <w:vAlign w:val="center"/>
            <w:hideMark/>
          </w:tcPr>
          <w:p w14:paraId="585B182A"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color w:val="000000"/>
                <w:sz w:val="16"/>
                <w:szCs w:val="16"/>
              </w:rPr>
              <w:t>110%</w:t>
            </w:r>
          </w:p>
        </w:tc>
        <w:tc>
          <w:tcPr>
            <w:tcW w:w="1097" w:type="dxa"/>
            <w:noWrap/>
            <w:vAlign w:val="center"/>
            <w:hideMark/>
          </w:tcPr>
          <w:p w14:paraId="39BADB13"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color w:val="000000"/>
                <w:sz w:val="16"/>
                <w:szCs w:val="16"/>
              </w:rPr>
              <w:t>35%</w:t>
            </w:r>
          </w:p>
        </w:tc>
        <w:tc>
          <w:tcPr>
            <w:tcW w:w="941" w:type="dxa"/>
            <w:noWrap/>
            <w:vAlign w:val="center"/>
            <w:hideMark/>
          </w:tcPr>
          <w:p w14:paraId="50733D3F" w14:textId="5C30450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14.323</w:t>
            </w:r>
          </w:p>
        </w:tc>
        <w:tc>
          <w:tcPr>
            <w:tcW w:w="795" w:type="dxa"/>
            <w:noWrap/>
            <w:vAlign w:val="center"/>
            <w:hideMark/>
          </w:tcPr>
          <w:p w14:paraId="70016F74" w14:textId="3EA1FCD7"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11.547</w:t>
            </w:r>
          </w:p>
        </w:tc>
      </w:tr>
      <w:tr w:rsidR="005B054D" w:rsidRPr="002F26A9" w14:paraId="44FEDC38"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45812838"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BOLÍVAR</w:t>
            </w:r>
          </w:p>
        </w:tc>
        <w:tc>
          <w:tcPr>
            <w:tcW w:w="956" w:type="dxa"/>
            <w:noWrap/>
            <w:vAlign w:val="center"/>
            <w:hideMark/>
          </w:tcPr>
          <w:p w14:paraId="06F0D28D" w14:textId="1F971F1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10.162</w:t>
            </w:r>
          </w:p>
        </w:tc>
        <w:tc>
          <w:tcPr>
            <w:tcW w:w="1097" w:type="dxa"/>
            <w:noWrap/>
            <w:vAlign w:val="center"/>
            <w:hideMark/>
          </w:tcPr>
          <w:p w14:paraId="5FCA2C69" w14:textId="004A9ECA"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6.930</w:t>
            </w:r>
          </w:p>
        </w:tc>
        <w:tc>
          <w:tcPr>
            <w:tcW w:w="956" w:type="dxa"/>
            <w:noWrap/>
            <w:vAlign w:val="center"/>
            <w:hideMark/>
          </w:tcPr>
          <w:p w14:paraId="6A169308" w14:textId="0E4EAA2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4.380</w:t>
            </w:r>
          </w:p>
        </w:tc>
        <w:tc>
          <w:tcPr>
            <w:tcW w:w="1097" w:type="dxa"/>
            <w:noWrap/>
            <w:vAlign w:val="center"/>
            <w:hideMark/>
          </w:tcPr>
          <w:p w14:paraId="7F138068" w14:textId="6CEE059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2.447</w:t>
            </w:r>
          </w:p>
        </w:tc>
        <w:tc>
          <w:tcPr>
            <w:tcW w:w="956" w:type="dxa"/>
            <w:noWrap/>
            <w:vAlign w:val="center"/>
            <w:hideMark/>
          </w:tcPr>
          <w:p w14:paraId="2A32023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43%</w:t>
            </w:r>
          </w:p>
        </w:tc>
        <w:tc>
          <w:tcPr>
            <w:tcW w:w="1097" w:type="dxa"/>
            <w:noWrap/>
            <w:vAlign w:val="center"/>
            <w:hideMark/>
          </w:tcPr>
          <w:p w14:paraId="5B8B586F"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35%</w:t>
            </w:r>
          </w:p>
        </w:tc>
        <w:tc>
          <w:tcPr>
            <w:tcW w:w="941" w:type="dxa"/>
            <w:noWrap/>
            <w:vAlign w:val="center"/>
            <w:hideMark/>
          </w:tcPr>
          <w:p w14:paraId="0BCC8879" w14:textId="0E94DCE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17.092</w:t>
            </w:r>
          </w:p>
        </w:tc>
        <w:tc>
          <w:tcPr>
            <w:tcW w:w="795" w:type="dxa"/>
            <w:noWrap/>
            <w:vAlign w:val="center"/>
            <w:hideMark/>
          </w:tcPr>
          <w:p w14:paraId="409C3DE2" w14:textId="712ADC0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6.827</w:t>
            </w:r>
          </w:p>
        </w:tc>
      </w:tr>
      <w:tr w:rsidR="00E62EF1" w:rsidRPr="002F26A9" w14:paraId="4C0BE7A4"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00533760"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BOYACÁ</w:t>
            </w:r>
          </w:p>
        </w:tc>
        <w:tc>
          <w:tcPr>
            <w:tcW w:w="956" w:type="dxa"/>
            <w:noWrap/>
            <w:vAlign w:val="center"/>
            <w:hideMark/>
          </w:tcPr>
          <w:p w14:paraId="138007FD" w14:textId="788D4F0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17.725</w:t>
            </w:r>
          </w:p>
        </w:tc>
        <w:tc>
          <w:tcPr>
            <w:tcW w:w="1097" w:type="dxa"/>
            <w:noWrap/>
            <w:vAlign w:val="center"/>
            <w:hideMark/>
          </w:tcPr>
          <w:p w14:paraId="31BF2B89" w14:textId="5D9CEB97"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16.539</w:t>
            </w:r>
          </w:p>
        </w:tc>
        <w:tc>
          <w:tcPr>
            <w:tcW w:w="956" w:type="dxa"/>
            <w:noWrap/>
            <w:vAlign w:val="center"/>
            <w:hideMark/>
          </w:tcPr>
          <w:p w14:paraId="0DF5F893" w14:textId="6AA0AA69"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11.821</w:t>
            </w:r>
          </w:p>
        </w:tc>
        <w:tc>
          <w:tcPr>
            <w:tcW w:w="1097" w:type="dxa"/>
            <w:noWrap/>
            <w:vAlign w:val="center"/>
            <w:hideMark/>
          </w:tcPr>
          <w:p w14:paraId="304DE83C" w14:textId="61AA2A11"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4.491</w:t>
            </w:r>
          </w:p>
        </w:tc>
        <w:tc>
          <w:tcPr>
            <w:tcW w:w="956" w:type="dxa"/>
            <w:noWrap/>
            <w:vAlign w:val="center"/>
            <w:hideMark/>
          </w:tcPr>
          <w:p w14:paraId="37D30E8E"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67%</w:t>
            </w:r>
          </w:p>
        </w:tc>
        <w:tc>
          <w:tcPr>
            <w:tcW w:w="1097" w:type="dxa"/>
            <w:noWrap/>
            <w:vAlign w:val="center"/>
            <w:hideMark/>
          </w:tcPr>
          <w:p w14:paraId="36E21F60"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27%</w:t>
            </w:r>
          </w:p>
        </w:tc>
        <w:tc>
          <w:tcPr>
            <w:tcW w:w="941" w:type="dxa"/>
            <w:noWrap/>
            <w:vAlign w:val="center"/>
            <w:hideMark/>
          </w:tcPr>
          <w:p w14:paraId="1BDA6BC9" w14:textId="771C6D6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34.264</w:t>
            </w:r>
          </w:p>
        </w:tc>
        <w:tc>
          <w:tcPr>
            <w:tcW w:w="795" w:type="dxa"/>
            <w:noWrap/>
            <w:vAlign w:val="center"/>
            <w:hideMark/>
          </w:tcPr>
          <w:p w14:paraId="2565C38E" w14:textId="66CDDF86"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16.312</w:t>
            </w:r>
          </w:p>
        </w:tc>
      </w:tr>
      <w:tr w:rsidR="005B054D" w:rsidRPr="002F26A9" w14:paraId="54357217"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7FC25C3C"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CALDAS</w:t>
            </w:r>
          </w:p>
        </w:tc>
        <w:tc>
          <w:tcPr>
            <w:tcW w:w="956" w:type="dxa"/>
            <w:noWrap/>
            <w:vAlign w:val="center"/>
            <w:hideMark/>
          </w:tcPr>
          <w:p w14:paraId="5E596BF2" w14:textId="36FAAD9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7.978</w:t>
            </w:r>
          </w:p>
        </w:tc>
        <w:tc>
          <w:tcPr>
            <w:tcW w:w="1097" w:type="dxa"/>
            <w:noWrap/>
            <w:vAlign w:val="center"/>
            <w:hideMark/>
          </w:tcPr>
          <w:p w14:paraId="278F1063" w14:textId="285EEF8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15.885</w:t>
            </w:r>
          </w:p>
        </w:tc>
        <w:tc>
          <w:tcPr>
            <w:tcW w:w="956" w:type="dxa"/>
            <w:noWrap/>
            <w:vAlign w:val="center"/>
            <w:hideMark/>
          </w:tcPr>
          <w:p w14:paraId="367467E7" w14:textId="7991F5F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9.386</w:t>
            </w:r>
          </w:p>
        </w:tc>
        <w:tc>
          <w:tcPr>
            <w:tcW w:w="1097" w:type="dxa"/>
            <w:noWrap/>
            <w:vAlign w:val="center"/>
            <w:hideMark/>
          </w:tcPr>
          <w:p w14:paraId="2AC2DCC4" w14:textId="061AEAA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3.279</w:t>
            </w:r>
          </w:p>
        </w:tc>
        <w:tc>
          <w:tcPr>
            <w:tcW w:w="956" w:type="dxa"/>
            <w:noWrap/>
            <w:vAlign w:val="center"/>
            <w:hideMark/>
          </w:tcPr>
          <w:p w14:paraId="109C087F"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118%</w:t>
            </w:r>
          </w:p>
        </w:tc>
        <w:tc>
          <w:tcPr>
            <w:tcW w:w="1097" w:type="dxa"/>
            <w:noWrap/>
            <w:vAlign w:val="center"/>
            <w:hideMark/>
          </w:tcPr>
          <w:p w14:paraId="4CFEB9F1"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21%</w:t>
            </w:r>
          </w:p>
        </w:tc>
        <w:tc>
          <w:tcPr>
            <w:tcW w:w="941" w:type="dxa"/>
            <w:noWrap/>
            <w:vAlign w:val="center"/>
            <w:hideMark/>
          </w:tcPr>
          <w:p w14:paraId="6330292B" w14:textId="624C589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23.863</w:t>
            </w:r>
          </w:p>
        </w:tc>
        <w:tc>
          <w:tcPr>
            <w:tcW w:w="795" w:type="dxa"/>
            <w:noWrap/>
            <w:vAlign w:val="center"/>
            <w:hideMark/>
          </w:tcPr>
          <w:p w14:paraId="49A82F90" w14:textId="0C1D228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12.665</w:t>
            </w:r>
          </w:p>
        </w:tc>
      </w:tr>
      <w:tr w:rsidR="00E62EF1" w:rsidRPr="002F26A9" w14:paraId="43180A11"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2166C0D6"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CAQUETA</w:t>
            </w:r>
          </w:p>
        </w:tc>
        <w:tc>
          <w:tcPr>
            <w:tcW w:w="956" w:type="dxa"/>
            <w:noWrap/>
            <w:vAlign w:val="center"/>
            <w:hideMark/>
          </w:tcPr>
          <w:p w14:paraId="7E009B78" w14:textId="71DFFDF1"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3.256</w:t>
            </w:r>
          </w:p>
        </w:tc>
        <w:tc>
          <w:tcPr>
            <w:tcW w:w="1097" w:type="dxa"/>
            <w:noWrap/>
            <w:vAlign w:val="center"/>
            <w:hideMark/>
          </w:tcPr>
          <w:p w14:paraId="7859409A" w14:textId="4F9CCFCB"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3.209</w:t>
            </w:r>
          </w:p>
        </w:tc>
        <w:tc>
          <w:tcPr>
            <w:tcW w:w="956" w:type="dxa"/>
            <w:noWrap/>
            <w:vAlign w:val="center"/>
            <w:hideMark/>
          </w:tcPr>
          <w:p w14:paraId="13105773" w14:textId="1FDF6F16"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2.596</w:t>
            </w:r>
          </w:p>
        </w:tc>
        <w:tc>
          <w:tcPr>
            <w:tcW w:w="1097" w:type="dxa"/>
            <w:noWrap/>
            <w:vAlign w:val="center"/>
            <w:hideMark/>
          </w:tcPr>
          <w:p w14:paraId="74F781DC" w14:textId="1EE9D795"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1.647</w:t>
            </w:r>
          </w:p>
        </w:tc>
        <w:tc>
          <w:tcPr>
            <w:tcW w:w="956" w:type="dxa"/>
            <w:noWrap/>
            <w:vAlign w:val="center"/>
            <w:hideMark/>
          </w:tcPr>
          <w:p w14:paraId="563DBFC5"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80%</w:t>
            </w:r>
          </w:p>
        </w:tc>
        <w:tc>
          <w:tcPr>
            <w:tcW w:w="1097" w:type="dxa"/>
            <w:noWrap/>
            <w:vAlign w:val="center"/>
            <w:hideMark/>
          </w:tcPr>
          <w:p w14:paraId="19F2C34F"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51%</w:t>
            </w:r>
          </w:p>
        </w:tc>
        <w:tc>
          <w:tcPr>
            <w:tcW w:w="941" w:type="dxa"/>
            <w:noWrap/>
            <w:vAlign w:val="center"/>
            <w:hideMark/>
          </w:tcPr>
          <w:p w14:paraId="113B5FE8" w14:textId="76517FB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6.465</w:t>
            </w:r>
          </w:p>
        </w:tc>
        <w:tc>
          <w:tcPr>
            <w:tcW w:w="795" w:type="dxa"/>
            <w:noWrap/>
            <w:vAlign w:val="center"/>
            <w:hideMark/>
          </w:tcPr>
          <w:p w14:paraId="2DDAEF38" w14:textId="6830877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4.243</w:t>
            </w:r>
          </w:p>
        </w:tc>
      </w:tr>
      <w:tr w:rsidR="005B054D" w:rsidRPr="002F26A9" w14:paraId="68F2566B"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0C46F609"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CASANARE</w:t>
            </w:r>
          </w:p>
        </w:tc>
        <w:tc>
          <w:tcPr>
            <w:tcW w:w="956" w:type="dxa"/>
            <w:noWrap/>
            <w:vAlign w:val="center"/>
            <w:hideMark/>
          </w:tcPr>
          <w:p w14:paraId="1959722A" w14:textId="4D83775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5.514</w:t>
            </w:r>
          </w:p>
        </w:tc>
        <w:tc>
          <w:tcPr>
            <w:tcW w:w="1097" w:type="dxa"/>
            <w:noWrap/>
            <w:vAlign w:val="center"/>
            <w:hideMark/>
          </w:tcPr>
          <w:p w14:paraId="177D8642" w14:textId="05EDA0A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3.247</w:t>
            </w:r>
          </w:p>
        </w:tc>
        <w:tc>
          <w:tcPr>
            <w:tcW w:w="956" w:type="dxa"/>
            <w:noWrap/>
            <w:vAlign w:val="center"/>
            <w:hideMark/>
          </w:tcPr>
          <w:p w14:paraId="45945304" w14:textId="10B80BAA"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12.145</w:t>
            </w:r>
          </w:p>
        </w:tc>
        <w:tc>
          <w:tcPr>
            <w:tcW w:w="1097" w:type="dxa"/>
            <w:noWrap/>
            <w:vAlign w:val="center"/>
            <w:hideMark/>
          </w:tcPr>
          <w:p w14:paraId="66418D67"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18</w:t>
            </w:r>
          </w:p>
        </w:tc>
        <w:tc>
          <w:tcPr>
            <w:tcW w:w="956" w:type="dxa"/>
            <w:noWrap/>
            <w:vAlign w:val="center"/>
            <w:hideMark/>
          </w:tcPr>
          <w:p w14:paraId="7BDA9729"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220%</w:t>
            </w:r>
          </w:p>
        </w:tc>
        <w:tc>
          <w:tcPr>
            <w:tcW w:w="1097" w:type="dxa"/>
            <w:noWrap/>
            <w:vAlign w:val="center"/>
            <w:hideMark/>
          </w:tcPr>
          <w:p w14:paraId="0BE5EB92"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w:t>
            </w:r>
          </w:p>
        </w:tc>
        <w:tc>
          <w:tcPr>
            <w:tcW w:w="941" w:type="dxa"/>
            <w:noWrap/>
            <w:vAlign w:val="center"/>
            <w:hideMark/>
          </w:tcPr>
          <w:p w14:paraId="0E8AF444" w14:textId="2B654D3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8.761</w:t>
            </w:r>
          </w:p>
        </w:tc>
        <w:tc>
          <w:tcPr>
            <w:tcW w:w="795" w:type="dxa"/>
            <w:noWrap/>
            <w:vAlign w:val="center"/>
            <w:hideMark/>
          </w:tcPr>
          <w:p w14:paraId="03C99F56" w14:textId="717217C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12.163</w:t>
            </w:r>
          </w:p>
        </w:tc>
      </w:tr>
      <w:tr w:rsidR="00E62EF1" w:rsidRPr="002F26A9" w14:paraId="10E221C7"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33EA3F35"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CAUCA</w:t>
            </w:r>
          </w:p>
        </w:tc>
        <w:tc>
          <w:tcPr>
            <w:tcW w:w="956" w:type="dxa"/>
            <w:noWrap/>
            <w:vAlign w:val="center"/>
            <w:hideMark/>
          </w:tcPr>
          <w:p w14:paraId="3C87A327" w14:textId="6913695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6.064</w:t>
            </w:r>
          </w:p>
        </w:tc>
        <w:tc>
          <w:tcPr>
            <w:tcW w:w="1097" w:type="dxa"/>
            <w:noWrap/>
            <w:vAlign w:val="center"/>
            <w:hideMark/>
          </w:tcPr>
          <w:p w14:paraId="3A8AF346" w14:textId="1C6F1FA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5.038</w:t>
            </w:r>
          </w:p>
        </w:tc>
        <w:tc>
          <w:tcPr>
            <w:tcW w:w="956" w:type="dxa"/>
            <w:noWrap/>
            <w:vAlign w:val="center"/>
            <w:hideMark/>
          </w:tcPr>
          <w:p w14:paraId="7FA391AD" w14:textId="18E29A42"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16.156</w:t>
            </w:r>
          </w:p>
        </w:tc>
        <w:tc>
          <w:tcPr>
            <w:tcW w:w="1097" w:type="dxa"/>
            <w:noWrap/>
            <w:vAlign w:val="center"/>
            <w:hideMark/>
          </w:tcPr>
          <w:p w14:paraId="4118A477" w14:textId="0AA45E6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1.151</w:t>
            </w:r>
          </w:p>
        </w:tc>
        <w:tc>
          <w:tcPr>
            <w:tcW w:w="956" w:type="dxa"/>
            <w:noWrap/>
            <w:vAlign w:val="center"/>
            <w:hideMark/>
          </w:tcPr>
          <w:p w14:paraId="696A4491"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266%</w:t>
            </w:r>
          </w:p>
        </w:tc>
        <w:tc>
          <w:tcPr>
            <w:tcW w:w="1097" w:type="dxa"/>
            <w:noWrap/>
            <w:vAlign w:val="center"/>
            <w:hideMark/>
          </w:tcPr>
          <w:p w14:paraId="2CD558A0"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23%</w:t>
            </w:r>
          </w:p>
        </w:tc>
        <w:tc>
          <w:tcPr>
            <w:tcW w:w="941" w:type="dxa"/>
            <w:noWrap/>
            <w:vAlign w:val="center"/>
            <w:hideMark/>
          </w:tcPr>
          <w:p w14:paraId="0FB5C5D3" w14:textId="0C780C3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11.102</w:t>
            </w:r>
          </w:p>
        </w:tc>
        <w:tc>
          <w:tcPr>
            <w:tcW w:w="795" w:type="dxa"/>
            <w:noWrap/>
            <w:vAlign w:val="center"/>
            <w:hideMark/>
          </w:tcPr>
          <w:p w14:paraId="4B72DF02" w14:textId="2E0C74F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17.307</w:t>
            </w:r>
          </w:p>
        </w:tc>
      </w:tr>
      <w:tr w:rsidR="005B054D" w:rsidRPr="002F26A9" w14:paraId="5F16D1D2"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4E367ECC"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CESAR</w:t>
            </w:r>
          </w:p>
        </w:tc>
        <w:tc>
          <w:tcPr>
            <w:tcW w:w="956" w:type="dxa"/>
            <w:noWrap/>
            <w:vAlign w:val="center"/>
            <w:hideMark/>
          </w:tcPr>
          <w:p w14:paraId="1BAB3818" w14:textId="0A3C9996"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5.530</w:t>
            </w:r>
          </w:p>
        </w:tc>
        <w:tc>
          <w:tcPr>
            <w:tcW w:w="1097" w:type="dxa"/>
            <w:noWrap/>
            <w:vAlign w:val="center"/>
            <w:hideMark/>
          </w:tcPr>
          <w:p w14:paraId="1293BE59" w14:textId="1AC9517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9.524</w:t>
            </w:r>
          </w:p>
        </w:tc>
        <w:tc>
          <w:tcPr>
            <w:tcW w:w="956" w:type="dxa"/>
            <w:noWrap/>
            <w:vAlign w:val="center"/>
            <w:hideMark/>
          </w:tcPr>
          <w:p w14:paraId="48FA16B3" w14:textId="786BBF0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5.160</w:t>
            </w:r>
          </w:p>
        </w:tc>
        <w:tc>
          <w:tcPr>
            <w:tcW w:w="1097" w:type="dxa"/>
            <w:noWrap/>
            <w:vAlign w:val="center"/>
            <w:hideMark/>
          </w:tcPr>
          <w:p w14:paraId="3D45BDF9" w14:textId="3CFEA6B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5.353</w:t>
            </w:r>
          </w:p>
        </w:tc>
        <w:tc>
          <w:tcPr>
            <w:tcW w:w="956" w:type="dxa"/>
            <w:noWrap/>
            <w:vAlign w:val="center"/>
            <w:hideMark/>
          </w:tcPr>
          <w:p w14:paraId="3795D758"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93%</w:t>
            </w:r>
          </w:p>
        </w:tc>
        <w:tc>
          <w:tcPr>
            <w:tcW w:w="1097" w:type="dxa"/>
            <w:noWrap/>
            <w:vAlign w:val="center"/>
            <w:hideMark/>
          </w:tcPr>
          <w:p w14:paraId="0A73154D"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56%</w:t>
            </w:r>
          </w:p>
        </w:tc>
        <w:tc>
          <w:tcPr>
            <w:tcW w:w="941" w:type="dxa"/>
            <w:noWrap/>
            <w:vAlign w:val="center"/>
            <w:hideMark/>
          </w:tcPr>
          <w:p w14:paraId="7C04E5A3" w14:textId="24F92F7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15.054</w:t>
            </w:r>
          </w:p>
        </w:tc>
        <w:tc>
          <w:tcPr>
            <w:tcW w:w="795" w:type="dxa"/>
            <w:noWrap/>
            <w:vAlign w:val="center"/>
            <w:hideMark/>
          </w:tcPr>
          <w:p w14:paraId="62EAA708" w14:textId="73D7FEDA"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10.513</w:t>
            </w:r>
          </w:p>
        </w:tc>
      </w:tr>
      <w:tr w:rsidR="00E62EF1" w:rsidRPr="002F26A9" w14:paraId="5993F350"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097C3F0F"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CORDOBA</w:t>
            </w:r>
          </w:p>
        </w:tc>
        <w:tc>
          <w:tcPr>
            <w:tcW w:w="956" w:type="dxa"/>
            <w:noWrap/>
            <w:vAlign w:val="center"/>
            <w:hideMark/>
          </w:tcPr>
          <w:p w14:paraId="7E8BC6C9" w14:textId="0FAB573A"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4.778</w:t>
            </w:r>
          </w:p>
        </w:tc>
        <w:tc>
          <w:tcPr>
            <w:tcW w:w="1097" w:type="dxa"/>
            <w:noWrap/>
            <w:vAlign w:val="center"/>
            <w:hideMark/>
          </w:tcPr>
          <w:p w14:paraId="535610E4" w14:textId="56251CA6"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8.072</w:t>
            </w:r>
          </w:p>
        </w:tc>
        <w:tc>
          <w:tcPr>
            <w:tcW w:w="956" w:type="dxa"/>
            <w:noWrap/>
            <w:vAlign w:val="center"/>
            <w:hideMark/>
          </w:tcPr>
          <w:p w14:paraId="27D2EF0B" w14:textId="7FF256E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5.911</w:t>
            </w:r>
          </w:p>
        </w:tc>
        <w:tc>
          <w:tcPr>
            <w:tcW w:w="1097" w:type="dxa"/>
            <w:noWrap/>
            <w:vAlign w:val="center"/>
            <w:hideMark/>
          </w:tcPr>
          <w:p w14:paraId="62294845" w14:textId="44E6820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4.012</w:t>
            </w:r>
          </w:p>
        </w:tc>
        <w:tc>
          <w:tcPr>
            <w:tcW w:w="956" w:type="dxa"/>
            <w:noWrap/>
            <w:vAlign w:val="center"/>
            <w:hideMark/>
          </w:tcPr>
          <w:p w14:paraId="64C65FA6"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124%</w:t>
            </w:r>
          </w:p>
        </w:tc>
        <w:tc>
          <w:tcPr>
            <w:tcW w:w="1097" w:type="dxa"/>
            <w:noWrap/>
            <w:vAlign w:val="center"/>
            <w:hideMark/>
          </w:tcPr>
          <w:p w14:paraId="29504251"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50%</w:t>
            </w:r>
          </w:p>
        </w:tc>
        <w:tc>
          <w:tcPr>
            <w:tcW w:w="941" w:type="dxa"/>
            <w:noWrap/>
            <w:vAlign w:val="center"/>
            <w:hideMark/>
          </w:tcPr>
          <w:p w14:paraId="070CDD32" w14:textId="32390710"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12.850</w:t>
            </w:r>
          </w:p>
        </w:tc>
        <w:tc>
          <w:tcPr>
            <w:tcW w:w="795" w:type="dxa"/>
            <w:noWrap/>
            <w:vAlign w:val="center"/>
            <w:hideMark/>
          </w:tcPr>
          <w:p w14:paraId="138E6A62" w14:textId="19CE8D1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9.923</w:t>
            </w:r>
          </w:p>
        </w:tc>
      </w:tr>
      <w:tr w:rsidR="005B054D" w:rsidRPr="002F26A9" w14:paraId="29D847E5"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1BEA295E"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CUNDINAMARCA</w:t>
            </w:r>
          </w:p>
        </w:tc>
        <w:tc>
          <w:tcPr>
            <w:tcW w:w="956" w:type="dxa"/>
            <w:noWrap/>
            <w:vAlign w:val="center"/>
            <w:hideMark/>
          </w:tcPr>
          <w:p w14:paraId="0141C4CF" w14:textId="59DEB91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15.284</w:t>
            </w:r>
          </w:p>
        </w:tc>
        <w:tc>
          <w:tcPr>
            <w:tcW w:w="1097" w:type="dxa"/>
            <w:noWrap/>
            <w:vAlign w:val="center"/>
            <w:hideMark/>
          </w:tcPr>
          <w:p w14:paraId="5327DB84" w14:textId="57FCF194"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43.978</w:t>
            </w:r>
          </w:p>
        </w:tc>
        <w:tc>
          <w:tcPr>
            <w:tcW w:w="956" w:type="dxa"/>
            <w:noWrap/>
            <w:vAlign w:val="center"/>
            <w:hideMark/>
          </w:tcPr>
          <w:p w14:paraId="3B1D3823" w14:textId="5047C39F"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17.824</w:t>
            </w:r>
          </w:p>
        </w:tc>
        <w:tc>
          <w:tcPr>
            <w:tcW w:w="1097" w:type="dxa"/>
            <w:noWrap/>
            <w:vAlign w:val="center"/>
            <w:hideMark/>
          </w:tcPr>
          <w:p w14:paraId="6AFF6C35" w14:textId="6A45B02D"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16.085</w:t>
            </w:r>
          </w:p>
        </w:tc>
        <w:tc>
          <w:tcPr>
            <w:tcW w:w="956" w:type="dxa"/>
            <w:noWrap/>
            <w:vAlign w:val="center"/>
            <w:hideMark/>
          </w:tcPr>
          <w:p w14:paraId="63E710C2"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117%</w:t>
            </w:r>
          </w:p>
        </w:tc>
        <w:tc>
          <w:tcPr>
            <w:tcW w:w="1097" w:type="dxa"/>
            <w:noWrap/>
            <w:vAlign w:val="center"/>
            <w:hideMark/>
          </w:tcPr>
          <w:p w14:paraId="327AC4B5"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37%</w:t>
            </w:r>
          </w:p>
        </w:tc>
        <w:tc>
          <w:tcPr>
            <w:tcW w:w="941" w:type="dxa"/>
            <w:noWrap/>
            <w:vAlign w:val="center"/>
            <w:hideMark/>
          </w:tcPr>
          <w:p w14:paraId="2AD9329D" w14:textId="610D2654"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59.262</w:t>
            </w:r>
          </w:p>
        </w:tc>
        <w:tc>
          <w:tcPr>
            <w:tcW w:w="795" w:type="dxa"/>
            <w:noWrap/>
            <w:vAlign w:val="center"/>
            <w:hideMark/>
          </w:tcPr>
          <w:p w14:paraId="69778939" w14:textId="0D13695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33.909</w:t>
            </w:r>
          </w:p>
        </w:tc>
      </w:tr>
      <w:tr w:rsidR="00E62EF1" w:rsidRPr="002F26A9" w14:paraId="742FA8C5"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694ADD27"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GUAJIRA</w:t>
            </w:r>
          </w:p>
        </w:tc>
        <w:tc>
          <w:tcPr>
            <w:tcW w:w="956" w:type="dxa"/>
            <w:noWrap/>
            <w:vAlign w:val="center"/>
            <w:hideMark/>
          </w:tcPr>
          <w:p w14:paraId="78130D83" w14:textId="4902083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3.393</w:t>
            </w:r>
          </w:p>
        </w:tc>
        <w:tc>
          <w:tcPr>
            <w:tcW w:w="1097" w:type="dxa"/>
            <w:noWrap/>
            <w:vAlign w:val="center"/>
            <w:hideMark/>
          </w:tcPr>
          <w:p w14:paraId="0DFA4D75" w14:textId="0B1A029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5.062</w:t>
            </w:r>
          </w:p>
        </w:tc>
        <w:tc>
          <w:tcPr>
            <w:tcW w:w="956" w:type="dxa"/>
            <w:noWrap/>
            <w:vAlign w:val="center"/>
            <w:hideMark/>
          </w:tcPr>
          <w:p w14:paraId="567A4683" w14:textId="47318D8C"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8.527</w:t>
            </w:r>
          </w:p>
        </w:tc>
        <w:tc>
          <w:tcPr>
            <w:tcW w:w="1097" w:type="dxa"/>
            <w:noWrap/>
            <w:vAlign w:val="center"/>
            <w:hideMark/>
          </w:tcPr>
          <w:p w14:paraId="2BEFF498" w14:textId="2885EDB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1.002</w:t>
            </w:r>
          </w:p>
        </w:tc>
        <w:tc>
          <w:tcPr>
            <w:tcW w:w="956" w:type="dxa"/>
            <w:noWrap/>
            <w:vAlign w:val="center"/>
            <w:hideMark/>
          </w:tcPr>
          <w:p w14:paraId="2F873F5D"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251%</w:t>
            </w:r>
          </w:p>
        </w:tc>
        <w:tc>
          <w:tcPr>
            <w:tcW w:w="1097" w:type="dxa"/>
            <w:noWrap/>
            <w:vAlign w:val="center"/>
            <w:hideMark/>
          </w:tcPr>
          <w:p w14:paraId="7296ABF2"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20%</w:t>
            </w:r>
          </w:p>
        </w:tc>
        <w:tc>
          <w:tcPr>
            <w:tcW w:w="941" w:type="dxa"/>
            <w:noWrap/>
            <w:vAlign w:val="center"/>
            <w:hideMark/>
          </w:tcPr>
          <w:p w14:paraId="194F68F7" w14:textId="4763C7A0"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8.455</w:t>
            </w:r>
          </w:p>
        </w:tc>
        <w:tc>
          <w:tcPr>
            <w:tcW w:w="795" w:type="dxa"/>
            <w:noWrap/>
            <w:vAlign w:val="center"/>
            <w:hideMark/>
          </w:tcPr>
          <w:p w14:paraId="167A7D90" w14:textId="4C92387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9.529</w:t>
            </w:r>
          </w:p>
        </w:tc>
      </w:tr>
      <w:tr w:rsidR="005B054D" w:rsidRPr="002F26A9" w14:paraId="5CD93DD4"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636A74E4"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HUILA</w:t>
            </w:r>
          </w:p>
        </w:tc>
        <w:tc>
          <w:tcPr>
            <w:tcW w:w="956" w:type="dxa"/>
            <w:noWrap/>
            <w:vAlign w:val="center"/>
            <w:hideMark/>
          </w:tcPr>
          <w:p w14:paraId="06133B41" w14:textId="0E1983E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12.229</w:t>
            </w:r>
          </w:p>
        </w:tc>
        <w:tc>
          <w:tcPr>
            <w:tcW w:w="1097" w:type="dxa"/>
            <w:noWrap/>
            <w:vAlign w:val="center"/>
            <w:hideMark/>
          </w:tcPr>
          <w:p w14:paraId="2AD4D9B9" w14:textId="0BA86C8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5.953</w:t>
            </w:r>
          </w:p>
        </w:tc>
        <w:tc>
          <w:tcPr>
            <w:tcW w:w="956" w:type="dxa"/>
            <w:noWrap/>
            <w:vAlign w:val="center"/>
            <w:hideMark/>
          </w:tcPr>
          <w:p w14:paraId="42B14F05" w14:textId="0157D0A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8.185</w:t>
            </w:r>
          </w:p>
        </w:tc>
        <w:tc>
          <w:tcPr>
            <w:tcW w:w="1097" w:type="dxa"/>
            <w:noWrap/>
            <w:vAlign w:val="center"/>
            <w:hideMark/>
          </w:tcPr>
          <w:p w14:paraId="2731513A" w14:textId="3DFD9290"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1.575</w:t>
            </w:r>
          </w:p>
        </w:tc>
        <w:tc>
          <w:tcPr>
            <w:tcW w:w="956" w:type="dxa"/>
            <w:noWrap/>
            <w:vAlign w:val="center"/>
            <w:hideMark/>
          </w:tcPr>
          <w:p w14:paraId="2A05F2D1"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67%</w:t>
            </w:r>
          </w:p>
        </w:tc>
        <w:tc>
          <w:tcPr>
            <w:tcW w:w="1097" w:type="dxa"/>
            <w:noWrap/>
            <w:vAlign w:val="center"/>
            <w:hideMark/>
          </w:tcPr>
          <w:p w14:paraId="4141001C"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26%</w:t>
            </w:r>
          </w:p>
        </w:tc>
        <w:tc>
          <w:tcPr>
            <w:tcW w:w="941" w:type="dxa"/>
            <w:noWrap/>
            <w:vAlign w:val="center"/>
            <w:hideMark/>
          </w:tcPr>
          <w:p w14:paraId="75AE173F" w14:textId="4EA3088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18.182</w:t>
            </w:r>
          </w:p>
        </w:tc>
        <w:tc>
          <w:tcPr>
            <w:tcW w:w="795" w:type="dxa"/>
            <w:noWrap/>
            <w:vAlign w:val="center"/>
            <w:hideMark/>
          </w:tcPr>
          <w:p w14:paraId="32BECD5D" w14:textId="098FFF5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9.760</w:t>
            </w:r>
          </w:p>
        </w:tc>
      </w:tr>
      <w:tr w:rsidR="00E62EF1" w:rsidRPr="002F26A9" w14:paraId="168D80FA"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1525CE14"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MAGDALENA</w:t>
            </w:r>
          </w:p>
        </w:tc>
        <w:tc>
          <w:tcPr>
            <w:tcW w:w="956" w:type="dxa"/>
            <w:noWrap/>
            <w:vAlign w:val="center"/>
            <w:hideMark/>
          </w:tcPr>
          <w:p w14:paraId="665F837F" w14:textId="2A1EBCE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2.960</w:t>
            </w:r>
          </w:p>
        </w:tc>
        <w:tc>
          <w:tcPr>
            <w:tcW w:w="1097" w:type="dxa"/>
            <w:noWrap/>
            <w:vAlign w:val="center"/>
            <w:hideMark/>
          </w:tcPr>
          <w:p w14:paraId="79447BBF" w14:textId="111925D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3.536</w:t>
            </w:r>
          </w:p>
        </w:tc>
        <w:tc>
          <w:tcPr>
            <w:tcW w:w="956" w:type="dxa"/>
            <w:noWrap/>
            <w:vAlign w:val="center"/>
            <w:hideMark/>
          </w:tcPr>
          <w:p w14:paraId="534C3BB5" w14:textId="4467411A"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4.223</w:t>
            </w:r>
          </w:p>
        </w:tc>
        <w:tc>
          <w:tcPr>
            <w:tcW w:w="1097" w:type="dxa"/>
            <w:noWrap/>
            <w:vAlign w:val="center"/>
            <w:hideMark/>
          </w:tcPr>
          <w:p w14:paraId="2E9B6932" w14:textId="5B56F109"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2.365</w:t>
            </w:r>
          </w:p>
        </w:tc>
        <w:tc>
          <w:tcPr>
            <w:tcW w:w="956" w:type="dxa"/>
            <w:noWrap/>
            <w:vAlign w:val="center"/>
            <w:hideMark/>
          </w:tcPr>
          <w:p w14:paraId="1B1F5FDC"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143%</w:t>
            </w:r>
          </w:p>
        </w:tc>
        <w:tc>
          <w:tcPr>
            <w:tcW w:w="1097" w:type="dxa"/>
            <w:noWrap/>
            <w:vAlign w:val="center"/>
            <w:hideMark/>
          </w:tcPr>
          <w:p w14:paraId="1DAD3358"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67%</w:t>
            </w:r>
          </w:p>
        </w:tc>
        <w:tc>
          <w:tcPr>
            <w:tcW w:w="941" w:type="dxa"/>
            <w:noWrap/>
            <w:vAlign w:val="center"/>
            <w:hideMark/>
          </w:tcPr>
          <w:p w14:paraId="18978832" w14:textId="5C466A16"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6.496</w:t>
            </w:r>
          </w:p>
        </w:tc>
        <w:tc>
          <w:tcPr>
            <w:tcW w:w="795" w:type="dxa"/>
            <w:noWrap/>
            <w:vAlign w:val="center"/>
            <w:hideMark/>
          </w:tcPr>
          <w:p w14:paraId="085095BF" w14:textId="32E37FF7"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6.588</w:t>
            </w:r>
          </w:p>
        </w:tc>
      </w:tr>
      <w:tr w:rsidR="005B054D" w:rsidRPr="002F26A9" w14:paraId="73FA2F4B"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4D99C053"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META</w:t>
            </w:r>
          </w:p>
        </w:tc>
        <w:tc>
          <w:tcPr>
            <w:tcW w:w="956" w:type="dxa"/>
            <w:noWrap/>
            <w:vAlign w:val="center"/>
            <w:hideMark/>
          </w:tcPr>
          <w:p w14:paraId="1E741143" w14:textId="619187E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8.351</w:t>
            </w:r>
          </w:p>
        </w:tc>
        <w:tc>
          <w:tcPr>
            <w:tcW w:w="1097" w:type="dxa"/>
            <w:noWrap/>
            <w:vAlign w:val="center"/>
            <w:hideMark/>
          </w:tcPr>
          <w:p w14:paraId="65C6FA66" w14:textId="68461881"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11.965</w:t>
            </w:r>
          </w:p>
        </w:tc>
        <w:tc>
          <w:tcPr>
            <w:tcW w:w="956" w:type="dxa"/>
            <w:noWrap/>
            <w:vAlign w:val="center"/>
            <w:hideMark/>
          </w:tcPr>
          <w:p w14:paraId="1D810AB3" w14:textId="464D37F4"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3.795</w:t>
            </w:r>
          </w:p>
        </w:tc>
        <w:tc>
          <w:tcPr>
            <w:tcW w:w="1097" w:type="dxa"/>
            <w:noWrap/>
            <w:vAlign w:val="center"/>
            <w:hideMark/>
          </w:tcPr>
          <w:p w14:paraId="7A84413A" w14:textId="11D89107"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3.762</w:t>
            </w:r>
          </w:p>
        </w:tc>
        <w:tc>
          <w:tcPr>
            <w:tcW w:w="956" w:type="dxa"/>
            <w:noWrap/>
            <w:vAlign w:val="center"/>
            <w:hideMark/>
          </w:tcPr>
          <w:p w14:paraId="3EC743DC"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45%</w:t>
            </w:r>
          </w:p>
        </w:tc>
        <w:tc>
          <w:tcPr>
            <w:tcW w:w="1097" w:type="dxa"/>
            <w:noWrap/>
            <w:vAlign w:val="center"/>
            <w:hideMark/>
          </w:tcPr>
          <w:p w14:paraId="7D831713"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31%</w:t>
            </w:r>
          </w:p>
        </w:tc>
        <w:tc>
          <w:tcPr>
            <w:tcW w:w="941" w:type="dxa"/>
            <w:noWrap/>
            <w:vAlign w:val="center"/>
            <w:hideMark/>
          </w:tcPr>
          <w:p w14:paraId="29193109" w14:textId="0EA05446"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20.316</w:t>
            </w:r>
          </w:p>
        </w:tc>
        <w:tc>
          <w:tcPr>
            <w:tcW w:w="795" w:type="dxa"/>
            <w:noWrap/>
            <w:vAlign w:val="center"/>
            <w:hideMark/>
          </w:tcPr>
          <w:p w14:paraId="467AE6EF" w14:textId="3B9D1C1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7.557</w:t>
            </w:r>
          </w:p>
        </w:tc>
      </w:tr>
      <w:tr w:rsidR="00E62EF1" w:rsidRPr="002F26A9" w14:paraId="11485699"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5FF55398"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NARIÑO</w:t>
            </w:r>
          </w:p>
        </w:tc>
        <w:tc>
          <w:tcPr>
            <w:tcW w:w="956" w:type="dxa"/>
            <w:noWrap/>
            <w:vAlign w:val="center"/>
            <w:hideMark/>
          </w:tcPr>
          <w:p w14:paraId="6194D817" w14:textId="70A7D88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19.194</w:t>
            </w:r>
          </w:p>
        </w:tc>
        <w:tc>
          <w:tcPr>
            <w:tcW w:w="1097" w:type="dxa"/>
            <w:noWrap/>
            <w:vAlign w:val="center"/>
            <w:hideMark/>
          </w:tcPr>
          <w:p w14:paraId="2632DD72" w14:textId="5AACA7B0"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9.431</w:t>
            </w:r>
          </w:p>
        </w:tc>
        <w:tc>
          <w:tcPr>
            <w:tcW w:w="956" w:type="dxa"/>
            <w:noWrap/>
            <w:vAlign w:val="center"/>
            <w:hideMark/>
          </w:tcPr>
          <w:p w14:paraId="08663842" w14:textId="0DA06D9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16.517</w:t>
            </w:r>
          </w:p>
        </w:tc>
        <w:tc>
          <w:tcPr>
            <w:tcW w:w="1097" w:type="dxa"/>
            <w:noWrap/>
            <w:vAlign w:val="center"/>
            <w:hideMark/>
          </w:tcPr>
          <w:p w14:paraId="5488E749" w14:textId="5C183BB5"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5.044</w:t>
            </w:r>
          </w:p>
        </w:tc>
        <w:tc>
          <w:tcPr>
            <w:tcW w:w="956" w:type="dxa"/>
            <w:noWrap/>
            <w:vAlign w:val="center"/>
            <w:hideMark/>
          </w:tcPr>
          <w:p w14:paraId="231DB4E9"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86%</w:t>
            </w:r>
          </w:p>
        </w:tc>
        <w:tc>
          <w:tcPr>
            <w:tcW w:w="1097" w:type="dxa"/>
            <w:noWrap/>
            <w:vAlign w:val="center"/>
            <w:hideMark/>
          </w:tcPr>
          <w:p w14:paraId="45B21CDF"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53%</w:t>
            </w:r>
          </w:p>
        </w:tc>
        <w:tc>
          <w:tcPr>
            <w:tcW w:w="941" w:type="dxa"/>
            <w:noWrap/>
            <w:vAlign w:val="center"/>
            <w:hideMark/>
          </w:tcPr>
          <w:p w14:paraId="5D0A62C3" w14:textId="4A6617E0"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28.625</w:t>
            </w:r>
          </w:p>
        </w:tc>
        <w:tc>
          <w:tcPr>
            <w:tcW w:w="795" w:type="dxa"/>
            <w:noWrap/>
            <w:vAlign w:val="center"/>
            <w:hideMark/>
          </w:tcPr>
          <w:p w14:paraId="727BC52D" w14:textId="6379E8A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21.561</w:t>
            </w:r>
          </w:p>
        </w:tc>
      </w:tr>
      <w:tr w:rsidR="005B054D" w:rsidRPr="002F26A9" w14:paraId="3DA263F1"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1F2ED9D1"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NORTE DE SANTANDER</w:t>
            </w:r>
          </w:p>
        </w:tc>
        <w:tc>
          <w:tcPr>
            <w:tcW w:w="956" w:type="dxa"/>
            <w:noWrap/>
            <w:vAlign w:val="center"/>
            <w:hideMark/>
          </w:tcPr>
          <w:p w14:paraId="6366DD2C" w14:textId="7960DD41"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9.556</w:t>
            </w:r>
          </w:p>
        </w:tc>
        <w:tc>
          <w:tcPr>
            <w:tcW w:w="1097" w:type="dxa"/>
            <w:noWrap/>
            <w:vAlign w:val="center"/>
            <w:hideMark/>
          </w:tcPr>
          <w:p w14:paraId="7C3FCE4D" w14:textId="01FEBC5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9.678</w:t>
            </w:r>
          </w:p>
        </w:tc>
        <w:tc>
          <w:tcPr>
            <w:tcW w:w="956" w:type="dxa"/>
            <w:noWrap/>
            <w:vAlign w:val="center"/>
            <w:hideMark/>
          </w:tcPr>
          <w:p w14:paraId="36DA60B3" w14:textId="4013ACAA"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9.180</w:t>
            </w:r>
          </w:p>
        </w:tc>
        <w:tc>
          <w:tcPr>
            <w:tcW w:w="1097" w:type="dxa"/>
            <w:noWrap/>
            <w:vAlign w:val="center"/>
            <w:hideMark/>
          </w:tcPr>
          <w:p w14:paraId="72BC8F43" w14:textId="4F23D10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6.219</w:t>
            </w:r>
          </w:p>
        </w:tc>
        <w:tc>
          <w:tcPr>
            <w:tcW w:w="956" w:type="dxa"/>
            <w:noWrap/>
            <w:vAlign w:val="center"/>
            <w:hideMark/>
          </w:tcPr>
          <w:p w14:paraId="46D0EE2F"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96%</w:t>
            </w:r>
          </w:p>
        </w:tc>
        <w:tc>
          <w:tcPr>
            <w:tcW w:w="1097" w:type="dxa"/>
            <w:noWrap/>
            <w:vAlign w:val="center"/>
            <w:hideMark/>
          </w:tcPr>
          <w:p w14:paraId="584E49D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64%</w:t>
            </w:r>
          </w:p>
        </w:tc>
        <w:tc>
          <w:tcPr>
            <w:tcW w:w="941" w:type="dxa"/>
            <w:noWrap/>
            <w:vAlign w:val="center"/>
            <w:hideMark/>
          </w:tcPr>
          <w:p w14:paraId="4E73322A" w14:textId="1E4DA843"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19.234</w:t>
            </w:r>
          </w:p>
        </w:tc>
        <w:tc>
          <w:tcPr>
            <w:tcW w:w="795" w:type="dxa"/>
            <w:noWrap/>
            <w:vAlign w:val="center"/>
            <w:hideMark/>
          </w:tcPr>
          <w:p w14:paraId="34586188" w14:textId="7C6EFD7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15.399</w:t>
            </w:r>
          </w:p>
        </w:tc>
      </w:tr>
      <w:tr w:rsidR="00E62EF1" w:rsidRPr="002F26A9" w14:paraId="4B773116"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19E0DD9C"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QUINDIO</w:t>
            </w:r>
          </w:p>
        </w:tc>
        <w:tc>
          <w:tcPr>
            <w:tcW w:w="956" w:type="dxa"/>
            <w:noWrap/>
            <w:vAlign w:val="center"/>
            <w:hideMark/>
          </w:tcPr>
          <w:p w14:paraId="62A260F8" w14:textId="32EB85F5"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6.504</w:t>
            </w:r>
          </w:p>
        </w:tc>
        <w:tc>
          <w:tcPr>
            <w:tcW w:w="1097" w:type="dxa"/>
            <w:noWrap/>
            <w:vAlign w:val="center"/>
            <w:hideMark/>
          </w:tcPr>
          <w:p w14:paraId="0A6EE5E2" w14:textId="6A555F0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5.392</w:t>
            </w:r>
          </w:p>
        </w:tc>
        <w:tc>
          <w:tcPr>
            <w:tcW w:w="956" w:type="dxa"/>
            <w:noWrap/>
            <w:vAlign w:val="center"/>
            <w:hideMark/>
          </w:tcPr>
          <w:p w14:paraId="5B75D622" w14:textId="150F768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5.048</w:t>
            </w:r>
          </w:p>
        </w:tc>
        <w:tc>
          <w:tcPr>
            <w:tcW w:w="1097" w:type="dxa"/>
            <w:noWrap/>
            <w:vAlign w:val="center"/>
            <w:hideMark/>
          </w:tcPr>
          <w:p w14:paraId="52A4B7AF" w14:textId="7F4CC815"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1.118</w:t>
            </w:r>
          </w:p>
        </w:tc>
        <w:tc>
          <w:tcPr>
            <w:tcW w:w="956" w:type="dxa"/>
            <w:noWrap/>
            <w:vAlign w:val="center"/>
            <w:hideMark/>
          </w:tcPr>
          <w:p w14:paraId="14278C8B"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78%</w:t>
            </w:r>
          </w:p>
        </w:tc>
        <w:tc>
          <w:tcPr>
            <w:tcW w:w="1097" w:type="dxa"/>
            <w:noWrap/>
            <w:vAlign w:val="center"/>
            <w:hideMark/>
          </w:tcPr>
          <w:p w14:paraId="4C476D6A"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21%</w:t>
            </w:r>
          </w:p>
        </w:tc>
        <w:tc>
          <w:tcPr>
            <w:tcW w:w="941" w:type="dxa"/>
            <w:noWrap/>
            <w:vAlign w:val="center"/>
            <w:hideMark/>
          </w:tcPr>
          <w:p w14:paraId="6B3D48D5" w14:textId="7732BA7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11.896</w:t>
            </w:r>
          </w:p>
        </w:tc>
        <w:tc>
          <w:tcPr>
            <w:tcW w:w="795" w:type="dxa"/>
            <w:noWrap/>
            <w:vAlign w:val="center"/>
            <w:hideMark/>
          </w:tcPr>
          <w:p w14:paraId="291FFE9A" w14:textId="65937DF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6.166</w:t>
            </w:r>
          </w:p>
        </w:tc>
      </w:tr>
      <w:tr w:rsidR="005B054D" w:rsidRPr="002F26A9" w14:paraId="6F107DCB"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36A2FC59"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RISARALDA</w:t>
            </w:r>
          </w:p>
        </w:tc>
        <w:tc>
          <w:tcPr>
            <w:tcW w:w="956" w:type="dxa"/>
            <w:noWrap/>
            <w:vAlign w:val="center"/>
            <w:hideMark/>
          </w:tcPr>
          <w:p w14:paraId="25B7B6A1" w14:textId="62542F36"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14.324</w:t>
            </w:r>
          </w:p>
        </w:tc>
        <w:tc>
          <w:tcPr>
            <w:tcW w:w="1097" w:type="dxa"/>
            <w:noWrap/>
            <w:vAlign w:val="center"/>
            <w:hideMark/>
          </w:tcPr>
          <w:p w14:paraId="13E5FF3B" w14:textId="7B3A37E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4.506</w:t>
            </w:r>
          </w:p>
        </w:tc>
        <w:tc>
          <w:tcPr>
            <w:tcW w:w="956" w:type="dxa"/>
            <w:noWrap/>
            <w:vAlign w:val="center"/>
            <w:hideMark/>
          </w:tcPr>
          <w:p w14:paraId="797D2B82" w14:textId="76919CD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14.681</w:t>
            </w:r>
          </w:p>
        </w:tc>
        <w:tc>
          <w:tcPr>
            <w:tcW w:w="1097" w:type="dxa"/>
            <w:noWrap/>
            <w:vAlign w:val="center"/>
            <w:hideMark/>
          </w:tcPr>
          <w:p w14:paraId="51FB1974" w14:textId="21FB5F1F"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2.395</w:t>
            </w:r>
          </w:p>
        </w:tc>
        <w:tc>
          <w:tcPr>
            <w:tcW w:w="956" w:type="dxa"/>
            <w:noWrap/>
            <w:vAlign w:val="center"/>
            <w:hideMark/>
          </w:tcPr>
          <w:p w14:paraId="290C6177"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102%</w:t>
            </w:r>
          </w:p>
        </w:tc>
        <w:tc>
          <w:tcPr>
            <w:tcW w:w="1097" w:type="dxa"/>
            <w:noWrap/>
            <w:vAlign w:val="center"/>
            <w:hideMark/>
          </w:tcPr>
          <w:p w14:paraId="5B03E267"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53%</w:t>
            </w:r>
          </w:p>
        </w:tc>
        <w:tc>
          <w:tcPr>
            <w:tcW w:w="941" w:type="dxa"/>
            <w:noWrap/>
            <w:vAlign w:val="center"/>
            <w:hideMark/>
          </w:tcPr>
          <w:p w14:paraId="3F1170E5" w14:textId="11D15FA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18.830</w:t>
            </w:r>
          </w:p>
        </w:tc>
        <w:tc>
          <w:tcPr>
            <w:tcW w:w="795" w:type="dxa"/>
            <w:noWrap/>
            <w:vAlign w:val="center"/>
            <w:hideMark/>
          </w:tcPr>
          <w:p w14:paraId="1B24D51D" w14:textId="4EE5D622"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17.076</w:t>
            </w:r>
          </w:p>
        </w:tc>
      </w:tr>
      <w:tr w:rsidR="00E62EF1" w:rsidRPr="002F26A9" w14:paraId="6195D73D"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66B6C0CA"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SANTANDER</w:t>
            </w:r>
          </w:p>
        </w:tc>
        <w:tc>
          <w:tcPr>
            <w:tcW w:w="956" w:type="dxa"/>
            <w:noWrap/>
            <w:vAlign w:val="center"/>
            <w:hideMark/>
          </w:tcPr>
          <w:p w14:paraId="0C0F02E4" w14:textId="0993DC0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21.982</w:t>
            </w:r>
          </w:p>
        </w:tc>
        <w:tc>
          <w:tcPr>
            <w:tcW w:w="1097" w:type="dxa"/>
            <w:noWrap/>
            <w:vAlign w:val="center"/>
            <w:hideMark/>
          </w:tcPr>
          <w:p w14:paraId="36EEA1D2" w14:textId="38C2CBC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15.660</w:t>
            </w:r>
          </w:p>
        </w:tc>
        <w:tc>
          <w:tcPr>
            <w:tcW w:w="956" w:type="dxa"/>
            <w:noWrap/>
            <w:vAlign w:val="center"/>
            <w:hideMark/>
          </w:tcPr>
          <w:p w14:paraId="7BC2C994" w14:textId="4560F32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10.598</w:t>
            </w:r>
          </w:p>
        </w:tc>
        <w:tc>
          <w:tcPr>
            <w:tcW w:w="1097" w:type="dxa"/>
            <w:noWrap/>
            <w:vAlign w:val="center"/>
            <w:hideMark/>
          </w:tcPr>
          <w:p w14:paraId="7ABC403A" w14:textId="02059D77"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1.289</w:t>
            </w:r>
          </w:p>
        </w:tc>
        <w:tc>
          <w:tcPr>
            <w:tcW w:w="956" w:type="dxa"/>
            <w:noWrap/>
            <w:vAlign w:val="center"/>
            <w:hideMark/>
          </w:tcPr>
          <w:p w14:paraId="22F8EEE1"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48%</w:t>
            </w:r>
          </w:p>
        </w:tc>
        <w:tc>
          <w:tcPr>
            <w:tcW w:w="1097" w:type="dxa"/>
            <w:noWrap/>
            <w:vAlign w:val="center"/>
            <w:hideMark/>
          </w:tcPr>
          <w:p w14:paraId="42F0E051"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w:t>
            </w:r>
          </w:p>
        </w:tc>
        <w:tc>
          <w:tcPr>
            <w:tcW w:w="941" w:type="dxa"/>
            <w:noWrap/>
            <w:vAlign w:val="center"/>
            <w:hideMark/>
          </w:tcPr>
          <w:p w14:paraId="2DDA4E35" w14:textId="776724EF"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37.642</w:t>
            </w:r>
          </w:p>
        </w:tc>
        <w:tc>
          <w:tcPr>
            <w:tcW w:w="795" w:type="dxa"/>
            <w:noWrap/>
            <w:vAlign w:val="center"/>
            <w:hideMark/>
          </w:tcPr>
          <w:p w14:paraId="2AF7055F" w14:textId="5612C79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11.887</w:t>
            </w:r>
          </w:p>
        </w:tc>
      </w:tr>
      <w:tr w:rsidR="005B054D" w:rsidRPr="002F26A9" w14:paraId="7509DC6D"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4C6F352C"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SUCRE</w:t>
            </w:r>
          </w:p>
        </w:tc>
        <w:tc>
          <w:tcPr>
            <w:tcW w:w="956" w:type="dxa"/>
            <w:noWrap/>
            <w:vAlign w:val="center"/>
            <w:hideMark/>
          </w:tcPr>
          <w:p w14:paraId="6157B60B" w14:textId="5E2B2BDD"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5.789</w:t>
            </w:r>
          </w:p>
        </w:tc>
        <w:tc>
          <w:tcPr>
            <w:tcW w:w="1097" w:type="dxa"/>
            <w:noWrap/>
            <w:vAlign w:val="center"/>
            <w:hideMark/>
          </w:tcPr>
          <w:p w14:paraId="7CEFB4C3" w14:textId="33DBF9E8"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4.939</w:t>
            </w:r>
          </w:p>
        </w:tc>
        <w:tc>
          <w:tcPr>
            <w:tcW w:w="956" w:type="dxa"/>
            <w:noWrap/>
            <w:vAlign w:val="center"/>
            <w:hideMark/>
          </w:tcPr>
          <w:p w14:paraId="12F684D8" w14:textId="70E4CEDF"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5.910</w:t>
            </w:r>
          </w:p>
        </w:tc>
        <w:tc>
          <w:tcPr>
            <w:tcW w:w="1097" w:type="dxa"/>
            <w:noWrap/>
            <w:vAlign w:val="center"/>
            <w:hideMark/>
          </w:tcPr>
          <w:p w14:paraId="16530A71" w14:textId="20E8C8C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2.338</w:t>
            </w:r>
          </w:p>
        </w:tc>
        <w:tc>
          <w:tcPr>
            <w:tcW w:w="956" w:type="dxa"/>
            <w:noWrap/>
            <w:vAlign w:val="center"/>
            <w:hideMark/>
          </w:tcPr>
          <w:p w14:paraId="0AC45ED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102%</w:t>
            </w:r>
          </w:p>
        </w:tc>
        <w:tc>
          <w:tcPr>
            <w:tcW w:w="1097" w:type="dxa"/>
            <w:noWrap/>
            <w:vAlign w:val="center"/>
            <w:hideMark/>
          </w:tcPr>
          <w:p w14:paraId="2A76B353"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47%</w:t>
            </w:r>
          </w:p>
        </w:tc>
        <w:tc>
          <w:tcPr>
            <w:tcW w:w="941" w:type="dxa"/>
            <w:noWrap/>
            <w:vAlign w:val="center"/>
            <w:hideMark/>
          </w:tcPr>
          <w:p w14:paraId="26CA357F" w14:textId="0B19F0D9"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10.728</w:t>
            </w:r>
          </w:p>
        </w:tc>
        <w:tc>
          <w:tcPr>
            <w:tcW w:w="795" w:type="dxa"/>
            <w:noWrap/>
            <w:vAlign w:val="center"/>
            <w:hideMark/>
          </w:tcPr>
          <w:p w14:paraId="36730169" w14:textId="0E4E0409"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8.248</w:t>
            </w:r>
          </w:p>
        </w:tc>
      </w:tr>
      <w:tr w:rsidR="00E62EF1" w:rsidRPr="002F26A9" w14:paraId="39FA6725"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165A4626"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TOLIMA</w:t>
            </w:r>
          </w:p>
        </w:tc>
        <w:tc>
          <w:tcPr>
            <w:tcW w:w="956" w:type="dxa"/>
            <w:noWrap/>
            <w:vAlign w:val="center"/>
            <w:hideMark/>
          </w:tcPr>
          <w:p w14:paraId="2041DFB9" w14:textId="77491004"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16.668</w:t>
            </w:r>
          </w:p>
        </w:tc>
        <w:tc>
          <w:tcPr>
            <w:tcW w:w="1097" w:type="dxa"/>
            <w:noWrap/>
            <w:vAlign w:val="center"/>
            <w:hideMark/>
          </w:tcPr>
          <w:p w14:paraId="1A306D5D" w14:textId="7AFA7ACB"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22.254</w:t>
            </w:r>
          </w:p>
        </w:tc>
        <w:tc>
          <w:tcPr>
            <w:tcW w:w="956" w:type="dxa"/>
            <w:noWrap/>
            <w:vAlign w:val="center"/>
            <w:hideMark/>
          </w:tcPr>
          <w:p w14:paraId="4EE04241" w14:textId="6E4131A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14.363</w:t>
            </w:r>
          </w:p>
        </w:tc>
        <w:tc>
          <w:tcPr>
            <w:tcW w:w="1097" w:type="dxa"/>
            <w:noWrap/>
            <w:vAlign w:val="center"/>
            <w:hideMark/>
          </w:tcPr>
          <w:p w14:paraId="0C5A9DAB" w14:textId="00A65782"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11.525</w:t>
            </w:r>
          </w:p>
        </w:tc>
        <w:tc>
          <w:tcPr>
            <w:tcW w:w="956" w:type="dxa"/>
            <w:noWrap/>
            <w:vAlign w:val="center"/>
            <w:hideMark/>
          </w:tcPr>
          <w:p w14:paraId="0B5F6BBC"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86%</w:t>
            </w:r>
          </w:p>
        </w:tc>
        <w:tc>
          <w:tcPr>
            <w:tcW w:w="1097" w:type="dxa"/>
            <w:noWrap/>
            <w:vAlign w:val="center"/>
            <w:hideMark/>
          </w:tcPr>
          <w:p w14:paraId="66B4D121"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52%</w:t>
            </w:r>
          </w:p>
        </w:tc>
        <w:tc>
          <w:tcPr>
            <w:tcW w:w="941" w:type="dxa"/>
            <w:noWrap/>
            <w:vAlign w:val="center"/>
            <w:hideMark/>
          </w:tcPr>
          <w:p w14:paraId="41C7C3EB" w14:textId="281D1877"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38.922</w:t>
            </w:r>
          </w:p>
        </w:tc>
        <w:tc>
          <w:tcPr>
            <w:tcW w:w="795" w:type="dxa"/>
            <w:noWrap/>
            <w:vAlign w:val="center"/>
            <w:hideMark/>
          </w:tcPr>
          <w:p w14:paraId="27B3DB8D" w14:textId="15FC2F36"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25.888</w:t>
            </w:r>
          </w:p>
        </w:tc>
      </w:tr>
      <w:tr w:rsidR="005B054D" w:rsidRPr="002F26A9" w14:paraId="037B168B"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5653D5C0"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lastRenderedPageBreak/>
              <w:t>VALLE DEL CAUCA</w:t>
            </w:r>
          </w:p>
        </w:tc>
        <w:tc>
          <w:tcPr>
            <w:tcW w:w="956" w:type="dxa"/>
            <w:noWrap/>
            <w:vAlign w:val="center"/>
            <w:hideMark/>
          </w:tcPr>
          <w:p w14:paraId="693C0263" w14:textId="1CB0CB15"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b/>
                <w:bCs/>
                <w:color w:val="000000"/>
                <w:sz w:val="16"/>
                <w:szCs w:val="16"/>
              </w:rPr>
              <w:t>17.588</w:t>
            </w:r>
          </w:p>
        </w:tc>
        <w:tc>
          <w:tcPr>
            <w:tcW w:w="1097" w:type="dxa"/>
            <w:noWrap/>
            <w:vAlign w:val="center"/>
            <w:hideMark/>
          </w:tcPr>
          <w:p w14:paraId="3E346F6D" w14:textId="4E3AF883"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8.263</w:t>
            </w:r>
          </w:p>
        </w:tc>
        <w:tc>
          <w:tcPr>
            <w:tcW w:w="956" w:type="dxa"/>
            <w:noWrap/>
            <w:vAlign w:val="center"/>
            <w:hideMark/>
          </w:tcPr>
          <w:p w14:paraId="7CA36BCE" w14:textId="4523798C"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17.857</w:t>
            </w:r>
          </w:p>
        </w:tc>
        <w:tc>
          <w:tcPr>
            <w:tcW w:w="1097" w:type="dxa"/>
            <w:noWrap/>
            <w:vAlign w:val="center"/>
            <w:hideMark/>
          </w:tcPr>
          <w:p w14:paraId="246BBB6B" w14:textId="3C80250B"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1.780</w:t>
            </w:r>
          </w:p>
        </w:tc>
        <w:tc>
          <w:tcPr>
            <w:tcW w:w="956" w:type="dxa"/>
            <w:noWrap/>
            <w:vAlign w:val="center"/>
            <w:hideMark/>
          </w:tcPr>
          <w:p w14:paraId="5401BBD5"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102%</w:t>
            </w:r>
          </w:p>
        </w:tc>
        <w:tc>
          <w:tcPr>
            <w:tcW w:w="1097" w:type="dxa"/>
            <w:noWrap/>
            <w:vAlign w:val="center"/>
            <w:hideMark/>
          </w:tcPr>
          <w:p w14:paraId="618FAA8D"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22%</w:t>
            </w:r>
          </w:p>
        </w:tc>
        <w:tc>
          <w:tcPr>
            <w:tcW w:w="941" w:type="dxa"/>
            <w:noWrap/>
            <w:vAlign w:val="center"/>
            <w:hideMark/>
          </w:tcPr>
          <w:p w14:paraId="5F8ECAB2" w14:textId="2241CD36"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25.851</w:t>
            </w:r>
          </w:p>
        </w:tc>
        <w:tc>
          <w:tcPr>
            <w:tcW w:w="795" w:type="dxa"/>
            <w:noWrap/>
            <w:vAlign w:val="center"/>
            <w:hideMark/>
          </w:tcPr>
          <w:p w14:paraId="040308F3" w14:textId="5DAD462E" w:rsidR="00E62EF1" w:rsidRPr="005A51DE" w:rsidRDefault="001E1944"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Pr>
                <w:rFonts w:cs="Arial"/>
                <w:color w:val="000000"/>
                <w:sz w:val="16"/>
                <w:szCs w:val="16"/>
              </w:rPr>
              <w:t>19.637</w:t>
            </w:r>
          </w:p>
        </w:tc>
      </w:tr>
      <w:tr w:rsidR="00E62EF1" w:rsidRPr="002F26A9" w14:paraId="28E33E0B" w14:textId="77777777" w:rsidTr="006E668D">
        <w:trPr>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241C71D1" w14:textId="77777777" w:rsidR="00E62EF1" w:rsidRPr="005A51DE" w:rsidRDefault="00E62EF1" w:rsidP="005A51DE">
            <w:pPr>
              <w:suppressAutoHyphens w:val="0"/>
              <w:jc w:val="center"/>
              <w:rPr>
                <w:rFonts w:cs="Arial"/>
                <w:color w:val="000000"/>
                <w:sz w:val="16"/>
                <w:szCs w:val="16"/>
                <w:lang w:val="es-CO" w:eastAsia="es-CO"/>
              </w:rPr>
            </w:pPr>
            <w:r w:rsidRPr="005A51DE">
              <w:rPr>
                <w:rFonts w:cs="Arial"/>
                <w:color w:val="000000"/>
                <w:sz w:val="16"/>
                <w:szCs w:val="16"/>
                <w:lang w:val="es-CO" w:eastAsia="es-CO"/>
              </w:rPr>
              <w:t>SEDE CENTRAL</w:t>
            </w:r>
          </w:p>
        </w:tc>
        <w:tc>
          <w:tcPr>
            <w:tcW w:w="956" w:type="dxa"/>
            <w:noWrap/>
            <w:vAlign w:val="center"/>
            <w:hideMark/>
          </w:tcPr>
          <w:p w14:paraId="724735EA" w14:textId="09C1F82B"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color w:val="000000"/>
                <w:sz w:val="20"/>
                <w:szCs w:val="20"/>
              </w:rPr>
              <w:t> </w:t>
            </w:r>
          </w:p>
        </w:tc>
        <w:tc>
          <w:tcPr>
            <w:tcW w:w="1097" w:type="dxa"/>
            <w:noWrap/>
            <w:vAlign w:val="center"/>
            <w:hideMark/>
          </w:tcPr>
          <w:p w14:paraId="30EC4DCA" w14:textId="715A433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color w:val="000000"/>
                <w:sz w:val="20"/>
                <w:szCs w:val="20"/>
              </w:rPr>
              <w:t> </w:t>
            </w:r>
          </w:p>
        </w:tc>
        <w:tc>
          <w:tcPr>
            <w:tcW w:w="956" w:type="dxa"/>
            <w:noWrap/>
            <w:vAlign w:val="center"/>
            <w:hideMark/>
          </w:tcPr>
          <w:p w14:paraId="74711AEB" w14:textId="59FEE589"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19.266</w:t>
            </w:r>
          </w:p>
        </w:tc>
        <w:tc>
          <w:tcPr>
            <w:tcW w:w="1097" w:type="dxa"/>
            <w:noWrap/>
            <w:vAlign w:val="center"/>
            <w:hideMark/>
          </w:tcPr>
          <w:p w14:paraId="32228FB9" w14:textId="22B8A5B8"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color w:val="000000"/>
                <w:sz w:val="20"/>
                <w:szCs w:val="20"/>
              </w:rPr>
              <w:t> </w:t>
            </w:r>
          </w:p>
        </w:tc>
        <w:tc>
          <w:tcPr>
            <w:tcW w:w="956" w:type="dxa"/>
            <w:noWrap/>
            <w:vAlign w:val="center"/>
            <w:hideMark/>
          </w:tcPr>
          <w:p w14:paraId="72F08AD7" w14:textId="20BA3B5E"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color w:val="000000"/>
                <w:sz w:val="20"/>
                <w:szCs w:val="20"/>
              </w:rPr>
              <w:t> </w:t>
            </w:r>
          </w:p>
        </w:tc>
        <w:tc>
          <w:tcPr>
            <w:tcW w:w="1097" w:type="dxa"/>
            <w:noWrap/>
            <w:vAlign w:val="center"/>
            <w:hideMark/>
          </w:tcPr>
          <w:p w14:paraId="110B43C2" w14:textId="23844F7B"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color w:val="000000"/>
                <w:sz w:val="20"/>
                <w:szCs w:val="20"/>
              </w:rPr>
              <w:t> </w:t>
            </w:r>
          </w:p>
        </w:tc>
        <w:tc>
          <w:tcPr>
            <w:tcW w:w="941" w:type="dxa"/>
            <w:noWrap/>
            <w:vAlign w:val="center"/>
            <w:hideMark/>
          </w:tcPr>
          <w:p w14:paraId="78332172" w14:textId="77777777" w:rsidR="00E62EF1" w:rsidRPr="005A51DE" w:rsidRDefault="00E62EF1"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0</w:t>
            </w:r>
          </w:p>
        </w:tc>
        <w:tc>
          <w:tcPr>
            <w:tcW w:w="795" w:type="dxa"/>
            <w:noWrap/>
            <w:vAlign w:val="center"/>
            <w:hideMark/>
          </w:tcPr>
          <w:p w14:paraId="5C97068D" w14:textId="6C9295AD" w:rsidR="00E62EF1" w:rsidRPr="005A51DE" w:rsidRDefault="001E1944" w:rsidP="005A51DE">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Pr>
                <w:rFonts w:cs="Arial"/>
                <w:color w:val="000000"/>
                <w:sz w:val="16"/>
                <w:szCs w:val="16"/>
              </w:rPr>
              <w:t>19.266</w:t>
            </w:r>
          </w:p>
        </w:tc>
      </w:tr>
      <w:tr w:rsidR="005B054D" w:rsidRPr="002F26A9" w14:paraId="73758BFD" w14:textId="77777777" w:rsidTr="006E668D">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1831" w:type="dxa"/>
            <w:noWrap/>
            <w:vAlign w:val="center"/>
            <w:hideMark/>
          </w:tcPr>
          <w:p w14:paraId="30CFF846" w14:textId="77777777" w:rsidR="00E62EF1" w:rsidRPr="005A51DE" w:rsidRDefault="00E62EF1" w:rsidP="005A51DE">
            <w:pPr>
              <w:suppressAutoHyphens w:val="0"/>
              <w:jc w:val="center"/>
              <w:rPr>
                <w:rFonts w:cs="Arial"/>
                <w:b w:val="0"/>
                <w:color w:val="000000"/>
                <w:sz w:val="16"/>
                <w:szCs w:val="16"/>
                <w:lang w:val="es-CO" w:eastAsia="es-CO"/>
              </w:rPr>
            </w:pPr>
            <w:r w:rsidRPr="005A51DE">
              <w:rPr>
                <w:rFonts w:cs="Arial"/>
                <w:color w:val="000000"/>
                <w:sz w:val="16"/>
                <w:szCs w:val="16"/>
                <w:lang w:val="es-CO" w:eastAsia="es-CO"/>
              </w:rPr>
              <w:t>Total</w:t>
            </w:r>
          </w:p>
        </w:tc>
        <w:tc>
          <w:tcPr>
            <w:tcW w:w="956" w:type="dxa"/>
            <w:noWrap/>
            <w:vAlign w:val="center"/>
            <w:hideMark/>
          </w:tcPr>
          <w:p w14:paraId="35746BD3"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223.611</w:t>
            </w:r>
          </w:p>
        </w:tc>
        <w:tc>
          <w:tcPr>
            <w:tcW w:w="1097" w:type="dxa"/>
            <w:noWrap/>
            <w:vAlign w:val="center"/>
            <w:hideMark/>
          </w:tcPr>
          <w:p w14:paraId="4E5941B0"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224.602</w:t>
            </w:r>
          </w:p>
        </w:tc>
        <w:tc>
          <w:tcPr>
            <w:tcW w:w="956" w:type="dxa"/>
            <w:noWrap/>
            <w:vAlign w:val="center"/>
            <w:hideMark/>
          </w:tcPr>
          <w:p w14:paraId="5139D414"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233.157</w:t>
            </w:r>
          </w:p>
        </w:tc>
        <w:tc>
          <w:tcPr>
            <w:tcW w:w="1097" w:type="dxa"/>
            <w:noWrap/>
            <w:vAlign w:val="center"/>
            <w:hideMark/>
          </w:tcPr>
          <w:p w14:paraId="3289E69F"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80.814</w:t>
            </w:r>
          </w:p>
        </w:tc>
        <w:tc>
          <w:tcPr>
            <w:tcW w:w="956" w:type="dxa"/>
            <w:noWrap/>
            <w:vAlign w:val="center"/>
            <w:hideMark/>
          </w:tcPr>
          <w:p w14:paraId="6F61360E"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104%</w:t>
            </w:r>
          </w:p>
        </w:tc>
        <w:tc>
          <w:tcPr>
            <w:tcW w:w="1097" w:type="dxa"/>
            <w:noWrap/>
            <w:vAlign w:val="center"/>
            <w:hideMark/>
          </w:tcPr>
          <w:p w14:paraId="7F639E2F"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36%</w:t>
            </w:r>
          </w:p>
        </w:tc>
        <w:tc>
          <w:tcPr>
            <w:tcW w:w="941" w:type="dxa"/>
            <w:noWrap/>
            <w:vAlign w:val="center"/>
            <w:hideMark/>
          </w:tcPr>
          <w:p w14:paraId="2BB86EE1" w14:textId="77777777" w:rsidR="00E62EF1" w:rsidRPr="005A51DE" w:rsidRDefault="00E62EF1" w:rsidP="005A51DE">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448.213</w:t>
            </w:r>
          </w:p>
        </w:tc>
        <w:tc>
          <w:tcPr>
            <w:tcW w:w="795" w:type="dxa"/>
            <w:noWrap/>
            <w:vAlign w:val="center"/>
            <w:hideMark/>
          </w:tcPr>
          <w:p w14:paraId="5D8286AD" w14:textId="77777777" w:rsidR="00E62EF1" w:rsidRPr="005A51DE" w:rsidRDefault="00E62EF1"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color w:val="000000"/>
                <w:sz w:val="16"/>
                <w:szCs w:val="16"/>
                <w:lang w:val="es-CO" w:eastAsia="es-CO"/>
              </w:rPr>
            </w:pPr>
            <w:r>
              <w:rPr>
                <w:rFonts w:cs="Arial"/>
                <w:b/>
                <w:color w:val="000000"/>
                <w:sz w:val="16"/>
                <w:szCs w:val="16"/>
              </w:rPr>
              <w:t>313.971</w:t>
            </w:r>
          </w:p>
        </w:tc>
      </w:tr>
    </w:tbl>
    <w:p w14:paraId="4DEE282D" w14:textId="77777777" w:rsidR="00E62EF1" w:rsidRPr="00D95C8E" w:rsidRDefault="00E62EF1" w:rsidP="00E729F7">
      <w:pPr>
        <w:jc w:val="center"/>
        <w:rPr>
          <w:rFonts w:cs="Arial"/>
          <w:b/>
          <w:bCs/>
          <w:sz w:val="16"/>
          <w:szCs w:val="16"/>
        </w:rPr>
      </w:pPr>
      <w:r w:rsidRPr="00D95C8E">
        <w:rPr>
          <w:rFonts w:cs="Arial"/>
          <w:b/>
          <w:bCs/>
          <w:sz w:val="16"/>
          <w:szCs w:val="16"/>
        </w:rPr>
        <w:t>Fuente: Dirección de Gestión Catastral</w:t>
      </w:r>
    </w:p>
    <w:p w14:paraId="44882D13" w14:textId="77777777" w:rsidR="00E62EF1" w:rsidRDefault="00E62EF1" w:rsidP="00E729F7">
      <w:pPr>
        <w:jc w:val="both"/>
        <w:rPr>
          <w:rFonts w:cs="Arial"/>
          <w:sz w:val="22"/>
          <w:szCs w:val="22"/>
        </w:rPr>
      </w:pPr>
    </w:p>
    <w:p w14:paraId="271CE175" w14:textId="091AAD72" w:rsidR="006E668D" w:rsidRPr="00F8391A" w:rsidRDefault="00E62EF1" w:rsidP="00E729F7">
      <w:pPr>
        <w:jc w:val="both"/>
        <w:rPr>
          <w:rFonts w:cs="Arial"/>
          <w:sz w:val="22"/>
          <w:szCs w:val="22"/>
        </w:rPr>
      </w:pPr>
      <w:r w:rsidRPr="00762374">
        <w:rPr>
          <w:rFonts w:cs="Arial"/>
          <w:sz w:val="22"/>
          <w:szCs w:val="22"/>
        </w:rPr>
        <w:t xml:space="preserve">Como parte de las acciones para contribuir al cumplimiento de la meta de conservación establecida para la actual vigencia, se vienen adelantado los siguientes </w:t>
      </w:r>
      <w:r w:rsidR="00F8391A">
        <w:rPr>
          <w:rFonts w:cs="Arial"/>
          <w:sz w:val="22"/>
          <w:szCs w:val="22"/>
        </w:rPr>
        <w:t>contratos interadministrativos:</w:t>
      </w:r>
    </w:p>
    <w:p w14:paraId="1C39205C" w14:textId="77777777" w:rsidR="00540AEF" w:rsidRPr="00B13E7A" w:rsidRDefault="00540AEF" w:rsidP="00E729F7">
      <w:pPr>
        <w:jc w:val="both"/>
        <w:rPr>
          <w:rFonts w:cs="Arial"/>
          <w:sz w:val="28"/>
          <w:szCs w:val="28"/>
        </w:rPr>
      </w:pPr>
    </w:p>
    <w:p w14:paraId="6CA85BD1" w14:textId="0B24E685" w:rsidR="009B21D5" w:rsidRPr="00540AEF" w:rsidRDefault="00E62EF1" w:rsidP="00E62EF1">
      <w:pPr>
        <w:pStyle w:val="Descripcin"/>
        <w:jc w:val="center"/>
        <w:rPr>
          <w:rFonts w:ascii="Arial" w:hAnsi="Arial" w:cs="Arial"/>
          <w:b/>
          <w:i w:val="0"/>
          <w:color w:val="000000" w:themeColor="text1"/>
          <w:sz w:val="16"/>
        </w:rPr>
      </w:pPr>
      <w:bookmarkStart w:id="40" w:name="_Toc88677084"/>
      <w:r w:rsidRPr="00540AEF">
        <w:rPr>
          <w:rFonts w:ascii="Arial" w:hAnsi="Arial" w:cs="Arial"/>
          <w:b/>
          <w:i w:val="0"/>
          <w:color w:val="000000" w:themeColor="text1"/>
          <w:sz w:val="16"/>
        </w:rPr>
        <w:t xml:space="preserve">Tabla </w:t>
      </w:r>
      <w:r w:rsidRPr="00540AEF">
        <w:rPr>
          <w:rFonts w:ascii="Arial" w:hAnsi="Arial" w:cs="Arial"/>
          <w:b/>
          <w:i w:val="0"/>
          <w:color w:val="000000" w:themeColor="text1"/>
          <w:sz w:val="16"/>
        </w:rPr>
        <w:fldChar w:fldCharType="begin"/>
      </w:r>
      <w:r w:rsidRPr="00540AEF">
        <w:rPr>
          <w:rFonts w:ascii="Arial" w:hAnsi="Arial" w:cs="Arial"/>
          <w:b/>
          <w:i w:val="0"/>
          <w:color w:val="000000" w:themeColor="text1"/>
          <w:sz w:val="16"/>
        </w:rPr>
        <w:instrText xml:space="preserve"> SEQ Tabla \* ARABIC </w:instrText>
      </w:r>
      <w:r w:rsidRPr="00540AEF">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12</w:t>
      </w:r>
      <w:r w:rsidRPr="00540AEF">
        <w:rPr>
          <w:rFonts w:ascii="Arial" w:hAnsi="Arial" w:cs="Arial"/>
          <w:b/>
          <w:i w:val="0"/>
          <w:color w:val="000000" w:themeColor="text1"/>
          <w:sz w:val="16"/>
        </w:rPr>
        <w:fldChar w:fldCharType="end"/>
      </w:r>
      <w:r w:rsidRPr="00540AEF">
        <w:rPr>
          <w:rFonts w:ascii="Arial" w:hAnsi="Arial" w:cs="Arial"/>
          <w:b/>
          <w:i w:val="0"/>
          <w:color w:val="000000" w:themeColor="text1"/>
          <w:sz w:val="16"/>
        </w:rPr>
        <w:t>. Procesos de conservación catastral-contratos Interadministrativos corte a octubre 2021</w:t>
      </w:r>
      <w:bookmarkEnd w:id="40"/>
    </w:p>
    <w:tbl>
      <w:tblPr>
        <w:tblStyle w:val="Tabladecuadrcula4-nfasis1"/>
        <w:tblpPr w:leftFromText="141" w:rightFromText="141" w:vertAnchor="text" w:horzAnchor="margin" w:tblpXSpec="center" w:tblpY="189"/>
        <w:tblW w:w="7404" w:type="dxa"/>
        <w:tblLook w:val="04A0" w:firstRow="1" w:lastRow="0" w:firstColumn="1" w:lastColumn="0" w:noHBand="0" w:noVBand="1"/>
      </w:tblPr>
      <w:tblGrid>
        <w:gridCol w:w="3135"/>
        <w:gridCol w:w="4269"/>
      </w:tblGrid>
      <w:tr w:rsidR="008A578B" w:rsidRPr="004C6640" w14:paraId="06856920" w14:textId="77777777" w:rsidTr="006E668D">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7B3304BF" w14:textId="77777777" w:rsidR="008A578B" w:rsidRPr="00445391" w:rsidRDefault="008A578B" w:rsidP="00A6302C">
            <w:pPr>
              <w:suppressAutoHyphens w:val="0"/>
              <w:jc w:val="center"/>
              <w:rPr>
                <w:rFonts w:cs="Arial"/>
                <w:b w:val="0"/>
                <w:bCs w:val="0"/>
                <w:sz w:val="20"/>
                <w:szCs w:val="20"/>
                <w:lang w:val="es-CO" w:eastAsia="es-CO"/>
              </w:rPr>
            </w:pPr>
            <w:bookmarkStart w:id="41" w:name="_Hlk88635753"/>
            <w:r w:rsidRPr="00445391">
              <w:rPr>
                <w:rFonts w:cs="Arial"/>
                <w:sz w:val="20"/>
                <w:szCs w:val="20"/>
                <w:lang w:eastAsia="es-CO"/>
              </w:rPr>
              <w:t>Departamento</w:t>
            </w:r>
          </w:p>
        </w:tc>
        <w:tc>
          <w:tcPr>
            <w:tcW w:w="4269" w:type="dxa"/>
            <w:vAlign w:val="center"/>
            <w:hideMark/>
          </w:tcPr>
          <w:p w14:paraId="6F4A0A98" w14:textId="5113743F" w:rsidR="008A578B" w:rsidRPr="00445391" w:rsidRDefault="008A578B"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eastAsia="es-CO"/>
              </w:rPr>
            </w:pPr>
            <w:r w:rsidRPr="00445391">
              <w:rPr>
                <w:rFonts w:cs="Arial"/>
                <w:sz w:val="20"/>
                <w:szCs w:val="20"/>
                <w:lang w:eastAsia="es-CO"/>
              </w:rPr>
              <w:t>Contratante</w:t>
            </w:r>
          </w:p>
        </w:tc>
      </w:tr>
      <w:tr w:rsidR="008A578B" w:rsidRPr="004C6640" w14:paraId="063DD3CB" w14:textId="77777777" w:rsidTr="006E668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471EA680"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Norte de Santander</w:t>
            </w:r>
          </w:p>
        </w:tc>
        <w:tc>
          <w:tcPr>
            <w:tcW w:w="4269" w:type="dxa"/>
            <w:vAlign w:val="center"/>
            <w:hideMark/>
          </w:tcPr>
          <w:p w14:paraId="7DE646FA" w14:textId="77777777" w:rsidR="008A578B" w:rsidRPr="00C23F7D" w:rsidRDefault="008A578B"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Chinácota</w:t>
            </w:r>
          </w:p>
        </w:tc>
      </w:tr>
      <w:tr w:rsidR="008A578B" w:rsidRPr="004C6640" w14:paraId="53F7BFF9" w14:textId="77777777" w:rsidTr="006E668D">
        <w:trPr>
          <w:trHeight w:val="360"/>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0CF2C6AD"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Caldas</w:t>
            </w:r>
          </w:p>
        </w:tc>
        <w:tc>
          <w:tcPr>
            <w:tcW w:w="4269" w:type="dxa"/>
            <w:vAlign w:val="center"/>
            <w:hideMark/>
          </w:tcPr>
          <w:p w14:paraId="58BC899A" w14:textId="77777777" w:rsidR="008A578B" w:rsidRPr="00C23F7D" w:rsidRDefault="008A578B"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Villamaría</w:t>
            </w:r>
          </w:p>
        </w:tc>
      </w:tr>
      <w:tr w:rsidR="008A578B" w:rsidRPr="004C6640" w14:paraId="09D2E537" w14:textId="77777777" w:rsidTr="006E668D">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628C83EE"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Bolívar</w:t>
            </w:r>
          </w:p>
        </w:tc>
        <w:tc>
          <w:tcPr>
            <w:tcW w:w="4269" w:type="dxa"/>
            <w:vAlign w:val="center"/>
            <w:hideMark/>
          </w:tcPr>
          <w:p w14:paraId="43AE1E72" w14:textId="77777777" w:rsidR="008A578B" w:rsidRPr="00C23F7D" w:rsidRDefault="008A578B"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Corvivienda</w:t>
            </w:r>
          </w:p>
        </w:tc>
      </w:tr>
      <w:tr w:rsidR="008A578B" w:rsidRPr="004C6640" w14:paraId="4CF7E935" w14:textId="77777777" w:rsidTr="006E668D">
        <w:trPr>
          <w:trHeight w:val="427"/>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7AB034BC"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Bolívar</w:t>
            </w:r>
          </w:p>
        </w:tc>
        <w:tc>
          <w:tcPr>
            <w:tcW w:w="4269" w:type="dxa"/>
            <w:vAlign w:val="center"/>
            <w:hideMark/>
          </w:tcPr>
          <w:p w14:paraId="54E4149F" w14:textId="77777777" w:rsidR="008A578B" w:rsidRPr="00C23F7D" w:rsidRDefault="008A578B"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Alcaldía mayor de Cartagena</w:t>
            </w:r>
          </w:p>
        </w:tc>
      </w:tr>
      <w:tr w:rsidR="008A578B" w:rsidRPr="004C6640" w14:paraId="74502CE5" w14:textId="77777777" w:rsidTr="006E668D">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5DBA811A"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Atlántico</w:t>
            </w:r>
          </w:p>
        </w:tc>
        <w:tc>
          <w:tcPr>
            <w:tcW w:w="4269" w:type="dxa"/>
            <w:vAlign w:val="center"/>
            <w:hideMark/>
          </w:tcPr>
          <w:p w14:paraId="56F79D08" w14:textId="77777777" w:rsidR="008A578B" w:rsidRPr="00C23F7D" w:rsidRDefault="008A578B"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Baranoa</w:t>
            </w:r>
          </w:p>
        </w:tc>
      </w:tr>
      <w:tr w:rsidR="008A578B" w:rsidRPr="004C6640" w14:paraId="08478EDC" w14:textId="77777777" w:rsidTr="006E668D">
        <w:trPr>
          <w:trHeight w:val="315"/>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42D74A19"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Huila</w:t>
            </w:r>
          </w:p>
        </w:tc>
        <w:tc>
          <w:tcPr>
            <w:tcW w:w="4269" w:type="dxa"/>
            <w:vAlign w:val="center"/>
            <w:hideMark/>
          </w:tcPr>
          <w:p w14:paraId="58427321" w14:textId="77777777" w:rsidR="008A578B" w:rsidRPr="00C23F7D" w:rsidRDefault="008A578B"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Pitalito</w:t>
            </w:r>
          </w:p>
        </w:tc>
      </w:tr>
      <w:tr w:rsidR="008A578B" w:rsidRPr="004C6640" w14:paraId="30381EFF" w14:textId="77777777" w:rsidTr="006E668D">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3C40478B"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Cauca</w:t>
            </w:r>
          </w:p>
        </w:tc>
        <w:tc>
          <w:tcPr>
            <w:tcW w:w="4269" w:type="dxa"/>
            <w:vAlign w:val="center"/>
            <w:hideMark/>
          </w:tcPr>
          <w:p w14:paraId="09056D20" w14:textId="725F7877" w:rsidR="008A578B" w:rsidRPr="00C23F7D" w:rsidRDefault="008A578B"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23F7D">
              <w:rPr>
                <w:rFonts w:cs="Arial"/>
                <w:color w:val="000000" w:themeColor="text1"/>
                <w:sz w:val="20"/>
                <w:szCs w:val="20"/>
                <w:lang w:val="es-CO" w:eastAsia="es-CO"/>
              </w:rPr>
              <w:t>Cajibío</w:t>
            </w:r>
          </w:p>
        </w:tc>
      </w:tr>
      <w:tr w:rsidR="008A578B" w:rsidRPr="004C6640" w14:paraId="5EF4D6D6" w14:textId="77777777" w:rsidTr="006E668D">
        <w:trPr>
          <w:trHeight w:val="403"/>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7409E337"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Cauca</w:t>
            </w:r>
          </w:p>
        </w:tc>
        <w:tc>
          <w:tcPr>
            <w:tcW w:w="4269" w:type="dxa"/>
            <w:vAlign w:val="center"/>
            <w:hideMark/>
          </w:tcPr>
          <w:p w14:paraId="3A5EB93B" w14:textId="77777777" w:rsidR="008A578B" w:rsidRPr="00C23F7D" w:rsidRDefault="008A578B"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Santander de Quilichao</w:t>
            </w:r>
          </w:p>
        </w:tc>
      </w:tr>
      <w:tr w:rsidR="008A578B" w:rsidRPr="004C6640" w14:paraId="7125E145" w14:textId="77777777" w:rsidTr="006E668D">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71E2B7BD"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Boyacá</w:t>
            </w:r>
          </w:p>
        </w:tc>
        <w:tc>
          <w:tcPr>
            <w:tcW w:w="4269" w:type="dxa"/>
            <w:vAlign w:val="center"/>
            <w:hideMark/>
          </w:tcPr>
          <w:p w14:paraId="21AFD25C" w14:textId="77777777" w:rsidR="008A578B" w:rsidRPr="00C23F7D" w:rsidRDefault="008A578B"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Paipa</w:t>
            </w:r>
          </w:p>
        </w:tc>
      </w:tr>
      <w:tr w:rsidR="008A578B" w:rsidRPr="004C6640" w14:paraId="4FD3D535" w14:textId="77777777" w:rsidTr="006E668D">
        <w:trPr>
          <w:trHeight w:val="315"/>
        </w:trPr>
        <w:tc>
          <w:tcPr>
            <w:cnfStyle w:val="001000000000" w:firstRow="0" w:lastRow="0" w:firstColumn="1" w:lastColumn="0" w:oddVBand="0" w:evenVBand="0" w:oddHBand="0" w:evenHBand="0" w:firstRowFirstColumn="0" w:firstRowLastColumn="0" w:lastRowFirstColumn="0" w:lastRowLastColumn="0"/>
            <w:tcW w:w="3135" w:type="dxa"/>
            <w:vAlign w:val="center"/>
            <w:hideMark/>
          </w:tcPr>
          <w:p w14:paraId="554009B4" w14:textId="77777777" w:rsidR="008A578B" w:rsidRPr="00C23F7D" w:rsidRDefault="008A578B" w:rsidP="00A6302C">
            <w:pPr>
              <w:suppressAutoHyphens w:val="0"/>
              <w:jc w:val="center"/>
              <w:rPr>
                <w:rFonts w:cs="Arial"/>
                <w:color w:val="000000"/>
                <w:sz w:val="20"/>
                <w:szCs w:val="20"/>
                <w:lang w:val="es-CO" w:eastAsia="es-CO"/>
              </w:rPr>
            </w:pPr>
            <w:r w:rsidRPr="00C23F7D">
              <w:rPr>
                <w:rFonts w:cs="Arial"/>
                <w:color w:val="000000"/>
                <w:sz w:val="20"/>
                <w:szCs w:val="20"/>
                <w:lang w:val="es-CO" w:eastAsia="es-CO"/>
              </w:rPr>
              <w:t>La guajira</w:t>
            </w:r>
          </w:p>
        </w:tc>
        <w:tc>
          <w:tcPr>
            <w:tcW w:w="4269" w:type="dxa"/>
            <w:vAlign w:val="center"/>
            <w:hideMark/>
          </w:tcPr>
          <w:p w14:paraId="14C11F20" w14:textId="77777777" w:rsidR="008A578B" w:rsidRPr="00C23F7D" w:rsidRDefault="008A578B"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23F7D">
              <w:rPr>
                <w:rFonts w:cs="Arial"/>
                <w:color w:val="000000"/>
                <w:sz w:val="20"/>
                <w:szCs w:val="20"/>
                <w:lang w:val="es-CO" w:eastAsia="es-CO"/>
              </w:rPr>
              <w:t>Dibulla</w:t>
            </w:r>
          </w:p>
        </w:tc>
      </w:tr>
      <w:bookmarkEnd w:id="41"/>
    </w:tbl>
    <w:p w14:paraId="40C2CEC4" w14:textId="77777777" w:rsidR="009B21D5" w:rsidRDefault="009B21D5" w:rsidP="00540AEF">
      <w:pPr>
        <w:pStyle w:val="Sinespaciado"/>
      </w:pPr>
    </w:p>
    <w:p w14:paraId="67435490" w14:textId="77777777" w:rsidR="008A578B" w:rsidRDefault="008A578B" w:rsidP="00E70AEE">
      <w:pPr>
        <w:rPr>
          <w:lang w:val="es-CO" w:eastAsia="es-ES_tradnl"/>
        </w:rPr>
      </w:pPr>
    </w:p>
    <w:p w14:paraId="0A8F93E6" w14:textId="77777777" w:rsidR="008A578B" w:rsidRDefault="008A578B" w:rsidP="00E70AEE">
      <w:pPr>
        <w:rPr>
          <w:lang w:val="es-CO" w:eastAsia="es-ES_tradnl"/>
        </w:rPr>
      </w:pPr>
    </w:p>
    <w:p w14:paraId="7571D071" w14:textId="77777777" w:rsidR="008A578B" w:rsidRDefault="008A578B" w:rsidP="00E70AEE">
      <w:pPr>
        <w:rPr>
          <w:lang w:val="es-CO" w:eastAsia="es-ES_tradnl"/>
        </w:rPr>
      </w:pPr>
    </w:p>
    <w:p w14:paraId="53205526" w14:textId="77777777" w:rsidR="008A578B" w:rsidRDefault="008A578B" w:rsidP="00E70AEE">
      <w:pPr>
        <w:rPr>
          <w:lang w:val="es-CO" w:eastAsia="es-ES_tradnl"/>
        </w:rPr>
      </w:pPr>
    </w:p>
    <w:p w14:paraId="4325BF65" w14:textId="77777777" w:rsidR="008A578B" w:rsidRDefault="008A578B" w:rsidP="00E70AEE">
      <w:pPr>
        <w:rPr>
          <w:lang w:val="es-CO" w:eastAsia="es-ES_tradnl"/>
        </w:rPr>
      </w:pPr>
    </w:p>
    <w:p w14:paraId="30EFB1E2" w14:textId="77777777" w:rsidR="008A578B" w:rsidRDefault="008A578B" w:rsidP="00E70AEE">
      <w:pPr>
        <w:rPr>
          <w:lang w:val="es-CO" w:eastAsia="es-ES_tradnl"/>
        </w:rPr>
      </w:pPr>
    </w:p>
    <w:p w14:paraId="5BADFDA9" w14:textId="77777777" w:rsidR="008A578B" w:rsidRDefault="008A578B" w:rsidP="00E70AEE">
      <w:pPr>
        <w:rPr>
          <w:lang w:val="es-CO" w:eastAsia="es-ES_tradnl"/>
        </w:rPr>
      </w:pPr>
    </w:p>
    <w:p w14:paraId="5728F4E5" w14:textId="77777777" w:rsidR="008A578B" w:rsidRDefault="008A578B" w:rsidP="00E70AEE">
      <w:pPr>
        <w:rPr>
          <w:lang w:val="es-CO" w:eastAsia="es-ES_tradnl"/>
        </w:rPr>
      </w:pPr>
    </w:p>
    <w:p w14:paraId="3631114C" w14:textId="77777777" w:rsidR="008A578B" w:rsidRDefault="008A578B" w:rsidP="00E70AEE">
      <w:pPr>
        <w:rPr>
          <w:lang w:val="es-CO" w:eastAsia="es-ES_tradnl"/>
        </w:rPr>
      </w:pPr>
    </w:p>
    <w:p w14:paraId="022742C8" w14:textId="77777777" w:rsidR="008A578B" w:rsidRDefault="008A578B" w:rsidP="00E70AEE">
      <w:pPr>
        <w:rPr>
          <w:lang w:val="es-CO" w:eastAsia="es-ES_tradnl"/>
        </w:rPr>
      </w:pPr>
    </w:p>
    <w:p w14:paraId="368DDBB8" w14:textId="77777777" w:rsidR="008A578B" w:rsidRDefault="008A578B" w:rsidP="00E70AEE">
      <w:pPr>
        <w:rPr>
          <w:lang w:val="es-CO" w:eastAsia="es-ES_tradnl"/>
        </w:rPr>
      </w:pPr>
    </w:p>
    <w:p w14:paraId="24E5AAD9" w14:textId="77777777" w:rsidR="00EB6A39" w:rsidRDefault="00EB6A39" w:rsidP="00E70AEE">
      <w:pPr>
        <w:rPr>
          <w:lang w:val="es-CO" w:eastAsia="es-ES_tradnl"/>
        </w:rPr>
      </w:pPr>
    </w:p>
    <w:p w14:paraId="13339A9E" w14:textId="77777777" w:rsidR="00EB6A39" w:rsidRDefault="00EB6A39" w:rsidP="00E70AEE">
      <w:pPr>
        <w:rPr>
          <w:lang w:val="es-CO" w:eastAsia="es-ES_tradnl"/>
        </w:rPr>
      </w:pPr>
    </w:p>
    <w:p w14:paraId="70064B1B" w14:textId="77777777" w:rsidR="00EB6A39" w:rsidRDefault="00EB6A39" w:rsidP="00E70AEE">
      <w:pPr>
        <w:rPr>
          <w:lang w:val="es-CO" w:eastAsia="es-ES_tradnl"/>
        </w:rPr>
      </w:pPr>
    </w:p>
    <w:p w14:paraId="4CABCB71" w14:textId="77777777" w:rsidR="008A578B" w:rsidRPr="00353273" w:rsidRDefault="008A578B" w:rsidP="00E729F7">
      <w:pPr>
        <w:jc w:val="center"/>
        <w:rPr>
          <w:rFonts w:cs="Arial"/>
          <w:b/>
          <w:bCs/>
          <w:sz w:val="16"/>
          <w:szCs w:val="16"/>
        </w:rPr>
      </w:pPr>
      <w:r w:rsidRPr="00353273">
        <w:rPr>
          <w:rFonts w:cs="Arial"/>
          <w:b/>
          <w:bCs/>
          <w:sz w:val="16"/>
          <w:szCs w:val="16"/>
        </w:rPr>
        <w:t>Fuente: Dirección de Gestión Catastral</w:t>
      </w:r>
    </w:p>
    <w:p w14:paraId="75A89932" w14:textId="77777777" w:rsidR="008A578B" w:rsidRDefault="008A578B" w:rsidP="00E729F7">
      <w:pPr>
        <w:jc w:val="both"/>
        <w:rPr>
          <w:rFonts w:cs="Arial"/>
          <w:sz w:val="22"/>
          <w:szCs w:val="22"/>
        </w:rPr>
      </w:pPr>
    </w:p>
    <w:p w14:paraId="600A09A0" w14:textId="77777777" w:rsidR="008A578B" w:rsidRDefault="008A578B" w:rsidP="00E729F7">
      <w:pPr>
        <w:jc w:val="both"/>
        <w:rPr>
          <w:rFonts w:cs="Arial"/>
          <w:sz w:val="22"/>
          <w:szCs w:val="22"/>
        </w:rPr>
      </w:pPr>
      <w:r w:rsidRPr="0015269A">
        <w:rPr>
          <w:rFonts w:cs="Arial"/>
          <w:sz w:val="22"/>
          <w:szCs w:val="22"/>
        </w:rPr>
        <w:t>El 2020 fue un año atípico, debido al confinamiento producto de la pandemia el trabajo de campo se vio afectado, lo cual se evidencia en la amplia diferencia de lo ejecutado en dicha vigencia con respecto a lo ejecutado en las vigencias anteriores tal y como se muestra a continuación.</w:t>
      </w:r>
    </w:p>
    <w:p w14:paraId="7A9619F9" w14:textId="7F65130D" w:rsidR="00EB6A39" w:rsidRDefault="00EB6A39" w:rsidP="00E70AEE">
      <w:pPr>
        <w:rPr>
          <w:lang w:val="es-CO" w:eastAsia="es-ES_tradnl"/>
        </w:rPr>
      </w:pPr>
    </w:p>
    <w:p w14:paraId="309E7908" w14:textId="7165DCE1" w:rsidR="00AB3024" w:rsidRPr="006E668D" w:rsidRDefault="006E668D" w:rsidP="006E668D">
      <w:pPr>
        <w:pStyle w:val="Descripcin"/>
        <w:jc w:val="center"/>
        <w:rPr>
          <w:rFonts w:ascii="Arial" w:hAnsi="Arial" w:cs="Arial"/>
          <w:b/>
          <w:i w:val="0"/>
          <w:color w:val="000000" w:themeColor="text1"/>
          <w:sz w:val="16"/>
          <w:szCs w:val="16"/>
        </w:rPr>
      </w:pPr>
      <w:bookmarkStart w:id="42" w:name="_Toc88655312"/>
      <w:bookmarkStart w:id="43" w:name="_Toc88656933"/>
      <w:bookmarkStart w:id="44" w:name="_Toc88677163"/>
      <w:r w:rsidRPr="009318A4">
        <w:rPr>
          <w:rFonts w:cs="Arial"/>
          <w:noProof/>
          <w:sz w:val="22"/>
          <w:szCs w:val="22"/>
          <w:lang w:eastAsia="es-CO"/>
        </w:rPr>
        <w:drawing>
          <wp:anchor distT="0" distB="0" distL="114300" distR="114300" simplePos="0" relativeHeight="251658273" behindDoc="0" locked="0" layoutInCell="1" allowOverlap="1" wp14:anchorId="00540A2A" wp14:editId="0DC0AAC5">
            <wp:simplePos x="0" y="0"/>
            <wp:positionH relativeFrom="column">
              <wp:posOffset>52086</wp:posOffset>
            </wp:positionH>
            <wp:positionV relativeFrom="paragraph">
              <wp:posOffset>232900</wp:posOffset>
            </wp:positionV>
            <wp:extent cx="5924550" cy="1581150"/>
            <wp:effectExtent l="0" t="0" r="0" b="0"/>
            <wp:wrapSquare wrapText="bothSides"/>
            <wp:docPr id="794879691" name="Gráfico 794879691">
              <a:extLst xmlns:a="http://schemas.openxmlformats.org/drawingml/2006/main">
                <a:ext uri="{FF2B5EF4-FFF2-40B4-BE49-F238E27FC236}">
                  <a16:creationId xmlns:a16="http://schemas.microsoft.com/office/drawing/2014/main" id="{8AE97452-D209-4EE0-A8F5-F4885280B43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page">
              <wp14:pctWidth>0</wp14:pctWidth>
            </wp14:sizeRelH>
            <wp14:sizeRelV relativeFrom="page">
              <wp14:pctHeight>0</wp14:pctHeight>
            </wp14:sizeRelV>
          </wp:anchor>
        </w:drawing>
      </w:r>
      <w:r w:rsidR="000B62EB" w:rsidRPr="000B62EB">
        <w:rPr>
          <w:rFonts w:ascii="Arial" w:hAnsi="Arial" w:cs="Arial"/>
          <w:b/>
          <w:bCs/>
          <w:i w:val="0"/>
          <w:iCs w:val="0"/>
          <w:color w:val="000000" w:themeColor="text1"/>
          <w:sz w:val="16"/>
          <w:szCs w:val="16"/>
        </w:rPr>
        <w:t xml:space="preserve">Ilustración </w:t>
      </w:r>
      <w:r w:rsidR="000B62EB" w:rsidRPr="000B62EB">
        <w:rPr>
          <w:rFonts w:ascii="Arial" w:hAnsi="Arial" w:cs="Arial"/>
          <w:b/>
          <w:bCs/>
          <w:i w:val="0"/>
          <w:iCs w:val="0"/>
          <w:color w:val="000000" w:themeColor="text1"/>
          <w:sz w:val="16"/>
          <w:szCs w:val="16"/>
        </w:rPr>
        <w:fldChar w:fldCharType="begin"/>
      </w:r>
      <w:r w:rsidR="000B62EB" w:rsidRPr="000B62EB">
        <w:rPr>
          <w:rFonts w:ascii="Arial" w:hAnsi="Arial" w:cs="Arial"/>
          <w:b/>
          <w:bCs/>
          <w:i w:val="0"/>
          <w:iCs w:val="0"/>
          <w:color w:val="000000" w:themeColor="text1"/>
          <w:sz w:val="16"/>
          <w:szCs w:val="16"/>
        </w:rPr>
        <w:instrText xml:space="preserve"> SEQ Ilustración \* ARABIC </w:instrText>
      </w:r>
      <w:r w:rsidR="000B62EB" w:rsidRPr="000B62EB">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7</w:t>
      </w:r>
      <w:r w:rsidR="000B62EB" w:rsidRPr="000B62EB">
        <w:rPr>
          <w:rFonts w:ascii="Arial" w:hAnsi="Arial" w:cs="Arial"/>
          <w:b/>
          <w:bCs/>
          <w:i w:val="0"/>
          <w:iCs w:val="0"/>
          <w:color w:val="000000" w:themeColor="text1"/>
          <w:sz w:val="16"/>
          <w:szCs w:val="16"/>
        </w:rPr>
        <w:fldChar w:fldCharType="end"/>
      </w:r>
      <w:r w:rsidR="000B62EB" w:rsidRPr="000B62EB">
        <w:rPr>
          <w:rFonts w:ascii="Arial" w:hAnsi="Arial" w:cs="Arial"/>
          <w:b/>
          <w:bCs/>
          <w:i w:val="0"/>
          <w:iCs w:val="0"/>
          <w:color w:val="000000" w:themeColor="text1"/>
          <w:sz w:val="16"/>
          <w:szCs w:val="16"/>
        </w:rPr>
        <w:t>. Comparativo de trámites realizados 2015 - 2020</w:t>
      </w:r>
      <w:bookmarkEnd w:id="42"/>
      <w:bookmarkEnd w:id="43"/>
      <w:bookmarkEnd w:id="44"/>
    </w:p>
    <w:p w14:paraId="256E0744" w14:textId="63D52CF6" w:rsidR="00AB3024" w:rsidRPr="004F62E2" w:rsidRDefault="00AB3024" w:rsidP="00E729F7">
      <w:pPr>
        <w:jc w:val="center"/>
        <w:rPr>
          <w:rFonts w:eastAsia="Arial" w:cs="Arial"/>
          <w:b/>
          <w:bCs/>
          <w:sz w:val="16"/>
          <w:szCs w:val="16"/>
          <w:lang w:val="es-CO"/>
        </w:rPr>
      </w:pPr>
      <w:r w:rsidRPr="004F62E2">
        <w:rPr>
          <w:rFonts w:eastAsia="Arial" w:cs="Arial"/>
          <w:b/>
          <w:bCs/>
          <w:sz w:val="16"/>
          <w:szCs w:val="16"/>
          <w:lang w:val="es-CO"/>
        </w:rPr>
        <w:t>Fuente:  Dirección de Gestión Catastral</w:t>
      </w:r>
    </w:p>
    <w:p w14:paraId="091976AD" w14:textId="545CF8B4" w:rsidR="00AB3024" w:rsidRPr="009318A4" w:rsidRDefault="00AB3024" w:rsidP="00E729F7">
      <w:pPr>
        <w:jc w:val="center"/>
        <w:rPr>
          <w:rFonts w:eastAsia="Arial" w:cs="Arial"/>
          <w:sz w:val="22"/>
          <w:szCs w:val="22"/>
          <w:lang w:val="es-CO"/>
        </w:rPr>
      </w:pPr>
    </w:p>
    <w:p w14:paraId="30EA7C74" w14:textId="2B25DF3A" w:rsidR="00AB3024" w:rsidRPr="0015269A" w:rsidRDefault="00AB3024" w:rsidP="00E729F7">
      <w:pPr>
        <w:jc w:val="both"/>
        <w:rPr>
          <w:rFonts w:cs="Arial"/>
          <w:sz w:val="22"/>
          <w:szCs w:val="22"/>
        </w:rPr>
      </w:pPr>
      <w:r w:rsidRPr="0015269A">
        <w:rPr>
          <w:rFonts w:cs="Arial"/>
          <w:sz w:val="22"/>
          <w:szCs w:val="22"/>
        </w:rPr>
        <w:t xml:space="preserve">Una de las acciones implementadas para superar las dificultades presentadas en el cumplimiento de la meta, fue realizar un diagnóstico por dirección territorial con relación a las radicaciones </w:t>
      </w:r>
      <w:r w:rsidRPr="0015269A">
        <w:rPr>
          <w:rFonts w:cs="Arial"/>
          <w:sz w:val="22"/>
          <w:szCs w:val="22"/>
        </w:rPr>
        <w:lastRenderedPageBreak/>
        <w:t xml:space="preserve">anteriores al 2019, identificando un total de 98.233, sin depurar. Esta identificación permitió generar un seguimiento periódico con cada dirección territorial, con el fin de verificar los antecedentes y la situación real de estos trámites y así se logró la depuración de 51.027 radicaciones. </w:t>
      </w:r>
    </w:p>
    <w:p w14:paraId="2EB52B0F" w14:textId="18C6AFD0" w:rsidR="00AB3024" w:rsidRPr="0015269A" w:rsidRDefault="00AB3024" w:rsidP="00E729F7">
      <w:pPr>
        <w:jc w:val="both"/>
        <w:rPr>
          <w:rFonts w:cs="Arial"/>
          <w:sz w:val="22"/>
          <w:szCs w:val="22"/>
        </w:rPr>
      </w:pPr>
    </w:p>
    <w:p w14:paraId="78606776" w14:textId="044DB37B" w:rsidR="00AB3024" w:rsidRPr="00470E5C" w:rsidRDefault="00AB3024" w:rsidP="00470E5C">
      <w:pPr>
        <w:jc w:val="both"/>
        <w:rPr>
          <w:rFonts w:cs="Arial"/>
          <w:sz w:val="22"/>
          <w:szCs w:val="22"/>
        </w:rPr>
      </w:pPr>
      <w:r w:rsidRPr="0015269A">
        <w:rPr>
          <w:rFonts w:cs="Arial"/>
          <w:sz w:val="22"/>
          <w:szCs w:val="22"/>
        </w:rPr>
        <w:t>La vigencia 2020 cerró con 40.550 radicaciones de vigencias anteriores y 31.062 de la vigencia actual, así</w:t>
      </w:r>
    </w:p>
    <w:p w14:paraId="5616E01C" w14:textId="66395A11" w:rsidR="00AB3024" w:rsidRDefault="00AB3024" w:rsidP="00AB3024">
      <w:pPr>
        <w:pStyle w:val="Descripcin"/>
        <w:jc w:val="center"/>
        <w:rPr>
          <w:rFonts w:ascii="Arial" w:hAnsi="Arial" w:cs="Arial"/>
          <w:b/>
          <w:bCs/>
          <w:i w:val="0"/>
          <w:iCs w:val="0"/>
          <w:color w:val="000000" w:themeColor="text1"/>
          <w:sz w:val="16"/>
          <w:szCs w:val="16"/>
        </w:rPr>
      </w:pPr>
      <w:bookmarkStart w:id="45" w:name="_Toc88677085"/>
      <w:r w:rsidRPr="00AB3024">
        <w:rPr>
          <w:rFonts w:ascii="Arial" w:hAnsi="Arial" w:cs="Arial"/>
          <w:b/>
          <w:bCs/>
          <w:i w:val="0"/>
          <w:iCs w:val="0"/>
          <w:color w:val="000000" w:themeColor="text1"/>
          <w:sz w:val="16"/>
          <w:szCs w:val="16"/>
        </w:rPr>
        <w:t xml:space="preserve">Tabla </w:t>
      </w:r>
      <w:r w:rsidRPr="00AB3024">
        <w:rPr>
          <w:rFonts w:ascii="Arial" w:hAnsi="Arial" w:cs="Arial"/>
          <w:b/>
          <w:bCs/>
          <w:i w:val="0"/>
          <w:iCs w:val="0"/>
          <w:color w:val="000000" w:themeColor="text1"/>
          <w:sz w:val="16"/>
          <w:szCs w:val="16"/>
        </w:rPr>
        <w:fldChar w:fldCharType="begin"/>
      </w:r>
      <w:r w:rsidRPr="00AB3024">
        <w:rPr>
          <w:rFonts w:ascii="Arial" w:hAnsi="Arial" w:cs="Arial"/>
          <w:b/>
          <w:bCs/>
          <w:i w:val="0"/>
          <w:iCs w:val="0"/>
          <w:color w:val="000000" w:themeColor="text1"/>
          <w:sz w:val="16"/>
          <w:szCs w:val="16"/>
        </w:rPr>
        <w:instrText xml:space="preserve"> SEQ Tabla \* ARABIC </w:instrText>
      </w:r>
      <w:r w:rsidRPr="00AB3024">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13</w:t>
      </w:r>
      <w:r w:rsidRPr="00AB3024">
        <w:rPr>
          <w:rFonts w:ascii="Arial" w:hAnsi="Arial" w:cs="Arial"/>
          <w:b/>
          <w:bCs/>
          <w:i w:val="0"/>
          <w:iCs w:val="0"/>
          <w:color w:val="000000" w:themeColor="text1"/>
          <w:sz w:val="16"/>
          <w:szCs w:val="16"/>
        </w:rPr>
        <w:fldChar w:fldCharType="end"/>
      </w:r>
      <w:r w:rsidRPr="00AB3024">
        <w:rPr>
          <w:rFonts w:ascii="Arial" w:hAnsi="Arial" w:cs="Arial"/>
          <w:b/>
          <w:bCs/>
          <w:i w:val="0"/>
          <w:iCs w:val="0"/>
          <w:color w:val="000000" w:themeColor="text1"/>
          <w:sz w:val="16"/>
          <w:szCs w:val="16"/>
        </w:rPr>
        <w:t>. Radicaciones en Direcciones Territoriales a 01/01/2021</w:t>
      </w:r>
      <w:bookmarkEnd w:id="45"/>
    </w:p>
    <w:tbl>
      <w:tblPr>
        <w:tblStyle w:val="Tabladecuadrcula4-nfasis1"/>
        <w:tblW w:w="10343" w:type="dxa"/>
        <w:tblLayout w:type="fixed"/>
        <w:tblLook w:val="04A0" w:firstRow="1" w:lastRow="0" w:firstColumn="1" w:lastColumn="0" w:noHBand="0" w:noVBand="1"/>
      </w:tblPr>
      <w:tblGrid>
        <w:gridCol w:w="1548"/>
        <w:gridCol w:w="574"/>
        <w:gridCol w:w="728"/>
        <w:gridCol w:w="605"/>
        <w:gridCol w:w="605"/>
        <w:gridCol w:w="605"/>
        <w:gridCol w:w="664"/>
        <w:gridCol w:w="664"/>
        <w:gridCol w:w="664"/>
        <w:gridCol w:w="664"/>
        <w:gridCol w:w="664"/>
        <w:gridCol w:w="853"/>
        <w:gridCol w:w="777"/>
        <w:gridCol w:w="728"/>
      </w:tblGrid>
      <w:tr w:rsidR="004B1119" w:rsidRPr="00EE1E36" w14:paraId="552B2E15" w14:textId="77777777" w:rsidTr="00470E5C">
        <w:trPr>
          <w:cnfStyle w:val="100000000000" w:firstRow="1" w:lastRow="0" w:firstColumn="0" w:lastColumn="0" w:oddVBand="0" w:evenVBand="0" w:oddHBand="0" w:evenHBand="0" w:firstRowFirstColumn="0" w:firstRowLastColumn="0" w:lastRowFirstColumn="0" w:lastRowLastColumn="0"/>
          <w:trHeight w:val="473"/>
        </w:trPr>
        <w:tc>
          <w:tcPr>
            <w:cnfStyle w:val="001000000000" w:firstRow="0" w:lastRow="0" w:firstColumn="1" w:lastColumn="0" w:oddVBand="0" w:evenVBand="0" w:oddHBand="0" w:evenHBand="0" w:firstRowFirstColumn="0" w:firstRowLastColumn="0" w:lastRowFirstColumn="0" w:lastRowLastColumn="0"/>
            <w:tcW w:w="1548" w:type="dxa"/>
            <w:noWrap/>
            <w:vAlign w:val="center"/>
            <w:hideMark/>
          </w:tcPr>
          <w:p w14:paraId="38AF79EA" w14:textId="77777777" w:rsidR="004B1119" w:rsidRPr="00EE1E36" w:rsidRDefault="004B1119" w:rsidP="00470E5C">
            <w:pPr>
              <w:jc w:val="center"/>
              <w:rPr>
                <w:rFonts w:cs="Arial"/>
                <w:b w:val="0"/>
                <w:bCs w:val="0"/>
                <w:sz w:val="14"/>
                <w:szCs w:val="14"/>
                <w:lang w:eastAsia="es-CO"/>
              </w:rPr>
            </w:pPr>
            <w:r>
              <w:rPr>
                <w:rFonts w:cs="Arial"/>
                <w:sz w:val="14"/>
                <w:szCs w:val="14"/>
                <w:lang w:eastAsia="es-CO"/>
              </w:rPr>
              <w:t>VIGENCIA</w:t>
            </w:r>
          </w:p>
        </w:tc>
        <w:tc>
          <w:tcPr>
            <w:tcW w:w="574" w:type="dxa"/>
            <w:noWrap/>
            <w:vAlign w:val="center"/>
            <w:hideMark/>
          </w:tcPr>
          <w:p w14:paraId="3EE4D462"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2002</w:t>
            </w:r>
          </w:p>
        </w:tc>
        <w:tc>
          <w:tcPr>
            <w:tcW w:w="728" w:type="dxa"/>
            <w:noWrap/>
            <w:vAlign w:val="center"/>
            <w:hideMark/>
          </w:tcPr>
          <w:p w14:paraId="6BB48D4A"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2005</w:t>
            </w:r>
          </w:p>
        </w:tc>
        <w:tc>
          <w:tcPr>
            <w:tcW w:w="605" w:type="dxa"/>
            <w:noWrap/>
            <w:vAlign w:val="center"/>
            <w:hideMark/>
          </w:tcPr>
          <w:p w14:paraId="089D39FC"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2008</w:t>
            </w:r>
          </w:p>
        </w:tc>
        <w:tc>
          <w:tcPr>
            <w:tcW w:w="605" w:type="dxa"/>
            <w:noWrap/>
            <w:vAlign w:val="center"/>
            <w:hideMark/>
          </w:tcPr>
          <w:p w14:paraId="12C633D1"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2009</w:t>
            </w:r>
          </w:p>
        </w:tc>
        <w:tc>
          <w:tcPr>
            <w:tcW w:w="605" w:type="dxa"/>
            <w:noWrap/>
            <w:vAlign w:val="center"/>
            <w:hideMark/>
          </w:tcPr>
          <w:p w14:paraId="58BEA667"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2011</w:t>
            </w:r>
          </w:p>
        </w:tc>
        <w:tc>
          <w:tcPr>
            <w:tcW w:w="664" w:type="dxa"/>
            <w:noWrap/>
            <w:vAlign w:val="center"/>
            <w:hideMark/>
          </w:tcPr>
          <w:p w14:paraId="25029037"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2014</w:t>
            </w:r>
          </w:p>
        </w:tc>
        <w:tc>
          <w:tcPr>
            <w:tcW w:w="664" w:type="dxa"/>
            <w:noWrap/>
            <w:vAlign w:val="center"/>
            <w:hideMark/>
          </w:tcPr>
          <w:p w14:paraId="6E635CCD"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2015</w:t>
            </w:r>
          </w:p>
        </w:tc>
        <w:tc>
          <w:tcPr>
            <w:tcW w:w="664" w:type="dxa"/>
            <w:noWrap/>
            <w:vAlign w:val="center"/>
            <w:hideMark/>
          </w:tcPr>
          <w:p w14:paraId="74EC27F8"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2016</w:t>
            </w:r>
          </w:p>
        </w:tc>
        <w:tc>
          <w:tcPr>
            <w:tcW w:w="664" w:type="dxa"/>
            <w:noWrap/>
            <w:vAlign w:val="center"/>
            <w:hideMark/>
          </w:tcPr>
          <w:p w14:paraId="22C64CE8"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2017</w:t>
            </w:r>
          </w:p>
        </w:tc>
        <w:tc>
          <w:tcPr>
            <w:tcW w:w="664" w:type="dxa"/>
            <w:noWrap/>
            <w:vAlign w:val="center"/>
            <w:hideMark/>
          </w:tcPr>
          <w:p w14:paraId="2C8124D8"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2018</w:t>
            </w:r>
          </w:p>
        </w:tc>
        <w:tc>
          <w:tcPr>
            <w:tcW w:w="853" w:type="dxa"/>
            <w:noWrap/>
            <w:vAlign w:val="center"/>
            <w:hideMark/>
          </w:tcPr>
          <w:p w14:paraId="716F2DA9"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2019</w:t>
            </w:r>
          </w:p>
        </w:tc>
        <w:tc>
          <w:tcPr>
            <w:tcW w:w="777" w:type="dxa"/>
            <w:noWrap/>
            <w:vAlign w:val="center"/>
            <w:hideMark/>
          </w:tcPr>
          <w:p w14:paraId="51379944" w14:textId="77777777"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2020</w:t>
            </w:r>
          </w:p>
        </w:tc>
        <w:tc>
          <w:tcPr>
            <w:tcW w:w="728" w:type="dxa"/>
            <w:noWrap/>
            <w:vAlign w:val="center"/>
            <w:hideMark/>
          </w:tcPr>
          <w:p w14:paraId="5CFF9CB2" w14:textId="3C36F548" w:rsidR="004B1119" w:rsidRPr="00EE1E36"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bCs w:val="0"/>
                <w:sz w:val="14"/>
                <w:szCs w:val="14"/>
                <w:lang w:eastAsia="es-CO"/>
              </w:rPr>
            </w:pPr>
            <w:r w:rsidRPr="00EE1E36">
              <w:rPr>
                <w:rFonts w:cs="Arial"/>
                <w:sz w:val="14"/>
                <w:szCs w:val="14"/>
                <w:lang w:eastAsia="es-CO"/>
              </w:rPr>
              <w:t>TOTAL</w:t>
            </w:r>
          </w:p>
        </w:tc>
      </w:tr>
      <w:tr w:rsidR="004B1119" w:rsidRPr="00EE1E36" w14:paraId="78265CCC" w14:textId="77777777" w:rsidTr="00470E5C">
        <w:trPr>
          <w:cnfStyle w:val="000000100000" w:firstRow="0" w:lastRow="0" w:firstColumn="0" w:lastColumn="0" w:oddVBand="0" w:evenVBand="0" w:oddHBand="1" w:evenHBand="0" w:firstRowFirstColumn="0" w:firstRowLastColumn="0" w:lastRowFirstColumn="0" w:lastRowLastColumn="0"/>
          <w:trHeight w:val="125"/>
        </w:trPr>
        <w:tc>
          <w:tcPr>
            <w:cnfStyle w:val="001000000000" w:firstRow="0" w:lastRow="0" w:firstColumn="1" w:lastColumn="0" w:oddVBand="0" w:evenVBand="0" w:oddHBand="0" w:evenHBand="0" w:firstRowFirstColumn="0" w:firstRowLastColumn="0" w:lastRowFirstColumn="0" w:lastRowLastColumn="0"/>
            <w:tcW w:w="1548" w:type="dxa"/>
            <w:noWrap/>
            <w:vAlign w:val="center"/>
            <w:hideMark/>
          </w:tcPr>
          <w:p w14:paraId="7493B82A" w14:textId="236C94AA" w:rsidR="004B1119" w:rsidRPr="00EE1E36" w:rsidRDefault="004B1119" w:rsidP="00470E5C">
            <w:pPr>
              <w:jc w:val="center"/>
              <w:rPr>
                <w:rFonts w:cs="Arial"/>
                <w:b w:val="0"/>
                <w:bCs w:val="0"/>
                <w:color w:val="000000"/>
                <w:sz w:val="14"/>
                <w:szCs w:val="14"/>
                <w:lang w:eastAsia="es-CO"/>
              </w:rPr>
            </w:pPr>
            <w:r w:rsidRPr="00EE1E36">
              <w:rPr>
                <w:rFonts w:cs="Arial"/>
                <w:color w:val="000000"/>
                <w:sz w:val="14"/>
                <w:szCs w:val="14"/>
                <w:lang w:eastAsia="es-CO"/>
              </w:rPr>
              <w:t>TOTAL</w:t>
            </w:r>
          </w:p>
        </w:tc>
        <w:tc>
          <w:tcPr>
            <w:tcW w:w="574" w:type="dxa"/>
            <w:noWrap/>
            <w:vAlign w:val="center"/>
            <w:hideMark/>
          </w:tcPr>
          <w:p w14:paraId="620D099C"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3</w:t>
            </w:r>
          </w:p>
        </w:tc>
        <w:tc>
          <w:tcPr>
            <w:tcW w:w="728" w:type="dxa"/>
            <w:noWrap/>
            <w:vAlign w:val="center"/>
            <w:hideMark/>
          </w:tcPr>
          <w:p w14:paraId="2936844F"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1</w:t>
            </w:r>
          </w:p>
        </w:tc>
        <w:tc>
          <w:tcPr>
            <w:tcW w:w="605" w:type="dxa"/>
            <w:noWrap/>
            <w:vAlign w:val="center"/>
            <w:hideMark/>
          </w:tcPr>
          <w:p w14:paraId="2B7E8DFD"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2</w:t>
            </w:r>
          </w:p>
        </w:tc>
        <w:tc>
          <w:tcPr>
            <w:tcW w:w="605" w:type="dxa"/>
            <w:noWrap/>
            <w:vAlign w:val="center"/>
            <w:hideMark/>
          </w:tcPr>
          <w:p w14:paraId="3119DABC"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1</w:t>
            </w:r>
          </w:p>
        </w:tc>
        <w:tc>
          <w:tcPr>
            <w:tcW w:w="605" w:type="dxa"/>
            <w:noWrap/>
            <w:vAlign w:val="center"/>
            <w:hideMark/>
          </w:tcPr>
          <w:p w14:paraId="47E91E23"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1</w:t>
            </w:r>
          </w:p>
        </w:tc>
        <w:tc>
          <w:tcPr>
            <w:tcW w:w="664" w:type="dxa"/>
            <w:noWrap/>
            <w:vAlign w:val="center"/>
            <w:hideMark/>
          </w:tcPr>
          <w:p w14:paraId="5535F543"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1.401</w:t>
            </w:r>
          </w:p>
        </w:tc>
        <w:tc>
          <w:tcPr>
            <w:tcW w:w="664" w:type="dxa"/>
            <w:noWrap/>
            <w:vAlign w:val="center"/>
            <w:hideMark/>
          </w:tcPr>
          <w:p w14:paraId="120EEF4C"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2.283</w:t>
            </w:r>
          </w:p>
        </w:tc>
        <w:tc>
          <w:tcPr>
            <w:tcW w:w="664" w:type="dxa"/>
            <w:noWrap/>
            <w:vAlign w:val="center"/>
            <w:hideMark/>
          </w:tcPr>
          <w:p w14:paraId="61FEF5EC"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2.910</w:t>
            </w:r>
          </w:p>
        </w:tc>
        <w:tc>
          <w:tcPr>
            <w:tcW w:w="664" w:type="dxa"/>
            <w:noWrap/>
            <w:vAlign w:val="center"/>
            <w:hideMark/>
          </w:tcPr>
          <w:p w14:paraId="0D2D4B3C"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7.831</w:t>
            </w:r>
          </w:p>
        </w:tc>
        <w:tc>
          <w:tcPr>
            <w:tcW w:w="664" w:type="dxa"/>
            <w:noWrap/>
            <w:vAlign w:val="center"/>
            <w:hideMark/>
          </w:tcPr>
          <w:p w14:paraId="1DABF0E0"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9.516</w:t>
            </w:r>
          </w:p>
        </w:tc>
        <w:tc>
          <w:tcPr>
            <w:tcW w:w="853" w:type="dxa"/>
            <w:noWrap/>
            <w:vAlign w:val="center"/>
            <w:hideMark/>
          </w:tcPr>
          <w:p w14:paraId="68447E11"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16.601</w:t>
            </w:r>
          </w:p>
        </w:tc>
        <w:tc>
          <w:tcPr>
            <w:tcW w:w="777" w:type="dxa"/>
            <w:noWrap/>
            <w:vAlign w:val="center"/>
            <w:hideMark/>
          </w:tcPr>
          <w:p w14:paraId="26A530F6"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31.062</w:t>
            </w:r>
          </w:p>
        </w:tc>
        <w:tc>
          <w:tcPr>
            <w:tcW w:w="728" w:type="dxa"/>
            <w:noWrap/>
            <w:vAlign w:val="center"/>
            <w:hideMark/>
          </w:tcPr>
          <w:p w14:paraId="2A541E97" w14:textId="77777777" w:rsidR="004B1119" w:rsidRPr="00EE1E36" w:rsidRDefault="004B1119" w:rsidP="00A6302C">
            <w:pPr>
              <w:jc w:val="center"/>
              <w:cnfStyle w:val="000000100000" w:firstRow="0" w:lastRow="0" w:firstColumn="0" w:lastColumn="0" w:oddVBand="0" w:evenVBand="0" w:oddHBand="1" w:evenHBand="0" w:firstRowFirstColumn="0" w:firstRowLastColumn="0" w:lastRowFirstColumn="0" w:lastRowLastColumn="0"/>
              <w:rPr>
                <w:rFonts w:cs="Arial"/>
                <w:sz w:val="14"/>
                <w:szCs w:val="14"/>
                <w:lang w:eastAsia="es-CO"/>
              </w:rPr>
            </w:pPr>
            <w:r w:rsidRPr="00EE1E36">
              <w:rPr>
                <w:rFonts w:cs="Arial"/>
                <w:sz w:val="14"/>
                <w:szCs w:val="14"/>
                <w:lang w:eastAsia="es-CO"/>
              </w:rPr>
              <w:t>71.612</w:t>
            </w:r>
          </w:p>
        </w:tc>
      </w:tr>
    </w:tbl>
    <w:p w14:paraId="7EA7C428" w14:textId="77777777" w:rsidR="004B1119" w:rsidRPr="00EC2E2A" w:rsidRDefault="004B1119" w:rsidP="00E729F7">
      <w:pPr>
        <w:jc w:val="center"/>
        <w:rPr>
          <w:rFonts w:eastAsia="Arial" w:cs="Arial"/>
          <w:b/>
          <w:bCs/>
          <w:sz w:val="16"/>
          <w:szCs w:val="16"/>
          <w:lang w:val="es-CO"/>
        </w:rPr>
      </w:pPr>
      <w:r w:rsidRPr="00EC2E2A">
        <w:rPr>
          <w:rFonts w:eastAsia="Arial" w:cs="Arial"/>
          <w:b/>
          <w:bCs/>
          <w:sz w:val="16"/>
          <w:szCs w:val="16"/>
          <w:lang w:val="es-CO"/>
        </w:rPr>
        <w:t>Fuente:  Dirección de Gestión Catastral</w:t>
      </w:r>
    </w:p>
    <w:p w14:paraId="051D3356" w14:textId="77777777" w:rsidR="004B1119" w:rsidRPr="009318A4" w:rsidRDefault="004B1119" w:rsidP="00E729F7">
      <w:pPr>
        <w:jc w:val="center"/>
        <w:rPr>
          <w:rFonts w:eastAsia="Arial" w:cs="Arial"/>
          <w:sz w:val="22"/>
          <w:szCs w:val="22"/>
          <w:lang w:val="es-CO"/>
        </w:rPr>
      </w:pPr>
    </w:p>
    <w:p w14:paraId="60B05D7A" w14:textId="77777777" w:rsidR="004B1119" w:rsidRDefault="004B1119" w:rsidP="004B1119">
      <w:pPr>
        <w:jc w:val="both"/>
        <w:rPr>
          <w:rFonts w:cs="Arial"/>
          <w:sz w:val="22"/>
          <w:szCs w:val="22"/>
          <w:lang w:val="es-CO"/>
        </w:rPr>
      </w:pPr>
      <w:r w:rsidRPr="00A746E0">
        <w:rPr>
          <w:rFonts w:cs="Arial"/>
          <w:sz w:val="22"/>
          <w:szCs w:val="22"/>
          <w:lang w:val="es-CO"/>
        </w:rPr>
        <w:t xml:space="preserve">A 1 de enero de 2021, se tenían 71.612 saldos.  </w:t>
      </w:r>
      <w:r w:rsidRPr="00BF4337">
        <w:rPr>
          <w:rFonts w:cs="Arial"/>
          <w:sz w:val="22"/>
          <w:szCs w:val="22"/>
          <w:lang w:val="es-CO"/>
        </w:rPr>
        <w:t xml:space="preserve">Con corte 31 de octubre del presente año, se tiene la siguiente distribución: </w:t>
      </w:r>
    </w:p>
    <w:p w14:paraId="621B94E6" w14:textId="77777777" w:rsidR="004B1119" w:rsidRPr="004B1119" w:rsidRDefault="004B1119" w:rsidP="00AD64C2">
      <w:pPr>
        <w:rPr>
          <w:rFonts w:cs="Arial"/>
          <w:b/>
          <w:bCs/>
          <w:color w:val="000000" w:themeColor="text1"/>
          <w:sz w:val="22"/>
          <w:szCs w:val="22"/>
          <w:lang w:val="es-CO" w:eastAsia="es-ES_tradnl"/>
        </w:rPr>
      </w:pPr>
    </w:p>
    <w:p w14:paraId="52FE753C" w14:textId="04E00C7F" w:rsidR="004B1119" w:rsidRPr="004B1119" w:rsidRDefault="004B1119" w:rsidP="004B1119">
      <w:pPr>
        <w:pStyle w:val="Descripcin"/>
        <w:jc w:val="center"/>
        <w:rPr>
          <w:rFonts w:ascii="Arial" w:hAnsi="Arial" w:cs="Arial"/>
          <w:b/>
          <w:bCs/>
          <w:i w:val="0"/>
          <w:iCs w:val="0"/>
          <w:color w:val="000000" w:themeColor="text1"/>
          <w:sz w:val="16"/>
          <w:szCs w:val="16"/>
        </w:rPr>
      </w:pPr>
      <w:bookmarkStart w:id="46" w:name="_Toc88677086"/>
      <w:r w:rsidRPr="004B1119">
        <w:rPr>
          <w:rFonts w:ascii="Arial" w:hAnsi="Arial" w:cs="Arial"/>
          <w:b/>
          <w:bCs/>
          <w:i w:val="0"/>
          <w:iCs w:val="0"/>
          <w:color w:val="000000" w:themeColor="text1"/>
          <w:sz w:val="16"/>
          <w:szCs w:val="16"/>
        </w:rPr>
        <w:t xml:space="preserve">Tabla </w:t>
      </w:r>
      <w:r w:rsidRPr="004B1119">
        <w:rPr>
          <w:rFonts w:ascii="Arial" w:hAnsi="Arial" w:cs="Arial"/>
          <w:b/>
          <w:bCs/>
          <w:i w:val="0"/>
          <w:iCs w:val="0"/>
          <w:color w:val="000000" w:themeColor="text1"/>
          <w:sz w:val="16"/>
          <w:szCs w:val="16"/>
        </w:rPr>
        <w:fldChar w:fldCharType="begin"/>
      </w:r>
      <w:r w:rsidRPr="004B1119">
        <w:rPr>
          <w:rFonts w:ascii="Arial" w:hAnsi="Arial" w:cs="Arial"/>
          <w:b/>
          <w:bCs/>
          <w:i w:val="0"/>
          <w:iCs w:val="0"/>
          <w:color w:val="000000" w:themeColor="text1"/>
          <w:sz w:val="16"/>
          <w:szCs w:val="16"/>
        </w:rPr>
        <w:instrText xml:space="preserve"> SEQ Tabla \* ARABIC </w:instrText>
      </w:r>
      <w:r w:rsidRPr="004B1119">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14</w:t>
      </w:r>
      <w:r w:rsidRPr="004B1119">
        <w:rPr>
          <w:rFonts w:ascii="Arial" w:hAnsi="Arial" w:cs="Arial"/>
          <w:b/>
          <w:bCs/>
          <w:i w:val="0"/>
          <w:iCs w:val="0"/>
          <w:color w:val="000000" w:themeColor="text1"/>
          <w:sz w:val="16"/>
          <w:szCs w:val="16"/>
        </w:rPr>
        <w:fldChar w:fldCharType="end"/>
      </w:r>
      <w:r w:rsidRPr="004B1119">
        <w:rPr>
          <w:rFonts w:ascii="Arial" w:hAnsi="Arial" w:cs="Arial"/>
          <w:b/>
          <w:bCs/>
          <w:i w:val="0"/>
          <w:iCs w:val="0"/>
          <w:color w:val="000000" w:themeColor="text1"/>
          <w:sz w:val="16"/>
          <w:szCs w:val="16"/>
        </w:rPr>
        <w:t>. Distribución de saldos 2020 entre municipios habilitados en la presente vigencia y los que Municipios que están bajo jurisdicción del IGAC</w:t>
      </w:r>
      <w:bookmarkEnd w:id="46"/>
    </w:p>
    <w:tbl>
      <w:tblPr>
        <w:tblStyle w:val="Tabladecuadrcula4-nfasis1"/>
        <w:tblW w:w="6638" w:type="dxa"/>
        <w:tblInd w:w="1271" w:type="dxa"/>
        <w:tblLook w:val="04A0" w:firstRow="1" w:lastRow="0" w:firstColumn="1" w:lastColumn="0" w:noHBand="0" w:noVBand="1"/>
      </w:tblPr>
      <w:tblGrid>
        <w:gridCol w:w="2383"/>
        <w:gridCol w:w="1455"/>
        <w:gridCol w:w="1240"/>
        <w:gridCol w:w="1560"/>
      </w:tblGrid>
      <w:tr w:rsidR="004B1119" w:rsidRPr="00052083" w14:paraId="675A03B1" w14:textId="77777777" w:rsidTr="00416C1B">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3D7A64AE" w14:textId="77777777" w:rsidR="004B1119" w:rsidRPr="00AD64C2" w:rsidRDefault="004B1119" w:rsidP="00A6302C">
            <w:pPr>
              <w:jc w:val="center"/>
              <w:rPr>
                <w:rFonts w:cs="Arial"/>
                <w:b w:val="0"/>
                <w:sz w:val="18"/>
                <w:szCs w:val="20"/>
              </w:rPr>
            </w:pPr>
            <w:r w:rsidRPr="00AD64C2">
              <w:rPr>
                <w:rFonts w:cs="Arial"/>
                <w:sz w:val="18"/>
                <w:szCs w:val="20"/>
              </w:rPr>
              <w:t>TERRITORIAL</w:t>
            </w:r>
          </w:p>
        </w:tc>
        <w:tc>
          <w:tcPr>
            <w:tcW w:w="1455" w:type="dxa"/>
            <w:noWrap/>
            <w:vAlign w:val="center"/>
            <w:hideMark/>
          </w:tcPr>
          <w:p w14:paraId="1B754AF1" w14:textId="77777777" w:rsidR="004B1119" w:rsidRPr="00AD64C2"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AD64C2">
              <w:rPr>
                <w:rFonts w:cs="Arial"/>
                <w:sz w:val="18"/>
                <w:szCs w:val="20"/>
              </w:rPr>
              <w:t>HABILITADO</w:t>
            </w:r>
          </w:p>
        </w:tc>
        <w:tc>
          <w:tcPr>
            <w:tcW w:w="1240" w:type="dxa"/>
            <w:noWrap/>
            <w:vAlign w:val="center"/>
            <w:hideMark/>
          </w:tcPr>
          <w:p w14:paraId="7DC8D052" w14:textId="77777777" w:rsidR="004B1119" w:rsidRPr="00AD64C2"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AD64C2">
              <w:rPr>
                <w:rFonts w:cs="Arial"/>
                <w:sz w:val="18"/>
                <w:szCs w:val="20"/>
              </w:rPr>
              <w:t>IGAC</w:t>
            </w:r>
          </w:p>
        </w:tc>
        <w:tc>
          <w:tcPr>
            <w:tcW w:w="1560" w:type="dxa"/>
            <w:noWrap/>
            <w:vAlign w:val="center"/>
            <w:hideMark/>
          </w:tcPr>
          <w:p w14:paraId="1BECD2A7" w14:textId="77777777" w:rsidR="004B1119" w:rsidRPr="00AD64C2" w:rsidRDefault="004B111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AD64C2">
              <w:rPr>
                <w:rFonts w:cs="Arial"/>
                <w:sz w:val="18"/>
                <w:szCs w:val="20"/>
              </w:rPr>
              <w:t>TOTAL</w:t>
            </w:r>
          </w:p>
        </w:tc>
      </w:tr>
      <w:tr w:rsidR="004B1119" w:rsidRPr="00052083" w14:paraId="2DEFDE1E"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034C91E5" w14:textId="77777777" w:rsidR="004B1119" w:rsidRPr="00AD64C2" w:rsidRDefault="004B1119" w:rsidP="00AD64C2">
            <w:pPr>
              <w:jc w:val="center"/>
              <w:rPr>
                <w:rFonts w:cs="Arial"/>
                <w:color w:val="000000"/>
                <w:sz w:val="18"/>
                <w:szCs w:val="20"/>
              </w:rPr>
            </w:pPr>
            <w:r w:rsidRPr="00AD64C2">
              <w:rPr>
                <w:rFonts w:cs="Arial"/>
                <w:color w:val="000000"/>
                <w:sz w:val="18"/>
                <w:szCs w:val="20"/>
              </w:rPr>
              <w:t>ATLÁNTICO</w:t>
            </w:r>
          </w:p>
        </w:tc>
        <w:tc>
          <w:tcPr>
            <w:tcW w:w="1455" w:type="dxa"/>
            <w:noWrap/>
            <w:vAlign w:val="center"/>
            <w:hideMark/>
          </w:tcPr>
          <w:p w14:paraId="2B85A395" w14:textId="29BB80C2"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40E1571C"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4.240</w:t>
            </w:r>
          </w:p>
        </w:tc>
        <w:tc>
          <w:tcPr>
            <w:tcW w:w="1560" w:type="dxa"/>
            <w:noWrap/>
            <w:vAlign w:val="center"/>
            <w:hideMark/>
          </w:tcPr>
          <w:p w14:paraId="1FD79EB2"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4.240</w:t>
            </w:r>
          </w:p>
        </w:tc>
      </w:tr>
      <w:tr w:rsidR="004B1119" w:rsidRPr="00052083" w14:paraId="4A247665"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6628FB5D" w14:textId="77777777" w:rsidR="004B1119" w:rsidRPr="00AD64C2" w:rsidRDefault="004B1119" w:rsidP="00AD64C2">
            <w:pPr>
              <w:jc w:val="center"/>
              <w:rPr>
                <w:rFonts w:cs="Arial"/>
                <w:color w:val="000000"/>
                <w:sz w:val="18"/>
                <w:szCs w:val="20"/>
              </w:rPr>
            </w:pPr>
            <w:r w:rsidRPr="00AD64C2">
              <w:rPr>
                <w:rFonts w:cs="Arial"/>
                <w:color w:val="000000"/>
                <w:sz w:val="18"/>
                <w:szCs w:val="20"/>
              </w:rPr>
              <w:t>BOLÍVAR</w:t>
            </w:r>
          </w:p>
        </w:tc>
        <w:tc>
          <w:tcPr>
            <w:tcW w:w="1455" w:type="dxa"/>
            <w:noWrap/>
            <w:vAlign w:val="center"/>
            <w:hideMark/>
          </w:tcPr>
          <w:p w14:paraId="4D401027" w14:textId="19475FBB"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p>
        </w:tc>
        <w:tc>
          <w:tcPr>
            <w:tcW w:w="1240" w:type="dxa"/>
            <w:noWrap/>
            <w:vAlign w:val="center"/>
            <w:hideMark/>
          </w:tcPr>
          <w:p w14:paraId="2DB87B31"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177</w:t>
            </w:r>
          </w:p>
        </w:tc>
        <w:tc>
          <w:tcPr>
            <w:tcW w:w="1560" w:type="dxa"/>
            <w:noWrap/>
            <w:vAlign w:val="center"/>
            <w:hideMark/>
          </w:tcPr>
          <w:p w14:paraId="195AC42B"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177</w:t>
            </w:r>
          </w:p>
        </w:tc>
      </w:tr>
      <w:tr w:rsidR="004B1119" w:rsidRPr="00052083" w14:paraId="2E9EFD92"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73DED32F" w14:textId="77777777" w:rsidR="004B1119" w:rsidRPr="00AD64C2" w:rsidRDefault="004B1119" w:rsidP="00AD64C2">
            <w:pPr>
              <w:jc w:val="center"/>
              <w:rPr>
                <w:rFonts w:cs="Arial"/>
                <w:color w:val="000000"/>
                <w:sz w:val="18"/>
                <w:szCs w:val="20"/>
              </w:rPr>
            </w:pPr>
            <w:r w:rsidRPr="00AD64C2">
              <w:rPr>
                <w:rFonts w:cs="Arial"/>
                <w:color w:val="000000"/>
                <w:sz w:val="18"/>
                <w:szCs w:val="20"/>
              </w:rPr>
              <w:t>BOYACÁ</w:t>
            </w:r>
          </w:p>
        </w:tc>
        <w:tc>
          <w:tcPr>
            <w:tcW w:w="1455" w:type="dxa"/>
            <w:noWrap/>
            <w:vAlign w:val="center"/>
            <w:hideMark/>
          </w:tcPr>
          <w:p w14:paraId="4658B1C1" w14:textId="623046D3"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53A8005F"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4.663</w:t>
            </w:r>
          </w:p>
        </w:tc>
        <w:tc>
          <w:tcPr>
            <w:tcW w:w="1560" w:type="dxa"/>
            <w:noWrap/>
            <w:vAlign w:val="center"/>
            <w:hideMark/>
          </w:tcPr>
          <w:p w14:paraId="6F230C62"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4.663</w:t>
            </w:r>
          </w:p>
        </w:tc>
      </w:tr>
      <w:tr w:rsidR="004B1119" w:rsidRPr="00052083" w14:paraId="720459DC"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4728828" w14:textId="77777777" w:rsidR="004B1119" w:rsidRPr="00AD64C2" w:rsidRDefault="004B1119" w:rsidP="00AD64C2">
            <w:pPr>
              <w:jc w:val="center"/>
              <w:rPr>
                <w:rFonts w:cs="Arial"/>
                <w:color w:val="000000"/>
                <w:sz w:val="18"/>
                <w:szCs w:val="20"/>
              </w:rPr>
            </w:pPr>
            <w:r w:rsidRPr="00AD64C2">
              <w:rPr>
                <w:rFonts w:cs="Arial"/>
                <w:color w:val="000000"/>
                <w:sz w:val="18"/>
                <w:szCs w:val="20"/>
              </w:rPr>
              <w:t>CALDAS</w:t>
            </w:r>
          </w:p>
        </w:tc>
        <w:tc>
          <w:tcPr>
            <w:tcW w:w="1455" w:type="dxa"/>
            <w:noWrap/>
            <w:vAlign w:val="center"/>
            <w:hideMark/>
          </w:tcPr>
          <w:p w14:paraId="58DE3042"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2.447</w:t>
            </w:r>
          </w:p>
        </w:tc>
        <w:tc>
          <w:tcPr>
            <w:tcW w:w="1240" w:type="dxa"/>
            <w:noWrap/>
            <w:vAlign w:val="center"/>
            <w:hideMark/>
          </w:tcPr>
          <w:p w14:paraId="5EEE49FD"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11.101</w:t>
            </w:r>
          </w:p>
        </w:tc>
        <w:tc>
          <w:tcPr>
            <w:tcW w:w="1560" w:type="dxa"/>
            <w:noWrap/>
            <w:vAlign w:val="center"/>
            <w:hideMark/>
          </w:tcPr>
          <w:p w14:paraId="76994BF8"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13.548</w:t>
            </w:r>
          </w:p>
        </w:tc>
      </w:tr>
      <w:tr w:rsidR="004B1119" w:rsidRPr="00052083" w14:paraId="4E109135"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BF83500" w14:textId="77777777" w:rsidR="004B1119" w:rsidRPr="00AD64C2" w:rsidRDefault="004B1119" w:rsidP="00AD64C2">
            <w:pPr>
              <w:jc w:val="center"/>
              <w:rPr>
                <w:rFonts w:cs="Arial"/>
                <w:color w:val="000000"/>
                <w:sz w:val="18"/>
                <w:szCs w:val="20"/>
              </w:rPr>
            </w:pPr>
            <w:r w:rsidRPr="00AD64C2">
              <w:rPr>
                <w:rFonts w:cs="Arial"/>
                <w:color w:val="000000"/>
                <w:sz w:val="18"/>
                <w:szCs w:val="20"/>
              </w:rPr>
              <w:t>CAQUETÁ</w:t>
            </w:r>
          </w:p>
        </w:tc>
        <w:tc>
          <w:tcPr>
            <w:tcW w:w="1455" w:type="dxa"/>
            <w:noWrap/>
            <w:vAlign w:val="center"/>
            <w:hideMark/>
          </w:tcPr>
          <w:p w14:paraId="6C160003" w14:textId="7119E7D6"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230B6A14"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306</w:t>
            </w:r>
          </w:p>
        </w:tc>
        <w:tc>
          <w:tcPr>
            <w:tcW w:w="1560" w:type="dxa"/>
            <w:noWrap/>
            <w:vAlign w:val="center"/>
            <w:hideMark/>
          </w:tcPr>
          <w:p w14:paraId="07F145D4"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306</w:t>
            </w:r>
          </w:p>
        </w:tc>
      </w:tr>
      <w:tr w:rsidR="004B1119" w:rsidRPr="00052083" w14:paraId="5A6CB204"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6C9F8B1F" w14:textId="77777777" w:rsidR="004B1119" w:rsidRPr="00AD64C2" w:rsidRDefault="004B1119" w:rsidP="00AD64C2">
            <w:pPr>
              <w:jc w:val="center"/>
              <w:rPr>
                <w:rFonts w:cs="Arial"/>
                <w:color w:val="000000"/>
                <w:sz w:val="18"/>
                <w:szCs w:val="20"/>
              </w:rPr>
            </w:pPr>
            <w:r w:rsidRPr="00AD64C2">
              <w:rPr>
                <w:rFonts w:cs="Arial"/>
                <w:color w:val="000000"/>
                <w:sz w:val="18"/>
                <w:szCs w:val="20"/>
              </w:rPr>
              <w:t>CASANARE</w:t>
            </w:r>
          </w:p>
        </w:tc>
        <w:tc>
          <w:tcPr>
            <w:tcW w:w="1455" w:type="dxa"/>
            <w:noWrap/>
            <w:vAlign w:val="center"/>
            <w:hideMark/>
          </w:tcPr>
          <w:p w14:paraId="3FA9218B" w14:textId="09DFFF1F"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p>
        </w:tc>
        <w:tc>
          <w:tcPr>
            <w:tcW w:w="1240" w:type="dxa"/>
            <w:noWrap/>
            <w:vAlign w:val="center"/>
            <w:hideMark/>
          </w:tcPr>
          <w:p w14:paraId="56789FF2"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2.907</w:t>
            </w:r>
          </w:p>
        </w:tc>
        <w:tc>
          <w:tcPr>
            <w:tcW w:w="1560" w:type="dxa"/>
            <w:noWrap/>
            <w:vAlign w:val="center"/>
            <w:hideMark/>
          </w:tcPr>
          <w:p w14:paraId="6C9CE792"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2.907</w:t>
            </w:r>
          </w:p>
        </w:tc>
      </w:tr>
      <w:tr w:rsidR="004B1119" w:rsidRPr="00052083" w14:paraId="150AD064"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16F62589" w14:textId="77777777" w:rsidR="004B1119" w:rsidRPr="00AD64C2" w:rsidRDefault="004B1119" w:rsidP="00AD64C2">
            <w:pPr>
              <w:jc w:val="center"/>
              <w:rPr>
                <w:rFonts w:cs="Arial"/>
                <w:color w:val="000000"/>
                <w:sz w:val="18"/>
                <w:szCs w:val="20"/>
              </w:rPr>
            </w:pPr>
            <w:r w:rsidRPr="00AD64C2">
              <w:rPr>
                <w:rFonts w:cs="Arial"/>
                <w:color w:val="000000"/>
                <w:sz w:val="18"/>
                <w:szCs w:val="20"/>
              </w:rPr>
              <w:t>CAUCA</w:t>
            </w:r>
          </w:p>
        </w:tc>
        <w:tc>
          <w:tcPr>
            <w:tcW w:w="1455" w:type="dxa"/>
            <w:noWrap/>
            <w:vAlign w:val="center"/>
            <w:hideMark/>
          </w:tcPr>
          <w:p w14:paraId="7C0AC9B0" w14:textId="714AFDD5"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44E86BBC"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1.377</w:t>
            </w:r>
          </w:p>
        </w:tc>
        <w:tc>
          <w:tcPr>
            <w:tcW w:w="1560" w:type="dxa"/>
            <w:noWrap/>
            <w:vAlign w:val="center"/>
            <w:hideMark/>
          </w:tcPr>
          <w:p w14:paraId="2379DC72"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1.377</w:t>
            </w:r>
          </w:p>
        </w:tc>
      </w:tr>
      <w:tr w:rsidR="004B1119" w:rsidRPr="00052083" w14:paraId="56AEC6BF"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5AE95109" w14:textId="77777777" w:rsidR="004B1119" w:rsidRPr="00AD64C2" w:rsidRDefault="004B1119" w:rsidP="00AD64C2">
            <w:pPr>
              <w:jc w:val="center"/>
              <w:rPr>
                <w:rFonts w:cs="Arial"/>
                <w:color w:val="000000"/>
                <w:sz w:val="18"/>
                <w:szCs w:val="20"/>
              </w:rPr>
            </w:pPr>
            <w:r w:rsidRPr="00AD64C2">
              <w:rPr>
                <w:rFonts w:cs="Arial"/>
                <w:color w:val="000000"/>
                <w:sz w:val="18"/>
                <w:szCs w:val="20"/>
              </w:rPr>
              <w:t>CESAR</w:t>
            </w:r>
          </w:p>
        </w:tc>
        <w:tc>
          <w:tcPr>
            <w:tcW w:w="1455" w:type="dxa"/>
            <w:noWrap/>
            <w:vAlign w:val="center"/>
            <w:hideMark/>
          </w:tcPr>
          <w:p w14:paraId="43D6B5C3"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2.037</w:t>
            </w:r>
          </w:p>
        </w:tc>
        <w:tc>
          <w:tcPr>
            <w:tcW w:w="1240" w:type="dxa"/>
            <w:noWrap/>
            <w:vAlign w:val="center"/>
            <w:hideMark/>
          </w:tcPr>
          <w:p w14:paraId="1F07DE79"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939</w:t>
            </w:r>
          </w:p>
        </w:tc>
        <w:tc>
          <w:tcPr>
            <w:tcW w:w="1560" w:type="dxa"/>
            <w:noWrap/>
            <w:vAlign w:val="center"/>
            <w:hideMark/>
          </w:tcPr>
          <w:p w14:paraId="0BEE7943"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2.976</w:t>
            </w:r>
          </w:p>
        </w:tc>
      </w:tr>
      <w:tr w:rsidR="004B1119" w:rsidRPr="00052083" w14:paraId="3DBE4159"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0A0B6B33" w14:textId="77777777" w:rsidR="004B1119" w:rsidRPr="00AD64C2" w:rsidRDefault="004B1119" w:rsidP="00AD64C2">
            <w:pPr>
              <w:jc w:val="center"/>
              <w:rPr>
                <w:rFonts w:cs="Arial"/>
                <w:color w:val="000000"/>
                <w:sz w:val="18"/>
                <w:szCs w:val="20"/>
              </w:rPr>
            </w:pPr>
            <w:r w:rsidRPr="00AD64C2">
              <w:rPr>
                <w:rFonts w:cs="Arial"/>
                <w:color w:val="000000"/>
                <w:sz w:val="18"/>
                <w:szCs w:val="20"/>
              </w:rPr>
              <w:t>CÓRDOBA</w:t>
            </w:r>
          </w:p>
        </w:tc>
        <w:tc>
          <w:tcPr>
            <w:tcW w:w="1455" w:type="dxa"/>
            <w:noWrap/>
            <w:vAlign w:val="center"/>
            <w:hideMark/>
          </w:tcPr>
          <w:p w14:paraId="731C46E3" w14:textId="64F8CFB5"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1ED8579F"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3.771</w:t>
            </w:r>
          </w:p>
        </w:tc>
        <w:tc>
          <w:tcPr>
            <w:tcW w:w="1560" w:type="dxa"/>
            <w:noWrap/>
            <w:vAlign w:val="center"/>
            <w:hideMark/>
          </w:tcPr>
          <w:p w14:paraId="6CA62AA1"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3.771</w:t>
            </w:r>
          </w:p>
        </w:tc>
      </w:tr>
      <w:tr w:rsidR="004B1119" w:rsidRPr="00052083" w14:paraId="0FE4B03E"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46DDCBAC" w14:textId="77777777" w:rsidR="004B1119" w:rsidRPr="00AD64C2" w:rsidRDefault="004B1119" w:rsidP="00AD64C2">
            <w:pPr>
              <w:jc w:val="center"/>
              <w:rPr>
                <w:rFonts w:cs="Arial"/>
                <w:color w:val="000000"/>
                <w:sz w:val="18"/>
                <w:szCs w:val="20"/>
              </w:rPr>
            </w:pPr>
            <w:r w:rsidRPr="00AD64C2">
              <w:rPr>
                <w:rFonts w:cs="Arial"/>
                <w:color w:val="000000"/>
                <w:sz w:val="18"/>
                <w:szCs w:val="20"/>
              </w:rPr>
              <w:t>CUNDINAMARCA</w:t>
            </w:r>
          </w:p>
        </w:tc>
        <w:tc>
          <w:tcPr>
            <w:tcW w:w="1455" w:type="dxa"/>
            <w:noWrap/>
            <w:vAlign w:val="center"/>
            <w:hideMark/>
          </w:tcPr>
          <w:p w14:paraId="45DB653E"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134</w:t>
            </w:r>
          </w:p>
        </w:tc>
        <w:tc>
          <w:tcPr>
            <w:tcW w:w="1240" w:type="dxa"/>
            <w:noWrap/>
            <w:vAlign w:val="center"/>
            <w:hideMark/>
          </w:tcPr>
          <w:p w14:paraId="0CC7DA9C"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3.126</w:t>
            </w:r>
          </w:p>
        </w:tc>
        <w:tc>
          <w:tcPr>
            <w:tcW w:w="1560" w:type="dxa"/>
            <w:noWrap/>
            <w:vAlign w:val="center"/>
            <w:hideMark/>
          </w:tcPr>
          <w:p w14:paraId="6A1A5967"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3.260</w:t>
            </w:r>
          </w:p>
        </w:tc>
      </w:tr>
      <w:tr w:rsidR="004B1119" w:rsidRPr="00052083" w14:paraId="2AF5A9A7"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5349FC9C" w14:textId="77777777" w:rsidR="004B1119" w:rsidRPr="00AD64C2" w:rsidRDefault="004B1119" w:rsidP="00AD64C2">
            <w:pPr>
              <w:jc w:val="center"/>
              <w:rPr>
                <w:rFonts w:cs="Arial"/>
                <w:color w:val="000000"/>
                <w:sz w:val="18"/>
                <w:szCs w:val="20"/>
              </w:rPr>
            </w:pPr>
            <w:r w:rsidRPr="00AD64C2">
              <w:rPr>
                <w:rFonts w:cs="Arial"/>
                <w:color w:val="000000"/>
                <w:sz w:val="18"/>
                <w:szCs w:val="20"/>
              </w:rPr>
              <w:t>GUAJIRA</w:t>
            </w:r>
          </w:p>
        </w:tc>
        <w:tc>
          <w:tcPr>
            <w:tcW w:w="1455" w:type="dxa"/>
            <w:noWrap/>
            <w:vAlign w:val="center"/>
            <w:hideMark/>
          </w:tcPr>
          <w:p w14:paraId="586CCE74" w14:textId="3845525C"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6139138D"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848</w:t>
            </w:r>
          </w:p>
        </w:tc>
        <w:tc>
          <w:tcPr>
            <w:tcW w:w="1560" w:type="dxa"/>
            <w:noWrap/>
            <w:vAlign w:val="center"/>
            <w:hideMark/>
          </w:tcPr>
          <w:p w14:paraId="65AFF923"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848</w:t>
            </w:r>
          </w:p>
        </w:tc>
      </w:tr>
      <w:tr w:rsidR="004B1119" w:rsidRPr="00052083" w14:paraId="48F44B61"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D7A41C3" w14:textId="77777777" w:rsidR="004B1119" w:rsidRPr="00AD64C2" w:rsidRDefault="004B1119" w:rsidP="00AD64C2">
            <w:pPr>
              <w:jc w:val="center"/>
              <w:rPr>
                <w:rFonts w:cs="Arial"/>
                <w:color w:val="000000"/>
                <w:sz w:val="18"/>
                <w:szCs w:val="20"/>
              </w:rPr>
            </w:pPr>
            <w:r w:rsidRPr="00AD64C2">
              <w:rPr>
                <w:rFonts w:cs="Arial"/>
                <w:color w:val="000000"/>
                <w:sz w:val="18"/>
                <w:szCs w:val="20"/>
              </w:rPr>
              <w:t>HUILA</w:t>
            </w:r>
          </w:p>
        </w:tc>
        <w:tc>
          <w:tcPr>
            <w:tcW w:w="1455" w:type="dxa"/>
            <w:noWrap/>
            <w:vAlign w:val="center"/>
            <w:hideMark/>
          </w:tcPr>
          <w:p w14:paraId="4639A45D"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1.012</w:t>
            </w:r>
          </w:p>
        </w:tc>
        <w:tc>
          <w:tcPr>
            <w:tcW w:w="1240" w:type="dxa"/>
            <w:noWrap/>
            <w:vAlign w:val="center"/>
            <w:hideMark/>
          </w:tcPr>
          <w:p w14:paraId="2C636B6A"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3.141</w:t>
            </w:r>
          </w:p>
        </w:tc>
        <w:tc>
          <w:tcPr>
            <w:tcW w:w="1560" w:type="dxa"/>
            <w:noWrap/>
            <w:vAlign w:val="center"/>
            <w:hideMark/>
          </w:tcPr>
          <w:p w14:paraId="7D1C7CFF"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4.153</w:t>
            </w:r>
          </w:p>
        </w:tc>
      </w:tr>
      <w:tr w:rsidR="004B1119" w:rsidRPr="00052083" w14:paraId="11E05CC1"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5EFCB51C" w14:textId="77777777" w:rsidR="004B1119" w:rsidRPr="00AD64C2" w:rsidRDefault="004B1119" w:rsidP="00AD64C2">
            <w:pPr>
              <w:jc w:val="center"/>
              <w:rPr>
                <w:rFonts w:cs="Arial"/>
                <w:color w:val="000000"/>
                <w:sz w:val="18"/>
                <w:szCs w:val="20"/>
              </w:rPr>
            </w:pPr>
            <w:r w:rsidRPr="00AD64C2">
              <w:rPr>
                <w:rFonts w:cs="Arial"/>
                <w:color w:val="000000"/>
                <w:sz w:val="18"/>
                <w:szCs w:val="20"/>
              </w:rPr>
              <w:t>MAGDALENA</w:t>
            </w:r>
          </w:p>
        </w:tc>
        <w:tc>
          <w:tcPr>
            <w:tcW w:w="1455" w:type="dxa"/>
            <w:noWrap/>
            <w:vAlign w:val="center"/>
            <w:hideMark/>
          </w:tcPr>
          <w:p w14:paraId="1FBCCA17" w14:textId="567553B6"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28A1A2CF"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1.149</w:t>
            </w:r>
          </w:p>
        </w:tc>
        <w:tc>
          <w:tcPr>
            <w:tcW w:w="1560" w:type="dxa"/>
            <w:noWrap/>
            <w:vAlign w:val="center"/>
            <w:hideMark/>
          </w:tcPr>
          <w:p w14:paraId="5BEF997E"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1.149</w:t>
            </w:r>
          </w:p>
        </w:tc>
      </w:tr>
      <w:tr w:rsidR="004B1119" w:rsidRPr="00052083" w14:paraId="1DABF8F1"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675313C1" w14:textId="77777777" w:rsidR="004B1119" w:rsidRPr="00AD64C2" w:rsidRDefault="004B1119" w:rsidP="00AD64C2">
            <w:pPr>
              <w:jc w:val="center"/>
              <w:rPr>
                <w:rFonts w:cs="Arial"/>
                <w:color w:val="000000"/>
                <w:sz w:val="18"/>
                <w:szCs w:val="20"/>
              </w:rPr>
            </w:pPr>
            <w:r w:rsidRPr="00AD64C2">
              <w:rPr>
                <w:rFonts w:cs="Arial"/>
                <w:color w:val="000000"/>
                <w:sz w:val="18"/>
                <w:szCs w:val="20"/>
              </w:rPr>
              <w:t>META</w:t>
            </w:r>
          </w:p>
        </w:tc>
        <w:tc>
          <w:tcPr>
            <w:tcW w:w="1455" w:type="dxa"/>
            <w:noWrap/>
            <w:vAlign w:val="center"/>
            <w:hideMark/>
          </w:tcPr>
          <w:p w14:paraId="7929C36D" w14:textId="6E19411C"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p>
        </w:tc>
        <w:tc>
          <w:tcPr>
            <w:tcW w:w="1240" w:type="dxa"/>
            <w:noWrap/>
            <w:vAlign w:val="center"/>
            <w:hideMark/>
          </w:tcPr>
          <w:p w14:paraId="523B3784"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1.665</w:t>
            </w:r>
          </w:p>
        </w:tc>
        <w:tc>
          <w:tcPr>
            <w:tcW w:w="1560" w:type="dxa"/>
            <w:noWrap/>
            <w:vAlign w:val="center"/>
            <w:hideMark/>
          </w:tcPr>
          <w:p w14:paraId="44CD93CD"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1.665</w:t>
            </w:r>
          </w:p>
        </w:tc>
      </w:tr>
      <w:tr w:rsidR="004B1119" w:rsidRPr="00052083" w14:paraId="7B0935AE"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6979E461" w14:textId="77777777" w:rsidR="004B1119" w:rsidRPr="00AD64C2" w:rsidRDefault="004B1119" w:rsidP="00AD64C2">
            <w:pPr>
              <w:jc w:val="center"/>
              <w:rPr>
                <w:rFonts w:cs="Arial"/>
                <w:color w:val="000000"/>
                <w:sz w:val="18"/>
                <w:szCs w:val="20"/>
              </w:rPr>
            </w:pPr>
            <w:r w:rsidRPr="00AD64C2">
              <w:rPr>
                <w:rFonts w:cs="Arial"/>
                <w:color w:val="000000"/>
                <w:sz w:val="18"/>
                <w:szCs w:val="20"/>
              </w:rPr>
              <w:t>NARIÑO</w:t>
            </w:r>
          </w:p>
        </w:tc>
        <w:tc>
          <w:tcPr>
            <w:tcW w:w="1455" w:type="dxa"/>
            <w:noWrap/>
            <w:vAlign w:val="center"/>
            <w:hideMark/>
          </w:tcPr>
          <w:p w14:paraId="043B4B3D" w14:textId="59E3C0C3"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c>
          <w:tcPr>
            <w:tcW w:w="1240" w:type="dxa"/>
            <w:noWrap/>
            <w:vAlign w:val="center"/>
            <w:hideMark/>
          </w:tcPr>
          <w:p w14:paraId="71C20925"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2.225</w:t>
            </w:r>
          </w:p>
        </w:tc>
        <w:tc>
          <w:tcPr>
            <w:tcW w:w="1560" w:type="dxa"/>
            <w:noWrap/>
            <w:vAlign w:val="center"/>
            <w:hideMark/>
          </w:tcPr>
          <w:p w14:paraId="3BE5D42A"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2.225</w:t>
            </w:r>
          </w:p>
        </w:tc>
      </w:tr>
      <w:tr w:rsidR="004B1119" w:rsidRPr="00052083" w14:paraId="50B7E5D6"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B5D6007" w14:textId="77777777" w:rsidR="004B1119" w:rsidRPr="00AD64C2" w:rsidRDefault="004B1119" w:rsidP="00AD64C2">
            <w:pPr>
              <w:jc w:val="center"/>
              <w:rPr>
                <w:rFonts w:cs="Arial"/>
                <w:color w:val="000000"/>
                <w:sz w:val="18"/>
                <w:szCs w:val="20"/>
              </w:rPr>
            </w:pPr>
            <w:r w:rsidRPr="00AD64C2">
              <w:rPr>
                <w:rFonts w:cs="Arial"/>
                <w:color w:val="000000"/>
                <w:sz w:val="18"/>
                <w:szCs w:val="20"/>
              </w:rPr>
              <w:t>NORTE DE SANTANDER</w:t>
            </w:r>
          </w:p>
        </w:tc>
        <w:tc>
          <w:tcPr>
            <w:tcW w:w="1455" w:type="dxa"/>
            <w:noWrap/>
            <w:vAlign w:val="center"/>
            <w:hideMark/>
          </w:tcPr>
          <w:p w14:paraId="3839C449"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431</w:t>
            </w:r>
          </w:p>
        </w:tc>
        <w:tc>
          <w:tcPr>
            <w:tcW w:w="1240" w:type="dxa"/>
            <w:noWrap/>
            <w:vAlign w:val="center"/>
            <w:hideMark/>
          </w:tcPr>
          <w:p w14:paraId="1B2BF2E6"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2.350</w:t>
            </w:r>
          </w:p>
        </w:tc>
        <w:tc>
          <w:tcPr>
            <w:tcW w:w="1560" w:type="dxa"/>
            <w:noWrap/>
            <w:vAlign w:val="center"/>
            <w:hideMark/>
          </w:tcPr>
          <w:p w14:paraId="001214E3"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2.781</w:t>
            </w:r>
          </w:p>
        </w:tc>
      </w:tr>
      <w:tr w:rsidR="004B1119" w:rsidRPr="00052083" w14:paraId="0DED1AA0"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39F92460" w14:textId="77777777" w:rsidR="004B1119" w:rsidRPr="00AD64C2" w:rsidRDefault="004B1119" w:rsidP="00AD64C2">
            <w:pPr>
              <w:jc w:val="center"/>
              <w:rPr>
                <w:rFonts w:cs="Arial"/>
                <w:color w:val="000000"/>
                <w:sz w:val="18"/>
                <w:szCs w:val="20"/>
              </w:rPr>
            </w:pPr>
            <w:r w:rsidRPr="00AD64C2">
              <w:rPr>
                <w:rFonts w:cs="Arial"/>
                <w:color w:val="000000"/>
                <w:sz w:val="18"/>
                <w:szCs w:val="20"/>
              </w:rPr>
              <w:t>QUINDIO</w:t>
            </w:r>
          </w:p>
        </w:tc>
        <w:tc>
          <w:tcPr>
            <w:tcW w:w="1455" w:type="dxa"/>
            <w:noWrap/>
            <w:vAlign w:val="center"/>
            <w:hideMark/>
          </w:tcPr>
          <w:p w14:paraId="25F551FD"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2.338</w:t>
            </w:r>
          </w:p>
        </w:tc>
        <w:tc>
          <w:tcPr>
            <w:tcW w:w="1240" w:type="dxa"/>
            <w:noWrap/>
            <w:vAlign w:val="center"/>
            <w:hideMark/>
          </w:tcPr>
          <w:p w14:paraId="4F572BF4"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1.668</w:t>
            </w:r>
          </w:p>
        </w:tc>
        <w:tc>
          <w:tcPr>
            <w:tcW w:w="1560" w:type="dxa"/>
            <w:noWrap/>
            <w:vAlign w:val="center"/>
            <w:hideMark/>
          </w:tcPr>
          <w:p w14:paraId="5E3E0FB2"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4.006</w:t>
            </w:r>
          </w:p>
        </w:tc>
      </w:tr>
      <w:tr w:rsidR="004B1119" w:rsidRPr="00052083" w14:paraId="20373214"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5C23225F" w14:textId="77777777" w:rsidR="004B1119" w:rsidRPr="00AD64C2" w:rsidRDefault="004B1119" w:rsidP="00AD64C2">
            <w:pPr>
              <w:jc w:val="center"/>
              <w:rPr>
                <w:rFonts w:cs="Arial"/>
                <w:color w:val="000000"/>
                <w:sz w:val="18"/>
                <w:szCs w:val="20"/>
              </w:rPr>
            </w:pPr>
            <w:r w:rsidRPr="00AD64C2">
              <w:rPr>
                <w:rFonts w:cs="Arial"/>
                <w:color w:val="000000"/>
                <w:sz w:val="18"/>
                <w:szCs w:val="20"/>
              </w:rPr>
              <w:t>RISARALDA</w:t>
            </w:r>
          </w:p>
        </w:tc>
        <w:tc>
          <w:tcPr>
            <w:tcW w:w="1455" w:type="dxa"/>
            <w:noWrap/>
            <w:vAlign w:val="center"/>
            <w:hideMark/>
          </w:tcPr>
          <w:p w14:paraId="4AEA83D5"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1.413</w:t>
            </w:r>
          </w:p>
        </w:tc>
        <w:tc>
          <w:tcPr>
            <w:tcW w:w="1240" w:type="dxa"/>
            <w:noWrap/>
            <w:vAlign w:val="center"/>
            <w:hideMark/>
          </w:tcPr>
          <w:p w14:paraId="21D05CBF"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1.482</w:t>
            </w:r>
          </w:p>
        </w:tc>
        <w:tc>
          <w:tcPr>
            <w:tcW w:w="1560" w:type="dxa"/>
            <w:noWrap/>
            <w:vAlign w:val="center"/>
            <w:hideMark/>
          </w:tcPr>
          <w:p w14:paraId="5182C11C"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2.895</w:t>
            </w:r>
          </w:p>
        </w:tc>
      </w:tr>
      <w:tr w:rsidR="004B1119" w:rsidRPr="00052083" w14:paraId="0FA3FC9D"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0088FA1E" w14:textId="77777777" w:rsidR="004B1119" w:rsidRPr="00AD64C2" w:rsidRDefault="004B1119" w:rsidP="00AD64C2">
            <w:pPr>
              <w:jc w:val="center"/>
              <w:rPr>
                <w:rFonts w:cs="Arial"/>
                <w:color w:val="000000"/>
                <w:sz w:val="18"/>
                <w:szCs w:val="20"/>
              </w:rPr>
            </w:pPr>
            <w:r w:rsidRPr="00AD64C2">
              <w:rPr>
                <w:rFonts w:cs="Arial"/>
                <w:color w:val="000000"/>
                <w:sz w:val="18"/>
                <w:szCs w:val="20"/>
              </w:rPr>
              <w:t>SANTANDER</w:t>
            </w:r>
          </w:p>
        </w:tc>
        <w:tc>
          <w:tcPr>
            <w:tcW w:w="1455" w:type="dxa"/>
            <w:noWrap/>
            <w:vAlign w:val="center"/>
            <w:hideMark/>
          </w:tcPr>
          <w:p w14:paraId="21F00400"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w:t>
            </w:r>
          </w:p>
        </w:tc>
        <w:tc>
          <w:tcPr>
            <w:tcW w:w="1240" w:type="dxa"/>
            <w:noWrap/>
            <w:vAlign w:val="center"/>
            <w:hideMark/>
          </w:tcPr>
          <w:p w14:paraId="0FD64933"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8.234</w:t>
            </w:r>
          </w:p>
        </w:tc>
        <w:tc>
          <w:tcPr>
            <w:tcW w:w="1560" w:type="dxa"/>
            <w:noWrap/>
            <w:vAlign w:val="center"/>
            <w:hideMark/>
          </w:tcPr>
          <w:p w14:paraId="2AC2D64C"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8.238</w:t>
            </w:r>
          </w:p>
        </w:tc>
      </w:tr>
      <w:tr w:rsidR="004B1119" w:rsidRPr="00052083" w14:paraId="422F3F8F"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11ECA72" w14:textId="77777777" w:rsidR="004B1119" w:rsidRPr="00AD64C2" w:rsidRDefault="004B1119" w:rsidP="00AD64C2">
            <w:pPr>
              <w:jc w:val="center"/>
              <w:rPr>
                <w:rFonts w:cs="Arial"/>
                <w:color w:val="000000"/>
                <w:sz w:val="18"/>
                <w:szCs w:val="20"/>
              </w:rPr>
            </w:pPr>
            <w:r w:rsidRPr="00AD64C2">
              <w:rPr>
                <w:rFonts w:cs="Arial"/>
                <w:color w:val="000000"/>
                <w:sz w:val="18"/>
                <w:szCs w:val="20"/>
              </w:rPr>
              <w:t>SUCRE</w:t>
            </w:r>
          </w:p>
        </w:tc>
        <w:tc>
          <w:tcPr>
            <w:tcW w:w="1455" w:type="dxa"/>
            <w:noWrap/>
            <w:vAlign w:val="center"/>
            <w:hideMark/>
          </w:tcPr>
          <w:p w14:paraId="35494A79"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144</w:t>
            </w:r>
          </w:p>
        </w:tc>
        <w:tc>
          <w:tcPr>
            <w:tcW w:w="1240" w:type="dxa"/>
            <w:noWrap/>
            <w:vAlign w:val="center"/>
            <w:hideMark/>
          </w:tcPr>
          <w:p w14:paraId="57BAD7FD"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347</w:t>
            </w:r>
          </w:p>
        </w:tc>
        <w:tc>
          <w:tcPr>
            <w:tcW w:w="1560" w:type="dxa"/>
            <w:noWrap/>
            <w:vAlign w:val="center"/>
            <w:hideMark/>
          </w:tcPr>
          <w:p w14:paraId="35FCE6CE"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491</w:t>
            </w:r>
          </w:p>
        </w:tc>
      </w:tr>
      <w:tr w:rsidR="004B1119" w:rsidRPr="00052083" w14:paraId="73AA9B0D"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29A618CF" w14:textId="77777777" w:rsidR="004B1119" w:rsidRPr="00AD64C2" w:rsidRDefault="004B1119" w:rsidP="00AD64C2">
            <w:pPr>
              <w:jc w:val="center"/>
              <w:rPr>
                <w:rFonts w:cs="Arial"/>
                <w:color w:val="000000"/>
                <w:sz w:val="18"/>
                <w:szCs w:val="20"/>
              </w:rPr>
            </w:pPr>
            <w:r w:rsidRPr="00AD64C2">
              <w:rPr>
                <w:rFonts w:cs="Arial"/>
                <w:color w:val="000000"/>
                <w:sz w:val="18"/>
                <w:szCs w:val="20"/>
              </w:rPr>
              <w:t>TOLIMA</w:t>
            </w:r>
          </w:p>
        </w:tc>
        <w:tc>
          <w:tcPr>
            <w:tcW w:w="1455" w:type="dxa"/>
            <w:noWrap/>
            <w:vAlign w:val="center"/>
            <w:hideMark/>
          </w:tcPr>
          <w:p w14:paraId="64127817"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1.195</w:t>
            </w:r>
          </w:p>
        </w:tc>
        <w:tc>
          <w:tcPr>
            <w:tcW w:w="1240" w:type="dxa"/>
            <w:noWrap/>
            <w:vAlign w:val="center"/>
            <w:hideMark/>
          </w:tcPr>
          <w:p w14:paraId="339601B8"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3.598</w:t>
            </w:r>
          </w:p>
        </w:tc>
        <w:tc>
          <w:tcPr>
            <w:tcW w:w="1560" w:type="dxa"/>
            <w:noWrap/>
            <w:vAlign w:val="center"/>
            <w:hideMark/>
          </w:tcPr>
          <w:p w14:paraId="1CCCB0E2"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AD64C2">
              <w:rPr>
                <w:rFonts w:cs="Arial"/>
                <w:color w:val="000000"/>
                <w:sz w:val="18"/>
                <w:szCs w:val="20"/>
              </w:rPr>
              <w:t>4.793</w:t>
            </w:r>
          </w:p>
        </w:tc>
      </w:tr>
      <w:tr w:rsidR="004B1119" w:rsidRPr="00052083" w14:paraId="6CA681A7" w14:textId="77777777" w:rsidTr="00416C1B">
        <w:trPr>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730B3077" w14:textId="77777777" w:rsidR="004B1119" w:rsidRPr="00AD64C2" w:rsidRDefault="004B1119" w:rsidP="00AD64C2">
            <w:pPr>
              <w:jc w:val="center"/>
              <w:rPr>
                <w:rFonts w:cs="Arial"/>
                <w:color w:val="000000"/>
                <w:sz w:val="18"/>
                <w:szCs w:val="20"/>
              </w:rPr>
            </w:pPr>
            <w:r w:rsidRPr="00AD64C2">
              <w:rPr>
                <w:rFonts w:cs="Arial"/>
                <w:color w:val="000000"/>
                <w:sz w:val="18"/>
                <w:szCs w:val="20"/>
              </w:rPr>
              <w:t>VALLE</w:t>
            </w:r>
          </w:p>
        </w:tc>
        <w:tc>
          <w:tcPr>
            <w:tcW w:w="1455" w:type="dxa"/>
            <w:noWrap/>
            <w:vAlign w:val="center"/>
            <w:hideMark/>
          </w:tcPr>
          <w:p w14:paraId="0F4F310E"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890</w:t>
            </w:r>
          </w:p>
        </w:tc>
        <w:tc>
          <w:tcPr>
            <w:tcW w:w="1240" w:type="dxa"/>
            <w:noWrap/>
            <w:vAlign w:val="center"/>
            <w:hideMark/>
          </w:tcPr>
          <w:p w14:paraId="6C19A83F"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253</w:t>
            </w:r>
          </w:p>
        </w:tc>
        <w:tc>
          <w:tcPr>
            <w:tcW w:w="1560" w:type="dxa"/>
            <w:noWrap/>
            <w:vAlign w:val="center"/>
            <w:hideMark/>
          </w:tcPr>
          <w:p w14:paraId="2F5861A3" w14:textId="77777777" w:rsidR="004B1119" w:rsidRPr="00AD64C2" w:rsidRDefault="004B1119"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AD64C2">
              <w:rPr>
                <w:rFonts w:cs="Arial"/>
                <w:color w:val="000000"/>
                <w:sz w:val="18"/>
                <w:szCs w:val="20"/>
              </w:rPr>
              <w:t>1.143</w:t>
            </w:r>
          </w:p>
        </w:tc>
      </w:tr>
      <w:tr w:rsidR="004B1119" w:rsidRPr="00052083" w14:paraId="05D2C15E" w14:textId="77777777" w:rsidTr="00416C1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383" w:type="dxa"/>
            <w:noWrap/>
            <w:vAlign w:val="center"/>
            <w:hideMark/>
          </w:tcPr>
          <w:p w14:paraId="4AC8E2E5" w14:textId="77777777" w:rsidR="004B1119" w:rsidRPr="00AD64C2" w:rsidRDefault="004B1119" w:rsidP="00AD64C2">
            <w:pPr>
              <w:jc w:val="center"/>
              <w:rPr>
                <w:rFonts w:cs="Arial"/>
                <w:b w:val="0"/>
                <w:color w:val="000000"/>
                <w:sz w:val="18"/>
                <w:szCs w:val="20"/>
              </w:rPr>
            </w:pPr>
            <w:r w:rsidRPr="00AD64C2">
              <w:rPr>
                <w:rFonts w:cs="Arial"/>
                <w:color w:val="000000"/>
                <w:sz w:val="18"/>
                <w:szCs w:val="20"/>
              </w:rPr>
              <w:t>Total general</w:t>
            </w:r>
          </w:p>
        </w:tc>
        <w:tc>
          <w:tcPr>
            <w:tcW w:w="1455" w:type="dxa"/>
            <w:noWrap/>
            <w:vAlign w:val="center"/>
            <w:hideMark/>
          </w:tcPr>
          <w:p w14:paraId="17B55584"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r w:rsidRPr="00AD64C2">
              <w:rPr>
                <w:rFonts w:cs="Arial"/>
                <w:b/>
                <w:color w:val="000000"/>
                <w:sz w:val="18"/>
                <w:szCs w:val="20"/>
              </w:rPr>
              <w:t>12.045</w:t>
            </w:r>
          </w:p>
        </w:tc>
        <w:tc>
          <w:tcPr>
            <w:tcW w:w="1240" w:type="dxa"/>
            <w:noWrap/>
            <w:vAlign w:val="center"/>
            <w:hideMark/>
          </w:tcPr>
          <w:p w14:paraId="229E7921"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r w:rsidRPr="00AD64C2">
              <w:rPr>
                <w:rFonts w:cs="Arial"/>
                <w:b/>
                <w:color w:val="000000"/>
                <w:sz w:val="18"/>
                <w:szCs w:val="20"/>
              </w:rPr>
              <w:t>59.567</w:t>
            </w:r>
          </w:p>
        </w:tc>
        <w:tc>
          <w:tcPr>
            <w:tcW w:w="1560" w:type="dxa"/>
            <w:noWrap/>
            <w:vAlign w:val="center"/>
            <w:hideMark/>
          </w:tcPr>
          <w:p w14:paraId="3499A81A" w14:textId="77777777" w:rsidR="004B1119" w:rsidRPr="00AD64C2" w:rsidRDefault="004B1119"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r w:rsidRPr="00AD64C2">
              <w:rPr>
                <w:rFonts w:cs="Arial"/>
                <w:b/>
                <w:color w:val="000000"/>
                <w:sz w:val="18"/>
                <w:szCs w:val="20"/>
              </w:rPr>
              <w:t>71.612</w:t>
            </w:r>
          </w:p>
        </w:tc>
      </w:tr>
    </w:tbl>
    <w:p w14:paraId="732E9DBF" w14:textId="77777777" w:rsidR="004B1119" w:rsidRPr="00445391" w:rsidRDefault="004B1119" w:rsidP="00E729F7">
      <w:pPr>
        <w:jc w:val="center"/>
        <w:rPr>
          <w:rFonts w:eastAsia="Arial" w:cs="Arial"/>
          <w:b/>
          <w:bCs/>
          <w:sz w:val="16"/>
          <w:szCs w:val="16"/>
          <w:lang w:val="es-CO"/>
        </w:rPr>
      </w:pPr>
      <w:r w:rsidRPr="00445391">
        <w:rPr>
          <w:rFonts w:eastAsia="Arial" w:cs="Arial"/>
          <w:b/>
          <w:bCs/>
          <w:sz w:val="16"/>
          <w:szCs w:val="16"/>
          <w:lang w:val="es-CO"/>
        </w:rPr>
        <w:t>Fuente:  Dirección de Gestión Catastral</w:t>
      </w:r>
    </w:p>
    <w:p w14:paraId="5E66ACB5" w14:textId="77777777" w:rsidR="004B1119" w:rsidRDefault="004B1119" w:rsidP="004B1119">
      <w:pPr>
        <w:jc w:val="both"/>
        <w:rPr>
          <w:lang w:val="es-CO"/>
        </w:rPr>
      </w:pPr>
    </w:p>
    <w:p w14:paraId="23FC9391" w14:textId="77777777" w:rsidR="004B1119" w:rsidRPr="00442F1C" w:rsidRDefault="004B1119" w:rsidP="004B1119">
      <w:pPr>
        <w:jc w:val="both"/>
        <w:rPr>
          <w:rFonts w:cs="Arial"/>
          <w:sz w:val="22"/>
          <w:szCs w:val="22"/>
          <w:lang w:val="es-CO"/>
        </w:rPr>
      </w:pPr>
      <w:r w:rsidRPr="00442F1C">
        <w:rPr>
          <w:rFonts w:cs="Arial"/>
          <w:sz w:val="22"/>
          <w:szCs w:val="22"/>
          <w:lang w:val="es-CO"/>
        </w:rPr>
        <w:t xml:space="preserve">Del cuadro anterior, vemos que 12.045 saldos ahora pertenecen a municipios que se han habilitado y 59.567 se encuentran en municipios bajo jurisdicción del IGAC.  Sin embargo, antes </w:t>
      </w:r>
      <w:r w:rsidRPr="00442F1C">
        <w:rPr>
          <w:rFonts w:cs="Arial"/>
          <w:sz w:val="22"/>
          <w:szCs w:val="22"/>
          <w:lang w:val="es-CO"/>
        </w:rPr>
        <w:lastRenderedPageBreak/>
        <w:t xml:space="preserve">de su habilitación se alcanzaron a evacuar 3.394 y anular 1.781, dejando 6.870 interrumpidos tal como se muestra a continuación: </w:t>
      </w:r>
    </w:p>
    <w:p w14:paraId="494ADB97" w14:textId="77777777" w:rsidR="00E62EF1" w:rsidRDefault="00E62EF1" w:rsidP="00E70AEE">
      <w:pPr>
        <w:rPr>
          <w:lang w:val="es-CO" w:eastAsia="es-ES_tradnl"/>
        </w:rPr>
      </w:pPr>
    </w:p>
    <w:p w14:paraId="71545859" w14:textId="3CC9A1B9" w:rsidR="004B1119" w:rsidRPr="00E13867" w:rsidRDefault="004B1119" w:rsidP="004B1119">
      <w:pPr>
        <w:pStyle w:val="Descripcin"/>
        <w:jc w:val="center"/>
        <w:rPr>
          <w:rFonts w:ascii="Arial" w:hAnsi="Arial" w:cs="Arial"/>
          <w:b/>
          <w:bCs/>
          <w:i w:val="0"/>
          <w:iCs w:val="0"/>
        </w:rPr>
      </w:pPr>
      <w:bookmarkStart w:id="47" w:name="_Toc88677087"/>
      <w:r w:rsidRPr="00E13867">
        <w:rPr>
          <w:rFonts w:ascii="Arial" w:hAnsi="Arial" w:cs="Arial"/>
          <w:b/>
          <w:bCs/>
          <w:i w:val="0"/>
          <w:iCs w:val="0"/>
          <w:color w:val="000000" w:themeColor="text1"/>
          <w:sz w:val="16"/>
          <w:szCs w:val="16"/>
        </w:rPr>
        <w:t xml:space="preserve">Tabla </w:t>
      </w:r>
      <w:r w:rsidRPr="00E13867">
        <w:rPr>
          <w:rFonts w:ascii="Arial" w:hAnsi="Arial" w:cs="Arial"/>
          <w:b/>
          <w:bCs/>
          <w:i w:val="0"/>
          <w:iCs w:val="0"/>
          <w:color w:val="000000" w:themeColor="text1"/>
          <w:sz w:val="16"/>
          <w:szCs w:val="16"/>
        </w:rPr>
        <w:fldChar w:fldCharType="begin"/>
      </w:r>
      <w:r w:rsidRPr="00E13867">
        <w:rPr>
          <w:rFonts w:ascii="Arial" w:hAnsi="Arial" w:cs="Arial"/>
          <w:b/>
          <w:bCs/>
          <w:i w:val="0"/>
          <w:iCs w:val="0"/>
          <w:color w:val="000000" w:themeColor="text1"/>
          <w:sz w:val="16"/>
          <w:szCs w:val="16"/>
        </w:rPr>
        <w:instrText xml:space="preserve"> SEQ Tabla \* ARABIC </w:instrText>
      </w:r>
      <w:r w:rsidRPr="00E13867">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15</w:t>
      </w:r>
      <w:r w:rsidRPr="00E13867">
        <w:rPr>
          <w:rFonts w:ascii="Arial" w:hAnsi="Arial" w:cs="Arial"/>
          <w:b/>
          <w:bCs/>
          <w:i w:val="0"/>
          <w:iCs w:val="0"/>
          <w:color w:val="000000" w:themeColor="text1"/>
          <w:sz w:val="16"/>
          <w:szCs w:val="16"/>
        </w:rPr>
        <w:fldChar w:fldCharType="end"/>
      </w:r>
      <w:r w:rsidRPr="00E13867">
        <w:rPr>
          <w:rFonts w:ascii="Arial" w:hAnsi="Arial" w:cs="Arial"/>
          <w:b/>
          <w:bCs/>
          <w:i w:val="0"/>
          <w:iCs w:val="0"/>
          <w:color w:val="000000" w:themeColor="text1"/>
          <w:sz w:val="16"/>
          <w:szCs w:val="16"/>
        </w:rPr>
        <w:t>. Estado de saldos 2020 y anteriores antes de habilitarse</w:t>
      </w:r>
      <w:bookmarkEnd w:id="47"/>
    </w:p>
    <w:tbl>
      <w:tblPr>
        <w:tblStyle w:val="Tabladecuadrcula4-nfasis1"/>
        <w:tblW w:w="7943" w:type="dxa"/>
        <w:tblInd w:w="633" w:type="dxa"/>
        <w:tblLook w:val="04A0" w:firstRow="1" w:lastRow="0" w:firstColumn="1" w:lastColumn="0" w:noHBand="0" w:noVBand="1"/>
      </w:tblPr>
      <w:tblGrid>
        <w:gridCol w:w="2180"/>
        <w:gridCol w:w="1240"/>
        <w:gridCol w:w="1467"/>
        <w:gridCol w:w="1816"/>
        <w:gridCol w:w="1240"/>
      </w:tblGrid>
      <w:tr w:rsidR="00E13867" w:rsidRPr="00052083" w14:paraId="11B84093" w14:textId="77777777" w:rsidTr="00AD64C2">
        <w:trPr>
          <w:cnfStyle w:val="100000000000" w:firstRow="1" w:lastRow="0" w:firstColumn="0" w:lastColumn="0" w:oddVBand="0" w:evenVBand="0" w:oddHBand="0" w:evenHBand="0" w:firstRowFirstColumn="0" w:firstRowLastColumn="0" w:lastRowFirstColumn="0" w:lastRowLastColumn="0"/>
          <w:trHeight w:val="288"/>
          <w:tblHeader/>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1F5095A3" w14:textId="77777777" w:rsidR="00E13867" w:rsidRPr="00AD64C2" w:rsidRDefault="00E13867" w:rsidP="00AD64C2">
            <w:pPr>
              <w:jc w:val="center"/>
              <w:rPr>
                <w:rFonts w:cs="Arial"/>
                <w:b w:val="0"/>
                <w:sz w:val="18"/>
                <w:szCs w:val="18"/>
              </w:rPr>
            </w:pPr>
            <w:r w:rsidRPr="00AD64C2">
              <w:rPr>
                <w:rFonts w:cs="Arial"/>
                <w:sz w:val="18"/>
                <w:szCs w:val="18"/>
              </w:rPr>
              <w:t>DIRECCIÓN TERRITORIAL</w:t>
            </w:r>
          </w:p>
        </w:tc>
        <w:tc>
          <w:tcPr>
            <w:tcW w:w="1240" w:type="dxa"/>
            <w:noWrap/>
            <w:vAlign w:val="center"/>
            <w:hideMark/>
          </w:tcPr>
          <w:p w14:paraId="71895000" w14:textId="77777777" w:rsidR="00E13867" w:rsidRPr="00AD64C2"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ANULADO</w:t>
            </w:r>
          </w:p>
        </w:tc>
        <w:tc>
          <w:tcPr>
            <w:tcW w:w="1467" w:type="dxa"/>
            <w:noWrap/>
            <w:vAlign w:val="center"/>
            <w:hideMark/>
          </w:tcPr>
          <w:p w14:paraId="3BCEFC46" w14:textId="77777777" w:rsidR="00E13867" w:rsidRPr="00AD64C2"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TRAMITADO</w:t>
            </w:r>
          </w:p>
        </w:tc>
        <w:tc>
          <w:tcPr>
            <w:tcW w:w="1816" w:type="dxa"/>
            <w:noWrap/>
            <w:vAlign w:val="center"/>
            <w:hideMark/>
          </w:tcPr>
          <w:p w14:paraId="0EB0CF0B" w14:textId="77777777" w:rsidR="00E13867" w:rsidRPr="00AD64C2"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INTERRUMPIDO</w:t>
            </w:r>
          </w:p>
        </w:tc>
        <w:tc>
          <w:tcPr>
            <w:tcW w:w="1240" w:type="dxa"/>
            <w:noWrap/>
            <w:vAlign w:val="center"/>
            <w:hideMark/>
          </w:tcPr>
          <w:p w14:paraId="300382A8" w14:textId="77777777" w:rsidR="00E13867" w:rsidRPr="00AD64C2"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TOTAL</w:t>
            </w:r>
          </w:p>
        </w:tc>
      </w:tr>
      <w:tr w:rsidR="00E13867" w:rsidRPr="00052083" w14:paraId="170E9B10"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6491FD33" w14:textId="77777777" w:rsidR="00E13867" w:rsidRPr="00AD64C2" w:rsidRDefault="00E13867" w:rsidP="00AD64C2">
            <w:pPr>
              <w:jc w:val="center"/>
              <w:rPr>
                <w:rFonts w:cs="Arial"/>
                <w:color w:val="000000"/>
                <w:sz w:val="18"/>
                <w:szCs w:val="18"/>
              </w:rPr>
            </w:pPr>
            <w:r w:rsidRPr="00AD64C2">
              <w:rPr>
                <w:rFonts w:cs="Arial"/>
                <w:color w:val="000000"/>
                <w:sz w:val="18"/>
                <w:szCs w:val="18"/>
              </w:rPr>
              <w:t>CALDAS</w:t>
            </w:r>
          </w:p>
        </w:tc>
        <w:tc>
          <w:tcPr>
            <w:tcW w:w="1240" w:type="dxa"/>
            <w:noWrap/>
            <w:vAlign w:val="center"/>
            <w:hideMark/>
          </w:tcPr>
          <w:p w14:paraId="4FAB7766" w14:textId="62C0B554"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467" w:type="dxa"/>
            <w:noWrap/>
            <w:vAlign w:val="center"/>
            <w:hideMark/>
          </w:tcPr>
          <w:p w14:paraId="00107726" w14:textId="15F934CE"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816" w:type="dxa"/>
            <w:noWrap/>
            <w:vAlign w:val="center"/>
            <w:hideMark/>
          </w:tcPr>
          <w:p w14:paraId="12B7A04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2.447</w:t>
            </w:r>
          </w:p>
        </w:tc>
        <w:tc>
          <w:tcPr>
            <w:tcW w:w="1240" w:type="dxa"/>
            <w:noWrap/>
            <w:vAlign w:val="center"/>
            <w:hideMark/>
          </w:tcPr>
          <w:p w14:paraId="298CBBD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2.447</w:t>
            </w:r>
          </w:p>
        </w:tc>
      </w:tr>
      <w:tr w:rsidR="00E13867" w:rsidRPr="00052083" w14:paraId="61378D21"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265F7D6B" w14:textId="77777777" w:rsidR="00E13867" w:rsidRPr="00AD64C2" w:rsidRDefault="00E13867" w:rsidP="00AD64C2">
            <w:pPr>
              <w:jc w:val="center"/>
              <w:rPr>
                <w:rFonts w:cs="Arial"/>
                <w:color w:val="000000"/>
                <w:sz w:val="18"/>
                <w:szCs w:val="18"/>
              </w:rPr>
            </w:pPr>
            <w:r w:rsidRPr="00AD64C2">
              <w:rPr>
                <w:rFonts w:cs="Arial"/>
                <w:color w:val="000000"/>
                <w:sz w:val="18"/>
                <w:szCs w:val="18"/>
              </w:rPr>
              <w:t>CESAR</w:t>
            </w:r>
          </w:p>
        </w:tc>
        <w:tc>
          <w:tcPr>
            <w:tcW w:w="1240" w:type="dxa"/>
            <w:noWrap/>
            <w:vAlign w:val="center"/>
            <w:hideMark/>
          </w:tcPr>
          <w:p w14:paraId="385B4C1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860</w:t>
            </w:r>
          </w:p>
        </w:tc>
        <w:tc>
          <w:tcPr>
            <w:tcW w:w="1467" w:type="dxa"/>
            <w:noWrap/>
            <w:vAlign w:val="center"/>
            <w:hideMark/>
          </w:tcPr>
          <w:p w14:paraId="2182B62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1.079</w:t>
            </w:r>
          </w:p>
        </w:tc>
        <w:tc>
          <w:tcPr>
            <w:tcW w:w="1816" w:type="dxa"/>
            <w:noWrap/>
            <w:vAlign w:val="center"/>
            <w:hideMark/>
          </w:tcPr>
          <w:p w14:paraId="2E926E3A"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98</w:t>
            </w:r>
          </w:p>
        </w:tc>
        <w:tc>
          <w:tcPr>
            <w:tcW w:w="1240" w:type="dxa"/>
            <w:noWrap/>
            <w:vAlign w:val="center"/>
            <w:hideMark/>
          </w:tcPr>
          <w:p w14:paraId="429B772B"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2.037</w:t>
            </w:r>
          </w:p>
        </w:tc>
      </w:tr>
      <w:tr w:rsidR="00E13867" w:rsidRPr="00052083" w14:paraId="7503D783"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2B2E0308" w14:textId="77777777" w:rsidR="00E13867" w:rsidRPr="00AD64C2" w:rsidRDefault="00E13867" w:rsidP="00AD64C2">
            <w:pPr>
              <w:jc w:val="center"/>
              <w:rPr>
                <w:rFonts w:cs="Arial"/>
                <w:color w:val="000000"/>
                <w:sz w:val="18"/>
                <w:szCs w:val="18"/>
              </w:rPr>
            </w:pPr>
            <w:r w:rsidRPr="00AD64C2">
              <w:rPr>
                <w:rFonts w:cs="Arial"/>
                <w:color w:val="000000"/>
                <w:sz w:val="18"/>
                <w:szCs w:val="18"/>
              </w:rPr>
              <w:t>CUNDINAMARCA</w:t>
            </w:r>
          </w:p>
        </w:tc>
        <w:tc>
          <w:tcPr>
            <w:tcW w:w="1240" w:type="dxa"/>
            <w:noWrap/>
            <w:vAlign w:val="center"/>
            <w:hideMark/>
          </w:tcPr>
          <w:p w14:paraId="1F370DCB" w14:textId="146B7BC9"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467" w:type="dxa"/>
            <w:noWrap/>
            <w:vAlign w:val="center"/>
            <w:hideMark/>
          </w:tcPr>
          <w:p w14:paraId="1E18EDF4" w14:textId="7A78834A"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816" w:type="dxa"/>
            <w:noWrap/>
            <w:vAlign w:val="center"/>
            <w:hideMark/>
          </w:tcPr>
          <w:p w14:paraId="3D6D6EE0"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134</w:t>
            </w:r>
          </w:p>
        </w:tc>
        <w:tc>
          <w:tcPr>
            <w:tcW w:w="1240" w:type="dxa"/>
            <w:noWrap/>
            <w:vAlign w:val="center"/>
            <w:hideMark/>
          </w:tcPr>
          <w:p w14:paraId="2A435AE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134</w:t>
            </w:r>
          </w:p>
        </w:tc>
      </w:tr>
      <w:tr w:rsidR="00E13867" w:rsidRPr="00052083" w14:paraId="6C76199D"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2F6FBD3E" w14:textId="77777777" w:rsidR="00E13867" w:rsidRPr="00AD64C2" w:rsidRDefault="00E13867" w:rsidP="00AD64C2">
            <w:pPr>
              <w:jc w:val="center"/>
              <w:rPr>
                <w:rFonts w:cs="Arial"/>
                <w:color w:val="000000"/>
                <w:sz w:val="18"/>
                <w:szCs w:val="18"/>
              </w:rPr>
            </w:pPr>
            <w:r w:rsidRPr="00AD64C2">
              <w:rPr>
                <w:rFonts w:cs="Arial"/>
                <w:color w:val="000000"/>
                <w:sz w:val="18"/>
                <w:szCs w:val="18"/>
              </w:rPr>
              <w:t>HUILA</w:t>
            </w:r>
          </w:p>
        </w:tc>
        <w:tc>
          <w:tcPr>
            <w:tcW w:w="1240" w:type="dxa"/>
            <w:noWrap/>
            <w:vAlign w:val="center"/>
            <w:hideMark/>
          </w:tcPr>
          <w:p w14:paraId="6CBBC8B7"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32</w:t>
            </w:r>
          </w:p>
        </w:tc>
        <w:tc>
          <w:tcPr>
            <w:tcW w:w="1467" w:type="dxa"/>
            <w:noWrap/>
            <w:vAlign w:val="center"/>
            <w:hideMark/>
          </w:tcPr>
          <w:p w14:paraId="7B100279"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315</w:t>
            </w:r>
          </w:p>
        </w:tc>
        <w:tc>
          <w:tcPr>
            <w:tcW w:w="1816" w:type="dxa"/>
            <w:noWrap/>
            <w:vAlign w:val="center"/>
            <w:hideMark/>
          </w:tcPr>
          <w:p w14:paraId="303BCEAC"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665</w:t>
            </w:r>
          </w:p>
        </w:tc>
        <w:tc>
          <w:tcPr>
            <w:tcW w:w="1240" w:type="dxa"/>
            <w:noWrap/>
            <w:vAlign w:val="center"/>
            <w:hideMark/>
          </w:tcPr>
          <w:p w14:paraId="017479ED"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1.012</w:t>
            </w:r>
          </w:p>
        </w:tc>
      </w:tr>
      <w:tr w:rsidR="00E13867" w:rsidRPr="00052083" w14:paraId="73D451B7"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09C195CC" w14:textId="77777777" w:rsidR="00E13867" w:rsidRPr="00AD64C2" w:rsidRDefault="00E13867" w:rsidP="00AD64C2">
            <w:pPr>
              <w:jc w:val="center"/>
              <w:rPr>
                <w:rFonts w:cs="Arial"/>
                <w:color w:val="000000"/>
                <w:sz w:val="18"/>
                <w:szCs w:val="18"/>
              </w:rPr>
            </w:pPr>
            <w:r w:rsidRPr="00AD64C2">
              <w:rPr>
                <w:rFonts w:cs="Arial"/>
                <w:color w:val="000000"/>
                <w:sz w:val="18"/>
                <w:szCs w:val="18"/>
              </w:rPr>
              <w:t>NORTE DE SANTANDER</w:t>
            </w:r>
          </w:p>
        </w:tc>
        <w:tc>
          <w:tcPr>
            <w:tcW w:w="1240" w:type="dxa"/>
            <w:noWrap/>
            <w:vAlign w:val="center"/>
            <w:hideMark/>
          </w:tcPr>
          <w:p w14:paraId="629C7891"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w:t>
            </w:r>
          </w:p>
        </w:tc>
        <w:tc>
          <w:tcPr>
            <w:tcW w:w="1467" w:type="dxa"/>
            <w:noWrap/>
            <w:vAlign w:val="center"/>
            <w:hideMark/>
          </w:tcPr>
          <w:p w14:paraId="27CA3B21"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14</w:t>
            </w:r>
          </w:p>
        </w:tc>
        <w:tc>
          <w:tcPr>
            <w:tcW w:w="1816" w:type="dxa"/>
            <w:noWrap/>
            <w:vAlign w:val="center"/>
            <w:hideMark/>
          </w:tcPr>
          <w:p w14:paraId="144B1C6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414</w:t>
            </w:r>
          </w:p>
        </w:tc>
        <w:tc>
          <w:tcPr>
            <w:tcW w:w="1240" w:type="dxa"/>
            <w:noWrap/>
            <w:vAlign w:val="center"/>
            <w:hideMark/>
          </w:tcPr>
          <w:p w14:paraId="208D9D32"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431</w:t>
            </w:r>
          </w:p>
        </w:tc>
      </w:tr>
      <w:tr w:rsidR="00E13867" w:rsidRPr="00052083" w14:paraId="349EE093"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334FCF6B" w14:textId="77777777" w:rsidR="00E13867" w:rsidRPr="00AD64C2" w:rsidRDefault="00E13867" w:rsidP="00AD64C2">
            <w:pPr>
              <w:jc w:val="center"/>
              <w:rPr>
                <w:rFonts w:cs="Arial"/>
                <w:color w:val="000000"/>
                <w:sz w:val="18"/>
                <w:szCs w:val="18"/>
              </w:rPr>
            </w:pPr>
            <w:r w:rsidRPr="00AD64C2">
              <w:rPr>
                <w:rFonts w:cs="Arial"/>
                <w:color w:val="000000"/>
                <w:sz w:val="18"/>
                <w:szCs w:val="18"/>
              </w:rPr>
              <w:t>QUINDIO</w:t>
            </w:r>
          </w:p>
        </w:tc>
        <w:tc>
          <w:tcPr>
            <w:tcW w:w="1240" w:type="dxa"/>
            <w:noWrap/>
            <w:vAlign w:val="center"/>
            <w:hideMark/>
          </w:tcPr>
          <w:p w14:paraId="17D5121E"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613</w:t>
            </w:r>
          </w:p>
        </w:tc>
        <w:tc>
          <w:tcPr>
            <w:tcW w:w="1467" w:type="dxa"/>
            <w:noWrap/>
            <w:vAlign w:val="center"/>
            <w:hideMark/>
          </w:tcPr>
          <w:p w14:paraId="6424BEFF"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753</w:t>
            </w:r>
          </w:p>
        </w:tc>
        <w:tc>
          <w:tcPr>
            <w:tcW w:w="1816" w:type="dxa"/>
            <w:noWrap/>
            <w:vAlign w:val="center"/>
            <w:hideMark/>
          </w:tcPr>
          <w:p w14:paraId="70C01C0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972</w:t>
            </w:r>
          </w:p>
        </w:tc>
        <w:tc>
          <w:tcPr>
            <w:tcW w:w="1240" w:type="dxa"/>
            <w:noWrap/>
            <w:vAlign w:val="center"/>
            <w:hideMark/>
          </w:tcPr>
          <w:p w14:paraId="14FFCE6D"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2.338</w:t>
            </w:r>
          </w:p>
        </w:tc>
      </w:tr>
      <w:tr w:rsidR="00E13867" w:rsidRPr="00052083" w14:paraId="0B172410"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4E1A2AFD" w14:textId="77777777" w:rsidR="00E13867" w:rsidRPr="00AD64C2" w:rsidRDefault="00E13867" w:rsidP="00AD64C2">
            <w:pPr>
              <w:jc w:val="center"/>
              <w:rPr>
                <w:rFonts w:cs="Arial"/>
                <w:color w:val="000000"/>
                <w:sz w:val="18"/>
                <w:szCs w:val="18"/>
              </w:rPr>
            </w:pPr>
            <w:r w:rsidRPr="00AD64C2">
              <w:rPr>
                <w:rFonts w:cs="Arial"/>
                <w:color w:val="000000"/>
                <w:sz w:val="18"/>
                <w:szCs w:val="18"/>
              </w:rPr>
              <w:t>RISARALDA</w:t>
            </w:r>
          </w:p>
        </w:tc>
        <w:tc>
          <w:tcPr>
            <w:tcW w:w="1240" w:type="dxa"/>
            <w:noWrap/>
            <w:vAlign w:val="center"/>
            <w:hideMark/>
          </w:tcPr>
          <w:p w14:paraId="5CEFFF9B"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249</w:t>
            </w:r>
          </w:p>
        </w:tc>
        <w:tc>
          <w:tcPr>
            <w:tcW w:w="1467" w:type="dxa"/>
            <w:noWrap/>
            <w:vAlign w:val="center"/>
            <w:hideMark/>
          </w:tcPr>
          <w:p w14:paraId="7E2DB30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1.124</w:t>
            </w:r>
          </w:p>
        </w:tc>
        <w:tc>
          <w:tcPr>
            <w:tcW w:w="1816" w:type="dxa"/>
            <w:noWrap/>
            <w:vAlign w:val="center"/>
            <w:hideMark/>
          </w:tcPr>
          <w:p w14:paraId="3A39E59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40</w:t>
            </w:r>
          </w:p>
        </w:tc>
        <w:tc>
          <w:tcPr>
            <w:tcW w:w="1240" w:type="dxa"/>
            <w:noWrap/>
            <w:vAlign w:val="center"/>
            <w:hideMark/>
          </w:tcPr>
          <w:p w14:paraId="5A29A7C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1.413</w:t>
            </w:r>
          </w:p>
        </w:tc>
      </w:tr>
      <w:tr w:rsidR="00E13867" w:rsidRPr="00052083" w14:paraId="37281102"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11CF4352" w14:textId="77777777" w:rsidR="00E13867" w:rsidRPr="00AD64C2" w:rsidRDefault="00E13867" w:rsidP="00AD64C2">
            <w:pPr>
              <w:jc w:val="center"/>
              <w:rPr>
                <w:rFonts w:cs="Arial"/>
                <w:color w:val="000000"/>
                <w:sz w:val="18"/>
                <w:szCs w:val="18"/>
              </w:rPr>
            </w:pPr>
            <w:r w:rsidRPr="00AD64C2">
              <w:rPr>
                <w:rFonts w:cs="Arial"/>
                <w:color w:val="000000"/>
                <w:sz w:val="18"/>
                <w:szCs w:val="18"/>
              </w:rPr>
              <w:t>SANTANDER</w:t>
            </w:r>
          </w:p>
        </w:tc>
        <w:tc>
          <w:tcPr>
            <w:tcW w:w="1240" w:type="dxa"/>
            <w:noWrap/>
            <w:vAlign w:val="center"/>
            <w:hideMark/>
          </w:tcPr>
          <w:p w14:paraId="57565B88" w14:textId="7C51B3B4"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467" w:type="dxa"/>
            <w:noWrap/>
            <w:vAlign w:val="center"/>
            <w:hideMark/>
          </w:tcPr>
          <w:p w14:paraId="270259D5" w14:textId="6567EA1D"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816" w:type="dxa"/>
            <w:noWrap/>
            <w:vAlign w:val="center"/>
            <w:hideMark/>
          </w:tcPr>
          <w:p w14:paraId="203D09A9"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4</w:t>
            </w:r>
          </w:p>
        </w:tc>
        <w:tc>
          <w:tcPr>
            <w:tcW w:w="1240" w:type="dxa"/>
            <w:noWrap/>
            <w:vAlign w:val="center"/>
            <w:hideMark/>
          </w:tcPr>
          <w:p w14:paraId="60A86498"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4</w:t>
            </w:r>
          </w:p>
        </w:tc>
      </w:tr>
      <w:tr w:rsidR="00E13867" w:rsidRPr="00052083" w14:paraId="0E238A38"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172141E3" w14:textId="77777777" w:rsidR="00E13867" w:rsidRPr="00AD64C2" w:rsidRDefault="00E13867" w:rsidP="00AD64C2">
            <w:pPr>
              <w:jc w:val="center"/>
              <w:rPr>
                <w:rFonts w:cs="Arial"/>
                <w:color w:val="000000"/>
                <w:sz w:val="18"/>
                <w:szCs w:val="18"/>
              </w:rPr>
            </w:pPr>
            <w:r w:rsidRPr="00AD64C2">
              <w:rPr>
                <w:rFonts w:cs="Arial"/>
                <w:color w:val="000000"/>
                <w:sz w:val="18"/>
                <w:szCs w:val="18"/>
              </w:rPr>
              <w:t>SUCRE</w:t>
            </w:r>
          </w:p>
        </w:tc>
        <w:tc>
          <w:tcPr>
            <w:tcW w:w="1240" w:type="dxa"/>
            <w:noWrap/>
            <w:vAlign w:val="center"/>
            <w:hideMark/>
          </w:tcPr>
          <w:p w14:paraId="71E951D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24</w:t>
            </w:r>
          </w:p>
        </w:tc>
        <w:tc>
          <w:tcPr>
            <w:tcW w:w="1467" w:type="dxa"/>
            <w:noWrap/>
            <w:vAlign w:val="center"/>
            <w:hideMark/>
          </w:tcPr>
          <w:p w14:paraId="1EF6988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103</w:t>
            </w:r>
          </w:p>
        </w:tc>
        <w:tc>
          <w:tcPr>
            <w:tcW w:w="1816" w:type="dxa"/>
            <w:noWrap/>
            <w:vAlign w:val="center"/>
            <w:hideMark/>
          </w:tcPr>
          <w:p w14:paraId="754635A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17</w:t>
            </w:r>
          </w:p>
        </w:tc>
        <w:tc>
          <w:tcPr>
            <w:tcW w:w="1240" w:type="dxa"/>
            <w:noWrap/>
            <w:vAlign w:val="center"/>
            <w:hideMark/>
          </w:tcPr>
          <w:p w14:paraId="218533D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144</w:t>
            </w:r>
          </w:p>
        </w:tc>
      </w:tr>
      <w:tr w:rsidR="00E13867" w:rsidRPr="00052083" w14:paraId="1833893C"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047A2D29" w14:textId="77777777" w:rsidR="00E13867" w:rsidRPr="00AD64C2" w:rsidRDefault="00E13867" w:rsidP="00AD64C2">
            <w:pPr>
              <w:jc w:val="center"/>
              <w:rPr>
                <w:rFonts w:cs="Arial"/>
                <w:color w:val="000000"/>
                <w:sz w:val="18"/>
                <w:szCs w:val="18"/>
              </w:rPr>
            </w:pPr>
            <w:r w:rsidRPr="00AD64C2">
              <w:rPr>
                <w:rFonts w:cs="Arial"/>
                <w:color w:val="000000"/>
                <w:sz w:val="18"/>
                <w:szCs w:val="18"/>
              </w:rPr>
              <w:t>TOLIMA</w:t>
            </w:r>
          </w:p>
        </w:tc>
        <w:tc>
          <w:tcPr>
            <w:tcW w:w="1240" w:type="dxa"/>
            <w:noWrap/>
            <w:vAlign w:val="center"/>
            <w:hideMark/>
          </w:tcPr>
          <w:p w14:paraId="5E2334D1" w14:textId="5E8D3FC3"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467" w:type="dxa"/>
            <w:noWrap/>
            <w:vAlign w:val="center"/>
            <w:hideMark/>
          </w:tcPr>
          <w:p w14:paraId="07AE153D" w14:textId="6BD404E3"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816" w:type="dxa"/>
            <w:noWrap/>
            <w:vAlign w:val="center"/>
            <w:hideMark/>
          </w:tcPr>
          <w:p w14:paraId="3C717A6F"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1.195</w:t>
            </w:r>
          </w:p>
        </w:tc>
        <w:tc>
          <w:tcPr>
            <w:tcW w:w="1240" w:type="dxa"/>
            <w:noWrap/>
            <w:vAlign w:val="center"/>
            <w:hideMark/>
          </w:tcPr>
          <w:p w14:paraId="6872D3C8"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1.195</w:t>
            </w:r>
          </w:p>
        </w:tc>
      </w:tr>
      <w:tr w:rsidR="00E13867" w:rsidRPr="00052083" w14:paraId="021E89DF"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0C2473A7" w14:textId="77777777" w:rsidR="00E13867" w:rsidRPr="00AD64C2" w:rsidRDefault="00E13867" w:rsidP="00AD64C2">
            <w:pPr>
              <w:jc w:val="center"/>
              <w:rPr>
                <w:rFonts w:cs="Arial"/>
                <w:color w:val="000000"/>
                <w:sz w:val="18"/>
                <w:szCs w:val="18"/>
              </w:rPr>
            </w:pPr>
            <w:r w:rsidRPr="00AD64C2">
              <w:rPr>
                <w:rFonts w:cs="Arial"/>
                <w:color w:val="000000"/>
                <w:sz w:val="18"/>
                <w:szCs w:val="18"/>
              </w:rPr>
              <w:t>VALLE</w:t>
            </w:r>
          </w:p>
        </w:tc>
        <w:tc>
          <w:tcPr>
            <w:tcW w:w="1240" w:type="dxa"/>
            <w:noWrap/>
            <w:vAlign w:val="center"/>
            <w:hideMark/>
          </w:tcPr>
          <w:p w14:paraId="6D7591A0" w14:textId="3FCC6BA1"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467" w:type="dxa"/>
            <w:noWrap/>
            <w:vAlign w:val="center"/>
            <w:hideMark/>
          </w:tcPr>
          <w:p w14:paraId="52609DA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6</w:t>
            </w:r>
          </w:p>
        </w:tc>
        <w:tc>
          <w:tcPr>
            <w:tcW w:w="1816" w:type="dxa"/>
            <w:noWrap/>
            <w:vAlign w:val="center"/>
            <w:hideMark/>
          </w:tcPr>
          <w:p w14:paraId="5F8D440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884</w:t>
            </w:r>
          </w:p>
        </w:tc>
        <w:tc>
          <w:tcPr>
            <w:tcW w:w="1240" w:type="dxa"/>
            <w:noWrap/>
            <w:vAlign w:val="center"/>
            <w:hideMark/>
          </w:tcPr>
          <w:p w14:paraId="497755A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890</w:t>
            </w:r>
          </w:p>
        </w:tc>
      </w:tr>
      <w:tr w:rsidR="00E13867" w:rsidRPr="00052083" w14:paraId="41C1D935"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2180" w:type="dxa"/>
            <w:noWrap/>
            <w:vAlign w:val="center"/>
            <w:hideMark/>
          </w:tcPr>
          <w:p w14:paraId="689BD014" w14:textId="77777777" w:rsidR="00E13867" w:rsidRPr="00AD64C2" w:rsidRDefault="00E13867" w:rsidP="00AD64C2">
            <w:pPr>
              <w:jc w:val="center"/>
              <w:rPr>
                <w:rFonts w:cs="Arial"/>
                <w:b w:val="0"/>
                <w:color w:val="000000"/>
                <w:sz w:val="18"/>
                <w:szCs w:val="18"/>
              </w:rPr>
            </w:pPr>
            <w:r w:rsidRPr="00AD64C2">
              <w:rPr>
                <w:rFonts w:cs="Arial"/>
                <w:color w:val="000000"/>
                <w:sz w:val="18"/>
                <w:szCs w:val="18"/>
              </w:rPr>
              <w:t>Total general</w:t>
            </w:r>
          </w:p>
        </w:tc>
        <w:tc>
          <w:tcPr>
            <w:tcW w:w="1240" w:type="dxa"/>
            <w:noWrap/>
            <w:vAlign w:val="center"/>
            <w:hideMark/>
          </w:tcPr>
          <w:p w14:paraId="3C8A859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AD64C2">
              <w:rPr>
                <w:rFonts w:cs="Arial"/>
                <w:b/>
                <w:color w:val="000000"/>
                <w:sz w:val="18"/>
                <w:szCs w:val="18"/>
              </w:rPr>
              <w:t>1.781</w:t>
            </w:r>
          </w:p>
        </w:tc>
        <w:tc>
          <w:tcPr>
            <w:tcW w:w="1467" w:type="dxa"/>
            <w:noWrap/>
            <w:vAlign w:val="center"/>
            <w:hideMark/>
          </w:tcPr>
          <w:p w14:paraId="29336857"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AD64C2">
              <w:rPr>
                <w:rFonts w:cs="Arial"/>
                <w:b/>
                <w:color w:val="000000"/>
                <w:sz w:val="18"/>
                <w:szCs w:val="18"/>
              </w:rPr>
              <w:t>3.394</w:t>
            </w:r>
          </w:p>
        </w:tc>
        <w:tc>
          <w:tcPr>
            <w:tcW w:w="1816" w:type="dxa"/>
            <w:noWrap/>
            <w:vAlign w:val="center"/>
            <w:hideMark/>
          </w:tcPr>
          <w:p w14:paraId="3436A8D3"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AD64C2">
              <w:rPr>
                <w:rFonts w:cs="Arial"/>
                <w:b/>
                <w:color w:val="000000"/>
                <w:sz w:val="18"/>
                <w:szCs w:val="18"/>
              </w:rPr>
              <w:t>6.870</w:t>
            </w:r>
          </w:p>
        </w:tc>
        <w:tc>
          <w:tcPr>
            <w:tcW w:w="1240" w:type="dxa"/>
            <w:noWrap/>
            <w:vAlign w:val="center"/>
            <w:hideMark/>
          </w:tcPr>
          <w:p w14:paraId="2FF76A9D"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b/>
                <w:color w:val="000000"/>
                <w:sz w:val="18"/>
                <w:szCs w:val="18"/>
              </w:rPr>
            </w:pPr>
            <w:r w:rsidRPr="00AD64C2">
              <w:rPr>
                <w:rFonts w:cs="Arial"/>
                <w:b/>
                <w:color w:val="000000"/>
                <w:sz w:val="18"/>
                <w:szCs w:val="18"/>
              </w:rPr>
              <w:t>12.045</w:t>
            </w:r>
          </w:p>
        </w:tc>
      </w:tr>
    </w:tbl>
    <w:p w14:paraId="550CED85" w14:textId="77777777" w:rsidR="00E13867" w:rsidRPr="00855E4B" w:rsidRDefault="00E13867" w:rsidP="00E729F7">
      <w:pPr>
        <w:jc w:val="center"/>
        <w:rPr>
          <w:rFonts w:eastAsia="Arial" w:cs="Arial"/>
          <w:b/>
          <w:bCs/>
          <w:sz w:val="16"/>
          <w:szCs w:val="16"/>
          <w:lang w:val="es-CO"/>
        </w:rPr>
      </w:pPr>
      <w:r w:rsidRPr="00855E4B">
        <w:rPr>
          <w:rFonts w:eastAsia="Arial" w:cs="Arial"/>
          <w:b/>
          <w:bCs/>
          <w:sz w:val="16"/>
          <w:szCs w:val="16"/>
          <w:lang w:val="es-CO"/>
        </w:rPr>
        <w:t>Fuente:  Dirección de Gestión Catastral</w:t>
      </w:r>
    </w:p>
    <w:p w14:paraId="007C6632" w14:textId="77777777" w:rsidR="00E13867" w:rsidRDefault="00E13867" w:rsidP="00E70AEE">
      <w:pPr>
        <w:rPr>
          <w:lang w:val="es-CO" w:eastAsia="es-ES_tradnl"/>
        </w:rPr>
      </w:pPr>
    </w:p>
    <w:p w14:paraId="69138FA1" w14:textId="77777777" w:rsidR="00E13867" w:rsidRPr="00EF7953" w:rsidRDefault="00E13867" w:rsidP="00E13867">
      <w:pPr>
        <w:jc w:val="both"/>
        <w:rPr>
          <w:rFonts w:cs="Arial"/>
          <w:sz w:val="22"/>
          <w:szCs w:val="22"/>
          <w:lang w:val="es-CO"/>
        </w:rPr>
      </w:pPr>
      <w:r w:rsidRPr="00EF7953">
        <w:rPr>
          <w:rFonts w:cs="Arial"/>
          <w:sz w:val="22"/>
          <w:szCs w:val="22"/>
          <w:lang w:val="es-CO"/>
        </w:rPr>
        <w:t xml:space="preserve">Con respecto a los saldos de los municipios bajo jurisdicción del IGAC tenemos: </w:t>
      </w:r>
    </w:p>
    <w:p w14:paraId="2B7D3D02" w14:textId="20731FC4" w:rsidR="00E13867" w:rsidRDefault="00E13867" w:rsidP="00AD64C2">
      <w:pPr>
        <w:pStyle w:val="Tablasygrficos"/>
        <w:jc w:val="left"/>
      </w:pPr>
    </w:p>
    <w:p w14:paraId="7E9A2EAB" w14:textId="55E77E6F" w:rsidR="00E13867" w:rsidRPr="00E13867" w:rsidRDefault="00E13867" w:rsidP="00E13867">
      <w:pPr>
        <w:pStyle w:val="Descripcin"/>
        <w:keepNext/>
        <w:jc w:val="center"/>
        <w:rPr>
          <w:rFonts w:ascii="Arial" w:hAnsi="Arial" w:cs="Arial"/>
          <w:b/>
          <w:bCs/>
          <w:i w:val="0"/>
          <w:iCs w:val="0"/>
          <w:color w:val="000000" w:themeColor="text1"/>
          <w:sz w:val="16"/>
          <w:szCs w:val="16"/>
        </w:rPr>
      </w:pPr>
      <w:bookmarkStart w:id="48" w:name="_Toc88677088"/>
      <w:r w:rsidRPr="00E13867">
        <w:rPr>
          <w:rFonts w:ascii="Arial" w:hAnsi="Arial" w:cs="Arial"/>
          <w:b/>
          <w:bCs/>
          <w:i w:val="0"/>
          <w:iCs w:val="0"/>
          <w:color w:val="000000" w:themeColor="text1"/>
          <w:sz w:val="16"/>
          <w:szCs w:val="16"/>
        </w:rPr>
        <w:t xml:space="preserve">Tabla </w:t>
      </w:r>
      <w:r w:rsidRPr="00E13867">
        <w:rPr>
          <w:rFonts w:ascii="Arial" w:hAnsi="Arial" w:cs="Arial"/>
          <w:b/>
          <w:bCs/>
          <w:i w:val="0"/>
          <w:iCs w:val="0"/>
          <w:color w:val="000000" w:themeColor="text1"/>
          <w:sz w:val="16"/>
          <w:szCs w:val="16"/>
        </w:rPr>
        <w:fldChar w:fldCharType="begin"/>
      </w:r>
      <w:r w:rsidRPr="00E13867">
        <w:rPr>
          <w:rFonts w:ascii="Arial" w:hAnsi="Arial" w:cs="Arial"/>
          <w:b/>
          <w:bCs/>
          <w:i w:val="0"/>
          <w:iCs w:val="0"/>
          <w:color w:val="000000" w:themeColor="text1"/>
          <w:sz w:val="16"/>
          <w:szCs w:val="16"/>
        </w:rPr>
        <w:instrText xml:space="preserve"> SEQ Tabla \* ARABIC </w:instrText>
      </w:r>
      <w:r w:rsidRPr="00E13867">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16</w:t>
      </w:r>
      <w:r w:rsidRPr="00E13867">
        <w:rPr>
          <w:rFonts w:ascii="Arial" w:hAnsi="Arial" w:cs="Arial"/>
          <w:b/>
          <w:bCs/>
          <w:i w:val="0"/>
          <w:iCs w:val="0"/>
          <w:color w:val="000000" w:themeColor="text1"/>
          <w:sz w:val="16"/>
          <w:szCs w:val="16"/>
        </w:rPr>
        <w:fldChar w:fldCharType="end"/>
      </w:r>
      <w:r w:rsidRPr="00E13867">
        <w:rPr>
          <w:rFonts w:ascii="Arial" w:hAnsi="Arial" w:cs="Arial"/>
          <w:b/>
          <w:bCs/>
          <w:i w:val="0"/>
          <w:iCs w:val="0"/>
          <w:color w:val="000000" w:themeColor="text1"/>
          <w:sz w:val="16"/>
          <w:szCs w:val="16"/>
        </w:rPr>
        <w:t>. Estado de saldos 2020 y anteriores, en municipios bajo jurisdicción del IGAC</w:t>
      </w:r>
      <w:bookmarkEnd w:id="48"/>
    </w:p>
    <w:tbl>
      <w:tblPr>
        <w:tblStyle w:val="Tabladecuadrcula4-nfasis1"/>
        <w:tblW w:w="7518" w:type="dxa"/>
        <w:jc w:val="center"/>
        <w:tblLook w:val="04A0" w:firstRow="1" w:lastRow="0" w:firstColumn="1" w:lastColumn="0" w:noHBand="0" w:noVBand="1"/>
      </w:tblPr>
      <w:tblGrid>
        <w:gridCol w:w="2104"/>
        <w:gridCol w:w="1240"/>
        <w:gridCol w:w="1467"/>
        <w:gridCol w:w="1467"/>
        <w:gridCol w:w="1240"/>
      </w:tblGrid>
      <w:tr w:rsidR="00E13867" w:rsidRPr="00930B3C" w14:paraId="466D3628" w14:textId="77777777" w:rsidTr="00F8391A">
        <w:trPr>
          <w:cnfStyle w:val="100000000000" w:firstRow="1" w:lastRow="0" w:firstColumn="0" w:lastColumn="0" w:oddVBand="0" w:evenVBand="0" w:oddHBand="0" w:evenHBand="0" w:firstRowFirstColumn="0" w:firstRowLastColumn="0" w:lastRowFirstColumn="0" w:lastRowLastColumn="0"/>
          <w:trHeight w:val="288"/>
          <w:tblHeader/>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0DBEB4A4" w14:textId="77777777" w:rsidR="00E13867" w:rsidRPr="00AD64C2" w:rsidRDefault="00E13867" w:rsidP="00A6302C">
            <w:pPr>
              <w:jc w:val="center"/>
              <w:rPr>
                <w:rFonts w:cs="Arial"/>
                <w:b w:val="0"/>
                <w:sz w:val="18"/>
                <w:szCs w:val="18"/>
              </w:rPr>
            </w:pPr>
            <w:r w:rsidRPr="00AD64C2">
              <w:rPr>
                <w:rFonts w:cs="Arial"/>
                <w:sz w:val="18"/>
                <w:szCs w:val="18"/>
              </w:rPr>
              <w:t>DIRECCIÓN TERRITORIAL</w:t>
            </w:r>
          </w:p>
        </w:tc>
        <w:tc>
          <w:tcPr>
            <w:tcW w:w="1240" w:type="dxa"/>
            <w:noWrap/>
            <w:vAlign w:val="center"/>
            <w:hideMark/>
          </w:tcPr>
          <w:p w14:paraId="6824B59E" w14:textId="77777777" w:rsidR="00E13867" w:rsidRPr="00AD64C2"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ANULADO</w:t>
            </w:r>
          </w:p>
        </w:tc>
        <w:tc>
          <w:tcPr>
            <w:tcW w:w="1467" w:type="dxa"/>
            <w:noWrap/>
            <w:vAlign w:val="center"/>
            <w:hideMark/>
          </w:tcPr>
          <w:p w14:paraId="63585785" w14:textId="77777777" w:rsidR="00E13867" w:rsidRPr="00AD64C2"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NO TRAMITADO</w:t>
            </w:r>
          </w:p>
        </w:tc>
        <w:tc>
          <w:tcPr>
            <w:tcW w:w="1467" w:type="dxa"/>
            <w:noWrap/>
            <w:vAlign w:val="center"/>
            <w:hideMark/>
          </w:tcPr>
          <w:p w14:paraId="4F228373" w14:textId="77777777" w:rsidR="00E13867" w:rsidRPr="00AD64C2"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TRAMITADO</w:t>
            </w:r>
          </w:p>
        </w:tc>
        <w:tc>
          <w:tcPr>
            <w:tcW w:w="1240" w:type="dxa"/>
            <w:noWrap/>
            <w:vAlign w:val="center"/>
            <w:hideMark/>
          </w:tcPr>
          <w:p w14:paraId="7A19AF76" w14:textId="77777777" w:rsidR="00E13867" w:rsidRPr="00AD64C2"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18"/>
              </w:rPr>
            </w:pPr>
            <w:r w:rsidRPr="00AD64C2">
              <w:rPr>
                <w:rFonts w:cs="Arial"/>
                <w:sz w:val="18"/>
                <w:szCs w:val="18"/>
              </w:rPr>
              <w:t>TOTAL</w:t>
            </w:r>
          </w:p>
        </w:tc>
      </w:tr>
      <w:tr w:rsidR="00E13867" w:rsidRPr="00930B3C" w14:paraId="79EA2D55"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66C372C6" w14:textId="77777777" w:rsidR="00E13867" w:rsidRPr="00AD64C2" w:rsidRDefault="00E13867" w:rsidP="00AD64C2">
            <w:pPr>
              <w:jc w:val="center"/>
              <w:rPr>
                <w:rFonts w:cs="Arial"/>
                <w:color w:val="000000"/>
                <w:sz w:val="18"/>
                <w:szCs w:val="18"/>
              </w:rPr>
            </w:pPr>
            <w:r w:rsidRPr="00AD64C2">
              <w:rPr>
                <w:rFonts w:cs="Arial"/>
                <w:color w:val="000000"/>
                <w:sz w:val="18"/>
                <w:szCs w:val="18"/>
              </w:rPr>
              <w:t>ATLÁNTICO</w:t>
            </w:r>
          </w:p>
        </w:tc>
        <w:tc>
          <w:tcPr>
            <w:tcW w:w="1240" w:type="dxa"/>
            <w:noWrap/>
            <w:vAlign w:val="center"/>
            <w:hideMark/>
          </w:tcPr>
          <w:p w14:paraId="7316F263"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316</w:t>
            </w:r>
          </w:p>
        </w:tc>
        <w:tc>
          <w:tcPr>
            <w:tcW w:w="1467" w:type="dxa"/>
            <w:noWrap/>
            <w:vAlign w:val="center"/>
            <w:hideMark/>
          </w:tcPr>
          <w:p w14:paraId="525DC5B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2.463</w:t>
            </w:r>
          </w:p>
        </w:tc>
        <w:tc>
          <w:tcPr>
            <w:tcW w:w="1467" w:type="dxa"/>
            <w:noWrap/>
            <w:vAlign w:val="center"/>
            <w:hideMark/>
          </w:tcPr>
          <w:p w14:paraId="7276B9C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1.461</w:t>
            </w:r>
          </w:p>
        </w:tc>
        <w:tc>
          <w:tcPr>
            <w:tcW w:w="1240" w:type="dxa"/>
            <w:noWrap/>
            <w:vAlign w:val="center"/>
            <w:hideMark/>
          </w:tcPr>
          <w:p w14:paraId="4FC2A96A"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4.240</w:t>
            </w:r>
          </w:p>
        </w:tc>
      </w:tr>
      <w:tr w:rsidR="00E13867" w:rsidRPr="00930B3C" w14:paraId="64CC352B"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27DA1050" w14:textId="77777777" w:rsidR="00E13867" w:rsidRPr="00AD64C2" w:rsidRDefault="00E13867" w:rsidP="00AD64C2">
            <w:pPr>
              <w:jc w:val="center"/>
              <w:rPr>
                <w:rFonts w:cs="Arial"/>
                <w:color w:val="000000"/>
                <w:sz w:val="18"/>
                <w:szCs w:val="18"/>
              </w:rPr>
            </w:pPr>
            <w:r w:rsidRPr="00AD64C2">
              <w:rPr>
                <w:rFonts w:cs="Arial"/>
                <w:color w:val="000000"/>
                <w:sz w:val="18"/>
                <w:szCs w:val="18"/>
              </w:rPr>
              <w:t>BOLÍVAR</w:t>
            </w:r>
          </w:p>
        </w:tc>
        <w:tc>
          <w:tcPr>
            <w:tcW w:w="1240" w:type="dxa"/>
            <w:noWrap/>
            <w:vAlign w:val="center"/>
            <w:hideMark/>
          </w:tcPr>
          <w:p w14:paraId="73B09F68" w14:textId="33A8A599"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467" w:type="dxa"/>
            <w:noWrap/>
            <w:vAlign w:val="center"/>
            <w:hideMark/>
          </w:tcPr>
          <w:p w14:paraId="59E04A8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177</w:t>
            </w:r>
          </w:p>
        </w:tc>
        <w:tc>
          <w:tcPr>
            <w:tcW w:w="1467" w:type="dxa"/>
            <w:noWrap/>
            <w:vAlign w:val="center"/>
            <w:hideMark/>
          </w:tcPr>
          <w:p w14:paraId="0C97C655" w14:textId="67E5B4AC"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p>
        </w:tc>
        <w:tc>
          <w:tcPr>
            <w:tcW w:w="1240" w:type="dxa"/>
            <w:noWrap/>
            <w:vAlign w:val="center"/>
            <w:hideMark/>
          </w:tcPr>
          <w:p w14:paraId="35A06194"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177</w:t>
            </w:r>
          </w:p>
        </w:tc>
      </w:tr>
      <w:tr w:rsidR="00E13867" w:rsidRPr="00930B3C" w14:paraId="19580B91"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09209AA0" w14:textId="77777777" w:rsidR="00E13867" w:rsidRPr="00AD64C2" w:rsidRDefault="00E13867" w:rsidP="00AD64C2">
            <w:pPr>
              <w:jc w:val="center"/>
              <w:rPr>
                <w:rFonts w:cs="Arial"/>
                <w:color w:val="000000"/>
                <w:sz w:val="18"/>
                <w:szCs w:val="18"/>
              </w:rPr>
            </w:pPr>
            <w:r w:rsidRPr="00AD64C2">
              <w:rPr>
                <w:rFonts w:cs="Arial"/>
                <w:color w:val="000000"/>
                <w:sz w:val="18"/>
                <w:szCs w:val="18"/>
              </w:rPr>
              <w:t>BOYACÁ</w:t>
            </w:r>
          </w:p>
        </w:tc>
        <w:tc>
          <w:tcPr>
            <w:tcW w:w="1240" w:type="dxa"/>
            <w:noWrap/>
            <w:vAlign w:val="center"/>
            <w:hideMark/>
          </w:tcPr>
          <w:p w14:paraId="42D8A41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1.218</w:t>
            </w:r>
          </w:p>
        </w:tc>
        <w:tc>
          <w:tcPr>
            <w:tcW w:w="1467" w:type="dxa"/>
            <w:noWrap/>
            <w:vAlign w:val="center"/>
            <w:hideMark/>
          </w:tcPr>
          <w:p w14:paraId="0C1C20D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1.570</w:t>
            </w:r>
          </w:p>
        </w:tc>
        <w:tc>
          <w:tcPr>
            <w:tcW w:w="1467" w:type="dxa"/>
            <w:noWrap/>
            <w:vAlign w:val="center"/>
            <w:hideMark/>
          </w:tcPr>
          <w:p w14:paraId="2E25603B"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1.875</w:t>
            </w:r>
          </w:p>
        </w:tc>
        <w:tc>
          <w:tcPr>
            <w:tcW w:w="1240" w:type="dxa"/>
            <w:noWrap/>
            <w:vAlign w:val="center"/>
            <w:hideMark/>
          </w:tcPr>
          <w:p w14:paraId="6AE975C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4.663</w:t>
            </w:r>
          </w:p>
        </w:tc>
      </w:tr>
      <w:tr w:rsidR="00E13867" w:rsidRPr="00930B3C" w14:paraId="38DB0E47"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61C07D09" w14:textId="77777777" w:rsidR="00E13867" w:rsidRPr="00AD64C2" w:rsidRDefault="00E13867" w:rsidP="00AD64C2">
            <w:pPr>
              <w:jc w:val="center"/>
              <w:rPr>
                <w:rFonts w:cs="Arial"/>
                <w:color w:val="000000"/>
                <w:sz w:val="18"/>
                <w:szCs w:val="18"/>
              </w:rPr>
            </w:pPr>
            <w:r w:rsidRPr="00AD64C2">
              <w:rPr>
                <w:rFonts w:cs="Arial"/>
                <w:color w:val="000000"/>
                <w:sz w:val="18"/>
                <w:szCs w:val="18"/>
              </w:rPr>
              <w:t>CALDAS</w:t>
            </w:r>
          </w:p>
        </w:tc>
        <w:tc>
          <w:tcPr>
            <w:tcW w:w="1240" w:type="dxa"/>
            <w:noWrap/>
            <w:vAlign w:val="center"/>
            <w:hideMark/>
          </w:tcPr>
          <w:p w14:paraId="3089A76D"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760</w:t>
            </w:r>
          </w:p>
        </w:tc>
        <w:tc>
          <w:tcPr>
            <w:tcW w:w="1467" w:type="dxa"/>
            <w:noWrap/>
            <w:vAlign w:val="center"/>
            <w:hideMark/>
          </w:tcPr>
          <w:p w14:paraId="2BE8BC51"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5.849</w:t>
            </w:r>
          </w:p>
        </w:tc>
        <w:tc>
          <w:tcPr>
            <w:tcW w:w="1467" w:type="dxa"/>
            <w:noWrap/>
            <w:vAlign w:val="center"/>
            <w:hideMark/>
          </w:tcPr>
          <w:p w14:paraId="1A8D405A"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4.492</w:t>
            </w:r>
          </w:p>
        </w:tc>
        <w:tc>
          <w:tcPr>
            <w:tcW w:w="1240" w:type="dxa"/>
            <w:noWrap/>
            <w:vAlign w:val="center"/>
            <w:hideMark/>
          </w:tcPr>
          <w:p w14:paraId="37EA76C4"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11.101</w:t>
            </w:r>
          </w:p>
        </w:tc>
      </w:tr>
      <w:tr w:rsidR="00E13867" w:rsidRPr="00930B3C" w14:paraId="382C6640"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46BF81CD" w14:textId="77777777" w:rsidR="00E13867" w:rsidRPr="00AD64C2" w:rsidRDefault="00E13867" w:rsidP="00AD64C2">
            <w:pPr>
              <w:jc w:val="center"/>
              <w:rPr>
                <w:rFonts w:cs="Arial"/>
                <w:color w:val="000000"/>
                <w:sz w:val="18"/>
                <w:szCs w:val="18"/>
              </w:rPr>
            </w:pPr>
            <w:r w:rsidRPr="00AD64C2">
              <w:rPr>
                <w:rFonts w:cs="Arial"/>
                <w:color w:val="000000"/>
                <w:sz w:val="18"/>
                <w:szCs w:val="18"/>
              </w:rPr>
              <w:t>CAQUETÁ</w:t>
            </w:r>
          </w:p>
        </w:tc>
        <w:tc>
          <w:tcPr>
            <w:tcW w:w="1240" w:type="dxa"/>
            <w:noWrap/>
            <w:vAlign w:val="center"/>
            <w:hideMark/>
          </w:tcPr>
          <w:p w14:paraId="3BE35E4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33</w:t>
            </w:r>
          </w:p>
        </w:tc>
        <w:tc>
          <w:tcPr>
            <w:tcW w:w="1467" w:type="dxa"/>
            <w:noWrap/>
            <w:vAlign w:val="center"/>
            <w:hideMark/>
          </w:tcPr>
          <w:p w14:paraId="1CA59F18"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14</w:t>
            </w:r>
          </w:p>
        </w:tc>
        <w:tc>
          <w:tcPr>
            <w:tcW w:w="1467" w:type="dxa"/>
            <w:noWrap/>
            <w:vAlign w:val="center"/>
            <w:hideMark/>
          </w:tcPr>
          <w:p w14:paraId="18D51D82"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259</w:t>
            </w:r>
          </w:p>
        </w:tc>
        <w:tc>
          <w:tcPr>
            <w:tcW w:w="1240" w:type="dxa"/>
            <w:noWrap/>
            <w:vAlign w:val="center"/>
            <w:hideMark/>
          </w:tcPr>
          <w:p w14:paraId="42D9CA23"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306</w:t>
            </w:r>
          </w:p>
        </w:tc>
      </w:tr>
      <w:tr w:rsidR="00E13867" w:rsidRPr="00930B3C" w14:paraId="548CF641"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1A5B6E4F" w14:textId="77777777" w:rsidR="00E13867" w:rsidRPr="00AD64C2" w:rsidRDefault="00E13867" w:rsidP="00AD64C2">
            <w:pPr>
              <w:jc w:val="center"/>
              <w:rPr>
                <w:rFonts w:cs="Arial"/>
                <w:color w:val="000000"/>
                <w:sz w:val="18"/>
                <w:szCs w:val="18"/>
              </w:rPr>
            </w:pPr>
            <w:r w:rsidRPr="00AD64C2">
              <w:rPr>
                <w:rFonts w:cs="Arial"/>
                <w:color w:val="000000"/>
                <w:sz w:val="18"/>
                <w:szCs w:val="18"/>
              </w:rPr>
              <w:t>CASANARE</w:t>
            </w:r>
          </w:p>
        </w:tc>
        <w:tc>
          <w:tcPr>
            <w:tcW w:w="1240" w:type="dxa"/>
            <w:noWrap/>
            <w:vAlign w:val="center"/>
            <w:hideMark/>
          </w:tcPr>
          <w:p w14:paraId="40A383FF"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12</w:t>
            </w:r>
          </w:p>
        </w:tc>
        <w:tc>
          <w:tcPr>
            <w:tcW w:w="1467" w:type="dxa"/>
            <w:noWrap/>
            <w:vAlign w:val="center"/>
            <w:hideMark/>
          </w:tcPr>
          <w:p w14:paraId="5C0BA96C"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2.885</w:t>
            </w:r>
          </w:p>
        </w:tc>
        <w:tc>
          <w:tcPr>
            <w:tcW w:w="1467" w:type="dxa"/>
            <w:noWrap/>
            <w:vAlign w:val="center"/>
            <w:hideMark/>
          </w:tcPr>
          <w:p w14:paraId="466F81A1"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10</w:t>
            </w:r>
          </w:p>
        </w:tc>
        <w:tc>
          <w:tcPr>
            <w:tcW w:w="1240" w:type="dxa"/>
            <w:noWrap/>
            <w:vAlign w:val="center"/>
            <w:hideMark/>
          </w:tcPr>
          <w:p w14:paraId="3ECCDED2"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2.907</w:t>
            </w:r>
          </w:p>
        </w:tc>
      </w:tr>
      <w:tr w:rsidR="00E13867" w:rsidRPr="00930B3C" w14:paraId="27504F9C"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ECFFEE5" w14:textId="77777777" w:rsidR="00E13867" w:rsidRPr="00AD64C2" w:rsidRDefault="00E13867" w:rsidP="00AD64C2">
            <w:pPr>
              <w:jc w:val="center"/>
              <w:rPr>
                <w:rFonts w:cs="Arial"/>
                <w:color w:val="000000"/>
                <w:sz w:val="18"/>
                <w:szCs w:val="18"/>
              </w:rPr>
            </w:pPr>
            <w:r w:rsidRPr="00AD64C2">
              <w:rPr>
                <w:rFonts w:cs="Arial"/>
                <w:color w:val="000000"/>
                <w:sz w:val="18"/>
                <w:szCs w:val="18"/>
              </w:rPr>
              <w:t>CAUCA</w:t>
            </w:r>
          </w:p>
        </w:tc>
        <w:tc>
          <w:tcPr>
            <w:tcW w:w="1240" w:type="dxa"/>
            <w:noWrap/>
            <w:vAlign w:val="center"/>
            <w:hideMark/>
          </w:tcPr>
          <w:p w14:paraId="4C726484"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389</w:t>
            </w:r>
          </w:p>
        </w:tc>
        <w:tc>
          <w:tcPr>
            <w:tcW w:w="1467" w:type="dxa"/>
            <w:noWrap/>
            <w:vAlign w:val="center"/>
            <w:hideMark/>
          </w:tcPr>
          <w:p w14:paraId="5B87072D"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838</w:t>
            </w:r>
          </w:p>
        </w:tc>
        <w:tc>
          <w:tcPr>
            <w:tcW w:w="1467" w:type="dxa"/>
            <w:noWrap/>
            <w:vAlign w:val="center"/>
            <w:hideMark/>
          </w:tcPr>
          <w:p w14:paraId="662B206A"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150</w:t>
            </w:r>
          </w:p>
        </w:tc>
        <w:tc>
          <w:tcPr>
            <w:tcW w:w="1240" w:type="dxa"/>
            <w:noWrap/>
            <w:vAlign w:val="center"/>
            <w:hideMark/>
          </w:tcPr>
          <w:p w14:paraId="1F875EE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1.377</w:t>
            </w:r>
          </w:p>
        </w:tc>
      </w:tr>
      <w:tr w:rsidR="00E13867" w:rsidRPr="00930B3C" w14:paraId="096598FD"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4F0AD409" w14:textId="77777777" w:rsidR="00E13867" w:rsidRPr="00AD64C2" w:rsidRDefault="00E13867" w:rsidP="00AD64C2">
            <w:pPr>
              <w:jc w:val="center"/>
              <w:rPr>
                <w:rFonts w:cs="Arial"/>
                <w:color w:val="000000"/>
                <w:sz w:val="18"/>
                <w:szCs w:val="18"/>
              </w:rPr>
            </w:pPr>
            <w:r w:rsidRPr="00AD64C2">
              <w:rPr>
                <w:rFonts w:cs="Arial"/>
                <w:color w:val="000000"/>
                <w:sz w:val="18"/>
                <w:szCs w:val="18"/>
              </w:rPr>
              <w:t>CESAR</w:t>
            </w:r>
          </w:p>
        </w:tc>
        <w:tc>
          <w:tcPr>
            <w:tcW w:w="1240" w:type="dxa"/>
            <w:noWrap/>
            <w:vAlign w:val="center"/>
            <w:hideMark/>
          </w:tcPr>
          <w:p w14:paraId="6D75383B"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196</w:t>
            </w:r>
          </w:p>
        </w:tc>
        <w:tc>
          <w:tcPr>
            <w:tcW w:w="1467" w:type="dxa"/>
            <w:noWrap/>
            <w:vAlign w:val="center"/>
            <w:hideMark/>
          </w:tcPr>
          <w:p w14:paraId="44FB1CE7"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380</w:t>
            </w:r>
          </w:p>
        </w:tc>
        <w:tc>
          <w:tcPr>
            <w:tcW w:w="1467" w:type="dxa"/>
            <w:noWrap/>
            <w:vAlign w:val="center"/>
            <w:hideMark/>
          </w:tcPr>
          <w:p w14:paraId="7090B24A"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363</w:t>
            </w:r>
          </w:p>
        </w:tc>
        <w:tc>
          <w:tcPr>
            <w:tcW w:w="1240" w:type="dxa"/>
            <w:noWrap/>
            <w:vAlign w:val="center"/>
            <w:hideMark/>
          </w:tcPr>
          <w:p w14:paraId="7A14C20E"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939</w:t>
            </w:r>
          </w:p>
        </w:tc>
      </w:tr>
      <w:tr w:rsidR="00E13867" w:rsidRPr="00930B3C" w14:paraId="6E6BD91D"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19AAC5CE" w14:textId="77777777" w:rsidR="00E13867" w:rsidRPr="00AD64C2" w:rsidRDefault="00E13867" w:rsidP="00AD64C2">
            <w:pPr>
              <w:jc w:val="center"/>
              <w:rPr>
                <w:rFonts w:cs="Arial"/>
                <w:color w:val="000000"/>
                <w:sz w:val="18"/>
                <w:szCs w:val="18"/>
              </w:rPr>
            </w:pPr>
            <w:r w:rsidRPr="00AD64C2">
              <w:rPr>
                <w:rFonts w:cs="Arial"/>
                <w:color w:val="000000"/>
                <w:sz w:val="18"/>
                <w:szCs w:val="18"/>
              </w:rPr>
              <w:t>CÓRDOBA</w:t>
            </w:r>
          </w:p>
        </w:tc>
        <w:tc>
          <w:tcPr>
            <w:tcW w:w="1240" w:type="dxa"/>
            <w:noWrap/>
            <w:vAlign w:val="center"/>
            <w:hideMark/>
          </w:tcPr>
          <w:p w14:paraId="4773238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529</w:t>
            </w:r>
          </w:p>
        </w:tc>
        <w:tc>
          <w:tcPr>
            <w:tcW w:w="1467" w:type="dxa"/>
            <w:noWrap/>
            <w:vAlign w:val="center"/>
            <w:hideMark/>
          </w:tcPr>
          <w:p w14:paraId="2727255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1.528</w:t>
            </w:r>
          </w:p>
        </w:tc>
        <w:tc>
          <w:tcPr>
            <w:tcW w:w="1467" w:type="dxa"/>
            <w:noWrap/>
            <w:vAlign w:val="center"/>
            <w:hideMark/>
          </w:tcPr>
          <w:p w14:paraId="23D0945C"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1.714</w:t>
            </w:r>
          </w:p>
        </w:tc>
        <w:tc>
          <w:tcPr>
            <w:tcW w:w="1240" w:type="dxa"/>
            <w:noWrap/>
            <w:vAlign w:val="center"/>
            <w:hideMark/>
          </w:tcPr>
          <w:p w14:paraId="13D85CC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3.771</w:t>
            </w:r>
          </w:p>
        </w:tc>
      </w:tr>
      <w:tr w:rsidR="00E13867" w:rsidRPr="00930B3C" w14:paraId="191C990A"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A752ECA" w14:textId="77777777" w:rsidR="00E13867" w:rsidRPr="00AD64C2" w:rsidRDefault="00E13867" w:rsidP="00AD64C2">
            <w:pPr>
              <w:jc w:val="center"/>
              <w:rPr>
                <w:rFonts w:cs="Arial"/>
                <w:color w:val="000000"/>
                <w:sz w:val="18"/>
                <w:szCs w:val="18"/>
              </w:rPr>
            </w:pPr>
            <w:r w:rsidRPr="00AD64C2">
              <w:rPr>
                <w:rFonts w:cs="Arial"/>
                <w:color w:val="000000"/>
                <w:sz w:val="18"/>
                <w:szCs w:val="18"/>
              </w:rPr>
              <w:t>CUNDINAMARCA</w:t>
            </w:r>
          </w:p>
        </w:tc>
        <w:tc>
          <w:tcPr>
            <w:tcW w:w="1240" w:type="dxa"/>
            <w:noWrap/>
            <w:vAlign w:val="center"/>
            <w:hideMark/>
          </w:tcPr>
          <w:p w14:paraId="3C90BB99"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8</w:t>
            </w:r>
          </w:p>
        </w:tc>
        <w:tc>
          <w:tcPr>
            <w:tcW w:w="1467" w:type="dxa"/>
            <w:noWrap/>
            <w:vAlign w:val="center"/>
            <w:hideMark/>
          </w:tcPr>
          <w:p w14:paraId="1779A99C"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3.116</w:t>
            </w:r>
          </w:p>
        </w:tc>
        <w:tc>
          <w:tcPr>
            <w:tcW w:w="1467" w:type="dxa"/>
            <w:noWrap/>
            <w:vAlign w:val="center"/>
            <w:hideMark/>
          </w:tcPr>
          <w:p w14:paraId="316C950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w:t>
            </w:r>
          </w:p>
        </w:tc>
        <w:tc>
          <w:tcPr>
            <w:tcW w:w="1240" w:type="dxa"/>
            <w:noWrap/>
            <w:vAlign w:val="center"/>
            <w:hideMark/>
          </w:tcPr>
          <w:p w14:paraId="2D9DC85E"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3.126</w:t>
            </w:r>
          </w:p>
        </w:tc>
      </w:tr>
      <w:tr w:rsidR="00E13867" w:rsidRPr="00930B3C" w14:paraId="2C010210"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7927D4C5" w14:textId="77777777" w:rsidR="00E13867" w:rsidRPr="00AD64C2" w:rsidRDefault="00E13867" w:rsidP="00AD64C2">
            <w:pPr>
              <w:jc w:val="center"/>
              <w:rPr>
                <w:rFonts w:cs="Arial"/>
                <w:color w:val="000000"/>
                <w:sz w:val="18"/>
                <w:szCs w:val="18"/>
              </w:rPr>
            </w:pPr>
            <w:r w:rsidRPr="00AD64C2">
              <w:rPr>
                <w:rFonts w:cs="Arial"/>
                <w:color w:val="000000"/>
                <w:sz w:val="18"/>
                <w:szCs w:val="18"/>
              </w:rPr>
              <w:t>GUAJIRA</w:t>
            </w:r>
          </w:p>
        </w:tc>
        <w:tc>
          <w:tcPr>
            <w:tcW w:w="1240" w:type="dxa"/>
            <w:noWrap/>
            <w:vAlign w:val="center"/>
            <w:hideMark/>
          </w:tcPr>
          <w:p w14:paraId="081A75F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118</w:t>
            </w:r>
          </w:p>
        </w:tc>
        <w:tc>
          <w:tcPr>
            <w:tcW w:w="1467" w:type="dxa"/>
            <w:noWrap/>
            <w:vAlign w:val="center"/>
            <w:hideMark/>
          </w:tcPr>
          <w:p w14:paraId="7A2D3E74"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636</w:t>
            </w:r>
          </w:p>
        </w:tc>
        <w:tc>
          <w:tcPr>
            <w:tcW w:w="1467" w:type="dxa"/>
            <w:noWrap/>
            <w:vAlign w:val="center"/>
            <w:hideMark/>
          </w:tcPr>
          <w:p w14:paraId="34C1D649"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94</w:t>
            </w:r>
          </w:p>
        </w:tc>
        <w:tc>
          <w:tcPr>
            <w:tcW w:w="1240" w:type="dxa"/>
            <w:noWrap/>
            <w:vAlign w:val="center"/>
            <w:hideMark/>
          </w:tcPr>
          <w:p w14:paraId="0B4688F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848</w:t>
            </w:r>
          </w:p>
        </w:tc>
      </w:tr>
      <w:tr w:rsidR="00E13867" w:rsidRPr="00930B3C" w14:paraId="3B91923B"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DB8D83C" w14:textId="77777777" w:rsidR="00E13867" w:rsidRPr="00AD64C2" w:rsidRDefault="00E13867" w:rsidP="00AD64C2">
            <w:pPr>
              <w:jc w:val="center"/>
              <w:rPr>
                <w:rFonts w:cs="Arial"/>
                <w:color w:val="000000"/>
                <w:sz w:val="18"/>
                <w:szCs w:val="18"/>
              </w:rPr>
            </w:pPr>
            <w:r w:rsidRPr="00AD64C2">
              <w:rPr>
                <w:rFonts w:cs="Arial"/>
                <w:color w:val="000000"/>
                <w:sz w:val="18"/>
                <w:szCs w:val="18"/>
              </w:rPr>
              <w:t>HUILA</w:t>
            </w:r>
          </w:p>
        </w:tc>
        <w:tc>
          <w:tcPr>
            <w:tcW w:w="1240" w:type="dxa"/>
            <w:noWrap/>
            <w:vAlign w:val="center"/>
            <w:hideMark/>
          </w:tcPr>
          <w:p w14:paraId="774C4704"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83</w:t>
            </w:r>
          </w:p>
        </w:tc>
        <w:tc>
          <w:tcPr>
            <w:tcW w:w="1467" w:type="dxa"/>
            <w:noWrap/>
            <w:vAlign w:val="center"/>
            <w:hideMark/>
          </w:tcPr>
          <w:p w14:paraId="444D60C2"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2.609</w:t>
            </w:r>
          </w:p>
        </w:tc>
        <w:tc>
          <w:tcPr>
            <w:tcW w:w="1467" w:type="dxa"/>
            <w:noWrap/>
            <w:vAlign w:val="center"/>
            <w:hideMark/>
          </w:tcPr>
          <w:p w14:paraId="6785D980"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449</w:t>
            </w:r>
          </w:p>
        </w:tc>
        <w:tc>
          <w:tcPr>
            <w:tcW w:w="1240" w:type="dxa"/>
            <w:noWrap/>
            <w:vAlign w:val="center"/>
            <w:hideMark/>
          </w:tcPr>
          <w:p w14:paraId="14F5FA57"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3.141</w:t>
            </w:r>
          </w:p>
        </w:tc>
      </w:tr>
      <w:tr w:rsidR="00E13867" w:rsidRPr="00930B3C" w14:paraId="049B97CA"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5AA3A4DE" w14:textId="77777777" w:rsidR="00E13867" w:rsidRPr="00AD64C2" w:rsidRDefault="00E13867" w:rsidP="00AD64C2">
            <w:pPr>
              <w:jc w:val="center"/>
              <w:rPr>
                <w:rFonts w:cs="Arial"/>
                <w:color w:val="000000"/>
                <w:sz w:val="18"/>
                <w:szCs w:val="18"/>
              </w:rPr>
            </w:pPr>
            <w:r w:rsidRPr="00AD64C2">
              <w:rPr>
                <w:rFonts w:cs="Arial"/>
                <w:color w:val="000000"/>
                <w:sz w:val="18"/>
                <w:szCs w:val="18"/>
              </w:rPr>
              <w:t>MAGDALENA</w:t>
            </w:r>
          </w:p>
        </w:tc>
        <w:tc>
          <w:tcPr>
            <w:tcW w:w="1240" w:type="dxa"/>
            <w:noWrap/>
            <w:vAlign w:val="center"/>
            <w:hideMark/>
          </w:tcPr>
          <w:p w14:paraId="52F8C4C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427</w:t>
            </w:r>
          </w:p>
        </w:tc>
        <w:tc>
          <w:tcPr>
            <w:tcW w:w="1467" w:type="dxa"/>
            <w:noWrap/>
            <w:vAlign w:val="center"/>
            <w:hideMark/>
          </w:tcPr>
          <w:p w14:paraId="2CA1978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671</w:t>
            </w:r>
          </w:p>
        </w:tc>
        <w:tc>
          <w:tcPr>
            <w:tcW w:w="1467" w:type="dxa"/>
            <w:noWrap/>
            <w:vAlign w:val="center"/>
            <w:hideMark/>
          </w:tcPr>
          <w:p w14:paraId="4E3EE75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51</w:t>
            </w:r>
          </w:p>
        </w:tc>
        <w:tc>
          <w:tcPr>
            <w:tcW w:w="1240" w:type="dxa"/>
            <w:noWrap/>
            <w:vAlign w:val="center"/>
            <w:hideMark/>
          </w:tcPr>
          <w:p w14:paraId="5E3DD184"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1.149</w:t>
            </w:r>
          </w:p>
        </w:tc>
      </w:tr>
      <w:tr w:rsidR="00E13867" w:rsidRPr="00930B3C" w14:paraId="2839FC9B"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601AC3E6" w14:textId="77777777" w:rsidR="00E13867" w:rsidRPr="00AD64C2" w:rsidRDefault="00E13867" w:rsidP="00AD64C2">
            <w:pPr>
              <w:jc w:val="center"/>
              <w:rPr>
                <w:rFonts w:cs="Arial"/>
                <w:color w:val="000000"/>
                <w:sz w:val="18"/>
                <w:szCs w:val="18"/>
              </w:rPr>
            </w:pPr>
            <w:r w:rsidRPr="00AD64C2">
              <w:rPr>
                <w:rFonts w:cs="Arial"/>
                <w:color w:val="000000"/>
                <w:sz w:val="18"/>
                <w:szCs w:val="18"/>
              </w:rPr>
              <w:t>META</w:t>
            </w:r>
          </w:p>
        </w:tc>
        <w:tc>
          <w:tcPr>
            <w:tcW w:w="1240" w:type="dxa"/>
            <w:noWrap/>
            <w:vAlign w:val="center"/>
            <w:hideMark/>
          </w:tcPr>
          <w:p w14:paraId="7DDA2C23"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64</w:t>
            </w:r>
          </w:p>
        </w:tc>
        <w:tc>
          <w:tcPr>
            <w:tcW w:w="1467" w:type="dxa"/>
            <w:noWrap/>
            <w:vAlign w:val="center"/>
            <w:hideMark/>
          </w:tcPr>
          <w:p w14:paraId="35DC35E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1.468</w:t>
            </w:r>
          </w:p>
        </w:tc>
        <w:tc>
          <w:tcPr>
            <w:tcW w:w="1467" w:type="dxa"/>
            <w:noWrap/>
            <w:vAlign w:val="center"/>
            <w:hideMark/>
          </w:tcPr>
          <w:p w14:paraId="5C0C83B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133</w:t>
            </w:r>
          </w:p>
        </w:tc>
        <w:tc>
          <w:tcPr>
            <w:tcW w:w="1240" w:type="dxa"/>
            <w:noWrap/>
            <w:vAlign w:val="center"/>
            <w:hideMark/>
          </w:tcPr>
          <w:p w14:paraId="672597B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1.665</w:t>
            </w:r>
          </w:p>
        </w:tc>
      </w:tr>
      <w:tr w:rsidR="00E13867" w:rsidRPr="00930B3C" w14:paraId="66751D91"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539C97D4" w14:textId="77777777" w:rsidR="00E13867" w:rsidRPr="00AD64C2" w:rsidRDefault="00E13867" w:rsidP="00AD64C2">
            <w:pPr>
              <w:jc w:val="center"/>
              <w:rPr>
                <w:rFonts w:cs="Arial"/>
                <w:color w:val="000000"/>
                <w:sz w:val="18"/>
                <w:szCs w:val="18"/>
              </w:rPr>
            </w:pPr>
            <w:r w:rsidRPr="00AD64C2">
              <w:rPr>
                <w:rFonts w:cs="Arial"/>
                <w:color w:val="000000"/>
                <w:sz w:val="18"/>
                <w:szCs w:val="18"/>
              </w:rPr>
              <w:t>NARIÑO</w:t>
            </w:r>
          </w:p>
        </w:tc>
        <w:tc>
          <w:tcPr>
            <w:tcW w:w="1240" w:type="dxa"/>
            <w:noWrap/>
            <w:vAlign w:val="center"/>
            <w:hideMark/>
          </w:tcPr>
          <w:p w14:paraId="397991D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256</w:t>
            </w:r>
          </w:p>
        </w:tc>
        <w:tc>
          <w:tcPr>
            <w:tcW w:w="1467" w:type="dxa"/>
            <w:noWrap/>
            <w:vAlign w:val="center"/>
            <w:hideMark/>
          </w:tcPr>
          <w:p w14:paraId="07DC6EDA"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1.761</w:t>
            </w:r>
          </w:p>
        </w:tc>
        <w:tc>
          <w:tcPr>
            <w:tcW w:w="1467" w:type="dxa"/>
            <w:noWrap/>
            <w:vAlign w:val="center"/>
            <w:hideMark/>
          </w:tcPr>
          <w:p w14:paraId="2E9545D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208</w:t>
            </w:r>
          </w:p>
        </w:tc>
        <w:tc>
          <w:tcPr>
            <w:tcW w:w="1240" w:type="dxa"/>
            <w:noWrap/>
            <w:vAlign w:val="center"/>
            <w:hideMark/>
          </w:tcPr>
          <w:p w14:paraId="2FA4F5C4"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2.225</w:t>
            </w:r>
          </w:p>
        </w:tc>
      </w:tr>
      <w:tr w:rsidR="00E13867" w:rsidRPr="00930B3C" w14:paraId="255868A1"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5FC3AD0" w14:textId="77777777" w:rsidR="00E13867" w:rsidRPr="00AD64C2" w:rsidRDefault="00E13867" w:rsidP="00AD64C2">
            <w:pPr>
              <w:jc w:val="center"/>
              <w:rPr>
                <w:rFonts w:cs="Arial"/>
                <w:color w:val="000000"/>
                <w:sz w:val="18"/>
                <w:szCs w:val="18"/>
              </w:rPr>
            </w:pPr>
            <w:r w:rsidRPr="00AD64C2">
              <w:rPr>
                <w:rFonts w:cs="Arial"/>
                <w:color w:val="000000"/>
                <w:sz w:val="18"/>
                <w:szCs w:val="18"/>
              </w:rPr>
              <w:t>NORTE DE SANTANDER</w:t>
            </w:r>
          </w:p>
        </w:tc>
        <w:tc>
          <w:tcPr>
            <w:tcW w:w="1240" w:type="dxa"/>
            <w:noWrap/>
            <w:vAlign w:val="center"/>
            <w:hideMark/>
          </w:tcPr>
          <w:p w14:paraId="2869100F"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261</w:t>
            </w:r>
          </w:p>
        </w:tc>
        <w:tc>
          <w:tcPr>
            <w:tcW w:w="1467" w:type="dxa"/>
            <w:noWrap/>
            <w:vAlign w:val="center"/>
            <w:hideMark/>
          </w:tcPr>
          <w:p w14:paraId="6199E8C3"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1.882</w:t>
            </w:r>
          </w:p>
        </w:tc>
        <w:tc>
          <w:tcPr>
            <w:tcW w:w="1467" w:type="dxa"/>
            <w:noWrap/>
            <w:vAlign w:val="center"/>
            <w:hideMark/>
          </w:tcPr>
          <w:p w14:paraId="68836E75"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207</w:t>
            </w:r>
          </w:p>
        </w:tc>
        <w:tc>
          <w:tcPr>
            <w:tcW w:w="1240" w:type="dxa"/>
            <w:noWrap/>
            <w:vAlign w:val="center"/>
            <w:hideMark/>
          </w:tcPr>
          <w:p w14:paraId="153174BE"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2.350</w:t>
            </w:r>
          </w:p>
        </w:tc>
      </w:tr>
      <w:tr w:rsidR="00E13867" w:rsidRPr="00930B3C" w14:paraId="3574967B" w14:textId="77777777" w:rsidTr="00AD64C2">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4BB2A687" w14:textId="77777777" w:rsidR="00E13867" w:rsidRPr="00AD64C2" w:rsidRDefault="00E13867" w:rsidP="00AD64C2">
            <w:pPr>
              <w:jc w:val="center"/>
              <w:rPr>
                <w:rFonts w:cs="Arial"/>
                <w:color w:val="000000"/>
                <w:sz w:val="18"/>
                <w:szCs w:val="18"/>
              </w:rPr>
            </w:pPr>
            <w:r w:rsidRPr="00AD64C2">
              <w:rPr>
                <w:rFonts w:cs="Arial"/>
                <w:color w:val="000000"/>
                <w:sz w:val="18"/>
                <w:szCs w:val="18"/>
              </w:rPr>
              <w:t>QUINDIO</w:t>
            </w:r>
          </w:p>
        </w:tc>
        <w:tc>
          <w:tcPr>
            <w:tcW w:w="1240" w:type="dxa"/>
            <w:noWrap/>
            <w:vAlign w:val="center"/>
            <w:hideMark/>
          </w:tcPr>
          <w:p w14:paraId="1FAB722B"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355</w:t>
            </w:r>
          </w:p>
        </w:tc>
        <w:tc>
          <w:tcPr>
            <w:tcW w:w="1467" w:type="dxa"/>
            <w:noWrap/>
            <w:vAlign w:val="center"/>
            <w:hideMark/>
          </w:tcPr>
          <w:p w14:paraId="0F47AF6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1.083</w:t>
            </w:r>
          </w:p>
        </w:tc>
        <w:tc>
          <w:tcPr>
            <w:tcW w:w="1467" w:type="dxa"/>
            <w:noWrap/>
            <w:vAlign w:val="center"/>
            <w:hideMark/>
          </w:tcPr>
          <w:p w14:paraId="4C206C04"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230</w:t>
            </w:r>
          </w:p>
        </w:tc>
        <w:tc>
          <w:tcPr>
            <w:tcW w:w="1240" w:type="dxa"/>
            <w:noWrap/>
            <w:vAlign w:val="center"/>
            <w:hideMark/>
          </w:tcPr>
          <w:p w14:paraId="12DCA362"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1.668</w:t>
            </w:r>
          </w:p>
        </w:tc>
      </w:tr>
      <w:tr w:rsidR="00E13867" w:rsidRPr="00930B3C" w14:paraId="09E64CCA"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54BDC925" w14:textId="77777777" w:rsidR="00E13867" w:rsidRPr="00AD64C2" w:rsidRDefault="00E13867" w:rsidP="00AD64C2">
            <w:pPr>
              <w:jc w:val="center"/>
              <w:rPr>
                <w:rFonts w:cs="Arial"/>
                <w:color w:val="000000"/>
                <w:sz w:val="18"/>
                <w:szCs w:val="18"/>
              </w:rPr>
            </w:pPr>
            <w:r w:rsidRPr="00AD64C2">
              <w:rPr>
                <w:rFonts w:cs="Arial"/>
                <w:color w:val="000000"/>
                <w:sz w:val="18"/>
                <w:szCs w:val="18"/>
              </w:rPr>
              <w:t>RISARALDA</w:t>
            </w:r>
          </w:p>
        </w:tc>
        <w:tc>
          <w:tcPr>
            <w:tcW w:w="1240" w:type="dxa"/>
            <w:noWrap/>
            <w:vAlign w:val="center"/>
            <w:hideMark/>
          </w:tcPr>
          <w:p w14:paraId="0FDA6FD4"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254</w:t>
            </w:r>
          </w:p>
        </w:tc>
        <w:tc>
          <w:tcPr>
            <w:tcW w:w="1467" w:type="dxa"/>
            <w:noWrap/>
            <w:vAlign w:val="center"/>
            <w:hideMark/>
          </w:tcPr>
          <w:p w14:paraId="4A00D442"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490</w:t>
            </w:r>
          </w:p>
        </w:tc>
        <w:tc>
          <w:tcPr>
            <w:tcW w:w="1467" w:type="dxa"/>
            <w:noWrap/>
            <w:vAlign w:val="center"/>
            <w:hideMark/>
          </w:tcPr>
          <w:p w14:paraId="1CDBC351"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738</w:t>
            </w:r>
          </w:p>
        </w:tc>
        <w:tc>
          <w:tcPr>
            <w:tcW w:w="1240" w:type="dxa"/>
            <w:noWrap/>
            <w:vAlign w:val="center"/>
            <w:hideMark/>
          </w:tcPr>
          <w:p w14:paraId="35E0BE03"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1.482</w:t>
            </w:r>
          </w:p>
        </w:tc>
      </w:tr>
      <w:tr w:rsidR="00E13867" w:rsidRPr="00930B3C" w14:paraId="17B5D4B2"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631C90BC" w14:textId="77777777" w:rsidR="00E13867" w:rsidRPr="00AD64C2" w:rsidRDefault="00E13867" w:rsidP="00AD64C2">
            <w:pPr>
              <w:jc w:val="center"/>
              <w:rPr>
                <w:rFonts w:cs="Arial"/>
                <w:color w:val="000000"/>
                <w:sz w:val="18"/>
                <w:szCs w:val="18"/>
              </w:rPr>
            </w:pPr>
            <w:r w:rsidRPr="00AD64C2">
              <w:rPr>
                <w:rFonts w:cs="Arial"/>
                <w:color w:val="000000"/>
                <w:sz w:val="18"/>
                <w:szCs w:val="18"/>
              </w:rPr>
              <w:t>SANTANDER</w:t>
            </w:r>
          </w:p>
        </w:tc>
        <w:tc>
          <w:tcPr>
            <w:tcW w:w="1240" w:type="dxa"/>
            <w:noWrap/>
            <w:vAlign w:val="center"/>
            <w:hideMark/>
          </w:tcPr>
          <w:p w14:paraId="59E974B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4.889</w:t>
            </w:r>
          </w:p>
        </w:tc>
        <w:tc>
          <w:tcPr>
            <w:tcW w:w="1467" w:type="dxa"/>
            <w:noWrap/>
            <w:vAlign w:val="center"/>
            <w:hideMark/>
          </w:tcPr>
          <w:p w14:paraId="6C2F199F"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3.250</w:t>
            </w:r>
          </w:p>
        </w:tc>
        <w:tc>
          <w:tcPr>
            <w:tcW w:w="1467" w:type="dxa"/>
            <w:noWrap/>
            <w:vAlign w:val="center"/>
            <w:hideMark/>
          </w:tcPr>
          <w:p w14:paraId="65F6C8B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95</w:t>
            </w:r>
          </w:p>
        </w:tc>
        <w:tc>
          <w:tcPr>
            <w:tcW w:w="1240" w:type="dxa"/>
            <w:noWrap/>
            <w:vAlign w:val="center"/>
            <w:hideMark/>
          </w:tcPr>
          <w:p w14:paraId="4780151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8.234</w:t>
            </w:r>
          </w:p>
        </w:tc>
      </w:tr>
      <w:tr w:rsidR="00E13867" w:rsidRPr="00930B3C" w14:paraId="28C85F9F"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5AD7320" w14:textId="77777777" w:rsidR="00E13867" w:rsidRPr="00AD64C2" w:rsidRDefault="00E13867" w:rsidP="00AD64C2">
            <w:pPr>
              <w:jc w:val="center"/>
              <w:rPr>
                <w:rFonts w:cs="Arial"/>
                <w:color w:val="000000"/>
                <w:sz w:val="18"/>
                <w:szCs w:val="18"/>
              </w:rPr>
            </w:pPr>
            <w:r w:rsidRPr="00AD64C2">
              <w:rPr>
                <w:rFonts w:cs="Arial"/>
                <w:color w:val="000000"/>
                <w:sz w:val="18"/>
                <w:szCs w:val="18"/>
              </w:rPr>
              <w:lastRenderedPageBreak/>
              <w:t>SUCRE</w:t>
            </w:r>
          </w:p>
        </w:tc>
        <w:tc>
          <w:tcPr>
            <w:tcW w:w="1240" w:type="dxa"/>
            <w:noWrap/>
            <w:vAlign w:val="center"/>
            <w:hideMark/>
          </w:tcPr>
          <w:p w14:paraId="5A2670E2"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106</w:t>
            </w:r>
          </w:p>
        </w:tc>
        <w:tc>
          <w:tcPr>
            <w:tcW w:w="1467" w:type="dxa"/>
            <w:noWrap/>
            <w:vAlign w:val="center"/>
            <w:hideMark/>
          </w:tcPr>
          <w:p w14:paraId="0FC57B4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22</w:t>
            </w:r>
          </w:p>
        </w:tc>
        <w:tc>
          <w:tcPr>
            <w:tcW w:w="1467" w:type="dxa"/>
            <w:noWrap/>
            <w:vAlign w:val="center"/>
            <w:hideMark/>
          </w:tcPr>
          <w:p w14:paraId="2616F8DC"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219</w:t>
            </w:r>
          </w:p>
        </w:tc>
        <w:tc>
          <w:tcPr>
            <w:tcW w:w="1240" w:type="dxa"/>
            <w:noWrap/>
            <w:vAlign w:val="center"/>
            <w:hideMark/>
          </w:tcPr>
          <w:p w14:paraId="5A55CDE3"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347</w:t>
            </w:r>
          </w:p>
        </w:tc>
      </w:tr>
      <w:tr w:rsidR="00E13867" w:rsidRPr="00930B3C" w14:paraId="4FD84002"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2A092EA7" w14:textId="77777777" w:rsidR="00E13867" w:rsidRPr="00AD64C2" w:rsidRDefault="00E13867" w:rsidP="00AD64C2">
            <w:pPr>
              <w:jc w:val="center"/>
              <w:rPr>
                <w:rFonts w:cs="Arial"/>
                <w:color w:val="000000"/>
                <w:sz w:val="18"/>
                <w:szCs w:val="18"/>
              </w:rPr>
            </w:pPr>
            <w:r w:rsidRPr="00AD64C2">
              <w:rPr>
                <w:rFonts w:cs="Arial"/>
                <w:color w:val="000000"/>
                <w:sz w:val="18"/>
                <w:szCs w:val="18"/>
              </w:rPr>
              <w:t>TOLIMA</w:t>
            </w:r>
          </w:p>
        </w:tc>
        <w:tc>
          <w:tcPr>
            <w:tcW w:w="1240" w:type="dxa"/>
            <w:noWrap/>
            <w:vAlign w:val="center"/>
            <w:hideMark/>
          </w:tcPr>
          <w:p w14:paraId="3D4F98FB"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1</w:t>
            </w:r>
          </w:p>
        </w:tc>
        <w:tc>
          <w:tcPr>
            <w:tcW w:w="1467" w:type="dxa"/>
            <w:noWrap/>
            <w:vAlign w:val="center"/>
            <w:hideMark/>
          </w:tcPr>
          <w:p w14:paraId="31ACA6A2"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3.597</w:t>
            </w:r>
          </w:p>
        </w:tc>
        <w:tc>
          <w:tcPr>
            <w:tcW w:w="1467" w:type="dxa"/>
            <w:noWrap/>
            <w:vAlign w:val="center"/>
            <w:hideMark/>
          </w:tcPr>
          <w:p w14:paraId="47815956" w14:textId="72511F5F"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p>
        </w:tc>
        <w:tc>
          <w:tcPr>
            <w:tcW w:w="1240" w:type="dxa"/>
            <w:noWrap/>
            <w:vAlign w:val="center"/>
            <w:hideMark/>
          </w:tcPr>
          <w:p w14:paraId="484D12D5"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rPr>
            </w:pPr>
            <w:r w:rsidRPr="00AD64C2">
              <w:rPr>
                <w:rFonts w:cs="Arial"/>
                <w:color w:val="000000"/>
                <w:sz w:val="18"/>
                <w:szCs w:val="18"/>
              </w:rPr>
              <w:t>3.598</w:t>
            </w:r>
          </w:p>
        </w:tc>
      </w:tr>
      <w:tr w:rsidR="00E13867" w:rsidRPr="00930B3C" w14:paraId="553A4F40" w14:textId="77777777" w:rsidTr="00AD64C2">
        <w:trPr>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61C6345" w14:textId="77777777" w:rsidR="00E13867" w:rsidRPr="00AD64C2" w:rsidRDefault="00E13867" w:rsidP="00AD64C2">
            <w:pPr>
              <w:jc w:val="center"/>
              <w:rPr>
                <w:rFonts w:cs="Arial"/>
                <w:color w:val="000000"/>
                <w:sz w:val="18"/>
                <w:szCs w:val="18"/>
              </w:rPr>
            </w:pPr>
            <w:r w:rsidRPr="00AD64C2">
              <w:rPr>
                <w:rFonts w:cs="Arial"/>
                <w:color w:val="000000"/>
                <w:sz w:val="18"/>
                <w:szCs w:val="18"/>
              </w:rPr>
              <w:t>VALLE</w:t>
            </w:r>
          </w:p>
        </w:tc>
        <w:tc>
          <w:tcPr>
            <w:tcW w:w="1240" w:type="dxa"/>
            <w:noWrap/>
            <w:vAlign w:val="center"/>
            <w:hideMark/>
          </w:tcPr>
          <w:p w14:paraId="7A192009"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123</w:t>
            </w:r>
          </w:p>
        </w:tc>
        <w:tc>
          <w:tcPr>
            <w:tcW w:w="1467" w:type="dxa"/>
            <w:noWrap/>
            <w:vAlign w:val="center"/>
            <w:hideMark/>
          </w:tcPr>
          <w:p w14:paraId="30EEEE89"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14</w:t>
            </w:r>
          </w:p>
        </w:tc>
        <w:tc>
          <w:tcPr>
            <w:tcW w:w="1467" w:type="dxa"/>
            <w:noWrap/>
            <w:vAlign w:val="center"/>
            <w:hideMark/>
          </w:tcPr>
          <w:p w14:paraId="5941BB9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116</w:t>
            </w:r>
          </w:p>
        </w:tc>
        <w:tc>
          <w:tcPr>
            <w:tcW w:w="1240" w:type="dxa"/>
            <w:noWrap/>
            <w:vAlign w:val="center"/>
            <w:hideMark/>
          </w:tcPr>
          <w:p w14:paraId="49C63DB6" w14:textId="77777777" w:rsidR="00E13867" w:rsidRPr="00AD64C2"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rPr>
            </w:pPr>
            <w:r w:rsidRPr="00AD64C2">
              <w:rPr>
                <w:rFonts w:cs="Arial"/>
                <w:color w:val="000000"/>
                <w:sz w:val="18"/>
                <w:szCs w:val="18"/>
              </w:rPr>
              <w:t>253</w:t>
            </w:r>
          </w:p>
        </w:tc>
      </w:tr>
      <w:tr w:rsidR="00E13867" w:rsidRPr="00930B3C" w14:paraId="5FE34525" w14:textId="77777777" w:rsidTr="00AD64C2">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2104" w:type="dxa"/>
            <w:noWrap/>
            <w:vAlign w:val="center"/>
            <w:hideMark/>
          </w:tcPr>
          <w:p w14:paraId="38FF25D0" w14:textId="77777777" w:rsidR="00E13867" w:rsidRPr="00AD64C2" w:rsidRDefault="00E13867" w:rsidP="00AD64C2">
            <w:pPr>
              <w:jc w:val="center"/>
              <w:rPr>
                <w:rFonts w:cs="Arial"/>
                <w:b w:val="0"/>
                <w:color w:val="000000"/>
                <w:sz w:val="18"/>
                <w:szCs w:val="18"/>
              </w:rPr>
            </w:pPr>
            <w:r w:rsidRPr="00AD64C2">
              <w:rPr>
                <w:rFonts w:cs="Arial"/>
                <w:color w:val="000000"/>
                <w:sz w:val="18"/>
                <w:szCs w:val="18"/>
              </w:rPr>
              <w:t>Total general</w:t>
            </w:r>
          </w:p>
        </w:tc>
        <w:tc>
          <w:tcPr>
            <w:tcW w:w="1240" w:type="dxa"/>
            <w:noWrap/>
            <w:vAlign w:val="center"/>
            <w:hideMark/>
          </w:tcPr>
          <w:p w14:paraId="2F5A750E"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AD64C2">
              <w:rPr>
                <w:rFonts w:cs="Arial"/>
                <w:b/>
                <w:color w:val="000000"/>
                <w:sz w:val="18"/>
                <w:szCs w:val="18"/>
              </w:rPr>
              <w:t>10.398</w:t>
            </w:r>
          </w:p>
        </w:tc>
        <w:tc>
          <w:tcPr>
            <w:tcW w:w="1467" w:type="dxa"/>
            <w:noWrap/>
            <w:vAlign w:val="center"/>
            <w:hideMark/>
          </w:tcPr>
          <w:p w14:paraId="3C49616B"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AD64C2">
              <w:rPr>
                <w:rFonts w:cs="Arial"/>
                <w:b/>
                <w:color w:val="000000"/>
                <w:sz w:val="18"/>
                <w:szCs w:val="18"/>
              </w:rPr>
              <w:t>36.303</w:t>
            </w:r>
          </w:p>
        </w:tc>
        <w:tc>
          <w:tcPr>
            <w:tcW w:w="1467" w:type="dxa"/>
            <w:noWrap/>
            <w:vAlign w:val="center"/>
            <w:hideMark/>
          </w:tcPr>
          <w:p w14:paraId="662B1CB6"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AD64C2">
              <w:rPr>
                <w:rFonts w:cs="Arial"/>
                <w:b/>
                <w:color w:val="000000"/>
                <w:sz w:val="18"/>
                <w:szCs w:val="18"/>
              </w:rPr>
              <w:t>12.866</w:t>
            </w:r>
          </w:p>
        </w:tc>
        <w:tc>
          <w:tcPr>
            <w:tcW w:w="1240" w:type="dxa"/>
            <w:noWrap/>
            <w:vAlign w:val="center"/>
            <w:hideMark/>
          </w:tcPr>
          <w:p w14:paraId="1EF95FF7" w14:textId="77777777" w:rsidR="00E13867" w:rsidRPr="00AD64C2"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18"/>
              </w:rPr>
            </w:pPr>
            <w:r w:rsidRPr="00AD64C2">
              <w:rPr>
                <w:rFonts w:cs="Arial"/>
                <w:b/>
                <w:color w:val="000000"/>
                <w:sz w:val="18"/>
                <w:szCs w:val="18"/>
              </w:rPr>
              <w:t>59.567</w:t>
            </w:r>
          </w:p>
        </w:tc>
      </w:tr>
    </w:tbl>
    <w:p w14:paraId="2CE0820C" w14:textId="77777777" w:rsidR="00E13867" w:rsidRPr="006162AE" w:rsidRDefault="00E13867" w:rsidP="00E13867">
      <w:pPr>
        <w:spacing w:line="276" w:lineRule="auto"/>
        <w:jc w:val="center"/>
        <w:rPr>
          <w:rFonts w:eastAsia="Arial" w:cs="Arial"/>
          <w:b/>
          <w:bCs/>
          <w:sz w:val="16"/>
          <w:szCs w:val="16"/>
          <w:lang w:val="es-CO"/>
        </w:rPr>
      </w:pPr>
      <w:r w:rsidRPr="006162AE">
        <w:rPr>
          <w:rFonts w:eastAsia="Arial" w:cs="Arial"/>
          <w:b/>
          <w:bCs/>
          <w:sz w:val="16"/>
          <w:szCs w:val="16"/>
          <w:lang w:val="es-CO"/>
        </w:rPr>
        <w:t>Fuente:  Dirección de Gestión Catastral</w:t>
      </w:r>
    </w:p>
    <w:p w14:paraId="161C51BE" w14:textId="77777777" w:rsidR="00AD64C2" w:rsidRDefault="00AD64C2" w:rsidP="00E13867">
      <w:pPr>
        <w:jc w:val="both"/>
        <w:rPr>
          <w:rFonts w:cs="Arial"/>
          <w:sz w:val="22"/>
          <w:szCs w:val="22"/>
          <w:lang w:val="es-CO"/>
        </w:rPr>
      </w:pPr>
    </w:p>
    <w:p w14:paraId="50041577" w14:textId="267D5C8A" w:rsidR="00416C1B" w:rsidRDefault="00E13867" w:rsidP="00F8391A">
      <w:pPr>
        <w:jc w:val="both"/>
        <w:rPr>
          <w:rFonts w:cs="Arial"/>
          <w:sz w:val="22"/>
          <w:szCs w:val="22"/>
          <w:lang w:val="es-CO"/>
        </w:rPr>
      </w:pPr>
      <w:r w:rsidRPr="000D49FB">
        <w:rPr>
          <w:rFonts w:cs="Arial"/>
          <w:sz w:val="22"/>
          <w:szCs w:val="22"/>
          <w:lang w:val="es-CO"/>
        </w:rPr>
        <w:t>Por lo anterior, a corte 31 de octubre el IGAC tiene 36.303 solicitudes pendientes de trámite de radicaciones correspondientes a 2020 y anteriores, distri</w:t>
      </w:r>
      <w:r w:rsidR="00F8391A">
        <w:rPr>
          <w:rFonts w:cs="Arial"/>
          <w:sz w:val="22"/>
          <w:szCs w:val="22"/>
          <w:lang w:val="es-CO"/>
        </w:rPr>
        <w:t xml:space="preserve">buidos de la siguiente manera: </w:t>
      </w:r>
    </w:p>
    <w:p w14:paraId="3253E07E" w14:textId="77777777" w:rsidR="00F8391A" w:rsidRPr="00F8391A" w:rsidRDefault="00F8391A" w:rsidP="00F8391A">
      <w:pPr>
        <w:jc w:val="both"/>
        <w:rPr>
          <w:rFonts w:cs="Arial"/>
          <w:sz w:val="22"/>
          <w:szCs w:val="22"/>
          <w:lang w:val="es-CO"/>
        </w:rPr>
      </w:pPr>
    </w:p>
    <w:p w14:paraId="761CFAD6" w14:textId="19DB3CFA" w:rsidR="00E13867" w:rsidRPr="00E13867" w:rsidRDefault="00E13867" w:rsidP="00E13867">
      <w:pPr>
        <w:pStyle w:val="Descripcin"/>
        <w:jc w:val="center"/>
        <w:rPr>
          <w:rFonts w:ascii="Arial" w:hAnsi="Arial" w:cs="Arial"/>
          <w:b/>
          <w:bCs/>
          <w:i w:val="0"/>
          <w:iCs w:val="0"/>
        </w:rPr>
      </w:pPr>
      <w:bookmarkStart w:id="49" w:name="_Toc88677089"/>
      <w:r w:rsidRPr="00E13867">
        <w:rPr>
          <w:rFonts w:ascii="Arial" w:hAnsi="Arial" w:cs="Arial"/>
          <w:b/>
          <w:bCs/>
          <w:i w:val="0"/>
          <w:iCs w:val="0"/>
          <w:color w:val="000000" w:themeColor="text1"/>
          <w:sz w:val="16"/>
          <w:szCs w:val="16"/>
        </w:rPr>
        <w:t xml:space="preserve">Tabla </w:t>
      </w:r>
      <w:r w:rsidRPr="00E13867">
        <w:rPr>
          <w:rFonts w:ascii="Arial" w:hAnsi="Arial" w:cs="Arial"/>
          <w:b/>
          <w:bCs/>
          <w:i w:val="0"/>
          <w:iCs w:val="0"/>
          <w:color w:val="000000" w:themeColor="text1"/>
          <w:sz w:val="16"/>
          <w:szCs w:val="16"/>
        </w:rPr>
        <w:fldChar w:fldCharType="begin"/>
      </w:r>
      <w:r w:rsidRPr="00E13867">
        <w:rPr>
          <w:rFonts w:ascii="Arial" w:hAnsi="Arial" w:cs="Arial"/>
          <w:b/>
          <w:bCs/>
          <w:i w:val="0"/>
          <w:iCs w:val="0"/>
          <w:color w:val="000000" w:themeColor="text1"/>
          <w:sz w:val="16"/>
          <w:szCs w:val="16"/>
        </w:rPr>
        <w:instrText xml:space="preserve"> SEQ Tabla \* ARABIC </w:instrText>
      </w:r>
      <w:r w:rsidRPr="00E13867">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17</w:t>
      </w:r>
      <w:r w:rsidRPr="00E13867">
        <w:rPr>
          <w:rFonts w:ascii="Arial" w:hAnsi="Arial" w:cs="Arial"/>
          <w:b/>
          <w:bCs/>
          <w:i w:val="0"/>
          <w:iCs w:val="0"/>
          <w:color w:val="000000" w:themeColor="text1"/>
          <w:sz w:val="16"/>
          <w:szCs w:val="16"/>
        </w:rPr>
        <w:fldChar w:fldCharType="end"/>
      </w:r>
      <w:r w:rsidRPr="00E13867">
        <w:rPr>
          <w:rFonts w:ascii="Arial" w:hAnsi="Arial" w:cs="Arial"/>
          <w:b/>
          <w:bCs/>
          <w:i w:val="0"/>
          <w:iCs w:val="0"/>
          <w:color w:val="000000" w:themeColor="text1"/>
          <w:sz w:val="16"/>
          <w:szCs w:val="16"/>
        </w:rPr>
        <w:t>. Estado de saldos 2020 y anteriores en municipios bajo jurisdicción del IGAC por años</w:t>
      </w:r>
      <w:bookmarkEnd w:id="49"/>
    </w:p>
    <w:tbl>
      <w:tblPr>
        <w:tblStyle w:val="Tabladecuadrcula4-nfasis1"/>
        <w:tblW w:w="0" w:type="auto"/>
        <w:tblLook w:val="04A0" w:firstRow="1" w:lastRow="0" w:firstColumn="1" w:lastColumn="0" w:noHBand="0" w:noVBand="1"/>
      </w:tblPr>
      <w:tblGrid>
        <w:gridCol w:w="2108"/>
        <w:gridCol w:w="592"/>
        <w:gridCol w:w="592"/>
        <w:gridCol w:w="592"/>
        <w:gridCol w:w="592"/>
        <w:gridCol w:w="592"/>
        <w:gridCol w:w="592"/>
        <w:gridCol w:w="592"/>
        <w:gridCol w:w="592"/>
        <w:gridCol w:w="592"/>
        <w:gridCol w:w="675"/>
        <w:gridCol w:w="716"/>
      </w:tblGrid>
      <w:tr w:rsidR="00E13867" w:rsidRPr="00920556" w14:paraId="07D22EE8" w14:textId="77777777" w:rsidTr="00AD64C2">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32297661" w14:textId="77777777" w:rsidR="00E13867" w:rsidRPr="00920556" w:rsidRDefault="00E13867" w:rsidP="00AD64C2">
            <w:pPr>
              <w:jc w:val="center"/>
              <w:rPr>
                <w:rFonts w:cs="Arial"/>
                <w:b w:val="0"/>
                <w:bCs w:val="0"/>
                <w:sz w:val="15"/>
                <w:szCs w:val="15"/>
              </w:rPr>
            </w:pPr>
            <w:r w:rsidRPr="00920556">
              <w:rPr>
                <w:rFonts w:cs="Arial"/>
                <w:sz w:val="15"/>
                <w:szCs w:val="15"/>
              </w:rPr>
              <w:t>DIRECCIÓN TERRITORIAL</w:t>
            </w:r>
          </w:p>
        </w:tc>
        <w:tc>
          <w:tcPr>
            <w:tcW w:w="0" w:type="auto"/>
            <w:noWrap/>
            <w:vAlign w:val="center"/>
            <w:hideMark/>
          </w:tcPr>
          <w:p w14:paraId="7BAF2A98"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2.002</w:t>
            </w:r>
          </w:p>
        </w:tc>
        <w:tc>
          <w:tcPr>
            <w:tcW w:w="0" w:type="auto"/>
            <w:noWrap/>
            <w:vAlign w:val="center"/>
            <w:hideMark/>
          </w:tcPr>
          <w:p w14:paraId="0A0214BD"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2.005</w:t>
            </w:r>
          </w:p>
        </w:tc>
        <w:tc>
          <w:tcPr>
            <w:tcW w:w="0" w:type="auto"/>
            <w:noWrap/>
            <w:vAlign w:val="center"/>
            <w:hideMark/>
          </w:tcPr>
          <w:p w14:paraId="0CE25288"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2.011</w:t>
            </w:r>
          </w:p>
        </w:tc>
        <w:tc>
          <w:tcPr>
            <w:tcW w:w="0" w:type="auto"/>
            <w:noWrap/>
            <w:vAlign w:val="center"/>
            <w:hideMark/>
          </w:tcPr>
          <w:p w14:paraId="6184E3E7"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2.014</w:t>
            </w:r>
          </w:p>
        </w:tc>
        <w:tc>
          <w:tcPr>
            <w:tcW w:w="0" w:type="auto"/>
            <w:noWrap/>
            <w:vAlign w:val="center"/>
            <w:hideMark/>
          </w:tcPr>
          <w:p w14:paraId="4227ED1C"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2.015</w:t>
            </w:r>
          </w:p>
        </w:tc>
        <w:tc>
          <w:tcPr>
            <w:tcW w:w="0" w:type="auto"/>
            <w:noWrap/>
            <w:vAlign w:val="center"/>
            <w:hideMark/>
          </w:tcPr>
          <w:p w14:paraId="10C01CFF"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2.016</w:t>
            </w:r>
          </w:p>
        </w:tc>
        <w:tc>
          <w:tcPr>
            <w:tcW w:w="0" w:type="auto"/>
            <w:noWrap/>
            <w:vAlign w:val="center"/>
            <w:hideMark/>
          </w:tcPr>
          <w:p w14:paraId="3525239A"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2.017</w:t>
            </w:r>
          </w:p>
        </w:tc>
        <w:tc>
          <w:tcPr>
            <w:tcW w:w="0" w:type="auto"/>
            <w:noWrap/>
            <w:vAlign w:val="center"/>
            <w:hideMark/>
          </w:tcPr>
          <w:p w14:paraId="6CD390ED"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2.018</w:t>
            </w:r>
          </w:p>
        </w:tc>
        <w:tc>
          <w:tcPr>
            <w:tcW w:w="0" w:type="auto"/>
            <w:noWrap/>
            <w:vAlign w:val="center"/>
            <w:hideMark/>
          </w:tcPr>
          <w:p w14:paraId="0B6BC6F7"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2.019</w:t>
            </w:r>
          </w:p>
        </w:tc>
        <w:tc>
          <w:tcPr>
            <w:tcW w:w="0" w:type="auto"/>
            <w:noWrap/>
            <w:vAlign w:val="center"/>
            <w:hideMark/>
          </w:tcPr>
          <w:p w14:paraId="40BCB6BD"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2.020</w:t>
            </w:r>
          </w:p>
        </w:tc>
        <w:tc>
          <w:tcPr>
            <w:tcW w:w="0" w:type="auto"/>
            <w:noWrap/>
            <w:vAlign w:val="center"/>
            <w:hideMark/>
          </w:tcPr>
          <w:p w14:paraId="22BB55AA" w14:textId="77777777" w:rsidR="00E13867" w:rsidRPr="00920556" w:rsidRDefault="00E13867" w:rsidP="00AD64C2">
            <w:pPr>
              <w:jc w:val="center"/>
              <w:cnfStyle w:val="100000000000" w:firstRow="1" w:lastRow="0" w:firstColumn="0" w:lastColumn="0" w:oddVBand="0" w:evenVBand="0" w:oddHBand="0" w:evenHBand="0" w:firstRowFirstColumn="0" w:firstRowLastColumn="0" w:lastRowFirstColumn="0" w:lastRowLastColumn="0"/>
              <w:rPr>
                <w:rFonts w:cs="Arial"/>
                <w:b w:val="0"/>
                <w:bCs w:val="0"/>
                <w:sz w:val="15"/>
                <w:szCs w:val="15"/>
              </w:rPr>
            </w:pPr>
            <w:r w:rsidRPr="00920556">
              <w:rPr>
                <w:rFonts w:cs="Arial"/>
                <w:sz w:val="15"/>
                <w:szCs w:val="15"/>
              </w:rPr>
              <w:t>TOTAL</w:t>
            </w:r>
          </w:p>
        </w:tc>
      </w:tr>
      <w:tr w:rsidR="00E13867" w:rsidRPr="00920556" w14:paraId="550DB555"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255E2D16" w14:textId="77777777" w:rsidR="00E13867" w:rsidRPr="00920556" w:rsidRDefault="00E13867" w:rsidP="00AD64C2">
            <w:pPr>
              <w:jc w:val="center"/>
              <w:rPr>
                <w:rFonts w:cs="Arial"/>
                <w:color w:val="000000"/>
                <w:sz w:val="15"/>
                <w:szCs w:val="15"/>
              </w:rPr>
            </w:pPr>
            <w:r w:rsidRPr="00920556">
              <w:rPr>
                <w:rFonts w:cs="Arial"/>
                <w:color w:val="000000"/>
                <w:sz w:val="15"/>
                <w:szCs w:val="15"/>
              </w:rPr>
              <w:t>ATLÁNTICO</w:t>
            </w:r>
          </w:p>
        </w:tc>
        <w:tc>
          <w:tcPr>
            <w:tcW w:w="0" w:type="auto"/>
            <w:noWrap/>
            <w:vAlign w:val="center"/>
            <w:hideMark/>
          </w:tcPr>
          <w:p w14:paraId="28F45E50" w14:textId="585806BF"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1D2FB2E" w14:textId="4407B2FD"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5FADE90" w14:textId="766A796F"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43925C3" w14:textId="6DC19C3F"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F6A6F72" w14:textId="3793FFB8"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1425ECD" w14:textId="43C5FFCC"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A3BB80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675</w:t>
            </w:r>
          </w:p>
        </w:tc>
        <w:tc>
          <w:tcPr>
            <w:tcW w:w="0" w:type="auto"/>
            <w:noWrap/>
            <w:vAlign w:val="center"/>
            <w:hideMark/>
          </w:tcPr>
          <w:p w14:paraId="700F274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517</w:t>
            </w:r>
          </w:p>
        </w:tc>
        <w:tc>
          <w:tcPr>
            <w:tcW w:w="0" w:type="auto"/>
            <w:noWrap/>
            <w:vAlign w:val="center"/>
            <w:hideMark/>
          </w:tcPr>
          <w:p w14:paraId="1061AC2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837</w:t>
            </w:r>
          </w:p>
        </w:tc>
        <w:tc>
          <w:tcPr>
            <w:tcW w:w="0" w:type="auto"/>
            <w:noWrap/>
            <w:vAlign w:val="center"/>
            <w:hideMark/>
          </w:tcPr>
          <w:p w14:paraId="0E15146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434</w:t>
            </w:r>
          </w:p>
        </w:tc>
        <w:tc>
          <w:tcPr>
            <w:tcW w:w="0" w:type="auto"/>
            <w:noWrap/>
            <w:vAlign w:val="center"/>
            <w:hideMark/>
          </w:tcPr>
          <w:p w14:paraId="59BD7A6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2.463</w:t>
            </w:r>
          </w:p>
        </w:tc>
      </w:tr>
      <w:tr w:rsidR="00E13867" w:rsidRPr="00920556" w14:paraId="5A7EE4A6"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09F257A6" w14:textId="77777777" w:rsidR="00E13867" w:rsidRPr="00920556" w:rsidRDefault="00E13867" w:rsidP="00AD64C2">
            <w:pPr>
              <w:jc w:val="center"/>
              <w:rPr>
                <w:rFonts w:cs="Arial"/>
                <w:color w:val="000000"/>
                <w:sz w:val="15"/>
                <w:szCs w:val="15"/>
              </w:rPr>
            </w:pPr>
            <w:r w:rsidRPr="00920556">
              <w:rPr>
                <w:rFonts w:cs="Arial"/>
                <w:color w:val="000000"/>
                <w:sz w:val="15"/>
                <w:szCs w:val="15"/>
              </w:rPr>
              <w:t>BOLÍVAR</w:t>
            </w:r>
          </w:p>
        </w:tc>
        <w:tc>
          <w:tcPr>
            <w:tcW w:w="0" w:type="auto"/>
            <w:noWrap/>
            <w:vAlign w:val="center"/>
            <w:hideMark/>
          </w:tcPr>
          <w:p w14:paraId="31191FA5" w14:textId="1DF319AA"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BDFDA74" w14:textId="122C5F7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5CC61FE" w14:textId="4B56D708"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CD81C8C" w14:textId="5D842B5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9CC0772" w14:textId="327F95DA"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346590F" w14:textId="63A49F9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7CD37A93" w14:textId="3D8B4410"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8124958" w14:textId="22BEFC58"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0949D31"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61</w:t>
            </w:r>
          </w:p>
        </w:tc>
        <w:tc>
          <w:tcPr>
            <w:tcW w:w="0" w:type="auto"/>
            <w:noWrap/>
            <w:vAlign w:val="center"/>
            <w:hideMark/>
          </w:tcPr>
          <w:p w14:paraId="705F540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116</w:t>
            </w:r>
          </w:p>
        </w:tc>
        <w:tc>
          <w:tcPr>
            <w:tcW w:w="0" w:type="auto"/>
            <w:noWrap/>
            <w:vAlign w:val="center"/>
            <w:hideMark/>
          </w:tcPr>
          <w:p w14:paraId="1427EB69"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177</w:t>
            </w:r>
          </w:p>
        </w:tc>
      </w:tr>
      <w:tr w:rsidR="00E13867" w:rsidRPr="00920556" w14:paraId="55AAD194"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51169569" w14:textId="77777777" w:rsidR="00E13867" w:rsidRPr="00920556" w:rsidRDefault="00E13867" w:rsidP="00AD64C2">
            <w:pPr>
              <w:jc w:val="center"/>
              <w:rPr>
                <w:rFonts w:cs="Arial"/>
                <w:color w:val="000000"/>
                <w:sz w:val="15"/>
                <w:szCs w:val="15"/>
              </w:rPr>
            </w:pPr>
            <w:r w:rsidRPr="00920556">
              <w:rPr>
                <w:rFonts w:cs="Arial"/>
                <w:color w:val="000000"/>
                <w:sz w:val="15"/>
                <w:szCs w:val="15"/>
              </w:rPr>
              <w:t>BOYACÁ</w:t>
            </w:r>
          </w:p>
        </w:tc>
        <w:tc>
          <w:tcPr>
            <w:tcW w:w="0" w:type="auto"/>
            <w:noWrap/>
            <w:vAlign w:val="center"/>
            <w:hideMark/>
          </w:tcPr>
          <w:p w14:paraId="6A6EC691" w14:textId="13E3905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6C49852" w14:textId="1C25215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F144DFE" w14:textId="577BCD6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900D8B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7086132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w:t>
            </w:r>
          </w:p>
        </w:tc>
        <w:tc>
          <w:tcPr>
            <w:tcW w:w="0" w:type="auto"/>
            <w:noWrap/>
            <w:vAlign w:val="center"/>
            <w:hideMark/>
          </w:tcPr>
          <w:p w14:paraId="629AC8D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5</w:t>
            </w:r>
          </w:p>
        </w:tc>
        <w:tc>
          <w:tcPr>
            <w:tcW w:w="0" w:type="auto"/>
            <w:noWrap/>
            <w:vAlign w:val="center"/>
            <w:hideMark/>
          </w:tcPr>
          <w:p w14:paraId="6717C721"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40</w:t>
            </w:r>
          </w:p>
        </w:tc>
        <w:tc>
          <w:tcPr>
            <w:tcW w:w="0" w:type="auto"/>
            <w:noWrap/>
            <w:vAlign w:val="center"/>
            <w:hideMark/>
          </w:tcPr>
          <w:p w14:paraId="163F33D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111</w:t>
            </w:r>
          </w:p>
        </w:tc>
        <w:tc>
          <w:tcPr>
            <w:tcW w:w="0" w:type="auto"/>
            <w:noWrap/>
            <w:vAlign w:val="center"/>
            <w:hideMark/>
          </w:tcPr>
          <w:p w14:paraId="11B402A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426</w:t>
            </w:r>
          </w:p>
        </w:tc>
        <w:tc>
          <w:tcPr>
            <w:tcW w:w="0" w:type="auto"/>
            <w:noWrap/>
            <w:vAlign w:val="center"/>
            <w:hideMark/>
          </w:tcPr>
          <w:p w14:paraId="41D6110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985</w:t>
            </w:r>
          </w:p>
        </w:tc>
        <w:tc>
          <w:tcPr>
            <w:tcW w:w="0" w:type="auto"/>
            <w:noWrap/>
            <w:vAlign w:val="center"/>
            <w:hideMark/>
          </w:tcPr>
          <w:p w14:paraId="4C578C3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1.570</w:t>
            </w:r>
          </w:p>
        </w:tc>
      </w:tr>
      <w:tr w:rsidR="00E13867" w:rsidRPr="00920556" w14:paraId="74D9FFA3"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1536EC11" w14:textId="77777777" w:rsidR="00E13867" w:rsidRPr="00920556" w:rsidRDefault="00E13867" w:rsidP="00AD64C2">
            <w:pPr>
              <w:jc w:val="center"/>
              <w:rPr>
                <w:rFonts w:cs="Arial"/>
                <w:color w:val="000000"/>
                <w:sz w:val="15"/>
                <w:szCs w:val="15"/>
              </w:rPr>
            </w:pPr>
            <w:r w:rsidRPr="00920556">
              <w:rPr>
                <w:rFonts w:cs="Arial"/>
                <w:color w:val="000000"/>
                <w:sz w:val="15"/>
                <w:szCs w:val="15"/>
              </w:rPr>
              <w:t>CALDAS</w:t>
            </w:r>
          </w:p>
        </w:tc>
        <w:tc>
          <w:tcPr>
            <w:tcW w:w="0" w:type="auto"/>
            <w:noWrap/>
            <w:vAlign w:val="center"/>
            <w:hideMark/>
          </w:tcPr>
          <w:p w14:paraId="770AFEB8" w14:textId="438301D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7BDAE209" w14:textId="13EA7BC3"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71E6397" w14:textId="259A9579"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03DF5620"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877</w:t>
            </w:r>
          </w:p>
        </w:tc>
        <w:tc>
          <w:tcPr>
            <w:tcW w:w="0" w:type="auto"/>
            <w:noWrap/>
            <w:vAlign w:val="center"/>
            <w:hideMark/>
          </w:tcPr>
          <w:p w14:paraId="29F7BAEE"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689</w:t>
            </w:r>
          </w:p>
        </w:tc>
        <w:tc>
          <w:tcPr>
            <w:tcW w:w="0" w:type="auto"/>
            <w:noWrap/>
            <w:vAlign w:val="center"/>
            <w:hideMark/>
          </w:tcPr>
          <w:p w14:paraId="1FCB03DF"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669</w:t>
            </w:r>
          </w:p>
        </w:tc>
        <w:tc>
          <w:tcPr>
            <w:tcW w:w="0" w:type="auto"/>
            <w:noWrap/>
            <w:vAlign w:val="center"/>
            <w:hideMark/>
          </w:tcPr>
          <w:p w14:paraId="4A60397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758</w:t>
            </w:r>
          </w:p>
        </w:tc>
        <w:tc>
          <w:tcPr>
            <w:tcW w:w="0" w:type="auto"/>
            <w:noWrap/>
            <w:vAlign w:val="center"/>
            <w:hideMark/>
          </w:tcPr>
          <w:p w14:paraId="6889273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1.167</w:t>
            </w:r>
          </w:p>
        </w:tc>
        <w:tc>
          <w:tcPr>
            <w:tcW w:w="0" w:type="auto"/>
            <w:noWrap/>
            <w:vAlign w:val="center"/>
            <w:hideMark/>
          </w:tcPr>
          <w:p w14:paraId="70B2C139"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802</w:t>
            </w:r>
          </w:p>
        </w:tc>
        <w:tc>
          <w:tcPr>
            <w:tcW w:w="0" w:type="auto"/>
            <w:noWrap/>
            <w:vAlign w:val="center"/>
            <w:hideMark/>
          </w:tcPr>
          <w:p w14:paraId="14AB89CB"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887</w:t>
            </w:r>
          </w:p>
        </w:tc>
        <w:tc>
          <w:tcPr>
            <w:tcW w:w="0" w:type="auto"/>
            <w:noWrap/>
            <w:vAlign w:val="center"/>
            <w:hideMark/>
          </w:tcPr>
          <w:p w14:paraId="13D1DB6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5.849</w:t>
            </w:r>
          </w:p>
        </w:tc>
      </w:tr>
      <w:tr w:rsidR="00E13867" w:rsidRPr="00920556" w14:paraId="12A6124E"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6A310387" w14:textId="77777777" w:rsidR="00E13867" w:rsidRPr="00920556" w:rsidRDefault="00E13867" w:rsidP="00AD64C2">
            <w:pPr>
              <w:jc w:val="center"/>
              <w:rPr>
                <w:rFonts w:cs="Arial"/>
                <w:color w:val="000000"/>
                <w:sz w:val="15"/>
                <w:szCs w:val="15"/>
              </w:rPr>
            </w:pPr>
            <w:r w:rsidRPr="00920556">
              <w:rPr>
                <w:rFonts w:cs="Arial"/>
                <w:color w:val="000000"/>
                <w:sz w:val="15"/>
                <w:szCs w:val="15"/>
              </w:rPr>
              <w:t>CAQUETÁ</w:t>
            </w:r>
          </w:p>
        </w:tc>
        <w:tc>
          <w:tcPr>
            <w:tcW w:w="0" w:type="auto"/>
            <w:noWrap/>
            <w:vAlign w:val="center"/>
            <w:hideMark/>
          </w:tcPr>
          <w:p w14:paraId="756140DC" w14:textId="36650E3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F022A90" w14:textId="5DDE090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127ACDC" w14:textId="2A0C1C5E"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A1F1F87" w14:textId="2DA9140C"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709734F" w14:textId="4A72D84A"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09966E7" w14:textId="32E0771C"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80D978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2C7A7680" w14:textId="68463A0C"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120D44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w:t>
            </w:r>
          </w:p>
        </w:tc>
        <w:tc>
          <w:tcPr>
            <w:tcW w:w="0" w:type="auto"/>
            <w:noWrap/>
            <w:vAlign w:val="center"/>
            <w:hideMark/>
          </w:tcPr>
          <w:p w14:paraId="137CA87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11</w:t>
            </w:r>
          </w:p>
        </w:tc>
        <w:tc>
          <w:tcPr>
            <w:tcW w:w="0" w:type="auto"/>
            <w:noWrap/>
            <w:vAlign w:val="center"/>
            <w:hideMark/>
          </w:tcPr>
          <w:p w14:paraId="3056F29C"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14</w:t>
            </w:r>
          </w:p>
        </w:tc>
      </w:tr>
      <w:tr w:rsidR="00E13867" w:rsidRPr="00920556" w14:paraId="21904BE1"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081906B1" w14:textId="77777777" w:rsidR="00E13867" w:rsidRPr="00920556" w:rsidRDefault="00E13867" w:rsidP="00AD64C2">
            <w:pPr>
              <w:jc w:val="center"/>
              <w:rPr>
                <w:rFonts w:cs="Arial"/>
                <w:color w:val="000000"/>
                <w:sz w:val="15"/>
                <w:szCs w:val="15"/>
              </w:rPr>
            </w:pPr>
            <w:r w:rsidRPr="00920556">
              <w:rPr>
                <w:rFonts w:cs="Arial"/>
                <w:color w:val="000000"/>
                <w:sz w:val="15"/>
                <w:szCs w:val="15"/>
              </w:rPr>
              <w:t>CASANARE</w:t>
            </w:r>
          </w:p>
        </w:tc>
        <w:tc>
          <w:tcPr>
            <w:tcW w:w="0" w:type="auto"/>
            <w:noWrap/>
            <w:vAlign w:val="center"/>
            <w:hideMark/>
          </w:tcPr>
          <w:p w14:paraId="43226B4C" w14:textId="692DC622"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A7B28E4" w14:textId="1C16F62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01DC63FC" w14:textId="37EDC39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7EF4740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26</w:t>
            </w:r>
          </w:p>
        </w:tc>
        <w:tc>
          <w:tcPr>
            <w:tcW w:w="0" w:type="auto"/>
            <w:noWrap/>
            <w:vAlign w:val="center"/>
            <w:hideMark/>
          </w:tcPr>
          <w:p w14:paraId="0313A38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9</w:t>
            </w:r>
          </w:p>
        </w:tc>
        <w:tc>
          <w:tcPr>
            <w:tcW w:w="0" w:type="auto"/>
            <w:noWrap/>
            <w:vAlign w:val="center"/>
            <w:hideMark/>
          </w:tcPr>
          <w:p w14:paraId="23748BEB"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w:t>
            </w:r>
          </w:p>
        </w:tc>
        <w:tc>
          <w:tcPr>
            <w:tcW w:w="0" w:type="auto"/>
            <w:noWrap/>
            <w:vAlign w:val="center"/>
            <w:hideMark/>
          </w:tcPr>
          <w:p w14:paraId="49287A1C"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192</w:t>
            </w:r>
          </w:p>
        </w:tc>
        <w:tc>
          <w:tcPr>
            <w:tcW w:w="0" w:type="auto"/>
            <w:noWrap/>
            <w:vAlign w:val="center"/>
            <w:hideMark/>
          </w:tcPr>
          <w:p w14:paraId="30E1567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554</w:t>
            </w:r>
          </w:p>
        </w:tc>
        <w:tc>
          <w:tcPr>
            <w:tcW w:w="0" w:type="auto"/>
            <w:noWrap/>
            <w:vAlign w:val="center"/>
            <w:hideMark/>
          </w:tcPr>
          <w:p w14:paraId="4FBE17D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1.099</w:t>
            </w:r>
          </w:p>
        </w:tc>
        <w:tc>
          <w:tcPr>
            <w:tcW w:w="0" w:type="auto"/>
            <w:noWrap/>
            <w:vAlign w:val="center"/>
            <w:hideMark/>
          </w:tcPr>
          <w:p w14:paraId="4AA4CD46"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999</w:t>
            </w:r>
          </w:p>
        </w:tc>
        <w:tc>
          <w:tcPr>
            <w:tcW w:w="0" w:type="auto"/>
            <w:noWrap/>
            <w:vAlign w:val="center"/>
            <w:hideMark/>
          </w:tcPr>
          <w:p w14:paraId="2F63C52E"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2.885</w:t>
            </w:r>
          </w:p>
        </w:tc>
      </w:tr>
      <w:tr w:rsidR="00E13867" w:rsidRPr="00920556" w14:paraId="26008A66"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37BBCC3B" w14:textId="77777777" w:rsidR="00E13867" w:rsidRPr="00920556" w:rsidRDefault="00E13867" w:rsidP="00AD64C2">
            <w:pPr>
              <w:jc w:val="center"/>
              <w:rPr>
                <w:rFonts w:cs="Arial"/>
                <w:color w:val="000000"/>
                <w:sz w:val="15"/>
                <w:szCs w:val="15"/>
              </w:rPr>
            </w:pPr>
            <w:r w:rsidRPr="00920556">
              <w:rPr>
                <w:rFonts w:cs="Arial"/>
                <w:color w:val="000000"/>
                <w:sz w:val="15"/>
                <w:szCs w:val="15"/>
              </w:rPr>
              <w:t>CAUCA</w:t>
            </w:r>
          </w:p>
        </w:tc>
        <w:tc>
          <w:tcPr>
            <w:tcW w:w="0" w:type="auto"/>
            <w:noWrap/>
            <w:vAlign w:val="center"/>
            <w:hideMark/>
          </w:tcPr>
          <w:p w14:paraId="3A96D6F0" w14:textId="3774F25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7C0976B" w14:textId="1C80AFF8"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27DC2BB" w14:textId="0FEB8CD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DA4581F" w14:textId="5A8611F4"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4D59572" w14:textId="646BAA49"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0D31DBE" w14:textId="11709AE6"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E28C801"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30</w:t>
            </w:r>
          </w:p>
        </w:tc>
        <w:tc>
          <w:tcPr>
            <w:tcW w:w="0" w:type="auto"/>
            <w:noWrap/>
            <w:vAlign w:val="center"/>
            <w:hideMark/>
          </w:tcPr>
          <w:p w14:paraId="5D8DC13A"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84</w:t>
            </w:r>
          </w:p>
        </w:tc>
        <w:tc>
          <w:tcPr>
            <w:tcW w:w="0" w:type="auto"/>
            <w:noWrap/>
            <w:vAlign w:val="center"/>
            <w:hideMark/>
          </w:tcPr>
          <w:p w14:paraId="223AB95F"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415</w:t>
            </w:r>
          </w:p>
        </w:tc>
        <w:tc>
          <w:tcPr>
            <w:tcW w:w="0" w:type="auto"/>
            <w:noWrap/>
            <w:vAlign w:val="center"/>
            <w:hideMark/>
          </w:tcPr>
          <w:p w14:paraId="41E6292F"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309</w:t>
            </w:r>
          </w:p>
        </w:tc>
        <w:tc>
          <w:tcPr>
            <w:tcW w:w="0" w:type="auto"/>
            <w:noWrap/>
            <w:vAlign w:val="center"/>
            <w:hideMark/>
          </w:tcPr>
          <w:p w14:paraId="35C6C85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838</w:t>
            </w:r>
          </w:p>
        </w:tc>
      </w:tr>
      <w:tr w:rsidR="00E13867" w:rsidRPr="00920556" w14:paraId="4894BF77"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7DCA27E5" w14:textId="77777777" w:rsidR="00E13867" w:rsidRPr="00920556" w:rsidRDefault="00E13867" w:rsidP="00AD64C2">
            <w:pPr>
              <w:jc w:val="center"/>
              <w:rPr>
                <w:rFonts w:cs="Arial"/>
                <w:color w:val="000000"/>
                <w:sz w:val="15"/>
                <w:szCs w:val="15"/>
              </w:rPr>
            </w:pPr>
            <w:r w:rsidRPr="00920556">
              <w:rPr>
                <w:rFonts w:cs="Arial"/>
                <w:color w:val="000000"/>
                <w:sz w:val="15"/>
                <w:szCs w:val="15"/>
              </w:rPr>
              <w:t>CESAR</w:t>
            </w:r>
          </w:p>
        </w:tc>
        <w:tc>
          <w:tcPr>
            <w:tcW w:w="0" w:type="auto"/>
            <w:noWrap/>
            <w:vAlign w:val="center"/>
            <w:hideMark/>
          </w:tcPr>
          <w:p w14:paraId="4F6968E9" w14:textId="27F31E02"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9EAA211" w14:textId="34D2EBE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9581D79" w14:textId="1AB0A0BC"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46F86BF" w14:textId="05131F6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591146B" w14:textId="49A82A0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09C92E3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w:t>
            </w:r>
          </w:p>
        </w:tc>
        <w:tc>
          <w:tcPr>
            <w:tcW w:w="0" w:type="auto"/>
            <w:noWrap/>
            <w:vAlign w:val="center"/>
            <w:hideMark/>
          </w:tcPr>
          <w:p w14:paraId="05FE58DC"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13</w:t>
            </w:r>
          </w:p>
        </w:tc>
        <w:tc>
          <w:tcPr>
            <w:tcW w:w="0" w:type="auto"/>
            <w:noWrap/>
            <w:vAlign w:val="center"/>
            <w:hideMark/>
          </w:tcPr>
          <w:p w14:paraId="09A3ACD8"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65</w:t>
            </w:r>
          </w:p>
        </w:tc>
        <w:tc>
          <w:tcPr>
            <w:tcW w:w="0" w:type="auto"/>
            <w:noWrap/>
            <w:vAlign w:val="center"/>
            <w:hideMark/>
          </w:tcPr>
          <w:p w14:paraId="672A816E"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81</w:t>
            </w:r>
          </w:p>
        </w:tc>
        <w:tc>
          <w:tcPr>
            <w:tcW w:w="0" w:type="auto"/>
            <w:noWrap/>
            <w:vAlign w:val="center"/>
            <w:hideMark/>
          </w:tcPr>
          <w:p w14:paraId="64B4442E"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215</w:t>
            </w:r>
          </w:p>
        </w:tc>
        <w:tc>
          <w:tcPr>
            <w:tcW w:w="0" w:type="auto"/>
            <w:noWrap/>
            <w:vAlign w:val="center"/>
            <w:hideMark/>
          </w:tcPr>
          <w:p w14:paraId="72A8962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380</w:t>
            </w:r>
          </w:p>
        </w:tc>
      </w:tr>
      <w:tr w:rsidR="00E13867" w:rsidRPr="00920556" w14:paraId="0B750EF0"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0D8210B9" w14:textId="77777777" w:rsidR="00E13867" w:rsidRPr="00920556" w:rsidRDefault="00E13867" w:rsidP="00AD64C2">
            <w:pPr>
              <w:jc w:val="center"/>
              <w:rPr>
                <w:rFonts w:cs="Arial"/>
                <w:color w:val="000000"/>
                <w:sz w:val="15"/>
                <w:szCs w:val="15"/>
              </w:rPr>
            </w:pPr>
            <w:r w:rsidRPr="00920556">
              <w:rPr>
                <w:rFonts w:cs="Arial"/>
                <w:color w:val="000000"/>
                <w:sz w:val="15"/>
                <w:szCs w:val="15"/>
              </w:rPr>
              <w:t>CÓRDOBA</w:t>
            </w:r>
          </w:p>
        </w:tc>
        <w:tc>
          <w:tcPr>
            <w:tcW w:w="0" w:type="auto"/>
            <w:noWrap/>
            <w:vAlign w:val="center"/>
            <w:hideMark/>
          </w:tcPr>
          <w:p w14:paraId="51C8508A" w14:textId="53611B3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CC694FA" w14:textId="4F5D2009"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94E024D" w14:textId="42A2CF1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0BB28C1" w14:textId="7AEE71D3"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717335B" w14:textId="2891A3C4"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019E93A"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13</w:t>
            </w:r>
          </w:p>
        </w:tc>
        <w:tc>
          <w:tcPr>
            <w:tcW w:w="0" w:type="auto"/>
            <w:noWrap/>
            <w:vAlign w:val="center"/>
            <w:hideMark/>
          </w:tcPr>
          <w:p w14:paraId="3D1519C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16</w:t>
            </w:r>
          </w:p>
        </w:tc>
        <w:tc>
          <w:tcPr>
            <w:tcW w:w="0" w:type="auto"/>
            <w:noWrap/>
            <w:vAlign w:val="center"/>
            <w:hideMark/>
          </w:tcPr>
          <w:p w14:paraId="6D8A657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193</w:t>
            </w:r>
          </w:p>
        </w:tc>
        <w:tc>
          <w:tcPr>
            <w:tcW w:w="0" w:type="auto"/>
            <w:noWrap/>
            <w:vAlign w:val="center"/>
            <w:hideMark/>
          </w:tcPr>
          <w:p w14:paraId="7164853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628</w:t>
            </w:r>
          </w:p>
        </w:tc>
        <w:tc>
          <w:tcPr>
            <w:tcW w:w="0" w:type="auto"/>
            <w:noWrap/>
            <w:vAlign w:val="center"/>
            <w:hideMark/>
          </w:tcPr>
          <w:p w14:paraId="38566A5D"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678</w:t>
            </w:r>
          </w:p>
        </w:tc>
        <w:tc>
          <w:tcPr>
            <w:tcW w:w="0" w:type="auto"/>
            <w:noWrap/>
            <w:vAlign w:val="center"/>
            <w:hideMark/>
          </w:tcPr>
          <w:p w14:paraId="663B4939"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1.528</w:t>
            </w:r>
          </w:p>
        </w:tc>
      </w:tr>
      <w:tr w:rsidR="00E13867" w:rsidRPr="00920556" w14:paraId="4388467C"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24CAD100" w14:textId="77777777" w:rsidR="00E13867" w:rsidRPr="00920556" w:rsidRDefault="00E13867" w:rsidP="00AD64C2">
            <w:pPr>
              <w:jc w:val="center"/>
              <w:rPr>
                <w:rFonts w:cs="Arial"/>
                <w:color w:val="000000"/>
                <w:sz w:val="15"/>
                <w:szCs w:val="15"/>
              </w:rPr>
            </w:pPr>
            <w:r w:rsidRPr="00920556">
              <w:rPr>
                <w:rFonts w:cs="Arial"/>
                <w:color w:val="000000"/>
                <w:sz w:val="15"/>
                <w:szCs w:val="15"/>
              </w:rPr>
              <w:t>CUNDINAMARCA</w:t>
            </w:r>
          </w:p>
        </w:tc>
        <w:tc>
          <w:tcPr>
            <w:tcW w:w="0" w:type="auto"/>
            <w:noWrap/>
            <w:vAlign w:val="center"/>
            <w:hideMark/>
          </w:tcPr>
          <w:p w14:paraId="13C0AF3D" w14:textId="7644504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20F808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07C21B21" w14:textId="35C85E81"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3C9765EE" w14:textId="62DE4304"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72E23FF" w14:textId="03BDED9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0279A84"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81</w:t>
            </w:r>
          </w:p>
        </w:tc>
        <w:tc>
          <w:tcPr>
            <w:tcW w:w="0" w:type="auto"/>
            <w:noWrap/>
            <w:vAlign w:val="center"/>
            <w:hideMark/>
          </w:tcPr>
          <w:p w14:paraId="6A5FB296"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194</w:t>
            </w:r>
          </w:p>
        </w:tc>
        <w:tc>
          <w:tcPr>
            <w:tcW w:w="0" w:type="auto"/>
            <w:noWrap/>
            <w:vAlign w:val="center"/>
            <w:hideMark/>
          </w:tcPr>
          <w:p w14:paraId="74530F4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445</w:t>
            </w:r>
          </w:p>
        </w:tc>
        <w:tc>
          <w:tcPr>
            <w:tcW w:w="0" w:type="auto"/>
            <w:noWrap/>
            <w:vAlign w:val="center"/>
            <w:hideMark/>
          </w:tcPr>
          <w:p w14:paraId="317D775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872</w:t>
            </w:r>
          </w:p>
        </w:tc>
        <w:tc>
          <w:tcPr>
            <w:tcW w:w="0" w:type="auto"/>
            <w:noWrap/>
            <w:vAlign w:val="center"/>
            <w:hideMark/>
          </w:tcPr>
          <w:p w14:paraId="355779E7"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1.523</w:t>
            </w:r>
          </w:p>
        </w:tc>
        <w:tc>
          <w:tcPr>
            <w:tcW w:w="0" w:type="auto"/>
            <w:noWrap/>
            <w:vAlign w:val="center"/>
            <w:hideMark/>
          </w:tcPr>
          <w:p w14:paraId="77EC691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3.116</w:t>
            </w:r>
          </w:p>
        </w:tc>
      </w:tr>
      <w:tr w:rsidR="00E13867" w:rsidRPr="00920556" w14:paraId="2DC93445"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5E04E6A0" w14:textId="77777777" w:rsidR="00E13867" w:rsidRPr="00920556" w:rsidRDefault="00E13867" w:rsidP="00AD64C2">
            <w:pPr>
              <w:jc w:val="center"/>
              <w:rPr>
                <w:rFonts w:cs="Arial"/>
                <w:color w:val="000000"/>
                <w:sz w:val="15"/>
                <w:szCs w:val="15"/>
              </w:rPr>
            </w:pPr>
            <w:r w:rsidRPr="00920556">
              <w:rPr>
                <w:rFonts w:cs="Arial"/>
                <w:color w:val="000000"/>
                <w:sz w:val="15"/>
                <w:szCs w:val="15"/>
              </w:rPr>
              <w:t>GUAJIRA</w:t>
            </w:r>
          </w:p>
        </w:tc>
        <w:tc>
          <w:tcPr>
            <w:tcW w:w="0" w:type="auto"/>
            <w:noWrap/>
            <w:vAlign w:val="center"/>
            <w:hideMark/>
          </w:tcPr>
          <w:p w14:paraId="7D107152" w14:textId="2850540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AD857E3" w14:textId="2CB39344"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8B09E78" w14:textId="0025569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ABC36F1" w14:textId="3376E1BA"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1946AC1" w14:textId="72BE695F"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5D0589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w:t>
            </w:r>
          </w:p>
        </w:tc>
        <w:tc>
          <w:tcPr>
            <w:tcW w:w="0" w:type="auto"/>
            <w:noWrap/>
            <w:vAlign w:val="center"/>
            <w:hideMark/>
          </w:tcPr>
          <w:p w14:paraId="04E350AE" w14:textId="0DDD50B5"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F9AE30D"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19</w:t>
            </w:r>
          </w:p>
        </w:tc>
        <w:tc>
          <w:tcPr>
            <w:tcW w:w="0" w:type="auto"/>
            <w:noWrap/>
            <w:vAlign w:val="center"/>
            <w:hideMark/>
          </w:tcPr>
          <w:p w14:paraId="14053A4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115</w:t>
            </w:r>
          </w:p>
        </w:tc>
        <w:tc>
          <w:tcPr>
            <w:tcW w:w="0" w:type="auto"/>
            <w:noWrap/>
            <w:vAlign w:val="center"/>
            <w:hideMark/>
          </w:tcPr>
          <w:p w14:paraId="27994D0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500</w:t>
            </w:r>
          </w:p>
        </w:tc>
        <w:tc>
          <w:tcPr>
            <w:tcW w:w="0" w:type="auto"/>
            <w:noWrap/>
            <w:vAlign w:val="center"/>
            <w:hideMark/>
          </w:tcPr>
          <w:p w14:paraId="3F2C9E7F"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636</w:t>
            </w:r>
          </w:p>
        </w:tc>
      </w:tr>
      <w:tr w:rsidR="00E13867" w:rsidRPr="00920556" w14:paraId="5D219A2C"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1AE71582" w14:textId="77777777" w:rsidR="00E13867" w:rsidRPr="00920556" w:rsidRDefault="00E13867" w:rsidP="00AD64C2">
            <w:pPr>
              <w:jc w:val="center"/>
              <w:rPr>
                <w:rFonts w:cs="Arial"/>
                <w:color w:val="000000"/>
                <w:sz w:val="15"/>
                <w:szCs w:val="15"/>
              </w:rPr>
            </w:pPr>
            <w:r w:rsidRPr="00920556">
              <w:rPr>
                <w:rFonts w:cs="Arial"/>
                <w:color w:val="000000"/>
                <w:sz w:val="15"/>
                <w:szCs w:val="15"/>
              </w:rPr>
              <w:t>HUILA</w:t>
            </w:r>
          </w:p>
        </w:tc>
        <w:tc>
          <w:tcPr>
            <w:tcW w:w="0" w:type="auto"/>
            <w:noWrap/>
            <w:vAlign w:val="center"/>
            <w:hideMark/>
          </w:tcPr>
          <w:p w14:paraId="2E30D8EB" w14:textId="7E6DF881"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2FE8E28" w14:textId="5BE37B60"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AA065C2" w14:textId="4100FE4C"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66C730F" w14:textId="5E287D14"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986C709" w14:textId="52534F71"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28E9424" w14:textId="611B807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2D5E3D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599</w:t>
            </w:r>
          </w:p>
        </w:tc>
        <w:tc>
          <w:tcPr>
            <w:tcW w:w="0" w:type="auto"/>
            <w:noWrap/>
            <w:vAlign w:val="center"/>
            <w:hideMark/>
          </w:tcPr>
          <w:p w14:paraId="7291D8B6"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1.081</w:t>
            </w:r>
          </w:p>
        </w:tc>
        <w:tc>
          <w:tcPr>
            <w:tcW w:w="0" w:type="auto"/>
            <w:noWrap/>
            <w:vAlign w:val="center"/>
            <w:hideMark/>
          </w:tcPr>
          <w:p w14:paraId="6033ADC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510</w:t>
            </w:r>
          </w:p>
        </w:tc>
        <w:tc>
          <w:tcPr>
            <w:tcW w:w="0" w:type="auto"/>
            <w:noWrap/>
            <w:vAlign w:val="center"/>
            <w:hideMark/>
          </w:tcPr>
          <w:p w14:paraId="399DDE31"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419</w:t>
            </w:r>
          </w:p>
        </w:tc>
        <w:tc>
          <w:tcPr>
            <w:tcW w:w="0" w:type="auto"/>
            <w:noWrap/>
            <w:vAlign w:val="center"/>
            <w:hideMark/>
          </w:tcPr>
          <w:p w14:paraId="7861DB29"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2.609</w:t>
            </w:r>
          </w:p>
        </w:tc>
      </w:tr>
      <w:tr w:rsidR="00E13867" w:rsidRPr="00920556" w14:paraId="0BFF1F25"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6D246193" w14:textId="77777777" w:rsidR="00E13867" w:rsidRPr="00920556" w:rsidRDefault="00E13867" w:rsidP="00AD64C2">
            <w:pPr>
              <w:jc w:val="center"/>
              <w:rPr>
                <w:rFonts w:cs="Arial"/>
                <w:color w:val="000000"/>
                <w:sz w:val="15"/>
                <w:szCs w:val="15"/>
              </w:rPr>
            </w:pPr>
            <w:r w:rsidRPr="00920556">
              <w:rPr>
                <w:rFonts w:cs="Arial"/>
                <w:color w:val="000000"/>
                <w:sz w:val="15"/>
                <w:szCs w:val="15"/>
              </w:rPr>
              <w:t>MAGDALENA</w:t>
            </w:r>
          </w:p>
        </w:tc>
        <w:tc>
          <w:tcPr>
            <w:tcW w:w="0" w:type="auto"/>
            <w:noWrap/>
            <w:vAlign w:val="center"/>
            <w:hideMark/>
          </w:tcPr>
          <w:p w14:paraId="27C02B35" w14:textId="771C039C"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2464BD3" w14:textId="08C36239"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2DD7A0A4" w14:textId="4A9BE39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443A75E4" w14:textId="59764116"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1C97C28" w14:textId="28ABDC29"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9ACB337" w14:textId="6429CB56"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164370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14</w:t>
            </w:r>
          </w:p>
        </w:tc>
        <w:tc>
          <w:tcPr>
            <w:tcW w:w="0" w:type="auto"/>
            <w:noWrap/>
            <w:vAlign w:val="center"/>
            <w:hideMark/>
          </w:tcPr>
          <w:p w14:paraId="2C9FA65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146</w:t>
            </w:r>
          </w:p>
        </w:tc>
        <w:tc>
          <w:tcPr>
            <w:tcW w:w="0" w:type="auto"/>
            <w:noWrap/>
            <w:vAlign w:val="center"/>
            <w:hideMark/>
          </w:tcPr>
          <w:p w14:paraId="03BD244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228</w:t>
            </w:r>
          </w:p>
        </w:tc>
        <w:tc>
          <w:tcPr>
            <w:tcW w:w="0" w:type="auto"/>
            <w:noWrap/>
            <w:vAlign w:val="center"/>
            <w:hideMark/>
          </w:tcPr>
          <w:p w14:paraId="0A24CADA"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283</w:t>
            </w:r>
          </w:p>
        </w:tc>
        <w:tc>
          <w:tcPr>
            <w:tcW w:w="0" w:type="auto"/>
            <w:noWrap/>
            <w:vAlign w:val="center"/>
            <w:hideMark/>
          </w:tcPr>
          <w:p w14:paraId="4086BCA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671</w:t>
            </w:r>
          </w:p>
        </w:tc>
      </w:tr>
      <w:tr w:rsidR="00E13867" w:rsidRPr="00920556" w14:paraId="47CB3016"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555A79D3" w14:textId="77777777" w:rsidR="00E13867" w:rsidRPr="00920556" w:rsidRDefault="00E13867" w:rsidP="00AD64C2">
            <w:pPr>
              <w:jc w:val="center"/>
              <w:rPr>
                <w:rFonts w:cs="Arial"/>
                <w:color w:val="000000"/>
                <w:sz w:val="15"/>
                <w:szCs w:val="15"/>
              </w:rPr>
            </w:pPr>
            <w:r w:rsidRPr="00920556">
              <w:rPr>
                <w:rFonts w:cs="Arial"/>
                <w:color w:val="000000"/>
                <w:sz w:val="15"/>
                <w:szCs w:val="15"/>
              </w:rPr>
              <w:t>META</w:t>
            </w:r>
          </w:p>
        </w:tc>
        <w:tc>
          <w:tcPr>
            <w:tcW w:w="0" w:type="auto"/>
            <w:noWrap/>
            <w:vAlign w:val="center"/>
            <w:hideMark/>
          </w:tcPr>
          <w:p w14:paraId="0B007404"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3</w:t>
            </w:r>
          </w:p>
        </w:tc>
        <w:tc>
          <w:tcPr>
            <w:tcW w:w="0" w:type="auto"/>
            <w:noWrap/>
            <w:vAlign w:val="center"/>
            <w:hideMark/>
          </w:tcPr>
          <w:p w14:paraId="2B6F6132" w14:textId="326A9628"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AF0874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288310B4" w14:textId="3E0F564C"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72495BE" w14:textId="6D6E6C4F"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191776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249DD0E1" w14:textId="403E1693"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5631F41"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11</w:t>
            </w:r>
          </w:p>
        </w:tc>
        <w:tc>
          <w:tcPr>
            <w:tcW w:w="0" w:type="auto"/>
            <w:noWrap/>
            <w:vAlign w:val="center"/>
            <w:hideMark/>
          </w:tcPr>
          <w:p w14:paraId="56B2E07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118</w:t>
            </w:r>
          </w:p>
        </w:tc>
        <w:tc>
          <w:tcPr>
            <w:tcW w:w="0" w:type="auto"/>
            <w:noWrap/>
            <w:vAlign w:val="center"/>
            <w:hideMark/>
          </w:tcPr>
          <w:p w14:paraId="27595B78"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1.334</w:t>
            </w:r>
          </w:p>
        </w:tc>
        <w:tc>
          <w:tcPr>
            <w:tcW w:w="0" w:type="auto"/>
            <w:noWrap/>
            <w:vAlign w:val="center"/>
            <w:hideMark/>
          </w:tcPr>
          <w:p w14:paraId="2A16CD3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1.468</w:t>
            </w:r>
          </w:p>
        </w:tc>
      </w:tr>
      <w:tr w:rsidR="00E13867" w:rsidRPr="00920556" w14:paraId="631BF5F6"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5900A0EB" w14:textId="77777777" w:rsidR="00E13867" w:rsidRPr="00920556" w:rsidRDefault="00E13867" w:rsidP="00AD64C2">
            <w:pPr>
              <w:jc w:val="center"/>
              <w:rPr>
                <w:rFonts w:cs="Arial"/>
                <w:color w:val="000000"/>
                <w:sz w:val="15"/>
                <w:szCs w:val="15"/>
              </w:rPr>
            </w:pPr>
            <w:r w:rsidRPr="00920556">
              <w:rPr>
                <w:rFonts w:cs="Arial"/>
                <w:color w:val="000000"/>
                <w:sz w:val="15"/>
                <w:szCs w:val="15"/>
              </w:rPr>
              <w:t>NARIÑO</w:t>
            </w:r>
          </w:p>
        </w:tc>
        <w:tc>
          <w:tcPr>
            <w:tcW w:w="0" w:type="auto"/>
            <w:noWrap/>
            <w:vAlign w:val="center"/>
            <w:hideMark/>
          </w:tcPr>
          <w:p w14:paraId="082A4AEA" w14:textId="28F4D341"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5988A9EE" w14:textId="535933E3"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6AEBEEC4" w14:textId="20286C0D"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833D73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w:t>
            </w:r>
          </w:p>
        </w:tc>
        <w:tc>
          <w:tcPr>
            <w:tcW w:w="0" w:type="auto"/>
            <w:noWrap/>
            <w:vAlign w:val="center"/>
            <w:hideMark/>
          </w:tcPr>
          <w:p w14:paraId="77D3C56C" w14:textId="49C5E75E"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249B0DB" w14:textId="4849E74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012755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9</w:t>
            </w:r>
          </w:p>
        </w:tc>
        <w:tc>
          <w:tcPr>
            <w:tcW w:w="0" w:type="auto"/>
            <w:noWrap/>
            <w:vAlign w:val="center"/>
            <w:hideMark/>
          </w:tcPr>
          <w:p w14:paraId="4F2C2B6C"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115</w:t>
            </w:r>
          </w:p>
        </w:tc>
        <w:tc>
          <w:tcPr>
            <w:tcW w:w="0" w:type="auto"/>
            <w:noWrap/>
            <w:vAlign w:val="center"/>
            <w:hideMark/>
          </w:tcPr>
          <w:p w14:paraId="6C8ABD8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309</w:t>
            </w:r>
          </w:p>
        </w:tc>
        <w:tc>
          <w:tcPr>
            <w:tcW w:w="0" w:type="auto"/>
            <w:noWrap/>
            <w:vAlign w:val="center"/>
            <w:hideMark/>
          </w:tcPr>
          <w:p w14:paraId="2194CD9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1.325</w:t>
            </w:r>
          </w:p>
        </w:tc>
        <w:tc>
          <w:tcPr>
            <w:tcW w:w="0" w:type="auto"/>
            <w:noWrap/>
            <w:vAlign w:val="center"/>
            <w:hideMark/>
          </w:tcPr>
          <w:p w14:paraId="649FD78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1.761</w:t>
            </w:r>
          </w:p>
        </w:tc>
      </w:tr>
      <w:tr w:rsidR="00E13867" w:rsidRPr="00920556" w14:paraId="276978BF"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42B7C6BE" w14:textId="77777777" w:rsidR="00E13867" w:rsidRPr="00920556" w:rsidRDefault="00E13867" w:rsidP="00AD64C2">
            <w:pPr>
              <w:jc w:val="center"/>
              <w:rPr>
                <w:rFonts w:cs="Arial"/>
                <w:color w:val="000000"/>
                <w:sz w:val="15"/>
                <w:szCs w:val="15"/>
              </w:rPr>
            </w:pPr>
            <w:r w:rsidRPr="00920556">
              <w:rPr>
                <w:rFonts w:cs="Arial"/>
                <w:color w:val="000000"/>
                <w:sz w:val="15"/>
                <w:szCs w:val="15"/>
              </w:rPr>
              <w:t>NORTE DE SANTANDER</w:t>
            </w:r>
          </w:p>
        </w:tc>
        <w:tc>
          <w:tcPr>
            <w:tcW w:w="0" w:type="auto"/>
            <w:noWrap/>
            <w:vAlign w:val="center"/>
            <w:hideMark/>
          </w:tcPr>
          <w:p w14:paraId="1F5041D7" w14:textId="563A585F"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4FA8E46" w14:textId="175D1C9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7B3103F8" w14:textId="6A1E8BCB"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2723A8E"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23</w:t>
            </w:r>
          </w:p>
        </w:tc>
        <w:tc>
          <w:tcPr>
            <w:tcW w:w="0" w:type="auto"/>
            <w:noWrap/>
            <w:vAlign w:val="center"/>
            <w:hideMark/>
          </w:tcPr>
          <w:p w14:paraId="133D1E00"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114</w:t>
            </w:r>
          </w:p>
        </w:tc>
        <w:tc>
          <w:tcPr>
            <w:tcW w:w="0" w:type="auto"/>
            <w:noWrap/>
            <w:vAlign w:val="center"/>
            <w:hideMark/>
          </w:tcPr>
          <w:p w14:paraId="2AB4934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85</w:t>
            </w:r>
          </w:p>
        </w:tc>
        <w:tc>
          <w:tcPr>
            <w:tcW w:w="0" w:type="auto"/>
            <w:noWrap/>
            <w:vAlign w:val="center"/>
            <w:hideMark/>
          </w:tcPr>
          <w:p w14:paraId="6C8219B9"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252</w:t>
            </w:r>
          </w:p>
        </w:tc>
        <w:tc>
          <w:tcPr>
            <w:tcW w:w="0" w:type="auto"/>
            <w:noWrap/>
            <w:vAlign w:val="center"/>
            <w:hideMark/>
          </w:tcPr>
          <w:p w14:paraId="5621CABD"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589</w:t>
            </w:r>
          </w:p>
        </w:tc>
        <w:tc>
          <w:tcPr>
            <w:tcW w:w="0" w:type="auto"/>
            <w:noWrap/>
            <w:vAlign w:val="center"/>
            <w:hideMark/>
          </w:tcPr>
          <w:p w14:paraId="696B8A4D"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449</w:t>
            </w:r>
          </w:p>
        </w:tc>
        <w:tc>
          <w:tcPr>
            <w:tcW w:w="0" w:type="auto"/>
            <w:noWrap/>
            <w:vAlign w:val="center"/>
            <w:hideMark/>
          </w:tcPr>
          <w:p w14:paraId="5DA59D6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370</w:t>
            </w:r>
          </w:p>
        </w:tc>
        <w:tc>
          <w:tcPr>
            <w:tcW w:w="0" w:type="auto"/>
            <w:noWrap/>
            <w:vAlign w:val="center"/>
            <w:hideMark/>
          </w:tcPr>
          <w:p w14:paraId="3594C57F"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1.882</w:t>
            </w:r>
          </w:p>
        </w:tc>
      </w:tr>
      <w:tr w:rsidR="00E13867" w:rsidRPr="00920556" w14:paraId="5661AE2A"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144A0889" w14:textId="77777777" w:rsidR="00E13867" w:rsidRPr="00920556" w:rsidRDefault="00E13867" w:rsidP="00AD64C2">
            <w:pPr>
              <w:jc w:val="center"/>
              <w:rPr>
                <w:rFonts w:cs="Arial"/>
                <w:color w:val="000000"/>
                <w:sz w:val="15"/>
                <w:szCs w:val="15"/>
              </w:rPr>
            </w:pPr>
            <w:r w:rsidRPr="00920556">
              <w:rPr>
                <w:rFonts w:cs="Arial"/>
                <w:color w:val="000000"/>
                <w:sz w:val="15"/>
                <w:szCs w:val="15"/>
              </w:rPr>
              <w:t>QUINDIO</w:t>
            </w:r>
          </w:p>
        </w:tc>
        <w:tc>
          <w:tcPr>
            <w:tcW w:w="0" w:type="auto"/>
            <w:noWrap/>
            <w:vAlign w:val="center"/>
            <w:hideMark/>
          </w:tcPr>
          <w:p w14:paraId="77363EBE" w14:textId="30E5DAC4"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711EA18" w14:textId="7D0659E1"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54E8A4A" w14:textId="77B31448"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11BFE31" w14:textId="2C1DFEA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9F37851"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20</w:t>
            </w:r>
          </w:p>
        </w:tc>
        <w:tc>
          <w:tcPr>
            <w:tcW w:w="0" w:type="auto"/>
            <w:noWrap/>
            <w:vAlign w:val="center"/>
            <w:hideMark/>
          </w:tcPr>
          <w:p w14:paraId="2C5B7F1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85</w:t>
            </w:r>
          </w:p>
        </w:tc>
        <w:tc>
          <w:tcPr>
            <w:tcW w:w="0" w:type="auto"/>
            <w:noWrap/>
            <w:vAlign w:val="center"/>
            <w:hideMark/>
          </w:tcPr>
          <w:p w14:paraId="4D2749A8"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250</w:t>
            </w:r>
          </w:p>
        </w:tc>
        <w:tc>
          <w:tcPr>
            <w:tcW w:w="0" w:type="auto"/>
            <w:noWrap/>
            <w:vAlign w:val="center"/>
            <w:hideMark/>
          </w:tcPr>
          <w:p w14:paraId="774183A0"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274</w:t>
            </w:r>
          </w:p>
        </w:tc>
        <w:tc>
          <w:tcPr>
            <w:tcW w:w="0" w:type="auto"/>
            <w:noWrap/>
            <w:vAlign w:val="center"/>
            <w:hideMark/>
          </w:tcPr>
          <w:p w14:paraId="276389E9"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259</w:t>
            </w:r>
          </w:p>
        </w:tc>
        <w:tc>
          <w:tcPr>
            <w:tcW w:w="0" w:type="auto"/>
            <w:noWrap/>
            <w:vAlign w:val="center"/>
            <w:hideMark/>
          </w:tcPr>
          <w:p w14:paraId="30AE81F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195</w:t>
            </w:r>
          </w:p>
        </w:tc>
        <w:tc>
          <w:tcPr>
            <w:tcW w:w="0" w:type="auto"/>
            <w:noWrap/>
            <w:vAlign w:val="center"/>
            <w:hideMark/>
          </w:tcPr>
          <w:p w14:paraId="31BDB8A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1.083</w:t>
            </w:r>
          </w:p>
        </w:tc>
      </w:tr>
      <w:tr w:rsidR="00E13867" w:rsidRPr="00920556" w14:paraId="27E8F749"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7C6376BE" w14:textId="77777777" w:rsidR="00E13867" w:rsidRPr="00920556" w:rsidRDefault="00E13867" w:rsidP="00AD64C2">
            <w:pPr>
              <w:jc w:val="center"/>
              <w:rPr>
                <w:rFonts w:cs="Arial"/>
                <w:color w:val="000000"/>
                <w:sz w:val="15"/>
                <w:szCs w:val="15"/>
              </w:rPr>
            </w:pPr>
            <w:r w:rsidRPr="00920556">
              <w:rPr>
                <w:rFonts w:cs="Arial"/>
                <w:color w:val="000000"/>
                <w:sz w:val="15"/>
                <w:szCs w:val="15"/>
              </w:rPr>
              <w:t>RISARALDA</w:t>
            </w:r>
          </w:p>
        </w:tc>
        <w:tc>
          <w:tcPr>
            <w:tcW w:w="0" w:type="auto"/>
            <w:noWrap/>
            <w:vAlign w:val="center"/>
            <w:hideMark/>
          </w:tcPr>
          <w:p w14:paraId="0ECF5009" w14:textId="15BE0C54"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23E2A3C" w14:textId="36EBC1F1"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5E705C7" w14:textId="0D7C02B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AD59628" w14:textId="6980B08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EEE67D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8</w:t>
            </w:r>
          </w:p>
        </w:tc>
        <w:tc>
          <w:tcPr>
            <w:tcW w:w="0" w:type="auto"/>
            <w:noWrap/>
            <w:vAlign w:val="center"/>
            <w:hideMark/>
          </w:tcPr>
          <w:p w14:paraId="3B120E0D"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39</w:t>
            </w:r>
          </w:p>
        </w:tc>
        <w:tc>
          <w:tcPr>
            <w:tcW w:w="0" w:type="auto"/>
            <w:noWrap/>
            <w:vAlign w:val="center"/>
            <w:hideMark/>
          </w:tcPr>
          <w:p w14:paraId="3EB1E0FD"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42</w:t>
            </w:r>
          </w:p>
        </w:tc>
        <w:tc>
          <w:tcPr>
            <w:tcW w:w="0" w:type="auto"/>
            <w:noWrap/>
            <w:vAlign w:val="center"/>
            <w:hideMark/>
          </w:tcPr>
          <w:p w14:paraId="491122B3"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50</w:t>
            </w:r>
          </w:p>
        </w:tc>
        <w:tc>
          <w:tcPr>
            <w:tcW w:w="0" w:type="auto"/>
            <w:noWrap/>
            <w:vAlign w:val="center"/>
            <w:hideMark/>
          </w:tcPr>
          <w:p w14:paraId="316D103C"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137</w:t>
            </w:r>
          </w:p>
        </w:tc>
        <w:tc>
          <w:tcPr>
            <w:tcW w:w="0" w:type="auto"/>
            <w:noWrap/>
            <w:vAlign w:val="center"/>
            <w:hideMark/>
          </w:tcPr>
          <w:p w14:paraId="40149428"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214</w:t>
            </w:r>
          </w:p>
        </w:tc>
        <w:tc>
          <w:tcPr>
            <w:tcW w:w="0" w:type="auto"/>
            <w:noWrap/>
            <w:vAlign w:val="center"/>
            <w:hideMark/>
          </w:tcPr>
          <w:p w14:paraId="70848B82"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490</w:t>
            </w:r>
          </w:p>
        </w:tc>
      </w:tr>
      <w:tr w:rsidR="00E13867" w:rsidRPr="00920556" w14:paraId="1AF6BA9A"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2F636524" w14:textId="77777777" w:rsidR="00E13867" w:rsidRPr="00920556" w:rsidRDefault="00E13867" w:rsidP="00AD64C2">
            <w:pPr>
              <w:jc w:val="center"/>
              <w:rPr>
                <w:rFonts w:cs="Arial"/>
                <w:color w:val="000000"/>
                <w:sz w:val="15"/>
                <w:szCs w:val="15"/>
              </w:rPr>
            </w:pPr>
            <w:r w:rsidRPr="00920556">
              <w:rPr>
                <w:rFonts w:cs="Arial"/>
                <w:color w:val="000000"/>
                <w:sz w:val="15"/>
                <w:szCs w:val="15"/>
              </w:rPr>
              <w:t>SANTANDER</w:t>
            </w:r>
          </w:p>
        </w:tc>
        <w:tc>
          <w:tcPr>
            <w:tcW w:w="0" w:type="auto"/>
            <w:noWrap/>
            <w:vAlign w:val="center"/>
            <w:hideMark/>
          </w:tcPr>
          <w:p w14:paraId="132BE3B5" w14:textId="0900C53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15CB5120" w14:textId="7D99D1B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3F3FF35" w14:textId="110EA542"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292722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87</w:t>
            </w:r>
          </w:p>
        </w:tc>
        <w:tc>
          <w:tcPr>
            <w:tcW w:w="0" w:type="auto"/>
            <w:noWrap/>
            <w:vAlign w:val="center"/>
            <w:hideMark/>
          </w:tcPr>
          <w:p w14:paraId="37319968"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704</w:t>
            </w:r>
          </w:p>
        </w:tc>
        <w:tc>
          <w:tcPr>
            <w:tcW w:w="0" w:type="auto"/>
            <w:noWrap/>
            <w:vAlign w:val="center"/>
            <w:hideMark/>
          </w:tcPr>
          <w:p w14:paraId="04D70BD1"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727</w:t>
            </w:r>
          </w:p>
        </w:tc>
        <w:tc>
          <w:tcPr>
            <w:tcW w:w="0" w:type="auto"/>
            <w:noWrap/>
            <w:vAlign w:val="center"/>
            <w:hideMark/>
          </w:tcPr>
          <w:p w14:paraId="48ED0D0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635</w:t>
            </w:r>
          </w:p>
        </w:tc>
        <w:tc>
          <w:tcPr>
            <w:tcW w:w="0" w:type="auto"/>
            <w:noWrap/>
            <w:vAlign w:val="center"/>
            <w:hideMark/>
          </w:tcPr>
          <w:p w14:paraId="49194638"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266</w:t>
            </w:r>
          </w:p>
        </w:tc>
        <w:tc>
          <w:tcPr>
            <w:tcW w:w="0" w:type="auto"/>
            <w:noWrap/>
            <w:vAlign w:val="center"/>
            <w:hideMark/>
          </w:tcPr>
          <w:p w14:paraId="69A79E2B"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319</w:t>
            </w:r>
          </w:p>
        </w:tc>
        <w:tc>
          <w:tcPr>
            <w:tcW w:w="0" w:type="auto"/>
            <w:noWrap/>
            <w:vAlign w:val="center"/>
            <w:hideMark/>
          </w:tcPr>
          <w:p w14:paraId="5E6BD0E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512</w:t>
            </w:r>
          </w:p>
        </w:tc>
        <w:tc>
          <w:tcPr>
            <w:tcW w:w="0" w:type="auto"/>
            <w:noWrap/>
            <w:vAlign w:val="center"/>
            <w:hideMark/>
          </w:tcPr>
          <w:p w14:paraId="693B1738"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3.250</w:t>
            </w:r>
          </w:p>
        </w:tc>
      </w:tr>
      <w:tr w:rsidR="00E13867" w:rsidRPr="00920556" w14:paraId="0F434A9F"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06617812" w14:textId="77777777" w:rsidR="00E13867" w:rsidRPr="00920556" w:rsidRDefault="00E13867" w:rsidP="00AD64C2">
            <w:pPr>
              <w:jc w:val="center"/>
              <w:rPr>
                <w:rFonts w:cs="Arial"/>
                <w:color w:val="000000"/>
                <w:sz w:val="15"/>
                <w:szCs w:val="15"/>
              </w:rPr>
            </w:pPr>
            <w:r w:rsidRPr="00920556">
              <w:rPr>
                <w:rFonts w:cs="Arial"/>
                <w:color w:val="000000"/>
                <w:sz w:val="15"/>
                <w:szCs w:val="15"/>
              </w:rPr>
              <w:t>SUCRE</w:t>
            </w:r>
          </w:p>
        </w:tc>
        <w:tc>
          <w:tcPr>
            <w:tcW w:w="0" w:type="auto"/>
            <w:noWrap/>
            <w:vAlign w:val="center"/>
            <w:hideMark/>
          </w:tcPr>
          <w:p w14:paraId="64480103" w14:textId="79E697BC"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395BABF4" w14:textId="1E58016F"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0CE07DA5" w14:textId="313BB5CC"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1B40D9CB" w14:textId="5ABA2EF8"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1EFF2BA" w14:textId="33A8D475"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0D3F82F8"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58901CD0" w14:textId="6EEB69B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BAE44A9" w14:textId="584369D2"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78CCCD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5</w:t>
            </w:r>
          </w:p>
        </w:tc>
        <w:tc>
          <w:tcPr>
            <w:tcW w:w="0" w:type="auto"/>
            <w:noWrap/>
            <w:vAlign w:val="center"/>
            <w:hideMark/>
          </w:tcPr>
          <w:p w14:paraId="4F9BAFA5"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16</w:t>
            </w:r>
          </w:p>
        </w:tc>
        <w:tc>
          <w:tcPr>
            <w:tcW w:w="0" w:type="auto"/>
            <w:noWrap/>
            <w:vAlign w:val="center"/>
            <w:hideMark/>
          </w:tcPr>
          <w:p w14:paraId="22AE2EB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22</w:t>
            </w:r>
          </w:p>
        </w:tc>
      </w:tr>
      <w:tr w:rsidR="00E13867" w:rsidRPr="00920556" w14:paraId="7EEBFFD1"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23928051" w14:textId="77777777" w:rsidR="00E13867" w:rsidRPr="00920556" w:rsidRDefault="00E13867" w:rsidP="00AD64C2">
            <w:pPr>
              <w:jc w:val="center"/>
              <w:rPr>
                <w:rFonts w:cs="Arial"/>
                <w:color w:val="000000"/>
                <w:sz w:val="15"/>
                <w:szCs w:val="15"/>
              </w:rPr>
            </w:pPr>
            <w:r w:rsidRPr="00920556">
              <w:rPr>
                <w:rFonts w:cs="Arial"/>
                <w:color w:val="000000"/>
                <w:sz w:val="15"/>
                <w:szCs w:val="15"/>
              </w:rPr>
              <w:t>TOLIMA</w:t>
            </w:r>
          </w:p>
        </w:tc>
        <w:tc>
          <w:tcPr>
            <w:tcW w:w="0" w:type="auto"/>
            <w:noWrap/>
            <w:vAlign w:val="center"/>
            <w:hideMark/>
          </w:tcPr>
          <w:p w14:paraId="46517300" w14:textId="2D3F7D2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3DB59D18" w14:textId="77AFF450"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7B58703E" w14:textId="343C8A0A"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p>
        </w:tc>
        <w:tc>
          <w:tcPr>
            <w:tcW w:w="0" w:type="auto"/>
            <w:noWrap/>
            <w:vAlign w:val="center"/>
            <w:hideMark/>
          </w:tcPr>
          <w:p w14:paraId="0AD6E22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50</w:t>
            </w:r>
          </w:p>
        </w:tc>
        <w:tc>
          <w:tcPr>
            <w:tcW w:w="0" w:type="auto"/>
            <w:noWrap/>
            <w:vAlign w:val="center"/>
            <w:hideMark/>
          </w:tcPr>
          <w:p w14:paraId="70AEADBC"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72</w:t>
            </w:r>
          </w:p>
        </w:tc>
        <w:tc>
          <w:tcPr>
            <w:tcW w:w="0" w:type="auto"/>
            <w:noWrap/>
            <w:vAlign w:val="center"/>
            <w:hideMark/>
          </w:tcPr>
          <w:p w14:paraId="784BEEA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112</w:t>
            </w:r>
          </w:p>
        </w:tc>
        <w:tc>
          <w:tcPr>
            <w:tcW w:w="0" w:type="auto"/>
            <w:noWrap/>
            <w:vAlign w:val="center"/>
            <w:hideMark/>
          </w:tcPr>
          <w:p w14:paraId="140F18C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184</w:t>
            </w:r>
          </w:p>
        </w:tc>
        <w:tc>
          <w:tcPr>
            <w:tcW w:w="0" w:type="auto"/>
            <w:noWrap/>
            <w:vAlign w:val="center"/>
            <w:hideMark/>
          </w:tcPr>
          <w:p w14:paraId="2235F58A"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824</w:t>
            </w:r>
          </w:p>
        </w:tc>
        <w:tc>
          <w:tcPr>
            <w:tcW w:w="0" w:type="auto"/>
            <w:noWrap/>
            <w:vAlign w:val="center"/>
            <w:hideMark/>
          </w:tcPr>
          <w:p w14:paraId="0B197CE9"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1.677</w:t>
            </w:r>
          </w:p>
        </w:tc>
        <w:tc>
          <w:tcPr>
            <w:tcW w:w="0" w:type="auto"/>
            <w:noWrap/>
            <w:vAlign w:val="center"/>
            <w:hideMark/>
          </w:tcPr>
          <w:p w14:paraId="6BD9BEF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678</w:t>
            </w:r>
          </w:p>
        </w:tc>
        <w:tc>
          <w:tcPr>
            <w:tcW w:w="0" w:type="auto"/>
            <w:noWrap/>
            <w:vAlign w:val="center"/>
            <w:hideMark/>
          </w:tcPr>
          <w:p w14:paraId="1B7F54FC"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color w:val="000000"/>
                <w:sz w:val="15"/>
                <w:szCs w:val="15"/>
              </w:rPr>
            </w:pPr>
            <w:r w:rsidRPr="00920556">
              <w:rPr>
                <w:rFonts w:cs="Arial"/>
                <w:color w:val="000000"/>
                <w:sz w:val="15"/>
                <w:szCs w:val="15"/>
              </w:rPr>
              <w:t>3.597</w:t>
            </w:r>
          </w:p>
        </w:tc>
      </w:tr>
      <w:tr w:rsidR="00E13867" w:rsidRPr="00920556" w14:paraId="4256E881" w14:textId="77777777" w:rsidTr="00AD64C2">
        <w:trPr>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3EC1DE93" w14:textId="77777777" w:rsidR="00E13867" w:rsidRPr="00920556" w:rsidRDefault="00E13867" w:rsidP="00AD64C2">
            <w:pPr>
              <w:jc w:val="center"/>
              <w:rPr>
                <w:rFonts w:cs="Arial"/>
                <w:color w:val="000000"/>
                <w:sz w:val="15"/>
                <w:szCs w:val="15"/>
              </w:rPr>
            </w:pPr>
            <w:r w:rsidRPr="00920556">
              <w:rPr>
                <w:rFonts w:cs="Arial"/>
                <w:color w:val="000000"/>
                <w:sz w:val="15"/>
                <w:szCs w:val="15"/>
              </w:rPr>
              <w:t>VALLE</w:t>
            </w:r>
          </w:p>
        </w:tc>
        <w:tc>
          <w:tcPr>
            <w:tcW w:w="0" w:type="auto"/>
            <w:noWrap/>
            <w:vAlign w:val="center"/>
            <w:hideMark/>
          </w:tcPr>
          <w:p w14:paraId="2E848BBD" w14:textId="1188678B"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DF19F70" w14:textId="38F90508"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97E53FF" w14:textId="4442CCF6"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E691BF9" w14:textId="51BDD70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51632474" w14:textId="7AEF0354"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37A5FDD" w14:textId="3E5F9AE9"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68BC8670" w14:textId="74C6BDF9"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237E58C5" w14:textId="0772F7CA"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p>
        </w:tc>
        <w:tc>
          <w:tcPr>
            <w:tcW w:w="0" w:type="auto"/>
            <w:noWrap/>
            <w:vAlign w:val="center"/>
            <w:hideMark/>
          </w:tcPr>
          <w:p w14:paraId="41204E7D"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w:t>
            </w:r>
          </w:p>
        </w:tc>
        <w:tc>
          <w:tcPr>
            <w:tcW w:w="0" w:type="auto"/>
            <w:noWrap/>
            <w:vAlign w:val="center"/>
            <w:hideMark/>
          </w:tcPr>
          <w:p w14:paraId="0F6FF1D9"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13</w:t>
            </w:r>
          </w:p>
        </w:tc>
        <w:tc>
          <w:tcPr>
            <w:tcW w:w="0" w:type="auto"/>
            <w:noWrap/>
            <w:vAlign w:val="center"/>
            <w:hideMark/>
          </w:tcPr>
          <w:p w14:paraId="549DBC8A" w14:textId="77777777" w:rsidR="00E13867" w:rsidRPr="00920556"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5"/>
                <w:szCs w:val="15"/>
              </w:rPr>
            </w:pPr>
            <w:r w:rsidRPr="00920556">
              <w:rPr>
                <w:rFonts w:cs="Arial"/>
                <w:color w:val="000000"/>
                <w:sz w:val="15"/>
                <w:szCs w:val="15"/>
              </w:rPr>
              <w:t>14</w:t>
            </w:r>
          </w:p>
        </w:tc>
      </w:tr>
      <w:tr w:rsidR="00E13867" w:rsidRPr="00920556" w14:paraId="52067578" w14:textId="77777777" w:rsidTr="00AD64C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1B2265B2" w14:textId="77777777" w:rsidR="00E13867" w:rsidRPr="00920556" w:rsidRDefault="00E13867" w:rsidP="00AD64C2">
            <w:pPr>
              <w:jc w:val="center"/>
              <w:rPr>
                <w:rFonts w:cs="Arial"/>
                <w:b w:val="0"/>
                <w:bCs w:val="0"/>
                <w:color w:val="000000"/>
                <w:sz w:val="15"/>
                <w:szCs w:val="15"/>
              </w:rPr>
            </w:pPr>
            <w:r w:rsidRPr="00920556">
              <w:rPr>
                <w:rFonts w:cs="Arial"/>
                <w:color w:val="000000"/>
                <w:sz w:val="15"/>
                <w:szCs w:val="15"/>
              </w:rPr>
              <w:t>Total general</w:t>
            </w:r>
          </w:p>
        </w:tc>
        <w:tc>
          <w:tcPr>
            <w:tcW w:w="0" w:type="auto"/>
            <w:noWrap/>
            <w:vAlign w:val="center"/>
            <w:hideMark/>
          </w:tcPr>
          <w:p w14:paraId="11A4266C"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3</w:t>
            </w:r>
          </w:p>
        </w:tc>
        <w:tc>
          <w:tcPr>
            <w:tcW w:w="0" w:type="auto"/>
            <w:noWrap/>
            <w:vAlign w:val="center"/>
            <w:hideMark/>
          </w:tcPr>
          <w:p w14:paraId="6162BF05"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w:t>
            </w:r>
          </w:p>
        </w:tc>
        <w:tc>
          <w:tcPr>
            <w:tcW w:w="0" w:type="auto"/>
            <w:noWrap/>
            <w:vAlign w:val="center"/>
            <w:hideMark/>
          </w:tcPr>
          <w:p w14:paraId="24470F1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w:t>
            </w:r>
          </w:p>
        </w:tc>
        <w:tc>
          <w:tcPr>
            <w:tcW w:w="0" w:type="auto"/>
            <w:noWrap/>
            <w:vAlign w:val="center"/>
            <w:hideMark/>
          </w:tcPr>
          <w:p w14:paraId="551AAAE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1.067</w:t>
            </w:r>
          </w:p>
        </w:tc>
        <w:tc>
          <w:tcPr>
            <w:tcW w:w="0" w:type="auto"/>
            <w:noWrap/>
            <w:vAlign w:val="center"/>
            <w:hideMark/>
          </w:tcPr>
          <w:p w14:paraId="7B1AB5E1"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1.618</w:t>
            </w:r>
          </w:p>
        </w:tc>
        <w:tc>
          <w:tcPr>
            <w:tcW w:w="0" w:type="auto"/>
            <w:noWrap/>
            <w:vAlign w:val="center"/>
            <w:hideMark/>
          </w:tcPr>
          <w:p w14:paraId="4AC07CC3"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1.832</w:t>
            </w:r>
          </w:p>
        </w:tc>
        <w:tc>
          <w:tcPr>
            <w:tcW w:w="0" w:type="auto"/>
            <w:noWrap/>
            <w:vAlign w:val="center"/>
            <w:hideMark/>
          </w:tcPr>
          <w:p w14:paraId="557F20C7"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3.904</w:t>
            </w:r>
          </w:p>
        </w:tc>
        <w:tc>
          <w:tcPr>
            <w:tcW w:w="0" w:type="auto"/>
            <w:noWrap/>
            <w:vAlign w:val="center"/>
            <w:hideMark/>
          </w:tcPr>
          <w:p w14:paraId="09194744"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6.511</w:t>
            </w:r>
          </w:p>
        </w:tc>
        <w:tc>
          <w:tcPr>
            <w:tcW w:w="0" w:type="auto"/>
            <w:noWrap/>
            <w:vAlign w:val="center"/>
            <w:hideMark/>
          </w:tcPr>
          <w:p w14:paraId="29CFAE6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9.350</w:t>
            </w:r>
          </w:p>
        </w:tc>
        <w:tc>
          <w:tcPr>
            <w:tcW w:w="0" w:type="auto"/>
            <w:noWrap/>
            <w:vAlign w:val="center"/>
            <w:hideMark/>
          </w:tcPr>
          <w:p w14:paraId="1F638AAE"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12.016</w:t>
            </w:r>
          </w:p>
        </w:tc>
        <w:tc>
          <w:tcPr>
            <w:tcW w:w="0" w:type="auto"/>
            <w:noWrap/>
            <w:vAlign w:val="center"/>
            <w:hideMark/>
          </w:tcPr>
          <w:p w14:paraId="48CBEB16" w14:textId="77777777" w:rsidR="00E13867" w:rsidRPr="00920556" w:rsidRDefault="00E13867" w:rsidP="00AD64C2">
            <w:pPr>
              <w:jc w:val="center"/>
              <w:cnfStyle w:val="000000100000" w:firstRow="0" w:lastRow="0" w:firstColumn="0" w:lastColumn="0" w:oddVBand="0" w:evenVBand="0" w:oddHBand="1" w:evenHBand="0" w:firstRowFirstColumn="0" w:firstRowLastColumn="0" w:lastRowFirstColumn="0" w:lastRowLastColumn="0"/>
              <w:rPr>
                <w:rFonts w:cs="Arial"/>
                <w:b/>
                <w:bCs/>
                <w:color w:val="000000"/>
                <w:sz w:val="15"/>
                <w:szCs w:val="15"/>
              </w:rPr>
            </w:pPr>
            <w:r w:rsidRPr="00920556">
              <w:rPr>
                <w:rFonts w:cs="Arial"/>
                <w:b/>
                <w:bCs/>
                <w:color w:val="000000"/>
                <w:sz w:val="15"/>
                <w:szCs w:val="15"/>
              </w:rPr>
              <w:t>36.303</w:t>
            </w:r>
          </w:p>
        </w:tc>
      </w:tr>
    </w:tbl>
    <w:p w14:paraId="4635A3A1" w14:textId="77777777" w:rsidR="00E13867" w:rsidRPr="00BC01B4" w:rsidRDefault="00E13867" w:rsidP="00E13867">
      <w:pPr>
        <w:spacing w:line="276" w:lineRule="auto"/>
        <w:jc w:val="center"/>
        <w:rPr>
          <w:rFonts w:eastAsia="Arial" w:cs="Arial"/>
          <w:b/>
          <w:bCs/>
          <w:sz w:val="16"/>
          <w:szCs w:val="16"/>
          <w:lang w:val="es-CO"/>
        </w:rPr>
      </w:pPr>
      <w:r w:rsidRPr="00BC01B4">
        <w:rPr>
          <w:rFonts w:eastAsia="Arial" w:cs="Arial"/>
          <w:b/>
          <w:bCs/>
          <w:sz w:val="16"/>
          <w:szCs w:val="16"/>
          <w:lang w:val="es-CO"/>
        </w:rPr>
        <w:t>Fuente:  Dirección de Gestión Catastral</w:t>
      </w:r>
    </w:p>
    <w:p w14:paraId="12D321BF" w14:textId="77777777" w:rsidR="00E13867" w:rsidRPr="009318A4" w:rsidRDefault="00E13867" w:rsidP="00E13867">
      <w:pPr>
        <w:spacing w:line="276" w:lineRule="auto"/>
        <w:jc w:val="both"/>
        <w:rPr>
          <w:rFonts w:cs="Arial"/>
          <w:sz w:val="22"/>
          <w:szCs w:val="22"/>
          <w:lang w:val="es-CO"/>
        </w:rPr>
      </w:pPr>
    </w:p>
    <w:p w14:paraId="0C026C2D" w14:textId="77777777" w:rsidR="00AD64C2" w:rsidRDefault="00E13867" w:rsidP="00AD64C2">
      <w:pPr>
        <w:jc w:val="both"/>
        <w:rPr>
          <w:rFonts w:cs="Arial"/>
          <w:sz w:val="22"/>
          <w:szCs w:val="22"/>
        </w:rPr>
      </w:pPr>
      <w:r w:rsidRPr="00E64D39">
        <w:rPr>
          <w:rFonts w:cs="Arial"/>
          <w:sz w:val="22"/>
          <w:szCs w:val="22"/>
        </w:rPr>
        <w:t xml:space="preserve">Para cumplir con las metas establecidas en cada uno de los proyectos de actualización y conservación, se diseñó dos esquemas de seguimiento y control; uno en el área administrativa y financiera y otro en el área operativa. Para el área administrativa y financiera de desarrollaron tableros de control donde se establecen los avances en los insumos inherentes a la ejecución del proyecto, el estado de la contratación de personal y el monitoreo del funcionamiento de la sede junto con el seguimiento del funcionamiento de los soportes tecnológicos y software desarrollados por el instituto para la nueva metodología del catastro multipropósito. </w:t>
      </w:r>
    </w:p>
    <w:p w14:paraId="50E07D8D" w14:textId="77777777" w:rsidR="00AD64C2" w:rsidRDefault="00AD64C2" w:rsidP="00AD64C2">
      <w:pPr>
        <w:jc w:val="both"/>
        <w:rPr>
          <w:rFonts w:cs="Arial"/>
          <w:sz w:val="22"/>
          <w:szCs w:val="22"/>
        </w:rPr>
      </w:pPr>
    </w:p>
    <w:p w14:paraId="48C25016" w14:textId="6A1F6131" w:rsidR="00E13867" w:rsidRPr="00E64D39" w:rsidRDefault="00E13867" w:rsidP="00AD64C2">
      <w:pPr>
        <w:jc w:val="both"/>
        <w:rPr>
          <w:rFonts w:cs="Arial"/>
          <w:sz w:val="22"/>
          <w:szCs w:val="22"/>
        </w:rPr>
      </w:pPr>
      <w:r w:rsidRPr="00E64D39">
        <w:rPr>
          <w:rFonts w:cs="Arial"/>
          <w:sz w:val="22"/>
          <w:szCs w:val="22"/>
        </w:rPr>
        <w:lastRenderedPageBreak/>
        <w:t>Estos tableros de control se implementaron y se sincronizaron en un Project, con el cual se establece de forma lineal el avance de cada uno de los ítems de la etapa pre-operativa. De igual forma se diseñaron dos tableros de control para el seguimiento de la etapa operativa, los cuales miden ponderadamente (de acuerdo al peso de cada actividad) el avance de cada actividad, uno denominado calculadora operativa y el otro denominado semáforo de control; ambos desarrollos miden en tiempo real el avance del proyecto y establecen las alarmas en caso de retraso en el cronograma, así como determina en que parte del proceso se encuentra el problema. De igual forma estos tableros se entrelazan con el Project para que de una forma muy gerencial, basada en cálculos cuantitativos, se pueda mostrar el avance de los proyectos.</w:t>
      </w:r>
    </w:p>
    <w:p w14:paraId="61874291" w14:textId="77777777" w:rsidR="00E13867" w:rsidRDefault="00E13867" w:rsidP="00AD64C2">
      <w:pPr>
        <w:jc w:val="both"/>
        <w:rPr>
          <w:rFonts w:cs="Arial"/>
          <w:sz w:val="22"/>
          <w:szCs w:val="22"/>
        </w:rPr>
      </w:pPr>
      <w:r w:rsidRPr="00E64D39">
        <w:rPr>
          <w:rFonts w:cs="Arial"/>
          <w:sz w:val="22"/>
          <w:szCs w:val="22"/>
        </w:rPr>
        <w:t xml:space="preserve">Esta metodología desarrollada por el instituto, permitió llevar un control eficiente de los proyectos, garantizado que el 60% de los mismos se los mismos se pudieran entregar dentro de los plazos establecidos; el otro 40% de los proyectos que no han cumplido su meta, se debe a circunstancias externas al instituto, que han generado retrasos en el comienzo de los proyectos y/o en el desarrollo de los mismos, como son el orden público, el rechazo de las juntas comunales al proyecto de actualización, dificultando el acceso y la falta de colaboración de algunas entidades que no han facilitado la información secundaria para el correcto desarrollo de cronograma, como son las curadurías urbanas entre otro.  </w:t>
      </w:r>
    </w:p>
    <w:p w14:paraId="1D11A811" w14:textId="77777777" w:rsidR="00E13867" w:rsidRDefault="00E13867" w:rsidP="00AD64C2">
      <w:pPr>
        <w:jc w:val="both"/>
        <w:rPr>
          <w:rFonts w:cs="Arial"/>
          <w:sz w:val="22"/>
          <w:szCs w:val="22"/>
        </w:rPr>
      </w:pPr>
    </w:p>
    <w:p w14:paraId="49696386" w14:textId="77777777" w:rsidR="00E13867" w:rsidRPr="00A66A71" w:rsidRDefault="00E13867" w:rsidP="00AD64C2">
      <w:pPr>
        <w:jc w:val="both"/>
        <w:rPr>
          <w:rFonts w:cs="Arial"/>
          <w:sz w:val="22"/>
          <w:szCs w:val="22"/>
        </w:rPr>
      </w:pPr>
      <w:r w:rsidRPr="00A66A71">
        <w:rPr>
          <w:rFonts w:cs="Arial"/>
          <w:sz w:val="22"/>
          <w:szCs w:val="22"/>
        </w:rPr>
        <w:t xml:space="preserve">Ahora bien, con relación a la segunda meta del Plan Nacional de Desarrollo, relacionada con la actualización catastral de los municipios PDET, </w:t>
      </w:r>
      <w:r>
        <w:rPr>
          <w:rFonts w:cs="Arial"/>
          <w:sz w:val="22"/>
          <w:szCs w:val="22"/>
        </w:rPr>
        <w:t xml:space="preserve">en la vigencia 2020 </w:t>
      </w:r>
      <w:r w:rsidRPr="00A66A71">
        <w:rPr>
          <w:rFonts w:cs="Arial"/>
          <w:sz w:val="22"/>
          <w:szCs w:val="22"/>
        </w:rPr>
        <w:t>se llevó a cabo la actualización de 4.083.550,05 hectáreas del área geográfica de los municipios ubicados en territorios PDET correspondientes al 10,44% del total del área geográfica de los mismos.</w:t>
      </w:r>
    </w:p>
    <w:p w14:paraId="6B1BF33A" w14:textId="77777777" w:rsidR="00E13867" w:rsidRPr="004C6640" w:rsidRDefault="00E13867" w:rsidP="00AD64C2">
      <w:pPr>
        <w:jc w:val="both"/>
        <w:rPr>
          <w:rFonts w:cs="Arial"/>
          <w:sz w:val="22"/>
          <w:szCs w:val="22"/>
        </w:rPr>
      </w:pPr>
    </w:p>
    <w:p w14:paraId="2A4EF953" w14:textId="77777777" w:rsidR="00E13867" w:rsidRPr="00A66A71" w:rsidRDefault="00E13867" w:rsidP="00AD64C2">
      <w:pPr>
        <w:jc w:val="both"/>
        <w:rPr>
          <w:rFonts w:cs="Arial"/>
          <w:sz w:val="22"/>
          <w:szCs w:val="22"/>
        </w:rPr>
      </w:pPr>
      <w:r w:rsidRPr="00A66A71">
        <w:rPr>
          <w:rFonts w:cs="Arial"/>
          <w:sz w:val="22"/>
          <w:szCs w:val="22"/>
        </w:rPr>
        <w:t>De los 4,08 millones de hectáreas actualizados, 3,75 millones son producto del trabajo realizado por el IGAC y 0,33 millones de Catastro Antioquia.</w:t>
      </w:r>
    </w:p>
    <w:p w14:paraId="32BFA55E" w14:textId="77777777" w:rsidR="00E13867" w:rsidRPr="00A66A71" w:rsidRDefault="00E13867" w:rsidP="00E13867">
      <w:pPr>
        <w:jc w:val="both"/>
        <w:rPr>
          <w:rFonts w:cs="Arial"/>
          <w:sz w:val="22"/>
          <w:szCs w:val="22"/>
        </w:rPr>
      </w:pPr>
    </w:p>
    <w:p w14:paraId="7D37D42C" w14:textId="77777777" w:rsidR="00E13867" w:rsidRPr="00686A7F" w:rsidRDefault="00E13867" w:rsidP="00E13867">
      <w:pPr>
        <w:jc w:val="both"/>
        <w:rPr>
          <w:rFonts w:cs="Arial"/>
          <w:sz w:val="22"/>
          <w:szCs w:val="22"/>
        </w:rPr>
      </w:pPr>
      <w:r w:rsidRPr="00BD3880">
        <w:rPr>
          <w:rFonts w:cs="Arial"/>
          <w:sz w:val="22"/>
          <w:szCs w:val="22"/>
        </w:rPr>
        <w:t>De los 69 municipios</w:t>
      </w:r>
      <w:r w:rsidRPr="00512034">
        <w:rPr>
          <w:rFonts w:cs="Arial"/>
          <w:sz w:val="22"/>
          <w:szCs w:val="22"/>
        </w:rPr>
        <w:t xml:space="preserve"> a financiar para la realización de los procesos de formación o actualizac</w:t>
      </w:r>
      <w:r w:rsidRPr="007B192E">
        <w:rPr>
          <w:rFonts w:cs="Arial"/>
          <w:sz w:val="22"/>
          <w:szCs w:val="22"/>
        </w:rPr>
        <w:t xml:space="preserve">ión catastral con enfoque multipropósito </w:t>
      </w:r>
      <w:r w:rsidRPr="00686A7F">
        <w:rPr>
          <w:rFonts w:cs="Arial"/>
          <w:sz w:val="22"/>
          <w:szCs w:val="22"/>
        </w:rPr>
        <w:t xml:space="preserve">ubicados en territorios </w:t>
      </w:r>
      <w:r w:rsidRPr="00B744FF">
        <w:rPr>
          <w:rFonts w:cs="Arial"/>
          <w:sz w:val="22"/>
          <w:szCs w:val="22"/>
        </w:rPr>
        <w:t>PDET y en el marco de la M</w:t>
      </w:r>
      <w:r w:rsidRPr="000B0A8F">
        <w:rPr>
          <w:rFonts w:cs="Arial"/>
          <w:sz w:val="22"/>
          <w:szCs w:val="22"/>
        </w:rPr>
        <w:t>esa Nacional del Pilar 1 PDET, en octubre de 2020 se convocaron a los mandatarios locales de dichos municipios con el objetivo de presentar la estrategia del Gobiern</w:t>
      </w:r>
      <w:r w:rsidRPr="000D3367">
        <w:rPr>
          <w:rFonts w:cs="Arial"/>
          <w:sz w:val="22"/>
          <w:szCs w:val="22"/>
        </w:rPr>
        <w:t>o que fue diseñada conjuntamente entre la Consejería para la Gestión y el Cumplimiento, la Consejería para la Estabilización y Consolidación, el Departamento Nacional de Planeación - DNP, IGAC y la Age</w:t>
      </w:r>
      <w:r w:rsidRPr="00EE5DEB">
        <w:rPr>
          <w:rFonts w:cs="Arial"/>
          <w:sz w:val="22"/>
          <w:szCs w:val="22"/>
        </w:rPr>
        <w:t xml:space="preserve">ncia de Renovación del Territorio – ART </w:t>
      </w:r>
      <w:r w:rsidRPr="007B192E">
        <w:rPr>
          <w:rFonts w:cs="Arial"/>
          <w:sz w:val="22"/>
          <w:szCs w:val="22"/>
        </w:rPr>
        <w:t>,</w:t>
      </w:r>
      <w:r w:rsidRPr="00686A7F">
        <w:rPr>
          <w:rFonts w:cs="Arial"/>
          <w:sz w:val="22"/>
          <w:szCs w:val="22"/>
        </w:rPr>
        <w:t xml:space="preserve"> lo anterior con el objeto de brindar el acompañam</w:t>
      </w:r>
      <w:r w:rsidRPr="00512034">
        <w:rPr>
          <w:rFonts w:cs="Arial"/>
          <w:sz w:val="22"/>
          <w:szCs w:val="22"/>
        </w:rPr>
        <w:t>iento en el proceso de formulación y estructuración de proyectos de inversión que permitan gestionar recursos para implementar el Catastro Multipropósito a partir del proyecto tipo adoptado por el sistema ge</w:t>
      </w:r>
      <w:r w:rsidRPr="007B192E">
        <w:rPr>
          <w:rFonts w:cs="Arial"/>
          <w:sz w:val="22"/>
          <w:szCs w:val="22"/>
        </w:rPr>
        <w:t xml:space="preserve">neral de regalías y lograr su presentación ante el OCAD PAZ. </w:t>
      </w:r>
    </w:p>
    <w:p w14:paraId="61D391B2" w14:textId="77777777" w:rsidR="00E13867" w:rsidRPr="00B744FF" w:rsidRDefault="00E13867" w:rsidP="00E13867">
      <w:pPr>
        <w:jc w:val="both"/>
        <w:rPr>
          <w:rFonts w:cs="Arial"/>
          <w:sz w:val="22"/>
          <w:szCs w:val="22"/>
        </w:rPr>
      </w:pPr>
    </w:p>
    <w:p w14:paraId="0C89414B" w14:textId="77777777" w:rsidR="00E13867" w:rsidRPr="00512034" w:rsidRDefault="00E13867" w:rsidP="00E13867">
      <w:pPr>
        <w:jc w:val="both"/>
        <w:rPr>
          <w:rFonts w:cs="Arial"/>
          <w:sz w:val="22"/>
          <w:szCs w:val="22"/>
        </w:rPr>
      </w:pPr>
      <w:r w:rsidRPr="00512034">
        <w:rPr>
          <w:rFonts w:cs="Arial"/>
          <w:sz w:val="22"/>
          <w:szCs w:val="22"/>
        </w:rPr>
        <w:t>Como parte de esta estrategia, se consolidó un equipo de profesionales en temas catastrales y de ordenamiento territorial pertenecientes a los CETAPS (Centros Territoriales de Administración Pública) de la Escuela Superior de Administración Pública quienes acompañan a los municipios en la formulación y estructuración del proyecto tipo de Catastro Multipropósito, contando con la asistencia técnica de parte del IGAC como gestor catastral por excepción; de ahí en adelante desde el IGAC se ha venido brindando de manera permanente el acompañamiento a dichos territorios y gradualmente se ha logrado el avance hasta la presentación al OCAD PAZ con los siguientes resultados:</w:t>
      </w:r>
    </w:p>
    <w:p w14:paraId="089A95BE" w14:textId="512512BE" w:rsidR="00E13867" w:rsidRDefault="00E13867" w:rsidP="00E13867">
      <w:pPr>
        <w:rPr>
          <w:lang w:eastAsia="es-CO"/>
        </w:rPr>
      </w:pPr>
    </w:p>
    <w:p w14:paraId="164CF00C" w14:textId="04B167D4" w:rsidR="00F8391A" w:rsidRDefault="00F8391A" w:rsidP="00E13867">
      <w:pPr>
        <w:rPr>
          <w:lang w:eastAsia="es-CO"/>
        </w:rPr>
      </w:pPr>
    </w:p>
    <w:p w14:paraId="24E8E897" w14:textId="162FA1A7" w:rsidR="00F8391A" w:rsidRDefault="00F8391A" w:rsidP="00E13867">
      <w:pPr>
        <w:rPr>
          <w:lang w:eastAsia="es-CO"/>
        </w:rPr>
      </w:pPr>
    </w:p>
    <w:p w14:paraId="3C59515F" w14:textId="49936AD9" w:rsidR="00F8391A" w:rsidRDefault="00F8391A" w:rsidP="00E13867">
      <w:pPr>
        <w:rPr>
          <w:lang w:eastAsia="es-CO"/>
        </w:rPr>
      </w:pPr>
    </w:p>
    <w:p w14:paraId="4960AA0E" w14:textId="1C68A784" w:rsidR="00F8391A" w:rsidRDefault="00F8391A" w:rsidP="00E13867">
      <w:pPr>
        <w:rPr>
          <w:lang w:eastAsia="es-CO"/>
        </w:rPr>
      </w:pPr>
    </w:p>
    <w:p w14:paraId="2344AA6E" w14:textId="3BAE6980" w:rsidR="00E13867" w:rsidRPr="00416C1B" w:rsidRDefault="00E13867" w:rsidP="00416C1B">
      <w:pPr>
        <w:pStyle w:val="Descripcin"/>
        <w:jc w:val="center"/>
        <w:rPr>
          <w:rFonts w:ascii="Arial" w:hAnsi="Arial" w:cs="Arial"/>
          <w:b/>
          <w:i w:val="0"/>
          <w:color w:val="000000" w:themeColor="text1"/>
          <w:sz w:val="16"/>
          <w:szCs w:val="16"/>
          <w:lang w:eastAsia="es-CO"/>
        </w:rPr>
      </w:pPr>
      <w:bookmarkStart w:id="50" w:name="_Toc88677090"/>
      <w:r w:rsidRPr="00E13867">
        <w:rPr>
          <w:rFonts w:ascii="Arial" w:hAnsi="Arial" w:cs="Arial"/>
          <w:b/>
          <w:bCs/>
          <w:i w:val="0"/>
          <w:iCs w:val="0"/>
          <w:color w:val="000000" w:themeColor="text1"/>
          <w:sz w:val="16"/>
          <w:szCs w:val="16"/>
        </w:rPr>
        <w:lastRenderedPageBreak/>
        <w:t xml:space="preserve">Tabla </w:t>
      </w:r>
      <w:r w:rsidRPr="00E13867">
        <w:rPr>
          <w:rFonts w:ascii="Arial" w:hAnsi="Arial" w:cs="Arial"/>
          <w:b/>
          <w:bCs/>
          <w:i w:val="0"/>
          <w:iCs w:val="0"/>
          <w:color w:val="000000" w:themeColor="text1"/>
          <w:sz w:val="16"/>
          <w:szCs w:val="16"/>
        </w:rPr>
        <w:fldChar w:fldCharType="begin"/>
      </w:r>
      <w:r w:rsidRPr="00E13867">
        <w:rPr>
          <w:rFonts w:ascii="Arial" w:hAnsi="Arial" w:cs="Arial"/>
          <w:b/>
          <w:bCs/>
          <w:i w:val="0"/>
          <w:iCs w:val="0"/>
          <w:color w:val="000000" w:themeColor="text1"/>
          <w:sz w:val="16"/>
          <w:szCs w:val="16"/>
        </w:rPr>
        <w:instrText xml:space="preserve"> SEQ Tabla \* ARABIC </w:instrText>
      </w:r>
      <w:r w:rsidRPr="00E13867">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18</w:t>
      </w:r>
      <w:r w:rsidRPr="00E13867">
        <w:rPr>
          <w:rFonts w:ascii="Arial" w:hAnsi="Arial" w:cs="Arial"/>
          <w:b/>
          <w:bCs/>
          <w:i w:val="0"/>
          <w:iCs w:val="0"/>
          <w:color w:val="000000" w:themeColor="text1"/>
          <w:sz w:val="16"/>
          <w:szCs w:val="16"/>
        </w:rPr>
        <w:fldChar w:fldCharType="end"/>
      </w:r>
      <w:r w:rsidRPr="00E13867">
        <w:rPr>
          <w:rFonts w:ascii="Arial" w:hAnsi="Arial" w:cs="Arial"/>
          <w:b/>
          <w:bCs/>
          <w:i w:val="0"/>
          <w:iCs w:val="0"/>
          <w:color w:val="000000" w:themeColor="text1"/>
          <w:sz w:val="16"/>
          <w:szCs w:val="16"/>
        </w:rPr>
        <w:t>. Relación de avance de proyectos en proceso de estructuración con el proyecto tipo para la intervención catastral en municipios PDET adoptado por el DNP</w:t>
      </w:r>
      <w:bookmarkEnd w:id="50"/>
    </w:p>
    <w:tbl>
      <w:tblPr>
        <w:tblStyle w:val="Tabladecuadrcula4-nfasis1"/>
        <w:tblW w:w="8974" w:type="dxa"/>
        <w:jc w:val="center"/>
        <w:tblLayout w:type="fixed"/>
        <w:tblLook w:val="04A0" w:firstRow="1" w:lastRow="0" w:firstColumn="1" w:lastColumn="0" w:noHBand="0" w:noVBand="1"/>
      </w:tblPr>
      <w:tblGrid>
        <w:gridCol w:w="3983"/>
        <w:gridCol w:w="1513"/>
        <w:gridCol w:w="1646"/>
        <w:gridCol w:w="1832"/>
      </w:tblGrid>
      <w:tr w:rsidR="00E13867" w:rsidRPr="00AD0574" w14:paraId="6E99D100" w14:textId="77777777" w:rsidTr="005845B1">
        <w:trPr>
          <w:cnfStyle w:val="100000000000" w:firstRow="1" w:lastRow="0" w:firstColumn="0" w:lastColumn="0" w:oddVBand="0" w:evenVBand="0" w:oddHBand="0" w:evenHBand="0" w:firstRowFirstColumn="0" w:firstRowLastColumn="0" w:lastRowFirstColumn="0" w:lastRowLastColumn="0"/>
          <w:trHeight w:val="303"/>
          <w:tblHeader/>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hideMark/>
          </w:tcPr>
          <w:p w14:paraId="40B579DC" w14:textId="77777777" w:rsidR="00E13867" w:rsidRPr="00416C1B" w:rsidRDefault="00E13867" w:rsidP="00A6302C">
            <w:pPr>
              <w:jc w:val="center"/>
              <w:rPr>
                <w:rFonts w:cs="Arial"/>
                <w:b w:val="0"/>
                <w:sz w:val="18"/>
                <w:szCs w:val="20"/>
              </w:rPr>
            </w:pPr>
            <w:r w:rsidRPr="00416C1B">
              <w:rPr>
                <w:rFonts w:cs="Arial"/>
                <w:sz w:val="18"/>
                <w:szCs w:val="20"/>
              </w:rPr>
              <w:t>Avance en estructuración</w:t>
            </w:r>
          </w:p>
        </w:tc>
        <w:tc>
          <w:tcPr>
            <w:tcW w:w="1513" w:type="dxa"/>
            <w:noWrap/>
            <w:vAlign w:val="center"/>
            <w:hideMark/>
          </w:tcPr>
          <w:p w14:paraId="0D10D6E0" w14:textId="77777777" w:rsidR="00E13867" w:rsidRPr="00416C1B"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416C1B">
              <w:rPr>
                <w:rFonts w:cs="Arial"/>
                <w:sz w:val="18"/>
                <w:szCs w:val="20"/>
              </w:rPr>
              <w:t>No. Municipios</w:t>
            </w:r>
          </w:p>
        </w:tc>
        <w:tc>
          <w:tcPr>
            <w:tcW w:w="1646" w:type="dxa"/>
            <w:noWrap/>
            <w:vAlign w:val="center"/>
            <w:hideMark/>
          </w:tcPr>
          <w:p w14:paraId="5A0FFCB5" w14:textId="77777777" w:rsidR="00E13867" w:rsidRPr="00416C1B"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416C1B">
              <w:rPr>
                <w:rFonts w:cs="Arial"/>
                <w:sz w:val="18"/>
                <w:szCs w:val="20"/>
              </w:rPr>
              <w:t>Área en hectáreas</w:t>
            </w:r>
          </w:p>
        </w:tc>
        <w:tc>
          <w:tcPr>
            <w:tcW w:w="1832" w:type="dxa"/>
            <w:vAlign w:val="center"/>
          </w:tcPr>
          <w:p w14:paraId="325E8179" w14:textId="77777777" w:rsidR="00E13867" w:rsidRPr="00416C1B" w:rsidRDefault="00E13867"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18"/>
                <w:szCs w:val="20"/>
              </w:rPr>
            </w:pPr>
            <w:r w:rsidRPr="00416C1B">
              <w:rPr>
                <w:rFonts w:cs="Arial"/>
                <w:sz w:val="18"/>
                <w:szCs w:val="20"/>
              </w:rPr>
              <w:t>Inversión requerida</w:t>
            </w:r>
          </w:p>
        </w:tc>
      </w:tr>
      <w:tr w:rsidR="00E13867" w:rsidRPr="00AD0574" w14:paraId="00B4EC01" w14:textId="77777777" w:rsidTr="00AD64C2">
        <w:trPr>
          <w:cnfStyle w:val="000000100000" w:firstRow="0" w:lastRow="0" w:firstColumn="0" w:lastColumn="0" w:oddVBand="0" w:evenVBand="0" w:oddHBand="1" w:evenHBand="0" w:firstRowFirstColumn="0" w:firstRowLastColumn="0" w:lastRowFirstColumn="0" w:lastRowLastColumn="0"/>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tcPr>
          <w:p w14:paraId="1DF3E93C" w14:textId="77777777" w:rsidR="00E13867" w:rsidRPr="00416C1B" w:rsidRDefault="00E13867" w:rsidP="00AD64C2">
            <w:pPr>
              <w:jc w:val="center"/>
              <w:rPr>
                <w:rFonts w:cs="Arial"/>
                <w:color w:val="000000"/>
                <w:sz w:val="18"/>
                <w:szCs w:val="20"/>
              </w:rPr>
            </w:pPr>
            <w:r w:rsidRPr="00416C1B">
              <w:rPr>
                <w:rFonts w:cs="Arial"/>
                <w:color w:val="000000"/>
                <w:sz w:val="18"/>
                <w:szCs w:val="20"/>
              </w:rPr>
              <w:t>Proyectos estructurados, presentados y aprobados ante OCAD PAZ</w:t>
            </w:r>
          </w:p>
        </w:tc>
        <w:tc>
          <w:tcPr>
            <w:tcW w:w="1513" w:type="dxa"/>
            <w:noWrap/>
            <w:vAlign w:val="center"/>
          </w:tcPr>
          <w:p w14:paraId="31475C91"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color w:val="000000"/>
                <w:sz w:val="18"/>
                <w:szCs w:val="20"/>
              </w:rPr>
              <w:t>6</w:t>
            </w:r>
          </w:p>
        </w:tc>
        <w:tc>
          <w:tcPr>
            <w:tcW w:w="1646" w:type="dxa"/>
            <w:noWrap/>
            <w:vAlign w:val="center"/>
          </w:tcPr>
          <w:p w14:paraId="19B7023E"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color w:val="000000"/>
                <w:sz w:val="18"/>
                <w:szCs w:val="20"/>
              </w:rPr>
              <w:t>795.738</w:t>
            </w:r>
          </w:p>
        </w:tc>
        <w:tc>
          <w:tcPr>
            <w:tcW w:w="1832" w:type="dxa"/>
            <w:vMerge w:val="restart"/>
            <w:vAlign w:val="center"/>
          </w:tcPr>
          <w:p w14:paraId="1CDDB6A7"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sz w:val="18"/>
                <w:szCs w:val="20"/>
                <w:lang w:val="es-ES_tradnl"/>
              </w:rPr>
            </w:pPr>
            <w:r w:rsidRPr="00416C1B">
              <w:rPr>
                <w:rFonts w:cs="Arial"/>
                <w:sz w:val="18"/>
                <w:szCs w:val="20"/>
                <w:lang w:val="es-ES_tradnl"/>
              </w:rPr>
              <w:t>$24.366 millones de pesos aprox.</w:t>
            </w:r>
          </w:p>
        </w:tc>
      </w:tr>
      <w:tr w:rsidR="00E13867" w:rsidRPr="00AD0574" w14:paraId="7B99C6CF" w14:textId="77777777" w:rsidTr="00AD64C2">
        <w:trPr>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tcPr>
          <w:p w14:paraId="37CE92D8" w14:textId="77777777" w:rsidR="00E13867" w:rsidRPr="00416C1B" w:rsidRDefault="00E13867" w:rsidP="00AD64C2">
            <w:pPr>
              <w:jc w:val="center"/>
              <w:rPr>
                <w:rFonts w:cs="Arial"/>
                <w:color w:val="000000"/>
                <w:sz w:val="18"/>
                <w:szCs w:val="20"/>
              </w:rPr>
            </w:pPr>
            <w:r w:rsidRPr="00416C1B">
              <w:rPr>
                <w:rFonts w:cs="Arial"/>
                <w:color w:val="000000"/>
                <w:sz w:val="18"/>
                <w:szCs w:val="20"/>
              </w:rPr>
              <w:t>Proyectos estructurados, presentados y en espera de aprobación ante OCAD PAZ</w:t>
            </w:r>
          </w:p>
        </w:tc>
        <w:tc>
          <w:tcPr>
            <w:tcW w:w="1513" w:type="dxa"/>
            <w:noWrap/>
            <w:vAlign w:val="center"/>
          </w:tcPr>
          <w:p w14:paraId="0AE42FF4"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color w:val="000000"/>
                <w:sz w:val="18"/>
                <w:szCs w:val="20"/>
              </w:rPr>
              <w:t>4</w:t>
            </w:r>
          </w:p>
        </w:tc>
        <w:tc>
          <w:tcPr>
            <w:tcW w:w="1646" w:type="dxa"/>
            <w:noWrap/>
            <w:vAlign w:val="center"/>
          </w:tcPr>
          <w:p w14:paraId="6F106D84"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color w:val="000000"/>
                <w:sz w:val="18"/>
                <w:szCs w:val="20"/>
              </w:rPr>
              <w:t>243.980</w:t>
            </w:r>
          </w:p>
        </w:tc>
        <w:tc>
          <w:tcPr>
            <w:tcW w:w="1832" w:type="dxa"/>
            <w:vMerge/>
            <w:vAlign w:val="center"/>
          </w:tcPr>
          <w:p w14:paraId="644664E6"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sz w:val="18"/>
                <w:szCs w:val="20"/>
                <w:lang w:val="es-ES_tradnl"/>
              </w:rPr>
            </w:pPr>
          </w:p>
        </w:tc>
      </w:tr>
      <w:tr w:rsidR="00E13867" w:rsidRPr="00AD0574" w14:paraId="51DECFC8" w14:textId="77777777" w:rsidTr="00AD64C2">
        <w:trPr>
          <w:cnfStyle w:val="000000100000" w:firstRow="0" w:lastRow="0" w:firstColumn="0" w:lastColumn="0" w:oddVBand="0" w:evenVBand="0" w:oddHBand="1" w:evenHBand="0" w:firstRowFirstColumn="0" w:firstRowLastColumn="0" w:lastRowFirstColumn="0" w:lastRowLastColumn="0"/>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tcPr>
          <w:p w14:paraId="556CEBAF" w14:textId="77777777" w:rsidR="00E13867" w:rsidRPr="00416C1B" w:rsidRDefault="00E13867" w:rsidP="00AD64C2">
            <w:pPr>
              <w:jc w:val="center"/>
              <w:rPr>
                <w:rFonts w:cs="Arial"/>
                <w:color w:val="000000"/>
                <w:sz w:val="18"/>
                <w:szCs w:val="20"/>
              </w:rPr>
            </w:pPr>
            <w:r w:rsidRPr="00416C1B">
              <w:rPr>
                <w:rFonts w:cs="Arial"/>
                <w:color w:val="000000"/>
                <w:sz w:val="18"/>
                <w:szCs w:val="20"/>
              </w:rPr>
              <w:t>Proyecto regional estructurado (Antioquia, presentado y en espera de aprobación ante OCAD PAZ</w:t>
            </w:r>
          </w:p>
        </w:tc>
        <w:tc>
          <w:tcPr>
            <w:tcW w:w="1513" w:type="dxa"/>
            <w:noWrap/>
            <w:vAlign w:val="center"/>
          </w:tcPr>
          <w:p w14:paraId="4E9A7569"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color w:val="000000"/>
                <w:sz w:val="18"/>
                <w:szCs w:val="20"/>
              </w:rPr>
              <w:t>12</w:t>
            </w:r>
          </w:p>
        </w:tc>
        <w:tc>
          <w:tcPr>
            <w:tcW w:w="1646" w:type="dxa"/>
            <w:noWrap/>
            <w:vAlign w:val="center"/>
          </w:tcPr>
          <w:p w14:paraId="16971902"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color w:val="000000"/>
                <w:sz w:val="18"/>
                <w:szCs w:val="20"/>
              </w:rPr>
              <w:t>1´355.683</w:t>
            </w:r>
          </w:p>
        </w:tc>
        <w:tc>
          <w:tcPr>
            <w:tcW w:w="1832" w:type="dxa"/>
            <w:vAlign w:val="center"/>
          </w:tcPr>
          <w:p w14:paraId="3DA72FBA"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sz w:val="18"/>
                <w:szCs w:val="20"/>
                <w:lang w:val="es-ES_tradnl"/>
              </w:rPr>
            </w:pPr>
            <w:r w:rsidRPr="00416C1B">
              <w:rPr>
                <w:rFonts w:cs="Arial"/>
                <w:sz w:val="18"/>
                <w:szCs w:val="20"/>
                <w:lang w:val="es-ES_tradnl"/>
              </w:rPr>
              <w:t>$48 mil millones de pesos aprox.</w:t>
            </w:r>
          </w:p>
        </w:tc>
      </w:tr>
      <w:tr w:rsidR="00E13867" w:rsidRPr="00AD0574" w14:paraId="75A0E4EE" w14:textId="77777777" w:rsidTr="00AD64C2">
        <w:trPr>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hideMark/>
          </w:tcPr>
          <w:p w14:paraId="6BD603FF" w14:textId="77777777" w:rsidR="00E13867" w:rsidRPr="00416C1B" w:rsidRDefault="00E13867" w:rsidP="00AD64C2">
            <w:pPr>
              <w:jc w:val="center"/>
              <w:rPr>
                <w:rFonts w:cs="Arial"/>
                <w:color w:val="000000"/>
                <w:sz w:val="18"/>
                <w:szCs w:val="20"/>
              </w:rPr>
            </w:pPr>
            <w:r w:rsidRPr="00416C1B">
              <w:rPr>
                <w:rFonts w:cs="Arial"/>
                <w:color w:val="000000"/>
                <w:sz w:val="18"/>
                <w:szCs w:val="20"/>
              </w:rPr>
              <w:t>En proceso de ajuste de estructuración OCAD PAZ</w:t>
            </w:r>
          </w:p>
        </w:tc>
        <w:tc>
          <w:tcPr>
            <w:tcW w:w="1513" w:type="dxa"/>
            <w:noWrap/>
            <w:vAlign w:val="center"/>
            <w:hideMark/>
          </w:tcPr>
          <w:p w14:paraId="0C642D66" w14:textId="00D2CFE3" w:rsidR="00E13867" w:rsidRPr="00416C1B" w:rsidRDefault="00E13867" w:rsidP="00AD64C2">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sz w:val="18"/>
                <w:szCs w:val="20"/>
              </w:rPr>
              <w:t>21</w:t>
            </w:r>
          </w:p>
        </w:tc>
        <w:tc>
          <w:tcPr>
            <w:tcW w:w="1646" w:type="dxa"/>
            <w:noWrap/>
            <w:vAlign w:val="center"/>
            <w:hideMark/>
          </w:tcPr>
          <w:p w14:paraId="7A2E5AEC"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sz w:val="18"/>
                <w:szCs w:val="20"/>
              </w:rPr>
              <w:t>3.316.740</w:t>
            </w:r>
          </w:p>
        </w:tc>
        <w:tc>
          <w:tcPr>
            <w:tcW w:w="1832" w:type="dxa"/>
            <w:vMerge w:val="restart"/>
            <w:vAlign w:val="center"/>
          </w:tcPr>
          <w:p w14:paraId="5F630AC4"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sz w:val="18"/>
                <w:szCs w:val="20"/>
                <w:lang w:val="es-ES_tradnl"/>
              </w:rPr>
              <w:t>$195 mil millones de pesos aprox.</w:t>
            </w:r>
          </w:p>
        </w:tc>
      </w:tr>
      <w:tr w:rsidR="00E13867" w:rsidRPr="00AD0574" w14:paraId="6BF5B1FC" w14:textId="77777777" w:rsidTr="00AD64C2">
        <w:trPr>
          <w:cnfStyle w:val="000000100000" w:firstRow="0" w:lastRow="0" w:firstColumn="0" w:lastColumn="0" w:oddVBand="0" w:evenVBand="0" w:oddHBand="1" w:evenHBand="0" w:firstRowFirstColumn="0" w:firstRowLastColumn="0" w:lastRowFirstColumn="0" w:lastRowLastColumn="0"/>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hideMark/>
          </w:tcPr>
          <w:p w14:paraId="387B7599" w14:textId="77777777" w:rsidR="00E13867" w:rsidRPr="00416C1B" w:rsidRDefault="00E13867" w:rsidP="00AD64C2">
            <w:pPr>
              <w:jc w:val="center"/>
              <w:rPr>
                <w:rFonts w:cs="Arial"/>
                <w:color w:val="000000"/>
                <w:sz w:val="18"/>
                <w:szCs w:val="20"/>
              </w:rPr>
            </w:pPr>
            <w:r w:rsidRPr="00416C1B">
              <w:rPr>
                <w:rFonts w:cs="Arial"/>
                <w:color w:val="000000"/>
                <w:sz w:val="18"/>
                <w:szCs w:val="20"/>
              </w:rPr>
              <w:t>En proceso estructuración OCAD PAZ</w:t>
            </w:r>
          </w:p>
        </w:tc>
        <w:tc>
          <w:tcPr>
            <w:tcW w:w="1513" w:type="dxa"/>
            <w:noWrap/>
            <w:vAlign w:val="center"/>
            <w:hideMark/>
          </w:tcPr>
          <w:p w14:paraId="735B413A"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sz w:val="18"/>
                <w:szCs w:val="20"/>
              </w:rPr>
              <w:t>24</w:t>
            </w:r>
          </w:p>
        </w:tc>
        <w:tc>
          <w:tcPr>
            <w:tcW w:w="1646" w:type="dxa"/>
            <w:noWrap/>
            <w:vAlign w:val="center"/>
            <w:hideMark/>
          </w:tcPr>
          <w:p w14:paraId="0EE23553"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r w:rsidRPr="00416C1B">
              <w:rPr>
                <w:rFonts w:cs="Arial"/>
                <w:sz w:val="18"/>
                <w:szCs w:val="20"/>
              </w:rPr>
              <w:t>3´267.779</w:t>
            </w:r>
          </w:p>
        </w:tc>
        <w:tc>
          <w:tcPr>
            <w:tcW w:w="1832" w:type="dxa"/>
            <w:vMerge/>
            <w:vAlign w:val="center"/>
          </w:tcPr>
          <w:p w14:paraId="17247052"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20"/>
              </w:rPr>
            </w:pPr>
          </w:p>
        </w:tc>
      </w:tr>
      <w:tr w:rsidR="00E13867" w:rsidRPr="00AD0574" w14:paraId="17BA1445" w14:textId="77777777" w:rsidTr="00AD64C2">
        <w:trPr>
          <w:trHeight w:val="303"/>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hideMark/>
          </w:tcPr>
          <w:p w14:paraId="4BB9F33A" w14:textId="77777777" w:rsidR="00E13867" w:rsidRPr="00416C1B" w:rsidRDefault="00E13867" w:rsidP="00AD64C2">
            <w:pPr>
              <w:jc w:val="center"/>
              <w:rPr>
                <w:rFonts w:cs="Arial"/>
                <w:color w:val="000000"/>
                <w:sz w:val="18"/>
                <w:szCs w:val="20"/>
              </w:rPr>
            </w:pPr>
            <w:r w:rsidRPr="00416C1B">
              <w:rPr>
                <w:rFonts w:cs="Arial"/>
                <w:color w:val="000000"/>
                <w:sz w:val="18"/>
                <w:szCs w:val="20"/>
              </w:rPr>
              <w:t>En proceso estructuración OCAD PAZ (Antioquia)</w:t>
            </w:r>
          </w:p>
        </w:tc>
        <w:tc>
          <w:tcPr>
            <w:tcW w:w="1513" w:type="dxa"/>
            <w:noWrap/>
            <w:vAlign w:val="center"/>
            <w:hideMark/>
          </w:tcPr>
          <w:p w14:paraId="37B4DA74"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sz w:val="18"/>
                <w:szCs w:val="20"/>
              </w:rPr>
              <w:t>2</w:t>
            </w:r>
          </w:p>
        </w:tc>
        <w:tc>
          <w:tcPr>
            <w:tcW w:w="1646" w:type="dxa"/>
            <w:noWrap/>
            <w:vAlign w:val="center"/>
            <w:hideMark/>
          </w:tcPr>
          <w:p w14:paraId="302D5A93"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r w:rsidRPr="00416C1B">
              <w:rPr>
                <w:rFonts w:cs="Arial"/>
                <w:sz w:val="18"/>
                <w:szCs w:val="20"/>
              </w:rPr>
              <w:t>366.138</w:t>
            </w:r>
          </w:p>
        </w:tc>
        <w:tc>
          <w:tcPr>
            <w:tcW w:w="1832" w:type="dxa"/>
            <w:vMerge/>
            <w:vAlign w:val="center"/>
          </w:tcPr>
          <w:p w14:paraId="56F8895A" w14:textId="77777777" w:rsidR="00E13867" w:rsidRPr="00416C1B" w:rsidRDefault="00E13867"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20"/>
              </w:rPr>
            </w:pPr>
          </w:p>
        </w:tc>
      </w:tr>
      <w:tr w:rsidR="00E13867" w:rsidRPr="00AD0574" w14:paraId="123EB4EA" w14:textId="77777777" w:rsidTr="00A9684A">
        <w:trPr>
          <w:cnfStyle w:val="000000100000" w:firstRow="0" w:lastRow="0" w:firstColumn="0" w:lastColumn="0" w:oddVBand="0" w:evenVBand="0" w:oddHBand="1" w:evenHBand="0" w:firstRowFirstColumn="0" w:firstRowLastColumn="0" w:lastRowFirstColumn="0" w:lastRowLastColumn="0"/>
          <w:trHeight w:val="97"/>
          <w:jc w:val="center"/>
        </w:trPr>
        <w:tc>
          <w:tcPr>
            <w:cnfStyle w:val="001000000000" w:firstRow="0" w:lastRow="0" w:firstColumn="1" w:lastColumn="0" w:oddVBand="0" w:evenVBand="0" w:oddHBand="0" w:evenHBand="0" w:firstRowFirstColumn="0" w:firstRowLastColumn="0" w:lastRowFirstColumn="0" w:lastRowLastColumn="0"/>
            <w:tcW w:w="3983" w:type="dxa"/>
            <w:noWrap/>
            <w:vAlign w:val="center"/>
            <w:hideMark/>
          </w:tcPr>
          <w:p w14:paraId="58A854FC" w14:textId="77777777" w:rsidR="00E13867" w:rsidRPr="00416C1B" w:rsidRDefault="00E13867" w:rsidP="00AD64C2">
            <w:pPr>
              <w:jc w:val="center"/>
              <w:rPr>
                <w:rFonts w:cs="Arial"/>
                <w:b w:val="0"/>
                <w:color w:val="000000"/>
                <w:sz w:val="18"/>
                <w:szCs w:val="20"/>
              </w:rPr>
            </w:pPr>
            <w:r w:rsidRPr="00416C1B">
              <w:rPr>
                <w:rFonts w:cs="Arial"/>
                <w:color w:val="000000"/>
                <w:sz w:val="18"/>
                <w:szCs w:val="20"/>
              </w:rPr>
              <w:t>TOTAL</w:t>
            </w:r>
          </w:p>
        </w:tc>
        <w:tc>
          <w:tcPr>
            <w:tcW w:w="1513" w:type="dxa"/>
            <w:noWrap/>
            <w:vAlign w:val="center"/>
            <w:hideMark/>
          </w:tcPr>
          <w:p w14:paraId="4CD1310C"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r w:rsidRPr="00416C1B">
              <w:rPr>
                <w:rFonts w:cs="Arial"/>
                <w:b/>
                <w:color w:val="000000"/>
                <w:sz w:val="18"/>
                <w:szCs w:val="20"/>
              </w:rPr>
              <w:t>69</w:t>
            </w:r>
          </w:p>
        </w:tc>
        <w:tc>
          <w:tcPr>
            <w:tcW w:w="1646" w:type="dxa"/>
            <w:noWrap/>
            <w:vAlign w:val="center"/>
            <w:hideMark/>
          </w:tcPr>
          <w:p w14:paraId="1053699C"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r w:rsidRPr="00416C1B">
              <w:rPr>
                <w:rFonts w:cs="Arial"/>
                <w:b/>
                <w:color w:val="000000"/>
                <w:sz w:val="18"/>
                <w:szCs w:val="20"/>
              </w:rPr>
              <w:t>9´346.057</w:t>
            </w:r>
          </w:p>
        </w:tc>
        <w:tc>
          <w:tcPr>
            <w:tcW w:w="1832" w:type="dxa"/>
            <w:vAlign w:val="center"/>
          </w:tcPr>
          <w:p w14:paraId="6B074DC0" w14:textId="77777777" w:rsidR="00E13867" w:rsidRPr="00416C1B" w:rsidRDefault="00E13867" w:rsidP="00A6302C">
            <w:pPr>
              <w:jc w:val="center"/>
              <w:cnfStyle w:val="000000100000" w:firstRow="0" w:lastRow="0" w:firstColumn="0" w:lastColumn="0" w:oddVBand="0" w:evenVBand="0" w:oddHBand="1" w:evenHBand="0" w:firstRowFirstColumn="0" w:firstRowLastColumn="0" w:lastRowFirstColumn="0" w:lastRowLastColumn="0"/>
              <w:rPr>
                <w:rFonts w:cs="Arial"/>
                <w:b/>
                <w:color w:val="000000"/>
                <w:sz w:val="18"/>
                <w:szCs w:val="20"/>
              </w:rPr>
            </w:pPr>
          </w:p>
        </w:tc>
      </w:tr>
    </w:tbl>
    <w:p w14:paraId="69EF5A12" w14:textId="77777777" w:rsidR="00E13867" w:rsidRPr="00577BBB" w:rsidRDefault="00E13867" w:rsidP="00E13867">
      <w:pPr>
        <w:spacing w:line="276" w:lineRule="auto"/>
        <w:jc w:val="center"/>
        <w:rPr>
          <w:rFonts w:cs="Arial"/>
          <w:b/>
          <w:bCs/>
          <w:sz w:val="16"/>
          <w:szCs w:val="16"/>
        </w:rPr>
      </w:pPr>
      <w:r w:rsidRPr="00577BBB">
        <w:rPr>
          <w:rFonts w:cs="Arial"/>
          <w:b/>
          <w:bCs/>
          <w:sz w:val="16"/>
          <w:szCs w:val="16"/>
        </w:rPr>
        <w:t>Fuente: IGAC - DNP - 2021</w:t>
      </w:r>
    </w:p>
    <w:p w14:paraId="482232D0" w14:textId="77777777" w:rsidR="00E13867" w:rsidRPr="005A0C6E" w:rsidRDefault="00E13867" w:rsidP="00E13867">
      <w:pPr>
        <w:jc w:val="both"/>
        <w:rPr>
          <w:rFonts w:cs="Arial"/>
          <w:sz w:val="20"/>
          <w:szCs w:val="20"/>
        </w:rPr>
      </w:pPr>
    </w:p>
    <w:p w14:paraId="63043A1D" w14:textId="77777777" w:rsidR="00E13867" w:rsidRDefault="00E13867" w:rsidP="005845B1">
      <w:pPr>
        <w:jc w:val="both"/>
        <w:rPr>
          <w:rFonts w:cs="Arial"/>
          <w:sz w:val="22"/>
          <w:szCs w:val="22"/>
        </w:rPr>
      </w:pPr>
      <w:r w:rsidRPr="001B2D3D">
        <w:rPr>
          <w:rFonts w:cs="Arial"/>
          <w:sz w:val="22"/>
          <w:szCs w:val="22"/>
          <w:lang w:val="es-CO"/>
        </w:rPr>
        <w:t xml:space="preserve">Por otro lado, el IGAC expidió la Resolución 333 de junio 8 de 2021 </w:t>
      </w:r>
      <w:r w:rsidRPr="001B2D3D">
        <w:rPr>
          <w:rFonts w:cs="Arial"/>
          <w:sz w:val="22"/>
          <w:szCs w:val="22"/>
        </w:rPr>
        <w:t>“Por la cual se definen las actividades asociadas a la implementación de los proyectos de catastro multipropósito que se articulan con las iniciativas consignadas en los Planes de Acción para la Transformación Regional – PATR, como insumo para viabilizar las iniciativas o proyectos priorizados identificadas en municipios incluidos en los Programas de Desarrollo con Enfoque Territorial – PDET”.</w:t>
      </w:r>
    </w:p>
    <w:p w14:paraId="34366199" w14:textId="77777777" w:rsidR="00E13867" w:rsidRDefault="00E13867" w:rsidP="005845B1">
      <w:pPr>
        <w:jc w:val="both"/>
        <w:rPr>
          <w:rFonts w:cs="Arial"/>
          <w:sz w:val="22"/>
          <w:szCs w:val="22"/>
        </w:rPr>
      </w:pPr>
    </w:p>
    <w:p w14:paraId="254AF61D" w14:textId="77777777" w:rsidR="00E13867" w:rsidRDefault="00E13867" w:rsidP="00E13867">
      <w:pPr>
        <w:jc w:val="both"/>
        <w:rPr>
          <w:rFonts w:cs="Arial"/>
          <w:sz w:val="22"/>
          <w:szCs w:val="22"/>
        </w:rPr>
      </w:pPr>
      <w:r w:rsidRPr="00DA36DA">
        <w:rPr>
          <w:rFonts w:cs="Arial"/>
          <w:sz w:val="22"/>
          <w:szCs w:val="22"/>
        </w:rPr>
        <w:t>Además de las diferentes acciones que desde el IGAC se desarrollan en calidad de gestor catastral por excepción, para los municipios PDET se llevan a cabo las siguientes acciones de tipo transversal y permanente en virtud de las condiciones de vulnerabilidad que los caracteriza y los diferentes esquemas de articulación institucional, especialmente entorno a los objetivos estratégicos y proyectos que se articulan con las iniciativas consignadas en los Planes de Acción para la Transformación Regional  - PATR, así:</w:t>
      </w:r>
    </w:p>
    <w:p w14:paraId="47D06D9B" w14:textId="77777777" w:rsidR="00E13867" w:rsidRPr="00DA36DA" w:rsidRDefault="00E13867" w:rsidP="00E13867">
      <w:pPr>
        <w:jc w:val="both"/>
        <w:rPr>
          <w:rFonts w:cs="Arial"/>
          <w:sz w:val="22"/>
          <w:szCs w:val="22"/>
        </w:rPr>
      </w:pPr>
    </w:p>
    <w:p w14:paraId="2209C08E" w14:textId="77777777" w:rsidR="00E13867" w:rsidRPr="00A9684A" w:rsidRDefault="00E13867" w:rsidP="000A20EE">
      <w:pPr>
        <w:pStyle w:val="Prrafodelista"/>
        <w:numPr>
          <w:ilvl w:val="0"/>
          <w:numId w:val="242"/>
        </w:numPr>
        <w:suppressAutoHyphens w:val="0"/>
        <w:overflowPunct/>
        <w:autoSpaceDE/>
        <w:spacing w:after="200"/>
        <w:contextualSpacing/>
        <w:textAlignment w:val="auto"/>
        <w:rPr>
          <w:rFonts w:cs="Arial"/>
          <w:sz w:val="22"/>
        </w:rPr>
      </w:pPr>
      <w:r w:rsidRPr="00A9684A">
        <w:rPr>
          <w:rFonts w:cs="Arial"/>
          <w:b/>
          <w:sz w:val="22"/>
        </w:rPr>
        <w:t>MESA DE AYUDA - BILATERALES</w:t>
      </w:r>
      <w:r w:rsidRPr="00A9684A">
        <w:rPr>
          <w:rFonts w:cs="Arial"/>
          <w:sz w:val="22"/>
        </w:rPr>
        <w:t xml:space="preserve"> para atención de casos masivos o puntuales en los municipios PDET que requieran información catastral o articulación con equipos técnicos asociados a procesos de legalización de tenencia o saneamiento, construcción de inventarios, intercambio de insumos técnicos tales como caracterizaciones catastrales, cartográficas o geodésicas.</w:t>
      </w:r>
    </w:p>
    <w:p w14:paraId="6B2CDAFB" w14:textId="77777777" w:rsidR="00E13867" w:rsidRPr="00A9684A" w:rsidRDefault="00E13867" w:rsidP="000A20EE">
      <w:pPr>
        <w:pStyle w:val="Prrafodelista"/>
        <w:numPr>
          <w:ilvl w:val="0"/>
          <w:numId w:val="242"/>
        </w:numPr>
        <w:suppressAutoHyphens w:val="0"/>
        <w:overflowPunct/>
        <w:autoSpaceDE/>
        <w:spacing w:after="200"/>
        <w:contextualSpacing/>
        <w:textAlignment w:val="auto"/>
        <w:rPr>
          <w:rFonts w:cs="Arial"/>
          <w:sz w:val="22"/>
        </w:rPr>
      </w:pPr>
      <w:r w:rsidRPr="00A9684A">
        <w:rPr>
          <w:rFonts w:cs="Arial"/>
          <w:b/>
          <w:sz w:val="22"/>
        </w:rPr>
        <w:t>CONSOLIDACION DE LINEA BASE DEL ESTADO DE CONDICIONES LIMITROFES</w:t>
      </w:r>
      <w:r w:rsidRPr="00A9684A">
        <w:rPr>
          <w:rFonts w:cs="Arial"/>
          <w:sz w:val="22"/>
        </w:rPr>
        <w:t xml:space="preserve"> entre municipios PDET, a través de la generación de informes técnicos para cada uno de los municipios y su estado con cada ente territorial colindante; esta actividad se encuentra en proceso de desarrollo y puesta a disposición a través de COLOMBIA EN MAPAS como herramienta pública de consulta.</w:t>
      </w:r>
    </w:p>
    <w:p w14:paraId="642A71DB" w14:textId="090E140F" w:rsidR="00E13867" w:rsidRPr="001B2D3D" w:rsidRDefault="00E13867" w:rsidP="000A20EE">
      <w:pPr>
        <w:pStyle w:val="Prrafodelista"/>
        <w:numPr>
          <w:ilvl w:val="0"/>
          <w:numId w:val="242"/>
        </w:numPr>
        <w:suppressAutoHyphens w:val="0"/>
        <w:overflowPunct/>
        <w:autoSpaceDE/>
        <w:spacing w:after="200"/>
        <w:contextualSpacing/>
        <w:textAlignment w:val="auto"/>
        <w:rPr>
          <w:rFonts w:cs="Arial"/>
          <w:sz w:val="22"/>
          <w:szCs w:val="22"/>
        </w:rPr>
      </w:pPr>
      <w:r w:rsidRPr="00A9684A">
        <w:rPr>
          <w:rFonts w:cs="Arial"/>
          <w:b/>
          <w:sz w:val="22"/>
        </w:rPr>
        <w:t>HERRAMIENTAS DE APOYO PARA LAS CERTIFICACIONES DE CONCORDANCIA</w:t>
      </w:r>
      <w:r w:rsidRPr="00A9684A">
        <w:rPr>
          <w:rFonts w:cs="Arial"/>
          <w:sz w:val="22"/>
        </w:rPr>
        <w:t xml:space="preserve"> de conformidad con lo establecido en la Resol. 0111 de 2021 de la Agencia de Renovación del Territorio, el IGAC como máxima autoridad catastral definió las actividades objeto de cobertura con recursos de la asignación para la Paz del SGR a aprobarse por el OCAD-Paz asociadas a la implementación de catastro multipropósito en los municipios PDET, como una herramienta que permita verificar la articulación de otros procesos del ordenamiento social de la propiedad que requieren información catastral o predial actualizada. Esta resolución corresponde a la Resolución No. 333 del 8 de junio de 2021.</w:t>
      </w:r>
    </w:p>
    <w:p w14:paraId="4B5ED94A" w14:textId="77777777" w:rsidR="00E13867" w:rsidRPr="006F5B78" w:rsidRDefault="00E13867" w:rsidP="005845B1">
      <w:pPr>
        <w:jc w:val="both"/>
        <w:rPr>
          <w:rFonts w:cs="Arial"/>
          <w:sz w:val="22"/>
          <w:szCs w:val="22"/>
        </w:rPr>
      </w:pPr>
      <w:r>
        <w:rPr>
          <w:rFonts w:cs="Arial"/>
          <w:sz w:val="22"/>
          <w:szCs w:val="22"/>
        </w:rPr>
        <w:lastRenderedPageBreak/>
        <w:t xml:space="preserve">Adicionalmente, </w:t>
      </w:r>
      <w:r w:rsidRPr="006F5B78">
        <w:rPr>
          <w:rFonts w:cs="Arial"/>
          <w:sz w:val="22"/>
          <w:szCs w:val="22"/>
        </w:rPr>
        <w:t xml:space="preserve">En el marco del Plan Nacional de Desarrollo 2018-2022: Pacto por Colombia pacto por la Equidad, se elaboró la ficha técnica del indicador “Porcentaje del área geográfica con catastro actualizado” el cual está bajo responsabilidad del IGAC como máxima autoridad catastral a nivel nacional. </w:t>
      </w:r>
    </w:p>
    <w:p w14:paraId="10C2D9F5" w14:textId="77777777" w:rsidR="00E13867" w:rsidRPr="006F5B78" w:rsidRDefault="00E13867" w:rsidP="005845B1">
      <w:pPr>
        <w:jc w:val="both"/>
        <w:rPr>
          <w:rFonts w:cs="Arial"/>
          <w:sz w:val="22"/>
          <w:szCs w:val="22"/>
        </w:rPr>
      </w:pPr>
    </w:p>
    <w:p w14:paraId="1E3038F7" w14:textId="77777777" w:rsidR="00E13867" w:rsidRPr="006F5B78" w:rsidRDefault="00E13867" w:rsidP="005845B1">
      <w:pPr>
        <w:jc w:val="both"/>
        <w:rPr>
          <w:rFonts w:cs="Arial"/>
          <w:sz w:val="22"/>
          <w:szCs w:val="22"/>
        </w:rPr>
      </w:pPr>
      <w:r w:rsidRPr="006F5B78">
        <w:rPr>
          <w:rFonts w:cs="Arial"/>
          <w:sz w:val="22"/>
          <w:szCs w:val="22"/>
        </w:rPr>
        <w:t xml:space="preserve">Este indicador mide el total del área geográfica que cuenta con catastro actualizado, teniendo en cuenta el área bajo jurisdicción del IGAC y de los gestores catastrales habilitados. </w:t>
      </w:r>
    </w:p>
    <w:p w14:paraId="3B060E9B" w14:textId="77777777" w:rsidR="00E13867" w:rsidRPr="006F5B78" w:rsidRDefault="00E13867" w:rsidP="005845B1">
      <w:pPr>
        <w:jc w:val="both"/>
        <w:rPr>
          <w:rFonts w:cs="Arial"/>
          <w:sz w:val="22"/>
          <w:szCs w:val="22"/>
        </w:rPr>
      </w:pPr>
      <w:r w:rsidRPr="006F5B78">
        <w:rPr>
          <w:rFonts w:cs="Arial"/>
          <w:sz w:val="22"/>
          <w:szCs w:val="22"/>
        </w:rPr>
        <w:t>Para la proyección del indicador se tiene en cuenta que al área geográfica que se interviene con el proceso de actualización catastral durante cada año, se le suma el área geográfica que no se interviene con procesos de actualización catastral, pero que permanece actualizada (menos de 5 años de su última actualización). A este valor se le resta la cantidad de hectáreas que quedan desactualizadas en cada vigencia, es decir, aquellas que ya han sobrepasado los 5 años siguientes a su última actualización catastral. Por último, este valor se divide por el total del área geográfica del país y se multiplica por 100.</w:t>
      </w:r>
    </w:p>
    <w:p w14:paraId="726B36F5" w14:textId="77777777" w:rsidR="00E13867" w:rsidRPr="006F5B78" w:rsidRDefault="00E13867" w:rsidP="005845B1">
      <w:pPr>
        <w:jc w:val="both"/>
        <w:rPr>
          <w:rFonts w:cs="Arial"/>
          <w:sz w:val="22"/>
          <w:szCs w:val="22"/>
        </w:rPr>
      </w:pPr>
    </w:p>
    <w:p w14:paraId="16284F5D" w14:textId="77777777" w:rsidR="00E13867" w:rsidRPr="006F5B78" w:rsidRDefault="00E13867" w:rsidP="005845B1">
      <w:pPr>
        <w:jc w:val="both"/>
        <w:rPr>
          <w:rFonts w:cs="Arial"/>
          <w:sz w:val="22"/>
          <w:szCs w:val="22"/>
        </w:rPr>
      </w:pPr>
      <w:r w:rsidRPr="006F5B78">
        <w:rPr>
          <w:rFonts w:cs="Arial"/>
          <w:sz w:val="22"/>
          <w:szCs w:val="22"/>
        </w:rPr>
        <w:t>Sin embargo, teniendo en cuenta que este indicador tiene por objetivo hacer seguimiento al área geográfica con información catastral actualizada, se considera que al tener en cuenta únicamente el proceso de actualización catastral, no se está considerando gran parte del área geográfica del país cuya información se está actualizando de forma permanente, mediante los procesos de formación y conservación catastral.</w:t>
      </w:r>
    </w:p>
    <w:p w14:paraId="23796E17" w14:textId="77777777" w:rsidR="00E13867" w:rsidRPr="006F5B78" w:rsidRDefault="00E13867" w:rsidP="005845B1">
      <w:pPr>
        <w:jc w:val="both"/>
        <w:rPr>
          <w:rFonts w:cs="Arial"/>
          <w:sz w:val="22"/>
          <w:szCs w:val="22"/>
        </w:rPr>
      </w:pPr>
    </w:p>
    <w:p w14:paraId="048130E4" w14:textId="77777777" w:rsidR="00E13867" w:rsidRPr="006F5B78" w:rsidRDefault="00E13867" w:rsidP="005845B1">
      <w:pPr>
        <w:jc w:val="both"/>
        <w:rPr>
          <w:rFonts w:cs="Arial"/>
          <w:sz w:val="22"/>
          <w:szCs w:val="22"/>
        </w:rPr>
      </w:pPr>
      <w:r w:rsidRPr="006F5B78">
        <w:rPr>
          <w:rFonts w:cs="Arial"/>
          <w:sz w:val="22"/>
          <w:szCs w:val="22"/>
        </w:rPr>
        <w:t>En este sentido es importante considerar, que el CONPES 3859 del 26 de marzo de 2019 propone una estrategia para la implementación de la política pública de catastro multipropósito, que permita contar con un catastro integral, completo, actualizado, confiable y consistente con el sistema de registro de la propiedad inmueble. Para lo anterior, propone un plan de acción para lograr la actualización gradual y progresiva de la información catastral del país previendo mecanismos para su sostenibilidad financiera y su actualización de manera permanente.</w:t>
      </w:r>
    </w:p>
    <w:p w14:paraId="6B3D47B5" w14:textId="77777777" w:rsidR="00E13867" w:rsidRPr="006F5B78" w:rsidRDefault="00E13867" w:rsidP="005845B1">
      <w:pPr>
        <w:jc w:val="both"/>
        <w:rPr>
          <w:rFonts w:cs="Arial"/>
          <w:sz w:val="22"/>
          <w:szCs w:val="22"/>
        </w:rPr>
      </w:pPr>
    </w:p>
    <w:p w14:paraId="28F4E364" w14:textId="77777777" w:rsidR="00E13867" w:rsidRPr="006F5B78" w:rsidRDefault="00E13867" w:rsidP="005845B1">
      <w:pPr>
        <w:jc w:val="both"/>
        <w:rPr>
          <w:rFonts w:cs="Arial"/>
          <w:sz w:val="22"/>
          <w:szCs w:val="22"/>
        </w:rPr>
      </w:pPr>
      <w:r w:rsidRPr="006F5B78">
        <w:rPr>
          <w:rFonts w:cs="Arial"/>
          <w:sz w:val="22"/>
          <w:szCs w:val="22"/>
        </w:rPr>
        <w:t>Para ello y dentro de las líneas de acción, propone la “promoción de usos adicionales de la información catastral”, que contempla el esquema colaborativo tanto de usuarios públicos como privados para la contribución a la actualización y mantenimiento permanente de la información catastral.</w:t>
      </w:r>
    </w:p>
    <w:p w14:paraId="55C437E3" w14:textId="77777777" w:rsidR="00E13867" w:rsidRPr="006F5B78" w:rsidRDefault="00E13867" w:rsidP="005845B1">
      <w:pPr>
        <w:jc w:val="both"/>
        <w:rPr>
          <w:rFonts w:cs="Arial"/>
          <w:sz w:val="22"/>
          <w:szCs w:val="22"/>
        </w:rPr>
      </w:pPr>
    </w:p>
    <w:p w14:paraId="63A0E105" w14:textId="77777777" w:rsidR="00E13867" w:rsidRPr="006F5B78" w:rsidRDefault="00E13867" w:rsidP="005845B1">
      <w:pPr>
        <w:jc w:val="both"/>
        <w:rPr>
          <w:rFonts w:cs="Arial"/>
          <w:sz w:val="22"/>
          <w:szCs w:val="22"/>
        </w:rPr>
      </w:pPr>
      <w:r w:rsidRPr="006F5B78">
        <w:rPr>
          <w:rFonts w:cs="Arial"/>
          <w:sz w:val="22"/>
          <w:szCs w:val="22"/>
        </w:rPr>
        <w:t>En consonancia con lo anterior, el Decreto 148 de 2020 señala que los procesos catastrales podrán adelantarse mediante la combinación de métodos, dentro de los cuales están los declarativos y colaborativos, que se derivan de la participación de la comunidad en el suministro de la información física, jurídica y económica que sirva como insumo para actualizar la base catastral conforme a la realidad del territorio.</w:t>
      </w:r>
    </w:p>
    <w:p w14:paraId="2DE569B0" w14:textId="77777777" w:rsidR="00E13867" w:rsidRPr="006F5B78" w:rsidRDefault="00E13867" w:rsidP="005845B1">
      <w:pPr>
        <w:jc w:val="both"/>
        <w:rPr>
          <w:rFonts w:cs="Arial"/>
          <w:sz w:val="22"/>
          <w:szCs w:val="22"/>
        </w:rPr>
      </w:pPr>
    </w:p>
    <w:p w14:paraId="55145BDA" w14:textId="77777777" w:rsidR="00E13867" w:rsidRPr="006F5B78" w:rsidRDefault="00E13867" w:rsidP="005845B1">
      <w:pPr>
        <w:jc w:val="both"/>
        <w:rPr>
          <w:rFonts w:cs="Arial"/>
          <w:sz w:val="22"/>
          <w:szCs w:val="22"/>
        </w:rPr>
      </w:pPr>
      <w:r w:rsidRPr="006F5B78">
        <w:rPr>
          <w:rFonts w:cs="Arial"/>
          <w:sz w:val="22"/>
          <w:szCs w:val="22"/>
        </w:rPr>
        <w:t>Así mismo, dicha disposición legal imparte instrucción a los gestores catastrales para efecto de la actualización permanente en cuanto a la implementación de mecanismos de observación dinámica y continua del territorio, que den cuenta de las variaciones de la información catastral frente a la realidad del mismo, dentro de los cuales nuevamente hace énfasis en los esquemas colaborativos, a fin de incorporar las variaciones puntuales o masivas de los inmuebles en la base catastral.</w:t>
      </w:r>
    </w:p>
    <w:p w14:paraId="0914AF03" w14:textId="77777777" w:rsidR="00E13867" w:rsidRPr="006F5B78" w:rsidRDefault="00E13867" w:rsidP="005845B1">
      <w:pPr>
        <w:jc w:val="both"/>
        <w:rPr>
          <w:rFonts w:cs="Arial"/>
          <w:sz w:val="22"/>
          <w:szCs w:val="22"/>
        </w:rPr>
      </w:pPr>
    </w:p>
    <w:p w14:paraId="798AC062" w14:textId="77777777" w:rsidR="00E13867" w:rsidRPr="006F5B78" w:rsidRDefault="00E13867" w:rsidP="005845B1">
      <w:pPr>
        <w:jc w:val="both"/>
        <w:rPr>
          <w:rFonts w:cs="Arial"/>
          <w:sz w:val="22"/>
          <w:szCs w:val="22"/>
        </w:rPr>
      </w:pPr>
      <w:r w:rsidRPr="006F5B78">
        <w:rPr>
          <w:rFonts w:cs="Arial"/>
          <w:sz w:val="22"/>
          <w:szCs w:val="22"/>
        </w:rPr>
        <w:t>La conservación catastral se constituye en el conjunto de acciones tendientes a mantener vigente la base catastral de forma permanente, mediante la incorporación de los cambios que sufra la información de un bien inmueble; este proceso puede realizarse a solicitud de parte (usuarios públicos y privados bajo el esquema colaborativo) o de oficio.</w:t>
      </w:r>
    </w:p>
    <w:p w14:paraId="5B035594" w14:textId="77777777" w:rsidR="00E13867" w:rsidRPr="006F5B78" w:rsidRDefault="00E13867" w:rsidP="005845B1">
      <w:pPr>
        <w:jc w:val="both"/>
        <w:rPr>
          <w:rFonts w:cs="Arial"/>
          <w:sz w:val="22"/>
          <w:szCs w:val="22"/>
        </w:rPr>
      </w:pPr>
    </w:p>
    <w:p w14:paraId="29F6F0D9" w14:textId="1A72D51D" w:rsidR="00E13867" w:rsidRDefault="00E13867" w:rsidP="005845B1">
      <w:pPr>
        <w:jc w:val="both"/>
        <w:rPr>
          <w:rFonts w:cs="Arial"/>
          <w:sz w:val="22"/>
          <w:szCs w:val="22"/>
        </w:rPr>
      </w:pPr>
      <w:r w:rsidRPr="006F5B78">
        <w:rPr>
          <w:rFonts w:cs="Arial"/>
          <w:sz w:val="22"/>
          <w:szCs w:val="22"/>
        </w:rPr>
        <w:lastRenderedPageBreak/>
        <w:t>Como se observa, este procedimiento permite la permanente actualización de los registros catastrales, a través de la información de cambios en el territorio presentada también por terceros. Es por esto que</w:t>
      </w:r>
      <w:r w:rsidR="00A9684A" w:rsidRPr="006F5B78">
        <w:rPr>
          <w:rFonts w:cs="Arial"/>
          <w:sz w:val="22"/>
          <w:szCs w:val="22"/>
        </w:rPr>
        <w:t>,</w:t>
      </w:r>
      <w:r w:rsidRPr="006F5B78">
        <w:rPr>
          <w:rFonts w:cs="Arial"/>
          <w:sz w:val="22"/>
          <w:szCs w:val="22"/>
        </w:rPr>
        <w:t xml:space="preserve"> en el marco de la política de catastro multipropósito, para la ejecución del indicador de porcentaje del área geográfica con catastro actualizado, debe considerarse no solamente las hectáreas producto de los procesos actualización de los 5 últimos años como se venía considerando, sino adicional, las resultantes de los procesos de formación y conservación, este último a partir de la expedición del documento CONPES en mención</w:t>
      </w:r>
    </w:p>
    <w:p w14:paraId="018285C2" w14:textId="77777777" w:rsidR="00E13867" w:rsidRPr="001B2D3D" w:rsidRDefault="00E13867" w:rsidP="005845B1">
      <w:pPr>
        <w:jc w:val="both"/>
        <w:rPr>
          <w:rFonts w:cs="Arial"/>
          <w:sz w:val="22"/>
          <w:szCs w:val="22"/>
        </w:rPr>
      </w:pPr>
    </w:p>
    <w:p w14:paraId="07521D8D" w14:textId="77777777" w:rsidR="00E13867" w:rsidRPr="00C80086" w:rsidRDefault="00E13867" w:rsidP="005845B1">
      <w:pPr>
        <w:jc w:val="both"/>
        <w:rPr>
          <w:rFonts w:cs="Arial"/>
          <w:b/>
          <w:sz w:val="22"/>
          <w:szCs w:val="22"/>
        </w:rPr>
      </w:pPr>
      <w:r w:rsidRPr="00C80086">
        <w:rPr>
          <w:rFonts w:cs="Arial"/>
          <w:b/>
          <w:sz w:val="22"/>
          <w:szCs w:val="22"/>
        </w:rPr>
        <w:t>OTROS LOGROS PARA LA FORMACIÓN, ACTUALIZACIÓN Y CONSERVACIÓN CATASTRAL:</w:t>
      </w:r>
    </w:p>
    <w:p w14:paraId="744454EE" w14:textId="77777777" w:rsidR="00E13867" w:rsidRPr="00F118A4" w:rsidRDefault="00E13867" w:rsidP="005845B1">
      <w:pPr>
        <w:ind w:firstLine="708"/>
        <w:jc w:val="both"/>
        <w:rPr>
          <w:rFonts w:cs="Arial"/>
          <w:b/>
          <w:i/>
          <w:sz w:val="22"/>
          <w:szCs w:val="22"/>
        </w:rPr>
      </w:pPr>
    </w:p>
    <w:p w14:paraId="7C7B2854" w14:textId="77777777" w:rsidR="00E13867" w:rsidRPr="00F118A4" w:rsidRDefault="00E13867" w:rsidP="005845B1">
      <w:pPr>
        <w:jc w:val="both"/>
        <w:rPr>
          <w:rFonts w:cs="Arial"/>
          <w:sz w:val="22"/>
          <w:szCs w:val="22"/>
        </w:rPr>
      </w:pPr>
      <w:r w:rsidRPr="00F118A4">
        <w:rPr>
          <w:rFonts w:cs="Arial"/>
          <w:sz w:val="22"/>
          <w:szCs w:val="22"/>
        </w:rPr>
        <w:t>El catastro multipropósito trajo consigo grandes retos. Dado lo anterior, en los procesos de formación, actualización y conservación descritos, han sido implementadas estrategias que permitieron agilizar los mismos y ser más eficientes. A continuación, se presentan algunas de ellas:</w:t>
      </w:r>
    </w:p>
    <w:p w14:paraId="1BC71C79" w14:textId="77777777" w:rsidR="00E13867" w:rsidRPr="00F118A4" w:rsidRDefault="00E13867" w:rsidP="005845B1">
      <w:pPr>
        <w:jc w:val="both"/>
        <w:rPr>
          <w:rFonts w:cs="Arial"/>
          <w:sz w:val="22"/>
          <w:szCs w:val="22"/>
        </w:rPr>
      </w:pPr>
    </w:p>
    <w:p w14:paraId="3DE3FA7E" w14:textId="313009BE"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 xml:space="preserve">Mayor aprovechamiento del uso de información tal como la cartografía social, registros de propietarios, ocupantes, información registral, levantamientos topográficos, inventario de procesos de formalización de predios, entre otros, entregados por Parques Nacionales, Agencia Nacional de Tierras -ANT, Unidad de Restitución de Tierras -ART, Superintendencia Nacional de Registro -SNR, DANE, entre otras, información clave para el diseño de planes de trabajo, determinación de zonas de intervención, definición de métodos de recolección de información, minimizando el reconocimiento directo (visita a dichos predios) y optimizando así,  tiempos y recursos. </w:t>
      </w:r>
    </w:p>
    <w:p w14:paraId="72F785AC" w14:textId="122110D9"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Aplicación de métodos indirectos para el levantamiento de la información catastral, en zonas de interés ambiental tales como el parque del Tuparro y Cinaruco, tales como los colaborativos y declarativos, mediante la realización de talleres con la comunidad, en los cuales, en conjunto se precisaron los linderos e identificaron construcciones con su tipificación y aportaron documentos soporte para la inscripción de predios formales e informales, reduciendo los tiempos y evitand</w:t>
      </w:r>
      <w:r>
        <w:rPr>
          <w:rFonts w:cs="Arial"/>
          <w:sz w:val="22"/>
          <w:szCs w:val="22"/>
        </w:rPr>
        <w:t>o en gran parte, labor de campo.</w:t>
      </w:r>
    </w:p>
    <w:p w14:paraId="738BCAE4" w14:textId="0F6116E3"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 xml:space="preserve">Implementación de calificación de las construcciones por tipologías constructivas, lo cual permite la estandarización de la calificación de construcciones a nivel nacional de acuerdo con las condiciones constructivas y la posibilidad de hacer un reconocimiento predial bioseguro para reconocedor y propietario, pues no requiere el acceso al inmueble para su calificación. </w:t>
      </w:r>
    </w:p>
    <w:p w14:paraId="1AE706BA" w14:textId="4F390C64"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Modelamientos econométricos para la valoración predial, estandarizando los criterios de valoración en un periodo de tiempo inferior al requerido para la valoración mediante el método tradicional de zonas homogéneas.</w:t>
      </w:r>
    </w:p>
    <w:p w14:paraId="29C2C043" w14:textId="2EA3BC36"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Utilización de dispositivos GNSS para la recolección de información predial con la exactitud posicional requerida.</w:t>
      </w:r>
    </w:p>
    <w:p w14:paraId="28783ACF" w14:textId="5BFCB3B2" w:rsidR="00E13867" w:rsidRPr="00C80086" w:rsidRDefault="00E13867" w:rsidP="000A20EE">
      <w:pPr>
        <w:pStyle w:val="Prrafodelista"/>
        <w:numPr>
          <w:ilvl w:val="0"/>
          <w:numId w:val="238"/>
        </w:numPr>
        <w:ind w:left="426" w:hanging="284"/>
        <w:textAlignment w:val="auto"/>
        <w:rPr>
          <w:rFonts w:cs="Arial"/>
          <w:sz w:val="22"/>
          <w:szCs w:val="22"/>
        </w:rPr>
      </w:pPr>
      <w:r w:rsidRPr="00C80086">
        <w:rPr>
          <w:rFonts w:cs="Arial"/>
          <w:sz w:val="22"/>
          <w:szCs w:val="22"/>
        </w:rPr>
        <w:t>Implementación de mejoras al aplicativo de captura CICA, incorporando las variables establecidas en el modelo de levantamiento catastral versión 1.0, integración con el sistema nacional catastral e inclusión de las variables éticas para la captura de información.</w:t>
      </w:r>
    </w:p>
    <w:p w14:paraId="4A3096BF" w14:textId="56FB943C" w:rsidR="00E13867" w:rsidRPr="00C80086" w:rsidRDefault="00E13867" w:rsidP="000A20EE">
      <w:pPr>
        <w:pStyle w:val="Prrafodelista"/>
        <w:numPr>
          <w:ilvl w:val="0"/>
          <w:numId w:val="238"/>
        </w:numPr>
        <w:ind w:left="426" w:hanging="284"/>
        <w:textAlignment w:val="auto"/>
        <w:rPr>
          <w:rFonts w:cs="Arial"/>
          <w:b/>
          <w:i/>
          <w:sz w:val="22"/>
          <w:szCs w:val="22"/>
        </w:rPr>
      </w:pPr>
      <w:r w:rsidRPr="00C80086">
        <w:rPr>
          <w:rFonts w:cs="Arial"/>
          <w:sz w:val="22"/>
          <w:szCs w:val="22"/>
        </w:rPr>
        <w:t>Diseño de tableros de control para seguimiento de los proyectos de actualización en tiempo real de la captura de información y seguimiento semanal de los proyectos con la dirección general</w:t>
      </w:r>
      <w:r w:rsidR="00C80086" w:rsidRPr="00C80086">
        <w:rPr>
          <w:rFonts w:cs="Arial"/>
          <w:sz w:val="22"/>
          <w:szCs w:val="22"/>
        </w:rPr>
        <w:t>.</w:t>
      </w:r>
    </w:p>
    <w:p w14:paraId="2BAC8A79" w14:textId="5E9604BA" w:rsidR="00E13867" w:rsidRPr="00C80086" w:rsidRDefault="00E13867" w:rsidP="000A20EE">
      <w:pPr>
        <w:pStyle w:val="Prrafodelista"/>
        <w:numPr>
          <w:ilvl w:val="0"/>
          <w:numId w:val="238"/>
        </w:numPr>
        <w:ind w:left="426" w:hanging="284"/>
        <w:textAlignment w:val="auto"/>
        <w:rPr>
          <w:rFonts w:cs="Arial"/>
          <w:b/>
          <w:i/>
          <w:sz w:val="22"/>
          <w:szCs w:val="22"/>
        </w:rPr>
      </w:pPr>
      <w:r w:rsidRPr="00C80086">
        <w:rPr>
          <w:rFonts w:cs="Arial"/>
          <w:sz w:val="22"/>
          <w:szCs w:val="22"/>
        </w:rPr>
        <w:t>La información recolectada en el proceso de formación y/o actualización catastral se hace por medio de dispositivos móviles de captura.</w:t>
      </w:r>
    </w:p>
    <w:p w14:paraId="15491D20" w14:textId="77777777" w:rsidR="00E13867" w:rsidRPr="00C80086" w:rsidRDefault="00E13867" w:rsidP="000A20EE">
      <w:pPr>
        <w:pStyle w:val="Prrafodelista"/>
        <w:numPr>
          <w:ilvl w:val="0"/>
          <w:numId w:val="238"/>
        </w:numPr>
        <w:ind w:left="426" w:hanging="284"/>
        <w:textAlignment w:val="auto"/>
        <w:rPr>
          <w:rFonts w:cs="Arial"/>
          <w:b/>
          <w:i/>
          <w:sz w:val="22"/>
          <w:szCs w:val="22"/>
        </w:rPr>
      </w:pPr>
      <w:r w:rsidRPr="00C80086">
        <w:rPr>
          <w:rFonts w:cs="Arial"/>
          <w:sz w:val="22"/>
          <w:szCs w:val="22"/>
        </w:rPr>
        <w:lastRenderedPageBreak/>
        <w:t xml:space="preserve">Para efectos de determinar el valor de los procesos de formación y actualización de la totalidad de los municipios del país, el IGAC realizó un ejercicio de costeo basado en la identificación de actividades, tiempos, productos, rendimientos, factores diferenciales del territorio, y componentes optimizables. Dicho ejercicio, fue socializado con el DNP y con el DANE, acogiendo las recomendaciones respectivas. Posteriormente, en conjunto con la Dirección de Informática y Telecomunicaciones, se desarrolló la herramienta para el cálculo de los costos. </w:t>
      </w:r>
    </w:p>
    <w:p w14:paraId="30EF0DF2" w14:textId="77777777" w:rsidR="00E13867" w:rsidRPr="00C80086" w:rsidRDefault="00E13867" w:rsidP="005845B1">
      <w:pPr>
        <w:pStyle w:val="Prrafodelista"/>
        <w:ind w:left="426"/>
        <w:rPr>
          <w:rFonts w:cs="Arial"/>
          <w:sz w:val="22"/>
          <w:szCs w:val="22"/>
        </w:rPr>
      </w:pPr>
    </w:p>
    <w:p w14:paraId="61575EC2" w14:textId="551F6D1E" w:rsidR="00E13867" w:rsidRPr="00C80086" w:rsidRDefault="00E13867" w:rsidP="00C80086">
      <w:pPr>
        <w:rPr>
          <w:rFonts w:cs="Arial"/>
          <w:b/>
          <w:i/>
          <w:sz w:val="22"/>
          <w:szCs w:val="22"/>
        </w:rPr>
      </w:pPr>
      <w:r w:rsidRPr="00C80086">
        <w:rPr>
          <w:rFonts w:cs="Arial"/>
          <w:sz w:val="22"/>
          <w:szCs w:val="22"/>
        </w:rPr>
        <w:t>Este esquema de costeo sirvió de base entre otros, para la definición de los municipios a financiar por la banca multilateral y se constituyó en el 2020, en el insumo para la construcción de alrededor de 519 propuestas de actualización y formación catastral solicitadas por diferentes municipios del país.</w:t>
      </w:r>
    </w:p>
    <w:p w14:paraId="6FDB23EC" w14:textId="77777777" w:rsidR="00E13867" w:rsidRPr="00B568C5" w:rsidRDefault="00E13867" w:rsidP="005845B1">
      <w:pPr>
        <w:jc w:val="both"/>
        <w:rPr>
          <w:rFonts w:cs="Arial"/>
          <w:sz w:val="22"/>
          <w:szCs w:val="22"/>
        </w:rPr>
      </w:pPr>
    </w:p>
    <w:p w14:paraId="44FE00B5" w14:textId="77777777" w:rsidR="00E13867" w:rsidRPr="00B568C5" w:rsidRDefault="00E13867" w:rsidP="005845B1">
      <w:pPr>
        <w:jc w:val="both"/>
        <w:rPr>
          <w:rFonts w:cs="Arial"/>
          <w:sz w:val="22"/>
          <w:szCs w:val="22"/>
        </w:rPr>
      </w:pPr>
      <w:r w:rsidRPr="00B568C5">
        <w:rPr>
          <w:rFonts w:cs="Arial"/>
          <w:sz w:val="22"/>
          <w:szCs w:val="22"/>
        </w:rPr>
        <w:t>Con base en el costeo realizado, se garantizó la financiación de:</w:t>
      </w:r>
    </w:p>
    <w:p w14:paraId="5F6DEFDA" w14:textId="77777777" w:rsidR="00E13867" w:rsidRPr="00E86573" w:rsidRDefault="00E13867" w:rsidP="005845B1">
      <w:pPr>
        <w:jc w:val="both"/>
        <w:rPr>
          <w:rFonts w:cs="Arial"/>
          <w:szCs w:val="22"/>
        </w:rPr>
      </w:pPr>
    </w:p>
    <w:p w14:paraId="17975EB5" w14:textId="77777777" w:rsidR="00E13867" w:rsidRPr="00E86573" w:rsidRDefault="00E13867" w:rsidP="000A20EE">
      <w:pPr>
        <w:pStyle w:val="Prrafodelista"/>
        <w:numPr>
          <w:ilvl w:val="0"/>
          <w:numId w:val="239"/>
        </w:numPr>
        <w:textAlignment w:val="auto"/>
        <w:rPr>
          <w:rFonts w:cs="Arial"/>
          <w:sz w:val="22"/>
        </w:rPr>
      </w:pPr>
      <w:r w:rsidRPr="00E86573">
        <w:rPr>
          <w:rFonts w:cs="Arial"/>
          <w:sz w:val="22"/>
        </w:rPr>
        <w:t>79 municipios con un área geográfica de 6.433.141,35 Has., a través de la banca multilateral.</w:t>
      </w:r>
    </w:p>
    <w:p w14:paraId="2518F76F" w14:textId="77777777" w:rsidR="00E13867" w:rsidRPr="00E86573" w:rsidRDefault="00E13867" w:rsidP="000A20EE">
      <w:pPr>
        <w:pStyle w:val="Prrafodelista"/>
        <w:numPr>
          <w:ilvl w:val="0"/>
          <w:numId w:val="239"/>
        </w:numPr>
        <w:textAlignment w:val="auto"/>
        <w:rPr>
          <w:rFonts w:cs="Arial"/>
          <w:sz w:val="22"/>
        </w:rPr>
      </w:pPr>
      <w:r w:rsidRPr="00E86573">
        <w:rPr>
          <w:rFonts w:cs="Arial"/>
          <w:sz w:val="22"/>
        </w:rPr>
        <w:t>23 municipios con un área geográfica de 20.241.010 Has., con recursos de cooperación no reembolsable del Reino Unido. Se tiene previsto adjudicar este proceso a operadores catastrales en el 2021 para su ejecución en el 2022.</w:t>
      </w:r>
    </w:p>
    <w:p w14:paraId="49D92135" w14:textId="77777777" w:rsidR="00E13867" w:rsidRPr="00E86573" w:rsidRDefault="00E13867" w:rsidP="005845B1">
      <w:pPr>
        <w:jc w:val="both"/>
        <w:rPr>
          <w:rFonts w:ascii="Calibri" w:eastAsia="Calibri" w:hAnsi="Calibri"/>
          <w:szCs w:val="22"/>
        </w:rPr>
      </w:pPr>
    </w:p>
    <w:p w14:paraId="72D9ACE2" w14:textId="1622ABB3" w:rsidR="00E13867" w:rsidRPr="00E86573" w:rsidRDefault="00E13867" w:rsidP="000A20EE">
      <w:pPr>
        <w:pStyle w:val="Prrafodelista"/>
        <w:numPr>
          <w:ilvl w:val="0"/>
          <w:numId w:val="243"/>
        </w:numPr>
        <w:suppressAutoHyphens w:val="0"/>
        <w:overflowPunct/>
        <w:autoSpaceDE/>
        <w:spacing w:after="160"/>
        <w:contextualSpacing/>
        <w:textAlignment w:val="auto"/>
        <w:rPr>
          <w:rFonts w:cs="Arial"/>
          <w:sz w:val="22"/>
        </w:rPr>
      </w:pPr>
      <w:r w:rsidRPr="00E86573">
        <w:rPr>
          <w:rFonts w:cs="Arial"/>
          <w:sz w:val="22"/>
        </w:rPr>
        <w:t>Para la puesta en marcha de la política de catastro multipropósito, el Gobierno Nacional generó como fuente de financiación recursos provenientes de la banca multilateral (Banco Iberoamericano de Desarrollo y Banco Mundial), los cuales para el caso del IGAC, se destinarán para la generación de insumos geodésicos, cartográficos y de levantamiento catastral, para llevar a cabo la formación y actualización catastral de los municipios priorizados con estos recursos.</w:t>
      </w:r>
    </w:p>
    <w:p w14:paraId="2405BEF3" w14:textId="59451138" w:rsidR="00E13867" w:rsidRPr="00E86573" w:rsidRDefault="00E13867" w:rsidP="000A20EE">
      <w:pPr>
        <w:pStyle w:val="Prrafodelista"/>
        <w:numPr>
          <w:ilvl w:val="0"/>
          <w:numId w:val="243"/>
        </w:numPr>
        <w:suppressAutoHyphens w:val="0"/>
        <w:overflowPunct/>
        <w:autoSpaceDE/>
        <w:spacing w:after="160"/>
        <w:contextualSpacing/>
        <w:textAlignment w:val="auto"/>
        <w:rPr>
          <w:rFonts w:cs="Arial"/>
          <w:sz w:val="22"/>
        </w:rPr>
      </w:pPr>
      <w:r w:rsidRPr="00E86573">
        <w:rPr>
          <w:rFonts w:cs="Arial"/>
          <w:sz w:val="22"/>
        </w:rPr>
        <w:t>El IGAC presentó una propuesta para “Implementar la actualización catastral con enfoque multipropósito para el municipio de Arauquita, en el departamento de Arauca, en el marco del “</w:t>
      </w:r>
      <w:r w:rsidRPr="00E86573">
        <w:rPr>
          <w:rFonts w:cs="Arial"/>
          <w:b/>
          <w:sz w:val="22"/>
        </w:rPr>
        <w:t xml:space="preserve">Proyecto Desarrollo Sostenible Bajo en Carbono para la Orinoquia”. </w:t>
      </w:r>
      <w:r w:rsidRPr="00E86573">
        <w:rPr>
          <w:rFonts w:cs="Arial"/>
          <w:sz w:val="22"/>
        </w:rPr>
        <w:t>El contrato para llevar a cabo este proceso está siendo ejecutado en la actual vigencia.</w:t>
      </w:r>
    </w:p>
    <w:p w14:paraId="0F3407FC" w14:textId="5CD53065" w:rsidR="00E13867" w:rsidRPr="00E86573" w:rsidRDefault="00E13867" w:rsidP="000A20EE">
      <w:pPr>
        <w:pStyle w:val="Prrafodelista"/>
        <w:numPr>
          <w:ilvl w:val="0"/>
          <w:numId w:val="243"/>
        </w:numPr>
        <w:suppressAutoHyphens w:val="0"/>
        <w:overflowPunct/>
        <w:autoSpaceDE/>
        <w:spacing w:after="160"/>
        <w:contextualSpacing/>
        <w:textAlignment w:val="auto"/>
        <w:rPr>
          <w:rFonts w:cs="Arial"/>
          <w:sz w:val="22"/>
        </w:rPr>
      </w:pPr>
      <w:r w:rsidRPr="00E86573">
        <w:rPr>
          <w:rFonts w:cs="Arial"/>
          <w:sz w:val="22"/>
        </w:rPr>
        <w:t xml:space="preserve">A través de la financiación de la </w:t>
      </w:r>
      <w:r w:rsidRPr="00E86573">
        <w:rPr>
          <w:rFonts w:cs="Arial"/>
          <w:b/>
          <w:sz w:val="22"/>
        </w:rPr>
        <w:t>Agencia Francesa de Desarrollo</w:t>
      </w:r>
      <w:r w:rsidRPr="00E86573">
        <w:rPr>
          <w:rFonts w:cs="Arial"/>
          <w:sz w:val="22"/>
        </w:rPr>
        <w:t>, el IGAC en la presente vigencia se encuentra adelantando los requerimientos solicitados por dicha cooperación para la contratación de la actualización catastral del municipio de Santa Rosalía, Vichada.</w:t>
      </w:r>
    </w:p>
    <w:p w14:paraId="0E19BA72" w14:textId="6B705B26" w:rsidR="00E13867" w:rsidRPr="00E86573" w:rsidRDefault="00E13867" w:rsidP="000A20EE">
      <w:pPr>
        <w:pStyle w:val="Prrafodelista"/>
        <w:numPr>
          <w:ilvl w:val="0"/>
          <w:numId w:val="240"/>
        </w:numPr>
        <w:textAlignment w:val="auto"/>
        <w:rPr>
          <w:rFonts w:cs="Arial"/>
          <w:sz w:val="22"/>
        </w:rPr>
      </w:pPr>
      <w:r w:rsidRPr="00E86573">
        <w:rPr>
          <w:rFonts w:cs="Arial"/>
          <w:sz w:val="22"/>
        </w:rPr>
        <w:t>Creación del sistema de transición para las solicitudes de insumos catastrales y registrales, por parte de los gestores catastrales habilitados.</w:t>
      </w:r>
    </w:p>
    <w:p w14:paraId="3A57AA6B" w14:textId="40D20FCD" w:rsidR="00E13867" w:rsidRPr="00E86573" w:rsidRDefault="00E13867" w:rsidP="000A20EE">
      <w:pPr>
        <w:pStyle w:val="Prrafodelista"/>
        <w:numPr>
          <w:ilvl w:val="0"/>
          <w:numId w:val="240"/>
        </w:numPr>
        <w:textAlignment w:val="auto"/>
        <w:rPr>
          <w:rFonts w:cs="Arial"/>
          <w:sz w:val="22"/>
        </w:rPr>
      </w:pPr>
      <w:r w:rsidRPr="00E86573">
        <w:rPr>
          <w:rFonts w:cs="Arial"/>
          <w:sz w:val="22"/>
        </w:rPr>
        <w:t>Creación de herramientas para la generación de insumos catastrales, según las especificaciones técnicas establecidas en el modelo de aplicación de levantamiento catastral, de conformidad con el modelo LADM, a partir de la información generada por la base de datos de los sistemas catastrales y registrales.</w:t>
      </w:r>
    </w:p>
    <w:p w14:paraId="1BA28AA1" w14:textId="710C8AA1" w:rsidR="00E13867" w:rsidRPr="00E86573" w:rsidRDefault="00E13867" w:rsidP="000A20EE">
      <w:pPr>
        <w:pStyle w:val="Prrafodelista"/>
        <w:numPr>
          <w:ilvl w:val="0"/>
          <w:numId w:val="241"/>
        </w:numPr>
        <w:textAlignment w:val="auto"/>
        <w:rPr>
          <w:rFonts w:cs="Arial"/>
          <w:sz w:val="22"/>
        </w:rPr>
      </w:pPr>
      <w:r w:rsidRPr="00E86573">
        <w:rPr>
          <w:rFonts w:cs="Arial"/>
          <w:sz w:val="22"/>
        </w:rPr>
        <w:t>Definición del protocolo de asignación del Número Predial –NUPRE, mediante el cual se definen los criterios para dicha asignación y entrega de los códigos homologados a los gestores catastrales, permitiendo con ello, la identificación única de los predios para efectos de lograr la interrelación de catastro y registro.</w:t>
      </w:r>
    </w:p>
    <w:p w14:paraId="178474FC" w14:textId="5F16BCD8" w:rsidR="00E13867" w:rsidRPr="00E86573" w:rsidRDefault="00E13867" w:rsidP="000A20EE">
      <w:pPr>
        <w:pStyle w:val="Prrafodelista"/>
        <w:numPr>
          <w:ilvl w:val="0"/>
          <w:numId w:val="241"/>
        </w:numPr>
        <w:textAlignment w:val="auto"/>
        <w:rPr>
          <w:rFonts w:cs="Arial"/>
          <w:sz w:val="22"/>
        </w:rPr>
      </w:pPr>
      <w:r w:rsidRPr="00E86573">
        <w:rPr>
          <w:rFonts w:cs="Arial"/>
          <w:sz w:val="22"/>
        </w:rPr>
        <w:t xml:space="preserve">Se adaptó el modelo de datos de la GDB catastral, al estándar LADM_COL para los procesos de actualización catastral. </w:t>
      </w:r>
    </w:p>
    <w:p w14:paraId="459373A8" w14:textId="4EDBED70" w:rsidR="00E13867" w:rsidRPr="00E86573" w:rsidRDefault="00E13867" w:rsidP="000A20EE">
      <w:pPr>
        <w:pStyle w:val="Prrafodelista"/>
        <w:numPr>
          <w:ilvl w:val="0"/>
          <w:numId w:val="241"/>
        </w:numPr>
        <w:textAlignment w:val="auto"/>
        <w:rPr>
          <w:rFonts w:cs="Arial"/>
          <w:sz w:val="22"/>
        </w:rPr>
      </w:pPr>
      <w:r w:rsidRPr="00E86573">
        <w:rPr>
          <w:rFonts w:cs="Arial"/>
          <w:sz w:val="22"/>
        </w:rPr>
        <w:t>Se realizó la generación de la base de datos catastral nacional y departamental en el componente alfanumérico correspondiente a esta vigencia para ser dispuesto en el geo portal y datos abiertos de la entidad.</w:t>
      </w:r>
    </w:p>
    <w:p w14:paraId="6463EEA4" w14:textId="3A841FF6" w:rsidR="00E13867" w:rsidRPr="00E86573" w:rsidRDefault="00E13867" w:rsidP="000A20EE">
      <w:pPr>
        <w:pStyle w:val="Prrafodelista"/>
        <w:numPr>
          <w:ilvl w:val="0"/>
          <w:numId w:val="241"/>
        </w:numPr>
        <w:textAlignment w:val="auto"/>
        <w:rPr>
          <w:rFonts w:cs="Arial"/>
          <w:sz w:val="22"/>
        </w:rPr>
      </w:pPr>
      <w:r w:rsidRPr="00E86573">
        <w:rPr>
          <w:rFonts w:cs="Arial"/>
          <w:sz w:val="22"/>
        </w:rPr>
        <w:lastRenderedPageBreak/>
        <w:t>Se generaron 59 caracterizaciones catastrales</w:t>
      </w:r>
      <w:r w:rsidRPr="00E86573">
        <w:rPr>
          <w:rStyle w:val="Refdenotaalpie"/>
          <w:rFonts w:cs="Arial"/>
          <w:sz w:val="22"/>
        </w:rPr>
        <w:footnoteReference w:id="3"/>
      </w:r>
      <w:r w:rsidRPr="00E86573">
        <w:rPr>
          <w:rFonts w:cs="Arial"/>
          <w:sz w:val="22"/>
        </w:rPr>
        <w:t xml:space="preserve"> en el marco de solicitudes de los municipios con intención de habilitarse como gestores catastrales.</w:t>
      </w:r>
    </w:p>
    <w:p w14:paraId="353401D3" w14:textId="2217473E" w:rsidR="00E13867" w:rsidRPr="00E86573" w:rsidRDefault="00E13867" w:rsidP="000A20EE">
      <w:pPr>
        <w:pStyle w:val="Prrafodelista"/>
        <w:numPr>
          <w:ilvl w:val="0"/>
          <w:numId w:val="241"/>
        </w:numPr>
        <w:textAlignment w:val="auto"/>
        <w:rPr>
          <w:rFonts w:cs="Arial"/>
          <w:sz w:val="22"/>
        </w:rPr>
      </w:pPr>
      <w:r w:rsidRPr="00E86573">
        <w:rPr>
          <w:rFonts w:cs="Arial"/>
          <w:sz w:val="22"/>
        </w:rPr>
        <w:t>Se incluyeron los atributos definidos en el modelo LADM_COL a la base de datos geográfica y del cual ya se han sacado varias versiones.</w:t>
      </w:r>
    </w:p>
    <w:p w14:paraId="79EBDF82" w14:textId="27ABCCEE" w:rsidR="00E13867" w:rsidRPr="00E86573" w:rsidRDefault="00E13867" w:rsidP="000A20EE">
      <w:pPr>
        <w:pStyle w:val="Prrafodelista"/>
        <w:numPr>
          <w:ilvl w:val="0"/>
          <w:numId w:val="241"/>
        </w:numPr>
        <w:textAlignment w:val="auto"/>
        <w:rPr>
          <w:rFonts w:cs="Arial"/>
          <w:sz w:val="22"/>
        </w:rPr>
      </w:pPr>
      <w:r w:rsidRPr="00E86573">
        <w:rPr>
          <w:rFonts w:cs="Arial"/>
          <w:sz w:val="22"/>
        </w:rPr>
        <w:t>Se especificó la inclusión del trámite de cabida y linderos en los sistemas COBOL y Sistema Nacional Catastral - SNC. (sistemas de información que se vienen ma</w:t>
      </w:r>
      <w:r>
        <w:rPr>
          <w:rFonts w:cs="Arial"/>
          <w:sz w:val="22"/>
        </w:rPr>
        <w:t>nejando actualmente en el IGAC).</w:t>
      </w:r>
    </w:p>
    <w:p w14:paraId="059F838B" w14:textId="7042DD0D" w:rsidR="00E13867" w:rsidRPr="00E86573" w:rsidRDefault="00E13867" w:rsidP="000A20EE">
      <w:pPr>
        <w:pStyle w:val="Prrafodelista"/>
        <w:numPr>
          <w:ilvl w:val="0"/>
          <w:numId w:val="241"/>
        </w:numPr>
        <w:textAlignment w:val="auto"/>
        <w:rPr>
          <w:rFonts w:cs="Arial"/>
          <w:sz w:val="22"/>
          <w:szCs w:val="22"/>
        </w:rPr>
      </w:pPr>
      <w:r w:rsidRPr="00E86573">
        <w:rPr>
          <w:rFonts w:cs="Arial"/>
          <w:sz w:val="22"/>
          <w:lang w:val="es-MX"/>
        </w:rPr>
        <w:t xml:space="preserve">Se llevó a cabo la transición de la información catastral que venía siendo publicada en el </w:t>
      </w:r>
      <w:r w:rsidRPr="00E86573">
        <w:rPr>
          <w:rFonts w:cs="Arial"/>
          <w:sz w:val="22"/>
          <w:szCs w:val="22"/>
          <w:lang w:val="es-MX"/>
        </w:rPr>
        <w:t>Geoportal del IGAC a la Plataforma Colombia en mapas.</w:t>
      </w:r>
    </w:p>
    <w:p w14:paraId="5C871ACF" w14:textId="3C548D2D" w:rsidR="00E13867" w:rsidRPr="00E86573" w:rsidRDefault="00E13867" w:rsidP="000A20EE">
      <w:pPr>
        <w:pStyle w:val="Prrafodelista"/>
        <w:numPr>
          <w:ilvl w:val="0"/>
          <w:numId w:val="241"/>
        </w:numPr>
        <w:suppressAutoHyphens w:val="0"/>
        <w:overflowPunct/>
        <w:autoSpaceDE/>
        <w:spacing w:after="160"/>
        <w:contextualSpacing/>
        <w:textAlignment w:val="auto"/>
        <w:rPr>
          <w:rFonts w:cs="Arial"/>
          <w:sz w:val="22"/>
          <w:szCs w:val="22"/>
        </w:rPr>
      </w:pPr>
      <w:r w:rsidRPr="00E86573">
        <w:rPr>
          <w:rFonts w:cs="Arial"/>
          <w:sz w:val="22"/>
          <w:szCs w:val="22"/>
        </w:rPr>
        <w:t>Se adelantó la migración de la información catastral que estaba manejándose bajo la plataforma COBOL al Sistema Nacional Catastral, por parte de las Direcciones Territoriales</w:t>
      </w:r>
    </w:p>
    <w:p w14:paraId="46EDA359" w14:textId="56A0E552" w:rsidR="00E13867" w:rsidRPr="00EE7433" w:rsidRDefault="00E13867" w:rsidP="005845B1">
      <w:pPr>
        <w:pStyle w:val="Prrafodelista"/>
        <w:numPr>
          <w:ilvl w:val="0"/>
          <w:numId w:val="241"/>
        </w:numPr>
        <w:suppressAutoHyphens w:val="0"/>
        <w:overflowPunct/>
        <w:autoSpaceDE/>
        <w:spacing w:after="160"/>
        <w:contextualSpacing/>
        <w:textAlignment w:val="auto"/>
        <w:rPr>
          <w:rFonts w:cs="Arial"/>
          <w:sz w:val="22"/>
          <w:szCs w:val="22"/>
        </w:rPr>
      </w:pPr>
      <w:r w:rsidRPr="00E86573">
        <w:rPr>
          <w:rFonts w:cs="Arial"/>
          <w:sz w:val="22"/>
          <w:szCs w:val="22"/>
        </w:rPr>
        <w:t>Entró en operación la plataforma VIVI por la cual los usuarios pueden de manera virtual radicar los tramites catastrales de predios de jurisdicción del IGAC</w:t>
      </w:r>
    </w:p>
    <w:p w14:paraId="16A868E4" w14:textId="5D65E6BE" w:rsidR="00E13867" w:rsidRPr="00E86573" w:rsidRDefault="00E13867" w:rsidP="000A20EE">
      <w:pPr>
        <w:pStyle w:val="Prrafodelista"/>
        <w:numPr>
          <w:ilvl w:val="0"/>
          <w:numId w:val="241"/>
        </w:numPr>
        <w:suppressAutoHyphens w:val="0"/>
        <w:overflowPunct/>
        <w:autoSpaceDE/>
        <w:spacing w:after="160"/>
        <w:contextualSpacing/>
        <w:textAlignment w:val="auto"/>
        <w:rPr>
          <w:rFonts w:cs="Arial"/>
          <w:sz w:val="22"/>
          <w:szCs w:val="22"/>
          <w:lang w:val="es-MX"/>
        </w:rPr>
      </w:pPr>
      <w:r w:rsidRPr="00E86573">
        <w:rPr>
          <w:rFonts w:cs="Arial"/>
          <w:sz w:val="22"/>
          <w:szCs w:val="22"/>
          <w:lang w:val="es-MX"/>
        </w:rPr>
        <w:t>Se consolidaron las estadísticas catastrales de los municipios de jurisdicción del IGAC y de los Gestores Catastrales de acuerdo con los lineamientos que en su momento estableció la Subdirección de Catastro.</w:t>
      </w:r>
    </w:p>
    <w:p w14:paraId="55CCAE78" w14:textId="77777777" w:rsidR="00E13867" w:rsidRPr="00E86573" w:rsidRDefault="00E13867" w:rsidP="000A20EE">
      <w:pPr>
        <w:pStyle w:val="Prrafodelista"/>
        <w:numPr>
          <w:ilvl w:val="0"/>
          <w:numId w:val="241"/>
        </w:numPr>
        <w:suppressAutoHyphens w:val="0"/>
        <w:overflowPunct/>
        <w:autoSpaceDE/>
        <w:spacing w:after="160"/>
        <w:contextualSpacing/>
        <w:textAlignment w:val="auto"/>
        <w:rPr>
          <w:rFonts w:cs="Arial"/>
          <w:sz w:val="22"/>
          <w:szCs w:val="22"/>
          <w:lang w:val="es-MX"/>
        </w:rPr>
      </w:pPr>
      <w:r w:rsidRPr="00E86573">
        <w:rPr>
          <w:rFonts w:cs="Arial"/>
          <w:sz w:val="22"/>
          <w:szCs w:val="22"/>
          <w:lang w:val="es-MX"/>
        </w:rPr>
        <w:t xml:space="preserve">Definición de las especificaciones para que la </w:t>
      </w:r>
      <w:r w:rsidRPr="00E86573">
        <w:rPr>
          <w:rFonts w:cs="Arial"/>
          <w:color w:val="333333"/>
          <w:sz w:val="22"/>
          <w:szCs w:val="22"/>
          <w:shd w:val="clear" w:color="auto" w:fill="FFFFFF"/>
        </w:rPr>
        <w:t xml:space="preserve">Dirección de Tecnologías de la Información y Comunicaciones con el apoyo de cooperación internacional desarrolle el nuevo sistema nacional catastral para la ejecución de los procesos catastrales y del </w:t>
      </w:r>
      <w:r w:rsidRPr="00E86573">
        <w:rPr>
          <w:rFonts w:cs="Arial"/>
          <w:sz w:val="22"/>
          <w:szCs w:val="22"/>
          <w:lang w:val="es-MX"/>
        </w:rPr>
        <w:t>Sistema de Información Nacional Catastral-SINIC en el cual se almacenará la información catastral reportada por los gestores catastrales habilitados producto de la gestión realizada.</w:t>
      </w:r>
    </w:p>
    <w:p w14:paraId="394BE86B" w14:textId="77777777" w:rsidR="004D5EB8" w:rsidRDefault="004D5EB8" w:rsidP="00BB0074">
      <w:pPr>
        <w:rPr>
          <w:b/>
          <w:sz w:val="22"/>
        </w:rPr>
      </w:pPr>
      <w:bookmarkStart w:id="51" w:name="_Toc62859529"/>
    </w:p>
    <w:p w14:paraId="5877CC32" w14:textId="22CD4E91" w:rsidR="00E13867" w:rsidRPr="00BB0074" w:rsidRDefault="00E13867" w:rsidP="00BB0074">
      <w:pPr>
        <w:rPr>
          <w:b/>
          <w:sz w:val="22"/>
        </w:rPr>
      </w:pPr>
      <w:r w:rsidRPr="00BB0074">
        <w:rPr>
          <w:b/>
          <w:sz w:val="22"/>
        </w:rPr>
        <w:t>AVALÚOS</w:t>
      </w:r>
      <w:bookmarkEnd w:id="51"/>
    </w:p>
    <w:p w14:paraId="41F60257" w14:textId="3E073A3B" w:rsidR="004D5EB8" w:rsidRPr="00BB0074" w:rsidRDefault="004D5EB8" w:rsidP="00BB0074">
      <w:pPr>
        <w:rPr>
          <w:b/>
          <w:sz w:val="22"/>
        </w:rPr>
      </w:pPr>
    </w:p>
    <w:p w14:paraId="06E1913B" w14:textId="77777777" w:rsidR="00E13867" w:rsidRPr="00491E00" w:rsidRDefault="00E13867" w:rsidP="005845B1">
      <w:pPr>
        <w:jc w:val="both"/>
        <w:rPr>
          <w:rFonts w:cs="Arial"/>
          <w:sz w:val="22"/>
          <w:szCs w:val="22"/>
        </w:rPr>
      </w:pPr>
      <w:r w:rsidRPr="00491E00">
        <w:rPr>
          <w:rFonts w:cs="Arial"/>
          <w:sz w:val="22"/>
          <w:szCs w:val="22"/>
        </w:rPr>
        <w:t>En 2020, la realización de avalúos se vio afectada por las medidas de aislamiento adoptadas por el Gobierno Nacional con ocasión del COVID 19. La dificultad para el desplazamiento y la realización de las visitas de campo se tradujo en una reducción de avalúos elaborados, lo cual impactó la generación de recursos propios y, por ende, la contratación oportuna de avaluadores.</w:t>
      </w:r>
    </w:p>
    <w:p w14:paraId="168D299A" w14:textId="77777777" w:rsidR="00E13867" w:rsidRPr="00491E00" w:rsidRDefault="00E13867" w:rsidP="005845B1">
      <w:pPr>
        <w:jc w:val="both"/>
        <w:rPr>
          <w:rFonts w:cs="Arial"/>
          <w:sz w:val="22"/>
          <w:szCs w:val="22"/>
        </w:rPr>
      </w:pPr>
    </w:p>
    <w:p w14:paraId="4081B005" w14:textId="77777777" w:rsidR="00E13867" w:rsidRPr="00491E00" w:rsidRDefault="00E13867" w:rsidP="005845B1">
      <w:pPr>
        <w:jc w:val="both"/>
        <w:rPr>
          <w:rFonts w:cs="Arial"/>
          <w:sz w:val="22"/>
          <w:szCs w:val="22"/>
        </w:rPr>
      </w:pPr>
      <w:r w:rsidRPr="00491E00">
        <w:rPr>
          <w:rFonts w:cs="Arial"/>
          <w:sz w:val="22"/>
          <w:szCs w:val="22"/>
        </w:rPr>
        <w:t>No obstante, se dio trámite a algunas de las solicitudes durante el periodo de cuarentena, y posteriormente, hacia el mes de septiembre, una vez fue permitida la operación de transporte terrestre y aéreo, se iniciaron las visitas en 22 ciudades del país para la elaboración de los avalúos para el Índice de Valoración Predial – IVP, contando con el apoyo de un grupo de pasantes de la Universidad Distrital. Hacia el mes de octubre, se reactivó la contratación de avaluadores para atender los contratos en curso y los nuevos.</w:t>
      </w:r>
    </w:p>
    <w:p w14:paraId="4A4A76B3" w14:textId="77777777" w:rsidR="00E13867" w:rsidRPr="00FB13A0" w:rsidRDefault="00E13867" w:rsidP="005845B1">
      <w:pPr>
        <w:jc w:val="both"/>
        <w:rPr>
          <w:rFonts w:cs="Arial"/>
        </w:rPr>
      </w:pPr>
    </w:p>
    <w:p w14:paraId="2C77ED38" w14:textId="7E4B5892" w:rsidR="002B2367" w:rsidRPr="00D774B9" w:rsidRDefault="00E13867" w:rsidP="00EE7433">
      <w:pPr>
        <w:jc w:val="both"/>
        <w:rPr>
          <w:rFonts w:cs="Arial"/>
          <w:sz w:val="22"/>
          <w:szCs w:val="22"/>
        </w:rPr>
      </w:pPr>
      <w:r w:rsidRPr="00D774B9">
        <w:rPr>
          <w:rFonts w:cs="Arial"/>
          <w:sz w:val="22"/>
          <w:szCs w:val="22"/>
        </w:rPr>
        <w:t>Así las cosas, durante 2020 se suscribieron 20</w:t>
      </w:r>
      <w:r w:rsidRPr="00D774B9">
        <w:rPr>
          <w:rFonts w:cs="Arial"/>
          <w:color w:val="FF0000"/>
          <w:sz w:val="22"/>
          <w:szCs w:val="22"/>
        </w:rPr>
        <w:t xml:space="preserve"> </w:t>
      </w:r>
      <w:r w:rsidRPr="00D774B9">
        <w:rPr>
          <w:rFonts w:cs="Arial"/>
          <w:sz w:val="22"/>
          <w:szCs w:val="22"/>
        </w:rPr>
        <w:t xml:space="preserve">contratos de avalúos por los valores </w:t>
      </w:r>
      <w:r w:rsidR="00EE7433">
        <w:rPr>
          <w:rFonts w:cs="Arial"/>
          <w:sz w:val="22"/>
          <w:szCs w:val="22"/>
        </w:rPr>
        <w:t>que se detallan a continuación:</w:t>
      </w:r>
    </w:p>
    <w:p w14:paraId="1C4B0DE9" w14:textId="76CB281A" w:rsidR="00E13867" w:rsidRDefault="00940416" w:rsidP="00940416">
      <w:pPr>
        <w:pStyle w:val="Descripcin"/>
        <w:jc w:val="center"/>
        <w:rPr>
          <w:rFonts w:ascii="Arial" w:hAnsi="Arial" w:cs="Arial"/>
          <w:b/>
          <w:bCs/>
          <w:i w:val="0"/>
          <w:iCs w:val="0"/>
          <w:color w:val="000000" w:themeColor="text1"/>
          <w:sz w:val="16"/>
          <w:szCs w:val="16"/>
        </w:rPr>
      </w:pPr>
      <w:bookmarkStart w:id="52" w:name="_Toc88677091"/>
      <w:r w:rsidRPr="00940416">
        <w:rPr>
          <w:rFonts w:ascii="Arial" w:hAnsi="Arial" w:cs="Arial"/>
          <w:b/>
          <w:bCs/>
          <w:i w:val="0"/>
          <w:iCs w:val="0"/>
          <w:color w:val="000000" w:themeColor="text1"/>
          <w:sz w:val="16"/>
          <w:szCs w:val="16"/>
        </w:rPr>
        <w:t xml:space="preserve">Tabla </w:t>
      </w:r>
      <w:r w:rsidRPr="00940416">
        <w:rPr>
          <w:rFonts w:ascii="Arial" w:hAnsi="Arial" w:cs="Arial"/>
          <w:b/>
          <w:bCs/>
          <w:i w:val="0"/>
          <w:iCs w:val="0"/>
          <w:color w:val="000000" w:themeColor="text1"/>
          <w:sz w:val="16"/>
          <w:szCs w:val="16"/>
        </w:rPr>
        <w:fldChar w:fldCharType="begin"/>
      </w:r>
      <w:r w:rsidRPr="00940416">
        <w:rPr>
          <w:rFonts w:ascii="Arial" w:hAnsi="Arial" w:cs="Arial"/>
          <w:b/>
          <w:bCs/>
          <w:i w:val="0"/>
          <w:iCs w:val="0"/>
          <w:color w:val="000000" w:themeColor="text1"/>
          <w:sz w:val="16"/>
          <w:szCs w:val="16"/>
        </w:rPr>
        <w:instrText xml:space="preserve"> SEQ Tabla \* ARABIC </w:instrText>
      </w:r>
      <w:r w:rsidRPr="00940416">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19</w:t>
      </w:r>
      <w:r w:rsidRPr="00940416">
        <w:rPr>
          <w:rFonts w:ascii="Arial" w:hAnsi="Arial" w:cs="Arial"/>
          <w:b/>
          <w:bCs/>
          <w:i w:val="0"/>
          <w:iCs w:val="0"/>
          <w:color w:val="000000" w:themeColor="text1"/>
          <w:sz w:val="16"/>
          <w:szCs w:val="16"/>
        </w:rPr>
        <w:fldChar w:fldCharType="end"/>
      </w:r>
      <w:r w:rsidRPr="00940416">
        <w:rPr>
          <w:rFonts w:ascii="Arial" w:hAnsi="Arial" w:cs="Arial"/>
          <w:b/>
          <w:bCs/>
          <w:i w:val="0"/>
          <w:iCs w:val="0"/>
          <w:color w:val="000000" w:themeColor="text1"/>
          <w:sz w:val="16"/>
          <w:szCs w:val="16"/>
        </w:rPr>
        <w:t>.Contratos de avalúos 2020</w:t>
      </w:r>
      <w:bookmarkEnd w:id="52"/>
    </w:p>
    <w:tbl>
      <w:tblPr>
        <w:tblStyle w:val="Tabladecuadrcula4-nfasis1"/>
        <w:tblW w:w="9493" w:type="dxa"/>
        <w:tblLook w:val="04A0" w:firstRow="1" w:lastRow="0" w:firstColumn="1" w:lastColumn="0" w:noHBand="0" w:noVBand="1"/>
      </w:tblPr>
      <w:tblGrid>
        <w:gridCol w:w="7508"/>
        <w:gridCol w:w="1985"/>
      </w:tblGrid>
      <w:tr w:rsidR="005472C0" w:rsidRPr="00BA7BE6" w14:paraId="5BE4DF6D" w14:textId="77777777" w:rsidTr="00A6302C">
        <w:trPr>
          <w:cnfStyle w:val="100000000000" w:firstRow="1" w:lastRow="0" w:firstColumn="0" w:lastColumn="0" w:oddVBand="0" w:evenVBand="0" w:oddHBand="0" w:evenHBand="0" w:firstRowFirstColumn="0" w:firstRowLastColumn="0" w:lastRowFirstColumn="0" w:lastRowLastColumn="0"/>
          <w:trHeight w:val="283"/>
          <w:tblHeader/>
        </w:trPr>
        <w:tc>
          <w:tcPr>
            <w:cnfStyle w:val="001000000000" w:firstRow="0" w:lastRow="0" w:firstColumn="1" w:lastColumn="0" w:oddVBand="0" w:evenVBand="0" w:oddHBand="0" w:evenHBand="0" w:firstRowFirstColumn="0" w:firstRowLastColumn="0" w:lastRowFirstColumn="0" w:lastRowLastColumn="0"/>
            <w:tcW w:w="7508" w:type="dxa"/>
            <w:hideMark/>
          </w:tcPr>
          <w:p w14:paraId="0130991A" w14:textId="77777777" w:rsidR="005472C0" w:rsidRPr="00BA7BE6" w:rsidRDefault="005472C0" w:rsidP="00A6302C">
            <w:pPr>
              <w:suppressAutoHyphens w:val="0"/>
              <w:jc w:val="center"/>
              <w:rPr>
                <w:rFonts w:cs="Arial"/>
                <w:b w:val="0"/>
                <w:bCs w:val="0"/>
                <w:color w:val="FFFFFF"/>
                <w:sz w:val="20"/>
                <w:szCs w:val="20"/>
                <w:lang w:val="es-CO" w:eastAsia="es-CO"/>
              </w:rPr>
            </w:pPr>
            <w:r w:rsidRPr="00BA7BE6">
              <w:rPr>
                <w:rFonts w:cs="Arial"/>
                <w:color w:val="FFFFFF"/>
                <w:sz w:val="20"/>
                <w:szCs w:val="20"/>
                <w:lang w:val="es-CO" w:eastAsia="es-CO"/>
              </w:rPr>
              <w:t>Entidad Contratante</w:t>
            </w:r>
          </w:p>
        </w:tc>
        <w:tc>
          <w:tcPr>
            <w:tcW w:w="1985" w:type="dxa"/>
            <w:hideMark/>
          </w:tcPr>
          <w:p w14:paraId="406E2096" w14:textId="77777777" w:rsidR="005472C0" w:rsidRPr="00BA7BE6" w:rsidRDefault="005472C0"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20"/>
                <w:szCs w:val="20"/>
                <w:lang w:val="es-CO" w:eastAsia="es-CO"/>
              </w:rPr>
            </w:pPr>
            <w:r w:rsidRPr="00BA7BE6">
              <w:rPr>
                <w:rFonts w:cs="Arial"/>
                <w:color w:val="FFFFFF"/>
                <w:sz w:val="20"/>
                <w:szCs w:val="20"/>
                <w:lang w:val="es-CO" w:eastAsia="es-CO"/>
              </w:rPr>
              <w:t xml:space="preserve">Total Contrato </w:t>
            </w:r>
            <w:r w:rsidRPr="00BA7BE6">
              <w:rPr>
                <w:rFonts w:cs="Arial"/>
                <w:color w:val="FFFFFF"/>
                <w:sz w:val="20"/>
                <w:szCs w:val="20"/>
                <w:lang w:val="es-CO" w:eastAsia="es-CO"/>
              </w:rPr>
              <w:br/>
              <w:t>(Con IVA)</w:t>
            </w:r>
          </w:p>
        </w:tc>
      </w:tr>
      <w:tr w:rsidR="005472C0" w:rsidRPr="00BA7BE6" w14:paraId="2E814A09"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765C4218" w14:textId="77777777" w:rsidR="005472C0" w:rsidRPr="00BA7BE6" w:rsidRDefault="005472C0" w:rsidP="00A6302C">
            <w:pPr>
              <w:suppressAutoHyphens w:val="0"/>
              <w:rPr>
                <w:rFonts w:cs="Arial"/>
                <w:sz w:val="20"/>
                <w:szCs w:val="20"/>
                <w:lang w:val="es-CO" w:eastAsia="es-CO"/>
              </w:rPr>
            </w:pPr>
            <w:r w:rsidRPr="00BA7BE6">
              <w:rPr>
                <w:rFonts w:cs="Arial"/>
                <w:sz w:val="20"/>
                <w:szCs w:val="20"/>
              </w:rPr>
              <w:t>Unidad de Restitución de Tierras Despojadas</w:t>
            </w:r>
          </w:p>
        </w:tc>
        <w:tc>
          <w:tcPr>
            <w:tcW w:w="1985" w:type="dxa"/>
            <w:noWrap/>
            <w:hideMark/>
          </w:tcPr>
          <w:p w14:paraId="4C608954"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$1.697.670.038</w:t>
            </w:r>
          </w:p>
        </w:tc>
      </w:tr>
      <w:tr w:rsidR="005472C0" w:rsidRPr="00BA7BE6" w14:paraId="7CA9D656"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3102120A" w14:textId="59055D54" w:rsidR="005472C0" w:rsidRPr="00BA7BE6" w:rsidRDefault="005472C0" w:rsidP="00A6302C">
            <w:pPr>
              <w:suppressAutoHyphens w:val="0"/>
              <w:rPr>
                <w:rFonts w:cs="Arial"/>
                <w:sz w:val="20"/>
                <w:szCs w:val="20"/>
                <w:lang w:val="es-CO" w:eastAsia="es-CO"/>
              </w:rPr>
            </w:pPr>
            <w:r w:rsidRPr="00BA7BE6">
              <w:rPr>
                <w:rFonts w:cs="Arial"/>
                <w:sz w:val="20"/>
                <w:szCs w:val="20"/>
              </w:rPr>
              <w:t xml:space="preserve">Agencia Nacional de Tierras </w:t>
            </w:r>
            <w:r w:rsidR="00EE7433">
              <w:rPr>
                <w:rFonts w:cs="Arial"/>
                <w:sz w:val="20"/>
                <w:szCs w:val="20"/>
              </w:rPr>
              <w:t>–</w:t>
            </w:r>
            <w:r w:rsidRPr="00BA7BE6">
              <w:rPr>
                <w:rFonts w:cs="Arial"/>
                <w:sz w:val="20"/>
                <w:szCs w:val="20"/>
              </w:rPr>
              <w:t xml:space="preserve"> ANT</w:t>
            </w:r>
          </w:p>
        </w:tc>
        <w:tc>
          <w:tcPr>
            <w:tcW w:w="1985" w:type="dxa"/>
            <w:noWrap/>
            <w:hideMark/>
          </w:tcPr>
          <w:p w14:paraId="377ACA26"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$630.000.000</w:t>
            </w:r>
          </w:p>
        </w:tc>
      </w:tr>
      <w:tr w:rsidR="005472C0" w:rsidRPr="00BA7BE6" w14:paraId="207438A3"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1A90ACD6" w14:textId="77777777" w:rsidR="005472C0" w:rsidRPr="00BA7BE6" w:rsidRDefault="005472C0" w:rsidP="00A6302C">
            <w:pPr>
              <w:suppressAutoHyphens w:val="0"/>
              <w:rPr>
                <w:rFonts w:cs="Arial"/>
                <w:sz w:val="20"/>
                <w:szCs w:val="20"/>
                <w:lang w:val="es-CO" w:eastAsia="es-CO"/>
              </w:rPr>
            </w:pPr>
            <w:r w:rsidRPr="00BA7BE6">
              <w:rPr>
                <w:rFonts w:cs="Arial"/>
                <w:sz w:val="20"/>
                <w:szCs w:val="20"/>
              </w:rPr>
              <w:t xml:space="preserve">INPEC </w:t>
            </w:r>
          </w:p>
        </w:tc>
        <w:tc>
          <w:tcPr>
            <w:tcW w:w="1985" w:type="dxa"/>
            <w:noWrap/>
            <w:hideMark/>
          </w:tcPr>
          <w:p w14:paraId="3B435081"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$500.000.000</w:t>
            </w:r>
          </w:p>
        </w:tc>
      </w:tr>
      <w:tr w:rsidR="005472C0" w:rsidRPr="00BA7BE6" w14:paraId="5CA5B4B1"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25AD7B8A" w14:textId="77777777" w:rsidR="005472C0" w:rsidRPr="00BA7BE6" w:rsidRDefault="005472C0" w:rsidP="00A6302C">
            <w:pPr>
              <w:suppressAutoHyphens w:val="0"/>
              <w:rPr>
                <w:rFonts w:cs="Arial"/>
                <w:sz w:val="20"/>
                <w:szCs w:val="20"/>
                <w:lang w:val="es-CO" w:eastAsia="es-CO"/>
              </w:rPr>
            </w:pPr>
            <w:r w:rsidRPr="00BA7BE6">
              <w:rPr>
                <w:rFonts w:cs="Arial"/>
                <w:sz w:val="20"/>
                <w:szCs w:val="20"/>
              </w:rPr>
              <w:lastRenderedPageBreak/>
              <w:t>Unidad para la atención y reparación integral a las víctimas - fondo para la reparación de las víctimas UARIV-FRV</w:t>
            </w:r>
          </w:p>
        </w:tc>
        <w:tc>
          <w:tcPr>
            <w:tcW w:w="1985" w:type="dxa"/>
            <w:noWrap/>
            <w:hideMark/>
          </w:tcPr>
          <w:p w14:paraId="0B692B10"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$360.000.000</w:t>
            </w:r>
          </w:p>
        </w:tc>
      </w:tr>
      <w:tr w:rsidR="005472C0" w:rsidRPr="00BA7BE6" w14:paraId="5C129B50"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5C11C6C3" w14:textId="77777777" w:rsidR="005472C0" w:rsidRPr="00BA7BE6" w:rsidRDefault="005472C0" w:rsidP="00A6302C">
            <w:pPr>
              <w:suppressAutoHyphens w:val="0"/>
              <w:rPr>
                <w:rFonts w:cs="Arial"/>
                <w:sz w:val="20"/>
                <w:szCs w:val="20"/>
                <w:lang w:val="es-CO" w:eastAsia="es-CO"/>
              </w:rPr>
            </w:pPr>
            <w:r w:rsidRPr="00BA7BE6">
              <w:rPr>
                <w:rFonts w:cs="Arial"/>
                <w:sz w:val="20"/>
                <w:szCs w:val="20"/>
              </w:rPr>
              <w:t>Ministerio de Defensa Nacional - Ejército Nacional</w:t>
            </w:r>
          </w:p>
        </w:tc>
        <w:tc>
          <w:tcPr>
            <w:tcW w:w="1985" w:type="dxa"/>
            <w:noWrap/>
            <w:hideMark/>
          </w:tcPr>
          <w:p w14:paraId="3103063A"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$200.000.000</w:t>
            </w:r>
          </w:p>
        </w:tc>
      </w:tr>
      <w:tr w:rsidR="005472C0" w:rsidRPr="00BA7BE6" w14:paraId="004C2010"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50DD2766" w14:textId="77777777" w:rsidR="005472C0" w:rsidRPr="00BA7BE6" w:rsidRDefault="005472C0" w:rsidP="00A6302C">
            <w:pPr>
              <w:suppressAutoHyphens w:val="0"/>
              <w:rPr>
                <w:rFonts w:cs="Arial"/>
                <w:sz w:val="20"/>
                <w:szCs w:val="20"/>
                <w:lang w:val="es-CO" w:eastAsia="es-CO"/>
              </w:rPr>
            </w:pPr>
            <w:r w:rsidRPr="00BA7BE6">
              <w:rPr>
                <w:rFonts w:cs="Arial"/>
                <w:sz w:val="20"/>
                <w:szCs w:val="20"/>
              </w:rPr>
              <w:t>Agencia Nacional Inmobiliaria Virgilio Barco</w:t>
            </w:r>
          </w:p>
        </w:tc>
        <w:tc>
          <w:tcPr>
            <w:tcW w:w="1985" w:type="dxa"/>
            <w:noWrap/>
            <w:hideMark/>
          </w:tcPr>
          <w:p w14:paraId="4F3D5E01"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$150.925.447</w:t>
            </w:r>
          </w:p>
        </w:tc>
      </w:tr>
      <w:tr w:rsidR="005472C0" w:rsidRPr="00BA7BE6" w14:paraId="33ECF85D"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0376B52C" w14:textId="79F3916A" w:rsidR="005472C0" w:rsidRPr="00BA7BE6" w:rsidRDefault="005472C0" w:rsidP="00A6302C">
            <w:pPr>
              <w:suppressAutoHyphens w:val="0"/>
              <w:rPr>
                <w:rFonts w:cs="Arial"/>
                <w:sz w:val="20"/>
                <w:szCs w:val="20"/>
                <w:lang w:val="es-CO" w:eastAsia="es-CO"/>
              </w:rPr>
            </w:pPr>
            <w:r w:rsidRPr="00BA7BE6">
              <w:rPr>
                <w:rFonts w:cs="Arial"/>
                <w:sz w:val="20"/>
                <w:szCs w:val="20"/>
              </w:rPr>
              <w:t xml:space="preserve">Administradora Colombiana de Pensiones </w:t>
            </w:r>
            <w:r w:rsidR="00EE7433">
              <w:rPr>
                <w:rFonts w:cs="Arial"/>
                <w:sz w:val="20"/>
                <w:szCs w:val="20"/>
              </w:rPr>
              <w:t>–</w:t>
            </w:r>
            <w:r w:rsidRPr="00BA7BE6">
              <w:rPr>
                <w:rFonts w:cs="Arial"/>
                <w:sz w:val="20"/>
                <w:szCs w:val="20"/>
              </w:rPr>
              <w:t xml:space="preserve"> Colpensiones</w:t>
            </w:r>
          </w:p>
        </w:tc>
        <w:tc>
          <w:tcPr>
            <w:tcW w:w="1985" w:type="dxa"/>
            <w:noWrap/>
            <w:hideMark/>
          </w:tcPr>
          <w:p w14:paraId="7C1104AA"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$139.000.000</w:t>
            </w:r>
          </w:p>
        </w:tc>
      </w:tr>
      <w:tr w:rsidR="005472C0" w:rsidRPr="00BA7BE6" w14:paraId="4DCE86C5"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2500CC32" w14:textId="77777777" w:rsidR="005472C0" w:rsidRPr="00BA7BE6" w:rsidRDefault="005472C0" w:rsidP="00A6302C">
            <w:pPr>
              <w:suppressAutoHyphens w:val="0"/>
              <w:rPr>
                <w:rFonts w:cs="Arial"/>
                <w:sz w:val="20"/>
                <w:szCs w:val="20"/>
                <w:lang w:val="es-CO" w:eastAsia="es-CO"/>
              </w:rPr>
            </w:pPr>
            <w:r w:rsidRPr="00BA7BE6">
              <w:rPr>
                <w:rFonts w:cs="Arial"/>
                <w:sz w:val="20"/>
                <w:szCs w:val="20"/>
              </w:rPr>
              <w:t>Unidad Administrativa Especial De Aeronáutica Civil – Aerocivil</w:t>
            </w:r>
          </w:p>
        </w:tc>
        <w:tc>
          <w:tcPr>
            <w:tcW w:w="1985" w:type="dxa"/>
            <w:noWrap/>
            <w:hideMark/>
          </w:tcPr>
          <w:p w14:paraId="2AA66DC9"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$82.000.000</w:t>
            </w:r>
          </w:p>
        </w:tc>
      </w:tr>
      <w:tr w:rsidR="005472C0" w:rsidRPr="00BA7BE6" w14:paraId="5D5F96E3"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071509BD" w14:textId="77777777" w:rsidR="005472C0" w:rsidRPr="00BA7BE6" w:rsidRDefault="005472C0" w:rsidP="00A6302C">
            <w:pPr>
              <w:suppressAutoHyphens w:val="0"/>
              <w:rPr>
                <w:rFonts w:cs="Arial"/>
                <w:sz w:val="20"/>
                <w:szCs w:val="20"/>
                <w:lang w:val="es-CO" w:eastAsia="es-CO"/>
              </w:rPr>
            </w:pPr>
            <w:r w:rsidRPr="00BA7BE6">
              <w:rPr>
                <w:rFonts w:cs="Arial"/>
                <w:sz w:val="20"/>
                <w:szCs w:val="20"/>
              </w:rPr>
              <w:t>Inversiones Mejasi Ltda. En Liquidación</w:t>
            </w:r>
          </w:p>
        </w:tc>
        <w:tc>
          <w:tcPr>
            <w:tcW w:w="1985" w:type="dxa"/>
            <w:noWrap/>
            <w:hideMark/>
          </w:tcPr>
          <w:p w14:paraId="4D2346CA"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$50.000.000</w:t>
            </w:r>
          </w:p>
        </w:tc>
      </w:tr>
      <w:tr w:rsidR="005472C0" w:rsidRPr="00BA7BE6" w14:paraId="0ACEEFE0"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372C64B2" w14:textId="77777777" w:rsidR="005472C0" w:rsidRPr="00BA7BE6" w:rsidRDefault="005472C0" w:rsidP="00A6302C">
            <w:pPr>
              <w:suppressAutoHyphens w:val="0"/>
              <w:rPr>
                <w:rFonts w:cs="Arial"/>
                <w:sz w:val="20"/>
                <w:szCs w:val="20"/>
                <w:lang w:val="es-CO" w:eastAsia="es-CO"/>
              </w:rPr>
            </w:pPr>
            <w:r w:rsidRPr="00BA7BE6">
              <w:rPr>
                <w:rFonts w:cs="Arial"/>
                <w:sz w:val="20"/>
                <w:szCs w:val="20"/>
              </w:rPr>
              <w:t>Fiduagraria</w:t>
            </w:r>
          </w:p>
        </w:tc>
        <w:tc>
          <w:tcPr>
            <w:tcW w:w="1985" w:type="dxa"/>
            <w:noWrap/>
            <w:hideMark/>
          </w:tcPr>
          <w:p w14:paraId="3D1FDF86"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$48.250.000</w:t>
            </w:r>
          </w:p>
        </w:tc>
      </w:tr>
      <w:tr w:rsidR="005472C0" w:rsidRPr="00BA7BE6" w14:paraId="3CF7F6BD"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3FD50FD5" w14:textId="77777777" w:rsidR="005472C0" w:rsidRPr="00BA7BE6" w:rsidRDefault="005472C0" w:rsidP="00A6302C">
            <w:pPr>
              <w:suppressAutoHyphens w:val="0"/>
              <w:rPr>
                <w:rFonts w:cs="Arial"/>
                <w:sz w:val="20"/>
                <w:szCs w:val="20"/>
                <w:lang w:val="es-CO" w:eastAsia="es-CO"/>
              </w:rPr>
            </w:pPr>
            <w:r w:rsidRPr="00BA7BE6">
              <w:rPr>
                <w:rFonts w:cs="Arial"/>
                <w:sz w:val="20"/>
                <w:szCs w:val="20"/>
              </w:rPr>
              <w:t>Parques Nacionales Naturales de Colombia – Dirección Territorial Andes Nororientales</w:t>
            </w:r>
          </w:p>
        </w:tc>
        <w:tc>
          <w:tcPr>
            <w:tcW w:w="1985" w:type="dxa"/>
            <w:noWrap/>
            <w:hideMark/>
          </w:tcPr>
          <w:p w14:paraId="6BCD45B4"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$42.000.000</w:t>
            </w:r>
          </w:p>
        </w:tc>
      </w:tr>
      <w:tr w:rsidR="005472C0" w:rsidRPr="00BA7BE6" w14:paraId="1D21FE9F"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0FC17D51" w14:textId="77777777" w:rsidR="005472C0" w:rsidRPr="00BA7BE6" w:rsidRDefault="005472C0" w:rsidP="00A6302C">
            <w:pPr>
              <w:suppressAutoHyphens w:val="0"/>
              <w:rPr>
                <w:rFonts w:cs="Arial"/>
                <w:sz w:val="20"/>
                <w:szCs w:val="20"/>
                <w:lang w:val="es-CO" w:eastAsia="es-CO"/>
              </w:rPr>
            </w:pPr>
            <w:r w:rsidRPr="00BA7BE6">
              <w:rPr>
                <w:rFonts w:cs="Arial"/>
                <w:sz w:val="20"/>
                <w:szCs w:val="20"/>
              </w:rPr>
              <w:t>Instituto de Hidrología, Meteorología y Estudios Ambientales – Ideam</w:t>
            </w:r>
          </w:p>
        </w:tc>
        <w:tc>
          <w:tcPr>
            <w:tcW w:w="1985" w:type="dxa"/>
            <w:noWrap/>
            <w:hideMark/>
          </w:tcPr>
          <w:p w14:paraId="0CF138F0"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$38.000.000</w:t>
            </w:r>
          </w:p>
        </w:tc>
      </w:tr>
      <w:tr w:rsidR="005472C0" w:rsidRPr="00BA7BE6" w14:paraId="71F12DF8"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3C31CC6A" w14:textId="77777777" w:rsidR="005472C0" w:rsidRPr="00BA7BE6" w:rsidRDefault="005472C0" w:rsidP="00A6302C">
            <w:pPr>
              <w:suppressAutoHyphens w:val="0"/>
              <w:rPr>
                <w:rFonts w:cs="Arial"/>
                <w:sz w:val="20"/>
                <w:szCs w:val="20"/>
                <w:lang w:val="es-CO" w:eastAsia="es-CO"/>
              </w:rPr>
            </w:pPr>
            <w:r w:rsidRPr="00BA7BE6">
              <w:rPr>
                <w:rFonts w:cs="Arial"/>
                <w:sz w:val="20"/>
                <w:szCs w:val="20"/>
              </w:rPr>
              <w:t>Ideam – Parques Nacionales Naturales</w:t>
            </w:r>
          </w:p>
        </w:tc>
        <w:tc>
          <w:tcPr>
            <w:tcW w:w="1985" w:type="dxa"/>
            <w:noWrap/>
            <w:hideMark/>
          </w:tcPr>
          <w:p w14:paraId="5D7BD041"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$38.000.000</w:t>
            </w:r>
          </w:p>
        </w:tc>
      </w:tr>
      <w:tr w:rsidR="005472C0" w:rsidRPr="00BA7BE6" w14:paraId="0A43C261"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4C7D7390" w14:textId="77777777" w:rsidR="005472C0" w:rsidRPr="00BA7BE6" w:rsidRDefault="005472C0" w:rsidP="00A6302C">
            <w:pPr>
              <w:suppressAutoHyphens w:val="0"/>
              <w:rPr>
                <w:rFonts w:cs="Arial"/>
                <w:sz w:val="20"/>
                <w:szCs w:val="20"/>
                <w:lang w:val="es-CO" w:eastAsia="es-CO"/>
              </w:rPr>
            </w:pPr>
            <w:r w:rsidRPr="00BA7BE6">
              <w:rPr>
                <w:rFonts w:cs="Arial"/>
                <w:sz w:val="20"/>
                <w:szCs w:val="20"/>
              </w:rPr>
              <w:t>Departamento Administrativo de la Presidencia de la República - Dapre</w:t>
            </w:r>
          </w:p>
        </w:tc>
        <w:tc>
          <w:tcPr>
            <w:tcW w:w="1985" w:type="dxa"/>
            <w:noWrap/>
            <w:hideMark/>
          </w:tcPr>
          <w:p w14:paraId="03C72785"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$24.000.000</w:t>
            </w:r>
          </w:p>
        </w:tc>
      </w:tr>
      <w:tr w:rsidR="005472C0" w:rsidRPr="00BA7BE6" w14:paraId="06604762"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6484CB64" w14:textId="77777777" w:rsidR="005472C0" w:rsidRPr="00BA7BE6" w:rsidRDefault="005472C0" w:rsidP="00A6302C">
            <w:pPr>
              <w:suppressAutoHyphens w:val="0"/>
              <w:rPr>
                <w:rFonts w:cs="Arial"/>
                <w:sz w:val="20"/>
                <w:szCs w:val="20"/>
                <w:lang w:val="es-CO" w:eastAsia="es-CO"/>
              </w:rPr>
            </w:pPr>
            <w:r w:rsidRPr="00BA7BE6">
              <w:rPr>
                <w:rFonts w:cs="Arial"/>
                <w:sz w:val="20"/>
                <w:szCs w:val="20"/>
              </w:rPr>
              <w:t>Maquinas Amarillas S.A.S</w:t>
            </w:r>
          </w:p>
        </w:tc>
        <w:tc>
          <w:tcPr>
            <w:tcW w:w="1985" w:type="dxa"/>
            <w:noWrap/>
            <w:hideMark/>
          </w:tcPr>
          <w:p w14:paraId="557BB875"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$14.000.000</w:t>
            </w:r>
          </w:p>
        </w:tc>
      </w:tr>
      <w:tr w:rsidR="005472C0" w:rsidRPr="00BA7BE6" w14:paraId="1809A29A"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369F3D24" w14:textId="77777777" w:rsidR="005472C0" w:rsidRPr="00BA7BE6" w:rsidRDefault="005472C0" w:rsidP="00A6302C">
            <w:pPr>
              <w:suppressAutoHyphens w:val="0"/>
              <w:rPr>
                <w:rFonts w:cs="Arial"/>
                <w:sz w:val="20"/>
                <w:szCs w:val="20"/>
                <w:lang w:val="es-CO" w:eastAsia="es-CO"/>
              </w:rPr>
            </w:pPr>
            <w:r w:rsidRPr="00BA7BE6">
              <w:rPr>
                <w:rFonts w:cs="Arial"/>
                <w:sz w:val="20"/>
                <w:szCs w:val="20"/>
              </w:rPr>
              <w:t>Concesionaria Nueva Vía al Mar S.A.S Covimar</w:t>
            </w:r>
          </w:p>
        </w:tc>
        <w:tc>
          <w:tcPr>
            <w:tcW w:w="1985" w:type="dxa"/>
            <w:noWrap/>
            <w:hideMark/>
          </w:tcPr>
          <w:p w14:paraId="15F94CF2"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$7.000.000</w:t>
            </w:r>
          </w:p>
        </w:tc>
      </w:tr>
      <w:tr w:rsidR="005472C0" w:rsidRPr="00BA7BE6" w14:paraId="1272D5B8"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44AFBABF" w14:textId="77777777" w:rsidR="005472C0" w:rsidRPr="00BA7BE6" w:rsidRDefault="005472C0" w:rsidP="00A6302C">
            <w:pPr>
              <w:suppressAutoHyphens w:val="0"/>
              <w:rPr>
                <w:rFonts w:cs="Arial"/>
                <w:sz w:val="20"/>
                <w:szCs w:val="20"/>
                <w:lang w:val="es-CO" w:eastAsia="es-CO"/>
              </w:rPr>
            </w:pPr>
            <w:r w:rsidRPr="00BA7BE6">
              <w:rPr>
                <w:rFonts w:cs="Arial"/>
                <w:sz w:val="20"/>
                <w:szCs w:val="20"/>
              </w:rPr>
              <w:t>Fondo de Adaptación</w:t>
            </w:r>
          </w:p>
        </w:tc>
        <w:tc>
          <w:tcPr>
            <w:tcW w:w="1985" w:type="dxa"/>
            <w:noWrap/>
            <w:hideMark/>
          </w:tcPr>
          <w:p w14:paraId="249C1232"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$5.700.000</w:t>
            </w:r>
          </w:p>
        </w:tc>
      </w:tr>
      <w:tr w:rsidR="005472C0" w:rsidRPr="00BA7BE6" w14:paraId="28EC0C5E"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5A7DA73E" w14:textId="77777777" w:rsidR="005472C0" w:rsidRPr="00BA7BE6" w:rsidRDefault="005472C0" w:rsidP="00A6302C">
            <w:pPr>
              <w:suppressAutoHyphens w:val="0"/>
              <w:rPr>
                <w:rFonts w:cs="Arial"/>
                <w:sz w:val="20"/>
                <w:szCs w:val="20"/>
                <w:lang w:val="es-CO" w:eastAsia="es-CO"/>
              </w:rPr>
            </w:pPr>
            <w:r w:rsidRPr="00BA7BE6">
              <w:rPr>
                <w:rFonts w:cs="Arial"/>
                <w:sz w:val="20"/>
                <w:szCs w:val="20"/>
              </w:rPr>
              <w:t>Parques Naturales De Colombia – Chingaza</w:t>
            </w:r>
          </w:p>
        </w:tc>
        <w:tc>
          <w:tcPr>
            <w:tcW w:w="1985" w:type="dxa"/>
            <w:noWrap/>
            <w:hideMark/>
          </w:tcPr>
          <w:p w14:paraId="2185E698"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BA7BE6">
              <w:rPr>
                <w:rFonts w:cs="Arial"/>
                <w:sz w:val="20"/>
                <w:szCs w:val="20"/>
              </w:rPr>
              <w:t>$5.700.000</w:t>
            </w:r>
          </w:p>
        </w:tc>
      </w:tr>
      <w:tr w:rsidR="005472C0" w:rsidRPr="00BA7BE6" w14:paraId="2DE5D104"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02A34001" w14:textId="77777777" w:rsidR="005472C0" w:rsidRPr="00BA7BE6" w:rsidRDefault="005472C0" w:rsidP="00A6302C">
            <w:pPr>
              <w:suppressAutoHyphens w:val="0"/>
              <w:rPr>
                <w:rFonts w:cs="Arial"/>
                <w:sz w:val="20"/>
                <w:szCs w:val="20"/>
                <w:lang w:val="es-CO" w:eastAsia="es-CO"/>
              </w:rPr>
            </w:pPr>
            <w:r w:rsidRPr="00BA7BE6">
              <w:rPr>
                <w:rFonts w:cs="Arial"/>
                <w:sz w:val="20"/>
                <w:szCs w:val="20"/>
              </w:rPr>
              <w:t>José de La Cruz Carmona y Ana Lucía Carmona de Zuleta</w:t>
            </w:r>
          </w:p>
        </w:tc>
        <w:tc>
          <w:tcPr>
            <w:tcW w:w="1985" w:type="dxa"/>
            <w:noWrap/>
            <w:hideMark/>
          </w:tcPr>
          <w:p w14:paraId="4BDB0F46" w14:textId="77777777" w:rsidR="005472C0" w:rsidRPr="00BA7BE6" w:rsidRDefault="005472C0" w:rsidP="00A6302C">
            <w:pPr>
              <w:suppressAutoHyphens w:val="0"/>
              <w:jc w:val="right"/>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BA7BE6">
              <w:rPr>
                <w:rFonts w:cs="Arial"/>
                <w:sz w:val="20"/>
                <w:szCs w:val="20"/>
              </w:rPr>
              <w:t>$4.750.000</w:t>
            </w:r>
          </w:p>
        </w:tc>
      </w:tr>
      <w:tr w:rsidR="005472C0" w:rsidRPr="00BA7BE6" w14:paraId="1BD445A2" w14:textId="77777777" w:rsidTr="00A6302C">
        <w:trPr>
          <w:trHeight w:val="283"/>
        </w:trPr>
        <w:tc>
          <w:tcPr>
            <w:cnfStyle w:val="001000000000" w:firstRow="0" w:lastRow="0" w:firstColumn="1" w:lastColumn="0" w:oddVBand="0" w:evenVBand="0" w:oddHBand="0" w:evenHBand="0" w:firstRowFirstColumn="0" w:firstRowLastColumn="0" w:lastRowFirstColumn="0" w:lastRowLastColumn="0"/>
            <w:tcW w:w="7508" w:type="dxa"/>
            <w:hideMark/>
          </w:tcPr>
          <w:p w14:paraId="6490561A" w14:textId="77777777" w:rsidR="005472C0" w:rsidRPr="00BA7BE6" w:rsidRDefault="005472C0" w:rsidP="002B2367">
            <w:pPr>
              <w:suppressAutoHyphens w:val="0"/>
              <w:jc w:val="center"/>
              <w:rPr>
                <w:rFonts w:cs="Arial"/>
                <w:b w:val="0"/>
                <w:sz w:val="20"/>
                <w:szCs w:val="20"/>
                <w:lang w:val="es-CO" w:eastAsia="es-CO"/>
              </w:rPr>
            </w:pPr>
            <w:r w:rsidRPr="00BA7BE6">
              <w:rPr>
                <w:rFonts w:cs="Arial"/>
                <w:sz w:val="20"/>
                <w:szCs w:val="20"/>
                <w:lang w:val="es-CO" w:eastAsia="es-CO"/>
              </w:rPr>
              <w:t>TOTAL</w:t>
            </w:r>
          </w:p>
        </w:tc>
        <w:tc>
          <w:tcPr>
            <w:tcW w:w="1985" w:type="dxa"/>
            <w:noWrap/>
            <w:hideMark/>
          </w:tcPr>
          <w:p w14:paraId="10440082" w14:textId="77777777" w:rsidR="005472C0" w:rsidRPr="00BA7BE6" w:rsidRDefault="005472C0" w:rsidP="00A6302C">
            <w:pPr>
              <w:suppressAutoHyphens w:val="0"/>
              <w:jc w:val="right"/>
              <w:cnfStyle w:val="000000000000" w:firstRow="0" w:lastRow="0" w:firstColumn="0" w:lastColumn="0" w:oddVBand="0" w:evenVBand="0" w:oddHBand="0" w:evenHBand="0" w:firstRowFirstColumn="0" w:firstRowLastColumn="0" w:lastRowFirstColumn="0" w:lastRowLastColumn="0"/>
              <w:rPr>
                <w:rFonts w:cs="Arial"/>
                <w:b/>
                <w:sz w:val="20"/>
                <w:szCs w:val="20"/>
                <w:lang w:val="es-CO" w:eastAsia="es-CO"/>
              </w:rPr>
            </w:pPr>
            <w:r w:rsidRPr="00BA7BE6">
              <w:rPr>
                <w:rFonts w:cs="Arial"/>
                <w:b/>
                <w:bCs/>
                <w:color w:val="000000"/>
                <w:sz w:val="20"/>
                <w:szCs w:val="20"/>
              </w:rPr>
              <w:t>$ 4.039.695.485</w:t>
            </w:r>
          </w:p>
        </w:tc>
      </w:tr>
    </w:tbl>
    <w:p w14:paraId="1AE09725" w14:textId="77777777" w:rsidR="005472C0" w:rsidRPr="009F3156" w:rsidRDefault="005472C0" w:rsidP="005472C0">
      <w:pPr>
        <w:spacing w:line="276" w:lineRule="auto"/>
        <w:jc w:val="center"/>
        <w:rPr>
          <w:rFonts w:cs="Arial"/>
          <w:b/>
          <w:bCs/>
          <w:sz w:val="16"/>
          <w:szCs w:val="16"/>
        </w:rPr>
      </w:pPr>
      <w:r w:rsidRPr="009F3156">
        <w:rPr>
          <w:rFonts w:eastAsia="Arial" w:cs="Arial"/>
          <w:b/>
          <w:bCs/>
          <w:sz w:val="16"/>
          <w:szCs w:val="16"/>
          <w:lang w:val="es-CO"/>
        </w:rPr>
        <w:t>Fuente:  Dirección de Gestión Catastral</w:t>
      </w:r>
    </w:p>
    <w:p w14:paraId="3513369E" w14:textId="77777777" w:rsidR="005472C0" w:rsidRPr="00AC5BFE" w:rsidRDefault="005472C0" w:rsidP="005472C0">
      <w:pPr>
        <w:spacing w:line="276" w:lineRule="auto"/>
        <w:jc w:val="both"/>
        <w:rPr>
          <w:rFonts w:cs="Arial"/>
          <w:sz w:val="22"/>
          <w:szCs w:val="22"/>
        </w:rPr>
      </w:pPr>
    </w:p>
    <w:p w14:paraId="3D230C83" w14:textId="77777777" w:rsidR="005472C0" w:rsidRPr="00E67925" w:rsidRDefault="005472C0" w:rsidP="004334B6">
      <w:pPr>
        <w:jc w:val="both"/>
        <w:rPr>
          <w:rFonts w:cs="Arial"/>
          <w:sz w:val="22"/>
          <w:szCs w:val="22"/>
        </w:rPr>
      </w:pPr>
      <w:r w:rsidRPr="00E67925">
        <w:rPr>
          <w:rFonts w:cs="Arial"/>
          <w:sz w:val="22"/>
          <w:szCs w:val="22"/>
        </w:rPr>
        <w:t xml:space="preserve">Se finalizó el 2020, con un total de </w:t>
      </w:r>
      <w:r w:rsidRPr="00E67925">
        <w:rPr>
          <w:rFonts w:cs="Arial"/>
          <w:b/>
          <w:bCs/>
          <w:sz w:val="22"/>
          <w:szCs w:val="22"/>
        </w:rPr>
        <w:t xml:space="preserve">6.139 avalúos </w:t>
      </w:r>
      <w:r w:rsidRPr="00E67925">
        <w:rPr>
          <w:rFonts w:cs="Arial"/>
          <w:bCs/>
          <w:sz w:val="22"/>
          <w:szCs w:val="22"/>
        </w:rPr>
        <w:t>elaborados</w:t>
      </w:r>
      <w:r w:rsidRPr="00E67925">
        <w:rPr>
          <w:rFonts w:cs="Arial"/>
          <w:sz w:val="22"/>
          <w:szCs w:val="22"/>
        </w:rPr>
        <w:t>, de los cuales 1.218 correspondientes a avalúos comerciales y administrativos y 4.921 a los elaborados para la definición del índice de Valoración Predial, con su respectivo documento de análisis de comportamiento inmobiliario del país.</w:t>
      </w:r>
    </w:p>
    <w:p w14:paraId="04A3D183" w14:textId="77777777" w:rsidR="005472C0" w:rsidRPr="00E67925" w:rsidRDefault="005472C0" w:rsidP="004334B6">
      <w:pPr>
        <w:jc w:val="both"/>
        <w:rPr>
          <w:rFonts w:cs="Arial"/>
          <w:sz w:val="22"/>
          <w:szCs w:val="22"/>
        </w:rPr>
      </w:pPr>
    </w:p>
    <w:p w14:paraId="30FCE930" w14:textId="42EF582A" w:rsidR="00940416" w:rsidRPr="004334B6" w:rsidRDefault="005472C0" w:rsidP="004334B6">
      <w:pPr>
        <w:jc w:val="both"/>
        <w:rPr>
          <w:rFonts w:cs="Arial"/>
          <w:sz w:val="22"/>
          <w:szCs w:val="22"/>
        </w:rPr>
      </w:pPr>
      <w:r w:rsidRPr="00E67925">
        <w:rPr>
          <w:rFonts w:cs="Arial"/>
          <w:sz w:val="22"/>
          <w:szCs w:val="22"/>
        </w:rPr>
        <w:t>Conforme a lo anterior, se obtuvo un porcentaje de cumplimiento de la meta del</w:t>
      </w:r>
      <w:r w:rsidRPr="00E67925">
        <w:rPr>
          <w:rFonts w:cs="Arial"/>
          <w:b/>
          <w:bCs/>
          <w:sz w:val="22"/>
          <w:szCs w:val="22"/>
        </w:rPr>
        <w:t xml:space="preserve"> </w:t>
      </w:r>
      <w:r w:rsidRPr="00E67925">
        <w:rPr>
          <w:rFonts w:cs="Arial"/>
          <w:sz w:val="22"/>
          <w:szCs w:val="22"/>
        </w:rPr>
        <w:t>83.43</w:t>
      </w:r>
      <w:r w:rsidRPr="00E67925">
        <w:rPr>
          <w:rFonts w:cs="Arial"/>
          <w:b/>
          <w:bCs/>
          <w:sz w:val="22"/>
          <w:szCs w:val="22"/>
        </w:rPr>
        <w:t xml:space="preserve">%, </w:t>
      </w:r>
      <w:r w:rsidRPr="00E67925">
        <w:rPr>
          <w:rFonts w:cs="Arial"/>
          <w:sz w:val="22"/>
          <w:szCs w:val="22"/>
        </w:rPr>
        <w:t>de un total propuesto de 7.358, y con un equipo de trabajo de 38 personas vs. 53 que se tenían para el 2019. Para la vigencia 2019, las 53 personas se encontraban contratadas en el mes de junio, mientras que para el 2020, el equipo de las 38 personas se completó hasta finales del mes de octubre. El gráfico a continuación presenta el comparativo de elaboración de avalúos entre el periodo 2015 y 2020:</w:t>
      </w:r>
    </w:p>
    <w:p w14:paraId="11DE6508" w14:textId="77777777" w:rsidR="005472C0" w:rsidRDefault="005472C0" w:rsidP="00940416">
      <w:pPr>
        <w:rPr>
          <w:lang w:val="es-CO" w:eastAsia="es-ES_tradnl"/>
        </w:rPr>
      </w:pPr>
    </w:p>
    <w:p w14:paraId="32C48158" w14:textId="41F3EDDF" w:rsidR="005472C0" w:rsidRPr="005472C0" w:rsidRDefault="005472C0" w:rsidP="005472C0">
      <w:pPr>
        <w:pStyle w:val="Descripcin"/>
        <w:jc w:val="center"/>
        <w:rPr>
          <w:rFonts w:ascii="Arial" w:hAnsi="Arial" w:cs="Arial"/>
          <w:b/>
          <w:bCs/>
          <w:i w:val="0"/>
          <w:iCs w:val="0"/>
          <w:color w:val="000000" w:themeColor="text1"/>
          <w:sz w:val="16"/>
          <w:szCs w:val="16"/>
        </w:rPr>
      </w:pPr>
      <w:bookmarkStart w:id="53" w:name="_Toc88655313"/>
      <w:bookmarkStart w:id="54" w:name="_Toc88656934"/>
      <w:bookmarkStart w:id="55" w:name="_Toc88677164"/>
      <w:r w:rsidRPr="005472C0">
        <w:rPr>
          <w:rFonts w:ascii="Arial" w:hAnsi="Arial" w:cs="Arial"/>
          <w:b/>
          <w:bCs/>
          <w:i w:val="0"/>
          <w:iCs w:val="0"/>
          <w:color w:val="000000" w:themeColor="text1"/>
          <w:sz w:val="16"/>
          <w:szCs w:val="16"/>
        </w:rPr>
        <w:t xml:space="preserve">Ilustración </w:t>
      </w:r>
      <w:r w:rsidRPr="005472C0">
        <w:rPr>
          <w:rFonts w:ascii="Arial" w:hAnsi="Arial" w:cs="Arial"/>
          <w:b/>
          <w:bCs/>
          <w:i w:val="0"/>
          <w:iCs w:val="0"/>
          <w:color w:val="000000" w:themeColor="text1"/>
          <w:sz w:val="16"/>
          <w:szCs w:val="16"/>
        </w:rPr>
        <w:fldChar w:fldCharType="begin"/>
      </w:r>
      <w:r w:rsidRPr="005472C0">
        <w:rPr>
          <w:rFonts w:ascii="Arial" w:hAnsi="Arial" w:cs="Arial"/>
          <w:b/>
          <w:bCs/>
          <w:i w:val="0"/>
          <w:iCs w:val="0"/>
          <w:color w:val="000000" w:themeColor="text1"/>
          <w:sz w:val="16"/>
          <w:szCs w:val="16"/>
        </w:rPr>
        <w:instrText xml:space="preserve"> SEQ Ilustración \* ARABIC </w:instrText>
      </w:r>
      <w:r w:rsidRPr="005472C0">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8</w:t>
      </w:r>
      <w:r w:rsidRPr="005472C0">
        <w:rPr>
          <w:rFonts w:ascii="Arial" w:hAnsi="Arial" w:cs="Arial"/>
          <w:b/>
          <w:bCs/>
          <w:i w:val="0"/>
          <w:iCs w:val="0"/>
          <w:color w:val="000000" w:themeColor="text1"/>
          <w:sz w:val="16"/>
          <w:szCs w:val="16"/>
        </w:rPr>
        <w:fldChar w:fldCharType="end"/>
      </w:r>
      <w:r w:rsidRPr="005472C0">
        <w:rPr>
          <w:rFonts w:ascii="Arial" w:hAnsi="Arial" w:cs="Arial"/>
          <w:b/>
          <w:bCs/>
          <w:i w:val="0"/>
          <w:iCs w:val="0"/>
          <w:color w:val="000000" w:themeColor="text1"/>
          <w:sz w:val="16"/>
          <w:szCs w:val="16"/>
        </w:rPr>
        <w:t>. Comparativo avalúos 2015 – 2020</w:t>
      </w:r>
      <w:bookmarkEnd w:id="53"/>
      <w:bookmarkEnd w:id="54"/>
      <w:bookmarkEnd w:id="55"/>
    </w:p>
    <w:p w14:paraId="06617638" w14:textId="77777777" w:rsidR="00E13867" w:rsidRDefault="00E13867" w:rsidP="00E13867">
      <w:pPr>
        <w:rPr>
          <w:lang w:eastAsia="es-CO"/>
        </w:rPr>
      </w:pPr>
    </w:p>
    <w:p w14:paraId="0BC65F65" w14:textId="7B44F6A0" w:rsidR="005472C0" w:rsidRPr="00243FA8" w:rsidRDefault="005472C0" w:rsidP="005472C0">
      <w:pPr>
        <w:spacing w:line="276" w:lineRule="auto"/>
        <w:jc w:val="center"/>
        <w:rPr>
          <w:rFonts w:eastAsia="Arial" w:cs="Arial"/>
          <w:b/>
          <w:bCs/>
          <w:sz w:val="16"/>
          <w:szCs w:val="16"/>
          <w:lang w:val="es-CO"/>
        </w:rPr>
      </w:pPr>
      <w:r w:rsidRPr="00AF0849">
        <w:rPr>
          <w:rFonts w:cs="Arial"/>
          <w:noProof/>
          <w:sz w:val="20"/>
          <w:szCs w:val="20"/>
          <w:lang w:val="es-CO" w:eastAsia="es-CO"/>
        </w:rPr>
        <w:drawing>
          <wp:inline distT="0" distB="0" distL="0" distR="0" wp14:anchorId="011EB688" wp14:editId="124D32A9">
            <wp:extent cx="5676900" cy="1257300"/>
            <wp:effectExtent l="0" t="0" r="0" b="0"/>
            <wp:docPr id="1793703126" name="Gráfico 1793703126">
              <a:extLst xmlns:a="http://schemas.openxmlformats.org/drawingml/2006/main">
                <a:ext uri="{FF2B5EF4-FFF2-40B4-BE49-F238E27FC236}">
                  <a16:creationId xmlns:a16="http://schemas.microsoft.com/office/drawing/2014/main" id="{DE2B3408-B989-43FD-ACD1-6F4F404CD9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Pr="005472C0">
        <w:rPr>
          <w:rFonts w:eastAsia="Arial" w:cs="Arial"/>
          <w:b/>
          <w:bCs/>
          <w:sz w:val="16"/>
          <w:szCs w:val="16"/>
          <w:lang w:val="es-CO"/>
        </w:rPr>
        <w:t xml:space="preserve"> </w:t>
      </w:r>
      <w:r w:rsidRPr="00243FA8">
        <w:rPr>
          <w:rFonts w:eastAsia="Arial" w:cs="Arial"/>
          <w:b/>
          <w:bCs/>
          <w:sz w:val="16"/>
          <w:szCs w:val="16"/>
          <w:lang w:val="es-CO"/>
        </w:rPr>
        <w:t>Fuente:  Dirección de Gestión Catastral</w:t>
      </w:r>
    </w:p>
    <w:p w14:paraId="544664B5" w14:textId="77777777" w:rsidR="005472C0" w:rsidRDefault="005472C0" w:rsidP="005472C0">
      <w:pPr>
        <w:spacing w:line="276" w:lineRule="auto"/>
        <w:jc w:val="center"/>
        <w:rPr>
          <w:rFonts w:eastAsia="Arial" w:cs="Arial"/>
          <w:sz w:val="22"/>
          <w:szCs w:val="22"/>
          <w:lang w:val="es-CO"/>
        </w:rPr>
      </w:pPr>
    </w:p>
    <w:p w14:paraId="2B924461" w14:textId="77777777" w:rsidR="005472C0" w:rsidRPr="00AF0849" w:rsidRDefault="005472C0" w:rsidP="004334B6">
      <w:pPr>
        <w:jc w:val="both"/>
        <w:rPr>
          <w:rFonts w:cs="Arial"/>
          <w:sz w:val="22"/>
          <w:szCs w:val="22"/>
        </w:rPr>
      </w:pPr>
      <w:r w:rsidRPr="00AF0849">
        <w:rPr>
          <w:rFonts w:cs="Arial"/>
          <w:sz w:val="22"/>
          <w:szCs w:val="22"/>
          <w:lang w:val="es-CO"/>
        </w:rPr>
        <w:lastRenderedPageBreak/>
        <w:t xml:space="preserve">En cuanto a la realización de avalúos comerciales a octubre de 2021 se han realizado 794, un 30% más con relación al mismo corte del año 2020 (609 avalúos comerciales) además del avance y desarrollo valuatorio para requerimientos en todo el territorio nacional solicitado por empresas privadas, personas naturales y/o entes gubernamentales. A continuación, se presentan </w:t>
      </w:r>
      <w:r w:rsidRPr="00AF0849">
        <w:rPr>
          <w:rFonts w:cs="Arial"/>
          <w:sz w:val="22"/>
          <w:szCs w:val="22"/>
        </w:rPr>
        <w:t>los contratos que se han suscrito en el 2021.</w:t>
      </w:r>
    </w:p>
    <w:p w14:paraId="255601CD" w14:textId="77777777" w:rsidR="005472C0" w:rsidRDefault="005472C0" w:rsidP="005472C0">
      <w:pPr>
        <w:spacing w:line="276" w:lineRule="auto"/>
        <w:jc w:val="center"/>
        <w:rPr>
          <w:rFonts w:cs="Arial"/>
          <w:sz w:val="22"/>
          <w:szCs w:val="22"/>
        </w:rPr>
      </w:pPr>
    </w:p>
    <w:p w14:paraId="6400FC43" w14:textId="2AEBBFB0" w:rsidR="00E13867" w:rsidRDefault="000C728C" w:rsidP="000C728C">
      <w:pPr>
        <w:pStyle w:val="Descripcin"/>
        <w:jc w:val="center"/>
        <w:rPr>
          <w:rFonts w:ascii="Arial" w:hAnsi="Arial" w:cs="Arial"/>
          <w:b/>
          <w:i w:val="0"/>
          <w:color w:val="000000" w:themeColor="text1"/>
          <w:sz w:val="16"/>
          <w:szCs w:val="16"/>
        </w:rPr>
      </w:pPr>
      <w:bookmarkStart w:id="56" w:name="_Toc88677092"/>
      <w:r w:rsidRPr="000C728C">
        <w:rPr>
          <w:rFonts w:ascii="Arial" w:hAnsi="Arial" w:cs="Arial"/>
          <w:b/>
          <w:bCs/>
          <w:i w:val="0"/>
          <w:iCs w:val="0"/>
          <w:color w:val="000000" w:themeColor="text1"/>
          <w:sz w:val="16"/>
          <w:szCs w:val="16"/>
        </w:rPr>
        <w:t xml:space="preserve">Tabla </w:t>
      </w:r>
      <w:r w:rsidRPr="000C728C">
        <w:rPr>
          <w:rFonts w:ascii="Arial" w:hAnsi="Arial" w:cs="Arial"/>
          <w:b/>
          <w:bCs/>
          <w:i w:val="0"/>
          <w:iCs w:val="0"/>
          <w:color w:val="000000" w:themeColor="text1"/>
          <w:sz w:val="16"/>
          <w:szCs w:val="16"/>
        </w:rPr>
        <w:fldChar w:fldCharType="begin"/>
      </w:r>
      <w:r w:rsidRPr="000C728C">
        <w:rPr>
          <w:rFonts w:ascii="Arial" w:hAnsi="Arial" w:cs="Arial"/>
          <w:b/>
          <w:bCs/>
          <w:i w:val="0"/>
          <w:iCs w:val="0"/>
          <w:color w:val="000000" w:themeColor="text1"/>
          <w:sz w:val="16"/>
          <w:szCs w:val="16"/>
        </w:rPr>
        <w:instrText xml:space="preserve"> SEQ Tabla \* ARABIC </w:instrText>
      </w:r>
      <w:r w:rsidRPr="000C728C">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20</w:t>
      </w:r>
      <w:r w:rsidRPr="000C728C">
        <w:rPr>
          <w:rFonts w:ascii="Arial" w:hAnsi="Arial" w:cs="Arial"/>
          <w:b/>
          <w:bCs/>
          <w:i w:val="0"/>
          <w:iCs w:val="0"/>
          <w:color w:val="000000" w:themeColor="text1"/>
          <w:sz w:val="16"/>
          <w:szCs w:val="16"/>
        </w:rPr>
        <w:fldChar w:fldCharType="end"/>
      </w:r>
      <w:r w:rsidRPr="000C728C">
        <w:rPr>
          <w:rFonts w:ascii="Arial" w:hAnsi="Arial" w:cs="Arial"/>
          <w:b/>
          <w:bCs/>
          <w:i w:val="0"/>
          <w:iCs w:val="0"/>
          <w:color w:val="000000" w:themeColor="text1"/>
          <w:sz w:val="16"/>
          <w:szCs w:val="16"/>
        </w:rPr>
        <w:t>.Contratos de avalúos suscritos a octubre 2021</w:t>
      </w:r>
      <w:bookmarkEnd w:id="56"/>
    </w:p>
    <w:tbl>
      <w:tblPr>
        <w:tblStyle w:val="Tabladecuadrcula4-nfasis1"/>
        <w:tblW w:w="9634" w:type="dxa"/>
        <w:tblLook w:val="04A0" w:firstRow="1" w:lastRow="0" w:firstColumn="1" w:lastColumn="0" w:noHBand="0" w:noVBand="1"/>
      </w:tblPr>
      <w:tblGrid>
        <w:gridCol w:w="1980"/>
        <w:gridCol w:w="2126"/>
        <w:gridCol w:w="3969"/>
        <w:gridCol w:w="1559"/>
      </w:tblGrid>
      <w:tr w:rsidR="00A6302C" w:rsidRPr="00512493" w14:paraId="4A1AE484" w14:textId="77777777" w:rsidTr="00F767FC">
        <w:trPr>
          <w:cnfStyle w:val="100000000000" w:firstRow="1" w:lastRow="0" w:firstColumn="0" w:lastColumn="0" w:oddVBand="0" w:evenVBand="0" w:oddHBand="0" w:evenHBand="0" w:firstRowFirstColumn="0" w:firstRowLastColumn="0" w:lastRowFirstColumn="0" w:lastRowLastColumn="0"/>
          <w:trHeight w:val="576"/>
          <w:tblHeader/>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7A5B03B7" w14:textId="77777777" w:rsidR="00A6302C" w:rsidRPr="007E08EE" w:rsidRDefault="00495C4F" w:rsidP="00A6302C">
            <w:pPr>
              <w:spacing w:line="276" w:lineRule="auto"/>
              <w:jc w:val="center"/>
              <w:rPr>
                <w:rFonts w:cs="Arial"/>
                <w:b w:val="0"/>
                <w:bCs w:val="0"/>
                <w:sz w:val="18"/>
                <w:szCs w:val="18"/>
              </w:rPr>
            </w:pPr>
            <w:r w:rsidRPr="007E08EE">
              <w:rPr>
                <w:rFonts w:cs="Arial"/>
                <w:sz w:val="18"/>
                <w:szCs w:val="18"/>
              </w:rPr>
              <w:t>No.</w:t>
            </w:r>
            <w:r w:rsidRPr="007E08EE">
              <w:rPr>
                <w:rFonts w:cs="Arial"/>
                <w:sz w:val="18"/>
                <w:szCs w:val="18"/>
              </w:rPr>
              <w:br/>
              <w:t>Contrato</w:t>
            </w:r>
          </w:p>
        </w:tc>
        <w:tc>
          <w:tcPr>
            <w:tcW w:w="2126" w:type="dxa"/>
            <w:vAlign w:val="center"/>
            <w:hideMark/>
          </w:tcPr>
          <w:p w14:paraId="10AA73A7" w14:textId="77777777" w:rsidR="00A6302C" w:rsidRPr="007E08EE" w:rsidRDefault="00495C4F"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b w:val="0"/>
                <w:bCs w:val="0"/>
                <w:sz w:val="18"/>
                <w:szCs w:val="18"/>
              </w:rPr>
            </w:pPr>
            <w:r w:rsidRPr="007E08EE">
              <w:rPr>
                <w:rFonts w:cs="Arial"/>
                <w:sz w:val="18"/>
                <w:szCs w:val="18"/>
              </w:rPr>
              <w:t>Entidad contratante</w:t>
            </w:r>
          </w:p>
        </w:tc>
        <w:tc>
          <w:tcPr>
            <w:tcW w:w="3969" w:type="dxa"/>
            <w:vAlign w:val="center"/>
            <w:hideMark/>
          </w:tcPr>
          <w:p w14:paraId="76237DFE" w14:textId="77777777" w:rsidR="00A6302C" w:rsidRPr="007E08EE" w:rsidRDefault="00495C4F"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b w:val="0"/>
                <w:bCs w:val="0"/>
                <w:sz w:val="18"/>
                <w:szCs w:val="18"/>
              </w:rPr>
            </w:pPr>
            <w:r w:rsidRPr="007E08EE">
              <w:rPr>
                <w:rFonts w:cs="Arial"/>
                <w:sz w:val="18"/>
                <w:szCs w:val="18"/>
              </w:rPr>
              <w:t xml:space="preserve">Total contrato </w:t>
            </w:r>
            <w:r w:rsidRPr="007E08EE">
              <w:rPr>
                <w:rFonts w:cs="Arial"/>
                <w:sz w:val="18"/>
                <w:szCs w:val="18"/>
              </w:rPr>
              <w:br/>
              <w:t>(con IVA)</w:t>
            </w:r>
          </w:p>
        </w:tc>
        <w:tc>
          <w:tcPr>
            <w:tcW w:w="1559" w:type="dxa"/>
            <w:vAlign w:val="center"/>
            <w:hideMark/>
          </w:tcPr>
          <w:p w14:paraId="4AA57F8B" w14:textId="77777777" w:rsidR="00A6302C" w:rsidRPr="007E08EE" w:rsidRDefault="00495C4F" w:rsidP="00A6302C">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b w:val="0"/>
                <w:bCs w:val="0"/>
                <w:sz w:val="18"/>
                <w:szCs w:val="18"/>
              </w:rPr>
            </w:pPr>
            <w:r w:rsidRPr="007E08EE">
              <w:rPr>
                <w:rFonts w:cs="Arial"/>
                <w:sz w:val="18"/>
                <w:szCs w:val="18"/>
              </w:rPr>
              <w:t>Estado del contrato</w:t>
            </w:r>
          </w:p>
        </w:tc>
      </w:tr>
      <w:tr w:rsidR="00A6302C" w:rsidRPr="00512493" w14:paraId="2EA1D1AC"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04BD80D0" w14:textId="77777777" w:rsidR="00A6302C" w:rsidRPr="007E08EE" w:rsidRDefault="00495C4F" w:rsidP="00A6302C">
            <w:pPr>
              <w:spacing w:line="276" w:lineRule="auto"/>
              <w:jc w:val="center"/>
              <w:rPr>
                <w:rFonts w:cs="Arial"/>
                <w:sz w:val="18"/>
                <w:szCs w:val="18"/>
              </w:rPr>
            </w:pPr>
            <w:r w:rsidRPr="007E08EE">
              <w:rPr>
                <w:rFonts w:cs="Arial"/>
                <w:sz w:val="18"/>
                <w:szCs w:val="18"/>
              </w:rPr>
              <w:t>4966/2018</w:t>
            </w:r>
          </w:p>
        </w:tc>
        <w:tc>
          <w:tcPr>
            <w:tcW w:w="2126" w:type="dxa"/>
            <w:vAlign w:val="center"/>
            <w:hideMark/>
          </w:tcPr>
          <w:p w14:paraId="75034B6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Oleoducto de los llanos orientales</w:t>
            </w:r>
          </w:p>
        </w:tc>
        <w:tc>
          <w:tcPr>
            <w:tcW w:w="3969" w:type="dxa"/>
            <w:noWrap/>
            <w:vAlign w:val="center"/>
            <w:hideMark/>
          </w:tcPr>
          <w:p w14:paraId="1A70B631"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$114.240.000</w:t>
            </w:r>
          </w:p>
        </w:tc>
        <w:tc>
          <w:tcPr>
            <w:tcW w:w="1559" w:type="dxa"/>
            <w:vAlign w:val="center"/>
            <w:hideMark/>
          </w:tcPr>
          <w:p w14:paraId="710A2E5E"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liquidación por mutuo acuerdo</w:t>
            </w:r>
          </w:p>
        </w:tc>
      </w:tr>
      <w:tr w:rsidR="00A6302C" w:rsidRPr="00512493" w14:paraId="3C02796C" w14:textId="77777777" w:rsidTr="00F767FC">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0F58157" w14:textId="77777777" w:rsidR="00A6302C" w:rsidRPr="007E08EE" w:rsidRDefault="00495C4F" w:rsidP="00A6302C">
            <w:pPr>
              <w:spacing w:line="276" w:lineRule="auto"/>
              <w:jc w:val="center"/>
              <w:rPr>
                <w:rFonts w:cs="Arial"/>
                <w:sz w:val="18"/>
                <w:szCs w:val="18"/>
              </w:rPr>
            </w:pPr>
            <w:r w:rsidRPr="007E08EE">
              <w:rPr>
                <w:rFonts w:cs="Arial"/>
                <w:sz w:val="18"/>
                <w:szCs w:val="18"/>
              </w:rPr>
              <w:t>5174/2019</w:t>
            </w:r>
          </w:p>
        </w:tc>
        <w:tc>
          <w:tcPr>
            <w:tcW w:w="2126" w:type="dxa"/>
            <w:vAlign w:val="center"/>
            <w:hideMark/>
          </w:tcPr>
          <w:p w14:paraId="356F8F84"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Central de inversiones s.a.- cisa</w:t>
            </w:r>
          </w:p>
        </w:tc>
        <w:tc>
          <w:tcPr>
            <w:tcW w:w="3969" w:type="dxa"/>
            <w:noWrap/>
            <w:vAlign w:val="center"/>
            <w:hideMark/>
          </w:tcPr>
          <w:p w14:paraId="13E19B8A"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$238.000.000</w:t>
            </w:r>
          </w:p>
        </w:tc>
        <w:tc>
          <w:tcPr>
            <w:tcW w:w="1559" w:type="dxa"/>
            <w:noWrap/>
            <w:vAlign w:val="center"/>
            <w:hideMark/>
          </w:tcPr>
          <w:p w14:paraId="5118B5C7"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645ED223" w14:textId="77777777" w:rsidTr="00F767FC">
        <w:trPr>
          <w:cnfStyle w:val="000000100000" w:firstRow="0" w:lastRow="0" w:firstColumn="0" w:lastColumn="0" w:oddVBand="0" w:evenVBand="0" w:oddHBand="1"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5F8EDD0" w14:textId="77777777" w:rsidR="00A6302C" w:rsidRPr="007E08EE" w:rsidRDefault="00495C4F" w:rsidP="00A6302C">
            <w:pPr>
              <w:spacing w:line="276" w:lineRule="auto"/>
              <w:jc w:val="center"/>
              <w:rPr>
                <w:rFonts w:cs="Arial"/>
                <w:sz w:val="18"/>
                <w:szCs w:val="18"/>
              </w:rPr>
            </w:pPr>
            <w:r w:rsidRPr="007E08EE">
              <w:rPr>
                <w:rFonts w:cs="Arial"/>
                <w:sz w:val="18"/>
                <w:szCs w:val="18"/>
              </w:rPr>
              <w:t>0001/2020</w:t>
            </w:r>
          </w:p>
        </w:tc>
        <w:tc>
          <w:tcPr>
            <w:tcW w:w="2126" w:type="dxa"/>
            <w:vAlign w:val="center"/>
            <w:hideMark/>
          </w:tcPr>
          <w:p w14:paraId="79C82CA2"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Agencia nacional inmobiliaria virgilio barco</w:t>
            </w:r>
          </w:p>
        </w:tc>
        <w:tc>
          <w:tcPr>
            <w:tcW w:w="3969" w:type="dxa"/>
            <w:vAlign w:val="center"/>
            <w:hideMark/>
          </w:tcPr>
          <w:p w14:paraId="0F654E85"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Contrato sin monto definido</w:t>
            </w:r>
          </w:p>
        </w:tc>
        <w:tc>
          <w:tcPr>
            <w:tcW w:w="1559" w:type="dxa"/>
            <w:noWrap/>
            <w:vAlign w:val="center"/>
            <w:hideMark/>
          </w:tcPr>
          <w:p w14:paraId="3C820DF9"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7E4E58C9" w14:textId="77777777" w:rsidTr="00F767FC">
        <w:trPr>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24B069E6" w14:textId="77777777" w:rsidR="00A6302C" w:rsidRPr="007E08EE" w:rsidRDefault="00495C4F" w:rsidP="00A6302C">
            <w:pPr>
              <w:spacing w:line="276" w:lineRule="auto"/>
              <w:jc w:val="center"/>
              <w:rPr>
                <w:rFonts w:cs="Arial"/>
                <w:sz w:val="18"/>
                <w:szCs w:val="18"/>
              </w:rPr>
            </w:pPr>
            <w:r w:rsidRPr="007E08EE">
              <w:rPr>
                <w:rFonts w:cs="Arial"/>
                <w:sz w:val="18"/>
                <w:szCs w:val="18"/>
              </w:rPr>
              <w:t>5210/2020</w:t>
            </w:r>
          </w:p>
        </w:tc>
        <w:tc>
          <w:tcPr>
            <w:tcW w:w="2126" w:type="dxa"/>
            <w:vAlign w:val="center"/>
            <w:hideMark/>
          </w:tcPr>
          <w:p w14:paraId="1EDB6696"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Administradora colombiana de pensiones - Colpensiones</w:t>
            </w:r>
          </w:p>
        </w:tc>
        <w:tc>
          <w:tcPr>
            <w:tcW w:w="3969" w:type="dxa"/>
            <w:noWrap/>
            <w:vAlign w:val="center"/>
            <w:hideMark/>
          </w:tcPr>
          <w:p w14:paraId="61FB4DA6"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$282.000.000</w:t>
            </w:r>
          </w:p>
        </w:tc>
        <w:tc>
          <w:tcPr>
            <w:tcW w:w="1559" w:type="dxa"/>
            <w:noWrap/>
            <w:vAlign w:val="center"/>
            <w:hideMark/>
          </w:tcPr>
          <w:p w14:paraId="00DECC40"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4D6949D4"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EB1174D" w14:textId="77777777" w:rsidR="00A6302C" w:rsidRPr="007E08EE" w:rsidRDefault="00495C4F" w:rsidP="00A6302C">
            <w:pPr>
              <w:spacing w:line="276" w:lineRule="auto"/>
              <w:jc w:val="center"/>
              <w:rPr>
                <w:rFonts w:cs="Arial"/>
                <w:sz w:val="18"/>
                <w:szCs w:val="18"/>
              </w:rPr>
            </w:pPr>
            <w:r w:rsidRPr="007E08EE">
              <w:rPr>
                <w:rFonts w:cs="Arial"/>
                <w:sz w:val="18"/>
                <w:szCs w:val="18"/>
              </w:rPr>
              <w:t>5219/2020</w:t>
            </w:r>
          </w:p>
        </w:tc>
        <w:tc>
          <w:tcPr>
            <w:tcW w:w="2126" w:type="dxa"/>
            <w:vAlign w:val="center"/>
            <w:hideMark/>
          </w:tcPr>
          <w:p w14:paraId="0AD7A2CB"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Unidad administrativa especial de aeronáutica civil – Aerocivil</w:t>
            </w:r>
          </w:p>
        </w:tc>
        <w:tc>
          <w:tcPr>
            <w:tcW w:w="3969" w:type="dxa"/>
            <w:noWrap/>
            <w:vAlign w:val="center"/>
            <w:hideMark/>
          </w:tcPr>
          <w:p w14:paraId="0D8CF39B"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$82.000.000</w:t>
            </w:r>
          </w:p>
        </w:tc>
        <w:tc>
          <w:tcPr>
            <w:tcW w:w="1559" w:type="dxa"/>
            <w:vAlign w:val="center"/>
            <w:hideMark/>
          </w:tcPr>
          <w:p w14:paraId="736A3B13"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liquidación</w:t>
            </w:r>
          </w:p>
        </w:tc>
      </w:tr>
      <w:tr w:rsidR="00A6302C" w:rsidRPr="00512493" w14:paraId="44933B96" w14:textId="77777777" w:rsidTr="00F767FC">
        <w:trPr>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5B4222A8" w14:textId="77777777" w:rsidR="00A6302C" w:rsidRPr="007E08EE" w:rsidRDefault="00495C4F" w:rsidP="00A6302C">
            <w:pPr>
              <w:spacing w:line="276" w:lineRule="auto"/>
              <w:jc w:val="center"/>
              <w:rPr>
                <w:rFonts w:cs="Arial"/>
                <w:sz w:val="18"/>
                <w:szCs w:val="18"/>
              </w:rPr>
            </w:pPr>
            <w:r w:rsidRPr="007E08EE">
              <w:rPr>
                <w:rFonts w:cs="Arial"/>
                <w:sz w:val="18"/>
                <w:szCs w:val="18"/>
              </w:rPr>
              <w:t>5247/2020</w:t>
            </w:r>
          </w:p>
        </w:tc>
        <w:tc>
          <w:tcPr>
            <w:tcW w:w="2126" w:type="dxa"/>
            <w:vAlign w:val="center"/>
            <w:hideMark/>
          </w:tcPr>
          <w:p w14:paraId="13385C4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Señores José de la cruz Carmona y Ana lucia Carmona de Zuleta</w:t>
            </w:r>
          </w:p>
        </w:tc>
        <w:tc>
          <w:tcPr>
            <w:tcW w:w="3969" w:type="dxa"/>
            <w:noWrap/>
            <w:vAlign w:val="center"/>
            <w:hideMark/>
          </w:tcPr>
          <w:p w14:paraId="7439C492"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$4.750.000</w:t>
            </w:r>
          </w:p>
        </w:tc>
        <w:tc>
          <w:tcPr>
            <w:tcW w:w="1559" w:type="dxa"/>
            <w:vAlign w:val="center"/>
            <w:hideMark/>
          </w:tcPr>
          <w:p w14:paraId="673703A2"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76A01700" w14:textId="77777777" w:rsidTr="00F767F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5F61CC3F" w14:textId="77777777" w:rsidR="00A6302C" w:rsidRPr="007E08EE" w:rsidRDefault="00495C4F" w:rsidP="00A6302C">
            <w:pPr>
              <w:spacing w:line="276" w:lineRule="auto"/>
              <w:jc w:val="center"/>
              <w:rPr>
                <w:rFonts w:cs="Arial"/>
                <w:sz w:val="18"/>
                <w:szCs w:val="18"/>
              </w:rPr>
            </w:pPr>
            <w:r w:rsidRPr="007E08EE">
              <w:rPr>
                <w:rFonts w:cs="Arial"/>
                <w:sz w:val="18"/>
                <w:szCs w:val="18"/>
              </w:rPr>
              <w:t>5270/2021</w:t>
            </w:r>
          </w:p>
        </w:tc>
        <w:tc>
          <w:tcPr>
            <w:tcW w:w="2126" w:type="dxa"/>
            <w:vAlign w:val="center"/>
            <w:hideMark/>
          </w:tcPr>
          <w:p w14:paraId="45E57629"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Fiduagraria</w:t>
            </w:r>
          </w:p>
        </w:tc>
        <w:tc>
          <w:tcPr>
            <w:tcW w:w="3969" w:type="dxa"/>
            <w:noWrap/>
            <w:vAlign w:val="center"/>
            <w:hideMark/>
          </w:tcPr>
          <w:p w14:paraId="0EF2E49B"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$6.500.000</w:t>
            </w:r>
          </w:p>
        </w:tc>
        <w:tc>
          <w:tcPr>
            <w:tcW w:w="1559" w:type="dxa"/>
            <w:vAlign w:val="center"/>
            <w:hideMark/>
          </w:tcPr>
          <w:p w14:paraId="1738BC64"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3AFAF3D9" w14:textId="77777777" w:rsidTr="00F767FC">
        <w:trPr>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769F508F" w14:textId="77777777" w:rsidR="00A6302C" w:rsidRPr="007E08EE" w:rsidRDefault="00495C4F" w:rsidP="00A6302C">
            <w:pPr>
              <w:spacing w:line="276" w:lineRule="auto"/>
              <w:jc w:val="center"/>
              <w:rPr>
                <w:rFonts w:cs="Arial"/>
                <w:sz w:val="18"/>
                <w:szCs w:val="18"/>
              </w:rPr>
            </w:pPr>
            <w:r w:rsidRPr="007E08EE">
              <w:rPr>
                <w:rFonts w:cs="Arial"/>
                <w:sz w:val="18"/>
                <w:szCs w:val="18"/>
              </w:rPr>
              <w:t>Urt 1758 /2021</w:t>
            </w:r>
            <w:r w:rsidRPr="007E08EE">
              <w:rPr>
                <w:rFonts w:cs="Arial"/>
                <w:sz w:val="18"/>
                <w:szCs w:val="18"/>
              </w:rPr>
              <w:br/>
              <w:t>igac 5271/2021</w:t>
            </w:r>
          </w:p>
        </w:tc>
        <w:tc>
          <w:tcPr>
            <w:tcW w:w="2126" w:type="dxa"/>
            <w:vAlign w:val="center"/>
            <w:hideMark/>
          </w:tcPr>
          <w:p w14:paraId="58E27E00"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Unidad de restitución de tierras despojadas</w:t>
            </w:r>
          </w:p>
        </w:tc>
        <w:tc>
          <w:tcPr>
            <w:tcW w:w="3969" w:type="dxa"/>
            <w:noWrap/>
            <w:vAlign w:val="center"/>
            <w:hideMark/>
          </w:tcPr>
          <w:p w14:paraId="0408B02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$1.550.297.809</w:t>
            </w:r>
          </w:p>
        </w:tc>
        <w:tc>
          <w:tcPr>
            <w:tcW w:w="1559" w:type="dxa"/>
            <w:noWrap/>
            <w:vAlign w:val="center"/>
            <w:hideMark/>
          </w:tcPr>
          <w:p w14:paraId="5C5B7095"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1DD1E448"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8699F01" w14:textId="3ADF774B" w:rsidR="00A6302C" w:rsidRPr="007E08EE" w:rsidRDefault="00495C4F" w:rsidP="00A6302C">
            <w:pPr>
              <w:spacing w:line="276" w:lineRule="auto"/>
              <w:jc w:val="center"/>
              <w:rPr>
                <w:rFonts w:cs="Arial"/>
                <w:sz w:val="18"/>
                <w:szCs w:val="18"/>
              </w:rPr>
            </w:pPr>
            <w:r w:rsidRPr="007E08EE">
              <w:rPr>
                <w:rFonts w:cs="Arial"/>
                <w:sz w:val="18"/>
                <w:szCs w:val="18"/>
              </w:rPr>
              <w:t>Ant no. 1204 de 2021</w:t>
            </w:r>
            <w:r w:rsidRPr="007E08EE">
              <w:rPr>
                <w:rFonts w:cs="Arial"/>
                <w:sz w:val="18"/>
                <w:szCs w:val="18"/>
              </w:rPr>
              <w:br/>
              <w:t>igac no.5273 de 2021</w:t>
            </w:r>
          </w:p>
        </w:tc>
        <w:tc>
          <w:tcPr>
            <w:tcW w:w="2126" w:type="dxa"/>
            <w:vAlign w:val="center"/>
            <w:hideMark/>
          </w:tcPr>
          <w:p w14:paraId="1705B4AB" w14:textId="4E1C5ACC"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 xml:space="preserve">Agencia nacional de tierras </w:t>
            </w:r>
            <w:r w:rsidR="004334B6">
              <w:rPr>
                <w:rFonts w:cs="Arial"/>
                <w:sz w:val="18"/>
                <w:szCs w:val="18"/>
              </w:rPr>
              <w:t>–</w:t>
            </w:r>
            <w:r w:rsidRPr="007E08EE">
              <w:rPr>
                <w:rFonts w:cs="Arial"/>
                <w:sz w:val="18"/>
                <w:szCs w:val="18"/>
              </w:rPr>
              <w:t xml:space="preserve"> ANT</w:t>
            </w:r>
          </w:p>
        </w:tc>
        <w:tc>
          <w:tcPr>
            <w:tcW w:w="3969" w:type="dxa"/>
            <w:noWrap/>
            <w:vAlign w:val="center"/>
            <w:hideMark/>
          </w:tcPr>
          <w:p w14:paraId="50F0CCA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$1.000.000.000</w:t>
            </w:r>
          </w:p>
        </w:tc>
        <w:tc>
          <w:tcPr>
            <w:tcW w:w="1559" w:type="dxa"/>
            <w:noWrap/>
            <w:vAlign w:val="center"/>
            <w:hideMark/>
          </w:tcPr>
          <w:p w14:paraId="40E7F5EA"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780F2337" w14:textId="77777777" w:rsidTr="00F767FC">
        <w:trPr>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82F6292" w14:textId="77777777" w:rsidR="00A6302C" w:rsidRPr="007E08EE" w:rsidRDefault="00495C4F" w:rsidP="00A6302C">
            <w:pPr>
              <w:spacing w:line="276" w:lineRule="auto"/>
              <w:jc w:val="center"/>
              <w:rPr>
                <w:rFonts w:cs="Arial"/>
                <w:sz w:val="18"/>
                <w:szCs w:val="18"/>
              </w:rPr>
            </w:pPr>
            <w:r w:rsidRPr="007E08EE">
              <w:rPr>
                <w:rFonts w:cs="Arial"/>
                <w:sz w:val="18"/>
                <w:szCs w:val="18"/>
              </w:rPr>
              <w:t>Cia 004-2021</w:t>
            </w:r>
          </w:p>
        </w:tc>
        <w:tc>
          <w:tcPr>
            <w:tcW w:w="2126" w:type="dxa"/>
            <w:vAlign w:val="center"/>
            <w:hideMark/>
          </w:tcPr>
          <w:p w14:paraId="6CE5284B"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Alcaldía municipio  Dabeiba - Antioquia</w:t>
            </w:r>
          </w:p>
        </w:tc>
        <w:tc>
          <w:tcPr>
            <w:tcW w:w="3969" w:type="dxa"/>
            <w:noWrap/>
            <w:vAlign w:val="center"/>
            <w:hideMark/>
          </w:tcPr>
          <w:p w14:paraId="2E47BA5C"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$4.250.000</w:t>
            </w:r>
          </w:p>
        </w:tc>
        <w:tc>
          <w:tcPr>
            <w:tcW w:w="1559" w:type="dxa"/>
            <w:vAlign w:val="center"/>
            <w:hideMark/>
          </w:tcPr>
          <w:p w14:paraId="10C531AB"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77D95E77"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77C6FAB9" w14:textId="77777777" w:rsidR="00A6302C" w:rsidRPr="007E08EE" w:rsidRDefault="00495C4F" w:rsidP="00A6302C">
            <w:pPr>
              <w:spacing w:line="276" w:lineRule="auto"/>
              <w:jc w:val="center"/>
              <w:rPr>
                <w:rFonts w:cs="Arial"/>
                <w:sz w:val="18"/>
                <w:szCs w:val="18"/>
              </w:rPr>
            </w:pPr>
            <w:r w:rsidRPr="007E08EE">
              <w:rPr>
                <w:rFonts w:cs="Arial"/>
                <w:sz w:val="18"/>
                <w:szCs w:val="18"/>
              </w:rPr>
              <w:t>371/2021</w:t>
            </w:r>
          </w:p>
        </w:tc>
        <w:tc>
          <w:tcPr>
            <w:tcW w:w="2126" w:type="dxa"/>
            <w:vAlign w:val="center"/>
            <w:hideMark/>
          </w:tcPr>
          <w:p w14:paraId="278D9441"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Contraloría general de la republica</w:t>
            </w:r>
          </w:p>
        </w:tc>
        <w:tc>
          <w:tcPr>
            <w:tcW w:w="3969" w:type="dxa"/>
            <w:noWrap/>
            <w:vAlign w:val="center"/>
            <w:hideMark/>
          </w:tcPr>
          <w:p w14:paraId="7D7D3DA1"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$50.000.000</w:t>
            </w:r>
          </w:p>
        </w:tc>
        <w:tc>
          <w:tcPr>
            <w:tcW w:w="1559" w:type="dxa"/>
            <w:noWrap/>
            <w:vAlign w:val="center"/>
            <w:hideMark/>
          </w:tcPr>
          <w:p w14:paraId="48B23649"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76AB42EE" w14:textId="77777777" w:rsidTr="00F767FC">
        <w:trPr>
          <w:trHeight w:val="422"/>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6909F42A" w14:textId="77777777" w:rsidR="00A6302C" w:rsidRPr="007E08EE" w:rsidRDefault="00495C4F" w:rsidP="00A6302C">
            <w:pPr>
              <w:spacing w:line="276" w:lineRule="auto"/>
              <w:jc w:val="center"/>
              <w:rPr>
                <w:rFonts w:cs="Arial"/>
                <w:sz w:val="18"/>
                <w:szCs w:val="18"/>
              </w:rPr>
            </w:pPr>
            <w:r w:rsidRPr="007E08EE">
              <w:rPr>
                <w:rFonts w:cs="Arial"/>
                <w:sz w:val="18"/>
                <w:szCs w:val="18"/>
              </w:rPr>
              <w:t>Alcaldía no. 12052101</w:t>
            </w:r>
            <w:r w:rsidRPr="007E08EE">
              <w:rPr>
                <w:rFonts w:cs="Arial"/>
                <w:sz w:val="18"/>
                <w:szCs w:val="18"/>
              </w:rPr>
              <w:br/>
              <w:t>IGAC no. 5293/2021</w:t>
            </w:r>
          </w:p>
        </w:tc>
        <w:tc>
          <w:tcPr>
            <w:tcW w:w="2126" w:type="dxa"/>
            <w:vAlign w:val="center"/>
            <w:hideMark/>
          </w:tcPr>
          <w:p w14:paraId="3DE8CFB1" w14:textId="278A1AC0"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 xml:space="preserve">Alcaldía municipio la dorada </w:t>
            </w:r>
            <w:r w:rsidR="004334B6">
              <w:rPr>
                <w:rFonts w:cs="Arial"/>
                <w:sz w:val="18"/>
                <w:szCs w:val="18"/>
              </w:rPr>
              <w:t>–</w:t>
            </w:r>
            <w:r w:rsidRPr="007E08EE">
              <w:rPr>
                <w:rFonts w:cs="Arial"/>
                <w:sz w:val="18"/>
                <w:szCs w:val="18"/>
              </w:rPr>
              <w:t xml:space="preserve"> caldas</w:t>
            </w:r>
          </w:p>
        </w:tc>
        <w:tc>
          <w:tcPr>
            <w:tcW w:w="3969" w:type="dxa"/>
            <w:noWrap/>
            <w:vAlign w:val="center"/>
            <w:hideMark/>
          </w:tcPr>
          <w:p w14:paraId="27748A60"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$8.000.000</w:t>
            </w:r>
          </w:p>
        </w:tc>
        <w:tc>
          <w:tcPr>
            <w:tcW w:w="1559" w:type="dxa"/>
            <w:vAlign w:val="center"/>
            <w:hideMark/>
          </w:tcPr>
          <w:p w14:paraId="3CED4CE2"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1B0AA390" w14:textId="77777777" w:rsidTr="00F767FC">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23339395" w14:textId="77777777" w:rsidR="00A6302C" w:rsidRPr="007E08EE" w:rsidRDefault="00495C4F" w:rsidP="00A6302C">
            <w:pPr>
              <w:spacing w:line="276" w:lineRule="auto"/>
              <w:jc w:val="center"/>
              <w:rPr>
                <w:rFonts w:cs="Arial"/>
                <w:sz w:val="18"/>
                <w:szCs w:val="18"/>
              </w:rPr>
            </w:pPr>
            <w:r w:rsidRPr="007E08EE">
              <w:rPr>
                <w:rFonts w:cs="Arial"/>
                <w:sz w:val="18"/>
                <w:szCs w:val="18"/>
              </w:rPr>
              <w:t>Orden de serv. Nro. 8000004151 de 2021</w:t>
            </w:r>
          </w:p>
        </w:tc>
        <w:tc>
          <w:tcPr>
            <w:tcW w:w="2126" w:type="dxa"/>
            <w:vAlign w:val="center"/>
            <w:hideMark/>
          </w:tcPr>
          <w:p w14:paraId="0CB17CFF"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Hospital general de Medellín</w:t>
            </w:r>
          </w:p>
        </w:tc>
        <w:tc>
          <w:tcPr>
            <w:tcW w:w="3969" w:type="dxa"/>
            <w:noWrap/>
            <w:vAlign w:val="center"/>
            <w:hideMark/>
          </w:tcPr>
          <w:p w14:paraId="1014E92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$44.610.000</w:t>
            </w:r>
          </w:p>
        </w:tc>
        <w:tc>
          <w:tcPr>
            <w:tcW w:w="1559" w:type="dxa"/>
            <w:noWrap/>
            <w:vAlign w:val="center"/>
            <w:hideMark/>
          </w:tcPr>
          <w:p w14:paraId="0D413E95"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20F5ED63" w14:textId="77777777" w:rsidTr="00F767FC">
        <w:trPr>
          <w:trHeight w:val="765"/>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02317F18" w14:textId="77777777" w:rsidR="00A6302C" w:rsidRPr="007E08EE" w:rsidRDefault="00495C4F" w:rsidP="00A6302C">
            <w:pPr>
              <w:spacing w:line="276" w:lineRule="auto"/>
              <w:jc w:val="center"/>
              <w:rPr>
                <w:rFonts w:cs="Arial"/>
                <w:sz w:val="18"/>
                <w:szCs w:val="18"/>
              </w:rPr>
            </w:pPr>
            <w:r w:rsidRPr="007E08EE">
              <w:rPr>
                <w:rFonts w:cs="Arial"/>
                <w:sz w:val="18"/>
                <w:szCs w:val="18"/>
              </w:rPr>
              <w:t>5303/2021</w:t>
            </w:r>
          </w:p>
        </w:tc>
        <w:tc>
          <w:tcPr>
            <w:tcW w:w="2126" w:type="dxa"/>
            <w:vAlign w:val="center"/>
            <w:hideMark/>
          </w:tcPr>
          <w:p w14:paraId="3FE55C8A"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I.D.C. Inversiones sociedad por acciones simplificada – I.D.C. Inversiones S.A.S</w:t>
            </w:r>
          </w:p>
        </w:tc>
        <w:tc>
          <w:tcPr>
            <w:tcW w:w="3969" w:type="dxa"/>
            <w:noWrap/>
            <w:vAlign w:val="center"/>
            <w:hideMark/>
          </w:tcPr>
          <w:p w14:paraId="5D1BE30A"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$45.650.000</w:t>
            </w:r>
          </w:p>
        </w:tc>
        <w:tc>
          <w:tcPr>
            <w:tcW w:w="1559" w:type="dxa"/>
            <w:noWrap/>
            <w:vAlign w:val="center"/>
            <w:hideMark/>
          </w:tcPr>
          <w:p w14:paraId="11E1DD5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Suspendido</w:t>
            </w:r>
          </w:p>
        </w:tc>
      </w:tr>
      <w:tr w:rsidR="00A6302C" w:rsidRPr="00512493" w14:paraId="5110CEA1" w14:textId="77777777" w:rsidTr="00F767FC">
        <w:trPr>
          <w:cnfStyle w:val="000000100000" w:firstRow="0" w:lastRow="0" w:firstColumn="0" w:lastColumn="0" w:oddVBand="0" w:evenVBand="0" w:oddHBand="1" w:evenHBand="0" w:firstRowFirstColumn="0" w:firstRowLastColumn="0" w:lastRowFirstColumn="0" w:lastRowLastColumn="0"/>
          <w:trHeight w:val="1021"/>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5A0B613" w14:textId="77777777" w:rsidR="00A6302C" w:rsidRPr="007E08EE" w:rsidRDefault="00495C4F" w:rsidP="00A6302C">
            <w:pPr>
              <w:spacing w:line="276" w:lineRule="auto"/>
              <w:jc w:val="center"/>
              <w:rPr>
                <w:rFonts w:cs="Arial"/>
                <w:sz w:val="18"/>
                <w:szCs w:val="18"/>
              </w:rPr>
            </w:pPr>
            <w:r w:rsidRPr="007E08EE">
              <w:rPr>
                <w:rFonts w:cs="Arial"/>
                <w:sz w:val="18"/>
                <w:szCs w:val="18"/>
              </w:rPr>
              <w:lastRenderedPageBreak/>
              <w:t>Fp-297 de 2021</w:t>
            </w:r>
          </w:p>
        </w:tc>
        <w:tc>
          <w:tcPr>
            <w:tcW w:w="2126" w:type="dxa"/>
            <w:vAlign w:val="center"/>
            <w:hideMark/>
          </w:tcPr>
          <w:p w14:paraId="5175B8D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Fondo de programas especiales para la paz del departamento</w:t>
            </w:r>
            <w:r w:rsidRPr="007E08EE">
              <w:rPr>
                <w:rFonts w:cs="Arial"/>
                <w:sz w:val="18"/>
                <w:szCs w:val="18"/>
              </w:rPr>
              <w:br/>
              <w:t>administrativo de la presidencia de la república - DAPRE</w:t>
            </w:r>
          </w:p>
        </w:tc>
        <w:tc>
          <w:tcPr>
            <w:tcW w:w="3969" w:type="dxa"/>
            <w:noWrap/>
            <w:vAlign w:val="center"/>
            <w:hideMark/>
          </w:tcPr>
          <w:p w14:paraId="2C40E3F4"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$3.700.000</w:t>
            </w:r>
          </w:p>
        </w:tc>
        <w:tc>
          <w:tcPr>
            <w:tcW w:w="1559" w:type="dxa"/>
            <w:vAlign w:val="center"/>
            <w:hideMark/>
          </w:tcPr>
          <w:p w14:paraId="5075C4EE"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498F0269" w14:textId="77777777" w:rsidTr="00F767FC">
        <w:trPr>
          <w:trHeight w:val="765"/>
        </w:trPr>
        <w:tc>
          <w:tcPr>
            <w:cnfStyle w:val="001000000000" w:firstRow="0" w:lastRow="0" w:firstColumn="1" w:lastColumn="0" w:oddVBand="0" w:evenVBand="0" w:oddHBand="0" w:evenHBand="0" w:firstRowFirstColumn="0" w:firstRowLastColumn="0" w:lastRowFirstColumn="0" w:lastRowLastColumn="0"/>
            <w:tcW w:w="1980" w:type="dxa"/>
            <w:vMerge w:val="restart"/>
            <w:vAlign w:val="center"/>
            <w:hideMark/>
          </w:tcPr>
          <w:p w14:paraId="0CD3CD1C" w14:textId="77777777" w:rsidR="00A6302C" w:rsidRPr="007E08EE" w:rsidRDefault="00495C4F" w:rsidP="00A6302C">
            <w:pPr>
              <w:spacing w:line="276" w:lineRule="auto"/>
              <w:jc w:val="center"/>
              <w:rPr>
                <w:rFonts w:cs="Arial"/>
                <w:sz w:val="18"/>
                <w:szCs w:val="18"/>
              </w:rPr>
            </w:pPr>
            <w:r w:rsidRPr="007E08EE">
              <w:rPr>
                <w:rFonts w:cs="Arial"/>
                <w:sz w:val="18"/>
                <w:szCs w:val="18"/>
              </w:rPr>
              <w:t>5306/2021</w:t>
            </w:r>
          </w:p>
        </w:tc>
        <w:tc>
          <w:tcPr>
            <w:tcW w:w="2126" w:type="dxa"/>
            <w:vAlign w:val="center"/>
            <w:hideMark/>
          </w:tcPr>
          <w:p w14:paraId="34705DC0" w14:textId="29F04B7E"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Oleoducto de los llanos orientales s.a. Sucursal Colombia no. 4100403</w:t>
            </w:r>
          </w:p>
        </w:tc>
        <w:tc>
          <w:tcPr>
            <w:tcW w:w="3969" w:type="dxa"/>
            <w:noWrap/>
            <w:vAlign w:val="center"/>
            <w:hideMark/>
          </w:tcPr>
          <w:p w14:paraId="55C95987"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$40.000.000</w:t>
            </w:r>
          </w:p>
        </w:tc>
        <w:tc>
          <w:tcPr>
            <w:tcW w:w="1559" w:type="dxa"/>
            <w:vMerge w:val="restart"/>
            <w:noWrap/>
            <w:vAlign w:val="center"/>
            <w:hideMark/>
          </w:tcPr>
          <w:p w14:paraId="287C7486"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15ED9540"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Merge/>
            <w:vAlign w:val="center"/>
            <w:hideMark/>
          </w:tcPr>
          <w:p w14:paraId="0E5C45CC" w14:textId="77777777" w:rsidR="00A6302C" w:rsidRPr="007E08EE" w:rsidRDefault="00A6302C" w:rsidP="00A6302C">
            <w:pPr>
              <w:spacing w:line="276" w:lineRule="auto"/>
              <w:jc w:val="center"/>
              <w:rPr>
                <w:rFonts w:cs="Arial"/>
                <w:sz w:val="18"/>
                <w:szCs w:val="18"/>
              </w:rPr>
            </w:pPr>
          </w:p>
        </w:tc>
        <w:tc>
          <w:tcPr>
            <w:tcW w:w="2126" w:type="dxa"/>
            <w:vAlign w:val="center"/>
            <w:hideMark/>
          </w:tcPr>
          <w:p w14:paraId="04EE59D0"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Oleoducto bicentenario de Colombia S.A.S. No.4100404</w:t>
            </w:r>
          </w:p>
        </w:tc>
        <w:tc>
          <w:tcPr>
            <w:tcW w:w="3969" w:type="dxa"/>
            <w:noWrap/>
            <w:vAlign w:val="center"/>
            <w:hideMark/>
          </w:tcPr>
          <w:p w14:paraId="46F8249A"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$38.000.000</w:t>
            </w:r>
          </w:p>
        </w:tc>
        <w:tc>
          <w:tcPr>
            <w:tcW w:w="1559" w:type="dxa"/>
            <w:vMerge/>
            <w:vAlign w:val="center"/>
            <w:hideMark/>
          </w:tcPr>
          <w:p w14:paraId="38A10FF2" w14:textId="77777777" w:rsidR="00A6302C" w:rsidRPr="007E08EE" w:rsidRDefault="00A6302C"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r>
      <w:tr w:rsidR="00A6302C" w:rsidRPr="00512493" w14:paraId="7CBE6223" w14:textId="77777777" w:rsidTr="00F767FC">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56838606" w14:textId="77777777" w:rsidR="00A6302C" w:rsidRPr="007E08EE" w:rsidRDefault="00495C4F" w:rsidP="00A6302C">
            <w:pPr>
              <w:spacing w:line="276" w:lineRule="auto"/>
              <w:jc w:val="center"/>
              <w:rPr>
                <w:rFonts w:cs="Arial"/>
                <w:sz w:val="18"/>
                <w:szCs w:val="18"/>
              </w:rPr>
            </w:pPr>
            <w:r w:rsidRPr="007E08EE">
              <w:rPr>
                <w:rFonts w:cs="Arial"/>
                <w:sz w:val="18"/>
                <w:szCs w:val="18"/>
              </w:rPr>
              <w:t>5308/2021</w:t>
            </w:r>
          </w:p>
        </w:tc>
        <w:tc>
          <w:tcPr>
            <w:tcW w:w="2126" w:type="dxa"/>
            <w:vAlign w:val="center"/>
            <w:hideMark/>
          </w:tcPr>
          <w:p w14:paraId="0EB982DA" w14:textId="7454D7C4"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Concay s.a. N° 226-2021 de 2021</w:t>
            </w:r>
          </w:p>
        </w:tc>
        <w:tc>
          <w:tcPr>
            <w:tcW w:w="3969" w:type="dxa"/>
            <w:noWrap/>
            <w:vAlign w:val="center"/>
            <w:hideMark/>
          </w:tcPr>
          <w:p w14:paraId="7DDDA388"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$90.000.000</w:t>
            </w:r>
          </w:p>
        </w:tc>
        <w:tc>
          <w:tcPr>
            <w:tcW w:w="1559" w:type="dxa"/>
            <w:noWrap/>
            <w:vAlign w:val="center"/>
            <w:hideMark/>
          </w:tcPr>
          <w:p w14:paraId="3AD79D68"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441A9CAD"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2EC7E43C" w14:textId="77777777" w:rsidR="00A6302C" w:rsidRPr="007E08EE" w:rsidRDefault="00495C4F" w:rsidP="00A6302C">
            <w:pPr>
              <w:spacing w:line="276" w:lineRule="auto"/>
              <w:jc w:val="center"/>
              <w:rPr>
                <w:rFonts w:cs="Arial"/>
                <w:sz w:val="18"/>
                <w:szCs w:val="18"/>
              </w:rPr>
            </w:pPr>
            <w:r w:rsidRPr="007E08EE">
              <w:rPr>
                <w:rFonts w:cs="Arial"/>
                <w:sz w:val="18"/>
                <w:szCs w:val="18"/>
              </w:rPr>
              <w:t>Env-07-09-1014-21</w:t>
            </w:r>
          </w:p>
        </w:tc>
        <w:tc>
          <w:tcPr>
            <w:tcW w:w="2126" w:type="dxa"/>
            <w:vAlign w:val="center"/>
            <w:hideMark/>
          </w:tcPr>
          <w:p w14:paraId="458B8DAA"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Alcaldía municipal de envigado no. Env-07-09-1014-21</w:t>
            </w:r>
          </w:p>
        </w:tc>
        <w:tc>
          <w:tcPr>
            <w:tcW w:w="3969" w:type="dxa"/>
            <w:noWrap/>
            <w:vAlign w:val="center"/>
            <w:hideMark/>
          </w:tcPr>
          <w:p w14:paraId="15C6919F"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$2.600.000</w:t>
            </w:r>
          </w:p>
        </w:tc>
        <w:tc>
          <w:tcPr>
            <w:tcW w:w="1559" w:type="dxa"/>
            <w:noWrap/>
            <w:vAlign w:val="center"/>
            <w:hideMark/>
          </w:tcPr>
          <w:p w14:paraId="7DCD3296"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5B372ECE" w14:textId="77777777" w:rsidTr="00F767FC">
        <w:trPr>
          <w:trHeight w:val="765"/>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BF9802C" w14:textId="77777777" w:rsidR="00A6302C" w:rsidRPr="007E08EE" w:rsidRDefault="00495C4F" w:rsidP="00A6302C">
            <w:pPr>
              <w:spacing w:line="276" w:lineRule="auto"/>
              <w:jc w:val="center"/>
              <w:rPr>
                <w:rFonts w:cs="Arial"/>
                <w:sz w:val="18"/>
                <w:szCs w:val="18"/>
              </w:rPr>
            </w:pPr>
            <w:r w:rsidRPr="007E08EE">
              <w:rPr>
                <w:rFonts w:cs="Arial"/>
                <w:sz w:val="18"/>
                <w:szCs w:val="18"/>
              </w:rPr>
              <w:t>5314/2021</w:t>
            </w:r>
          </w:p>
        </w:tc>
        <w:tc>
          <w:tcPr>
            <w:tcW w:w="2126" w:type="dxa"/>
            <w:vAlign w:val="center"/>
            <w:hideMark/>
          </w:tcPr>
          <w:p w14:paraId="3DB70455"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Fondo de pasivo social de ferrocarriles nacionales de Colombia - fps no. 317 de 2021</w:t>
            </w:r>
          </w:p>
        </w:tc>
        <w:tc>
          <w:tcPr>
            <w:tcW w:w="3969" w:type="dxa"/>
            <w:noWrap/>
            <w:vAlign w:val="center"/>
            <w:hideMark/>
          </w:tcPr>
          <w:p w14:paraId="312DFD62"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$25.500.000</w:t>
            </w:r>
          </w:p>
        </w:tc>
        <w:tc>
          <w:tcPr>
            <w:tcW w:w="1559" w:type="dxa"/>
            <w:vAlign w:val="center"/>
            <w:hideMark/>
          </w:tcPr>
          <w:p w14:paraId="4C5E5D89"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29660414"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6F0B6D19" w14:textId="77777777" w:rsidR="00A6302C" w:rsidRPr="007E08EE" w:rsidRDefault="00495C4F" w:rsidP="00A6302C">
            <w:pPr>
              <w:spacing w:line="276" w:lineRule="auto"/>
              <w:jc w:val="center"/>
              <w:rPr>
                <w:rFonts w:cs="Arial"/>
                <w:sz w:val="18"/>
                <w:szCs w:val="18"/>
              </w:rPr>
            </w:pPr>
            <w:r w:rsidRPr="007E08EE">
              <w:rPr>
                <w:rFonts w:cs="Arial"/>
                <w:sz w:val="18"/>
                <w:szCs w:val="18"/>
              </w:rPr>
              <w:t>005/2021</w:t>
            </w:r>
          </w:p>
        </w:tc>
        <w:tc>
          <w:tcPr>
            <w:tcW w:w="2126" w:type="dxa"/>
            <w:vAlign w:val="center"/>
            <w:hideMark/>
          </w:tcPr>
          <w:p w14:paraId="2465573D" w14:textId="75E67430"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Instituto de fomento y desarrollo de Boyacá - ideboy no. 005 de 2021</w:t>
            </w:r>
          </w:p>
        </w:tc>
        <w:tc>
          <w:tcPr>
            <w:tcW w:w="3969" w:type="dxa"/>
            <w:noWrap/>
            <w:vAlign w:val="center"/>
            <w:hideMark/>
          </w:tcPr>
          <w:p w14:paraId="5ED07C13"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$35.000.000</w:t>
            </w:r>
          </w:p>
        </w:tc>
        <w:tc>
          <w:tcPr>
            <w:tcW w:w="1559" w:type="dxa"/>
            <w:noWrap/>
            <w:vAlign w:val="center"/>
            <w:hideMark/>
          </w:tcPr>
          <w:p w14:paraId="7F34D89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5941D575" w14:textId="77777777" w:rsidTr="00F767FC">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9B74A68" w14:textId="77777777" w:rsidR="00A6302C" w:rsidRPr="007E08EE" w:rsidRDefault="00495C4F" w:rsidP="00A6302C">
            <w:pPr>
              <w:spacing w:line="276" w:lineRule="auto"/>
              <w:jc w:val="center"/>
              <w:rPr>
                <w:rFonts w:cs="Arial"/>
                <w:sz w:val="18"/>
                <w:szCs w:val="18"/>
              </w:rPr>
            </w:pPr>
            <w:r w:rsidRPr="007E08EE">
              <w:rPr>
                <w:rFonts w:cs="Arial"/>
                <w:sz w:val="18"/>
                <w:szCs w:val="18"/>
              </w:rPr>
              <w:t>No 001 de 2021</w:t>
            </w:r>
          </w:p>
        </w:tc>
        <w:tc>
          <w:tcPr>
            <w:tcW w:w="2126" w:type="dxa"/>
            <w:vAlign w:val="center"/>
            <w:hideMark/>
          </w:tcPr>
          <w:p w14:paraId="17AE5B24"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Alcaldía zaragoza - Antioquia</w:t>
            </w:r>
          </w:p>
        </w:tc>
        <w:tc>
          <w:tcPr>
            <w:tcW w:w="3969" w:type="dxa"/>
            <w:noWrap/>
            <w:vAlign w:val="center"/>
            <w:hideMark/>
          </w:tcPr>
          <w:p w14:paraId="16EB2203"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$50.000.000</w:t>
            </w:r>
          </w:p>
        </w:tc>
        <w:tc>
          <w:tcPr>
            <w:tcW w:w="1559" w:type="dxa"/>
            <w:noWrap/>
            <w:vAlign w:val="center"/>
            <w:hideMark/>
          </w:tcPr>
          <w:p w14:paraId="55848DD4"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1EE741BF"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DA6C25E" w14:textId="77777777" w:rsidR="00A6302C" w:rsidRPr="007E08EE" w:rsidRDefault="00495C4F" w:rsidP="00A6302C">
            <w:pPr>
              <w:spacing w:line="276" w:lineRule="auto"/>
              <w:jc w:val="center"/>
              <w:rPr>
                <w:rFonts w:cs="Arial"/>
                <w:sz w:val="18"/>
                <w:szCs w:val="18"/>
              </w:rPr>
            </w:pPr>
            <w:r w:rsidRPr="007E08EE">
              <w:rPr>
                <w:rFonts w:cs="Arial"/>
                <w:sz w:val="18"/>
                <w:szCs w:val="18"/>
              </w:rPr>
              <w:t>No. 037-2021- igac no. 5323 de 2021</w:t>
            </w:r>
          </w:p>
        </w:tc>
        <w:tc>
          <w:tcPr>
            <w:tcW w:w="2126" w:type="dxa"/>
            <w:vAlign w:val="center"/>
            <w:hideMark/>
          </w:tcPr>
          <w:p w14:paraId="117B7A53"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Alcaldía Guatapé - Antioquia</w:t>
            </w:r>
          </w:p>
        </w:tc>
        <w:tc>
          <w:tcPr>
            <w:tcW w:w="3969" w:type="dxa"/>
            <w:noWrap/>
            <w:vAlign w:val="center"/>
            <w:hideMark/>
          </w:tcPr>
          <w:p w14:paraId="49108464"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$5.000.000</w:t>
            </w:r>
          </w:p>
        </w:tc>
        <w:tc>
          <w:tcPr>
            <w:tcW w:w="1559" w:type="dxa"/>
            <w:vAlign w:val="center"/>
            <w:hideMark/>
          </w:tcPr>
          <w:p w14:paraId="19B3B9B0"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49269477" w14:textId="77777777" w:rsidTr="00F767FC">
        <w:trPr>
          <w:trHeight w:val="765"/>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28D207B1" w14:textId="77777777" w:rsidR="00A6302C" w:rsidRPr="007E08EE" w:rsidRDefault="00495C4F" w:rsidP="00A6302C">
            <w:pPr>
              <w:spacing w:line="276" w:lineRule="auto"/>
              <w:jc w:val="center"/>
              <w:rPr>
                <w:rFonts w:cs="Arial"/>
                <w:sz w:val="18"/>
                <w:szCs w:val="18"/>
              </w:rPr>
            </w:pPr>
            <w:r w:rsidRPr="007E08EE">
              <w:rPr>
                <w:rFonts w:cs="Arial"/>
                <w:sz w:val="18"/>
                <w:szCs w:val="18"/>
              </w:rPr>
              <w:t>388/2021</w:t>
            </w:r>
          </w:p>
        </w:tc>
        <w:tc>
          <w:tcPr>
            <w:tcW w:w="2126" w:type="dxa"/>
            <w:vAlign w:val="center"/>
            <w:hideMark/>
          </w:tcPr>
          <w:p w14:paraId="1C7DD9D5"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Fondo de pasivo social de ferrocarriles nacionales de Colombia  -  fps no. 388 de 2021</w:t>
            </w:r>
          </w:p>
        </w:tc>
        <w:tc>
          <w:tcPr>
            <w:tcW w:w="3969" w:type="dxa"/>
            <w:noWrap/>
            <w:vAlign w:val="center"/>
            <w:hideMark/>
          </w:tcPr>
          <w:p w14:paraId="231A93A0"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$42.970.000</w:t>
            </w:r>
          </w:p>
        </w:tc>
        <w:tc>
          <w:tcPr>
            <w:tcW w:w="1559" w:type="dxa"/>
            <w:noWrap/>
            <w:vAlign w:val="center"/>
            <w:hideMark/>
          </w:tcPr>
          <w:p w14:paraId="4D9E3365"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3752AAC4"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681A6CD9" w14:textId="77777777" w:rsidR="00A6302C" w:rsidRPr="007E08EE" w:rsidRDefault="00495C4F" w:rsidP="00A6302C">
            <w:pPr>
              <w:spacing w:line="276" w:lineRule="auto"/>
              <w:jc w:val="center"/>
              <w:rPr>
                <w:rFonts w:cs="Arial"/>
                <w:sz w:val="18"/>
                <w:szCs w:val="18"/>
              </w:rPr>
            </w:pPr>
            <w:r w:rsidRPr="007E08EE">
              <w:rPr>
                <w:rFonts w:cs="Arial"/>
                <w:sz w:val="18"/>
                <w:szCs w:val="18"/>
              </w:rPr>
              <w:t>Mc-ci-05-2021</w:t>
            </w:r>
          </w:p>
        </w:tc>
        <w:tc>
          <w:tcPr>
            <w:tcW w:w="2126" w:type="dxa"/>
            <w:vAlign w:val="center"/>
            <w:hideMark/>
          </w:tcPr>
          <w:p w14:paraId="58CEB5F2"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Alcaldía municipal Chiquiza - Boyacá</w:t>
            </w:r>
          </w:p>
        </w:tc>
        <w:tc>
          <w:tcPr>
            <w:tcW w:w="3969" w:type="dxa"/>
            <w:noWrap/>
            <w:vAlign w:val="center"/>
            <w:hideMark/>
          </w:tcPr>
          <w:p w14:paraId="0D26DB16"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$3.100.000</w:t>
            </w:r>
          </w:p>
        </w:tc>
        <w:tc>
          <w:tcPr>
            <w:tcW w:w="1559" w:type="dxa"/>
            <w:vAlign w:val="center"/>
            <w:hideMark/>
          </w:tcPr>
          <w:p w14:paraId="26AF8A20"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Ejecutado</w:t>
            </w:r>
          </w:p>
        </w:tc>
      </w:tr>
      <w:tr w:rsidR="00A6302C" w:rsidRPr="00512493" w14:paraId="34EABCCA" w14:textId="77777777" w:rsidTr="00F767FC">
        <w:trPr>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796E036E" w14:textId="77777777" w:rsidR="00A6302C" w:rsidRPr="007E08EE" w:rsidRDefault="00495C4F" w:rsidP="00A6302C">
            <w:pPr>
              <w:spacing w:line="276" w:lineRule="auto"/>
              <w:jc w:val="center"/>
              <w:rPr>
                <w:rFonts w:cs="Arial"/>
                <w:sz w:val="18"/>
                <w:szCs w:val="18"/>
              </w:rPr>
            </w:pPr>
            <w:r w:rsidRPr="007E08EE">
              <w:rPr>
                <w:rFonts w:cs="Arial"/>
                <w:sz w:val="18"/>
                <w:szCs w:val="18"/>
              </w:rPr>
              <w:t>225 de 2021</w:t>
            </w:r>
          </w:p>
        </w:tc>
        <w:tc>
          <w:tcPr>
            <w:tcW w:w="2126" w:type="dxa"/>
            <w:vAlign w:val="center"/>
            <w:hideMark/>
          </w:tcPr>
          <w:p w14:paraId="0C869830"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Unidad administrativa especial junta central de contadores</w:t>
            </w:r>
          </w:p>
        </w:tc>
        <w:tc>
          <w:tcPr>
            <w:tcW w:w="3969" w:type="dxa"/>
            <w:noWrap/>
            <w:vAlign w:val="center"/>
            <w:hideMark/>
          </w:tcPr>
          <w:p w14:paraId="22891B6B"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$5.650.000</w:t>
            </w:r>
          </w:p>
        </w:tc>
        <w:tc>
          <w:tcPr>
            <w:tcW w:w="1559" w:type="dxa"/>
            <w:noWrap/>
            <w:vAlign w:val="center"/>
            <w:hideMark/>
          </w:tcPr>
          <w:p w14:paraId="00ED9145"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4B25C746" w14:textId="77777777" w:rsidTr="00F767F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2C59581E" w14:textId="77777777" w:rsidR="00A6302C" w:rsidRPr="007E08EE" w:rsidRDefault="00495C4F" w:rsidP="00A6302C">
            <w:pPr>
              <w:spacing w:line="276" w:lineRule="auto"/>
              <w:jc w:val="center"/>
              <w:rPr>
                <w:rFonts w:cs="Arial"/>
                <w:sz w:val="18"/>
                <w:szCs w:val="18"/>
              </w:rPr>
            </w:pPr>
            <w:r w:rsidRPr="007E08EE">
              <w:rPr>
                <w:rFonts w:cs="Arial"/>
                <w:sz w:val="18"/>
                <w:szCs w:val="18"/>
              </w:rPr>
              <w:t>5316 de 2021</w:t>
            </w:r>
          </w:p>
        </w:tc>
        <w:tc>
          <w:tcPr>
            <w:tcW w:w="2126" w:type="dxa"/>
            <w:vAlign w:val="center"/>
            <w:hideMark/>
          </w:tcPr>
          <w:p w14:paraId="7A9647DB"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Yebrail Rincón pacheco</w:t>
            </w:r>
          </w:p>
        </w:tc>
        <w:tc>
          <w:tcPr>
            <w:tcW w:w="3969" w:type="dxa"/>
            <w:noWrap/>
            <w:vAlign w:val="center"/>
            <w:hideMark/>
          </w:tcPr>
          <w:p w14:paraId="724F93A8"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$6.300.000</w:t>
            </w:r>
          </w:p>
        </w:tc>
        <w:tc>
          <w:tcPr>
            <w:tcW w:w="1559" w:type="dxa"/>
            <w:noWrap/>
            <w:vAlign w:val="center"/>
            <w:hideMark/>
          </w:tcPr>
          <w:p w14:paraId="71E07642"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14F91E9A" w14:textId="77777777" w:rsidTr="00F767FC">
        <w:trPr>
          <w:trHeight w:val="501"/>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035AA7AB" w14:textId="77777777" w:rsidR="00A6302C" w:rsidRPr="007E08EE" w:rsidRDefault="00495C4F" w:rsidP="00A6302C">
            <w:pPr>
              <w:spacing w:line="276" w:lineRule="auto"/>
              <w:jc w:val="center"/>
              <w:rPr>
                <w:rFonts w:cs="Arial"/>
                <w:sz w:val="18"/>
                <w:szCs w:val="18"/>
              </w:rPr>
            </w:pPr>
            <w:r w:rsidRPr="007E08EE">
              <w:rPr>
                <w:rFonts w:cs="Arial"/>
                <w:sz w:val="18"/>
                <w:szCs w:val="18"/>
              </w:rPr>
              <w:t>Idu-1557-2021</w:t>
            </w:r>
          </w:p>
        </w:tc>
        <w:tc>
          <w:tcPr>
            <w:tcW w:w="2126" w:type="dxa"/>
            <w:vAlign w:val="center"/>
            <w:hideMark/>
          </w:tcPr>
          <w:p w14:paraId="47DEF96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Instituto de desarrollo urbano - IDU</w:t>
            </w:r>
          </w:p>
        </w:tc>
        <w:tc>
          <w:tcPr>
            <w:tcW w:w="3969" w:type="dxa"/>
            <w:noWrap/>
            <w:vAlign w:val="center"/>
            <w:hideMark/>
          </w:tcPr>
          <w:p w14:paraId="5013AE2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$33.160.000</w:t>
            </w:r>
          </w:p>
        </w:tc>
        <w:tc>
          <w:tcPr>
            <w:tcW w:w="1559" w:type="dxa"/>
            <w:noWrap/>
            <w:vAlign w:val="center"/>
            <w:hideMark/>
          </w:tcPr>
          <w:p w14:paraId="1E0DDD8D" w14:textId="77777777" w:rsidR="00A6302C" w:rsidRPr="007E08EE"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41410A99" w14:textId="77777777" w:rsidTr="00F767FC">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3417AC26" w14:textId="77777777" w:rsidR="00A6302C" w:rsidRPr="007E08EE" w:rsidRDefault="00495C4F" w:rsidP="00A6302C">
            <w:pPr>
              <w:spacing w:line="276" w:lineRule="auto"/>
              <w:jc w:val="center"/>
              <w:rPr>
                <w:rFonts w:cs="Arial"/>
                <w:sz w:val="18"/>
                <w:szCs w:val="18"/>
              </w:rPr>
            </w:pPr>
            <w:r w:rsidRPr="007E08EE">
              <w:rPr>
                <w:rFonts w:cs="Arial"/>
                <w:sz w:val="18"/>
                <w:szCs w:val="18"/>
              </w:rPr>
              <w:t>Pnn 001 de 2021</w:t>
            </w:r>
          </w:p>
        </w:tc>
        <w:tc>
          <w:tcPr>
            <w:tcW w:w="2126" w:type="dxa"/>
            <w:vAlign w:val="center"/>
            <w:hideMark/>
          </w:tcPr>
          <w:p w14:paraId="0B33FC1C"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Parques nacionales naturales de Colombia</w:t>
            </w:r>
          </w:p>
        </w:tc>
        <w:tc>
          <w:tcPr>
            <w:tcW w:w="3969" w:type="dxa"/>
            <w:noWrap/>
            <w:vAlign w:val="center"/>
            <w:hideMark/>
          </w:tcPr>
          <w:p w14:paraId="645B6A87"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$102.000.000</w:t>
            </w:r>
          </w:p>
        </w:tc>
        <w:tc>
          <w:tcPr>
            <w:tcW w:w="1559" w:type="dxa"/>
            <w:noWrap/>
            <w:vAlign w:val="center"/>
            <w:hideMark/>
          </w:tcPr>
          <w:p w14:paraId="2212AB44" w14:textId="77777777" w:rsidR="00A6302C" w:rsidRPr="007E08EE" w:rsidRDefault="00495C4F" w:rsidP="00A6302C">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7E08EE">
              <w:rPr>
                <w:rFonts w:cs="Arial"/>
                <w:sz w:val="18"/>
                <w:szCs w:val="18"/>
              </w:rPr>
              <w:t>En ejecución</w:t>
            </w:r>
          </w:p>
        </w:tc>
      </w:tr>
      <w:tr w:rsidR="00A6302C" w:rsidRPr="00512493" w14:paraId="5BB46E46" w14:textId="77777777" w:rsidTr="00F767FC">
        <w:trPr>
          <w:trHeight w:val="300"/>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77406094" w14:textId="77777777" w:rsidR="00A6302C" w:rsidRPr="007E08EE" w:rsidRDefault="00A6302C" w:rsidP="00A6302C">
            <w:pPr>
              <w:spacing w:line="276" w:lineRule="auto"/>
              <w:jc w:val="center"/>
              <w:rPr>
                <w:rFonts w:cs="Arial"/>
                <w:sz w:val="18"/>
                <w:szCs w:val="18"/>
              </w:rPr>
            </w:pPr>
          </w:p>
        </w:tc>
        <w:tc>
          <w:tcPr>
            <w:tcW w:w="2126" w:type="dxa"/>
            <w:noWrap/>
            <w:vAlign w:val="center"/>
            <w:hideMark/>
          </w:tcPr>
          <w:p w14:paraId="7BC5F52A" w14:textId="77777777" w:rsidR="00A6302C" w:rsidRPr="007E08EE" w:rsidRDefault="00A6302C"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3969" w:type="dxa"/>
            <w:noWrap/>
            <w:vAlign w:val="center"/>
            <w:hideMark/>
          </w:tcPr>
          <w:p w14:paraId="745B3F92" w14:textId="77777777" w:rsidR="00A6302C" w:rsidRPr="0022711B" w:rsidRDefault="00495C4F"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b/>
                <w:bCs/>
                <w:sz w:val="18"/>
                <w:szCs w:val="18"/>
              </w:rPr>
            </w:pPr>
            <w:r w:rsidRPr="0022711B">
              <w:rPr>
                <w:rFonts w:cs="Arial"/>
                <w:b/>
                <w:bCs/>
                <w:sz w:val="18"/>
                <w:szCs w:val="18"/>
              </w:rPr>
              <w:t>$3.913.277.809</w:t>
            </w:r>
          </w:p>
        </w:tc>
        <w:tc>
          <w:tcPr>
            <w:tcW w:w="1559" w:type="dxa"/>
            <w:noWrap/>
            <w:vAlign w:val="center"/>
            <w:hideMark/>
          </w:tcPr>
          <w:p w14:paraId="6BA2B2DB" w14:textId="77777777" w:rsidR="00A6302C" w:rsidRPr="007E08EE" w:rsidRDefault="00A6302C" w:rsidP="00A6302C">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r>
    </w:tbl>
    <w:p w14:paraId="31E61B88" w14:textId="2E01E168" w:rsidR="00A6302C" w:rsidRPr="00957FE1" w:rsidRDefault="00495C4F" w:rsidP="00A6302C">
      <w:pPr>
        <w:spacing w:line="276" w:lineRule="auto"/>
        <w:jc w:val="center"/>
        <w:rPr>
          <w:rFonts w:cs="Arial"/>
          <w:b/>
          <w:bCs/>
          <w:sz w:val="16"/>
          <w:szCs w:val="16"/>
        </w:rPr>
      </w:pPr>
      <w:r w:rsidRPr="00957FE1">
        <w:rPr>
          <w:rFonts w:cs="Arial"/>
          <w:b/>
          <w:bCs/>
          <w:sz w:val="16"/>
          <w:szCs w:val="16"/>
        </w:rPr>
        <w:t>Fuente: Subdirección de Avalúos</w:t>
      </w:r>
    </w:p>
    <w:p w14:paraId="63BB03CD" w14:textId="77777777" w:rsidR="00A6302C" w:rsidRPr="00F60362" w:rsidRDefault="00A6302C" w:rsidP="002873AF">
      <w:pPr>
        <w:jc w:val="both"/>
        <w:rPr>
          <w:rFonts w:cs="Arial"/>
          <w:sz w:val="22"/>
          <w:szCs w:val="22"/>
          <w:lang w:val="es-CO"/>
        </w:rPr>
      </w:pPr>
    </w:p>
    <w:p w14:paraId="188DAFAF" w14:textId="77777777" w:rsidR="00A6302C" w:rsidRPr="00AF0849" w:rsidRDefault="00495C4F" w:rsidP="002873AF">
      <w:pPr>
        <w:jc w:val="both"/>
        <w:rPr>
          <w:rFonts w:cs="Arial"/>
          <w:sz w:val="22"/>
          <w:szCs w:val="22"/>
        </w:rPr>
      </w:pPr>
      <w:r w:rsidRPr="00AF0849">
        <w:rPr>
          <w:rFonts w:cs="Arial"/>
          <w:sz w:val="22"/>
          <w:szCs w:val="22"/>
        </w:rPr>
        <w:lastRenderedPageBreak/>
        <w:t xml:space="preserve">Por otro lado, se finalizó el trabajo de campo para la determinación del Índice de Valoración Predial (IVP) 2021. Se llevó a cabo la recolección de información en campo en 22 ciudades principales de Colombia. </w:t>
      </w:r>
    </w:p>
    <w:p w14:paraId="0E9988BF" w14:textId="77777777" w:rsidR="00A6302C" w:rsidRPr="00AF0849" w:rsidRDefault="00A6302C" w:rsidP="002873AF">
      <w:pPr>
        <w:jc w:val="both"/>
        <w:rPr>
          <w:rFonts w:cs="Arial"/>
          <w:sz w:val="22"/>
          <w:szCs w:val="22"/>
        </w:rPr>
      </w:pPr>
    </w:p>
    <w:p w14:paraId="331FB565" w14:textId="77777777" w:rsidR="00A6302C" w:rsidRPr="00AF0849" w:rsidRDefault="00495C4F" w:rsidP="002873AF">
      <w:pPr>
        <w:jc w:val="both"/>
        <w:rPr>
          <w:rFonts w:cs="Arial"/>
          <w:color w:val="FF0000"/>
          <w:sz w:val="22"/>
          <w:szCs w:val="22"/>
          <w:lang w:val="es-CO"/>
        </w:rPr>
      </w:pPr>
      <w:r w:rsidRPr="00AF0849">
        <w:rPr>
          <w:rFonts w:cs="Arial"/>
          <w:sz w:val="22"/>
          <w:szCs w:val="22"/>
        </w:rPr>
        <w:t xml:space="preserve">Se han definido los requerimientos funcionales para el módulo de avalúos con lo cual se busca llevar en tiempo real el seguimiento y control de la ejecución de los avalúos comerciales, Se encuentra pendiente desarrollar un cronograma con la </w:t>
      </w:r>
      <w:r w:rsidRPr="00AF0849">
        <w:rPr>
          <w:rFonts w:cs="Arial"/>
          <w:color w:val="333333"/>
          <w:sz w:val="22"/>
          <w:szCs w:val="22"/>
          <w:shd w:val="clear" w:color="auto" w:fill="FFFFFF"/>
        </w:rPr>
        <w:t>Dirección de Tecnologías de la Información y Comunicaciones para el desarrollo del módulo en el 2022.</w:t>
      </w:r>
    </w:p>
    <w:p w14:paraId="627EAB65" w14:textId="77777777" w:rsidR="00A6302C" w:rsidRPr="00FB13A0" w:rsidRDefault="00A6302C" w:rsidP="002873AF">
      <w:pPr>
        <w:jc w:val="center"/>
        <w:rPr>
          <w:rFonts w:cs="Arial"/>
        </w:rPr>
      </w:pPr>
    </w:p>
    <w:p w14:paraId="30823B60" w14:textId="22427A02" w:rsidR="00A6302C" w:rsidRDefault="00495C4F" w:rsidP="002873AF">
      <w:pPr>
        <w:rPr>
          <w:b/>
          <w:sz w:val="22"/>
        </w:rPr>
      </w:pPr>
      <w:bookmarkStart w:id="57" w:name="_Toc62859531"/>
      <w:r w:rsidRPr="00F767FC">
        <w:rPr>
          <w:b/>
          <w:sz w:val="22"/>
        </w:rPr>
        <w:t>POLÍTICA DE REPARACIÓN A VÍCTIMAS Y RESTITUCIÓN DE TIERRAS</w:t>
      </w:r>
      <w:bookmarkEnd w:id="57"/>
    </w:p>
    <w:p w14:paraId="6E6A0C1E" w14:textId="77777777" w:rsidR="00F767FC" w:rsidRPr="00F767FC" w:rsidRDefault="00F767FC" w:rsidP="002873AF">
      <w:pPr>
        <w:rPr>
          <w:b/>
          <w:sz w:val="22"/>
        </w:rPr>
      </w:pPr>
    </w:p>
    <w:p w14:paraId="0F2CAB1E" w14:textId="77777777" w:rsidR="00A6302C" w:rsidRPr="00AF0849" w:rsidRDefault="00495C4F" w:rsidP="002873AF">
      <w:pPr>
        <w:jc w:val="both"/>
        <w:rPr>
          <w:rFonts w:cs="Arial"/>
          <w:sz w:val="22"/>
          <w:szCs w:val="22"/>
        </w:rPr>
      </w:pPr>
      <w:r w:rsidRPr="00AF0849">
        <w:rPr>
          <w:rFonts w:cs="Arial"/>
          <w:sz w:val="22"/>
          <w:szCs w:val="22"/>
        </w:rPr>
        <w:t>Se actualizaron los procedimientos de atención de solicitudes y requerimientos por parte de la Unidad Administrativa Especial de Gestión de Restitución de Tierras Despojadas (UAEGRTD) en el marco de la Ley 1448 de 2011 y atención de requerimientos judiciales de jueces y/o magistrados civiles especializados en restitución de tierras, en el marco de la Ley 1448 de 2011, se presentaron los siguientes avances:</w:t>
      </w:r>
    </w:p>
    <w:p w14:paraId="3FAD5E30" w14:textId="77777777" w:rsidR="00A6302C" w:rsidRPr="00AF0849" w:rsidRDefault="00A6302C" w:rsidP="00A6302C">
      <w:pPr>
        <w:spacing w:line="276" w:lineRule="auto"/>
        <w:jc w:val="both"/>
        <w:rPr>
          <w:rFonts w:cs="Arial"/>
          <w:sz w:val="22"/>
          <w:szCs w:val="22"/>
        </w:rPr>
      </w:pPr>
    </w:p>
    <w:p w14:paraId="79032B6E" w14:textId="77777777" w:rsidR="00A6302C" w:rsidRPr="00CE52E8" w:rsidRDefault="00495C4F" w:rsidP="000A20EE">
      <w:pPr>
        <w:pStyle w:val="Prrafodelista"/>
        <w:numPr>
          <w:ilvl w:val="0"/>
          <w:numId w:val="245"/>
        </w:numPr>
        <w:textAlignment w:val="auto"/>
        <w:rPr>
          <w:rFonts w:cs="Arial"/>
          <w:sz w:val="22"/>
          <w:szCs w:val="22"/>
        </w:rPr>
      </w:pPr>
      <w:r w:rsidRPr="00CE52E8">
        <w:rPr>
          <w:rFonts w:cs="Arial"/>
          <w:sz w:val="22"/>
          <w:szCs w:val="22"/>
        </w:rPr>
        <w:t xml:space="preserve">Atención de 994 solicitudes hechas por juzgados civiles en materia de regularización de la propiedad en sede central. Un 30% más respecto al periodo 2019, en donde fueron atendidas 762. </w:t>
      </w:r>
    </w:p>
    <w:p w14:paraId="09A60C8E" w14:textId="77777777" w:rsidR="00A6302C" w:rsidRDefault="00A6302C" w:rsidP="002873AF">
      <w:pPr>
        <w:pStyle w:val="Prrafodelista"/>
        <w:rPr>
          <w:rFonts w:cs="Arial"/>
        </w:rPr>
      </w:pPr>
    </w:p>
    <w:p w14:paraId="0589C2E4" w14:textId="4BBC2CF3" w:rsidR="00CE52E8" w:rsidRPr="00CE52E8" w:rsidRDefault="00CE52E8" w:rsidP="00CE52E8">
      <w:pPr>
        <w:pStyle w:val="Descripcin"/>
        <w:jc w:val="center"/>
        <w:rPr>
          <w:rFonts w:ascii="Arial" w:hAnsi="Arial" w:cs="Arial"/>
          <w:b/>
          <w:bCs/>
          <w:i w:val="0"/>
          <w:iCs w:val="0"/>
          <w:color w:val="000000" w:themeColor="text1"/>
          <w:sz w:val="16"/>
          <w:szCs w:val="16"/>
        </w:rPr>
      </w:pPr>
      <w:bookmarkStart w:id="58" w:name="_Toc88655314"/>
      <w:bookmarkStart w:id="59" w:name="_Toc88656935"/>
      <w:bookmarkStart w:id="60" w:name="_Toc88677165"/>
      <w:r w:rsidRPr="00CE52E8">
        <w:rPr>
          <w:rFonts w:ascii="Arial" w:hAnsi="Arial" w:cs="Arial"/>
          <w:b/>
          <w:bCs/>
          <w:i w:val="0"/>
          <w:iCs w:val="0"/>
          <w:color w:val="000000" w:themeColor="text1"/>
          <w:sz w:val="16"/>
          <w:szCs w:val="16"/>
        </w:rPr>
        <w:t xml:space="preserve">Ilustración </w:t>
      </w:r>
      <w:r w:rsidRPr="00CE52E8">
        <w:rPr>
          <w:rFonts w:ascii="Arial" w:hAnsi="Arial" w:cs="Arial"/>
          <w:b/>
          <w:bCs/>
          <w:i w:val="0"/>
          <w:iCs w:val="0"/>
          <w:color w:val="000000" w:themeColor="text1"/>
          <w:sz w:val="16"/>
          <w:szCs w:val="16"/>
        </w:rPr>
        <w:fldChar w:fldCharType="begin"/>
      </w:r>
      <w:r w:rsidRPr="00CE52E8">
        <w:rPr>
          <w:rFonts w:ascii="Arial" w:hAnsi="Arial" w:cs="Arial"/>
          <w:b/>
          <w:bCs/>
          <w:i w:val="0"/>
          <w:iCs w:val="0"/>
          <w:color w:val="000000" w:themeColor="text1"/>
          <w:sz w:val="16"/>
          <w:szCs w:val="16"/>
        </w:rPr>
        <w:instrText xml:space="preserve"> SEQ Ilustración \* ARABIC </w:instrText>
      </w:r>
      <w:r w:rsidRPr="00CE52E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9</w:t>
      </w:r>
      <w:r w:rsidRPr="00CE52E8">
        <w:rPr>
          <w:rFonts w:ascii="Arial" w:hAnsi="Arial" w:cs="Arial"/>
          <w:b/>
          <w:bCs/>
          <w:i w:val="0"/>
          <w:iCs w:val="0"/>
          <w:color w:val="000000" w:themeColor="text1"/>
          <w:sz w:val="16"/>
          <w:szCs w:val="16"/>
        </w:rPr>
        <w:fldChar w:fldCharType="end"/>
      </w:r>
      <w:r w:rsidRPr="00CE52E8">
        <w:rPr>
          <w:rFonts w:ascii="Arial" w:hAnsi="Arial" w:cs="Arial"/>
          <w:b/>
          <w:bCs/>
          <w:i w:val="0"/>
          <w:iCs w:val="0"/>
          <w:color w:val="000000" w:themeColor="text1"/>
          <w:sz w:val="16"/>
          <w:szCs w:val="16"/>
        </w:rPr>
        <w:t>.Solicitudes en materia de regularización</w:t>
      </w:r>
      <w:bookmarkEnd w:id="58"/>
      <w:bookmarkEnd w:id="59"/>
      <w:bookmarkEnd w:id="60"/>
    </w:p>
    <w:p w14:paraId="58262A50" w14:textId="1B530B21" w:rsidR="00CE52E8" w:rsidRDefault="00CE52E8" w:rsidP="00CE52E8">
      <w:pPr>
        <w:rPr>
          <w:lang w:val="es-CO" w:eastAsia="es-ES_tradnl"/>
        </w:rPr>
      </w:pPr>
      <w:r w:rsidRPr="00AC5BFE">
        <w:rPr>
          <w:rFonts w:cs="Arial"/>
          <w:noProof/>
          <w:sz w:val="22"/>
          <w:szCs w:val="22"/>
          <w:lang w:val="es-CO" w:eastAsia="es-CO"/>
        </w:rPr>
        <w:drawing>
          <wp:anchor distT="0" distB="0" distL="114300" distR="114300" simplePos="0" relativeHeight="251658270" behindDoc="0" locked="0" layoutInCell="1" allowOverlap="1" wp14:anchorId="5BDEB373" wp14:editId="47E479E9">
            <wp:simplePos x="0" y="0"/>
            <wp:positionH relativeFrom="margin">
              <wp:align>center</wp:align>
            </wp:positionH>
            <wp:positionV relativeFrom="paragraph">
              <wp:posOffset>18415</wp:posOffset>
            </wp:positionV>
            <wp:extent cx="4749800" cy="1212850"/>
            <wp:effectExtent l="0" t="0" r="0" b="6350"/>
            <wp:wrapThrough wrapText="bothSides">
              <wp:wrapPolygon edited="0">
                <wp:start x="0" y="0"/>
                <wp:lineTo x="0" y="21374"/>
                <wp:lineTo x="21484" y="21374"/>
                <wp:lineTo x="21484" y="0"/>
                <wp:lineTo x="0" y="0"/>
              </wp:wrapPolygon>
            </wp:wrapThrough>
            <wp:docPr id="1793703127" name="Gráfico 1793703127">
              <a:extLst xmlns:a="http://schemas.openxmlformats.org/drawingml/2006/main">
                <a:ext uri="{FF2B5EF4-FFF2-40B4-BE49-F238E27FC236}">
                  <a16:creationId xmlns:a16="http://schemas.microsoft.com/office/drawing/2014/main" id="{96FF02A1-70A3-4FE7-90AC-45B69CBDBE2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14:paraId="5EC3A721" w14:textId="77777777" w:rsidR="00CE52E8" w:rsidRPr="00CE52E8" w:rsidRDefault="00CE52E8" w:rsidP="00CE52E8">
      <w:pPr>
        <w:rPr>
          <w:lang w:val="es-CO" w:eastAsia="es-ES_tradnl"/>
        </w:rPr>
      </w:pPr>
    </w:p>
    <w:p w14:paraId="6F73B22F" w14:textId="77777777" w:rsidR="000C728C" w:rsidRPr="000C728C" w:rsidRDefault="000C728C" w:rsidP="000C728C">
      <w:pPr>
        <w:rPr>
          <w:lang w:val="es-CO" w:eastAsia="es-ES_tradnl"/>
        </w:rPr>
      </w:pPr>
    </w:p>
    <w:p w14:paraId="14DA7FD8" w14:textId="77777777" w:rsidR="00E13867" w:rsidRDefault="00E13867" w:rsidP="00E13867">
      <w:pPr>
        <w:rPr>
          <w:lang w:eastAsia="es-CO"/>
        </w:rPr>
      </w:pPr>
    </w:p>
    <w:p w14:paraId="1D672B5B" w14:textId="77777777" w:rsidR="00E13867" w:rsidRDefault="00E13867" w:rsidP="00E13867">
      <w:pPr>
        <w:rPr>
          <w:lang w:eastAsia="es-CO"/>
        </w:rPr>
      </w:pPr>
    </w:p>
    <w:p w14:paraId="127D3980" w14:textId="77777777" w:rsidR="00E13867" w:rsidRDefault="00E13867" w:rsidP="00E70AEE">
      <w:pPr>
        <w:rPr>
          <w:lang w:val="es-CO" w:eastAsia="es-ES_tradnl"/>
        </w:rPr>
      </w:pPr>
    </w:p>
    <w:p w14:paraId="30D3DFC8" w14:textId="77777777" w:rsidR="004B1119" w:rsidRDefault="004B1119" w:rsidP="00E70AEE">
      <w:pPr>
        <w:rPr>
          <w:lang w:val="es-CO" w:eastAsia="es-ES_tradnl"/>
        </w:rPr>
      </w:pPr>
    </w:p>
    <w:p w14:paraId="75649700" w14:textId="77777777" w:rsidR="004B1119" w:rsidRDefault="004B1119" w:rsidP="00E70AEE">
      <w:pPr>
        <w:rPr>
          <w:lang w:val="es-CO" w:eastAsia="es-ES_tradnl"/>
        </w:rPr>
      </w:pPr>
    </w:p>
    <w:p w14:paraId="36351A55" w14:textId="77777777" w:rsidR="00CE52E8" w:rsidRPr="00706305" w:rsidRDefault="00CE52E8" w:rsidP="002873AF">
      <w:pPr>
        <w:jc w:val="center"/>
        <w:rPr>
          <w:rFonts w:cs="Arial"/>
          <w:b/>
          <w:bCs/>
          <w:sz w:val="16"/>
          <w:szCs w:val="16"/>
        </w:rPr>
      </w:pPr>
      <w:r w:rsidRPr="00706305">
        <w:rPr>
          <w:rFonts w:eastAsia="Arial" w:cs="Arial"/>
          <w:b/>
          <w:bCs/>
          <w:sz w:val="16"/>
          <w:szCs w:val="16"/>
          <w:lang w:val="es-CO"/>
        </w:rPr>
        <w:t>Fuente:  Dirección de Gestión Catastral</w:t>
      </w:r>
    </w:p>
    <w:p w14:paraId="2E4005DF" w14:textId="77777777" w:rsidR="00CE52E8" w:rsidRPr="00CE52E8" w:rsidRDefault="00CE52E8" w:rsidP="002873AF">
      <w:pPr>
        <w:jc w:val="both"/>
        <w:rPr>
          <w:rFonts w:cs="Arial"/>
        </w:rPr>
      </w:pPr>
    </w:p>
    <w:p w14:paraId="5210C62E" w14:textId="525A8FBD" w:rsidR="00CE52E8" w:rsidRPr="002873AF" w:rsidRDefault="00CE52E8" w:rsidP="000A20EE">
      <w:pPr>
        <w:pStyle w:val="Prrafodelista"/>
        <w:numPr>
          <w:ilvl w:val="1"/>
          <w:numId w:val="246"/>
        </w:numPr>
        <w:ind w:left="709" w:hanging="425"/>
        <w:textAlignment w:val="auto"/>
        <w:rPr>
          <w:rFonts w:cs="Arial"/>
          <w:sz w:val="22"/>
          <w:szCs w:val="22"/>
        </w:rPr>
      </w:pPr>
      <w:r w:rsidRPr="00CE52E8">
        <w:rPr>
          <w:rFonts w:cs="Arial"/>
          <w:sz w:val="22"/>
          <w:szCs w:val="22"/>
        </w:rPr>
        <w:t xml:space="preserve">Atención a nivel nacional de 3.699 solicitudes en materia de restitución de tierras de las 4.208 recibidas durante el año, un 65,2% más, que las atendidas en el 2019. </w:t>
      </w:r>
    </w:p>
    <w:p w14:paraId="6A79B34A" w14:textId="77777777" w:rsidR="00CE52E8" w:rsidRPr="005D6F8F" w:rsidRDefault="00CE52E8" w:rsidP="005D6F8F">
      <w:pPr>
        <w:jc w:val="center"/>
        <w:rPr>
          <w:rFonts w:cs="Arial"/>
          <w:b/>
          <w:bCs/>
          <w:color w:val="000000" w:themeColor="text1"/>
          <w:sz w:val="22"/>
          <w:szCs w:val="22"/>
          <w:lang w:val="es-CO" w:eastAsia="es-ES_tradnl"/>
        </w:rPr>
      </w:pPr>
    </w:p>
    <w:p w14:paraId="168EF4D3" w14:textId="52AE39F9" w:rsidR="005D6F8F" w:rsidRDefault="002873AF" w:rsidP="005D6F8F">
      <w:pPr>
        <w:pStyle w:val="Descripcin"/>
        <w:jc w:val="center"/>
        <w:rPr>
          <w:rFonts w:ascii="Arial" w:hAnsi="Arial" w:cs="Arial"/>
          <w:b/>
          <w:bCs/>
          <w:i w:val="0"/>
          <w:iCs w:val="0"/>
          <w:color w:val="000000" w:themeColor="text1"/>
          <w:sz w:val="16"/>
          <w:szCs w:val="16"/>
        </w:rPr>
      </w:pPr>
      <w:bookmarkStart w:id="61" w:name="_Toc88655315"/>
      <w:bookmarkStart w:id="62" w:name="_Toc88656936"/>
      <w:bookmarkStart w:id="63" w:name="_Toc88677166"/>
      <w:r w:rsidRPr="00AC5BFE">
        <w:rPr>
          <w:rFonts w:cs="Arial"/>
          <w:noProof/>
          <w:sz w:val="22"/>
          <w:szCs w:val="22"/>
          <w:lang w:eastAsia="es-CO"/>
        </w:rPr>
        <w:drawing>
          <wp:anchor distT="0" distB="0" distL="114300" distR="114300" simplePos="0" relativeHeight="251658268" behindDoc="0" locked="0" layoutInCell="1" allowOverlap="1" wp14:anchorId="11397613" wp14:editId="0AF95322">
            <wp:simplePos x="0" y="0"/>
            <wp:positionH relativeFrom="margin">
              <wp:align>center</wp:align>
            </wp:positionH>
            <wp:positionV relativeFrom="paragraph">
              <wp:posOffset>184793</wp:posOffset>
            </wp:positionV>
            <wp:extent cx="4581525" cy="1790700"/>
            <wp:effectExtent l="0" t="0" r="0" b="0"/>
            <wp:wrapSquare wrapText="bothSides"/>
            <wp:docPr id="1793703128" name="Gráfico 1793703128">
              <a:extLst xmlns:a="http://schemas.openxmlformats.org/drawingml/2006/main">
                <a:ext uri="{FF2B5EF4-FFF2-40B4-BE49-F238E27FC236}">
                  <a16:creationId xmlns:a16="http://schemas.microsoft.com/office/drawing/2014/main" id="{6F240809-9468-4635-8D02-B576A404963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14:sizeRelH relativeFrom="page">
              <wp14:pctWidth>0</wp14:pctWidth>
            </wp14:sizeRelH>
            <wp14:sizeRelV relativeFrom="page">
              <wp14:pctHeight>0</wp14:pctHeight>
            </wp14:sizeRelV>
          </wp:anchor>
        </w:drawing>
      </w:r>
      <w:r w:rsidR="005D6F8F" w:rsidRPr="005D6F8F">
        <w:rPr>
          <w:rFonts w:ascii="Arial" w:hAnsi="Arial" w:cs="Arial"/>
          <w:b/>
          <w:bCs/>
          <w:i w:val="0"/>
          <w:iCs w:val="0"/>
          <w:color w:val="000000" w:themeColor="text1"/>
          <w:sz w:val="16"/>
          <w:szCs w:val="16"/>
        </w:rPr>
        <w:t xml:space="preserve">Ilustración </w:t>
      </w:r>
      <w:r w:rsidR="005D6F8F" w:rsidRPr="005D6F8F">
        <w:rPr>
          <w:rFonts w:ascii="Arial" w:hAnsi="Arial" w:cs="Arial"/>
          <w:b/>
          <w:bCs/>
          <w:i w:val="0"/>
          <w:iCs w:val="0"/>
          <w:color w:val="000000" w:themeColor="text1"/>
          <w:sz w:val="16"/>
          <w:szCs w:val="16"/>
        </w:rPr>
        <w:fldChar w:fldCharType="begin"/>
      </w:r>
      <w:r w:rsidR="005D6F8F" w:rsidRPr="005D6F8F">
        <w:rPr>
          <w:rFonts w:ascii="Arial" w:hAnsi="Arial" w:cs="Arial"/>
          <w:b/>
          <w:bCs/>
          <w:i w:val="0"/>
          <w:iCs w:val="0"/>
          <w:color w:val="000000" w:themeColor="text1"/>
          <w:sz w:val="16"/>
          <w:szCs w:val="16"/>
        </w:rPr>
        <w:instrText xml:space="preserve"> SEQ Ilustración \* ARABIC </w:instrText>
      </w:r>
      <w:r w:rsidR="005D6F8F" w:rsidRPr="005D6F8F">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10</w:t>
      </w:r>
      <w:r w:rsidR="005D6F8F" w:rsidRPr="005D6F8F">
        <w:rPr>
          <w:rFonts w:ascii="Arial" w:hAnsi="Arial" w:cs="Arial"/>
          <w:b/>
          <w:bCs/>
          <w:i w:val="0"/>
          <w:iCs w:val="0"/>
          <w:color w:val="000000" w:themeColor="text1"/>
          <w:sz w:val="16"/>
          <w:szCs w:val="16"/>
        </w:rPr>
        <w:fldChar w:fldCharType="end"/>
      </w:r>
      <w:r w:rsidR="005D6F8F" w:rsidRPr="005D6F8F">
        <w:rPr>
          <w:rFonts w:ascii="Arial" w:hAnsi="Arial" w:cs="Arial"/>
          <w:b/>
          <w:bCs/>
          <w:i w:val="0"/>
          <w:iCs w:val="0"/>
          <w:color w:val="000000" w:themeColor="text1"/>
          <w:sz w:val="16"/>
          <w:szCs w:val="16"/>
        </w:rPr>
        <w:t>. Solicitudes URT y Requerimiento Rama Judicial</w:t>
      </w:r>
      <w:bookmarkEnd w:id="61"/>
      <w:bookmarkEnd w:id="62"/>
      <w:bookmarkEnd w:id="63"/>
    </w:p>
    <w:p w14:paraId="46F08C37" w14:textId="77777777" w:rsidR="002873AF" w:rsidRDefault="002873AF" w:rsidP="002873AF">
      <w:pPr>
        <w:rPr>
          <w:lang w:val="es-CO" w:eastAsia="es-ES_tradnl"/>
        </w:rPr>
      </w:pPr>
    </w:p>
    <w:p w14:paraId="51E3EC2D" w14:textId="732790D4" w:rsidR="002873AF" w:rsidRDefault="002873AF" w:rsidP="002873AF">
      <w:pPr>
        <w:rPr>
          <w:lang w:val="es-CO" w:eastAsia="es-ES_tradnl"/>
        </w:rPr>
      </w:pPr>
    </w:p>
    <w:p w14:paraId="7F06A633" w14:textId="77777777" w:rsidR="002873AF" w:rsidRDefault="002873AF" w:rsidP="002873AF">
      <w:pPr>
        <w:rPr>
          <w:lang w:val="es-CO" w:eastAsia="es-ES_tradnl"/>
        </w:rPr>
      </w:pPr>
    </w:p>
    <w:p w14:paraId="022291F6" w14:textId="77777777" w:rsidR="002873AF" w:rsidRDefault="002873AF" w:rsidP="002873AF">
      <w:pPr>
        <w:rPr>
          <w:lang w:val="es-CO" w:eastAsia="es-ES_tradnl"/>
        </w:rPr>
      </w:pPr>
    </w:p>
    <w:p w14:paraId="38B0F9CA" w14:textId="1DCE9213" w:rsidR="002873AF" w:rsidRDefault="002873AF" w:rsidP="002873AF">
      <w:pPr>
        <w:rPr>
          <w:lang w:val="es-CO" w:eastAsia="es-ES_tradnl"/>
        </w:rPr>
      </w:pPr>
    </w:p>
    <w:p w14:paraId="52D9EA18" w14:textId="6AF705B4" w:rsidR="002873AF" w:rsidRDefault="002873AF" w:rsidP="002873AF">
      <w:pPr>
        <w:rPr>
          <w:lang w:val="es-CO" w:eastAsia="es-ES_tradnl"/>
        </w:rPr>
      </w:pPr>
    </w:p>
    <w:p w14:paraId="142EFB01" w14:textId="7FCE6BCD" w:rsidR="005D6F8F" w:rsidRDefault="005D6F8F" w:rsidP="005D6F8F">
      <w:pPr>
        <w:rPr>
          <w:lang w:val="es-CO" w:eastAsia="es-ES_tradnl"/>
        </w:rPr>
      </w:pPr>
    </w:p>
    <w:p w14:paraId="26C9948D" w14:textId="4FE41B3E" w:rsidR="005D6F8F" w:rsidRDefault="005D6F8F" w:rsidP="005D6F8F">
      <w:pPr>
        <w:rPr>
          <w:lang w:val="es-CO" w:eastAsia="es-ES_tradnl"/>
        </w:rPr>
      </w:pPr>
    </w:p>
    <w:p w14:paraId="30A66E02" w14:textId="77777777" w:rsidR="002873AF" w:rsidRDefault="002873AF" w:rsidP="002873AF">
      <w:pPr>
        <w:jc w:val="center"/>
        <w:rPr>
          <w:rFonts w:eastAsia="Arial" w:cs="Arial"/>
          <w:b/>
          <w:bCs/>
          <w:sz w:val="16"/>
          <w:szCs w:val="16"/>
          <w:lang w:val="es-CO"/>
        </w:rPr>
      </w:pPr>
    </w:p>
    <w:p w14:paraId="004467C8" w14:textId="77777777" w:rsidR="002873AF" w:rsidRDefault="002873AF" w:rsidP="002873AF">
      <w:pPr>
        <w:jc w:val="center"/>
        <w:rPr>
          <w:rFonts w:eastAsia="Arial" w:cs="Arial"/>
          <w:b/>
          <w:bCs/>
          <w:sz w:val="16"/>
          <w:szCs w:val="16"/>
          <w:lang w:val="es-CO"/>
        </w:rPr>
      </w:pPr>
    </w:p>
    <w:p w14:paraId="1B1BAB4D" w14:textId="77777777" w:rsidR="002873AF" w:rsidRDefault="002873AF" w:rsidP="002873AF">
      <w:pPr>
        <w:jc w:val="center"/>
        <w:rPr>
          <w:rFonts w:eastAsia="Arial" w:cs="Arial"/>
          <w:b/>
          <w:bCs/>
          <w:sz w:val="16"/>
          <w:szCs w:val="16"/>
          <w:lang w:val="es-CO"/>
        </w:rPr>
      </w:pPr>
    </w:p>
    <w:p w14:paraId="4C34284F" w14:textId="7030CC54" w:rsidR="005D6F8F" w:rsidRPr="00D4561B" w:rsidRDefault="005D6F8F" w:rsidP="002873AF">
      <w:pPr>
        <w:jc w:val="center"/>
        <w:rPr>
          <w:rFonts w:cs="Arial"/>
          <w:b/>
          <w:bCs/>
          <w:sz w:val="16"/>
          <w:szCs w:val="16"/>
        </w:rPr>
      </w:pPr>
      <w:r w:rsidRPr="00D4561B">
        <w:rPr>
          <w:rFonts w:eastAsia="Arial" w:cs="Arial"/>
          <w:b/>
          <w:bCs/>
          <w:sz w:val="16"/>
          <w:szCs w:val="16"/>
          <w:lang w:val="es-CO"/>
        </w:rPr>
        <w:t>Fuente:  Dirección de Gestión Catastral</w:t>
      </w:r>
    </w:p>
    <w:p w14:paraId="7C61B3B5" w14:textId="77777777" w:rsidR="005D6F8F" w:rsidRDefault="005D6F8F" w:rsidP="005D6F8F">
      <w:pPr>
        <w:rPr>
          <w:lang w:val="es-CO" w:eastAsia="es-ES_tradnl"/>
        </w:rPr>
      </w:pPr>
    </w:p>
    <w:p w14:paraId="40145E3E" w14:textId="77777777" w:rsidR="005D6F8F" w:rsidRPr="005D6F8F" w:rsidRDefault="005D6F8F" w:rsidP="000A20EE">
      <w:pPr>
        <w:pStyle w:val="Prrafodelista"/>
        <w:numPr>
          <w:ilvl w:val="1"/>
          <w:numId w:val="246"/>
        </w:numPr>
        <w:ind w:left="709" w:hanging="425"/>
        <w:textAlignment w:val="auto"/>
        <w:rPr>
          <w:rFonts w:cs="Arial"/>
          <w:sz w:val="22"/>
          <w:szCs w:val="22"/>
        </w:rPr>
      </w:pPr>
      <w:r w:rsidRPr="005D6F8F">
        <w:rPr>
          <w:rFonts w:cs="Arial"/>
          <w:sz w:val="22"/>
          <w:szCs w:val="22"/>
        </w:rPr>
        <w:lastRenderedPageBreak/>
        <w:t xml:space="preserve">Cumplimiento de sentencias del 65,47%, un 7,70% más con respecto al año anterior. </w:t>
      </w:r>
    </w:p>
    <w:p w14:paraId="17E0610A" w14:textId="287C751F" w:rsidR="005D6F8F" w:rsidRDefault="005D6F8F" w:rsidP="005D6F8F">
      <w:pPr>
        <w:rPr>
          <w:lang w:val="es-CO" w:eastAsia="es-ES_tradnl"/>
        </w:rPr>
      </w:pPr>
    </w:p>
    <w:p w14:paraId="2D9BA918" w14:textId="0712A893" w:rsidR="005D6F8F" w:rsidRPr="002873AF" w:rsidRDefault="005D6F8F" w:rsidP="002873AF">
      <w:pPr>
        <w:pStyle w:val="Descripcin"/>
        <w:jc w:val="center"/>
        <w:rPr>
          <w:rFonts w:ascii="Arial" w:hAnsi="Arial" w:cs="Arial"/>
          <w:b/>
          <w:i w:val="0"/>
          <w:color w:val="000000" w:themeColor="text1"/>
          <w:sz w:val="16"/>
          <w:szCs w:val="16"/>
        </w:rPr>
      </w:pPr>
      <w:bookmarkStart w:id="64" w:name="_Toc88655316"/>
      <w:bookmarkStart w:id="65" w:name="_Toc88656937"/>
      <w:bookmarkStart w:id="66" w:name="_Toc88677167"/>
      <w:r w:rsidRPr="005D6F8F">
        <w:rPr>
          <w:rFonts w:ascii="Arial" w:hAnsi="Arial" w:cs="Arial"/>
          <w:b/>
          <w:bCs/>
          <w:i w:val="0"/>
          <w:iCs w:val="0"/>
          <w:color w:val="000000" w:themeColor="text1"/>
          <w:sz w:val="16"/>
          <w:szCs w:val="16"/>
        </w:rPr>
        <w:t xml:space="preserve">Ilustración </w:t>
      </w:r>
      <w:r w:rsidRPr="005D6F8F">
        <w:rPr>
          <w:rFonts w:ascii="Arial" w:hAnsi="Arial" w:cs="Arial"/>
          <w:b/>
          <w:bCs/>
          <w:i w:val="0"/>
          <w:iCs w:val="0"/>
          <w:color w:val="000000" w:themeColor="text1"/>
          <w:sz w:val="16"/>
          <w:szCs w:val="16"/>
        </w:rPr>
        <w:fldChar w:fldCharType="begin"/>
      </w:r>
      <w:r w:rsidRPr="005D6F8F">
        <w:rPr>
          <w:rFonts w:ascii="Arial" w:hAnsi="Arial" w:cs="Arial"/>
          <w:b/>
          <w:bCs/>
          <w:i w:val="0"/>
          <w:iCs w:val="0"/>
          <w:color w:val="000000" w:themeColor="text1"/>
          <w:sz w:val="16"/>
          <w:szCs w:val="16"/>
        </w:rPr>
        <w:instrText xml:space="preserve"> SEQ Ilustración \* ARABIC </w:instrText>
      </w:r>
      <w:r w:rsidRPr="005D6F8F">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11</w:t>
      </w:r>
      <w:r w:rsidRPr="005D6F8F">
        <w:rPr>
          <w:rFonts w:ascii="Arial" w:hAnsi="Arial" w:cs="Arial"/>
          <w:b/>
          <w:bCs/>
          <w:i w:val="0"/>
          <w:iCs w:val="0"/>
          <w:color w:val="000000" w:themeColor="text1"/>
          <w:sz w:val="16"/>
          <w:szCs w:val="16"/>
        </w:rPr>
        <w:fldChar w:fldCharType="end"/>
      </w:r>
      <w:r w:rsidRPr="005D6F8F">
        <w:rPr>
          <w:rFonts w:ascii="Arial" w:hAnsi="Arial" w:cs="Arial"/>
          <w:b/>
          <w:bCs/>
          <w:i w:val="0"/>
          <w:iCs w:val="0"/>
          <w:color w:val="000000" w:themeColor="text1"/>
          <w:sz w:val="16"/>
          <w:szCs w:val="16"/>
        </w:rPr>
        <w:t>. Cumplimiento de órdenes judiciales</w:t>
      </w:r>
      <w:bookmarkEnd w:id="64"/>
      <w:bookmarkEnd w:id="65"/>
      <w:bookmarkEnd w:id="66"/>
    </w:p>
    <w:p w14:paraId="2FA8E14A" w14:textId="00514DB7" w:rsidR="005D6F8F" w:rsidRPr="005D6F8F" w:rsidRDefault="003E41B8" w:rsidP="002873AF">
      <w:pPr>
        <w:jc w:val="center"/>
        <w:rPr>
          <w:lang w:val="es-CO" w:eastAsia="es-ES_tradnl"/>
        </w:rPr>
      </w:pPr>
      <w:r w:rsidRPr="00AC5BFE">
        <w:rPr>
          <w:rFonts w:cs="Arial"/>
          <w:noProof/>
          <w:sz w:val="22"/>
          <w:szCs w:val="22"/>
          <w:lang w:val="es-CO" w:eastAsia="es-CO"/>
        </w:rPr>
        <w:drawing>
          <wp:inline distT="0" distB="0" distL="0" distR="0" wp14:anchorId="4A1F10CA" wp14:editId="24D3EEC7">
            <wp:extent cx="4562475" cy="1400175"/>
            <wp:effectExtent l="0" t="0" r="0" b="0"/>
            <wp:docPr id="1793703129" name="Gráfico 1793703129">
              <a:extLst xmlns:a="http://schemas.openxmlformats.org/drawingml/2006/main">
                <a:ext uri="{FF2B5EF4-FFF2-40B4-BE49-F238E27FC236}">
                  <a16:creationId xmlns:a16="http://schemas.microsoft.com/office/drawing/2014/main" id="{24BD5FDF-9885-4359-B6AE-F9731130518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BA84005" w14:textId="3B8CFF60" w:rsidR="002873AF" w:rsidRPr="00EE7433" w:rsidRDefault="003E41B8" w:rsidP="00EE7433">
      <w:pPr>
        <w:spacing w:line="276" w:lineRule="auto"/>
        <w:jc w:val="center"/>
        <w:rPr>
          <w:rFonts w:eastAsia="Arial" w:cs="Arial"/>
          <w:b/>
          <w:bCs/>
          <w:sz w:val="16"/>
          <w:szCs w:val="16"/>
          <w:lang w:val="es-CO"/>
        </w:rPr>
      </w:pPr>
      <w:r w:rsidRPr="00081B31">
        <w:rPr>
          <w:rFonts w:eastAsia="Arial" w:cs="Arial"/>
          <w:b/>
          <w:bCs/>
          <w:sz w:val="16"/>
          <w:szCs w:val="16"/>
          <w:lang w:val="es-CO"/>
        </w:rPr>
        <w:t>Fuente:</w:t>
      </w:r>
      <w:r w:rsidR="00EE7433">
        <w:rPr>
          <w:rFonts w:eastAsia="Arial" w:cs="Arial"/>
          <w:b/>
          <w:bCs/>
          <w:sz w:val="16"/>
          <w:szCs w:val="16"/>
          <w:lang w:val="es-CO"/>
        </w:rPr>
        <w:t xml:space="preserve"> Dirección de Gestión Catastral</w:t>
      </w:r>
    </w:p>
    <w:p w14:paraId="08AFC884" w14:textId="77777777" w:rsidR="003E41B8" w:rsidRDefault="003E41B8" w:rsidP="002873AF">
      <w:pPr>
        <w:jc w:val="both"/>
        <w:rPr>
          <w:rFonts w:eastAsia="Arial" w:cs="Arial"/>
          <w:sz w:val="22"/>
          <w:szCs w:val="22"/>
          <w:lang w:val="es-CO"/>
        </w:rPr>
      </w:pPr>
    </w:p>
    <w:p w14:paraId="27D6D1B6" w14:textId="00AD0545" w:rsidR="003E41B8" w:rsidRPr="00DA4A04" w:rsidRDefault="003E41B8" w:rsidP="002873AF">
      <w:pPr>
        <w:jc w:val="both"/>
        <w:rPr>
          <w:rFonts w:eastAsia="Arial" w:cs="Arial"/>
          <w:sz w:val="22"/>
          <w:szCs w:val="22"/>
          <w:lang w:val="es-CO"/>
        </w:rPr>
      </w:pPr>
      <w:r w:rsidRPr="00DA4A04">
        <w:rPr>
          <w:rFonts w:eastAsia="Arial" w:cs="Arial"/>
          <w:sz w:val="22"/>
          <w:szCs w:val="22"/>
          <w:lang w:val="es-CO"/>
        </w:rPr>
        <w:t>A octubre de 2021 se han atendido más de 300 solicitudes realizadas por los juzgados civiles en lo relacionado con procesos civiles de regularización de la propiedad. En materia de restitución de tierras, se han recibido 4.930 requerimientos y se han atendido 4.195, incluyendo solicitudes de información etapa administrativa y judicial, suspensión de predios y solicitud de peritajes en etapa judicial. La información desagregada de las solicitudes en restitución de tierras se presenta a continuación.</w:t>
      </w:r>
    </w:p>
    <w:p w14:paraId="78A9C2EF" w14:textId="77777777" w:rsidR="003E41B8" w:rsidRDefault="003E41B8" w:rsidP="005D6F8F">
      <w:pPr>
        <w:rPr>
          <w:lang w:val="es-CO" w:eastAsia="es-ES_tradnl"/>
        </w:rPr>
      </w:pPr>
    </w:p>
    <w:p w14:paraId="1E3ADF3C" w14:textId="4906ACC7" w:rsidR="00B64321" w:rsidRPr="002873AF" w:rsidRDefault="00B64321" w:rsidP="002873AF">
      <w:pPr>
        <w:pStyle w:val="Descripcin"/>
        <w:jc w:val="center"/>
        <w:rPr>
          <w:rFonts w:ascii="Arial" w:hAnsi="Arial" w:cs="Arial"/>
          <w:b/>
          <w:i w:val="0"/>
          <w:color w:val="000000" w:themeColor="text1"/>
          <w:sz w:val="16"/>
          <w:szCs w:val="16"/>
        </w:rPr>
      </w:pPr>
      <w:bookmarkStart w:id="67" w:name="_Toc88677093"/>
      <w:r w:rsidRPr="00B64321">
        <w:rPr>
          <w:rFonts w:ascii="Arial" w:hAnsi="Arial" w:cs="Arial"/>
          <w:b/>
          <w:bCs/>
          <w:i w:val="0"/>
          <w:iCs w:val="0"/>
          <w:color w:val="000000" w:themeColor="text1"/>
          <w:sz w:val="16"/>
          <w:szCs w:val="16"/>
        </w:rPr>
        <w:t xml:space="preserve">Tabla </w:t>
      </w:r>
      <w:r w:rsidRPr="00B64321">
        <w:rPr>
          <w:rFonts w:ascii="Arial" w:hAnsi="Arial" w:cs="Arial"/>
          <w:b/>
          <w:bCs/>
          <w:i w:val="0"/>
          <w:iCs w:val="0"/>
          <w:color w:val="000000" w:themeColor="text1"/>
          <w:sz w:val="16"/>
          <w:szCs w:val="16"/>
        </w:rPr>
        <w:fldChar w:fldCharType="begin"/>
      </w:r>
      <w:r w:rsidRPr="00B64321">
        <w:rPr>
          <w:rFonts w:ascii="Arial" w:hAnsi="Arial" w:cs="Arial"/>
          <w:b/>
          <w:bCs/>
          <w:i w:val="0"/>
          <w:iCs w:val="0"/>
          <w:color w:val="000000" w:themeColor="text1"/>
          <w:sz w:val="16"/>
          <w:szCs w:val="16"/>
        </w:rPr>
        <w:instrText xml:space="preserve"> SEQ Tabla \* ARABIC </w:instrText>
      </w:r>
      <w:r w:rsidRPr="00B64321">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21</w:t>
      </w:r>
      <w:r w:rsidRPr="00B64321">
        <w:rPr>
          <w:rFonts w:ascii="Arial" w:hAnsi="Arial" w:cs="Arial"/>
          <w:b/>
          <w:bCs/>
          <w:i w:val="0"/>
          <w:iCs w:val="0"/>
          <w:color w:val="000000" w:themeColor="text1"/>
          <w:sz w:val="16"/>
          <w:szCs w:val="16"/>
        </w:rPr>
        <w:fldChar w:fldCharType="end"/>
      </w:r>
      <w:r w:rsidRPr="00B64321">
        <w:rPr>
          <w:rFonts w:ascii="Arial" w:hAnsi="Arial" w:cs="Arial"/>
          <w:b/>
          <w:bCs/>
          <w:i w:val="0"/>
          <w:iCs w:val="0"/>
          <w:color w:val="000000" w:themeColor="text1"/>
          <w:sz w:val="16"/>
          <w:szCs w:val="16"/>
        </w:rPr>
        <w:t>. Avance en solicitudes de restitución de tierras a octubre de 2021</w:t>
      </w:r>
      <w:bookmarkEnd w:id="67"/>
    </w:p>
    <w:tbl>
      <w:tblPr>
        <w:tblStyle w:val="Tabladecuadrcula4-nfasis1"/>
        <w:tblW w:w="9923" w:type="dxa"/>
        <w:tblInd w:w="-289" w:type="dxa"/>
        <w:tblLayout w:type="fixed"/>
        <w:tblLook w:val="04A0" w:firstRow="1" w:lastRow="0" w:firstColumn="1" w:lastColumn="0" w:noHBand="0" w:noVBand="1"/>
      </w:tblPr>
      <w:tblGrid>
        <w:gridCol w:w="1579"/>
        <w:gridCol w:w="1399"/>
        <w:gridCol w:w="850"/>
        <w:gridCol w:w="1345"/>
        <w:gridCol w:w="972"/>
        <w:gridCol w:w="1369"/>
        <w:gridCol w:w="992"/>
        <w:gridCol w:w="1417"/>
      </w:tblGrid>
      <w:tr w:rsidR="00AF007A" w:rsidRPr="00FC5A7F" w14:paraId="4E53199F" w14:textId="77777777" w:rsidTr="008E76F1">
        <w:trPr>
          <w:cnfStyle w:val="100000000000" w:firstRow="1" w:lastRow="0" w:firstColumn="0" w:lastColumn="0" w:oddVBand="0" w:evenVBand="0" w:oddHBand="0" w:evenHBand="0" w:firstRowFirstColumn="0" w:firstRowLastColumn="0" w:lastRowFirstColumn="0" w:lastRowLastColumn="0"/>
          <w:trHeight w:val="409"/>
        </w:trPr>
        <w:tc>
          <w:tcPr>
            <w:cnfStyle w:val="001000000000" w:firstRow="0" w:lastRow="0" w:firstColumn="1" w:lastColumn="0" w:oddVBand="0" w:evenVBand="0" w:oddHBand="0" w:evenHBand="0" w:firstRowFirstColumn="0" w:firstRowLastColumn="0" w:lastRowFirstColumn="0" w:lastRowLastColumn="0"/>
            <w:tcW w:w="9923" w:type="dxa"/>
            <w:gridSpan w:val="8"/>
            <w:vAlign w:val="center"/>
            <w:hideMark/>
          </w:tcPr>
          <w:p w14:paraId="29196562" w14:textId="77777777" w:rsidR="00AF007A" w:rsidRPr="00FC5A7F" w:rsidRDefault="00AF007A" w:rsidP="00A6302C">
            <w:pPr>
              <w:suppressAutoHyphens w:val="0"/>
              <w:jc w:val="center"/>
              <w:rPr>
                <w:rFonts w:cs="Arial"/>
                <w:b w:val="0"/>
                <w:bCs w:val="0"/>
                <w:sz w:val="16"/>
                <w:szCs w:val="16"/>
                <w:lang w:val="es-CO" w:eastAsia="es-CO"/>
              </w:rPr>
            </w:pPr>
            <w:r w:rsidRPr="00FC5A7F">
              <w:rPr>
                <w:rFonts w:cs="Arial"/>
                <w:sz w:val="16"/>
                <w:szCs w:val="16"/>
                <w:lang w:val="es-CO" w:eastAsia="es-CO"/>
              </w:rPr>
              <w:t>SOLICITUDES Y REQUERIMIENTOS</w:t>
            </w:r>
          </w:p>
        </w:tc>
      </w:tr>
      <w:tr w:rsidR="00AF007A" w:rsidRPr="00FC5A7F" w14:paraId="563A0055" w14:textId="77777777" w:rsidTr="008E76F1">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579" w:type="dxa"/>
            <w:vMerge w:val="restart"/>
            <w:vAlign w:val="center"/>
            <w:hideMark/>
          </w:tcPr>
          <w:p w14:paraId="650ACB5E" w14:textId="77777777" w:rsidR="00AF007A" w:rsidRPr="00FC5A7F" w:rsidRDefault="00AF007A" w:rsidP="00A6302C">
            <w:pPr>
              <w:suppressAutoHyphens w:val="0"/>
              <w:jc w:val="center"/>
              <w:rPr>
                <w:rFonts w:cs="Arial"/>
                <w:b w:val="0"/>
                <w:bCs w:val="0"/>
                <w:sz w:val="16"/>
                <w:szCs w:val="16"/>
                <w:lang w:val="es-CO" w:eastAsia="es-CO"/>
              </w:rPr>
            </w:pPr>
            <w:r w:rsidRPr="00FC5A7F">
              <w:rPr>
                <w:rFonts w:cs="Arial"/>
                <w:sz w:val="16"/>
                <w:szCs w:val="16"/>
                <w:lang w:val="es-CO" w:eastAsia="es-CO"/>
              </w:rPr>
              <w:t>ENTIDAD</w:t>
            </w:r>
          </w:p>
        </w:tc>
        <w:tc>
          <w:tcPr>
            <w:tcW w:w="1399" w:type="dxa"/>
            <w:vMerge w:val="restart"/>
            <w:vAlign w:val="center"/>
            <w:hideMark/>
          </w:tcPr>
          <w:p w14:paraId="6A28B07C"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sz w:val="16"/>
                <w:szCs w:val="16"/>
                <w:lang w:val="es-CO" w:eastAsia="es-CO"/>
              </w:rPr>
            </w:pPr>
            <w:r w:rsidRPr="00FC5A7F">
              <w:rPr>
                <w:rFonts w:cs="Arial"/>
                <w:b/>
                <w:bCs/>
                <w:sz w:val="16"/>
                <w:szCs w:val="16"/>
                <w:lang w:val="es-CO" w:eastAsia="es-CO"/>
              </w:rPr>
              <w:t>COMPROMISO</w:t>
            </w:r>
          </w:p>
        </w:tc>
        <w:tc>
          <w:tcPr>
            <w:tcW w:w="6945" w:type="dxa"/>
            <w:gridSpan w:val="6"/>
            <w:vAlign w:val="center"/>
            <w:hideMark/>
          </w:tcPr>
          <w:p w14:paraId="36076EFF"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sz w:val="16"/>
                <w:szCs w:val="16"/>
                <w:lang w:val="es-CO" w:eastAsia="es-CO"/>
              </w:rPr>
            </w:pPr>
            <w:r w:rsidRPr="00FC5A7F">
              <w:rPr>
                <w:rFonts w:cs="Arial"/>
                <w:b/>
                <w:bCs/>
                <w:sz w:val="16"/>
                <w:szCs w:val="16"/>
                <w:lang w:val="es-CO" w:eastAsia="es-CO"/>
              </w:rPr>
              <w:t>ESTADO</w:t>
            </w:r>
          </w:p>
        </w:tc>
      </w:tr>
      <w:tr w:rsidR="00AF007A" w:rsidRPr="00FC5A7F" w14:paraId="7AE8D926" w14:textId="77777777" w:rsidTr="008E76F1">
        <w:trPr>
          <w:trHeight w:val="215"/>
        </w:trPr>
        <w:tc>
          <w:tcPr>
            <w:cnfStyle w:val="001000000000" w:firstRow="0" w:lastRow="0" w:firstColumn="1" w:lastColumn="0" w:oddVBand="0" w:evenVBand="0" w:oddHBand="0" w:evenHBand="0" w:firstRowFirstColumn="0" w:firstRowLastColumn="0" w:lastRowFirstColumn="0" w:lastRowLastColumn="0"/>
            <w:tcW w:w="1579" w:type="dxa"/>
            <w:vMerge/>
            <w:vAlign w:val="center"/>
            <w:hideMark/>
          </w:tcPr>
          <w:p w14:paraId="0A2B929A" w14:textId="77777777" w:rsidR="00AF007A" w:rsidRPr="00FC5A7F" w:rsidRDefault="00AF007A" w:rsidP="00761CC0">
            <w:pPr>
              <w:suppressAutoHyphens w:val="0"/>
              <w:jc w:val="center"/>
              <w:rPr>
                <w:rFonts w:cs="Arial"/>
                <w:b w:val="0"/>
                <w:bCs w:val="0"/>
                <w:color w:val="000000"/>
                <w:sz w:val="16"/>
                <w:szCs w:val="16"/>
                <w:lang w:val="es-CO" w:eastAsia="es-CO"/>
              </w:rPr>
            </w:pPr>
          </w:p>
        </w:tc>
        <w:tc>
          <w:tcPr>
            <w:tcW w:w="1399" w:type="dxa"/>
            <w:vMerge/>
            <w:vAlign w:val="center"/>
            <w:hideMark/>
          </w:tcPr>
          <w:p w14:paraId="44A3C9A1" w14:textId="77777777" w:rsidR="00AF007A" w:rsidRPr="00FC5A7F" w:rsidRDefault="00AF007A" w:rsidP="00761CC0">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p>
        </w:tc>
        <w:tc>
          <w:tcPr>
            <w:tcW w:w="850" w:type="dxa"/>
            <w:vAlign w:val="center"/>
            <w:hideMark/>
          </w:tcPr>
          <w:p w14:paraId="5A7AFB5B"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Año</w:t>
            </w:r>
          </w:p>
        </w:tc>
        <w:tc>
          <w:tcPr>
            <w:tcW w:w="1345" w:type="dxa"/>
            <w:vAlign w:val="center"/>
            <w:hideMark/>
          </w:tcPr>
          <w:p w14:paraId="3B09B20B"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SOLICITUDES</w:t>
            </w:r>
          </w:p>
        </w:tc>
        <w:tc>
          <w:tcPr>
            <w:tcW w:w="972" w:type="dxa"/>
            <w:vAlign w:val="center"/>
            <w:hideMark/>
          </w:tcPr>
          <w:p w14:paraId="7E001D9E"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Nº PREDIOS</w:t>
            </w:r>
          </w:p>
        </w:tc>
        <w:tc>
          <w:tcPr>
            <w:tcW w:w="1369" w:type="dxa"/>
            <w:vAlign w:val="center"/>
            <w:hideMark/>
          </w:tcPr>
          <w:p w14:paraId="657D3D7E"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SOLICITUDES ATENDIDAS</w:t>
            </w:r>
          </w:p>
        </w:tc>
        <w:tc>
          <w:tcPr>
            <w:tcW w:w="992" w:type="dxa"/>
            <w:vAlign w:val="center"/>
            <w:hideMark/>
          </w:tcPr>
          <w:p w14:paraId="10ACF7CC"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Nº PREDIOS</w:t>
            </w:r>
          </w:p>
        </w:tc>
        <w:tc>
          <w:tcPr>
            <w:tcW w:w="1417" w:type="dxa"/>
            <w:vAlign w:val="center"/>
            <w:hideMark/>
          </w:tcPr>
          <w:p w14:paraId="56AB0B99"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SOLICITUDES PENDIENTES</w:t>
            </w:r>
          </w:p>
        </w:tc>
      </w:tr>
      <w:tr w:rsidR="00AF007A" w:rsidRPr="00FC5A7F" w14:paraId="5681DDA2" w14:textId="77777777" w:rsidTr="008E76F1">
        <w:trPr>
          <w:cnfStyle w:val="000000100000" w:firstRow="0" w:lastRow="0" w:firstColumn="0" w:lastColumn="0" w:oddVBand="0" w:evenVBand="0" w:oddHBand="1" w:evenHBand="0" w:firstRowFirstColumn="0" w:firstRowLastColumn="0" w:lastRowFirstColumn="0" w:lastRowLastColumn="0"/>
          <w:trHeight w:val="606"/>
        </w:trPr>
        <w:tc>
          <w:tcPr>
            <w:cnfStyle w:val="001000000000" w:firstRow="0" w:lastRow="0" w:firstColumn="1" w:lastColumn="0" w:oddVBand="0" w:evenVBand="0" w:oddHBand="0" w:evenHBand="0" w:firstRowFirstColumn="0" w:firstRowLastColumn="0" w:lastRowFirstColumn="0" w:lastRowLastColumn="0"/>
            <w:tcW w:w="1579" w:type="dxa"/>
            <w:vAlign w:val="center"/>
            <w:hideMark/>
          </w:tcPr>
          <w:p w14:paraId="51DF8E93" w14:textId="77777777" w:rsidR="00AF007A" w:rsidRPr="00FC5A7F" w:rsidRDefault="00AF007A" w:rsidP="00761CC0">
            <w:pPr>
              <w:suppressAutoHyphens w:val="0"/>
              <w:jc w:val="center"/>
              <w:rPr>
                <w:rFonts w:cs="Arial"/>
                <w:b w:val="0"/>
                <w:bCs w:val="0"/>
                <w:color w:val="000000"/>
                <w:sz w:val="16"/>
                <w:szCs w:val="16"/>
                <w:lang w:val="es-CO" w:eastAsia="es-CO"/>
              </w:rPr>
            </w:pPr>
            <w:r w:rsidRPr="00FC5A7F">
              <w:rPr>
                <w:rFonts w:cs="Arial"/>
                <w:color w:val="000000"/>
                <w:sz w:val="16"/>
                <w:szCs w:val="16"/>
                <w:lang w:val="es-CO" w:eastAsia="es-CO"/>
              </w:rPr>
              <w:t>UNIDAD DE RESTITUCIÓN DE TIERRAS</w:t>
            </w:r>
          </w:p>
        </w:tc>
        <w:tc>
          <w:tcPr>
            <w:tcW w:w="1399" w:type="dxa"/>
            <w:vAlign w:val="center"/>
            <w:hideMark/>
          </w:tcPr>
          <w:p w14:paraId="086D7C57"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Suministro de información catastral y cartográfica</w:t>
            </w:r>
          </w:p>
        </w:tc>
        <w:tc>
          <w:tcPr>
            <w:tcW w:w="850" w:type="dxa"/>
            <w:vAlign w:val="center"/>
            <w:hideMark/>
          </w:tcPr>
          <w:p w14:paraId="6B47CE66"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2021</w:t>
            </w:r>
          </w:p>
        </w:tc>
        <w:tc>
          <w:tcPr>
            <w:tcW w:w="1345" w:type="dxa"/>
            <w:vAlign w:val="center"/>
            <w:hideMark/>
          </w:tcPr>
          <w:p w14:paraId="3CC6131E"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1.736</w:t>
            </w:r>
          </w:p>
        </w:tc>
        <w:tc>
          <w:tcPr>
            <w:tcW w:w="972" w:type="dxa"/>
            <w:vAlign w:val="center"/>
            <w:hideMark/>
          </w:tcPr>
          <w:p w14:paraId="15D84DAD"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5.079</w:t>
            </w:r>
          </w:p>
        </w:tc>
        <w:tc>
          <w:tcPr>
            <w:tcW w:w="1369" w:type="dxa"/>
            <w:vAlign w:val="center"/>
            <w:hideMark/>
          </w:tcPr>
          <w:p w14:paraId="2628AF47"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1.525</w:t>
            </w:r>
          </w:p>
        </w:tc>
        <w:tc>
          <w:tcPr>
            <w:tcW w:w="992" w:type="dxa"/>
            <w:vAlign w:val="center"/>
            <w:hideMark/>
          </w:tcPr>
          <w:p w14:paraId="01D910F0"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4.497</w:t>
            </w:r>
          </w:p>
        </w:tc>
        <w:tc>
          <w:tcPr>
            <w:tcW w:w="1417" w:type="dxa"/>
            <w:vAlign w:val="center"/>
            <w:hideMark/>
          </w:tcPr>
          <w:p w14:paraId="7F6B6801"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211</w:t>
            </w:r>
          </w:p>
        </w:tc>
      </w:tr>
      <w:tr w:rsidR="00AF007A" w:rsidRPr="00FC5A7F" w14:paraId="168DF9F8" w14:textId="77777777" w:rsidTr="008E76F1">
        <w:trPr>
          <w:trHeight w:val="453"/>
        </w:trPr>
        <w:tc>
          <w:tcPr>
            <w:cnfStyle w:val="001000000000" w:firstRow="0" w:lastRow="0" w:firstColumn="1" w:lastColumn="0" w:oddVBand="0" w:evenVBand="0" w:oddHBand="0" w:evenHBand="0" w:firstRowFirstColumn="0" w:firstRowLastColumn="0" w:lastRowFirstColumn="0" w:lastRowLastColumn="0"/>
            <w:tcW w:w="1579" w:type="dxa"/>
            <w:vMerge w:val="restart"/>
            <w:vAlign w:val="center"/>
            <w:hideMark/>
          </w:tcPr>
          <w:p w14:paraId="4F207694" w14:textId="77777777" w:rsidR="00AF007A" w:rsidRPr="00FC5A7F" w:rsidRDefault="00AF007A" w:rsidP="00A6302C">
            <w:pPr>
              <w:suppressAutoHyphens w:val="0"/>
              <w:jc w:val="center"/>
              <w:rPr>
                <w:rFonts w:cs="Arial"/>
                <w:b w:val="0"/>
                <w:bCs w:val="0"/>
                <w:color w:val="000000"/>
                <w:sz w:val="16"/>
                <w:szCs w:val="16"/>
                <w:lang w:val="es-CO" w:eastAsia="es-CO"/>
              </w:rPr>
            </w:pPr>
            <w:r w:rsidRPr="00FC5A7F">
              <w:rPr>
                <w:rFonts w:cs="Arial"/>
                <w:color w:val="000000"/>
                <w:sz w:val="16"/>
                <w:szCs w:val="16"/>
                <w:lang w:val="es-CO" w:eastAsia="es-CO"/>
              </w:rPr>
              <w:t>RAMA JUDICIAL</w:t>
            </w:r>
          </w:p>
        </w:tc>
        <w:tc>
          <w:tcPr>
            <w:tcW w:w="1399" w:type="dxa"/>
            <w:vAlign w:val="center"/>
            <w:hideMark/>
          </w:tcPr>
          <w:p w14:paraId="2B71E6BB"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Suministro de Información</w:t>
            </w:r>
          </w:p>
        </w:tc>
        <w:tc>
          <w:tcPr>
            <w:tcW w:w="850" w:type="dxa"/>
            <w:vAlign w:val="center"/>
            <w:hideMark/>
          </w:tcPr>
          <w:p w14:paraId="4BAD5B0A"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2021</w:t>
            </w:r>
          </w:p>
        </w:tc>
        <w:tc>
          <w:tcPr>
            <w:tcW w:w="1345" w:type="dxa"/>
            <w:vAlign w:val="center"/>
            <w:hideMark/>
          </w:tcPr>
          <w:p w14:paraId="548A76EF"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539</w:t>
            </w:r>
          </w:p>
        </w:tc>
        <w:tc>
          <w:tcPr>
            <w:tcW w:w="972" w:type="dxa"/>
            <w:vAlign w:val="center"/>
            <w:hideMark/>
          </w:tcPr>
          <w:p w14:paraId="5F0182AB"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809</w:t>
            </w:r>
          </w:p>
        </w:tc>
        <w:tc>
          <w:tcPr>
            <w:tcW w:w="1369" w:type="dxa"/>
            <w:vAlign w:val="center"/>
            <w:hideMark/>
          </w:tcPr>
          <w:p w14:paraId="57FEBDC6"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473</w:t>
            </w:r>
          </w:p>
        </w:tc>
        <w:tc>
          <w:tcPr>
            <w:tcW w:w="992" w:type="dxa"/>
            <w:vAlign w:val="center"/>
            <w:hideMark/>
          </w:tcPr>
          <w:p w14:paraId="62C34518"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698</w:t>
            </w:r>
          </w:p>
        </w:tc>
        <w:tc>
          <w:tcPr>
            <w:tcW w:w="1417" w:type="dxa"/>
            <w:vAlign w:val="center"/>
            <w:hideMark/>
          </w:tcPr>
          <w:p w14:paraId="783EA6B2"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66</w:t>
            </w:r>
          </w:p>
        </w:tc>
      </w:tr>
      <w:tr w:rsidR="0069668B" w:rsidRPr="00FC5A7F" w14:paraId="38741551" w14:textId="77777777" w:rsidTr="008E76F1">
        <w:trPr>
          <w:cnfStyle w:val="000000100000" w:firstRow="0" w:lastRow="0" w:firstColumn="0" w:lastColumn="0" w:oddVBand="0" w:evenVBand="0" w:oddHBand="1" w:evenHBand="0" w:firstRowFirstColumn="0" w:firstRowLastColumn="0" w:lastRowFirstColumn="0" w:lastRowLastColumn="0"/>
          <w:trHeight w:val="541"/>
        </w:trPr>
        <w:tc>
          <w:tcPr>
            <w:cnfStyle w:val="001000000000" w:firstRow="0" w:lastRow="0" w:firstColumn="1" w:lastColumn="0" w:oddVBand="0" w:evenVBand="0" w:oddHBand="0" w:evenHBand="0" w:firstRowFirstColumn="0" w:firstRowLastColumn="0" w:lastRowFirstColumn="0" w:lastRowLastColumn="0"/>
            <w:tcW w:w="1579" w:type="dxa"/>
            <w:vMerge/>
            <w:vAlign w:val="center"/>
            <w:hideMark/>
          </w:tcPr>
          <w:p w14:paraId="5FBB69F2" w14:textId="77777777" w:rsidR="00AF007A" w:rsidRPr="00FC5A7F" w:rsidRDefault="00AF007A" w:rsidP="00761CC0">
            <w:pPr>
              <w:suppressAutoHyphens w:val="0"/>
              <w:jc w:val="center"/>
              <w:rPr>
                <w:rFonts w:cs="Arial"/>
                <w:b w:val="0"/>
                <w:bCs w:val="0"/>
                <w:color w:val="000000"/>
                <w:sz w:val="16"/>
                <w:szCs w:val="16"/>
                <w:lang w:val="es-CO" w:eastAsia="es-CO"/>
              </w:rPr>
            </w:pPr>
          </w:p>
        </w:tc>
        <w:tc>
          <w:tcPr>
            <w:tcW w:w="1399" w:type="dxa"/>
            <w:vAlign w:val="center"/>
            <w:hideMark/>
          </w:tcPr>
          <w:p w14:paraId="33DC545D" w14:textId="4DC705C4" w:rsidR="00AF007A" w:rsidRPr="00FC5A7F" w:rsidRDefault="00803044"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2810">
              <w:rPr>
                <w:rFonts w:cs="Arial"/>
                <w:b/>
                <w:bCs/>
                <w:color w:val="000000"/>
                <w:sz w:val="16"/>
                <w:szCs w:val="16"/>
                <w:lang w:val="es-CO" w:eastAsia="es-CO"/>
              </w:rPr>
              <w:t>Peritajes verificación topográfica</w:t>
            </w:r>
          </w:p>
        </w:tc>
        <w:tc>
          <w:tcPr>
            <w:tcW w:w="850" w:type="dxa"/>
            <w:vAlign w:val="center"/>
            <w:hideMark/>
          </w:tcPr>
          <w:p w14:paraId="269D3965" w14:textId="6EEC5BE6" w:rsidR="00AF007A" w:rsidRPr="00FC5A7F" w:rsidRDefault="00803044"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2810">
              <w:rPr>
                <w:rFonts w:cs="Arial"/>
                <w:color w:val="000000"/>
                <w:sz w:val="16"/>
                <w:szCs w:val="16"/>
                <w:lang w:val="es-CO" w:eastAsia="es-CO"/>
              </w:rPr>
              <w:t>2021</w:t>
            </w:r>
          </w:p>
        </w:tc>
        <w:tc>
          <w:tcPr>
            <w:tcW w:w="1345" w:type="dxa"/>
            <w:vAlign w:val="center"/>
            <w:hideMark/>
          </w:tcPr>
          <w:p w14:paraId="5D15B14B" w14:textId="77777777" w:rsidR="00803044" w:rsidRPr="00FC2810" w:rsidRDefault="00803044" w:rsidP="00761CC0">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p>
          <w:p w14:paraId="05C1F106" w14:textId="6517CCB9"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980</w:t>
            </w:r>
          </w:p>
        </w:tc>
        <w:tc>
          <w:tcPr>
            <w:tcW w:w="972" w:type="dxa"/>
            <w:vAlign w:val="center"/>
            <w:hideMark/>
          </w:tcPr>
          <w:p w14:paraId="7C48290D"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1.254</w:t>
            </w:r>
          </w:p>
        </w:tc>
        <w:tc>
          <w:tcPr>
            <w:tcW w:w="1369" w:type="dxa"/>
            <w:vAlign w:val="center"/>
            <w:hideMark/>
          </w:tcPr>
          <w:p w14:paraId="775BC890"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522</w:t>
            </w:r>
          </w:p>
        </w:tc>
        <w:tc>
          <w:tcPr>
            <w:tcW w:w="992" w:type="dxa"/>
            <w:vAlign w:val="center"/>
            <w:hideMark/>
          </w:tcPr>
          <w:p w14:paraId="172A2B6F"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612</w:t>
            </w:r>
          </w:p>
        </w:tc>
        <w:tc>
          <w:tcPr>
            <w:tcW w:w="1417" w:type="dxa"/>
            <w:vAlign w:val="center"/>
            <w:hideMark/>
          </w:tcPr>
          <w:p w14:paraId="47D10330"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458</w:t>
            </w:r>
          </w:p>
        </w:tc>
      </w:tr>
      <w:tr w:rsidR="00AF007A" w:rsidRPr="00FC5A7F" w14:paraId="74F10B18" w14:textId="77777777" w:rsidTr="008E76F1">
        <w:trPr>
          <w:trHeight w:val="466"/>
        </w:trPr>
        <w:tc>
          <w:tcPr>
            <w:cnfStyle w:val="001000000000" w:firstRow="0" w:lastRow="0" w:firstColumn="1" w:lastColumn="0" w:oddVBand="0" w:evenVBand="0" w:oddHBand="0" w:evenHBand="0" w:firstRowFirstColumn="0" w:firstRowLastColumn="0" w:lastRowFirstColumn="0" w:lastRowLastColumn="0"/>
            <w:tcW w:w="1579" w:type="dxa"/>
            <w:vMerge/>
            <w:vAlign w:val="center"/>
            <w:hideMark/>
          </w:tcPr>
          <w:p w14:paraId="586285D6" w14:textId="77777777" w:rsidR="00AF007A" w:rsidRPr="00FC5A7F" w:rsidRDefault="00AF007A" w:rsidP="00761CC0">
            <w:pPr>
              <w:suppressAutoHyphens w:val="0"/>
              <w:jc w:val="center"/>
              <w:rPr>
                <w:rFonts w:cs="Arial"/>
                <w:b w:val="0"/>
                <w:bCs w:val="0"/>
                <w:color w:val="000000"/>
                <w:sz w:val="16"/>
                <w:szCs w:val="16"/>
                <w:lang w:val="es-CO" w:eastAsia="es-CO"/>
              </w:rPr>
            </w:pPr>
          </w:p>
        </w:tc>
        <w:tc>
          <w:tcPr>
            <w:tcW w:w="1399" w:type="dxa"/>
            <w:vAlign w:val="center"/>
            <w:hideMark/>
          </w:tcPr>
          <w:p w14:paraId="56B55289"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Suspensión de Tramites</w:t>
            </w:r>
          </w:p>
        </w:tc>
        <w:tc>
          <w:tcPr>
            <w:tcW w:w="850" w:type="dxa"/>
            <w:vAlign w:val="center"/>
            <w:hideMark/>
          </w:tcPr>
          <w:p w14:paraId="052C2BEA"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6"/>
                <w:szCs w:val="16"/>
                <w:lang w:val="es-CO" w:eastAsia="es-CO"/>
              </w:rPr>
            </w:pPr>
            <w:r w:rsidRPr="00FC5A7F">
              <w:rPr>
                <w:rFonts w:cs="Arial"/>
                <w:color w:val="000000"/>
                <w:sz w:val="16"/>
                <w:szCs w:val="16"/>
                <w:lang w:val="es-CO" w:eastAsia="es-CO"/>
              </w:rPr>
              <w:t>2021</w:t>
            </w:r>
          </w:p>
        </w:tc>
        <w:tc>
          <w:tcPr>
            <w:tcW w:w="1345" w:type="dxa"/>
            <w:vAlign w:val="center"/>
            <w:hideMark/>
          </w:tcPr>
          <w:p w14:paraId="0A9D50D4"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1.675</w:t>
            </w:r>
          </w:p>
        </w:tc>
        <w:tc>
          <w:tcPr>
            <w:tcW w:w="972" w:type="dxa"/>
            <w:vAlign w:val="center"/>
            <w:hideMark/>
          </w:tcPr>
          <w:p w14:paraId="50329DEC"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2.034</w:t>
            </w:r>
          </w:p>
        </w:tc>
        <w:tc>
          <w:tcPr>
            <w:tcW w:w="1369" w:type="dxa"/>
            <w:vAlign w:val="center"/>
            <w:hideMark/>
          </w:tcPr>
          <w:p w14:paraId="40E13675"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1.675</w:t>
            </w:r>
          </w:p>
        </w:tc>
        <w:tc>
          <w:tcPr>
            <w:tcW w:w="992" w:type="dxa"/>
            <w:vAlign w:val="center"/>
            <w:hideMark/>
          </w:tcPr>
          <w:p w14:paraId="1AF30A89"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2.034</w:t>
            </w:r>
          </w:p>
        </w:tc>
        <w:tc>
          <w:tcPr>
            <w:tcW w:w="1417" w:type="dxa"/>
            <w:vAlign w:val="center"/>
            <w:hideMark/>
          </w:tcPr>
          <w:p w14:paraId="78E7F00D" w14:textId="77777777" w:rsidR="00AF007A" w:rsidRPr="00FC5A7F" w:rsidRDefault="00AF007A"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6"/>
                <w:szCs w:val="16"/>
                <w:lang w:val="es-CO" w:eastAsia="es-CO"/>
              </w:rPr>
            </w:pPr>
            <w:r w:rsidRPr="00FC5A7F">
              <w:rPr>
                <w:rFonts w:cs="Arial"/>
                <w:sz w:val="16"/>
                <w:szCs w:val="16"/>
                <w:lang w:val="es-CO" w:eastAsia="es-CO"/>
              </w:rPr>
              <w:t>0</w:t>
            </w:r>
          </w:p>
        </w:tc>
      </w:tr>
      <w:tr w:rsidR="00AF007A" w:rsidRPr="00FC5A7F" w14:paraId="69D9B75D" w14:textId="77777777" w:rsidTr="008E76F1">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1579" w:type="dxa"/>
            <w:noWrap/>
            <w:vAlign w:val="center"/>
            <w:hideMark/>
          </w:tcPr>
          <w:p w14:paraId="5E4398F8" w14:textId="77777777" w:rsidR="00AF007A" w:rsidRPr="00FC5A7F" w:rsidRDefault="00AF007A" w:rsidP="00761CC0">
            <w:pPr>
              <w:suppressAutoHyphens w:val="0"/>
              <w:jc w:val="center"/>
              <w:rPr>
                <w:rFonts w:cs="Arial"/>
                <w:b w:val="0"/>
                <w:bCs w:val="0"/>
                <w:color w:val="000000"/>
                <w:sz w:val="16"/>
                <w:szCs w:val="16"/>
                <w:lang w:val="es-CO" w:eastAsia="es-CO"/>
              </w:rPr>
            </w:pPr>
            <w:r w:rsidRPr="00FC5A7F">
              <w:rPr>
                <w:rFonts w:cs="Arial"/>
                <w:color w:val="000000"/>
                <w:sz w:val="16"/>
                <w:szCs w:val="16"/>
                <w:lang w:val="es-CO" w:eastAsia="es-CO"/>
              </w:rPr>
              <w:t>TOTALES (solicitudes)</w:t>
            </w:r>
          </w:p>
        </w:tc>
        <w:tc>
          <w:tcPr>
            <w:tcW w:w="2249" w:type="dxa"/>
            <w:gridSpan w:val="2"/>
            <w:noWrap/>
            <w:vAlign w:val="center"/>
            <w:hideMark/>
          </w:tcPr>
          <w:p w14:paraId="625048AB" w14:textId="3780F32B" w:rsidR="00AF007A" w:rsidRPr="00FC5A7F" w:rsidRDefault="00AF007A" w:rsidP="00761CC0">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p>
          <w:p w14:paraId="3D00BB83" w14:textId="68FD7E61" w:rsidR="00AF007A" w:rsidRPr="00FC5A7F" w:rsidRDefault="00AF007A" w:rsidP="00761CC0">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p>
          <w:p w14:paraId="60265FF0" w14:textId="5FE62D32" w:rsidR="00AF007A" w:rsidRPr="00FC5A7F" w:rsidRDefault="00AF007A" w:rsidP="00761CC0">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6"/>
                <w:szCs w:val="16"/>
                <w:lang w:val="es-CO" w:eastAsia="es-CO"/>
              </w:rPr>
            </w:pPr>
          </w:p>
        </w:tc>
        <w:tc>
          <w:tcPr>
            <w:tcW w:w="1345" w:type="dxa"/>
            <w:noWrap/>
            <w:vAlign w:val="center"/>
            <w:hideMark/>
          </w:tcPr>
          <w:p w14:paraId="3B3B61BD"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4.930</w:t>
            </w:r>
          </w:p>
        </w:tc>
        <w:tc>
          <w:tcPr>
            <w:tcW w:w="972" w:type="dxa"/>
            <w:noWrap/>
            <w:vAlign w:val="center"/>
            <w:hideMark/>
          </w:tcPr>
          <w:p w14:paraId="70216A8C"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9.176</w:t>
            </w:r>
          </w:p>
        </w:tc>
        <w:tc>
          <w:tcPr>
            <w:tcW w:w="1369" w:type="dxa"/>
            <w:noWrap/>
            <w:vAlign w:val="center"/>
            <w:hideMark/>
          </w:tcPr>
          <w:p w14:paraId="4D01635C"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4.195</w:t>
            </w:r>
          </w:p>
        </w:tc>
        <w:tc>
          <w:tcPr>
            <w:tcW w:w="992" w:type="dxa"/>
            <w:noWrap/>
            <w:vAlign w:val="center"/>
            <w:hideMark/>
          </w:tcPr>
          <w:p w14:paraId="494DACD8"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7.841</w:t>
            </w:r>
          </w:p>
        </w:tc>
        <w:tc>
          <w:tcPr>
            <w:tcW w:w="1417" w:type="dxa"/>
            <w:noWrap/>
            <w:vAlign w:val="center"/>
            <w:hideMark/>
          </w:tcPr>
          <w:p w14:paraId="43ECADF0" w14:textId="77777777" w:rsidR="00AF007A" w:rsidRPr="00FC5A7F" w:rsidRDefault="00AF007A"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6"/>
                <w:szCs w:val="16"/>
                <w:lang w:val="es-CO" w:eastAsia="es-CO"/>
              </w:rPr>
            </w:pPr>
            <w:r w:rsidRPr="00FC5A7F">
              <w:rPr>
                <w:rFonts w:cs="Arial"/>
                <w:b/>
                <w:bCs/>
                <w:color w:val="000000"/>
                <w:sz w:val="16"/>
                <w:szCs w:val="16"/>
                <w:lang w:val="es-CO" w:eastAsia="es-CO"/>
              </w:rPr>
              <w:t>735</w:t>
            </w:r>
          </w:p>
        </w:tc>
      </w:tr>
    </w:tbl>
    <w:p w14:paraId="43F68715" w14:textId="77777777" w:rsidR="00AF007A" w:rsidRPr="007D7489" w:rsidRDefault="00AF007A" w:rsidP="002873AF">
      <w:pPr>
        <w:jc w:val="center"/>
        <w:rPr>
          <w:rFonts w:cs="Arial"/>
          <w:b/>
          <w:bCs/>
          <w:color w:val="000000" w:themeColor="text1"/>
          <w:sz w:val="16"/>
          <w:szCs w:val="16"/>
        </w:rPr>
      </w:pPr>
      <w:r w:rsidRPr="007D7489">
        <w:rPr>
          <w:rFonts w:cs="Arial"/>
          <w:b/>
          <w:bCs/>
          <w:color w:val="000000" w:themeColor="text1"/>
          <w:sz w:val="16"/>
          <w:szCs w:val="16"/>
        </w:rPr>
        <w:t>Fuente: Dirección de Gestión Catastral</w:t>
      </w:r>
    </w:p>
    <w:p w14:paraId="63A90692" w14:textId="77777777" w:rsidR="00AF007A" w:rsidRDefault="00AF007A" w:rsidP="002873AF">
      <w:pPr>
        <w:jc w:val="both"/>
        <w:rPr>
          <w:rFonts w:cs="Arial"/>
          <w:sz w:val="22"/>
          <w:szCs w:val="22"/>
        </w:rPr>
      </w:pPr>
    </w:p>
    <w:p w14:paraId="666DF5FD" w14:textId="77777777" w:rsidR="00AF007A" w:rsidRPr="00CD3DB4" w:rsidRDefault="00AF007A" w:rsidP="002873AF">
      <w:pPr>
        <w:jc w:val="both"/>
        <w:rPr>
          <w:rFonts w:cs="Arial"/>
          <w:sz w:val="22"/>
          <w:szCs w:val="22"/>
        </w:rPr>
      </w:pPr>
      <w:r w:rsidRPr="00CD3DB4">
        <w:rPr>
          <w:rFonts w:cs="Arial"/>
          <w:sz w:val="22"/>
          <w:szCs w:val="22"/>
        </w:rPr>
        <w:t>En materia de sentencias a octubre de 2021 se han proferido un total de 4.187 órdenes al IGAC, de las cuales se han cumplido 3.800.</w:t>
      </w:r>
    </w:p>
    <w:p w14:paraId="5FAE15E5" w14:textId="77777777" w:rsidR="00AF007A" w:rsidRDefault="00AF007A" w:rsidP="002873AF">
      <w:pPr>
        <w:jc w:val="both"/>
        <w:rPr>
          <w:rFonts w:cs="Arial"/>
          <w:b/>
          <w:sz w:val="22"/>
          <w:szCs w:val="22"/>
        </w:rPr>
      </w:pPr>
    </w:p>
    <w:p w14:paraId="6E0FE566" w14:textId="3B701E90" w:rsidR="00AF007A" w:rsidRPr="00CD3DB4" w:rsidRDefault="00AF007A" w:rsidP="000A20EE">
      <w:pPr>
        <w:pStyle w:val="Prrafodelista"/>
        <w:numPr>
          <w:ilvl w:val="2"/>
          <w:numId w:val="22"/>
        </w:numPr>
        <w:rPr>
          <w:rFonts w:cs="Arial"/>
          <w:b/>
          <w:bCs/>
          <w:sz w:val="22"/>
          <w:szCs w:val="22"/>
        </w:rPr>
      </w:pPr>
      <w:r w:rsidRPr="00CD3DB4">
        <w:rPr>
          <w:rFonts w:cs="Arial"/>
          <w:b/>
          <w:bCs/>
          <w:sz w:val="22"/>
          <w:szCs w:val="22"/>
        </w:rPr>
        <w:t>IMPACTO POBLACIONAL</w:t>
      </w:r>
    </w:p>
    <w:p w14:paraId="72E0637A" w14:textId="164344E2" w:rsidR="00AF007A" w:rsidRPr="00CD3DB4" w:rsidRDefault="00AF007A" w:rsidP="002873AF">
      <w:pPr>
        <w:jc w:val="both"/>
        <w:rPr>
          <w:rFonts w:cs="Arial"/>
          <w:b/>
          <w:bCs/>
          <w:sz w:val="22"/>
          <w:szCs w:val="22"/>
        </w:rPr>
      </w:pPr>
    </w:p>
    <w:p w14:paraId="25552F0A" w14:textId="77777777" w:rsidR="00AF007A" w:rsidRPr="00CD3DB4" w:rsidRDefault="00AF007A" w:rsidP="002873AF">
      <w:pPr>
        <w:jc w:val="both"/>
        <w:rPr>
          <w:rFonts w:cs="Arial"/>
          <w:sz w:val="22"/>
          <w:szCs w:val="22"/>
        </w:rPr>
      </w:pPr>
      <w:r w:rsidRPr="00CD3DB4">
        <w:rPr>
          <w:rFonts w:cs="Arial"/>
          <w:sz w:val="22"/>
          <w:szCs w:val="22"/>
        </w:rPr>
        <w:t xml:space="preserve">El IGAC ha desarrollado un componente de participación que le permite relacionarse de manera más directa con las comunidades, tener en cuenta el conocimiento que tienen sobre su territorio, involucrar activamente sus intereses y demandas para que el catastro sea implementado de la mano con los ciudadanos. Para ello, también se han desarrollado lineamientos que aterrizan y operativizan los métodos colaborativos y declarativos, de tal manera que puedan ser </w:t>
      </w:r>
      <w:r w:rsidRPr="00CD3DB4">
        <w:rPr>
          <w:rFonts w:cs="Arial"/>
          <w:sz w:val="22"/>
          <w:szCs w:val="22"/>
        </w:rPr>
        <w:lastRenderedPageBreak/>
        <w:t xml:space="preserve">implementados mediante directrices concretas que faciliten y promuevan la participación de las personas interesadas. </w:t>
      </w:r>
    </w:p>
    <w:p w14:paraId="4FFA65E1" w14:textId="77777777" w:rsidR="00AF007A" w:rsidRPr="00CD3DB4" w:rsidRDefault="00AF007A" w:rsidP="002873AF">
      <w:pPr>
        <w:jc w:val="both"/>
        <w:rPr>
          <w:rFonts w:cs="Arial"/>
          <w:sz w:val="22"/>
          <w:szCs w:val="22"/>
        </w:rPr>
      </w:pPr>
    </w:p>
    <w:p w14:paraId="54233B02" w14:textId="77777777" w:rsidR="00AF007A" w:rsidRPr="00CD3DB4" w:rsidRDefault="00AF007A" w:rsidP="002873AF">
      <w:pPr>
        <w:jc w:val="both"/>
        <w:rPr>
          <w:rFonts w:cs="Arial"/>
          <w:sz w:val="22"/>
          <w:szCs w:val="22"/>
        </w:rPr>
      </w:pPr>
      <w:r w:rsidRPr="00CD3DB4">
        <w:rPr>
          <w:rFonts w:cs="Arial"/>
          <w:sz w:val="22"/>
          <w:szCs w:val="22"/>
        </w:rPr>
        <w:t xml:space="preserve">Por otra parte, desde el IGAC se elaboró una guía de participación ciudadana e interlocución comunitaria, en la que se enmarcan actividades a realizar en campo, que promuevan la inclusión efectiva de las mujeres en cada uno de los escenarios de participación y con ello avanzar en un proceso de registro eficiente que refleje la realidad del territorio. </w:t>
      </w:r>
    </w:p>
    <w:p w14:paraId="669BA67F" w14:textId="77777777" w:rsidR="00AF007A" w:rsidRPr="00CD3DB4" w:rsidRDefault="00AF007A" w:rsidP="002873AF">
      <w:pPr>
        <w:jc w:val="both"/>
        <w:rPr>
          <w:rFonts w:cs="Arial"/>
          <w:sz w:val="22"/>
          <w:szCs w:val="22"/>
        </w:rPr>
      </w:pPr>
    </w:p>
    <w:p w14:paraId="7C4F501E" w14:textId="77777777" w:rsidR="00AF007A" w:rsidRDefault="00AF007A" w:rsidP="002873AF">
      <w:pPr>
        <w:jc w:val="both"/>
        <w:rPr>
          <w:rFonts w:cs="Arial"/>
          <w:sz w:val="22"/>
          <w:szCs w:val="22"/>
        </w:rPr>
      </w:pPr>
      <w:r w:rsidRPr="00CD3DB4">
        <w:rPr>
          <w:rFonts w:cs="Arial"/>
          <w:sz w:val="22"/>
          <w:szCs w:val="22"/>
        </w:rPr>
        <w:t xml:space="preserve">Con la implementación de esta guía, se espera que el IGAC pueda impactar de manera positiva las poblaciones, no solo durante la operación en términos de tener espacios abiertos de diálogo e interlocución, sino también que en el mediano y largo plazo se promueva la sostenibilidad del proceso.  </w:t>
      </w:r>
    </w:p>
    <w:p w14:paraId="76F67E22" w14:textId="16EFA38E" w:rsidR="00536F01" w:rsidRDefault="00536F01" w:rsidP="002873AF">
      <w:pPr>
        <w:jc w:val="both"/>
        <w:rPr>
          <w:rFonts w:cs="Arial"/>
          <w:b/>
          <w:bCs/>
          <w:sz w:val="22"/>
          <w:szCs w:val="22"/>
        </w:rPr>
      </w:pPr>
    </w:p>
    <w:p w14:paraId="5FF23D55" w14:textId="13E779FC" w:rsidR="00AF007A" w:rsidRPr="00536F01" w:rsidRDefault="00AF007A" w:rsidP="000A20EE">
      <w:pPr>
        <w:pStyle w:val="Prrafodelista"/>
        <w:numPr>
          <w:ilvl w:val="2"/>
          <w:numId w:val="22"/>
        </w:numPr>
        <w:rPr>
          <w:rFonts w:cs="Arial"/>
          <w:b/>
          <w:sz w:val="22"/>
          <w:szCs w:val="22"/>
        </w:rPr>
      </w:pPr>
      <w:r w:rsidRPr="00CD3DB4">
        <w:rPr>
          <w:rFonts w:cs="Arial"/>
          <w:b/>
          <w:bCs/>
          <w:sz w:val="22"/>
          <w:szCs w:val="22"/>
        </w:rPr>
        <w:t>ENFOQUE TERRITORIAL</w:t>
      </w:r>
    </w:p>
    <w:p w14:paraId="6B27C257" w14:textId="77777777" w:rsidR="00AF007A" w:rsidRDefault="00AF007A" w:rsidP="002873AF">
      <w:pPr>
        <w:jc w:val="both"/>
        <w:rPr>
          <w:rFonts w:cs="Arial"/>
          <w:sz w:val="22"/>
          <w:szCs w:val="22"/>
        </w:rPr>
      </w:pPr>
    </w:p>
    <w:p w14:paraId="6F5762FD" w14:textId="77777777" w:rsidR="00AF007A" w:rsidRPr="00CD3DB4" w:rsidRDefault="00AF007A" w:rsidP="002873AF">
      <w:pPr>
        <w:jc w:val="both"/>
        <w:rPr>
          <w:rFonts w:cs="Arial"/>
          <w:sz w:val="22"/>
          <w:szCs w:val="22"/>
        </w:rPr>
      </w:pPr>
      <w:r w:rsidRPr="00CD3DB4">
        <w:rPr>
          <w:rFonts w:cs="Arial"/>
          <w:sz w:val="22"/>
          <w:szCs w:val="22"/>
        </w:rPr>
        <w:t>Con relación a los procesos de formación, actualización y conservación catastral, además de la meta establecida para la actualización catastral del territorio nacional en el Plan Nacional de Desarrollo, el IGAC tiene como compromiso en coordinación con los gestores catastrales habilitados, la actualización del área geográfica de los municipios PDET los cuales han sido priorizados por el gobierno nacional.</w:t>
      </w:r>
    </w:p>
    <w:p w14:paraId="067D6698" w14:textId="77777777" w:rsidR="00AF007A" w:rsidRPr="00345D83" w:rsidRDefault="00AF007A" w:rsidP="002873AF">
      <w:pPr>
        <w:jc w:val="both"/>
        <w:rPr>
          <w:rFonts w:cs="Arial"/>
          <w:color w:val="FF0000"/>
          <w:sz w:val="22"/>
          <w:szCs w:val="22"/>
        </w:rPr>
      </w:pPr>
    </w:p>
    <w:p w14:paraId="03319799" w14:textId="4AF20A10" w:rsidR="00AF007A" w:rsidRPr="00536F01" w:rsidRDefault="00AF007A" w:rsidP="000A20EE">
      <w:pPr>
        <w:pStyle w:val="Prrafodelista"/>
        <w:numPr>
          <w:ilvl w:val="2"/>
          <w:numId w:val="22"/>
        </w:numPr>
        <w:rPr>
          <w:rFonts w:cs="Arial"/>
          <w:b/>
          <w:sz w:val="22"/>
          <w:szCs w:val="22"/>
        </w:rPr>
      </w:pPr>
      <w:r w:rsidRPr="00CD3DB4">
        <w:rPr>
          <w:rFonts w:cs="Arial"/>
          <w:b/>
          <w:bCs/>
          <w:sz w:val="22"/>
          <w:szCs w:val="22"/>
        </w:rPr>
        <w:t>ALIANZAS ESTRATÉGICAS</w:t>
      </w:r>
    </w:p>
    <w:p w14:paraId="10C036DE" w14:textId="77777777" w:rsidR="00536F01" w:rsidRPr="00536F01" w:rsidRDefault="00536F01" w:rsidP="00536F01">
      <w:pPr>
        <w:ind w:left="360"/>
        <w:rPr>
          <w:rFonts w:cs="Arial"/>
          <w:b/>
          <w:bCs/>
          <w:sz w:val="22"/>
          <w:szCs w:val="22"/>
        </w:rPr>
      </w:pPr>
    </w:p>
    <w:p w14:paraId="2091722B" w14:textId="77777777" w:rsidR="00AF007A" w:rsidRPr="00345D83" w:rsidRDefault="00AF007A" w:rsidP="002873AF">
      <w:pPr>
        <w:pStyle w:val="Prrafodelista"/>
        <w:rPr>
          <w:rFonts w:cs="Arial"/>
          <w:sz w:val="22"/>
          <w:szCs w:val="22"/>
        </w:rPr>
      </w:pPr>
      <w:r w:rsidRPr="00345D83">
        <w:rPr>
          <w:rFonts w:cs="Arial"/>
          <w:sz w:val="22"/>
          <w:szCs w:val="22"/>
        </w:rPr>
        <w:t>Para el periodo de este informe se establecieron las siguientes alianzas estratégicas para la financiación de la actualización catastral con enfoque multipropósito:</w:t>
      </w:r>
    </w:p>
    <w:p w14:paraId="06D5AE33" w14:textId="77777777" w:rsidR="00AF007A" w:rsidRPr="00345D83" w:rsidRDefault="00AF007A" w:rsidP="002873AF">
      <w:pPr>
        <w:pStyle w:val="Prrafodelista"/>
        <w:rPr>
          <w:rFonts w:cs="Arial"/>
          <w:sz w:val="22"/>
          <w:szCs w:val="22"/>
        </w:rPr>
      </w:pPr>
    </w:p>
    <w:p w14:paraId="4E888516"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Fondo Colombia en Paz:</w:t>
      </w:r>
    </w:p>
    <w:p w14:paraId="04E68FAD" w14:textId="18DA49DF" w:rsidR="00AF007A" w:rsidRPr="00714021" w:rsidRDefault="00AF007A" w:rsidP="00714021">
      <w:pPr>
        <w:pStyle w:val="Prrafodelista"/>
        <w:ind w:left="360"/>
        <w:rPr>
          <w:rFonts w:eastAsiaTheme="minorHAnsi" w:cs="Arial"/>
          <w:sz w:val="22"/>
          <w:szCs w:val="22"/>
        </w:rPr>
      </w:pPr>
      <w:r w:rsidRPr="00345D83">
        <w:rPr>
          <w:rFonts w:cs="Arial"/>
          <w:sz w:val="22"/>
          <w:szCs w:val="22"/>
        </w:rPr>
        <w:t>Municipios PDET financiados: 46 municipios, con 6.275.701 Has.</w:t>
      </w:r>
    </w:p>
    <w:p w14:paraId="1C22817E"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OCAD PAZ:</w:t>
      </w:r>
    </w:p>
    <w:p w14:paraId="72CE879A" w14:textId="77777777" w:rsidR="00AF007A" w:rsidRPr="00345D83" w:rsidRDefault="00AF007A" w:rsidP="00AF007A">
      <w:pPr>
        <w:pStyle w:val="Prrafodelista"/>
        <w:tabs>
          <w:tab w:val="num" w:pos="1440"/>
        </w:tabs>
        <w:ind w:left="360"/>
        <w:rPr>
          <w:rFonts w:cs="Arial"/>
          <w:sz w:val="22"/>
          <w:szCs w:val="22"/>
        </w:rPr>
      </w:pPr>
      <w:r w:rsidRPr="00345D83">
        <w:rPr>
          <w:rFonts w:cs="Arial"/>
          <w:sz w:val="22"/>
          <w:szCs w:val="22"/>
        </w:rPr>
        <w:t>Municipios PDET financiados: 39 municipios con 5.911.179 Has.</w:t>
      </w:r>
    </w:p>
    <w:p w14:paraId="78350E10" w14:textId="77777777" w:rsidR="00AF007A" w:rsidRPr="00345D83" w:rsidRDefault="00AF007A" w:rsidP="00AF007A">
      <w:pPr>
        <w:pStyle w:val="Prrafodelista"/>
        <w:tabs>
          <w:tab w:val="num" w:pos="1440"/>
        </w:tabs>
        <w:ind w:left="360"/>
        <w:rPr>
          <w:rFonts w:cs="Arial"/>
          <w:sz w:val="22"/>
          <w:szCs w:val="22"/>
        </w:rPr>
      </w:pPr>
      <w:r w:rsidRPr="00345D83">
        <w:rPr>
          <w:rFonts w:cs="Arial"/>
          <w:sz w:val="22"/>
          <w:szCs w:val="22"/>
        </w:rPr>
        <w:t>Municipios asignados al IGAC: Balboa - Cauca y Orito – Putumayo</w:t>
      </w:r>
    </w:p>
    <w:p w14:paraId="342FA096" w14:textId="4B7AABF9" w:rsidR="00AF007A" w:rsidRPr="00714021" w:rsidRDefault="00AF007A" w:rsidP="00714021">
      <w:pPr>
        <w:pStyle w:val="Prrafodelista"/>
        <w:tabs>
          <w:tab w:val="num" w:pos="1440"/>
        </w:tabs>
        <w:ind w:left="360"/>
        <w:rPr>
          <w:rFonts w:eastAsiaTheme="minorHAnsi" w:cs="Arial"/>
          <w:sz w:val="22"/>
          <w:szCs w:val="22"/>
        </w:rPr>
      </w:pPr>
      <w:r w:rsidRPr="00345D83">
        <w:rPr>
          <w:rFonts w:cs="Arial"/>
          <w:sz w:val="22"/>
          <w:szCs w:val="22"/>
        </w:rPr>
        <w:t>Municipios aprobados de otros gestores: 7 municipios</w:t>
      </w:r>
    </w:p>
    <w:p w14:paraId="223062E0"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Zonas Futuro:</w:t>
      </w:r>
    </w:p>
    <w:p w14:paraId="0A174417" w14:textId="07E7FE35" w:rsidR="00AF007A" w:rsidRPr="00345D83" w:rsidRDefault="00AF007A" w:rsidP="00714021">
      <w:pPr>
        <w:pStyle w:val="Prrafodelista"/>
        <w:ind w:left="360"/>
        <w:rPr>
          <w:rFonts w:cs="Arial"/>
          <w:sz w:val="22"/>
          <w:szCs w:val="22"/>
        </w:rPr>
      </w:pPr>
      <w:r w:rsidRPr="00345D83">
        <w:rPr>
          <w:rFonts w:cs="Arial"/>
          <w:sz w:val="22"/>
          <w:szCs w:val="22"/>
        </w:rPr>
        <w:t>Municipios PDET financiados: 3 municipios para insumos y actualización catastral (San Calixto – Norte de Santander, Puerto Libertador - Córdoba y Fortul - Arauca), 2 municipios para insumos parciales (Bojayá – Chocó y El Charco - Nariño)</w:t>
      </w:r>
    </w:p>
    <w:p w14:paraId="399BEA04"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Cooperación UK:</w:t>
      </w:r>
    </w:p>
    <w:p w14:paraId="2D6D761E" w14:textId="77777777" w:rsidR="00AF007A" w:rsidRPr="00345D83" w:rsidRDefault="00AF007A" w:rsidP="00AF007A">
      <w:pPr>
        <w:pStyle w:val="Prrafodelista"/>
        <w:ind w:left="360"/>
        <w:rPr>
          <w:rFonts w:cs="Arial"/>
          <w:sz w:val="22"/>
          <w:szCs w:val="22"/>
        </w:rPr>
      </w:pPr>
      <w:r w:rsidRPr="00345D83">
        <w:rPr>
          <w:rFonts w:cs="Arial"/>
          <w:sz w:val="22"/>
          <w:szCs w:val="22"/>
        </w:rPr>
        <w:t>Municipios financiados: 20 municipios PDET y 2 Parques Nacionales, con 16.570.773 Has.</w:t>
      </w:r>
    </w:p>
    <w:p w14:paraId="5B592E7E" w14:textId="77777777" w:rsidR="00AF007A" w:rsidRPr="00345D83" w:rsidRDefault="00AF007A" w:rsidP="00AF007A">
      <w:pPr>
        <w:pStyle w:val="Prrafodelista"/>
        <w:ind w:left="360"/>
        <w:rPr>
          <w:rFonts w:cs="Arial"/>
          <w:sz w:val="22"/>
          <w:szCs w:val="22"/>
        </w:rPr>
      </w:pPr>
      <w:r w:rsidRPr="00345D83">
        <w:rPr>
          <w:rFonts w:cs="Arial"/>
          <w:sz w:val="22"/>
          <w:szCs w:val="22"/>
        </w:rPr>
        <w:t>Acuerdo de donación suscrito: 8 de marzo de 2021</w:t>
      </w:r>
    </w:p>
    <w:p w14:paraId="07599090" w14:textId="77777777" w:rsidR="00AF007A" w:rsidRPr="00345D83" w:rsidRDefault="00AF007A" w:rsidP="00AF007A">
      <w:pPr>
        <w:pStyle w:val="Prrafodelista"/>
        <w:ind w:left="360"/>
        <w:rPr>
          <w:rFonts w:cs="Arial"/>
          <w:sz w:val="22"/>
          <w:szCs w:val="22"/>
        </w:rPr>
      </w:pPr>
      <w:r w:rsidRPr="00345D83">
        <w:rPr>
          <w:rFonts w:cs="Arial"/>
          <w:sz w:val="22"/>
          <w:szCs w:val="22"/>
        </w:rPr>
        <w:t>Aprobación Reglamento Operativo: 29 de abril de 2021</w:t>
      </w:r>
    </w:p>
    <w:p w14:paraId="60AB7EFC" w14:textId="4A4C1E30" w:rsidR="00AF007A" w:rsidRPr="00345D83" w:rsidRDefault="00AF007A" w:rsidP="00714021">
      <w:pPr>
        <w:pStyle w:val="Prrafodelista"/>
        <w:ind w:left="360"/>
        <w:rPr>
          <w:rFonts w:cs="Arial"/>
          <w:sz w:val="22"/>
          <w:szCs w:val="22"/>
        </w:rPr>
      </w:pPr>
      <w:r w:rsidRPr="00345D83">
        <w:rPr>
          <w:rFonts w:cs="Arial"/>
          <w:sz w:val="22"/>
          <w:szCs w:val="22"/>
        </w:rPr>
        <w:t>Aprobación áreas a intervenir: 7 de julio 2021</w:t>
      </w:r>
    </w:p>
    <w:p w14:paraId="2E337F69"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USAID:</w:t>
      </w:r>
    </w:p>
    <w:p w14:paraId="42E9B05E" w14:textId="49FEBE8F" w:rsidR="00AF007A" w:rsidRPr="00345D83" w:rsidRDefault="00AF007A" w:rsidP="00714021">
      <w:pPr>
        <w:pStyle w:val="Prrafodelista"/>
        <w:ind w:left="360"/>
        <w:rPr>
          <w:rFonts w:cs="Arial"/>
          <w:sz w:val="22"/>
          <w:szCs w:val="22"/>
        </w:rPr>
      </w:pPr>
      <w:r w:rsidRPr="00345D83">
        <w:rPr>
          <w:rFonts w:cs="Arial"/>
          <w:sz w:val="22"/>
          <w:szCs w:val="22"/>
        </w:rPr>
        <w:t xml:space="preserve">Municipios PDET financiados: 11 municipios con 1.840.385 Has. </w:t>
      </w:r>
    </w:p>
    <w:p w14:paraId="1A1FEB87" w14:textId="77777777" w:rsidR="00AF007A" w:rsidRPr="00345D83" w:rsidRDefault="00AF007A" w:rsidP="000A20EE">
      <w:pPr>
        <w:pStyle w:val="Prrafodelista"/>
        <w:numPr>
          <w:ilvl w:val="0"/>
          <w:numId w:val="247"/>
        </w:numPr>
        <w:suppressAutoHyphens w:val="0"/>
        <w:overflowPunct/>
        <w:autoSpaceDE/>
        <w:contextualSpacing/>
        <w:textAlignment w:val="auto"/>
        <w:rPr>
          <w:rFonts w:cs="Arial"/>
          <w:b/>
          <w:sz w:val="22"/>
          <w:szCs w:val="22"/>
        </w:rPr>
      </w:pPr>
      <w:r w:rsidRPr="00345D83">
        <w:rPr>
          <w:rFonts w:cs="Arial"/>
          <w:b/>
          <w:sz w:val="22"/>
          <w:szCs w:val="22"/>
        </w:rPr>
        <w:t>Crédito de Catastro Multipropósito con la Banca Multilateral:</w:t>
      </w:r>
    </w:p>
    <w:p w14:paraId="559B6AAA" w14:textId="77777777" w:rsidR="00AF007A" w:rsidRPr="00345D83" w:rsidRDefault="00AF007A" w:rsidP="00AF007A">
      <w:pPr>
        <w:pStyle w:val="Prrafodelista"/>
        <w:tabs>
          <w:tab w:val="num" w:pos="1440"/>
        </w:tabs>
        <w:ind w:left="284" w:hanging="11"/>
        <w:rPr>
          <w:rFonts w:cs="Arial"/>
          <w:sz w:val="22"/>
          <w:szCs w:val="22"/>
        </w:rPr>
      </w:pPr>
      <w:r w:rsidRPr="00345D83">
        <w:rPr>
          <w:rFonts w:cs="Arial"/>
          <w:sz w:val="22"/>
          <w:szCs w:val="22"/>
        </w:rPr>
        <w:t>Municipios PDET financiados: 39 municipios de los 79 financiados a nivel nacional.</w:t>
      </w:r>
    </w:p>
    <w:p w14:paraId="353982C5" w14:textId="77777777" w:rsidR="00AF007A" w:rsidRPr="00714021" w:rsidRDefault="00AF007A" w:rsidP="000A20EE">
      <w:pPr>
        <w:pStyle w:val="Prrafodelista"/>
        <w:numPr>
          <w:ilvl w:val="0"/>
          <w:numId w:val="247"/>
        </w:numPr>
        <w:rPr>
          <w:rFonts w:cs="Arial"/>
          <w:sz w:val="22"/>
          <w:szCs w:val="22"/>
        </w:rPr>
      </w:pPr>
      <w:r w:rsidRPr="00345D83">
        <w:rPr>
          <w:rFonts w:cs="Arial"/>
          <w:b/>
          <w:sz w:val="22"/>
          <w:szCs w:val="22"/>
        </w:rPr>
        <w:t>Biocarbono:</w:t>
      </w:r>
    </w:p>
    <w:p w14:paraId="7A5A8612" w14:textId="77777777" w:rsidR="00AF007A" w:rsidRPr="00526BFD" w:rsidRDefault="00AF007A" w:rsidP="00AF007A">
      <w:pPr>
        <w:tabs>
          <w:tab w:val="num" w:pos="720"/>
        </w:tabs>
        <w:ind w:left="284"/>
        <w:jc w:val="both"/>
        <w:rPr>
          <w:rFonts w:eastAsiaTheme="minorHAnsi" w:cs="Arial"/>
          <w:sz w:val="22"/>
          <w:szCs w:val="22"/>
          <w:lang w:val="es-CO" w:eastAsia="en-US"/>
        </w:rPr>
      </w:pPr>
      <w:r w:rsidRPr="00526BFD">
        <w:rPr>
          <w:rFonts w:eastAsiaTheme="minorHAnsi" w:cs="Arial"/>
          <w:sz w:val="22"/>
          <w:szCs w:val="22"/>
          <w:lang w:val="es-CO" w:eastAsia="en-US"/>
        </w:rPr>
        <w:t>Municipios PDET financiados: 1 Arauquita, Arauca</w:t>
      </w:r>
    </w:p>
    <w:p w14:paraId="7DD65DD1" w14:textId="77777777" w:rsidR="00AF007A" w:rsidRPr="00526BFD" w:rsidRDefault="00AF007A" w:rsidP="00AF007A">
      <w:pPr>
        <w:ind w:left="284"/>
        <w:jc w:val="both"/>
        <w:rPr>
          <w:rFonts w:eastAsiaTheme="minorHAnsi" w:cs="Arial"/>
          <w:sz w:val="22"/>
          <w:szCs w:val="22"/>
          <w:lang w:val="es-CO" w:eastAsia="en-US"/>
        </w:rPr>
      </w:pPr>
      <w:r w:rsidRPr="00526BFD">
        <w:rPr>
          <w:rFonts w:eastAsiaTheme="minorHAnsi" w:cs="Arial"/>
          <w:sz w:val="22"/>
          <w:szCs w:val="22"/>
          <w:lang w:val="es-CO" w:eastAsia="en-US"/>
        </w:rPr>
        <w:t xml:space="preserve">Contrato suscrito: 28 de enero de 2021 </w:t>
      </w:r>
    </w:p>
    <w:p w14:paraId="23DA0FBE" w14:textId="77777777" w:rsidR="00AF007A" w:rsidRPr="00526BFD" w:rsidRDefault="00AF007A" w:rsidP="00AF007A">
      <w:pPr>
        <w:ind w:left="284"/>
        <w:jc w:val="both"/>
        <w:rPr>
          <w:rFonts w:eastAsiaTheme="minorHAnsi" w:cs="Arial"/>
          <w:sz w:val="22"/>
          <w:szCs w:val="22"/>
          <w:lang w:val="es-CO" w:eastAsia="en-US"/>
        </w:rPr>
      </w:pPr>
      <w:r w:rsidRPr="00526BFD">
        <w:rPr>
          <w:rFonts w:eastAsiaTheme="minorHAnsi" w:cs="Arial"/>
          <w:sz w:val="22"/>
          <w:szCs w:val="22"/>
          <w:lang w:val="es-CO" w:eastAsia="en-US"/>
        </w:rPr>
        <w:t>Acta de inicio: 18 de febrero de 2021</w:t>
      </w:r>
    </w:p>
    <w:p w14:paraId="6AEE3746" w14:textId="415E5D2B" w:rsidR="00AF007A" w:rsidRPr="00714021" w:rsidRDefault="00AF007A" w:rsidP="000A20EE">
      <w:pPr>
        <w:pStyle w:val="Prrafodelista"/>
        <w:numPr>
          <w:ilvl w:val="0"/>
          <w:numId w:val="247"/>
        </w:numPr>
        <w:rPr>
          <w:rFonts w:eastAsiaTheme="minorHAnsi" w:cs="Arial"/>
          <w:sz w:val="22"/>
          <w:szCs w:val="22"/>
          <w:lang w:val="es-CO" w:eastAsia="en-US"/>
        </w:rPr>
      </w:pPr>
      <w:r w:rsidRPr="00345D83">
        <w:rPr>
          <w:rFonts w:cs="Arial"/>
          <w:b/>
          <w:sz w:val="22"/>
          <w:szCs w:val="22"/>
        </w:rPr>
        <w:t>ANT</w:t>
      </w:r>
    </w:p>
    <w:p w14:paraId="31D8188E" w14:textId="77777777" w:rsidR="00AF007A" w:rsidRPr="00CD3DB4" w:rsidRDefault="00AF007A" w:rsidP="00AF007A">
      <w:pPr>
        <w:ind w:left="284"/>
        <w:jc w:val="both"/>
        <w:rPr>
          <w:rFonts w:eastAsiaTheme="minorHAnsi" w:cs="Arial"/>
          <w:sz w:val="22"/>
          <w:szCs w:val="22"/>
          <w:lang w:val="es-CO" w:eastAsia="en-US"/>
        </w:rPr>
      </w:pPr>
      <w:r w:rsidRPr="00CD3DB4">
        <w:rPr>
          <w:rFonts w:eastAsiaTheme="minorHAnsi" w:cs="Arial"/>
          <w:sz w:val="22"/>
          <w:szCs w:val="22"/>
          <w:lang w:val="es-CO" w:eastAsia="en-US"/>
        </w:rPr>
        <w:t>Municipios PDET financiados: 5 municipios zona rural con 496.5050 Has.</w:t>
      </w:r>
    </w:p>
    <w:p w14:paraId="721A1FCB" w14:textId="27EA58F1" w:rsidR="00AF007A" w:rsidRPr="001E703E" w:rsidRDefault="00AF007A" w:rsidP="000A20EE">
      <w:pPr>
        <w:pStyle w:val="Prrafodelista"/>
        <w:numPr>
          <w:ilvl w:val="0"/>
          <w:numId w:val="247"/>
        </w:numPr>
        <w:rPr>
          <w:rFonts w:eastAsiaTheme="minorHAnsi" w:cs="Arial"/>
          <w:sz w:val="22"/>
          <w:szCs w:val="22"/>
          <w:lang w:val="es-CO" w:eastAsia="en-US"/>
        </w:rPr>
      </w:pPr>
      <w:r w:rsidRPr="00345D83">
        <w:rPr>
          <w:rFonts w:cs="Arial"/>
          <w:b/>
          <w:sz w:val="22"/>
          <w:szCs w:val="22"/>
        </w:rPr>
        <w:lastRenderedPageBreak/>
        <w:t>ANT-IGAC</w:t>
      </w:r>
    </w:p>
    <w:p w14:paraId="2E0A3E3B" w14:textId="77777777" w:rsidR="00AF007A" w:rsidRPr="00CD3DB4" w:rsidRDefault="00AF007A" w:rsidP="00AF007A">
      <w:pPr>
        <w:tabs>
          <w:tab w:val="num" w:pos="720"/>
        </w:tabs>
        <w:ind w:left="284"/>
        <w:jc w:val="both"/>
        <w:rPr>
          <w:rFonts w:eastAsiaTheme="minorHAnsi" w:cs="Arial"/>
          <w:sz w:val="22"/>
          <w:szCs w:val="22"/>
          <w:lang w:val="es-CO" w:eastAsia="en-US"/>
        </w:rPr>
      </w:pPr>
      <w:r w:rsidRPr="00CD3DB4">
        <w:rPr>
          <w:rFonts w:eastAsiaTheme="minorHAnsi" w:cs="Arial"/>
          <w:sz w:val="22"/>
          <w:szCs w:val="22"/>
          <w:lang w:val="es-CO" w:eastAsia="en-US"/>
        </w:rPr>
        <w:t>Municipios PDET financiados: 3 municipios urbano – rural con 302.673 Has.</w:t>
      </w:r>
    </w:p>
    <w:p w14:paraId="59EA24F5" w14:textId="72A7E46D" w:rsidR="00AF007A" w:rsidRPr="00041844" w:rsidRDefault="00AF007A" w:rsidP="000A20EE">
      <w:pPr>
        <w:pStyle w:val="Prrafodelista"/>
        <w:numPr>
          <w:ilvl w:val="0"/>
          <w:numId w:val="247"/>
        </w:numPr>
        <w:tabs>
          <w:tab w:val="num" w:pos="720"/>
        </w:tabs>
        <w:rPr>
          <w:rFonts w:eastAsiaTheme="minorHAnsi" w:cs="Arial"/>
          <w:sz w:val="22"/>
          <w:szCs w:val="22"/>
          <w:lang w:val="es-CO" w:eastAsia="en-US"/>
        </w:rPr>
      </w:pPr>
      <w:r w:rsidRPr="00345D83">
        <w:rPr>
          <w:rFonts w:cs="Arial"/>
          <w:b/>
          <w:sz w:val="22"/>
          <w:szCs w:val="22"/>
        </w:rPr>
        <w:t>Ejecutados:</w:t>
      </w:r>
    </w:p>
    <w:p w14:paraId="0698B661" w14:textId="77777777" w:rsidR="00AF007A" w:rsidRPr="00345D83" w:rsidRDefault="00AF007A" w:rsidP="00AF007A">
      <w:pPr>
        <w:pStyle w:val="Prrafodelista"/>
        <w:tabs>
          <w:tab w:val="num" w:pos="720"/>
        </w:tabs>
        <w:ind w:left="284"/>
        <w:rPr>
          <w:rFonts w:cs="Arial"/>
          <w:sz w:val="22"/>
          <w:szCs w:val="22"/>
        </w:rPr>
      </w:pPr>
      <w:r w:rsidRPr="00345D83">
        <w:rPr>
          <w:rFonts w:cs="Arial"/>
          <w:sz w:val="22"/>
          <w:szCs w:val="22"/>
        </w:rPr>
        <w:t>IGAC: La Jagua de Ibiríco (Cesar) en 2019</w:t>
      </w:r>
    </w:p>
    <w:p w14:paraId="2B9965E1" w14:textId="77777777" w:rsidR="00AF007A" w:rsidRPr="00345D83" w:rsidRDefault="00AF007A" w:rsidP="00AF007A">
      <w:pPr>
        <w:pStyle w:val="Prrafodelista"/>
        <w:tabs>
          <w:tab w:val="num" w:pos="720"/>
        </w:tabs>
        <w:ind w:left="284"/>
        <w:rPr>
          <w:rFonts w:cs="Arial"/>
          <w:sz w:val="22"/>
          <w:szCs w:val="22"/>
        </w:rPr>
      </w:pPr>
      <w:r w:rsidRPr="00345D83">
        <w:rPr>
          <w:rFonts w:cs="Arial"/>
          <w:sz w:val="22"/>
          <w:szCs w:val="22"/>
        </w:rPr>
        <w:t>Alcaldía de Santa Marta: zona urbana municipio de Santa Martha en 2021 (en proceso)</w:t>
      </w:r>
    </w:p>
    <w:p w14:paraId="36E63CE2" w14:textId="77777777" w:rsidR="00AF007A" w:rsidRPr="00345D83" w:rsidRDefault="00AF007A" w:rsidP="00AF007A">
      <w:pPr>
        <w:pStyle w:val="Prrafodelista"/>
        <w:tabs>
          <w:tab w:val="num" w:pos="720"/>
        </w:tabs>
        <w:ind w:left="284"/>
        <w:rPr>
          <w:rFonts w:cs="Arial"/>
          <w:sz w:val="22"/>
          <w:szCs w:val="22"/>
        </w:rPr>
      </w:pPr>
    </w:p>
    <w:p w14:paraId="434AA763" w14:textId="5655E33F" w:rsidR="00AF007A" w:rsidRPr="00CD3DB4" w:rsidRDefault="00AF007A" w:rsidP="002873AF">
      <w:pPr>
        <w:jc w:val="both"/>
        <w:rPr>
          <w:rFonts w:cs="Arial"/>
          <w:color w:val="FF0000"/>
          <w:sz w:val="22"/>
          <w:szCs w:val="22"/>
        </w:rPr>
      </w:pPr>
      <w:r w:rsidRPr="00CD3DB4">
        <w:rPr>
          <w:rFonts w:cs="Arial"/>
          <w:b/>
          <w:bCs/>
          <w:sz w:val="22"/>
          <w:szCs w:val="22"/>
        </w:rPr>
        <w:t>OTROS LOGROS</w:t>
      </w:r>
    </w:p>
    <w:p w14:paraId="22045915" w14:textId="77777777" w:rsidR="00AF007A" w:rsidRPr="00345D83" w:rsidRDefault="00AF007A" w:rsidP="000A20EE">
      <w:pPr>
        <w:pStyle w:val="Prrafodelista"/>
        <w:numPr>
          <w:ilvl w:val="0"/>
          <w:numId w:val="246"/>
        </w:numPr>
        <w:suppressAutoHyphens w:val="0"/>
        <w:spacing w:after="160"/>
        <w:contextualSpacing/>
        <w:rPr>
          <w:rFonts w:cs="Arial"/>
          <w:color w:val="000000" w:themeColor="text1"/>
          <w:sz w:val="22"/>
          <w:szCs w:val="22"/>
        </w:rPr>
      </w:pPr>
      <w:r w:rsidRPr="00345D83">
        <w:rPr>
          <w:rFonts w:cs="Arial"/>
          <w:color w:val="000000" w:themeColor="text1"/>
          <w:sz w:val="22"/>
          <w:szCs w:val="22"/>
        </w:rPr>
        <w:t>Expedición de la segunda actualización de la circular interinstitucional IGAC Unidad de Restitución de Tierras en relación a las actuaciones de los Gestores catastrales en las distintas etapas del Proceso de Restitución de Tierras reglamentado en la Ley 1448 de 2011, la cual fue expedida en 2013 y había tenido una primera actualización en 2015.</w:t>
      </w:r>
    </w:p>
    <w:p w14:paraId="1BDA457C" w14:textId="77777777" w:rsidR="00AF007A" w:rsidRPr="00345D83" w:rsidRDefault="00AF007A" w:rsidP="000A20EE">
      <w:pPr>
        <w:pStyle w:val="Prrafodelista"/>
        <w:numPr>
          <w:ilvl w:val="0"/>
          <w:numId w:val="246"/>
        </w:numPr>
        <w:suppressAutoHyphens w:val="0"/>
        <w:spacing w:after="160"/>
        <w:contextualSpacing/>
        <w:rPr>
          <w:rFonts w:cs="Arial"/>
          <w:color w:val="000000" w:themeColor="text1"/>
          <w:sz w:val="22"/>
          <w:szCs w:val="22"/>
        </w:rPr>
      </w:pPr>
      <w:r w:rsidRPr="00345D83">
        <w:rPr>
          <w:rFonts w:cs="Arial"/>
          <w:color w:val="000000" w:themeColor="text1"/>
          <w:sz w:val="22"/>
          <w:szCs w:val="22"/>
        </w:rPr>
        <w:t>Realización de dos cruces masivos para la expedición de resoluciones masivas para el cambio de propietario, gracias a los acercamientos con la Superintendencia de Notariado y Registro en la cual se ha permitido el intercambio de información por medio de los canales establecidos por las entidades.</w:t>
      </w:r>
    </w:p>
    <w:p w14:paraId="1FA86B22" w14:textId="77777777" w:rsidR="00AF007A" w:rsidRPr="00345D83" w:rsidRDefault="00AF007A" w:rsidP="000A20EE">
      <w:pPr>
        <w:pStyle w:val="Prrafodelista"/>
        <w:numPr>
          <w:ilvl w:val="0"/>
          <w:numId w:val="246"/>
        </w:numPr>
        <w:suppressAutoHyphens w:val="0"/>
        <w:spacing w:after="160"/>
        <w:contextualSpacing/>
        <w:rPr>
          <w:rFonts w:cs="Arial"/>
          <w:color w:val="000000" w:themeColor="text1"/>
          <w:sz w:val="22"/>
          <w:szCs w:val="22"/>
        </w:rPr>
      </w:pPr>
      <w:r w:rsidRPr="00345D83">
        <w:rPr>
          <w:rFonts w:cs="Arial"/>
          <w:color w:val="000000" w:themeColor="text1"/>
          <w:sz w:val="22"/>
          <w:szCs w:val="22"/>
        </w:rPr>
        <w:t>Trabajo mancomunado con los gestores catastrales para expedir nuevas versiones del modelo LADM COL</w:t>
      </w:r>
    </w:p>
    <w:p w14:paraId="1B22BCF6" w14:textId="77777777" w:rsidR="00AF007A" w:rsidRPr="00345D83" w:rsidRDefault="00AF007A" w:rsidP="000A20EE">
      <w:pPr>
        <w:pStyle w:val="Prrafodelista"/>
        <w:numPr>
          <w:ilvl w:val="0"/>
          <w:numId w:val="246"/>
        </w:numPr>
        <w:suppressAutoHyphens w:val="0"/>
        <w:spacing w:after="160"/>
        <w:contextualSpacing/>
        <w:rPr>
          <w:rFonts w:cs="Arial"/>
          <w:color w:val="000000" w:themeColor="text1"/>
          <w:sz w:val="22"/>
          <w:szCs w:val="22"/>
        </w:rPr>
      </w:pPr>
      <w:r w:rsidRPr="00345D83">
        <w:rPr>
          <w:rFonts w:cs="Arial"/>
          <w:color w:val="000000" w:themeColor="text1"/>
          <w:sz w:val="22"/>
          <w:szCs w:val="22"/>
        </w:rPr>
        <w:t>Actualización documental del proceso Gestión Catastral y los subprocesos asociados</w:t>
      </w:r>
    </w:p>
    <w:p w14:paraId="240B8AA3" w14:textId="4B1E853E" w:rsidR="00AF007A" w:rsidRPr="00345D83" w:rsidRDefault="00AF007A" w:rsidP="000A20EE">
      <w:pPr>
        <w:pStyle w:val="Prrafodelista"/>
        <w:numPr>
          <w:ilvl w:val="0"/>
          <w:numId w:val="246"/>
        </w:numPr>
        <w:suppressAutoHyphens w:val="0"/>
        <w:spacing w:after="160"/>
        <w:contextualSpacing/>
        <w:rPr>
          <w:rFonts w:cs="Arial"/>
          <w:color w:val="000000" w:themeColor="text1"/>
          <w:sz w:val="22"/>
          <w:szCs w:val="22"/>
        </w:rPr>
      </w:pPr>
      <w:r w:rsidRPr="00345D83">
        <w:rPr>
          <w:rFonts w:cs="Arial"/>
          <w:color w:val="000000" w:themeColor="text1"/>
          <w:sz w:val="22"/>
          <w:szCs w:val="22"/>
        </w:rPr>
        <w:t>Expedición de la resolución 1149 de 2021, “Por la cual se actualiza la reglamentación técnica de la formación, actualización, conservación y difusión catastral con enfoque multipropósito”, esta resolución derogó la Resolución 70 de 2011 y se ajusta a lo reglamentado en materia de catastro por la Ley 1955 de 2019 y el Decreto 1170 de 2015 y 148 de 2020, antes de su publicación tuvo el aval del Comité Técnico Asesor para la Gestión Catastral reglamentado por el Decreto 148 de 2020 en julio de 2021 y adicionalmente fue publicada para comentarios por parte de la ciudadanía entre el 9 al 30 de julio.</w:t>
      </w:r>
    </w:p>
    <w:p w14:paraId="40F83CFE" w14:textId="77777777" w:rsidR="004B1119" w:rsidRPr="008B73EF" w:rsidRDefault="004B1119" w:rsidP="008B73EF">
      <w:pPr>
        <w:pStyle w:val="Lista"/>
      </w:pPr>
    </w:p>
    <w:p w14:paraId="139F7B02" w14:textId="4A7B4B54" w:rsidR="00210F1F" w:rsidRPr="002D2F11" w:rsidRDefault="00345D83" w:rsidP="000A20EE">
      <w:pPr>
        <w:pStyle w:val="Prrafodelista"/>
        <w:numPr>
          <w:ilvl w:val="2"/>
          <w:numId w:val="22"/>
        </w:numPr>
        <w:rPr>
          <w:b/>
          <w:bCs/>
          <w:sz w:val="22"/>
          <w:szCs w:val="22"/>
        </w:rPr>
      </w:pPr>
      <w:r w:rsidRPr="002D2F11">
        <w:rPr>
          <w:b/>
          <w:bCs/>
          <w:sz w:val="22"/>
          <w:szCs w:val="22"/>
        </w:rPr>
        <w:t>ANTECEDENTES Y ESTADO ACTUAL</w:t>
      </w:r>
      <w:bookmarkStart w:id="68" w:name="_Toc24446402"/>
      <w:bookmarkStart w:id="69" w:name="_Toc29560686"/>
      <w:r w:rsidR="001D5237">
        <w:rPr>
          <w:b/>
          <w:bCs/>
          <w:sz w:val="22"/>
          <w:szCs w:val="22"/>
        </w:rPr>
        <w:t xml:space="preserve"> DE LA DIRECCIÓN DE GESTIÓN CATASTRAL</w:t>
      </w:r>
    </w:p>
    <w:p w14:paraId="5963A11C" w14:textId="53A94B49" w:rsidR="00345D83" w:rsidRPr="00DA57F3" w:rsidRDefault="00345D83" w:rsidP="00E54695">
      <w:pPr>
        <w:pStyle w:val="Descripcin"/>
        <w:rPr>
          <w:rFonts w:ascii="Arial" w:hAnsi="Arial" w:cs="Arial"/>
          <w:b/>
          <w:i w:val="0"/>
          <w:color w:val="000000" w:themeColor="text1"/>
          <w:sz w:val="16"/>
          <w:szCs w:val="16"/>
        </w:rPr>
      </w:pPr>
    </w:p>
    <w:tbl>
      <w:tblPr>
        <w:tblStyle w:val="Tabladecuadrcula4-nfasis1"/>
        <w:tblW w:w="9699" w:type="dxa"/>
        <w:tblLook w:val="04A0" w:firstRow="1" w:lastRow="0" w:firstColumn="1" w:lastColumn="0" w:noHBand="0" w:noVBand="1"/>
      </w:tblPr>
      <w:tblGrid>
        <w:gridCol w:w="2547"/>
        <w:gridCol w:w="3260"/>
        <w:gridCol w:w="3892"/>
      </w:tblGrid>
      <w:tr w:rsidR="00345D83" w:rsidRPr="00AC5BFE" w14:paraId="06F480E1" w14:textId="77777777" w:rsidTr="008B73EF">
        <w:trPr>
          <w:cnfStyle w:val="100000000000" w:firstRow="1" w:lastRow="0" w:firstColumn="0" w:lastColumn="0" w:oddVBand="0" w:evenVBand="0" w:oddHBand="0" w:evenHBand="0" w:firstRowFirstColumn="0" w:firstRowLastColumn="0" w:lastRowFirstColumn="0" w:lastRowLastColumn="0"/>
          <w:trHeight w:val="308"/>
          <w:tblHead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0EA9138C" w14:textId="77777777" w:rsidR="00345D83" w:rsidRPr="00CF0594" w:rsidRDefault="00345D83" w:rsidP="00A6302C">
            <w:pPr>
              <w:suppressAutoHyphens w:val="0"/>
              <w:jc w:val="center"/>
              <w:rPr>
                <w:rFonts w:cs="Arial"/>
                <w:sz w:val="20"/>
                <w:szCs w:val="20"/>
                <w:lang w:val="es-MX" w:eastAsia="en-US"/>
              </w:rPr>
            </w:pPr>
            <w:r w:rsidRPr="00CF0594">
              <w:rPr>
                <w:rFonts w:cs="Arial"/>
                <w:sz w:val="20"/>
                <w:szCs w:val="20"/>
                <w:lang w:val="es-MX" w:eastAsia="en-US"/>
              </w:rPr>
              <w:t>Ítem</w:t>
            </w:r>
          </w:p>
        </w:tc>
        <w:tc>
          <w:tcPr>
            <w:tcW w:w="3260" w:type="dxa"/>
            <w:vAlign w:val="center"/>
          </w:tcPr>
          <w:p w14:paraId="075FA4C6" w14:textId="14CB9D1D" w:rsidR="00345D83" w:rsidRPr="00CF0594" w:rsidRDefault="00345D8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CF0594">
              <w:rPr>
                <w:rFonts w:cs="Arial"/>
                <w:sz w:val="20"/>
                <w:szCs w:val="20"/>
                <w:lang w:val="es-MX" w:eastAsia="en-US"/>
              </w:rPr>
              <w:t>Estado Inicial</w:t>
            </w:r>
          </w:p>
        </w:tc>
        <w:tc>
          <w:tcPr>
            <w:tcW w:w="3892" w:type="dxa"/>
            <w:vAlign w:val="center"/>
          </w:tcPr>
          <w:p w14:paraId="7B40FB45" w14:textId="77777777" w:rsidR="00345D83" w:rsidRPr="00CF0594" w:rsidRDefault="00345D8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CF0594">
              <w:rPr>
                <w:rFonts w:cs="Arial"/>
                <w:sz w:val="20"/>
                <w:szCs w:val="20"/>
                <w:lang w:val="es-MX" w:eastAsia="en-US"/>
              </w:rPr>
              <w:t>Estado Actual</w:t>
            </w:r>
          </w:p>
        </w:tc>
      </w:tr>
      <w:tr w:rsidR="00345D83" w:rsidRPr="00AC5BFE" w14:paraId="53A60B26" w14:textId="77777777" w:rsidTr="008B73EF">
        <w:trPr>
          <w:cnfStyle w:val="000000100000" w:firstRow="0" w:lastRow="0" w:firstColumn="0" w:lastColumn="0" w:oddVBand="0" w:evenVBand="0" w:oddHBand="1" w:evenHBand="0" w:firstRowFirstColumn="0" w:firstRowLastColumn="0" w:lastRowFirstColumn="0" w:lastRowLastColumn="0"/>
          <w:trHeight w:val="1369"/>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D00E01F" w14:textId="77777777" w:rsidR="00345D83" w:rsidRPr="00CF0594" w:rsidRDefault="00345D83" w:rsidP="00A6302C">
            <w:pPr>
              <w:suppressAutoHyphens w:val="0"/>
              <w:jc w:val="center"/>
              <w:rPr>
                <w:rFonts w:cs="Arial"/>
                <w:sz w:val="20"/>
                <w:szCs w:val="20"/>
                <w:lang w:val="es-MX" w:eastAsia="en-US"/>
              </w:rPr>
            </w:pPr>
            <w:r w:rsidRPr="00CF0594">
              <w:rPr>
                <w:rFonts w:cs="Arial"/>
                <w:sz w:val="20"/>
                <w:szCs w:val="20"/>
                <w:lang w:val="es-MX" w:eastAsia="en-US"/>
              </w:rPr>
              <w:t>Información</w:t>
            </w:r>
          </w:p>
        </w:tc>
        <w:tc>
          <w:tcPr>
            <w:tcW w:w="3260" w:type="dxa"/>
            <w:vAlign w:val="center"/>
          </w:tcPr>
          <w:p w14:paraId="55A301CB" w14:textId="77777777" w:rsidR="00345D83"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 xml:space="preserve">262.016 </w:t>
            </w:r>
            <w:r>
              <w:rPr>
                <w:rFonts w:cs="Arial"/>
                <w:lang w:val="es-MX"/>
              </w:rPr>
              <w:t>H</w:t>
            </w:r>
            <w:r w:rsidRPr="00BE1D72">
              <w:rPr>
                <w:rFonts w:cs="Arial"/>
                <w:lang w:val="es-MX"/>
              </w:rPr>
              <w:t>as del territorio nacional con catastro actualizado</w:t>
            </w:r>
            <w:r>
              <w:rPr>
                <w:rFonts w:cs="Arial"/>
                <w:lang w:val="es-MX"/>
              </w:rPr>
              <w:t xml:space="preserve"> a 01/01/2020</w:t>
            </w:r>
          </w:p>
          <w:p w14:paraId="69889E63" w14:textId="77777777" w:rsidR="00345D83"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186057">
              <w:rPr>
                <w:rFonts w:cs="Arial"/>
                <w:lang w:val="es-MX"/>
              </w:rPr>
              <w:t>la información recolectada en el proceso de formación y actualización catastral se  capturaba en fichas prediales análogas</w:t>
            </w:r>
          </w:p>
          <w:p w14:paraId="39312D68" w14:textId="77777777" w:rsidR="00345D83"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Radicación de tr</w:t>
            </w:r>
            <w:r>
              <w:rPr>
                <w:rFonts w:cs="Arial"/>
                <w:lang w:val="es-MX"/>
              </w:rPr>
              <w:t>á</w:t>
            </w:r>
            <w:r w:rsidRPr="00BE1D72">
              <w:rPr>
                <w:rFonts w:cs="Arial"/>
                <w:lang w:val="es-MX"/>
              </w:rPr>
              <w:t>mites de manera presencial</w:t>
            </w:r>
          </w:p>
          <w:p w14:paraId="2EA7C8C6" w14:textId="77777777" w:rsidR="00345D83" w:rsidRPr="00BE1D72"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 xml:space="preserve">10 </w:t>
            </w:r>
            <w:r>
              <w:rPr>
                <w:rFonts w:cs="Arial"/>
                <w:lang w:val="es-MX"/>
              </w:rPr>
              <w:t>D</w:t>
            </w:r>
            <w:r w:rsidRPr="00BE1D72">
              <w:rPr>
                <w:rFonts w:cs="Arial"/>
                <w:lang w:val="es-MX"/>
              </w:rPr>
              <w:t>irecciones Territoriales trabajando bajo el Sistema Nacional Catastral a diciembre de 201</w:t>
            </w:r>
            <w:r>
              <w:rPr>
                <w:rFonts w:cs="Arial"/>
                <w:lang w:val="es-MX"/>
              </w:rPr>
              <w:t>9</w:t>
            </w:r>
          </w:p>
          <w:p w14:paraId="75CE0D2C" w14:textId="77777777" w:rsidR="00345D83" w:rsidRPr="00BE1D72"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Primeros acercamientos para financiación del Catastro para municipios PDET</w:t>
            </w:r>
          </w:p>
          <w:p w14:paraId="7CDC487E" w14:textId="77777777" w:rsidR="00345D83" w:rsidRPr="00BE1D72" w:rsidRDefault="00345D83" w:rsidP="000A20EE">
            <w:pPr>
              <w:pStyle w:val="Prrafodelista"/>
              <w:numPr>
                <w:ilvl w:val="1"/>
                <w:numId w:val="246"/>
              </w:numPr>
              <w:suppressAutoHyphens w:val="0"/>
              <w:overflowPunct/>
              <w:autoSpaceDE/>
              <w:spacing w:after="160" w:line="256" w:lineRule="auto"/>
              <w:ind w:left="181" w:hanging="181"/>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lastRenderedPageBreak/>
              <w:t>Esquema de costeos para catastro multipropósito</w:t>
            </w:r>
          </w:p>
          <w:p w14:paraId="29D5FF30" w14:textId="77777777" w:rsidR="00345D83" w:rsidRPr="00F2477C" w:rsidRDefault="00345D83" w:rsidP="00A6302C">
            <w:pPr>
              <w:pStyle w:val="Prrafodelista"/>
              <w:ind w:left="181"/>
              <w:cnfStyle w:val="000000100000" w:firstRow="0" w:lastRow="0" w:firstColumn="0" w:lastColumn="0" w:oddVBand="0" w:evenVBand="0" w:oddHBand="1" w:evenHBand="0" w:firstRowFirstColumn="0" w:firstRowLastColumn="0" w:lastRowFirstColumn="0" w:lastRowLastColumn="0"/>
              <w:rPr>
                <w:rFonts w:cs="Arial"/>
                <w:lang w:val="es-MX"/>
              </w:rPr>
            </w:pPr>
          </w:p>
        </w:tc>
        <w:tc>
          <w:tcPr>
            <w:tcW w:w="3892" w:type="dxa"/>
            <w:vAlign w:val="center"/>
          </w:tcPr>
          <w:p w14:paraId="11ABA031" w14:textId="77777777" w:rsidR="00345D83"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3F10A8">
              <w:rPr>
                <w:rFonts w:cs="Arial"/>
                <w:lang w:val="es-MX"/>
              </w:rPr>
              <w:lastRenderedPageBreak/>
              <w:t>17.560.382,69</w:t>
            </w:r>
            <w:r w:rsidRPr="00BE1D72">
              <w:rPr>
                <w:rFonts w:cs="Arial"/>
                <w:lang w:val="es-MX"/>
              </w:rPr>
              <w:t xml:space="preserve"> </w:t>
            </w:r>
            <w:r>
              <w:rPr>
                <w:rFonts w:cs="Arial"/>
                <w:lang w:val="es-MX"/>
              </w:rPr>
              <w:t>H</w:t>
            </w:r>
            <w:r w:rsidRPr="00BE1D72">
              <w:rPr>
                <w:rFonts w:cs="Arial"/>
                <w:lang w:val="es-MX"/>
              </w:rPr>
              <w:t>as del territorio nacional con catastro actualizado</w:t>
            </w:r>
            <w:r>
              <w:rPr>
                <w:rFonts w:cs="Arial"/>
                <w:lang w:val="es-MX"/>
              </w:rPr>
              <w:t xml:space="preserve"> a 01/01/2021</w:t>
            </w:r>
          </w:p>
          <w:p w14:paraId="002D43C8" w14:textId="77777777" w:rsidR="00345D83"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7C283F">
              <w:rPr>
                <w:rFonts w:cs="Arial"/>
                <w:lang w:val="es-MX"/>
              </w:rPr>
              <w:t>la información recolectada en el proceso de formación y/o actualización catastral se hace por medio de dispositivos móviles de captura</w:t>
            </w:r>
          </w:p>
          <w:p w14:paraId="638E0A2C" w14:textId="77777777" w:rsidR="00345D83"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Radicación de tr</w:t>
            </w:r>
            <w:r>
              <w:rPr>
                <w:rFonts w:cs="Arial"/>
                <w:lang w:val="es-MX"/>
              </w:rPr>
              <w:t>á</w:t>
            </w:r>
            <w:r w:rsidRPr="00BE1D72">
              <w:rPr>
                <w:rFonts w:cs="Arial"/>
                <w:lang w:val="es-MX"/>
              </w:rPr>
              <w:t>mites de manera presencial y virtual (VIVI)</w:t>
            </w:r>
          </w:p>
          <w:p w14:paraId="5B2934DE" w14:textId="77777777" w:rsidR="00345D83" w:rsidRPr="00BE1D72"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 xml:space="preserve">13 </w:t>
            </w:r>
            <w:r>
              <w:rPr>
                <w:rFonts w:cs="Arial"/>
                <w:lang w:val="es-MX"/>
              </w:rPr>
              <w:t>D</w:t>
            </w:r>
            <w:r w:rsidRPr="00BE1D72">
              <w:rPr>
                <w:rFonts w:cs="Arial"/>
                <w:lang w:val="es-MX"/>
              </w:rPr>
              <w:t>irecciones Territoriales trabajando bajo el Sistema Nacional Catastral a octubre de 2021</w:t>
            </w:r>
          </w:p>
          <w:p w14:paraId="56DE0CAD" w14:textId="77777777" w:rsidR="00345D83" w:rsidRPr="00BE1D72"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Acompañamiento a municipios PDET para elaboración de proyectos para financiación del catastro multipropósito</w:t>
            </w:r>
          </w:p>
          <w:p w14:paraId="1F99357F" w14:textId="77777777" w:rsidR="00345D83" w:rsidRPr="00DD6A26" w:rsidRDefault="00345D83" w:rsidP="000A20EE">
            <w:pPr>
              <w:pStyle w:val="Prrafodelista"/>
              <w:numPr>
                <w:ilvl w:val="1"/>
                <w:numId w:val="246"/>
              </w:numPr>
              <w:suppressAutoHyphens w:val="0"/>
              <w:overflowPunct/>
              <w:autoSpaceDE/>
              <w:spacing w:after="160" w:line="256" w:lineRule="auto"/>
              <w:ind w:left="313" w:hanging="283"/>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lastRenderedPageBreak/>
              <w:t>Afinamiento de los criterios del esquema de costeos para catastro multipropósito y sistematizado por la Oficina de Informática y Telecomunicacione</w:t>
            </w:r>
            <w:r>
              <w:rPr>
                <w:rFonts w:cs="Arial"/>
                <w:lang w:val="es-MX"/>
              </w:rPr>
              <w:t>s</w:t>
            </w:r>
          </w:p>
        </w:tc>
      </w:tr>
      <w:tr w:rsidR="00345D83" w:rsidRPr="00AC5BFE" w14:paraId="5392E18B" w14:textId="77777777" w:rsidTr="008B73EF">
        <w:trPr>
          <w:trHeight w:val="285"/>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24068B9F" w14:textId="77777777" w:rsidR="00345D83" w:rsidRPr="00922F73" w:rsidRDefault="00345D83" w:rsidP="00A6302C">
            <w:pPr>
              <w:suppressAutoHyphens w:val="0"/>
              <w:jc w:val="center"/>
              <w:rPr>
                <w:rFonts w:cs="Arial"/>
                <w:sz w:val="20"/>
                <w:szCs w:val="20"/>
                <w:lang w:val="es-MX" w:eastAsia="en-US"/>
              </w:rPr>
            </w:pPr>
            <w:r w:rsidRPr="00922F73">
              <w:rPr>
                <w:rFonts w:cs="Arial"/>
                <w:sz w:val="20"/>
                <w:szCs w:val="20"/>
                <w:lang w:val="es-MX" w:eastAsia="en-US"/>
              </w:rPr>
              <w:lastRenderedPageBreak/>
              <w:t>Seguimiento</w:t>
            </w:r>
          </w:p>
        </w:tc>
        <w:tc>
          <w:tcPr>
            <w:tcW w:w="3260" w:type="dxa"/>
            <w:vAlign w:val="center"/>
          </w:tcPr>
          <w:p w14:paraId="2A270BEF" w14:textId="77777777" w:rsidR="00345D83" w:rsidRDefault="00345D83" w:rsidP="000A20EE">
            <w:pPr>
              <w:pStyle w:val="Prrafodelista"/>
              <w:numPr>
                <w:ilvl w:val="0"/>
                <w:numId w:val="248"/>
              </w:numPr>
              <w:suppressAutoHyphens w:val="0"/>
              <w:overflowPunct/>
              <w:autoSpaceDE/>
              <w:spacing w:after="160" w:line="256" w:lineRule="auto"/>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Pr>
                <w:rFonts w:cs="Arial"/>
                <w:lang w:val="es-MX"/>
              </w:rPr>
              <w:t>E</w:t>
            </w:r>
            <w:r w:rsidRPr="00362141">
              <w:rPr>
                <w:rFonts w:cs="Arial"/>
                <w:lang w:val="es-MX"/>
              </w:rPr>
              <w:t>l seguimiento a los procesos de formación y actualización catastral se hacía manualmente</w:t>
            </w:r>
          </w:p>
          <w:p w14:paraId="37019A01" w14:textId="77777777" w:rsidR="00345D83" w:rsidRPr="006D66AB" w:rsidRDefault="00345D83" w:rsidP="000A20EE">
            <w:pPr>
              <w:pStyle w:val="Prrafodelista"/>
              <w:numPr>
                <w:ilvl w:val="0"/>
                <w:numId w:val="248"/>
              </w:numPr>
              <w:suppressAutoHyphens w:val="0"/>
              <w:overflowPunct/>
              <w:autoSpaceDE/>
              <w:spacing w:after="160" w:line="256" w:lineRule="auto"/>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560181">
              <w:rPr>
                <w:rFonts w:cs="Arial"/>
                <w:lang w:val="es-MX"/>
              </w:rPr>
              <w:t>Seguimiento manual para la elaboración de avalúos comerciales</w:t>
            </w:r>
          </w:p>
        </w:tc>
        <w:tc>
          <w:tcPr>
            <w:tcW w:w="3892" w:type="dxa"/>
            <w:vAlign w:val="center"/>
          </w:tcPr>
          <w:p w14:paraId="537DEB75" w14:textId="77777777" w:rsidR="00345D83" w:rsidRDefault="00345D83" w:rsidP="000A20EE">
            <w:pPr>
              <w:pStyle w:val="Prrafodelista"/>
              <w:numPr>
                <w:ilvl w:val="0"/>
                <w:numId w:val="249"/>
              </w:numPr>
              <w:suppressAutoHyphens w:val="0"/>
              <w:overflowPunct/>
              <w:autoSpaceDE/>
              <w:spacing w:after="160" w:line="256" w:lineRule="auto"/>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362141">
              <w:rPr>
                <w:rFonts w:cs="Arial"/>
                <w:lang w:val="es-MX"/>
              </w:rPr>
              <w:t>El seguimiento a los procesos de formación y actualización catastral se hace por medio del aplicativo CICA</w:t>
            </w:r>
          </w:p>
          <w:p w14:paraId="20BED234" w14:textId="77777777" w:rsidR="00345D83" w:rsidRPr="006D66AB" w:rsidRDefault="00345D83" w:rsidP="000A20EE">
            <w:pPr>
              <w:pStyle w:val="Prrafodelista"/>
              <w:numPr>
                <w:ilvl w:val="0"/>
                <w:numId w:val="249"/>
              </w:numPr>
              <w:suppressAutoHyphens w:val="0"/>
              <w:overflowPunct/>
              <w:autoSpaceDE/>
              <w:spacing w:after="160" w:line="256" w:lineRule="auto"/>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560181">
              <w:rPr>
                <w:rFonts w:cs="Arial"/>
                <w:lang w:val="es-MX"/>
              </w:rPr>
              <w:t>Se establecieron líneas bases para desarrollar un módulo de seguimiento de avalúos comerciales</w:t>
            </w:r>
          </w:p>
        </w:tc>
      </w:tr>
      <w:tr w:rsidR="00345D83" w:rsidRPr="00AC5BFE" w14:paraId="27A2616D" w14:textId="77777777" w:rsidTr="008B73EF">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44E3645E" w14:textId="77777777" w:rsidR="00345D83" w:rsidRPr="00294BA0" w:rsidRDefault="00345D83" w:rsidP="00A6302C">
            <w:pPr>
              <w:suppressAutoHyphens w:val="0"/>
              <w:jc w:val="center"/>
              <w:rPr>
                <w:rFonts w:cs="Arial"/>
                <w:b w:val="0"/>
                <w:sz w:val="20"/>
                <w:szCs w:val="20"/>
                <w:lang w:val="es-MX" w:eastAsia="en-US"/>
              </w:rPr>
            </w:pPr>
            <w:r w:rsidRPr="00294BA0">
              <w:rPr>
                <w:rFonts w:cs="Arial"/>
                <w:sz w:val="20"/>
                <w:szCs w:val="20"/>
                <w:lang w:val="es-MX" w:eastAsia="en-US"/>
              </w:rPr>
              <w:t>Procedimientos</w:t>
            </w:r>
          </w:p>
        </w:tc>
        <w:tc>
          <w:tcPr>
            <w:tcW w:w="3260" w:type="dxa"/>
            <w:vAlign w:val="center"/>
          </w:tcPr>
          <w:p w14:paraId="628E3FF1" w14:textId="77777777" w:rsidR="00345D83" w:rsidRPr="00BE1D72" w:rsidRDefault="00345D83" w:rsidP="00A6302C">
            <w:pPr>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BE1D72">
              <w:rPr>
                <w:rFonts w:cs="Arial"/>
                <w:sz w:val="20"/>
                <w:szCs w:val="20"/>
                <w:lang w:val="es-MX"/>
              </w:rPr>
              <w:t>Procedimientos desactualizados a la luz de catastro multipropósito</w:t>
            </w:r>
          </w:p>
        </w:tc>
        <w:tc>
          <w:tcPr>
            <w:tcW w:w="3892" w:type="dxa"/>
            <w:vAlign w:val="center"/>
          </w:tcPr>
          <w:p w14:paraId="0637D992" w14:textId="77777777" w:rsidR="00345D83" w:rsidRPr="00BE1D72" w:rsidRDefault="00345D83" w:rsidP="00A6302C">
            <w:pPr>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BE1D72">
              <w:rPr>
                <w:rFonts w:cs="Arial"/>
                <w:sz w:val="20"/>
                <w:szCs w:val="20"/>
                <w:lang w:val="es-MX"/>
              </w:rPr>
              <w:t>Se han actualizado el 20% de la documentación de cara al decreto 846 de julio de 2021.</w:t>
            </w:r>
          </w:p>
        </w:tc>
      </w:tr>
      <w:tr w:rsidR="00345D83" w:rsidRPr="00AC5BFE" w14:paraId="524EDD93" w14:textId="77777777" w:rsidTr="008B73EF">
        <w:trPr>
          <w:trHeight w:val="278"/>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1B804C98" w14:textId="77777777" w:rsidR="00345D83" w:rsidRPr="00294BA0" w:rsidRDefault="00345D83" w:rsidP="00A6302C">
            <w:pPr>
              <w:suppressAutoHyphens w:val="0"/>
              <w:jc w:val="center"/>
              <w:rPr>
                <w:rFonts w:cs="Arial"/>
                <w:sz w:val="20"/>
                <w:szCs w:val="20"/>
                <w:lang w:val="es-MX" w:eastAsia="en-US"/>
              </w:rPr>
            </w:pPr>
            <w:r w:rsidRPr="00294BA0">
              <w:rPr>
                <w:rFonts w:cs="Arial"/>
                <w:sz w:val="20"/>
                <w:szCs w:val="20"/>
                <w:lang w:val="es-MX" w:eastAsia="en-US"/>
              </w:rPr>
              <w:t>Equipo Humano</w:t>
            </w:r>
          </w:p>
        </w:tc>
        <w:tc>
          <w:tcPr>
            <w:tcW w:w="3260" w:type="dxa"/>
            <w:vAlign w:val="center"/>
          </w:tcPr>
          <w:p w14:paraId="24072D53" w14:textId="62570CD8"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BE1D72">
              <w:rPr>
                <w:rFonts w:cs="Arial"/>
                <w:b/>
                <w:sz w:val="20"/>
                <w:szCs w:val="20"/>
              </w:rPr>
              <w:t>SUBDIRECCIÓN DE CATASTRO</w:t>
            </w:r>
          </w:p>
          <w:p w14:paraId="42629548" w14:textId="409493DC"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Contaba con 33 funcionarios de Planta, discriminados así:</w:t>
            </w:r>
          </w:p>
          <w:p w14:paraId="5B05B39C" w14:textId="1EF92D26"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8 profesionales especializados,</w:t>
            </w:r>
          </w:p>
          <w:p w14:paraId="04C85A51" w14:textId="5845D68E"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16 profesionales,</w:t>
            </w:r>
          </w:p>
          <w:p w14:paraId="153D8575" w14:textId="0A44F7EE"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2 técnicos</w:t>
            </w:r>
          </w:p>
          <w:p w14:paraId="74359D89" w14:textId="77777777"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7 asistenciales.</w:t>
            </w:r>
          </w:p>
          <w:p w14:paraId="47E98E46" w14:textId="77777777" w:rsidR="00345D83" w:rsidRDefault="00345D83" w:rsidP="008B73EF">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BE1D72">
              <w:rPr>
                <w:rFonts w:cs="Arial"/>
                <w:sz w:val="20"/>
                <w:szCs w:val="20"/>
              </w:rPr>
              <w:t>De los cuales estaban 5 cargos vacantes</w:t>
            </w:r>
            <w:r>
              <w:rPr>
                <w:rFonts w:cs="Arial"/>
                <w:sz w:val="20"/>
                <w:szCs w:val="20"/>
              </w:rPr>
              <w:t>.</w:t>
            </w:r>
          </w:p>
          <w:p w14:paraId="6603F6DC" w14:textId="77777777" w:rsidR="00345D83" w:rsidRDefault="00345D83" w:rsidP="008B73EF">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4122312F" w14:textId="77777777" w:rsidR="00345D83" w:rsidRPr="00BE1D72" w:rsidRDefault="00345D83"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5341ED">
              <w:rPr>
                <w:rFonts w:cs="Arial"/>
                <w:sz w:val="20"/>
                <w:szCs w:val="20"/>
              </w:rPr>
              <w:t>84 contratistas, los cuales estaban distribuidos en los diferentes grupos internos de trabajo</w:t>
            </w:r>
            <w:r>
              <w:rPr>
                <w:rFonts w:cs="Arial"/>
                <w:sz w:val="20"/>
                <w:szCs w:val="20"/>
              </w:rPr>
              <w:t>.</w:t>
            </w:r>
          </w:p>
        </w:tc>
        <w:tc>
          <w:tcPr>
            <w:tcW w:w="3892" w:type="dxa"/>
            <w:vAlign w:val="center"/>
          </w:tcPr>
          <w:p w14:paraId="57C5BB0E" w14:textId="12E81FFC"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b/>
                <w:sz w:val="20"/>
                <w:szCs w:val="20"/>
                <w:lang w:val="es-MX" w:eastAsia="en-US"/>
              </w:rPr>
            </w:pPr>
            <w:r w:rsidRPr="00BE1D72">
              <w:rPr>
                <w:rFonts w:cs="Arial"/>
                <w:b/>
                <w:sz w:val="20"/>
                <w:szCs w:val="20"/>
                <w:lang w:val="es-MX" w:eastAsia="en-US"/>
              </w:rPr>
              <w:t>DIRECCIÓN DE GESTIÓN CATASTRAL</w:t>
            </w:r>
          </w:p>
          <w:p w14:paraId="57A5DFE7"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lang w:val="es-MX" w:eastAsia="en-US"/>
              </w:rPr>
              <w:t>6</w:t>
            </w:r>
            <w:r w:rsidRPr="00BE1D72">
              <w:rPr>
                <w:rFonts w:cs="Arial"/>
                <w:sz w:val="20"/>
                <w:szCs w:val="20"/>
              </w:rPr>
              <w:t xml:space="preserve"> funcionarios de Planta, discriminados así:</w:t>
            </w:r>
          </w:p>
          <w:p w14:paraId="118B7644" w14:textId="6E1FB4B3"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libre Nombramiento</w:t>
            </w:r>
          </w:p>
          <w:p w14:paraId="2E44BDE9"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2 profesionales Especializados nombrados</w:t>
            </w:r>
          </w:p>
          <w:p w14:paraId="1E3657C2"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2 profesionales Especializados vacantes</w:t>
            </w:r>
          </w:p>
          <w:p w14:paraId="25D1653A"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 xml:space="preserve">1 secretario ejecutivo </w:t>
            </w:r>
            <w:r>
              <w:rPr>
                <w:rFonts w:cs="Arial"/>
                <w:sz w:val="20"/>
                <w:szCs w:val="20"/>
              </w:rPr>
              <w:t>nombrado</w:t>
            </w:r>
          </w:p>
          <w:p w14:paraId="6D251AF0" w14:textId="77777777" w:rsidR="00345D83" w:rsidRPr="00BE1D72"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b/>
                <w:sz w:val="20"/>
                <w:szCs w:val="20"/>
              </w:rPr>
              <w:t>SUBDIRECCIÓN DE PROYECTOS</w:t>
            </w:r>
            <w:r w:rsidRPr="00BE1D72">
              <w:rPr>
                <w:rFonts w:cs="Arial"/>
                <w:sz w:val="20"/>
                <w:szCs w:val="20"/>
              </w:rPr>
              <w:t>:</w:t>
            </w:r>
          </w:p>
          <w:p w14:paraId="43876438"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lang w:val="es-MX" w:eastAsia="en-US"/>
              </w:rPr>
              <w:t xml:space="preserve">17 </w:t>
            </w:r>
            <w:r w:rsidRPr="00BE1D72">
              <w:rPr>
                <w:rFonts w:cs="Arial"/>
                <w:sz w:val="20"/>
                <w:szCs w:val="20"/>
              </w:rPr>
              <w:t>funcionarios de Planta, discriminados así:</w:t>
            </w:r>
          </w:p>
          <w:p w14:paraId="3C1C9C13" w14:textId="51643308"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libre Nombramiento</w:t>
            </w:r>
          </w:p>
          <w:p w14:paraId="309C55AD"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 xml:space="preserve">2 </w:t>
            </w:r>
            <w:r w:rsidRPr="00BE1D72">
              <w:rPr>
                <w:rFonts w:cs="Arial"/>
                <w:sz w:val="20"/>
                <w:szCs w:val="20"/>
              </w:rPr>
              <w:t>profesionales Especializados nombrados</w:t>
            </w:r>
          </w:p>
          <w:p w14:paraId="788FA057"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 xml:space="preserve">4 </w:t>
            </w:r>
            <w:r w:rsidRPr="00BE1D72">
              <w:rPr>
                <w:rFonts w:cs="Arial"/>
                <w:sz w:val="20"/>
                <w:szCs w:val="20"/>
              </w:rPr>
              <w:t>profesionales Especializados vacantes</w:t>
            </w:r>
          </w:p>
          <w:p w14:paraId="39072949"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4 profesionales Universitarios nombrados</w:t>
            </w:r>
          </w:p>
          <w:p w14:paraId="62C79CC6"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3 profesionales Universitarios vacantes</w:t>
            </w:r>
          </w:p>
          <w:p w14:paraId="1ED64E2B"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secretario ejecutivo Vacante</w:t>
            </w:r>
          </w:p>
          <w:p w14:paraId="1E81933A"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auxiliar Administrativo vacante</w:t>
            </w:r>
          </w:p>
          <w:p w14:paraId="6BF9D61C"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técnico Operativo nombrado</w:t>
            </w:r>
          </w:p>
          <w:p w14:paraId="6A97D94B"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BE1D72">
              <w:rPr>
                <w:rFonts w:cs="Arial"/>
                <w:b/>
                <w:sz w:val="20"/>
                <w:szCs w:val="20"/>
              </w:rPr>
              <w:t>SUBDIRECCIÓN DE AVALUOS</w:t>
            </w:r>
          </w:p>
          <w:p w14:paraId="5E780C74" w14:textId="0C06AB6D"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12 funcionarios de Planta, discriminados así:</w:t>
            </w:r>
          </w:p>
          <w:p w14:paraId="3E82A1CC"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libre Nombramiento vacante</w:t>
            </w:r>
          </w:p>
          <w:p w14:paraId="3485D8EA"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3 profesionales Especializados nombrados</w:t>
            </w:r>
          </w:p>
          <w:p w14:paraId="0DDF5FA1"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4 profesionales Especializados vacantes</w:t>
            </w:r>
          </w:p>
          <w:p w14:paraId="4D645610"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profesional Universitario nombrado</w:t>
            </w:r>
          </w:p>
          <w:p w14:paraId="1D4694F5"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profesional Universitario vacante</w:t>
            </w:r>
          </w:p>
          <w:p w14:paraId="37CD391F" w14:textId="77777777" w:rsidR="00345D83"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secretario ejecutivo nombrado</w:t>
            </w:r>
          </w:p>
          <w:p w14:paraId="571523FD"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 secretario nombrado</w:t>
            </w:r>
          </w:p>
          <w:p w14:paraId="611296EC" w14:textId="77777777" w:rsidR="00345D83" w:rsidRPr="00BE1D72" w:rsidRDefault="00345D83" w:rsidP="008B73EF">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BE1D72">
              <w:rPr>
                <w:rFonts w:cs="Arial"/>
                <w:sz w:val="20"/>
                <w:szCs w:val="20"/>
              </w:rPr>
              <w:t>1 técnico Operativo vacante</w:t>
            </w:r>
          </w:p>
          <w:p w14:paraId="7EA23482" w14:textId="77777777" w:rsidR="00345D83"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121</w:t>
            </w:r>
            <w:r w:rsidRPr="00BE1D72">
              <w:rPr>
                <w:rFonts w:cs="Arial"/>
                <w:sz w:val="20"/>
                <w:szCs w:val="20"/>
              </w:rPr>
              <w:t xml:space="preserve"> contratistas que aportan al cumplimiento de las metas y compromisos de la Dirección </w:t>
            </w:r>
            <w:r>
              <w:rPr>
                <w:rFonts w:cs="Arial"/>
                <w:sz w:val="20"/>
                <w:szCs w:val="20"/>
              </w:rPr>
              <w:t xml:space="preserve">de Gestión </w:t>
            </w:r>
            <w:r w:rsidRPr="00BE1D72">
              <w:rPr>
                <w:rFonts w:cs="Arial"/>
                <w:sz w:val="20"/>
                <w:szCs w:val="20"/>
              </w:rPr>
              <w:t>Catastr</w:t>
            </w:r>
            <w:r>
              <w:rPr>
                <w:rFonts w:cs="Arial"/>
                <w:sz w:val="20"/>
                <w:szCs w:val="20"/>
              </w:rPr>
              <w:t>al</w:t>
            </w:r>
          </w:p>
          <w:p w14:paraId="2FC56D97" w14:textId="77777777" w:rsidR="00345D83"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rPr>
            </w:pPr>
          </w:p>
          <w:p w14:paraId="440A1831" w14:textId="77777777" w:rsidR="00345D83" w:rsidRPr="00890771" w:rsidRDefault="00345D83"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Pr>
                <w:rFonts w:cs="Arial"/>
                <w:sz w:val="20"/>
                <w:szCs w:val="20"/>
                <w:lang w:val="es-MX"/>
              </w:rPr>
              <w:lastRenderedPageBreak/>
              <w:t>*De cara al decreto 846 del 29 de julio de 2021</w:t>
            </w:r>
          </w:p>
        </w:tc>
      </w:tr>
    </w:tbl>
    <w:p w14:paraId="4B0F2525" w14:textId="7D652E25" w:rsidR="00345D83" w:rsidRPr="00DA57F3" w:rsidRDefault="00DA57F3" w:rsidP="00DA57F3">
      <w:pPr>
        <w:pStyle w:val="Lista"/>
        <w:jc w:val="center"/>
        <w:rPr>
          <w:b/>
          <w:sz w:val="16"/>
          <w:szCs w:val="16"/>
        </w:rPr>
      </w:pPr>
      <w:r w:rsidRPr="00DA57F3">
        <w:rPr>
          <w:b/>
          <w:bCs/>
          <w:sz w:val="16"/>
          <w:szCs w:val="16"/>
        </w:rPr>
        <w:lastRenderedPageBreak/>
        <w:t>Fuente: Dirección de Gestión Catastral</w:t>
      </w:r>
    </w:p>
    <w:p w14:paraId="03A29896" w14:textId="6BBA5347" w:rsidR="00DA57F3" w:rsidRPr="00345D83" w:rsidRDefault="00DA57F3" w:rsidP="00345D83">
      <w:pPr>
        <w:pStyle w:val="Lista"/>
      </w:pPr>
    </w:p>
    <w:bookmarkEnd w:id="68"/>
    <w:bookmarkEnd w:id="69"/>
    <w:p w14:paraId="526AA0A6" w14:textId="104F6BA0" w:rsidR="00090791" w:rsidRPr="00345D83" w:rsidRDefault="00090791" w:rsidP="00345D83">
      <w:pPr>
        <w:pStyle w:val="Lista"/>
      </w:pPr>
    </w:p>
    <w:p w14:paraId="373E4B17" w14:textId="57A19DB2" w:rsidR="00DA57F3" w:rsidRDefault="00DA57F3" w:rsidP="00E54695">
      <w:pPr>
        <w:pStyle w:val="Prrafodelista"/>
        <w:numPr>
          <w:ilvl w:val="2"/>
          <w:numId w:val="22"/>
        </w:numPr>
        <w:rPr>
          <w:b/>
          <w:bCs/>
          <w:sz w:val="22"/>
          <w:szCs w:val="22"/>
        </w:rPr>
      </w:pPr>
      <w:r w:rsidRPr="002D2F11">
        <w:rPr>
          <w:b/>
          <w:bCs/>
          <w:sz w:val="22"/>
          <w:szCs w:val="22"/>
        </w:rPr>
        <w:t xml:space="preserve">PROCEDIMIENTOS, INDICADORES Y RIESGOS ASOCIADOS </w:t>
      </w:r>
    </w:p>
    <w:p w14:paraId="6E2BA288" w14:textId="77777777" w:rsidR="00E54695" w:rsidRPr="00E54695" w:rsidRDefault="00E54695" w:rsidP="00E54695">
      <w:pPr>
        <w:pStyle w:val="Lista"/>
      </w:pPr>
    </w:p>
    <w:tbl>
      <w:tblPr>
        <w:tblStyle w:val="Tabladecuadrcula4-nfasis1"/>
        <w:tblW w:w="9063" w:type="dxa"/>
        <w:tblLook w:val="04A0" w:firstRow="1" w:lastRow="0" w:firstColumn="1" w:lastColumn="0" w:noHBand="0" w:noVBand="1"/>
      </w:tblPr>
      <w:tblGrid>
        <w:gridCol w:w="1578"/>
        <w:gridCol w:w="2528"/>
        <w:gridCol w:w="1850"/>
        <w:gridCol w:w="1836"/>
        <w:gridCol w:w="1271"/>
      </w:tblGrid>
      <w:tr w:rsidR="00DA57F3" w:rsidRPr="00BF2388" w14:paraId="7506E32E" w14:textId="77777777" w:rsidTr="00A93A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78" w:type="dxa"/>
            <w:vAlign w:val="center"/>
          </w:tcPr>
          <w:p w14:paraId="36688986" w14:textId="77777777" w:rsidR="00DA57F3" w:rsidRPr="00BF2388" w:rsidRDefault="00DA57F3" w:rsidP="00A6302C">
            <w:pPr>
              <w:suppressAutoHyphens w:val="0"/>
              <w:jc w:val="center"/>
              <w:rPr>
                <w:rFonts w:cs="Arial"/>
                <w:sz w:val="20"/>
                <w:szCs w:val="20"/>
                <w:lang w:val="es-MX" w:eastAsia="en-US"/>
              </w:rPr>
            </w:pPr>
            <w:r w:rsidRPr="00BF2388">
              <w:rPr>
                <w:rFonts w:cs="Arial"/>
                <w:sz w:val="20"/>
                <w:szCs w:val="20"/>
                <w:lang w:val="es-MX" w:eastAsia="en-US"/>
              </w:rPr>
              <w:t>Proceso</w:t>
            </w:r>
          </w:p>
        </w:tc>
        <w:tc>
          <w:tcPr>
            <w:tcW w:w="2528" w:type="dxa"/>
            <w:vAlign w:val="center"/>
          </w:tcPr>
          <w:p w14:paraId="6370A9C7" w14:textId="77777777" w:rsidR="00DA57F3" w:rsidRPr="00BF2388" w:rsidRDefault="00DA57F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BF2388">
              <w:rPr>
                <w:rFonts w:cs="Arial"/>
                <w:sz w:val="20"/>
                <w:szCs w:val="20"/>
                <w:lang w:val="es-MX" w:eastAsia="en-US"/>
              </w:rPr>
              <w:t>Subprocesos</w:t>
            </w:r>
          </w:p>
        </w:tc>
        <w:tc>
          <w:tcPr>
            <w:tcW w:w="1850" w:type="dxa"/>
            <w:vAlign w:val="center"/>
          </w:tcPr>
          <w:p w14:paraId="742E17CC" w14:textId="77777777" w:rsidR="00DA57F3" w:rsidRPr="00BF2388" w:rsidRDefault="00DA57F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BF2388">
              <w:rPr>
                <w:rFonts w:cs="Arial"/>
                <w:sz w:val="20"/>
                <w:szCs w:val="20"/>
                <w:lang w:val="es-MX" w:eastAsia="en-US"/>
              </w:rPr>
              <w:t>Procedimientos</w:t>
            </w:r>
          </w:p>
        </w:tc>
        <w:tc>
          <w:tcPr>
            <w:tcW w:w="1836" w:type="dxa"/>
            <w:vAlign w:val="center"/>
          </w:tcPr>
          <w:p w14:paraId="2753EB84" w14:textId="76A5A2E5" w:rsidR="00DA57F3" w:rsidRPr="00BF2388" w:rsidRDefault="00DA57F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BF2388">
              <w:rPr>
                <w:rFonts w:cs="Arial"/>
                <w:sz w:val="20"/>
                <w:szCs w:val="20"/>
                <w:lang w:val="es-MX" w:eastAsia="en-US"/>
              </w:rPr>
              <w:t>Indicadores Plan de Acción</w:t>
            </w:r>
          </w:p>
        </w:tc>
        <w:tc>
          <w:tcPr>
            <w:tcW w:w="1271" w:type="dxa"/>
            <w:vAlign w:val="center"/>
          </w:tcPr>
          <w:p w14:paraId="597EEAE9" w14:textId="77777777" w:rsidR="00DA57F3" w:rsidRPr="00BF2388" w:rsidRDefault="00DA57F3"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BF2388">
              <w:rPr>
                <w:rFonts w:cs="Arial"/>
                <w:sz w:val="20"/>
                <w:szCs w:val="20"/>
                <w:lang w:val="es-MX" w:eastAsia="en-US"/>
              </w:rPr>
              <w:t>Riesgos</w:t>
            </w:r>
          </w:p>
        </w:tc>
      </w:tr>
      <w:tr w:rsidR="00DA57F3" w:rsidRPr="00D87962" w14:paraId="33D97D08" w14:textId="77777777" w:rsidTr="00A93A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78" w:type="dxa"/>
            <w:vMerge w:val="restart"/>
            <w:vAlign w:val="center"/>
          </w:tcPr>
          <w:p w14:paraId="24464330" w14:textId="77777777" w:rsidR="00DA57F3" w:rsidRPr="00BE1D72" w:rsidRDefault="00DA57F3" w:rsidP="00090791">
            <w:pPr>
              <w:suppressAutoHyphens w:val="0"/>
              <w:jc w:val="center"/>
              <w:rPr>
                <w:rFonts w:cs="Arial"/>
                <w:b w:val="0"/>
                <w:sz w:val="20"/>
                <w:szCs w:val="20"/>
                <w:lang w:val="es-MX" w:eastAsia="en-US"/>
              </w:rPr>
            </w:pPr>
            <w:r w:rsidRPr="00CB06F8">
              <w:rPr>
                <w:rFonts w:cs="Arial"/>
                <w:sz w:val="20"/>
                <w:szCs w:val="20"/>
              </w:rPr>
              <w:t>Gestión Catastral</w:t>
            </w:r>
          </w:p>
        </w:tc>
        <w:tc>
          <w:tcPr>
            <w:tcW w:w="2528" w:type="dxa"/>
            <w:vAlign w:val="center"/>
          </w:tcPr>
          <w:p w14:paraId="368C5C6F" w14:textId="77777777" w:rsidR="00DA57F3" w:rsidRPr="00CB06F8" w:rsidRDefault="00DA57F3" w:rsidP="00090791">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B06F8">
              <w:rPr>
                <w:rFonts w:cs="Arial"/>
                <w:sz w:val="20"/>
                <w:szCs w:val="20"/>
              </w:rPr>
              <w:t>Avalúos Comerciales</w:t>
            </w:r>
          </w:p>
        </w:tc>
        <w:tc>
          <w:tcPr>
            <w:tcW w:w="1850" w:type="dxa"/>
            <w:vAlign w:val="center"/>
          </w:tcPr>
          <w:p w14:paraId="41C2D98D" w14:textId="77777777" w:rsidR="00DA57F3" w:rsidRPr="00CB06F8" w:rsidRDefault="00DA57F3" w:rsidP="00A6302C">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B06F8">
              <w:rPr>
                <w:rFonts w:cs="Arial"/>
                <w:sz w:val="20"/>
                <w:szCs w:val="20"/>
              </w:rPr>
              <w:t>3</w:t>
            </w:r>
          </w:p>
        </w:tc>
        <w:tc>
          <w:tcPr>
            <w:tcW w:w="1836" w:type="dxa"/>
            <w:vAlign w:val="center"/>
          </w:tcPr>
          <w:p w14:paraId="6B20DE25" w14:textId="77777777" w:rsidR="00DA57F3" w:rsidRPr="00CB06F8" w:rsidRDefault="00DA57F3"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B06F8">
              <w:rPr>
                <w:rFonts w:cs="Arial"/>
                <w:sz w:val="20"/>
                <w:szCs w:val="20"/>
              </w:rPr>
              <w:t>2</w:t>
            </w:r>
          </w:p>
        </w:tc>
        <w:tc>
          <w:tcPr>
            <w:tcW w:w="1271" w:type="dxa"/>
            <w:vAlign w:val="center"/>
          </w:tcPr>
          <w:p w14:paraId="66F72F2B" w14:textId="77777777" w:rsidR="00DA57F3" w:rsidRPr="00CB06F8" w:rsidRDefault="00DA57F3"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CB06F8">
              <w:rPr>
                <w:rFonts w:cs="Arial"/>
                <w:sz w:val="20"/>
                <w:szCs w:val="20"/>
              </w:rPr>
              <w:t>1</w:t>
            </w:r>
          </w:p>
        </w:tc>
      </w:tr>
      <w:tr w:rsidR="00DA57F3" w:rsidRPr="00D87962" w14:paraId="1D2D60CA" w14:textId="77777777" w:rsidTr="00A93AF8">
        <w:tc>
          <w:tcPr>
            <w:cnfStyle w:val="001000000000" w:firstRow="0" w:lastRow="0" w:firstColumn="1" w:lastColumn="0" w:oddVBand="0" w:evenVBand="0" w:oddHBand="0" w:evenHBand="0" w:firstRowFirstColumn="0" w:firstRowLastColumn="0" w:lastRowFirstColumn="0" w:lastRowLastColumn="0"/>
            <w:tcW w:w="1578" w:type="dxa"/>
            <w:vMerge/>
            <w:vAlign w:val="center"/>
          </w:tcPr>
          <w:p w14:paraId="399E71C6" w14:textId="77777777" w:rsidR="00DA57F3" w:rsidRPr="00BE1D72" w:rsidRDefault="00DA57F3" w:rsidP="00090791">
            <w:pPr>
              <w:suppressAutoHyphens w:val="0"/>
              <w:jc w:val="center"/>
              <w:rPr>
                <w:rFonts w:cs="Arial"/>
                <w:b w:val="0"/>
                <w:sz w:val="20"/>
                <w:szCs w:val="20"/>
                <w:lang w:val="es-MX" w:eastAsia="en-US"/>
              </w:rPr>
            </w:pPr>
          </w:p>
        </w:tc>
        <w:tc>
          <w:tcPr>
            <w:tcW w:w="2528" w:type="dxa"/>
            <w:vAlign w:val="center"/>
          </w:tcPr>
          <w:p w14:paraId="0E7F98EB" w14:textId="77777777" w:rsidR="00DA57F3" w:rsidRPr="00BE1D72" w:rsidRDefault="00DA57F3" w:rsidP="00090791">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CB06F8">
              <w:rPr>
                <w:rFonts w:cs="Arial"/>
                <w:sz w:val="20"/>
                <w:szCs w:val="20"/>
              </w:rPr>
              <w:t>Formación, Actualización y Conservación Catastral</w:t>
            </w:r>
          </w:p>
        </w:tc>
        <w:tc>
          <w:tcPr>
            <w:tcW w:w="1850" w:type="dxa"/>
            <w:vAlign w:val="center"/>
          </w:tcPr>
          <w:p w14:paraId="501A16A2" w14:textId="77777777" w:rsidR="00DA57F3" w:rsidRPr="00BE1D72" w:rsidRDefault="00DA57F3" w:rsidP="00A6302C">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CB06F8">
              <w:rPr>
                <w:rFonts w:cs="Arial"/>
                <w:sz w:val="20"/>
                <w:szCs w:val="20"/>
              </w:rPr>
              <w:t>4</w:t>
            </w:r>
          </w:p>
        </w:tc>
        <w:tc>
          <w:tcPr>
            <w:tcW w:w="1836" w:type="dxa"/>
            <w:vAlign w:val="center"/>
          </w:tcPr>
          <w:p w14:paraId="13E32596" w14:textId="77777777" w:rsidR="00DA57F3" w:rsidRPr="00BE1D72" w:rsidRDefault="00DA57F3"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CB06F8">
              <w:rPr>
                <w:rFonts w:cs="Arial"/>
                <w:sz w:val="20"/>
                <w:szCs w:val="20"/>
              </w:rPr>
              <w:t>4</w:t>
            </w:r>
          </w:p>
        </w:tc>
        <w:tc>
          <w:tcPr>
            <w:tcW w:w="1271" w:type="dxa"/>
            <w:vAlign w:val="center"/>
          </w:tcPr>
          <w:p w14:paraId="0C25B214" w14:textId="77777777" w:rsidR="00DA57F3" w:rsidRPr="00CB06F8" w:rsidRDefault="00DA57F3"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CB06F8">
              <w:rPr>
                <w:rFonts w:cs="Arial"/>
                <w:sz w:val="20"/>
                <w:szCs w:val="20"/>
              </w:rPr>
              <w:t>2</w:t>
            </w:r>
          </w:p>
        </w:tc>
      </w:tr>
      <w:tr w:rsidR="00DA57F3" w:rsidRPr="00D87962" w14:paraId="70FE4F57" w14:textId="77777777" w:rsidTr="00A93A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78" w:type="dxa"/>
            <w:vMerge/>
            <w:vAlign w:val="center"/>
          </w:tcPr>
          <w:p w14:paraId="70E6EFB6" w14:textId="77777777" w:rsidR="00DA57F3" w:rsidRPr="00BE1D72" w:rsidRDefault="00DA57F3" w:rsidP="00090791">
            <w:pPr>
              <w:suppressAutoHyphens w:val="0"/>
              <w:jc w:val="center"/>
              <w:rPr>
                <w:rFonts w:cs="Arial"/>
                <w:b w:val="0"/>
                <w:sz w:val="20"/>
                <w:szCs w:val="20"/>
                <w:lang w:val="es-MX" w:eastAsia="en-US"/>
              </w:rPr>
            </w:pPr>
          </w:p>
        </w:tc>
        <w:tc>
          <w:tcPr>
            <w:tcW w:w="2528" w:type="dxa"/>
            <w:vAlign w:val="center"/>
          </w:tcPr>
          <w:p w14:paraId="6686FA26" w14:textId="77777777" w:rsidR="00DA57F3" w:rsidRPr="00BE1D72" w:rsidRDefault="00DA57F3" w:rsidP="00090791">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CB06F8">
              <w:rPr>
                <w:rFonts w:cs="Arial"/>
                <w:sz w:val="20"/>
                <w:szCs w:val="20"/>
              </w:rPr>
              <w:t>Prestación del Servicio Catastral por Excepción</w:t>
            </w:r>
          </w:p>
        </w:tc>
        <w:tc>
          <w:tcPr>
            <w:tcW w:w="1850" w:type="dxa"/>
            <w:vAlign w:val="center"/>
          </w:tcPr>
          <w:p w14:paraId="63376655" w14:textId="77777777" w:rsidR="00DA57F3" w:rsidRPr="00BE1D72" w:rsidRDefault="00DA57F3" w:rsidP="00A6302C">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CB06F8">
              <w:rPr>
                <w:rFonts w:cs="Arial"/>
                <w:sz w:val="20"/>
                <w:szCs w:val="20"/>
              </w:rPr>
              <w:t>8</w:t>
            </w:r>
          </w:p>
        </w:tc>
        <w:tc>
          <w:tcPr>
            <w:tcW w:w="1836" w:type="dxa"/>
            <w:vAlign w:val="center"/>
          </w:tcPr>
          <w:p w14:paraId="5F5DC59C" w14:textId="77777777" w:rsidR="00DA57F3" w:rsidRPr="00BE1D72" w:rsidRDefault="00DA57F3"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CB06F8">
              <w:rPr>
                <w:rFonts w:cs="Arial"/>
                <w:sz w:val="20"/>
                <w:szCs w:val="20"/>
              </w:rPr>
              <w:t>8</w:t>
            </w:r>
          </w:p>
        </w:tc>
        <w:tc>
          <w:tcPr>
            <w:tcW w:w="1271" w:type="dxa"/>
            <w:vAlign w:val="center"/>
          </w:tcPr>
          <w:p w14:paraId="2B72DFBE" w14:textId="77777777" w:rsidR="00DA57F3" w:rsidRPr="00CB06F8" w:rsidRDefault="00DA57F3"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CB06F8">
              <w:rPr>
                <w:rFonts w:cs="Arial"/>
                <w:sz w:val="20"/>
                <w:szCs w:val="20"/>
              </w:rPr>
              <w:t>2</w:t>
            </w:r>
          </w:p>
        </w:tc>
      </w:tr>
      <w:tr w:rsidR="00DA57F3" w:rsidRPr="00D87962" w14:paraId="44D184C2" w14:textId="77777777" w:rsidTr="00A93AF8">
        <w:tc>
          <w:tcPr>
            <w:cnfStyle w:val="001000000000" w:firstRow="0" w:lastRow="0" w:firstColumn="1" w:lastColumn="0" w:oddVBand="0" w:evenVBand="0" w:oddHBand="0" w:evenHBand="0" w:firstRowFirstColumn="0" w:firstRowLastColumn="0" w:lastRowFirstColumn="0" w:lastRowLastColumn="0"/>
            <w:tcW w:w="4106" w:type="dxa"/>
            <w:gridSpan w:val="2"/>
            <w:vAlign w:val="center"/>
          </w:tcPr>
          <w:p w14:paraId="39DF23FB" w14:textId="061D03B3" w:rsidR="00DA57F3" w:rsidRPr="00CB06F8" w:rsidRDefault="00A93AF8" w:rsidP="00090791">
            <w:pPr>
              <w:suppressAutoHyphens w:val="0"/>
              <w:contextualSpacing/>
              <w:jc w:val="center"/>
              <w:rPr>
                <w:rFonts w:cs="Arial"/>
                <w:sz w:val="20"/>
                <w:szCs w:val="20"/>
              </w:rPr>
            </w:pPr>
            <w:r w:rsidRPr="00A93AF8">
              <w:rPr>
                <w:rFonts w:cs="Arial"/>
                <w:sz w:val="20"/>
                <w:szCs w:val="20"/>
                <w:lang w:val="es-MX" w:eastAsia="en-US"/>
              </w:rPr>
              <w:t>TOTAL</w:t>
            </w:r>
          </w:p>
        </w:tc>
        <w:tc>
          <w:tcPr>
            <w:tcW w:w="1850" w:type="dxa"/>
            <w:vAlign w:val="center"/>
          </w:tcPr>
          <w:p w14:paraId="40742F26" w14:textId="77777777" w:rsidR="00DA57F3" w:rsidRPr="00CB06F8" w:rsidRDefault="00DA57F3" w:rsidP="00A6302C">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B06F8">
              <w:rPr>
                <w:rFonts w:cs="Arial"/>
                <w:b/>
                <w:bCs/>
                <w:sz w:val="20"/>
                <w:szCs w:val="20"/>
              </w:rPr>
              <w:t>15</w:t>
            </w:r>
          </w:p>
        </w:tc>
        <w:tc>
          <w:tcPr>
            <w:tcW w:w="1836" w:type="dxa"/>
            <w:vAlign w:val="center"/>
          </w:tcPr>
          <w:p w14:paraId="44418BE9" w14:textId="77777777" w:rsidR="00DA57F3" w:rsidRPr="00CB06F8" w:rsidRDefault="00DA57F3"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B06F8">
              <w:rPr>
                <w:rFonts w:cs="Arial"/>
                <w:b/>
                <w:bCs/>
                <w:sz w:val="20"/>
                <w:szCs w:val="20"/>
              </w:rPr>
              <w:t>14</w:t>
            </w:r>
          </w:p>
        </w:tc>
        <w:tc>
          <w:tcPr>
            <w:tcW w:w="1271" w:type="dxa"/>
            <w:vAlign w:val="center"/>
          </w:tcPr>
          <w:p w14:paraId="21A151F2" w14:textId="77777777" w:rsidR="00DA57F3" w:rsidRPr="00CB06F8" w:rsidRDefault="00DA57F3"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CB06F8">
              <w:rPr>
                <w:rFonts w:cs="Arial"/>
                <w:b/>
                <w:bCs/>
                <w:sz w:val="20"/>
                <w:szCs w:val="20"/>
              </w:rPr>
              <w:t>5</w:t>
            </w:r>
          </w:p>
        </w:tc>
      </w:tr>
    </w:tbl>
    <w:p w14:paraId="74DB9857" w14:textId="7BDA227F" w:rsidR="00DA57F3" w:rsidRPr="00B11A16" w:rsidRDefault="00DA57F3" w:rsidP="00B11A16">
      <w:pPr>
        <w:pStyle w:val="Lista"/>
        <w:jc w:val="center"/>
        <w:rPr>
          <w:b/>
          <w:sz w:val="16"/>
          <w:szCs w:val="16"/>
        </w:rPr>
      </w:pPr>
      <w:r w:rsidRPr="00B11A16">
        <w:rPr>
          <w:b/>
          <w:bCs/>
          <w:sz w:val="16"/>
          <w:szCs w:val="16"/>
        </w:rPr>
        <w:t xml:space="preserve">Fuente: </w:t>
      </w:r>
      <w:r w:rsidR="00B11A16" w:rsidRPr="00B11A16">
        <w:rPr>
          <w:b/>
          <w:bCs/>
          <w:sz w:val="16"/>
          <w:szCs w:val="16"/>
        </w:rPr>
        <w:t>Dirección de Gestión Catastral</w:t>
      </w:r>
    </w:p>
    <w:p w14:paraId="1CD983F6" w14:textId="77777777" w:rsidR="00DA57F3" w:rsidRPr="00DA57F3" w:rsidRDefault="00DA57F3" w:rsidP="00DA57F3">
      <w:pPr>
        <w:pStyle w:val="Lista"/>
      </w:pPr>
    </w:p>
    <w:p w14:paraId="6D9B6CB1" w14:textId="77777777" w:rsidR="00AC645E" w:rsidRDefault="00AC645E" w:rsidP="00DA57F3">
      <w:pPr>
        <w:pStyle w:val="Lista"/>
      </w:pPr>
    </w:p>
    <w:p w14:paraId="6DA4331B" w14:textId="14F7B5D3" w:rsidR="004469D9" w:rsidRPr="00A93AF8" w:rsidRDefault="004469D9" w:rsidP="004469D9">
      <w:pPr>
        <w:pStyle w:val="paragraph"/>
        <w:spacing w:before="0" w:beforeAutospacing="0" w:after="0" w:afterAutospacing="0"/>
        <w:jc w:val="both"/>
        <w:textAlignment w:val="baseline"/>
        <w:rPr>
          <w:rFonts w:cs="Arial"/>
          <w:color w:val="000000"/>
          <w:sz w:val="22"/>
          <w:szCs w:val="22"/>
        </w:rPr>
      </w:pPr>
      <w:r>
        <w:rPr>
          <w:rStyle w:val="normaltextrun"/>
          <w:rFonts w:cs="Arial"/>
          <w:color w:val="000000"/>
          <w:sz w:val="22"/>
          <w:szCs w:val="22"/>
          <w:lang w:val="es-ES"/>
        </w:rPr>
        <w:t>Para mayor detalle de la información consultar en:</w:t>
      </w:r>
      <w:r>
        <w:rPr>
          <w:rStyle w:val="eop"/>
          <w:rFonts w:cs="Arial"/>
          <w:color w:val="000000"/>
          <w:sz w:val="22"/>
          <w:szCs w:val="22"/>
        </w:rPr>
        <w:t> </w:t>
      </w:r>
    </w:p>
    <w:p w14:paraId="509A59E0" w14:textId="215AD532" w:rsidR="004469D9" w:rsidRPr="00A93AF8" w:rsidRDefault="004469D9" w:rsidP="000A20EE">
      <w:pPr>
        <w:pStyle w:val="paragraph"/>
        <w:numPr>
          <w:ilvl w:val="0"/>
          <w:numId w:val="264"/>
        </w:numPr>
        <w:spacing w:before="0" w:beforeAutospacing="0" w:after="0" w:afterAutospacing="0"/>
        <w:jc w:val="both"/>
        <w:textAlignment w:val="baseline"/>
        <w:rPr>
          <w:rStyle w:val="normaltextrun"/>
          <w:rFonts w:ascii="Segoe UI" w:hAnsi="Segoe UI" w:cs="Segoe UI"/>
          <w:sz w:val="22"/>
          <w:szCs w:val="22"/>
        </w:rPr>
      </w:pPr>
      <w:r w:rsidRPr="00BE1D72">
        <w:rPr>
          <w:rStyle w:val="normaltextrun"/>
          <w:rFonts w:cs="Arial"/>
          <w:b/>
          <w:bCs/>
          <w:color w:val="000000"/>
          <w:sz w:val="22"/>
          <w:szCs w:val="22"/>
          <w:lang w:val="es-ES"/>
        </w:rPr>
        <w:t>Procedimientos</w:t>
      </w:r>
      <w:r w:rsidRPr="00BE1D72">
        <w:rPr>
          <w:rStyle w:val="normaltextrun"/>
          <w:rFonts w:cs="Arial"/>
          <w:color w:val="000000"/>
          <w:sz w:val="22"/>
          <w:szCs w:val="22"/>
          <w:lang w:val="es-ES"/>
        </w:rPr>
        <w:t>: </w:t>
      </w:r>
      <w:hyperlink r:id="rId23" w:tgtFrame="_blank" w:history="1">
        <w:r w:rsidRPr="00BE1D72">
          <w:rPr>
            <w:rStyle w:val="normaltextrun"/>
            <w:rFonts w:cs="Arial"/>
            <w:color w:val="0000FF"/>
            <w:sz w:val="22"/>
            <w:szCs w:val="22"/>
            <w:u w:val="single"/>
            <w:lang w:val="es-ES"/>
          </w:rPr>
          <w:t>https://www.igac.gov.co/es/listado-maestro-de-documentos</w:t>
        </w:r>
      </w:hyperlink>
      <w:r w:rsidRPr="00BE1D72">
        <w:rPr>
          <w:rStyle w:val="eop"/>
          <w:rFonts w:ascii="Calibri" w:hAnsi="Calibri" w:cs="Calibri"/>
          <w:sz w:val="22"/>
          <w:szCs w:val="22"/>
        </w:rPr>
        <w:t> </w:t>
      </w:r>
    </w:p>
    <w:p w14:paraId="0517545E" w14:textId="1BA5D4E3" w:rsidR="004469D9" w:rsidRPr="00A93AF8" w:rsidRDefault="004469D9" w:rsidP="000A20EE">
      <w:pPr>
        <w:pStyle w:val="paragraph"/>
        <w:numPr>
          <w:ilvl w:val="0"/>
          <w:numId w:val="264"/>
        </w:numPr>
        <w:spacing w:before="0" w:beforeAutospacing="0" w:after="0" w:afterAutospacing="0"/>
        <w:jc w:val="both"/>
        <w:textAlignment w:val="baseline"/>
        <w:rPr>
          <w:rStyle w:val="normaltextrun"/>
          <w:rFonts w:ascii="Segoe UI" w:hAnsi="Segoe UI" w:cs="Segoe UI"/>
          <w:sz w:val="22"/>
          <w:szCs w:val="22"/>
        </w:rPr>
      </w:pPr>
      <w:r w:rsidRPr="00BE1D72">
        <w:rPr>
          <w:rStyle w:val="normaltextrun"/>
          <w:rFonts w:cs="Arial"/>
          <w:b/>
          <w:bCs/>
          <w:color w:val="000000"/>
          <w:sz w:val="22"/>
          <w:szCs w:val="22"/>
          <w:lang w:val="es-ES"/>
        </w:rPr>
        <w:t>Indicadores</w:t>
      </w:r>
      <w:r w:rsidRPr="00BE1D72">
        <w:rPr>
          <w:rStyle w:val="normaltextrun"/>
          <w:rFonts w:cs="Arial"/>
          <w:color w:val="000000"/>
          <w:sz w:val="22"/>
          <w:szCs w:val="22"/>
          <w:lang w:val="es-ES"/>
        </w:rPr>
        <w:t>: Plan Acción Anual 2021: </w:t>
      </w:r>
      <w:r w:rsidRPr="00CB06F8">
        <w:rPr>
          <w:rStyle w:val="normaltextrun"/>
          <w:color w:val="000000"/>
          <w:sz w:val="22"/>
          <w:szCs w:val="22"/>
          <w:lang w:val="es-ES"/>
        </w:rPr>
        <w:t> </w:t>
      </w:r>
      <w:hyperlink r:id="rId24" w:tgtFrame="_blank" w:history="1">
        <w:r w:rsidRPr="00BE1D72">
          <w:rPr>
            <w:rStyle w:val="normaltextrun"/>
            <w:rFonts w:cs="Arial"/>
            <w:color w:val="0000FF"/>
            <w:sz w:val="22"/>
            <w:szCs w:val="22"/>
            <w:u w:val="single"/>
            <w:lang w:val="es-ES"/>
          </w:rPr>
          <w:t>https://www.igac.gov.co/es/transparencia-y-acceso-a-la-informacion-publica/plan-de-accion-anual</w:t>
        </w:r>
      </w:hyperlink>
      <w:r w:rsidRPr="00BE1D72">
        <w:rPr>
          <w:rStyle w:val="normaltextrun"/>
          <w:rFonts w:cs="Arial"/>
          <w:color w:val="000000"/>
          <w:sz w:val="22"/>
          <w:szCs w:val="22"/>
          <w:lang w:val="es-ES"/>
        </w:rPr>
        <w:t> y en Herramienta Planigac</w:t>
      </w:r>
      <w:r w:rsidRPr="00BE1D72">
        <w:rPr>
          <w:rStyle w:val="eop"/>
          <w:rFonts w:cs="Arial"/>
          <w:color w:val="000000"/>
          <w:sz w:val="22"/>
          <w:szCs w:val="22"/>
        </w:rPr>
        <w:t> </w:t>
      </w:r>
    </w:p>
    <w:p w14:paraId="158EDF89" w14:textId="60E2F9E0" w:rsidR="004469D9" w:rsidRPr="00A93AF8" w:rsidRDefault="004469D9" w:rsidP="000A20EE">
      <w:pPr>
        <w:pStyle w:val="paragraph"/>
        <w:numPr>
          <w:ilvl w:val="0"/>
          <w:numId w:val="264"/>
        </w:numPr>
        <w:spacing w:before="0" w:beforeAutospacing="0" w:after="0" w:afterAutospacing="0"/>
        <w:jc w:val="both"/>
        <w:textAlignment w:val="baseline"/>
        <w:rPr>
          <w:rFonts w:ascii="Segoe UI" w:hAnsi="Segoe UI" w:cs="Segoe UI"/>
          <w:sz w:val="22"/>
          <w:szCs w:val="22"/>
        </w:rPr>
      </w:pPr>
      <w:r w:rsidRPr="00BE1D72">
        <w:rPr>
          <w:rStyle w:val="normaltextrun"/>
          <w:rFonts w:cs="Arial"/>
          <w:b/>
          <w:bCs/>
          <w:color w:val="000000"/>
          <w:sz w:val="22"/>
          <w:szCs w:val="22"/>
          <w:lang w:val="es-ES"/>
        </w:rPr>
        <w:t>Riesgos</w:t>
      </w:r>
      <w:r w:rsidRPr="00BE1D72">
        <w:rPr>
          <w:rStyle w:val="normaltextrun"/>
          <w:rFonts w:cs="Arial"/>
          <w:color w:val="000000"/>
          <w:sz w:val="22"/>
          <w:szCs w:val="22"/>
          <w:lang w:val="es-ES"/>
        </w:rPr>
        <w:t>: Matriz de Riesgos Institucional IGAC 2021: </w:t>
      </w:r>
      <w:hyperlink r:id="rId25" w:tgtFrame="_blank" w:history="1">
        <w:r w:rsidRPr="00BE1D72">
          <w:rPr>
            <w:rStyle w:val="normaltextrun"/>
            <w:rFonts w:cs="Arial"/>
            <w:color w:val="0000FF"/>
            <w:sz w:val="22"/>
            <w:szCs w:val="22"/>
            <w:u w:val="single"/>
            <w:lang w:val="es-ES"/>
          </w:rPr>
          <w:t>https://www.igac.gov.co/es/transparencia-y-acceso-a-la-informacion-publica/plan-anticorrupcion-y-de-atencion-al-ciudadano</w:t>
        </w:r>
      </w:hyperlink>
      <w:r w:rsidRPr="00BE1D72">
        <w:rPr>
          <w:rStyle w:val="normaltextrun"/>
          <w:rFonts w:cs="Arial"/>
          <w:color w:val="000000"/>
          <w:sz w:val="22"/>
          <w:szCs w:val="22"/>
          <w:lang w:val="es-ES"/>
        </w:rPr>
        <w:t>  y en Herramienta Planigac.</w:t>
      </w:r>
      <w:r w:rsidRPr="00BE1D72">
        <w:rPr>
          <w:rStyle w:val="eop"/>
          <w:rFonts w:cs="Arial"/>
          <w:color w:val="000000"/>
          <w:sz w:val="22"/>
          <w:szCs w:val="22"/>
        </w:rPr>
        <w:t> </w:t>
      </w:r>
    </w:p>
    <w:p w14:paraId="33B4339F" w14:textId="77777777" w:rsidR="00AC645E" w:rsidRPr="00DA57F3" w:rsidRDefault="00AC645E" w:rsidP="00DA57F3">
      <w:pPr>
        <w:pStyle w:val="Lista"/>
      </w:pPr>
    </w:p>
    <w:p w14:paraId="7C1CBC63" w14:textId="50EDB028" w:rsidR="00210F1F" w:rsidRPr="00A93AF8" w:rsidRDefault="00A93AF8" w:rsidP="000A20EE">
      <w:pPr>
        <w:pStyle w:val="Prrafodelista"/>
        <w:numPr>
          <w:ilvl w:val="2"/>
          <w:numId w:val="22"/>
        </w:numPr>
        <w:rPr>
          <w:b/>
          <w:sz w:val="22"/>
        </w:rPr>
      </w:pPr>
      <w:r w:rsidRPr="00A93AF8">
        <w:rPr>
          <w:b/>
          <w:sz w:val="22"/>
        </w:rPr>
        <w:t>POLÍTICAS ASOCIADAS</w:t>
      </w:r>
    </w:p>
    <w:p w14:paraId="633E167F" w14:textId="7F168662" w:rsidR="00446D30" w:rsidRPr="00446D30" w:rsidRDefault="00446D30" w:rsidP="00E54695">
      <w:pPr>
        <w:pStyle w:val="Descripcin"/>
        <w:rPr>
          <w:rFonts w:ascii="Arial" w:hAnsi="Arial" w:cs="Arial"/>
          <w:b/>
          <w:bCs/>
          <w:i w:val="0"/>
          <w:iCs w:val="0"/>
          <w:color w:val="000000" w:themeColor="text1"/>
          <w:sz w:val="16"/>
          <w:szCs w:val="16"/>
        </w:rPr>
      </w:pPr>
    </w:p>
    <w:tbl>
      <w:tblPr>
        <w:tblStyle w:val="Tabladecuadrcula4-nfasis1"/>
        <w:tblW w:w="9634" w:type="dxa"/>
        <w:tblLook w:val="04A0" w:firstRow="1" w:lastRow="0" w:firstColumn="1" w:lastColumn="0" w:noHBand="0" w:noVBand="1"/>
      </w:tblPr>
      <w:tblGrid>
        <w:gridCol w:w="2314"/>
        <w:gridCol w:w="3918"/>
        <w:gridCol w:w="3402"/>
      </w:tblGrid>
      <w:tr w:rsidR="004469D9" w:rsidRPr="00DE68E6" w14:paraId="406499E5" w14:textId="77777777" w:rsidTr="00A93AF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14" w:type="dxa"/>
            <w:vAlign w:val="center"/>
          </w:tcPr>
          <w:p w14:paraId="222FF653" w14:textId="77777777" w:rsidR="004469D9" w:rsidRPr="00DE68E6" w:rsidRDefault="004469D9" w:rsidP="00A6302C">
            <w:pPr>
              <w:suppressAutoHyphens w:val="0"/>
              <w:jc w:val="center"/>
              <w:rPr>
                <w:rFonts w:cs="Arial"/>
                <w:sz w:val="20"/>
                <w:szCs w:val="20"/>
                <w:lang w:val="es-MX" w:eastAsia="en-US"/>
              </w:rPr>
            </w:pPr>
            <w:r w:rsidRPr="00DE68E6">
              <w:rPr>
                <w:rFonts w:cs="Arial"/>
                <w:sz w:val="20"/>
                <w:szCs w:val="20"/>
                <w:lang w:val="es-MX" w:eastAsia="en-US"/>
              </w:rPr>
              <w:t>POLÍTICA</w:t>
            </w:r>
          </w:p>
        </w:tc>
        <w:tc>
          <w:tcPr>
            <w:tcW w:w="3918" w:type="dxa"/>
            <w:vAlign w:val="center"/>
          </w:tcPr>
          <w:p w14:paraId="2509A4D9" w14:textId="77777777" w:rsidR="004469D9" w:rsidRPr="00DE68E6" w:rsidRDefault="004469D9"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DE68E6">
              <w:rPr>
                <w:rFonts w:cs="Arial"/>
                <w:sz w:val="20"/>
                <w:szCs w:val="20"/>
                <w:lang w:val="es-MX" w:eastAsia="en-US"/>
              </w:rPr>
              <w:t>OBJETIVOS</w:t>
            </w:r>
          </w:p>
        </w:tc>
        <w:tc>
          <w:tcPr>
            <w:tcW w:w="3402" w:type="dxa"/>
            <w:vAlign w:val="center"/>
          </w:tcPr>
          <w:p w14:paraId="7E05D260" w14:textId="77777777" w:rsidR="004469D9" w:rsidRPr="00DE68E6" w:rsidRDefault="004469D9"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DE68E6">
              <w:rPr>
                <w:rFonts w:cs="Arial"/>
                <w:sz w:val="20"/>
                <w:szCs w:val="20"/>
                <w:lang w:val="es-MX" w:eastAsia="en-US"/>
              </w:rPr>
              <w:t>ALCANCE</w:t>
            </w:r>
          </w:p>
        </w:tc>
      </w:tr>
      <w:tr w:rsidR="004469D9" w:rsidRPr="00BE1D72" w14:paraId="003C0C12" w14:textId="77777777" w:rsidTr="00A93A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4" w:type="dxa"/>
            <w:vAlign w:val="center"/>
          </w:tcPr>
          <w:p w14:paraId="6E70CB1E" w14:textId="77777777" w:rsidR="004469D9" w:rsidRPr="00A93AF8" w:rsidRDefault="004469D9" w:rsidP="00A6302C">
            <w:pPr>
              <w:suppressAutoHyphens w:val="0"/>
              <w:jc w:val="center"/>
              <w:rPr>
                <w:rFonts w:cs="Arial"/>
                <w:sz w:val="20"/>
                <w:szCs w:val="20"/>
                <w:lang w:val="es-MX" w:eastAsia="en-US"/>
              </w:rPr>
            </w:pPr>
            <w:r w:rsidRPr="00DE68E6">
              <w:rPr>
                <w:rFonts w:cs="Arial"/>
                <w:sz w:val="20"/>
                <w:szCs w:val="20"/>
                <w:lang w:val="es-MX" w:eastAsia="en-US"/>
              </w:rPr>
              <w:t>CONPES 3859</w:t>
            </w:r>
          </w:p>
        </w:tc>
        <w:tc>
          <w:tcPr>
            <w:tcW w:w="3918" w:type="dxa"/>
            <w:vAlign w:val="center"/>
          </w:tcPr>
          <w:p w14:paraId="782D316F" w14:textId="77777777" w:rsidR="004469D9" w:rsidRPr="00BE1D72" w:rsidRDefault="004469D9" w:rsidP="000A20EE">
            <w:pPr>
              <w:pStyle w:val="Prrafodelista"/>
              <w:numPr>
                <w:ilvl w:val="0"/>
                <w:numId w:val="250"/>
              </w:numPr>
              <w:suppressAutoHyphens w:val="0"/>
              <w:overflowPunct/>
              <w:autoSpaceDE/>
              <w:spacing w:after="160" w:line="256" w:lineRule="auto"/>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BE1D72">
              <w:rPr>
                <w:rFonts w:cs="Arial"/>
              </w:rPr>
              <w:t>Articular desde lo procedimental y lo tecnológico el catastro y el registro.</w:t>
            </w:r>
          </w:p>
          <w:p w14:paraId="78CE731F" w14:textId="77777777" w:rsidR="004469D9" w:rsidRPr="00BE1D72" w:rsidRDefault="004469D9" w:rsidP="000A20EE">
            <w:pPr>
              <w:pStyle w:val="Prrafodelista"/>
              <w:numPr>
                <w:ilvl w:val="0"/>
                <w:numId w:val="250"/>
              </w:numPr>
              <w:suppressAutoHyphens w:val="0"/>
              <w:overflowPunct/>
              <w:autoSpaceDE/>
              <w:spacing w:after="160" w:line="256" w:lineRule="auto"/>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Modernizar y fortalecer la institucionalidad catastral.</w:t>
            </w:r>
          </w:p>
          <w:p w14:paraId="23235996" w14:textId="77777777" w:rsidR="004469D9" w:rsidRPr="00BE1D72" w:rsidRDefault="004469D9" w:rsidP="000A20EE">
            <w:pPr>
              <w:pStyle w:val="Prrafodelista"/>
              <w:numPr>
                <w:ilvl w:val="0"/>
                <w:numId w:val="250"/>
              </w:numPr>
              <w:suppressAutoHyphens w:val="0"/>
              <w:overflowPunct/>
              <w:autoSpaceDE/>
              <w:spacing w:after="160" w:line="256" w:lineRule="auto"/>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Arreglos institucionales de coordinación y articulación para garantizar el</w:t>
            </w:r>
          </w:p>
          <w:p w14:paraId="1E308392" w14:textId="77777777" w:rsidR="004469D9" w:rsidRPr="00BE1D72" w:rsidRDefault="004469D9" w:rsidP="000A20EE">
            <w:pPr>
              <w:pStyle w:val="Prrafodelista"/>
              <w:numPr>
                <w:ilvl w:val="0"/>
                <w:numId w:val="250"/>
              </w:numPr>
              <w:suppressAutoHyphens w:val="0"/>
              <w:overflowPunct/>
              <w:autoSpaceDE/>
              <w:spacing w:after="160" w:line="256" w:lineRule="auto"/>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Acceso e interoperabilidad de la información.</w:t>
            </w:r>
          </w:p>
          <w:p w14:paraId="463434BB" w14:textId="77777777" w:rsidR="004469D9" w:rsidRPr="00BE1D72" w:rsidRDefault="004469D9" w:rsidP="000A20EE">
            <w:pPr>
              <w:pStyle w:val="Prrafodelista"/>
              <w:numPr>
                <w:ilvl w:val="0"/>
                <w:numId w:val="250"/>
              </w:numPr>
              <w:suppressAutoHyphens w:val="0"/>
              <w:overflowPunct/>
              <w:autoSpaceDE/>
              <w:spacing w:after="160" w:line="256" w:lineRule="auto"/>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Eliminar limitaciones técnicas y normativas sobre la valoración predial.</w:t>
            </w:r>
          </w:p>
        </w:tc>
        <w:tc>
          <w:tcPr>
            <w:tcW w:w="3402" w:type="dxa"/>
            <w:vAlign w:val="center"/>
          </w:tcPr>
          <w:p w14:paraId="5BD7C8B7" w14:textId="77777777" w:rsidR="004469D9" w:rsidRPr="00BE1D72" w:rsidRDefault="004469D9"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BE1D72">
              <w:rPr>
                <w:rFonts w:cs="Arial"/>
                <w:sz w:val="20"/>
                <w:szCs w:val="20"/>
                <w:lang w:val="es-MX" w:eastAsia="en-US"/>
              </w:rPr>
              <w:t>Política para la adopción e implementación de un catastro multipropósito rural-urbano.</w:t>
            </w:r>
          </w:p>
        </w:tc>
      </w:tr>
      <w:tr w:rsidR="004469D9" w:rsidRPr="00BE1D72" w14:paraId="5AFA0A5B" w14:textId="77777777" w:rsidTr="00A93AF8">
        <w:tc>
          <w:tcPr>
            <w:cnfStyle w:val="001000000000" w:firstRow="0" w:lastRow="0" w:firstColumn="1" w:lastColumn="0" w:oddVBand="0" w:evenVBand="0" w:oddHBand="0" w:evenHBand="0" w:firstRowFirstColumn="0" w:firstRowLastColumn="0" w:lastRowFirstColumn="0" w:lastRowLastColumn="0"/>
            <w:tcW w:w="2314" w:type="dxa"/>
            <w:vAlign w:val="center"/>
          </w:tcPr>
          <w:p w14:paraId="1AA7BE1F" w14:textId="77777777" w:rsidR="004469D9" w:rsidRPr="00A93AF8" w:rsidRDefault="004469D9" w:rsidP="00A6302C">
            <w:pPr>
              <w:suppressAutoHyphens w:val="0"/>
              <w:jc w:val="center"/>
              <w:rPr>
                <w:rFonts w:cs="Arial"/>
                <w:sz w:val="20"/>
                <w:szCs w:val="20"/>
                <w:lang w:val="es-MX" w:eastAsia="en-US"/>
              </w:rPr>
            </w:pPr>
            <w:r w:rsidRPr="00A93AF8">
              <w:rPr>
                <w:rFonts w:cs="Arial"/>
                <w:sz w:val="20"/>
                <w:szCs w:val="20"/>
                <w:lang w:val="es-MX" w:eastAsia="en-US"/>
              </w:rPr>
              <w:t>CONPES 3958</w:t>
            </w:r>
          </w:p>
        </w:tc>
        <w:tc>
          <w:tcPr>
            <w:tcW w:w="3918" w:type="dxa"/>
            <w:vAlign w:val="center"/>
          </w:tcPr>
          <w:p w14:paraId="30356BDA" w14:textId="77777777" w:rsidR="004469D9" w:rsidRPr="00BE1D72" w:rsidRDefault="004469D9" w:rsidP="000A20EE">
            <w:pPr>
              <w:pStyle w:val="Prrafodelista"/>
              <w:numPr>
                <w:ilvl w:val="0"/>
                <w:numId w:val="253"/>
              </w:numPr>
              <w:suppressAutoHyphens w:val="0"/>
              <w:overflowPunct/>
              <w:autoSpaceDE/>
              <w:spacing w:after="160" w:line="256" w:lineRule="auto"/>
              <w:ind w:left="406" w:hanging="406"/>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BE1D72">
              <w:rPr>
                <w:rFonts w:cs="Arial"/>
                <w:lang w:val="es-MX"/>
              </w:rPr>
              <w:t xml:space="preserve">Establecer la estrategia para la implementación de la política pública de catastro multipropósito, de tal manera que se cuente con un catastro con enfoque multipropósito, completo, actualizado, confiable, consistente con el sistema de registro de la propiedad inmueble, digital e </w:t>
            </w:r>
            <w:r w:rsidRPr="00BE1D72">
              <w:rPr>
                <w:rFonts w:cs="Arial"/>
                <w:lang w:val="es-MX"/>
              </w:rPr>
              <w:lastRenderedPageBreak/>
              <w:t>interoperable con otros sistemas de información a 2025.</w:t>
            </w:r>
          </w:p>
        </w:tc>
        <w:tc>
          <w:tcPr>
            <w:tcW w:w="3402" w:type="dxa"/>
            <w:vAlign w:val="center"/>
          </w:tcPr>
          <w:p w14:paraId="0C776212" w14:textId="77777777" w:rsidR="004469D9" w:rsidRPr="00BE1D72" w:rsidRDefault="004469D9"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BE1D72">
              <w:rPr>
                <w:rFonts w:cs="Arial"/>
                <w:sz w:val="20"/>
                <w:szCs w:val="20"/>
                <w:lang w:val="es-MX" w:eastAsia="en-US"/>
              </w:rPr>
              <w:lastRenderedPageBreak/>
              <w:t>Estrategia para la implementación de la política pública de catastro multipropósito.</w:t>
            </w:r>
          </w:p>
        </w:tc>
      </w:tr>
      <w:tr w:rsidR="004469D9" w:rsidRPr="00BE1D72" w14:paraId="3983DDF4" w14:textId="77777777" w:rsidTr="00A93A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4" w:type="dxa"/>
            <w:vAlign w:val="center"/>
          </w:tcPr>
          <w:p w14:paraId="456C1947" w14:textId="77777777" w:rsidR="004469D9" w:rsidRPr="00A93AF8" w:rsidRDefault="004469D9" w:rsidP="00A6302C">
            <w:pPr>
              <w:suppressAutoHyphens w:val="0"/>
              <w:jc w:val="center"/>
              <w:rPr>
                <w:rFonts w:cs="Arial"/>
                <w:sz w:val="20"/>
                <w:szCs w:val="20"/>
                <w:lang w:val="es-MX" w:eastAsia="en-US"/>
              </w:rPr>
            </w:pPr>
            <w:r w:rsidRPr="00A93AF8">
              <w:rPr>
                <w:rFonts w:cs="Arial"/>
                <w:sz w:val="20"/>
                <w:szCs w:val="20"/>
                <w:lang w:val="es-MX" w:eastAsia="en-US"/>
              </w:rPr>
              <w:lastRenderedPageBreak/>
              <w:t>CONPES 4007</w:t>
            </w:r>
          </w:p>
        </w:tc>
        <w:tc>
          <w:tcPr>
            <w:tcW w:w="3918" w:type="dxa"/>
            <w:vAlign w:val="center"/>
          </w:tcPr>
          <w:p w14:paraId="5F1298ED" w14:textId="77777777" w:rsidR="004469D9" w:rsidRPr="00BE1D72" w:rsidRDefault="004469D9" w:rsidP="000A20EE">
            <w:pPr>
              <w:pStyle w:val="Prrafodelista"/>
              <w:numPr>
                <w:ilvl w:val="0"/>
                <w:numId w:val="252"/>
              </w:numPr>
              <w:suppressAutoHyphens w:val="0"/>
              <w:overflowPunct/>
              <w:autoSpaceDE/>
              <w:spacing w:after="160" w:line="256" w:lineRule="auto"/>
              <w:ind w:left="265" w:hanging="402"/>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Fortalecer la generación, estandarización e interoperabilidad de datos, para avanzar hacia la disposición de información integral del territorio que apoye las funciones del SAT.</w:t>
            </w:r>
          </w:p>
          <w:p w14:paraId="678197A8" w14:textId="77777777" w:rsidR="004469D9" w:rsidRPr="00BE1D72" w:rsidRDefault="004469D9" w:rsidP="000A20EE">
            <w:pPr>
              <w:pStyle w:val="Prrafodelista"/>
              <w:numPr>
                <w:ilvl w:val="0"/>
                <w:numId w:val="252"/>
              </w:numPr>
              <w:suppressAutoHyphens w:val="0"/>
              <w:overflowPunct/>
              <w:autoSpaceDE/>
              <w:spacing w:after="160" w:line="256" w:lineRule="auto"/>
              <w:ind w:left="260" w:hanging="260"/>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Desarrollar estrategias para la difusión, el uso y el aprovechamiento de la información del territorio, con el fin de que sea utilizada tanto por los tomadores de decisión como por la ciudadanía, y sea un insumo para la optimización progresiva de los servicios al ciudadano relativos al territorio.</w:t>
            </w:r>
          </w:p>
          <w:p w14:paraId="71A406E2" w14:textId="77777777" w:rsidR="004469D9" w:rsidRPr="00BE1D72" w:rsidRDefault="004469D9" w:rsidP="000A20EE">
            <w:pPr>
              <w:pStyle w:val="Prrafodelista"/>
              <w:numPr>
                <w:ilvl w:val="0"/>
                <w:numId w:val="252"/>
              </w:numPr>
              <w:suppressAutoHyphens w:val="0"/>
              <w:overflowPunct/>
              <w:autoSpaceDE/>
              <w:spacing w:after="160" w:line="256" w:lineRule="auto"/>
              <w:ind w:left="260" w:hanging="260"/>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BE1D72">
              <w:rPr>
                <w:rFonts w:cs="Arial"/>
                <w:lang w:val="es-MX"/>
              </w:rPr>
              <w:t>Definir estructuras de operación del SAT en los diferentes niveles territoriales para impulsar su funcionamiento sinérgico.</w:t>
            </w:r>
          </w:p>
        </w:tc>
        <w:tc>
          <w:tcPr>
            <w:tcW w:w="3402" w:type="dxa"/>
            <w:vAlign w:val="center"/>
          </w:tcPr>
          <w:p w14:paraId="3CA8F9CC" w14:textId="77777777" w:rsidR="004469D9" w:rsidRPr="00BE1D72" w:rsidRDefault="004469D9"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BE1D72">
              <w:rPr>
                <w:rFonts w:cs="Arial"/>
                <w:sz w:val="20"/>
                <w:szCs w:val="20"/>
                <w:lang w:val="es-MX" w:eastAsia="en-US"/>
              </w:rPr>
              <w:t>Estrategia para el fortalecimiento de la gobernanza en el sistema de administración del territorio.</w:t>
            </w:r>
          </w:p>
        </w:tc>
      </w:tr>
      <w:tr w:rsidR="004469D9" w:rsidRPr="00BE1D72" w14:paraId="6E3F5927" w14:textId="77777777" w:rsidTr="00A93AF8">
        <w:tc>
          <w:tcPr>
            <w:cnfStyle w:val="001000000000" w:firstRow="0" w:lastRow="0" w:firstColumn="1" w:lastColumn="0" w:oddVBand="0" w:evenVBand="0" w:oddHBand="0" w:evenHBand="0" w:firstRowFirstColumn="0" w:firstRowLastColumn="0" w:lastRowFirstColumn="0" w:lastRowLastColumn="0"/>
            <w:tcW w:w="2314" w:type="dxa"/>
            <w:vAlign w:val="center"/>
          </w:tcPr>
          <w:p w14:paraId="12E6A120" w14:textId="77777777" w:rsidR="004469D9" w:rsidRPr="00A93AF8" w:rsidRDefault="004469D9" w:rsidP="00A6302C">
            <w:pPr>
              <w:suppressAutoHyphens w:val="0"/>
              <w:jc w:val="center"/>
              <w:rPr>
                <w:rFonts w:cs="Arial"/>
                <w:sz w:val="20"/>
                <w:szCs w:val="20"/>
                <w:lang w:val="es-MX" w:eastAsia="en-US"/>
              </w:rPr>
            </w:pPr>
            <w:r w:rsidRPr="00A93AF8">
              <w:rPr>
                <w:rFonts w:cs="Arial"/>
                <w:sz w:val="20"/>
                <w:szCs w:val="20"/>
                <w:lang w:val="es-MX" w:eastAsia="en-US"/>
              </w:rPr>
              <w:t>CONPES 3951</w:t>
            </w:r>
          </w:p>
        </w:tc>
        <w:tc>
          <w:tcPr>
            <w:tcW w:w="3918" w:type="dxa"/>
            <w:vAlign w:val="center"/>
          </w:tcPr>
          <w:p w14:paraId="34C0070B" w14:textId="77777777" w:rsidR="004469D9" w:rsidRPr="00BE1D72" w:rsidRDefault="004469D9" w:rsidP="000A20EE">
            <w:pPr>
              <w:pStyle w:val="Prrafodelista"/>
              <w:numPr>
                <w:ilvl w:val="0"/>
                <w:numId w:val="251"/>
              </w:numPr>
              <w:suppressAutoHyphens w:val="0"/>
              <w:overflowPunct/>
              <w:autoSpaceDE/>
              <w:spacing w:after="160" w:line="256" w:lineRule="auto"/>
              <w:ind w:left="245" w:hanging="142"/>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BE1D72">
              <w:rPr>
                <w:rFonts w:cs="Arial"/>
                <w:lang w:val="es-MX"/>
              </w:rPr>
              <w:t>Fortalecer la capacidad institucional de las entidades del orden nacional que hacen parte de la implementación de la adopción e implementación de la política de catastro multipropósito en el marco del Sistema de Administración de Tierras.</w:t>
            </w:r>
          </w:p>
          <w:p w14:paraId="45DAF03C" w14:textId="77777777" w:rsidR="004469D9" w:rsidRPr="00BE1D72" w:rsidRDefault="004469D9" w:rsidP="000A20EE">
            <w:pPr>
              <w:pStyle w:val="Prrafodelista"/>
              <w:numPr>
                <w:ilvl w:val="0"/>
                <w:numId w:val="251"/>
              </w:numPr>
              <w:suppressAutoHyphens w:val="0"/>
              <w:overflowPunct/>
              <w:autoSpaceDE/>
              <w:spacing w:after="160" w:line="256" w:lineRule="auto"/>
              <w:ind w:left="245" w:hanging="142"/>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BE1D72">
              <w:rPr>
                <w:rFonts w:cs="Arial"/>
                <w:lang w:val="es-MX"/>
              </w:rPr>
              <w:t>Diseñar, desarrollar y poner en operación el repositorio de datos maestros de catastro-registro, modernizar los sistemas de información del IGAC, la SNR y la ANT, y fortalecer la IDE para Administración de Tierras.</w:t>
            </w:r>
          </w:p>
          <w:p w14:paraId="7B3F1352" w14:textId="77777777" w:rsidR="004469D9" w:rsidRPr="00BE1D72" w:rsidRDefault="004469D9" w:rsidP="000A20EE">
            <w:pPr>
              <w:pStyle w:val="Prrafodelista"/>
              <w:numPr>
                <w:ilvl w:val="0"/>
                <w:numId w:val="251"/>
              </w:numPr>
              <w:suppressAutoHyphens w:val="0"/>
              <w:overflowPunct/>
              <w:autoSpaceDE/>
              <w:spacing w:after="160" w:line="256" w:lineRule="auto"/>
              <w:ind w:left="245" w:hanging="142"/>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BE1D72">
              <w:rPr>
                <w:rFonts w:cs="Arial"/>
                <w:lang w:val="es-MX"/>
              </w:rPr>
              <w:t>Implementar el catastro multipropósito en las entidades territoriales participantes del programa y mejorar la calidad de la información.</w:t>
            </w:r>
          </w:p>
        </w:tc>
        <w:tc>
          <w:tcPr>
            <w:tcW w:w="3402" w:type="dxa"/>
            <w:vAlign w:val="center"/>
          </w:tcPr>
          <w:p w14:paraId="3DD535B6" w14:textId="77777777" w:rsidR="004469D9" w:rsidRPr="00BE1D72" w:rsidRDefault="004469D9"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BE1D72">
              <w:rPr>
                <w:rFonts w:cs="Arial"/>
                <w:sz w:val="20"/>
                <w:szCs w:val="20"/>
                <w:lang w:val="es-MX" w:eastAsia="en-US"/>
              </w:rPr>
              <w:t>Concepto favorable a la nación para contratar operaciones de Crédito externo con la banca multilateral hasta por USD 150 Millones, o su equivalente en otras monedas, destinados a</w:t>
            </w:r>
          </w:p>
          <w:p w14:paraId="377A69F3" w14:textId="77777777" w:rsidR="004469D9" w:rsidRPr="00BE1D72" w:rsidRDefault="004469D9"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bCs/>
                <w:sz w:val="20"/>
                <w:szCs w:val="20"/>
                <w:lang w:val="es-MX" w:eastAsia="en-US"/>
              </w:rPr>
            </w:pPr>
            <w:r w:rsidRPr="00BE1D72">
              <w:rPr>
                <w:rFonts w:cs="Arial"/>
                <w:bCs/>
                <w:sz w:val="20"/>
                <w:szCs w:val="20"/>
                <w:lang w:val="es-MX" w:eastAsia="en-US"/>
              </w:rPr>
              <w:t>Financiar parcialmente el programa para la adopción e Implementación de un catastro multipropósito rural-urbano</w:t>
            </w:r>
          </w:p>
        </w:tc>
      </w:tr>
    </w:tbl>
    <w:p w14:paraId="71FD6C48" w14:textId="12909D7A" w:rsidR="004469D9" w:rsidRDefault="00446D30" w:rsidP="00446D30">
      <w:pPr>
        <w:pStyle w:val="Lista"/>
        <w:jc w:val="center"/>
        <w:rPr>
          <w:b/>
          <w:sz w:val="16"/>
          <w:szCs w:val="16"/>
        </w:rPr>
      </w:pPr>
      <w:r w:rsidRPr="00446D30">
        <w:rPr>
          <w:b/>
          <w:bCs/>
          <w:sz w:val="16"/>
          <w:szCs w:val="16"/>
        </w:rPr>
        <w:t>Fuente: Dirección de Gestión Catastral</w:t>
      </w:r>
    </w:p>
    <w:p w14:paraId="4B8471FF" w14:textId="77777777" w:rsidR="00446D30" w:rsidRDefault="00446D30" w:rsidP="00446D30">
      <w:pPr>
        <w:pStyle w:val="Lista"/>
        <w:jc w:val="center"/>
        <w:rPr>
          <w:b/>
          <w:bCs/>
          <w:sz w:val="16"/>
          <w:szCs w:val="16"/>
        </w:rPr>
      </w:pPr>
    </w:p>
    <w:p w14:paraId="73D73315" w14:textId="77777777" w:rsidR="00446D30" w:rsidRDefault="00446D30" w:rsidP="00FA2E52">
      <w:pPr>
        <w:rPr>
          <w:b/>
        </w:rPr>
      </w:pPr>
    </w:p>
    <w:p w14:paraId="5710CABA" w14:textId="77777777" w:rsidR="00FA2E52" w:rsidRDefault="00FA2E52" w:rsidP="00FA2E52">
      <w:pPr>
        <w:rPr>
          <w:b/>
        </w:rPr>
      </w:pPr>
    </w:p>
    <w:p w14:paraId="15F77548" w14:textId="77777777" w:rsidR="00FA2E52" w:rsidRDefault="00FA2E52" w:rsidP="00FA2E52">
      <w:pPr>
        <w:rPr>
          <w:b/>
        </w:rPr>
      </w:pPr>
    </w:p>
    <w:p w14:paraId="05B563EF" w14:textId="77777777" w:rsidR="00FA2E52" w:rsidRDefault="00FA2E52" w:rsidP="00FA2E52">
      <w:pPr>
        <w:rPr>
          <w:b/>
        </w:rPr>
      </w:pPr>
    </w:p>
    <w:p w14:paraId="34DBED9B" w14:textId="77777777" w:rsidR="00FA2E52" w:rsidRDefault="00FA2E52" w:rsidP="00FA2E52">
      <w:pPr>
        <w:rPr>
          <w:b/>
        </w:rPr>
      </w:pPr>
    </w:p>
    <w:p w14:paraId="25C90A9F" w14:textId="77777777" w:rsidR="00FA2E52" w:rsidRDefault="00FA2E52" w:rsidP="00FA2E52">
      <w:pPr>
        <w:rPr>
          <w:b/>
        </w:rPr>
      </w:pPr>
    </w:p>
    <w:p w14:paraId="508BAF72" w14:textId="77777777" w:rsidR="00FA2E52" w:rsidRDefault="00FA2E52" w:rsidP="00FA2E52">
      <w:pPr>
        <w:rPr>
          <w:b/>
        </w:rPr>
      </w:pPr>
    </w:p>
    <w:p w14:paraId="524D2C69" w14:textId="2FBDD343" w:rsidR="00FA2E52" w:rsidRPr="00FA2E52" w:rsidRDefault="00FA2E52" w:rsidP="00FA2E52">
      <w:pPr>
        <w:rPr>
          <w:b/>
        </w:rPr>
      </w:pPr>
    </w:p>
    <w:p w14:paraId="128DFF59" w14:textId="18412B03" w:rsidR="00446D30" w:rsidRPr="00446D30" w:rsidRDefault="00FA2E52" w:rsidP="000A20EE">
      <w:pPr>
        <w:pStyle w:val="Prrafodelista"/>
        <w:numPr>
          <w:ilvl w:val="2"/>
          <w:numId w:val="22"/>
        </w:numPr>
        <w:rPr>
          <w:b/>
          <w:bCs/>
          <w:sz w:val="22"/>
          <w:szCs w:val="22"/>
        </w:rPr>
      </w:pPr>
      <w:r w:rsidRPr="00FA2E52">
        <w:rPr>
          <w:b/>
          <w:sz w:val="22"/>
          <w:szCs w:val="22"/>
        </w:rPr>
        <w:lastRenderedPageBreak/>
        <w:t>LISTADO DE INFORMES</w:t>
      </w:r>
    </w:p>
    <w:p w14:paraId="40F3726E" w14:textId="1E2E64A0" w:rsidR="00446D30" w:rsidRPr="00B3194D" w:rsidRDefault="00446D30" w:rsidP="006251EB">
      <w:pPr>
        <w:pStyle w:val="Descripcin"/>
        <w:jc w:val="center"/>
        <w:rPr>
          <w:rFonts w:ascii="Arial" w:hAnsi="Arial" w:cs="Arial"/>
          <w:b/>
          <w:i w:val="0"/>
          <w:color w:val="000000" w:themeColor="text1"/>
          <w:sz w:val="14"/>
          <w:szCs w:val="14"/>
        </w:rPr>
      </w:pPr>
    </w:p>
    <w:tbl>
      <w:tblPr>
        <w:tblStyle w:val="Tabladecuadrcula5oscura-nfasis1"/>
        <w:tblpPr w:leftFromText="141" w:rightFromText="141" w:vertAnchor="text" w:horzAnchor="margin" w:tblpXSpec="center" w:tblpY="62"/>
        <w:tblW w:w="9918" w:type="dxa"/>
        <w:tblLook w:val="04A0" w:firstRow="1" w:lastRow="0" w:firstColumn="1" w:lastColumn="0" w:noHBand="0" w:noVBand="1"/>
      </w:tblPr>
      <w:tblGrid>
        <w:gridCol w:w="809"/>
        <w:gridCol w:w="4573"/>
        <w:gridCol w:w="1984"/>
        <w:gridCol w:w="2552"/>
      </w:tblGrid>
      <w:tr w:rsidR="00446D30" w:rsidRPr="009318A4" w14:paraId="14B8F717" w14:textId="77777777" w:rsidTr="00A6302C">
        <w:trPr>
          <w:cnfStyle w:val="100000000000" w:firstRow="1" w:lastRow="0" w:firstColumn="0" w:lastColumn="0" w:oddVBand="0" w:evenVBand="0" w:oddHBand="0"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809" w:type="dxa"/>
            <w:vMerge w:val="restart"/>
            <w:noWrap/>
            <w:textDirection w:val="btLr"/>
            <w:hideMark/>
          </w:tcPr>
          <w:p w14:paraId="548484E6" w14:textId="77777777" w:rsidR="00446D30" w:rsidRPr="00DE68E6" w:rsidRDefault="00446D30" w:rsidP="00A6302C">
            <w:pPr>
              <w:suppressAutoHyphens w:val="0"/>
              <w:jc w:val="center"/>
              <w:rPr>
                <w:rFonts w:cs="Arial"/>
                <w:sz w:val="20"/>
                <w:szCs w:val="20"/>
                <w:lang w:val="es-MX" w:eastAsia="es-MX"/>
              </w:rPr>
            </w:pPr>
            <w:r w:rsidRPr="00DE68E6">
              <w:rPr>
                <w:rFonts w:cs="Arial"/>
                <w:sz w:val="20"/>
                <w:szCs w:val="20"/>
                <w:lang w:val="es-MX" w:eastAsia="es-MX"/>
              </w:rPr>
              <w:t>Internos</w:t>
            </w:r>
          </w:p>
        </w:tc>
        <w:tc>
          <w:tcPr>
            <w:tcW w:w="4573" w:type="dxa"/>
            <w:hideMark/>
          </w:tcPr>
          <w:p w14:paraId="7AEB5A5F" w14:textId="77777777" w:rsidR="00446D30" w:rsidRPr="00DE68E6" w:rsidRDefault="00446D30"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val="es-MX" w:eastAsia="es-MX"/>
              </w:rPr>
            </w:pPr>
            <w:r w:rsidRPr="00DE68E6">
              <w:rPr>
                <w:rFonts w:cs="Arial"/>
                <w:sz w:val="20"/>
                <w:szCs w:val="20"/>
                <w:lang w:val="es-MX" w:eastAsia="es-MX"/>
              </w:rPr>
              <w:t>Informe</w:t>
            </w:r>
          </w:p>
        </w:tc>
        <w:tc>
          <w:tcPr>
            <w:tcW w:w="1984" w:type="dxa"/>
            <w:hideMark/>
          </w:tcPr>
          <w:p w14:paraId="31F6E127" w14:textId="77777777" w:rsidR="00446D30" w:rsidRPr="00DE68E6" w:rsidRDefault="00446D30"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val="es-MX" w:eastAsia="es-MX"/>
              </w:rPr>
            </w:pPr>
            <w:r w:rsidRPr="00DE68E6">
              <w:rPr>
                <w:rFonts w:cs="Arial"/>
                <w:sz w:val="20"/>
                <w:szCs w:val="20"/>
                <w:lang w:val="es-MX" w:eastAsia="es-MX"/>
              </w:rPr>
              <w:t>Responsable</w:t>
            </w:r>
          </w:p>
        </w:tc>
        <w:tc>
          <w:tcPr>
            <w:tcW w:w="2552" w:type="dxa"/>
            <w:hideMark/>
          </w:tcPr>
          <w:p w14:paraId="67286BB5" w14:textId="77777777" w:rsidR="00446D30" w:rsidRPr="00DE68E6" w:rsidRDefault="00446D30"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val="es-MX" w:eastAsia="es-MX"/>
              </w:rPr>
            </w:pPr>
            <w:r w:rsidRPr="00DE68E6">
              <w:rPr>
                <w:rFonts w:cs="Arial"/>
                <w:sz w:val="20"/>
                <w:szCs w:val="20"/>
                <w:lang w:val="es-MX" w:eastAsia="es-MX"/>
              </w:rPr>
              <w:t>Entrega y Publicación</w:t>
            </w:r>
          </w:p>
        </w:tc>
      </w:tr>
      <w:tr w:rsidR="00446D30" w:rsidRPr="009318A4" w14:paraId="251797D9" w14:textId="77777777" w:rsidTr="00A6302C">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809" w:type="dxa"/>
            <w:vMerge/>
            <w:hideMark/>
          </w:tcPr>
          <w:p w14:paraId="16EBFC42" w14:textId="77777777" w:rsidR="00446D30" w:rsidRPr="00F217E9" w:rsidRDefault="00446D30" w:rsidP="00A6302C">
            <w:pPr>
              <w:suppressAutoHyphens w:val="0"/>
              <w:rPr>
                <w:rFonts w:cs="Arial"/>
                <w:sz w:val="20"/>
                <w:szCs w:val="20"/>
                <w:lang w:val="es-MX" w:eastAsia="es-MX"/>
              </w:rPr>
            </w:pPr>
          </w:p>
        </w:tc>
        <w:tc>
          <w:tcPr>
            <w:tcW w:w="4573" w:type="dxa"/>
            <w:hideMark/>
          </w:tcPr>
          <w:p w14:paraId="76392DB7" w14:textId="77777777" w:rsidR="00446D30" w:rsidRPr="00F217E9" w:rsidRDefault="00446D30" w:rsidP="00A6302C">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Seguimiento al Plan de Acción Anual</w:t>
            </w:r>
          </w:p>
          <w:p w14:paraId="0A9BB919" w14:textId="77777777" w:rsidR="00446D30" w:rsidRPr="00F217E9" w:rsidRDefault="00446D30" w:rsidP="00A6302C">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PAA</w:t>
            </w:r>
          </w:p>
        </w:tc>
        <w:tc>
          <w:tcPr>
            <w:tcW w:w="1984" w:type="dxa"/>
            <w:noWrap/>
            <w:hideMark/>
          </w:tcPr>
          <w:p w14:paraId="1318B20D" w14:textId="77777777" w:rsidR="00446D30" w:rsidRPr="00F217E9"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Director de gestión catastral</w:t>
            </w:r>
          </w:p>
        </w:tc>
        <w:tc>
          <w:tcPr>
            <w:tcW w:w="2552" w:type="dxa"/>
            <w:noWrap/>
            <w:hideMark/>
          </w:tcPr>
          <w:p w14:paraId="35735884" w14:textId="77777777" w:rsidR="00446D30" w:rsidRPr="00F217E9"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Trimestral – PLANIGAC se publica en la página WEB del IGAC</w:t>
            </w:r>
          </w:p>
        </w:tc>
      </w:tr>
      <w:tr w:rsidR="00446D30" w:rsidRPr="009318A4" w14:paraId="41BD9E72" w14:textId="77777777" w:rsidTr="00A6302C">
        <w:trPr>
          <w:trHeight w:val="269"/>
        </w:trPr>
        <w:tc>
          <w:tcPr>
            <w:cnfStyle w:val="001000000000" w:firstRow="0" w:lastRow="0" w:firstColumn="1" w:lastColumn="0" w:oddVBand="0" w:evenVBand="0" w:oddHBand="0" w:evenHBand="0" w:firstRowFirstColumn="0" w:firstRowLastColumn="0" w:lastRowFirstColumn="0" w:lastRowLastColumn="0"/>
            <w:tcW w:w="809" w:type="dxa"/>
            <w:vMerge/>
            <w:noWrap/>
            <w:textDirection w:val="btLr"/>
          </w:tcPr>
          <w:p w14:paraId="152915C9" w14:textId="77777777" w:rsidR="00446D30" w:rsidRPr="00F217E9" w:rsidRDefault="00446D30" w:rsidP="00A6302C">
            <w:pPr>
              <w:suppressAutoHyphens w:val="0"/>
              <w:jc w:val="center"/>
              <w:rPr>
                <w:rFonts w:cs="Arial"/>
                <w:sz w:val="20"/>
                <w:szCs w:val="20"/>
                <w:lang w:val="es-MX" w:eastAsia="es-MX"/>
              </w:rPr>
            </w:pPr>
          </w:p>
        </w:tc>
        <w:tc>
          <w:tcPr>
            <w:tcW w:w="4573" w:type="dxa"/>
          </w:tcPr>
          <w:p w14:paraId="64356B1A" w14:textId="77777777" w:rsidR="00446D30" w:rsidRPr="00F217E9" w:rsidRDefault="00446D30" w:rsidP="00A6302C">
            <w:pPr>
              <w:suppressAutoHyphens w:val="0"/>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Seguimiento Controles de Riesgos</w:t>
            </w:r>
          </w:p>
        </w:tc>
        <w:tc>
          <w:tcPr>
            <w:tcW w:w="1984" w:type="dxa"/>
          </w:tcPr>
          <w:p w14:paraId="705AAF4A" w14:textId="77777777" w:rsidR="00446D30" w:rsidRPr="00F217E9"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Director de gestión catastral</w:t>
            </w:r>
          </w:p>
        </w:tc>
        <w:tc>
          <w:tcPr>
            <w:tcW w:w="2552" w:type="dxa"/>
          </w:tcPr>
          <w:p w14:paraId="6203AAD5" w14:textId="77777777" w:rsidR="00446D30" w:rsidRPr="00F217E9"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Trimestral – PLANIGAC se publica en la página WEB del IGAC</w:t>
            </w:r>
          </w:p>
        </w:tc>
      </w:tr>
      <w:tr w:rsidR="00446D30" w:rsidRPr="009318A4" w14:paraId="7B4A53F8" w14:textId="77777777" w:rsidTr="00A6302C">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809" w:type="dxa"/>
            <w:vMerge w:val="restart"/>
            <w:noWrap/>
            <w:textDirection w:val="btLr"/>
            <w:hideMark/>
          </w:tcPr>
          <w:p w14:paraId="227458ED" w14:textId="77777777" w:rsidR="00446D30" w:rsidRPr="00DE68E6" w:rsidRDefault="00446D30" w:rsidP="00A6302C">
            <w:pPr>
              <w:suppressAutoHyphens w:val="0"/>
              <w:jc w:val="center"/>
              <w:rPr>
                <w:rFonts w:cs="Arial"/>
                <w:b w:val="0"/>
                <w:bCs w:val="0"/>
                <w:sz w:val="20"/>
                <w:szCs w:val="20"/>
                <w:lang w:val="es-MX" w:eastAsia="es-MX"/>
              </w:rPr>
            </w:pPr>
            <w:r w:rsidRPr="00DE68E6">
              <w:rPr>
                <w:rFonts w:cs="Arial"/>
                <w:sz w:val="20"/>
                <w:szCs w:val="20"/>
                <w:lang w:val="es-MX" w:eastAsia="es-MX"/>
              </w:rPr>
              <w:t>Externos</w:t>
            </w:r>
          </w:p>
          <w:p w14:paraId="648449F2" w14:textId="77777777" w:rsidR="00446D30" w:rsidRPr="00DE68E6" w:rsidRDefault="00446D30" w:rsidP="00A6302C">
            <w:pPr>
              <w:suppressAutoHyphens w:val="0"/>
              <w:jc w:val="center"/>
              <w:rPr>
                <w:rFonts w:cs="Arial"/>
                <w:b w:val="0"/>
                <w:bCs w:val="0"/>
                <w:sz w:val="20"/>
                <w:szCs w:val="20"/>
                <w:lang w:val="es-MX" w:eastAsia="es-MX"/>
              </w:rPr>
            </w:pPr>
          </w:p>
          <w:p w14:paraId="4215BE8D" w14:textId="77777777" w:rsidR="00446D30" w:rsidRPr="00DE68E6" w:rsidRDefault="00446D30" w:rsidP="00A6302C">
            <w:pPr>
              <w:suppressAutoHyphens w:val="0"/>
              <w:jc w:val="center"/>
              <w:rPr>
                <w:rFonts w:cs="Arial"/>
                <w:sz w:val="20"/>
                <w:szCs w:val="20"/>
                <w:lang w:val="es-MX" w:eastAsia="es-MX"/>
              </w:rPr>
            </w:pPr>
          </w:p>
        </w:tc>
        <w:tc>
          <w:tcPr>
            <w:tcW w:w="4573" w:type="dxa"/>
            <w:hideMark/>
          </w:tcPr>
          <w:p w14:paraId="573C07CE" w14:textId="1EA46EFF" w:rsidR="00446D30" w:rsidRPr="00DE68E6" w:rsidRDefault="00446D30" w:rsidP="00A6302C">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DE68E6">
              <w:rPr>
                <w:rFonts w:cs="Arial"/>
                <w:sz w:val="20"/>
                <w:szCs w:val="20"/>
                <w:lang w:val="es-MX" w:eastAsia="es-MX"/>
              </w:rPr>
              <w:t xml:space="preserve">Seguimiento a Proyectos de Inversión </w:t>
            </w:r>
            <w:r>
              <w:rPr>
                <w:rFonts w:cs="Arial"/>
                <w:sz w:val="20"/>
                <w:szCs w:val="20"/>
                <w:lang w:val="es-MX" w:eastAsia="es-MX"/>
              </w:rPr>
              <w:t>–</w:t>
            </w:r>
            <w:r w:rsidRPr="00DE68E6">
              <w:rPr>
                <w:rFonts w:cs="Arial"/>
                <w:sz w:val="20"/>
                <w:szCs w:val="20"/>
                <w:lang w:val="es-MX" w:eastAsia="es-MX"/>
              </w:rPr>
              <w:t xml:space="preserve"> DNP</w:t>
            </w:r>
          </w:p>
          <w:p w14:paraId="350448D9" w14:textId="77777777" w:rsidR="00446D30" w:rsidRPr="00DE68E6" w:rsidRDefault="00446D30" w:rsidP="00A6302C">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p>
        </w:tc>
        <w:tc>
          <w:tcPr>
            <w:tcW w:w="1984" w:type="dxa"/>
            <w:hideMark/>
          </w:tcPr>
          <w:p w14:paraId="006B6C9A" w14:textId="77777777" w:rsidR="00446D30" w:rsidRPr="00DE68E6"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DE68E6">
              <w:rPr>
                <w:rFonts w:cs="Arial"/>
                <w:sz w:val="20"/>
                <w:szCs w:val="20"/>
                <w:lang w:val="es-MX" w:eastAsia="es-MX"/>
              </w:rPr>
              <w:t>Director de gestión catastral</w:t>
            </w:r>
          </w:p>
        </w:tc>
        <w:tc>
          <w:tcPr>
            <w:tcW w:w="2552" w:type="dxa"/>
            <w:hideMark/>
          </w:tcPr>
          <w:p w14:paraId="3431F32A" w14:textId="77777777" w:rsidR="00446D30" w:rsidRPr="00DE68E6"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DE68E6">
              <w:rPr>
                <w:rFonts w:cs="Arial"/>
                <w:sz w:val="20"/>
                <w:szCs w:val="20"/>
                <w:lang w:val="es-MX" w:eastAsia="es-MX"/>
              </w:rPr>
              <w:t>Mensual – se publica en la Plataforma SPI</w:t>
            </w:r>
          </w:p>
        </w:tc>
      </w:tr>
      <w:tr w:rsidR="00446D30" w:rsidRPr="009318A4" w14:paraId="135FF169" w14:textId="77777777" w:rsidTr="00A6302C">
        <w:trPr>
          <w:trHeight w:val="280"/>
        </w:trPr>
        <w:tc>
          <w:tcPr>
            <w:cnfStyle w:val="001000000000" w:firstRow="0" w:lastRow="0" w:firstColumn="1" w:lastColumn="0" w:oddVBand="0" w:evenVBand="0" w:oddHBand="0" w:evenHBand="0" w:firstRowFirstColumn="0" w:firstRowLastColumn="0" w:lastRowFirstColumn="0" w:lastRowLastColumn="0"/>
            <w:tcW w:w="809" w:type="dxa"/>
            <w:vMerge/>
            <w:noWrap/>
            <w:textDirection w:val="btLr"/>
          </w:tcPr>
          <w:p w14:paraId="6D8441E5" w14:textId="77777777" w:rsidR="00446D30" w:rsidRPr="00F217E9" w:rsidRDefault="00446D30" w:rsidP="00A6302C">
            <w:pPr>
              <w:suppressAutoHyphens w:val="0"/>
              <w:jc w:val="center"/>
              <w:rPr>
                <w:rFonts w:cs="Arial"/>
                <w:sz w:val="20"/>
                <w:szCs w:val="20"/>
                <w:lang w:val="es-MX" w:eastAsia="es-MX"/>
              </w:rPr>
            </w:pPr>
          </w:p>
        </w:tc>
        <w:tc>
          <w:tcPr>
            <w:tcW w:w="4573" w:type="dxa"/>
          </w:tcPr>
          <w:p w14:paraId="05E0ECE6" w14:textId="1CB29991" w:rsidR="00446D30" w:rsidRPr="00F217E9" w:rsidRDefault="00446D30" w:rsidP="00A6302C">
            <w:pPr>
              <w:suppressAutoHyphens w:val="0"/>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 xml:space="preserve">Indicadores Metas PND </w:t>
            </w:r>
            <w:r>
              <w:rPr>
                <w:rFonts w:cs="Arial"/>
                <w:sz w:val="20"/>
                <w:szCs w:val="20"/>
                <w:lang w:val="es-MX" w:eastAsia="es-MX"/>
              </w:rPr>
              <w:t>–</w:t>
            </w:r>
            <w:r w:rsidRPr="00F217E9">
              <w:rPr>
                <w:rFonts w:cs="Arial"/>
                <w:sz w:val="20"/>
                <w:szCs w:val="20"/>
                <w:lang w:val="es-MX" w:eastAsia="es-MX"/>
              </w:rPr>
              <w:t xml:space="preserve"> DNP</w:t>
            </w:r>
          </w:p>
        </w:tc>
        <w:tc>
          <w:tcPr>
            <w:tcW w:w="1984" w:type="dxa"/>
          </w:tcPr>
          <w:p w14:paraId="20ECED07" w14:textId="77777777" w:rsidR="00446D30" w:rsidRPr="00F217E9"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Director de gestión catastral</w:t>
            </w:r>
          </w:p>
        </w:tc>
        <w:tc>
          <w:tcPr>
            <w:tcW w:w="2552" w:type="dxa"/>
          </w:tcPr>
          <w:p w14:paraId="3C4DE53C" w14:textId="77777777" w:rsidR="00446D30" w:rsidRPr="00F217E9"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Mensual – se publica en la Plataforma SINERGIA</w:t>
            </w:r>
          </w:p>
        </w:tc>
      </w:tr>
      <w:tr w:rsidR="00446D30" w:rsidRPr="009318A4" w14:paraId="6990A2E9" w14:textId="77777777" w:rsidTr="00A6302C">
        <w:trPr>
          <w:cnfStyle w:val="000000100000" w:firstRow="0" w:lastRow="0" w:firstColumn="0" w:lastColumn="0" w:oddVBand="0" w:evenVBand="0" w:oddHBand="1"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809" w:type="dxa"/>
            <w:vMerge/>
            <w:noWrap/>
            <w:textDirection w:val="btLr"/>
          </w:tcPr>
          <w:p w14:paraId="62BD0EFA" w14:textId="77777777" w:rsidR="00446D30" w:rsidRPr="00F217E9" w:rsidRDefault="00446D30" w:rsidP="00A6302C">
            <w:pPr>
              <w:suppressAutoHyphens w:val="0"/>
              <w:jc w:val="center"/>
              <w:rPr>
                <w:rFonts w:cs="Arial"/>
                <w:color w:val="FF0000"/>
                <w:sz w:val="20"/>
                <w:szCs w:val="20"/>
                <w:lang w:val="es-MX" w:eastAsia="es-MX"/>
              </w:rPr>
            </w:pPr>
          </w:p>
        </w:tc>
        <w:tc>
          <w:tcPr>
            <w:tcW w:w="4573" w:type="dxa"/>
          </w:tcPr>
          <w:p w14:paraId="09F471C1" w14:textId="7AE9A91D" w:rsidR="00446D30" w:rsidRPr="00F217E9" w:rsidRDefault="00446D30" w:rsidP="00A6302C">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 xml:space="preserve">Evaluación CONPES 3958 </w:t>
            </w:r>
            <w:r>
              <w:rPr>
                <w:rFonts w:cs="Arial"/>
                <w:sz w:val="20"/>
                <w:szCs w:val="20"/>
                <w:lang w:val="es-MX" w:eastAsia="es-MX"/>
              </w:rPr>
              <w:t>–</w:t>
            </w:r>
            <w:r w:rsidRPr="00F217E9">
              <w:rPr>
                <w:rFonts w:cs="Arial"/>
                <w:sz w:val="20"/>
                <w:szCs w:val="20"/>
                <w:lang w:val="es-MX" w:eastAsia="es-MX"/>
              </w:rPr>
              <w:t xml:space="preserve"> DNP</w:t>
            </w:r>
          </w:p>
        </w:tc>
        <w:tc>
          <w:tcPr>
            <w:tcW w:w="1984" w:type="dxa"/>
          </w:tcPr>
          <w:p w14:paraId="01BC9FEE" w14:textId="77777777" w:rsidR="00446D30" w:rsidRPr="00F217E9"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Director de gestión catastral</w:t>
            </w:r>
          </w:p>
        </w:tc>
        <w:tc>
          <w:tcPr>
            <w:tcW w:w="2552" w:type="dxa"/>
          </w:tcPr>
          <w:p w14:paraId="3C502462" w14:textId="77777777" w:rsidR="00446D30" w:rsidRPr="00F217E9" w:rsidRDefault="00446D30"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F217E9">
              <w:rPr>
                <w:rFonts w:cs="Arial"/>
                <w:sz w:val="20"/>
                <w:szCs w:val="20"/>
                <w:lang w:val="es-MX" w:eastAsia="es-MX"/>
              </w:rPr>
              <w:t>Semestral – se publica en la plataforma SISCONPES</w:t>
            </w:r>
          </w:p>
        </w:tc>
      </w:tr>
      <w:tr w:rsidR="00446D30" w:rsidRPr="009318A4" w14:paraId="05FC76F7" w14:textId="77777777" w:rsidTr="00A6302C">
        <w:trPr>
          <w:trHeight w:val="534"/>
        </w:trPr>
        <w:tc>
          <w:tcPr>
            <w:cnfStyle w:val="001000000000" w:firstRow="0" w:lastRow="0" w:firstColumn="1" w:lastColumn="0" w:oddVBand="0" w:evenVBand="0" w:oddHBand="0" w:evenHBand="0" w:firstRowFirstColumn="0" w:firstRowLastColumn="0" w:lastRowFirstColumn="0" w:lastRowLastColumn="0"/>
            <w:tcW w:w="809" w:type="dxa"/>
            <w:vMerge/>
            <w:noWrap/>
            <w:textDirection w:val="btLr"/>
          </w:tcPr>
          <w:p w14:paraId="6CC6B748" w14:textId="77777777" w:rsidR="00446D30" w:rsidRPr="009318A4" w:rsidRDefault="00446D30" w:rsidP="00A6302C">
            <w:pPr>
              <w:suppressAutoHyphens w:val="0"/>
              <w:jc w:val="center"/>
              <w:rPr>
                <w:rFonts w:cs="Arial"/>
                <w:b w:val="0"/>
                <w:bCs w:val="0"/>
                <w:color w:val="FF0000"/>
                <w:sz w:val="22"/>
                <w:szCs w:val="22"/>
                <w:lang w:val="es-MX" w:eastAsia="es-MX"/>
              </w:rPr>
            </w:pPr>
          </w:p>
        </w:tc>
        <w:tc>
          <w:tcPr>
            <w:tcW w:w="4573" w:type="dxa"/>
          </w:tcPr>
          <w:p w14:paraId="1E7241EA" w14:textId="77777777" w:rsidR="00446D30" w:rsidRPr="00D87962" w:rsidRDefault="00446D30" w:rsidP="00A6302C">
            <w:pPr>
              <w:suppressAutoHyphens w:val="0"/>
              <w:cnfStyle w:val="000000000000" w:firstRow="0" w:lastRow="0" w:firstColumn="0" w:lastColumn="0" w:oddVBand="0" w:evenVBand="0" w:oddHBand="0" w:evenHBand="0" w:firstRowFirstColumn="0" w:firstRowLastColumn="0" w:lastRowFirstColumn="0" w:lastRowLastColumn="0"/>
              <w:rPr>
                <w:rFonts w:cs="Arial"/>
                <w:sz w:val="22"/>
                <w:szCs w:val="22"/>
                <w:lang w:val="es-MX" w:eastAsia="es-MX"/>
              </w:rPr>
            </w:pPr>
            <w:r w:rsidRPr="00D87962">
              <w:rPr>
                <w:rFonts w:cs="Arial"/>
                <w:sz w:val="22"/>
                <w:szCs w:val="22"/>
                <w:lang w:val="es-MX" w:eastAsia="es-MX"/>
              </w:rPr>
              <w:t>Paz con legalidad, seguridad y presencia territorial - Presidencia</w:t>
            </w:r>
          </w:p>
        </w:tc>
        <w:tc>
          <w:tcPr>
            <w:tcW w:w="1984" w:type="dxa"/>
          </w:tcPr>
          <w:p w14:paraId="2057721F" w14:textId="77777777" w:rsidR="00446D30" w:rsidRPr="00D87962"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2"/>
                <w:szCs w:val="22"/>
                <w:lang w:val="es-MX" w:eastAsia="es-MX"/>
              </w:rPr>
            </w:pPr>
            <w:r w:rsidRPr="00D87962">
              <w:rPr>
                <w:rFonts w:cs="Arial"/>
                <w:sz w:val="22"/>
                <w:szCs w:val="22"/>
                <w:lang w:val="es-MX" w:eastAsia="es-MX"/>
              </w:rPr>
              <w:t>Director de gestión catastral</w:t>
            </w:r>
          </w:p>
        </w:tc>
        <w:tc>
          <w:tcPr>
            <w:tcW w:w="2552" w:type="dxa"/>
          </w:tcPr>
          <w:p w14:paraId="55C1C702" w14:textId="77777777" w:rsidR="00446D30" w:rsidRPr="00D87962" w:rsidRDefault="00446D30"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2"/>
                <w:szCs w:val="22"/>
                <w:lang w:val="es-MX" w:eastAsia="es-MX"/>
              </w:rPr>
            </w:pPr>
            <w:r w:rsidRPr="1AF38E4A">
              <w:rPr>
                <w:rFonts w:cs="Arial"/>
                <w:sz w:val="22"/>
                <w:szCs w:val="22"/>
                <w:lang w:val="es-MX" w:eastAsia="es-MX"/>
              </w:rPr>
              <w:t xml:space="preserve">Mensual </w:t>
            </w:r>
            <w:r>
              <w:rPr>
                <w:rFonts w:cs="Arial"/>
                <w:sz w:val="22"/>
                <w:szCs w:val="22"/>
                <w:lang w:val="es-MX" w:eastAsia="es-MX"/>
              </w:rPr>
              <w:t>–</w:t>
            </w:r>
            <w:r w:rsidRPr="1AF38E4A">
              <w:rPr>
                <w:rFonts w:cs="Arial"/>
                <w:sz w:val="22"/>
                <w:szCs w:val="22"/>
                <w:lang w:val="es-MX" w:eastAsia="es-MX"/>
              </w:rPr>
              <w:t xml:space="preserve"> </w:t>
            </w:r>
            <w:r>
              <w:rPr>
                <w:rFonts w:cs="Arial"/>
                <w:sz w:val="22"/>
                <w:szCs w:val="22"/>
                <w:lang w:val="es-MX" w:eastAsia="es-MX"/>
              </w:rPr>
              <w:t>Correo electrónico se reporta a presidencia</w:t>
            </w:r>
          </w:p>
        </w:tc>
      </w:tr>
    </w:tbl>
    <w:p w14:paraId="16B4992D" w14:textId="5C9E7C78" w:rsidR="00446D30" w:rsidRDefault="00B3194D" w:rsidP="00446D30">
      <w:pPr>
        <w:pStyle w:val="Lista"/>
        <w:jc w:val="center"/>
        <w:rPr>
          <w:b/>
          <w:bCs/>
          <w:sz w:val="16"/>
          <w:szCs w:val="16"/>
        </w:rPr>
      </w:pPr>
      <w:r>
        <w:rPr>
          <w:b/>
          <w:bCs/>
          <w:sz w:val="16"/>
          <w:szCs w:val="16"/>
        </w:rPr>
        <w:t>Fuente: Dirección de Gestión Catastral</w:t>
      </w:r>
    </w:p>
    <w:p w14:paraId="23A3FFC0" w14:textId="77777777" w:rsidR="00446D30" w:rsidRDefault="00446D30" w:rsidP="00446D30">
      <w:pPr>
        <w:pStyle w:val="Lista"/>
        <w:jc w:val="center"/>
        <w:rPr>
          <w:b/>
          <w:bCs/>
          <w:sz w:val="16"/>
          <w:szCs w:val="16"/>
        </w:rPr>
      </w:pPr>
    </w:p>
    <w:p w14:paraId="721CC37D" w14:textId="77777777" w:rsidR="00446D30" w:rsidRPr="00446D30" w:rsidRDefault="00446D30" w:rsidP="00446D30">
      <w:pPr>
        <w:pStyle w:val="Lista"/>
        <w:jc w:val="center"/>
        <w:rPr>
          <w:b/>
          <w:bCs/>
          <w:sz w:val="16"/>
          <w:szCs w:val="16"/>
        </w:rPr>
      </w:pPr>
    </w:p>
    <w:p w14:paraId="3F7C6A61" w14:textId="27387E35" w:rsidR="004D701C" w:rsidRDefault="00FA2E52" w:rsidP="000A20EE">
      <w:pPr>
        <w:pStyle w:val="Prrafodelista"/>
        <w:numPr>
          <w:ilvl w:val="2"/>
          <w:numId w:val="22"/>
        </w:numPr>
        <w:rPr>
          <w:b/>
          <w:bCs/>
          <w:sz w:val="22"/>
          <w:szCs w:val="22"/>
        </w:rPr>
      </w:pPr>
      <w:r w:rsidRPr="002D2F11">
        <w:rPr>
          <w:b/>
          <w:bCs/>
          <w:sz w:val="22"/>
          <w:szCs w:val="22"/>
        </w:rPr>
        <w:t>RECOMENDACIONES</w:t>
      </w:r>
    </w:p>
    <w:p w14:paraId="5D8F5719" w14:textId="205E8DA7" w:rsidR="00F76E97" w:rsidRPr="0096004E" w:rsidRDefault="00F76E97" w:rsidP="00C72779">
      <w:pPr>
        <w:pStyle w:val="Lista"/>
        <w:rPr>
          <w:sz w:val="22"/>
          <w:szCs w:val="22"/>
        </w:rPr>
      </w:pPr>
    </w:p>
    <w:p w14:paraId="07C51378"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Reforzar la Dirección de Gestión Catastral y sus Subdirecciones con los profesionales de Planta y de Contrato idóneos para cumplir las metas establecidas en el Plan Nacional de Desarrollo, así mismo de las Direcciones Territoriales quienes son las que en gran medida aportan al cumplimiento de las metas.</w:t>
      </w:r>
    </w:p>
    <w:p w14:paraId="2E88947F" w14:textId="77777777" w:rsidR="0096004E" w:rsidRPr="0096004E" w:rsidRDefault="0096004E" w:rsidP="0096004E">
      <w:pPr>
        <w:pStyle w:val="Prrafodelista"/>
        <w:ind w:left="567"/>
        <w:rPr>
          <w:rFonts w:cs="Arial"/>
          <w:sz w:val="22"/>
          <w:szCs w:val="22"/>
        </w:rPr>
      </w:pPr>
    </w:p>
    <w:p w14:paraId="48B5A4ED"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 xml:space="preserve">Redefinir el procedimiento para la realización de los avalúos comerciales de tal manera que se pueda dar cumplimiento a los términos establecidos para su realización. </w:t>
      </w:r>
    </w:p>
    <w:p w14:paraId="7B84FB4D" w14:textId="77777777" w:rsidR="0096004E" w:rsidRPr="0096004E" w:rsidRDefault="0096004E" w:rsidP="0096004E">
      <w:pPr>
        <w:pStyle w:val="Prrafodelista"/>
        <w:rPr>
          <w:rFonts w:cs="Arial"/>
          <w:sz w:val="22"/>
          <w:szCs w:val="22"/>
        </w:rPr>
      </w:pPr>
    </w:p>
    <w:p w14:paraId="37A9A5B2"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 xml:space="preserve">Establecer un check list para los solicitantes de los avalúos comerciales de tal forma que conozcan los documentos requeridos para adelantar los mismos, dentro de los términos establecidos por la norma.  </w:t>
      </w:r>
    </w:p>
    <w:p w14:paraId="024666B9" w14:textId="77777777" w:rsidR="0096004E" w:rsidRPr="0096004E" w:rsidRDefault="0096004E" w:rsidP="0096004E">
      <w:pPr>
        <w:pStyle w:val="Prrafodelista"/>
        <w:ind w:left="567"/>
        <w:rPr>
          <w:rFonts w:cs="Arial"/>
          <w:sz w:val="22"/>
          <w:szCs w:val="22"/>
        </w:rPr>
      </w:pPr>
    </w:p>
    <w:p w14:paraId="61DF7E81"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Continuar con las actividades de consulta previa para las comunidades indígenas y los NARP ya que con esto se dará un gran paso para el cumplimiento de la meta de actualización catastral al 2025 en un 100 %</w:t>
      </w:r>
    </w:p>
    <w:p w14:paraId="5604F6A7" w14:textId="77777777" w:rsidR="0096004E" w:rsidRPr="0096004E" w:rsidRDefault="0096004E" w:rsidP="0096004E">
      <w:pPr>
        <w:ind w:left="567" w:hanging="207"/>
        <w:jc w:val="both"/>
        <w:rPr>
          <w:rFonts w:cs="Arial"/>
          <w:sz w:val="22"/>
          <w:szCs w:val="22"/>
        </w:rPr>
      </w:pPr>
    </w:p>
    <w:p w14:paraId="177742B5"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Continuar con la colaboración armónica entre el IGAC y otras entidades del orden nacional DNP, ANT, SNR para contribuir al cumplimento de las metas definidas en el Plan Nacional de Desarrollo y en la política de catastro multipropósito.</w:t>
      </w:r>
    </w:p>
    <w:p w14:paraId="5546CBA8" w14:textId="77777777" w:rsidR="0096004E" w:rsidRPr="0096004E" w:rsidRDefault="0096004E" w:rsidP="0096004E">
      <w:pPr>
        <w:pStyle w:val="Prrafodelista"/>
        <w:ind w:left="567"/>
        <w:rPr>
          <w:rFonts w:cs="Arial"/>
          <w:sz w:val="22"/>
          <w:szCs w:val="22"/>
        </w:rPr>
      </w:pPr>
    </w:p>
    <w:p w14:paraId="17FFC4D3"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 xml:space="preserve">Reforzar los lazos con los gestores catastrales habilitados, con el ánimo de ofrecer asesoría y líneas claras sobre la gestión catastral y su rol frente a políticas y programas de otras entidades a nivel nacional y regional que el IGAC viene atendiendo. </w:t>
      </w:r>
    </w:p>
    <w:p w14:paraId="4A2E8F7E" w14:textId="77777777" w:rsidR="0096004E" w:rsidRPr="0096004E" w:rsidRDefault="0096004E" w:rsidP="0096004E">
      <w:pPr>
        <w:pStyle w:val="Prrafodelista"/>
        <w:ind w:left="567"/>
        <w:rPr>
          <w:rFonts w:cs="Arial"/>
          <w:sz w:val="22"/>
          <w:szCs w:val="22"/>
        </w:rPr>
      </w:pPr>
    </w:p>
    <w:p w14:paraId="7743C17E"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t xml:space="preserve">Fortalecer el seguimiento a las Direcciones Territoriales en cuanto a la gestión catastral. </w:t>
      </w:r>
    </w:p>
    <w:p w14:paraId="7D62EE1D" w14:textId="77777777" w:rsidR="0096004E" w:rsidRPr="0096004E" w:rsidRDefault="0096004E" w:rsidP="0096004E">
      <w:pPr>
        <w:pStyle w:val="Prrafodelista"/>
        <w:ind w:left="567"/>
        <w:rPr>
          <w:rFonts w:cs="Arial"/>
          <w:sz w:val="22"/>
          <w:szCs w:val="22"/>
        </w:rPr>
      </w:pPr>
    </w:p>
    <w:p w14:paraId="5755CBBD" w14:textId="77777777" w:rsidR="0096004E" w:rsidRPr="0096004E" w:rsidRDefault="0096004E" w:rsidP="000A20EE">
      <w:pPr>
        <w:pStyle w:val="Prrafodelista"/>
        <w:numPr>
          <w:ilvl w:val="0"/>
          <w:numId w:val="254"/>
        </w:numPr>
        <w:suppressAutoHyphens w:val="0"/>
        <w:overflowPunct/>
        <w:autoSpaceDE/>
        <w:ind w:left="567" w:hanging="207"/>
        <w:contextualSpacing/>
        <w:textAlignment w:val="auto"/>
        <w:rPr>
          <w:rFonts w:cs="Arial"/>
          <w:sz w:val="22"/>
          <w:szCs w:val="22"/>
        </w:rPr>
      </w:pPr>
      <w:r w:rsidRPr="0096004E">
        <w:rPr>
          <w:rFonts w:cs="Arial"/>
          <w:sz w:val="22"/>
          <w:szCs w:val="22"/>
        </w:rPr>
        <w:lastRenderedPageBreak/>
        <w:t>Continuar con la ejecución y seguimiento en detalle de los contratos de actualización catastral, conservación y avalúos comerciales que están para la terminación al 30 de diciembre de 2021.</w:t>
      </w:r>
    </w:p>
    <w:p w14:paraId="1175FF95" w14:textId="77777777" w:rsidR="0096004E" w:rsidRPr="0096004E" w:rsidRDefault="0096004E" w:rsidP="0096004E">
      <w:pPr>
        <w:pStyle w:val="Prrafodelista"/>
        <w:ind w:left="567"/>
        <w:rPr>
          <w:rFonts w:cs="Arial"/>
          <w:sz w:val="22"/>
          <w:szCs w:val="22"/>
        </w:rPr>
      </w:pPr>
    </w:p>
    <w:p w14:paraId="76DABC82"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Priorizar la atención de las diferentes solicitudes y requerimientos realizados a la Dirección de Gestión Catastral por parte de clientes externos e internos.</w:t>
      </w:r>
    </w:p>
    <w:p w14:paraId="407ECF12" w14:textId="77777777" w:rsidR="0096004E" w:rsidRPr="0096004E" w:rsidRDefault="0096004E" w:rsidP="0096004E">
      <w:pPr>
        <w:pStyle w:val="Prrafodelista"/>
        <w:ind w:left="567"/>
        <w:rPr>
          <w:rFonts w:cs="Arial"/>
          <w:sz w:val="22"/>
          <w:szCs w:val="22"/>
        </w:rPr>
      </w:pPr>
    </w:p>
    <w:p w14:paraId="5BDACB84"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Coordinar con las distintas direcciones, subdirecciones y oficinas asesoras, las actividades que por el Decreto 846 de 2021 son de carácter compartido con la Dirección de Gestión Catastral.</w:t>
      </w:r>
    </w:p>
    <w:p w14:paraId="73BE68F5" w14:textId="77777777" w:rsidR="0096004E" w:rsidRPr="0096004E" w:rsidRDefault="0096004E" w:rsidP="0096004E">
      <w:pPr>
        <w:pStyle w:val="Prrafodelista"/>
        <w:ind w:left="567"/>
        <w:rPr>
          <w:rFonts w:cs="Arial"/>
          <w:sz w:val="22"/>
          <w:szCs w:val="22"/>
        </w:rPr>
      </w:pPr>
    </w:p>
    <w:p w14:paraId="6ACD6F52"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Continuar con las actividades del programa de racionalización de trámites que se viene trabajando en articulación con el Departamento Administrativo de la Función Pública.</w:t>
      </w:r>
    </w:p>
    <w:p w14:paraId="6634816A" w14:textId="77777777" w:rsidR="0096004E" w:rsidRPr="0096004E" w:rsidRDefault="0096004E" w:rsidP="0096004E">
      <w:pPr>
        <w:pStyle w:val="Prrafodelista"/>
        <w:ind w:left="567"/>
        <w:rPr>
          <w:rFonts w:cs="Arial"/>
          <w:sz w:val="22"/>
          <w:szCs w:val="22"/>
        </w:rPr>
      </w:pPr>
    </w:p>
    <w:p w14:paraId="0755BD9E"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Mejorar la plataforma VIVI en lo relacionado con la radicación y respuesta a trámites catastrales.</w:t>
      </w:r>
    </w:p>
    <w:p w14:paraId="7F57FE68" w14:textId="77777777" w:rsidR="0096004E" w:rsidRPr="0096004E" w:rsidRDefault="0096004E" w:rsidP="0096004E">
      <w:pPr>
        <w:pStyle w:val="Prrafodelista"/>
        <w:ind w:left="567"/>
        <w:rPr>
          <w:rFonts w:cs="Arial"/>
          <w:sz w:val="22"/>
          <w:szCs w:val="22"/>
        </w:rPr>
      </w:pPr>
    </w:p>
    <w:p w14:paraId="6DC7DBD5"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Ajustar los sistemas de información catastral a los lineamientos de la resolución 1149 de 2021 “Por la cual se actualiza la reglamentación técnica de la formación, actualización, conservación y difusión catastral con enfoque multipropósito”</w:t>
      </w:r>
    </w:p>
    <w:p w14:paraId="2749648E" w14:textId="77777777" w:rsidR="0096004E" w:rsidRPr="0096004E" w:rsidRDefault="0096004E" w:rsidP="0096004E">
      <w:pPr>
        <w:pStyle w:val="Prrafodelista"/>
        <w:ind w:left="567"/>
        <w:rPr>
          <w:rFonts w:cs="Arial"/>
          <w:sz w:val="22"/>
          <w:szCs w:val="22"/>
        </w:rPr>
      </w:pPr>
    </w:p>
    <w:p w14:paraId="45A35DE6" w14:textId="77777777"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Analizar las observaciones realizadas por los gestores catastrales y ASOCAPITALES a la Resolución 1149 de 2021, con el ánimo de definir es necesario llevar a cabo una modificación normativa.</w:t>
      </w:r>
    </w:p>
    <w:p w14:paraId="275610E1" w14:textId="77777777" w:rsidR="0096004E" w:rsidRPr="0096004E" w:rsidRDefault="0096004E" w:rsidP="0096004E">
      <w:pPr>
        <w:pStyle w:val="Prrafodelista"/>
        <w:ind w:left="567"/>
        <w:rPr>
          <w:rFonts w:cs="Arial"/>
          <w:sz w:val="22"/>
          <w:szCs w:val="22"/>
        </w:rPr>
      </w:pPr>
    </w:p>
    <w:p w14:paraId="3F584F10" w14:textId="419FD38B" w:rsidR="0096004E" w:rsidRPr="0096004E" w:rsidRDefault="0096004E" w:rsidP="000A20EE">
      <w:pPr>
        <w:pStyle w:val="Prrafodelista"/>
        <w:numPr>
          <w:ilvl w:val="0"/>
          <w:numId w:val="254"/>
        </w:numPr>
        <w:suppressAutoHyphens w:val="0"/>
        <w:overflowPunct/>
        <w:autoSpaceDE/>
        <w:spacing w:after="160"/>
        <w:ind w:left="567" w:hanging="207"/>
        <w:contextualSpacing/>
        <w:textAlignment w:val="auto"/>
        <w:rPr>
          <w:rFonts w:cs="Arial"/>
          <w:sz w:val="22"/>
          <w:szCs w:val="22"/>
        </w:rPr>
      </w:pPr>
      <w:r w:rsidRPr="0096004E">
        <w:rPr>
          <w:rFonts w:cs="Arial"/>
          <w:sz w:val="22"/>
          <w:szCs w:val="22"/>
        </w:rPr>
        <w:t>Migrar al Sistema Nacional Catastral los municipios en los que la información catastral todavía se maneja bajo la plataforma de COBOL antes de finalizar el 2021 para tener un solo sistema y contar con la información de manera estandarizada.</w:t>
      </w:r>
    </w:p>
    <w:p w14:paraId="39DDDDD2" w14:textId="77777777" w:rsidR="0096004E" w:rsidRPr="0096004E" w:rsidRDefault="0096004E" w:rsidP="00FA2E52">
      <w:pPr>
        <w:jc w:val="both"/>
        <w:rPr>
          <w:rFonts w:cs="Arial"/>
          <w:sz w:val="22"/>
          <w:szCs w:val="22"/>
        </w:rPr>
      </w:pPr>
      <w:r w:rsidRPr="0096004E">
        <w:rPr>
          <w:rFonts w:cs="Arial"/>
          <w:sz w:val="22"/>
          <w:szCs w:val="22"/>
        </w:rPr>
        <w:t>Para el logro de la meta de actualización catastral se recomienda:</w:t>
      </w:r>
    </w:p>
    <w:p w14:paraId="0F93A64C" w14:textId="77777777" w:rsidR="0096004E" w:rsidRPr="0096004E" w:rsidRDefault="0096004E" w:rsidP="00FA2E52">
      <w:pPr>
        <w:jc w:val="both"/>
        <w:rPr>
          <w:rFonts w:cs="Arial"/>
          <w:sz w:val="22"/>
          <w:szCs w:val="22"/>
        </w:rPr>
      </w:pPr>
    </w:p>
    <w:p w14:paraId="2E5F5F64" w14:textId="77777777" w:rsidR="0096004E" w:rsidRPr="0096004E" w:rsidRDefault="0096004E" w:rsidP="000A20EE">
      <w:pPr>
        <w:pStyle w:val="Prrafodelista"/>
        <w:numPr>
          <w:ilvl w:val="0"/>
          <w:numId w:val="255"/>
        </w:numPr>
        <w:suppressAutoHyphens w:val="0"/>
        <w:overflowPunct/>
        <w:autoSpaceDE/>
        <w:spacing w:after="160"/>
        <w:contextualSpacing/>
        <w:textAlignment w:val="auto"/>
        <w:rPr>
          <w:rFonts w:cs="Arial"/>
          <w:sz w:val="22"/>
          <w:szCs w:val="22"/>
        </w:rPr>
      </w:pPr>
      <w:r w:rsidRPr="0096004E">
        <w:rPr>
          <w:rFonts w:cs="Arial"/>
          <w:sz w:val="22"/>
          <w:szCs w:val="22"/>
        </w:rPr>
        <w:t xml:space="preserve">Garantizar la articulación de todos los actores involucrados en los procesos de financiación de los municipios a intervenir, definiéndose el rol que cumple cada actor y un plan de trabajo que permita que se dispongan de los discursos en los tiempos establecidos. </w:t>
      </w:r>
    </w:p>
    <w:p w14:paraId="1BDB587F" w14:textId="77777777" w:rsidR="0096004E" w:rsidRPr="0096004E" w:rsidRDefault="0096004E" w:rsidP="00FA2E52">
      <w:pPr>
        <w:pStyle w:val="Prrafodelista"/>
        <w:rPr>
          <w:rFonts w:cs="Arial"/>
          <w:sz w:val="22"/>
          <w:szCs w:val="22"/>
        </w:rPr>
      </w:pPr>
    </w:p>
    <w:p w14:paraId="48DEB975" w14:textId="77777777" w:rsidR="0096004E" w:rsidRPr="0096004E" w:rsidRDefault="0096004E" w:rsidP="000A20EE">
      <w:pPr>
        <w:pStyle w:val="Prrafodelista"/>
        <w:numPr>
          <w:ilvl w:val="0"/>
          <w:numId w:val="255"/>
        </w:numPr>
        <w:suppressAutoHyphens w:val="0"/>
        <w:overflowPunct/>
        <w:autoSpaceDE/>
        <w:spacing w:after="160"/>
        <w:contextualSpacing/>
        <w:textAlignment w:val="auto"/>
        <w:rPr>
          <w:rFonts w:cs="Arial"/>
          <w:sz w:val="22"/>
          <w:szCs w:val="22"/>
        </w:rPr>
      </w:pPr>
      <w:r w:rsidRPr="0096004E">
        <w:rPr>
          <w:rFonts w:cs="Arial"/>
          <w:sz w:val="22"/>
          <w:szCs w:val="22"/>
        </w:rPr>
        <w:t xml:space="preserve">Definir con el Banco Mundial y el Banco Interamericano de Desarrollo las intervenciones parciales en municipios con territorios étnicos constituidos, de tal manera que se puedan adelantar los mismos mientras se adelanta la consulta previa. Es necesario tener en cuenta los sobrecostos que podría generar esta estrategia. </w:t>
      </w:r>
    </w:p>
    <w:p w14:paraId="237D959F" w14:textId="77777777" w:rsidR="0096004E" w:rsidRPr="0096004E" w:rsidRDefault="0096004E" w:rsidP="0096004E">
      <w:pPr>
        <w:pStyle w:val="Prrafodelista"/>
        <w:spacing w:line="276" w:lineRule="auto"/>
        <w:rPr>
          <w:rFonts w:cs="Arial"/>
          <w:sz w:val="22"/>
          <w:szCs w:val="22"/>
        </w:rPr>
      </w:pPr>
      <w:r w:rsidRPr="0096004E">
        <w:rPr>
          <w:rFonts w:cs="Arial"/>
          <w:sz w:val="22"/>
          <w:szCs w:val="22"/>
        </w:rPr>
        <w:t xml:space="preserve"> </w:t>
      </w:r>
    </w:p>
    <w:p w14:paraId="23E1BF9E" w14:textId="77777777" w:rsidR="0096004E" w:rsidRPr="0096004E" w:rsidRDefault="0096004E" w:rsidP="000A20EE">
      <w:pPr>
        <w:pStyle w:val="Prrafodelista"/>
        <w:numPr>
          <w:ilvl w:val="0"/>
          <w:numId w:val="255"/>
        </w:numPr>
        <w:suppressAutoHyphens w:val="0"/>
        <w:overflowPunct/>
        <w:autoSpaceDE/>
        <w:spacing w:after="160" w:line="276" w:lineRule="auto"/>
        <w:contextualSpacing/>
        <w:textAlignment w:val="auto"/>
        <w:rPr>
          <w:rFonts w:cs="Arial"/>
          <w:sz w:val="22"/>
          <w:szCs w:val="22"/>
        </w:rPr>
      </w:pPr>
      <w:r w:rsidRPr="0096004E">
        <w:rPr>
          <w:rFonts w:cs="Arial"/>
          <w:sz w:val="22"/>
          <w:szCs w:val="22"/>
        </w:rPr>
        <w:t xml:space="preserve">Establecer la estrategia para la financiación de los municipios que no cuentan con ella. </w:t>
      </w:r>
    </w:p>
    <w:p w14:paraId="2680D57C" w14:textId="77777777" w:rsidR="0096004E" w:rsidRPr="0096004E" w:rsidRDefault="0096004E" w:rsidP="0096004E">
      <w:pPr>
        <w:pStyle w:val="Prrafodelista"/>
        <w:rPr>
          <w:rFonts w:cs="Arial"/>
          <w:sz w:val="22"/>
          <w:szCs w:val="22"/>
        </w:rPr>
      </w:pPr>
    </w:p>
    <w:p w14:paraId="378ABBA8" w14:textId="77777777" w:rsidR="0096004E" w:rsidRPr="0096004E" w:rsidRDefault="0096004E" w:rsidP="000A20EE">
      <w:pPr>
        <w:pStyle w:val="Prrafodelista"/>
        <w:numPr>
          <w:ilvl w:val="0"/>
          <w:numId w:val="255"/>
        </w:numPr>
        <w:suppressAutoHyphens w:val="0"/>
        <w:overflowPunct/>
        <w:autoSpaceDE/>
        <w:spacing w:after="160" w:line="276" w:lineRule="auto"/>
        <w:contextualSpacing/>
        <w:textAlignment w:val="auto"/>
        <w:rPr>
          <w:rFonts w:cs="Arial"/>
          <w:sz w:val="22"/>
          <w:szCs w:val="22"/>
        </w:rPr>
      </w:pPr>
      <w:r w:rsidRPr="0096004E">
        <w:rPr>
          <w:rFonts w:cs="Arial"/>
          <w:sz w:val="22"/>
          <w:szCs w:val="22"/>
        </w:rPr>
        <w:t xml:space="preserve">Efectuar acercamiento con la Banca Multilateral para flexibilizar los procesos de contratación, de tal forma que sea más expedito. </w:t>
      </w:r>
    </w:p>
    <w:p w14:paraId="604DEC0E" w14:textId="77777777" w:rsidR="0096004E" w:rsidRPr="0096004E" w:rsidRDefault="0096004E" w:rsidP="0096004E">
      <w:pPr>
        <w:pStyle w:val="Prrafodelista"/>
        <w:rPr>
          <w:rFonts w:cs="Arial"/>
          <w:sz w:val="22"/>
          <w:szCs w:val="22"/>
        </w:rPr>
      </w:pPr>
    </w:p>
    <w:p w14:paraId="2E72F7B0" w14:textId="2B0FAAFE" w:rsidR="00F76E97" w:rsidRPr="00FA2E52" w:rsidRDefault="0096004E" w:rsidP="000A20EE">
      <w:pPr>
        <w:pStyle w:val="Prrafodelista"/>
        <w:numPr>
          <w:ilvl w:val="0"/>
          <w:numId w:val="255"/>
        </w:numPr>
        <w:suppressAutoHyphens w:val="0"/>
        <w:overflowPunct/>
        <w:autoSpaceDE/>
        <w:spacing w:after="160" w:line="276" w:lineRule="auto"/>
        <w:contextualSpacing/>
        <w:textAlignment w:val="auto"/>
        <w:rPr>
          <w:rFonts w:cs="Arial"/>
          <w:sz w:val="22"/>
          <w:szCs w:val="22"/>
        </w:rPr>
      </w:pPr>
      <w:r w:rsidRPr="0096004E">
        <w:rPr>
          <w:rFonts w:cs="Arial"/>
          <w:sz w:val="22"/>
          <w:szCs w:val="22"/>
        </w:rPr>
        <w:t xml:space="preserve">Establecer el flujograma para el proceso de validación de los productos entregados por parte de los  operadores catastrales contratados por el Instituto. </w:t>
      </w:r>
    </w:p>
    <w:p w14:paraId="34491DD3" w14:textId="6FE402CB" w:rsidR="004D701C" w:rsidRPr="00EE7433" w:rsidRDefault="00085145" w:rsidP="00EE7433">
      <w:pPr>
        <w:pStyle w:val="Ttulo2"/>
        <w:numPr>
          <w:ilvl w:val="1"/>
          <w:numId w:val="22"/>
        </w:numPr>
        <w:spacing w:line="240" w:lineRule="auto"/>
        <w:jc w:val="left"/>
        <w:rPr>
          <w:sz w:val="22"/>
          <w:szCs w:val="22"/>
        </w:rPr>
      </w:pPr>
      <w:bookmarkStart w:id="70" w:name="_Toc88677056"/>
      <w:r w:rsidRPr="002D2F11">
        <w:rPr>
          <w:sz w:val="22"/>
          <w:szCs w:val="22"/>
        </w:rPr>
        <w:lastRenderedPageBreak/>
        <w:t>DIRECCIÓN DE REGULACIÓN Y HABILITACIÓN</w:t>
      </w:r>
      <w:bookmarkEnd w:id="70"/>
    </w:p>
    <w:p w14:paraId="5022DCFE" w14:textId="6F7374B2" w:rsidR="006A7D6A" w:rsidRPr="002D2F11" w:rsidRDefault="006A7D6A" w:rsidP="000A20EE">
      <w:pPr>
        <w:pStyle w:val="Prrafodelista"/>
        <w:numPr>
          <w:ilvl w:val="2"/>
          <w:numId w:val="22"/>
        </w:numPr>
        <w:rPr>
          <w:b/>
          <w:bCs/>
          <w:sz w:val="22"/>
          <w:szCs w:val="22"/>
        </w:rPr>
      </w:pPr>
      <w:r w:rsidRPr="31FF9146">
        <w:rPr>
          <w:b/>
          <w:bCs/>
          <w:sz w:val="22"/>
          <w:szCs w:val="22"/>
        </w:rPr>
        <w:t xml:space="preserve">    </w:t>
      </w:r>
      <w:r w:rsidR="00F76E97" w:rsidRPr="31FF9146">
        <w:rPr>
          <w:b/>
          <w:bCs/>
          <w:sz w:val="22"/>
          <w:szCs w:val="22"/>
        </w:rPr>
        <w:t xml:space="preserve">GENERALIDADES </w:t>
      </w:r>
    </w:p>
    <w:p w14:paraId="3357C267" w14:textId="1B2D8EAA" w:rsidR="31FF9146" w:rsidRDefault="31FF9146" w:rsidP="31FF9146">
      <w:pPr>
        <w:pStyle w:val="Lista"/>
      </w:pPr>
    </w:p>
    <w:p w14:paraId="72C89659" w14:textId="01BDA23D" w:rsidR="128A0933" w:rsidRDefault="128A0933" w:rsidP="31FF9146">
      <w:pPr>
        <w:jc w:val="both"/>
        <w:rPr>
          <w:rFonts w:eastAsia="Arial" w:cs="Arial"/>
          <w:sz w:val="22"/>
          <w:szCs w:val="22"/>
        </w:rPr>
      </w:pPr>
      <w:r w:rsidRPr="31FF9146">
        <w:rPr>
          <w:rFonts w:eastAsia="Arial" w:cs="Arial"/>
          <w:sz w:val="22"/>
          <w:szCs w:val="22"/>
        </w:rPr>
        <w:t>De conformidad con la Ley 1955 de 2019, el Instituto Geográfico Agustín Codazzi (IGAC) es la máxima autoridad catastral nacional y prestador por excepción del servicio público de catastro, en ausencia de gestores catastrales habilitados. En su rol de autoridad catastral, el IGAC mantendrá la función reguladora y ejecutora en materia de gestión del catastro, la agrología, cartografía, geografía y geodesia. Así, el IGAC tiene competencia para emitir regulación en estas materias, a través de actos administrativos de carácter general que pueden tomar la forma de instrumentos normativos como resoluciones, directivas o circulares, entre otras.</w:t>
      </w:r>
    </w:p>
    <w:p w14:paraId="17D43ADC" w14:textId="52E03C6E" w:rsidR="31FF9146" w:rsidRDefault="31FF9146" w:rsidP="31FF9146">
      <w:pPr>
        <w:jc w:val="both"/>
        <w:rPr>
          <w:rFonts w:eastAsia="Arial" w:cs="Arial"/>
          <w:sz w:val="22"/>
          <w:szCs w:val="22"/>
        </w:rPr>
      </w:pPr>
    </w:p>
    <w:p w14:paraId="10A7964C" w14:textId="4B9D06CC" w:rsidR="128A0933" w:rsidRDefault="128A0933" w:rsidP="31FF9146">
      <w:pPr>
        <w:jc w:val="both"/>
        <w:rPr>
          <w:rFonts w:eastAsia="Arial" w:cs="Arial"/>
          <w:sz w:val="22"/>
          <w:szCs w:val="22"/>
        </w:rPr>
      </w:pPr>
      <w:r w:rsidRPr="31FF9146">
        <w:rPr>
          <w:rFonts w:eastAsia="Arial" w:cs="Arial"/>
          <w:sz w:val="22"/>
          <w:szCs w:val="22"/>
        </w:rPr>
        <w:t xml:space="preserve">En línea con lo anterior, en el artículo 79 de la citada ley, se estableció que la gestión catastral será prestada por gestores catastrales, quienes estarán encargados de adelantar los procesos catastrales, así como los procedimientos del enfoque catastral multipropósito adaptados para este efecto. </w:t>
      </w:r>
    </w:p>
    <w:p w14:paraId="407155C1" w14:textId="74E06607" w:rsidR="31FF9146" w:rsidRDefault="31FF9146" w:rsidP="31FF9146">
      <w:pPr>
        <w:ind w:left="426"/>
        <w:jc w:val="both"/>
        <w:rPr>
          <w:rFonts w:eastAsia="Arial" w:cs="Arial"/>
          <w:sz w:val="22"/>
          <w:szCs w:val="22"/>
        </w:rPr>
      </w:pPr>
    </w:p>
    <w:p w14:paraId="40841525" w14:textId="6597DE93" w:rsidR="128A0933" w:rsidRDefault="128A0933" w:rsidP="31FF9146">
      <w:pPr>
        <w:jc w:val="both"/>
        <w:rPr>
          <w:rFonts w:eastAsia="Arial" w:cs="Arial"/>
          <w:sz w:val="22"/>
          <w:szCs w:val="22"/>
        </w:rPr>
      </w:pPr>
      <w:r w:rsidRPr="31FF9146">
        <w:rPr>
          <w:rFonts w:eastAsia="Arial" w:cs="Arial"/>
          <w:sz w:val="22"/>
          <w:szCs w:val="22"/>
        </w:rPr>
        <w:t xml:space="preserve">Adicionalmente, y de acuerdo con lo establecido en la norma citada, señala que </w:t>
      </w:r>
      <w:r w:rsidRPr="31FF9146">
        <w:rPr>
          <w:rFonts w:eastAsia="Arial" w:cs="Arial"/>
          <w:i/>
          <w:iCs/>
          <w:sz w:val="22"/>
          <w:szCs w:val="22"/>
        </w:rPr>
        <w:t>“(…) El IGAC, a solicitud de parte, y previo cumplimiento de las condiciones jurídicas, técnicas, económicas y financieras, definidas en el respectivo marco regulatorio, habilitará como gestores catastrales para la prestación del servicio catastral a las entidades públicas nacionales o territoriales, incluyendo, entre otros, esquemas asociativos de entidades territoriales. (…)”</w:t>
      </w:r>
    </w:p>
    <w:p w14:paraId="1123F271" w14:textId="7157307C" w:rsidR="31FF9146" w:rsidRDefault="31FF9146" w:rsidP="31FF9146">
      <w:pPr>
        <w:jc w:val="both"/>
        <w:rPr>
          <w:rFonts w:eastAsia="Arial" w:cs="Arial"/>
          <w:sz w:val="22"/>
          <w:szCs w:val="22"/>
        </w:rPr>
      </w:pPr>
    </w:p>
    <w:p w14:paraId="4EFB8489" w14:textId="0985806A" w:rsidR="128A0933" w:rsidRDefault="128A0933" w:rsidP="31FF9146">
      <w:pPr>
        <w:jc w:val="both"/>
        <w:rPr>
          <w:rFonts w:eastAsia="Arial" w:cs="Arial"/>
          <w:sz w:val="22"/>
          <w:szCs w:val="22"/>
        </w:rPr>
      </w:pPr>
      <w:r w:rsidRPr="31FF9146">
        <w:rPr>
          <w:rFonts w:eastAsia="Arial" w:cs="Arial"/>
          <w:sz w:val="22"/>
          <w:szCs w:val="22"/>
        </w:rPr>
        <w:t>Siendo así, las gestiones de regulación que en la práctica gestionaban las dependencias misionales contaban con la revisión de la viabilidad jurídica de la Oficina Asesora Jurídica de acuerdo con sus funciones. Por lo tanto, desde esta oficina en mayo de 2020 se creó en su primera versión y oficializó el proceso de Regulación y su procedimiento y formatos asociados, con el fin de contar con la trazabilidad de las gestiones en materia de regulación, e incorporar buenas prácticas regulatorias aplicables a la Entidad. Por su parte, la habilitación catastral era proyectada desde la Subdirección de Catastro, y revisada jurídicamente por la Oficina Asesora Jurídica.</w:t>
      </w:r>
    </w:p>
    <w:p w14:paraId="2A81B3DD" w14:textId="65B19D9A" w:rsidR="31FF9146" w:rsidRDefault="31FF9146" w:rsidP="31FF9146">
      <w:pPr>
        <w:jc w:val="both"/>
        <w:rPr>
          <w:rFonts w:eastAsia="Arial" w:cs="Arial"/>
          <w:sz w:val="22"/>
          <w:szCs w:val="22"/>
        </w:rPr>
      </w:pPr>
    </w:p>
    <w:p w14:paraId="02C79A21" w14:textId="5CACD6D2" w:rsidR="128A0933" w:rsidRDefault="128A0933" w:rsidP="31FF9146">
      <w:pPr>
        <w:jc w:val="both"/>
        <w:rPr>
          <w:rFonts w:eastAsia="Arial" w:cs="Arial"/>
          <w:sz w:val="22"/>
          <w:szCs w:val="22"/>
        </w:rPr>
      </w:pPr>
      <w:r w:rsidRPr="31FF9146">
        <w:rPr>
          <w:rFonts w:eastAsia="Arial" w:cs="Arial"/>
          <w:sz w:val="22"/>
          <w:szCs w:val="22"/>
        </w:rPr>
        <w:t>Posteriormente, producto de la modernización y rediseño institucional de la Entidad mediante el Decreto 846 de 2021 “Por el cual se modifica la estructura del IGAC, se creó como dependencia la Dirección de Regulación y Habilitación, y con base en dicha creación, la conformación de los subprocesos misionales de Regulación y Habilitación. La Oficina Asesora Jurídica a través del soporte de la jefe de Oficina ha venido acompañando la transición del subproceso de Regulación como proceso de estratégico a proceso misional, y la coordinación entre dicho subproceso y el de Habilitación.</w:t>
      </w:r>
    </w:p>
    <w:p w14:paraId="3B618BB0" w14:textId="76209572" w:rsidR="31FF9146" w:rsidRDefault="31FF9146" w:rsidP="31FF9146">
      <w:pPr>
        <w:jc w:val="both"/>
        <w:rPr>
          <w:rFonts w:eastAsia="Arial" w:cs="Arial"/>
          <w:color w:val="000000" w:themeColor="text1"/>
        </w:rPr>
      </w:pPr>
    </w:p>
    <w:p w14:paraId="7B0D062E" w14:textId="315637F1" w:rsidR="0022770B" w:rsidRPr="002D2F11" w:rsidRDefault="00F76E97" w:rsidP="000A20EE">
      <w:pPr>
        <w:pStyle w:val="Prrafodelista"/>
        <w:numPr>
          <w:ilvl w:val="3"/>
          <w:numId w:val="22"/>
        </w:numPr>
        <w:rPr>
          <w:b/>
          <w:bCs/>
          <w:sz w:val="22"/>
          <w:szCs w:val="22"/>
        </w:rPr>
      </w:pPr>
      <w:r w:rsidRPr="31FF9146">
        <w:rPr>
          <w:b/>
          <w:bCs/>
          <w:sz w:val="22"/>
          <w:szCs w:val="22"/>
        </w:rPr>
        <w:t xml:space="preserve">PRINCIPALES FUNCIONES </w:t>
      </w:r>
    </w:p>
    <w:p w14:paraId="3303B129" w14:textId="7A26E72E" w:rsidR="31FF9146" w:rsidRDefault="31FF9146" w:rsidP="31FF9146">
      <w:pPr>
        <w:pStyle w:val="Lista"/>
      </w:pPr>
    </w:p>
    <w:p w14:paraId="5B0D1F90" w14:textId="1251F595" w:rsidR="571152A6" w:rsidRDefault="571152A6" w:rsidP="31FF9146">
      <w:pPr>
        <w:jc w:val="both"/>
        <w:rPr>
          <w:rFonts w:eastAsia="Arial" w:cs="Arial"/>
          <w:sz w:val="22"/>
          <w:szCs w:val="22"/>
        </w:rPr>
      </w:pPr>
      <w:r w:rsidRPr="31FF9146">
        <w:rPr>
          <w:rFonts w:eastAsia="Arial" w:cs="Arial"/>
          <w:color w:val="000000" w:themeColor="text1"/>
          <w:sz w:val="22"/>
          <w:szCs w:val="22"/>
        </w:rPr>
        <w:t>De conformidad con el artículo 21 del Decreto 846 de 2021, la Dirección de Regulación y Habilitación tiene como funciones principales proyectar y proponer a la Dirección General y al Comité Técnico Asesor para la Gestión Catastral y demás instancias, los documentos y normas para la producción, actualización y mantenimiento de información, productos y servicios catastrales, cartográficos, agrológicos y geográficos del país; diseñar estrategias de divulgación y acompañamiento a las entidades territoriales, esquemas asociativos y entidades del orden nacional para impulsar los procesos de habilitación catastral, así como adelantar los procesos de habilitación catastral; y proponer las especificaciones técnicas y estándares para regular la prestación del servicio público catastral, en coordinación con la Dirección de Gestión Catastral.</w:t>
      </w:r>
      <w:r w:rsidRPr="31FF9146">
        <w:rPr>
          <w:rFonts w:eastAsia="Arial" w:cs="Arial"/>
          <w:color w:val="333333"/>
          <w:sz w:val="22"/>
          <w:szCs w:val="22"/>
        </w:rPr>
        <w:t xml:space="preserve"> </w:t>
      </w:r>
      <w:r w:rsidRPr="31FF9146">
        <w:rPr>
          <w:rFonts w:eastAsia="Arial" w:cs="Arial"/>
          <w:sz w:val="22"/>
          <w:szCs w:val="22"/>
        </w:rPr>
        <w:t xml:space="preserve"> </w:t>
      </w:r>
    </w:p>
    <w:p w14:paraId="7FDDC580" w14:textId="3A3881BE" w:rsidR="31FF9146" w:rsidRDefault="31FF9146" w:rsidP="31FF9146">
      <w:pPr>
        <w:pStyle w:val="Lista"/>
        <w:rPr>
          <w:rFonts w:eastAsia="Arial" w:cs="Arial"/>
          <w:sz w:val="22"/>
          <w:szCs w:val="22"/>
        </w:rPr>
      </w:pPr>
    </w:p>
    <w:p w14:paraId="5A80C0E4" w14:textId="30FCADAA" w:rsidR="006A7D6A" w:rsidRDefault="00F14022" w:rsidP="000A20EE">
      <w:pPr>
        <w:pStyle w:val="Prrafodelista"/>
        <w:numPr>
          <w:ilvl w:val="3"/>
          <w:numId w:val="22"/>
        </w:numPr>
        <w:rPr>
          <w:b/>
          <w:bCs/>
          <w:sz w:val="22"/>
          <w:szCs w:val="22"/>
        </w:rPr>
      </w:pPr>
      <w:r w:rsidRPr="31FF9146">
        <w:rPr>
          <w:b/>
          <w:bCs/>
          <w:sz w:val="22"/>
          <w:szCs w:val="22"/>
        </w:rPr>
        <w:lastRenderedPageBreak/>
        <w:t xml:space="preserve">ESTRUCTURA </w:t>
      </w:r>
      <w:r>
        <w:rPr>
          <w:b/>
          <w:bCs/>
          <w:sz w:val="22"/>
          <w:szCs w:val="22"/>
        </w:rPr>
        <w:t>FUNCIONAL DE LA DIRECCIÓN DE REGULACIÓN Y HABILITACIÓN</w:t>
      </w:r>
    </w:p>
    <w:p w14:paraId="689F306B" w14:textId="3831E9AE" w:rsidR="00F14022" w:rsidRPr="00F14022" w:rsidRDefault="00F14022" w:rsidP="00F14022">
      <w:pPr>
        <w:pStyle w:val="Lista"/>
      </w:pPr>
    </w:p>
    <w:p w14:paraId="723DBCBF" w14:textId="75D4DF81" w:rsidR="0075752D" w:rsidRPr="0075752D" w:rsidRDefault="00F14022" w:rsidP="0075752D">
      <w:pPr>
        <w:pStyle w:val="Descripcin"/>
        <w:jc w:val="center"/>
        <w:rPr>
          <w:rFonts w:ascii="Arial" w:hAnsi="Arial" w:cs="Arial"/>
          <w:b/>
          <w:bCs/>
          <w:i w:val="0"/>
          <w:iCs w:val="0"/>
          <w:color w:val="000000" w:themeColor="text1"/>
          <w:sz w:val="14"/>
          <w:szCs w:val="16"/>
        </w:rPr>
      </w:pPr>
      <w:bookmarkStart w:id="71" w:name="_Toc88655317"/>
      <w:bookmarkStart w:id="72" w:name="_Toc88656938"/>
      <w:bookmarkStart w:id="73" w:name="_Toc88677168"/>
      <w:r w:rsidRPr="0075752D">
        <w:rPr>
          <w:rFonts w:ascii="Arial" w:hAnsi="Arial" w:cs="Arial"/>
          <w:b/>
          <w:i w:val="0"/>
          <w:color w:val="000000" w:themeColor="text1"/>
          <w:sz w:val="16"/>
          <w:szCs w:val="16"/>
        </w:rPr>
        <w:t xml:space="preserve">Ilustración </w:t>
      </w:r>
      <w:r w:rsidRPr="0075752D">
        <w:rPr>
          <w:rFonts w:ascii="Arial" w:hAnsi="Arial" w:cs="Arial"/>
          <w:b/>
          <w:i w:val="0"/>
          <w:color w:val="000000" w:themeColor="text1"/>
          <w:sz w:val="16"/>
          <w:szCs w:val="16"/>
        </w:rPr>
        <w:fldChar w:fldCharType="begin"/>
      </w:r>
      <w:r w:rsidRPr="00F14022">
        <w:rPr>
          <w:rFonts w:ascii="Arial" w:hAnsi="Arial" w:cs="Arial"/>
          <w:b/>
          <w:i w:val="0"/>
          <w:color w:val="auto"/>
          <w:sz w:val="16"/>
        </w:rPr>
        <w:instrText xml:space="preserve"> SEQ Ilustración \* ARABIC </w:instrText>
      </w:r>
      <w:r w:rsidRPr="0075752D">
        <w:rPr>
          <w:rFonts w:ascii="Arial" w:hAnsi="Arial" w:cs="Arial"/>
          <w:b/>
          <w:i w:val="0"/>
          <w:color w:val="000000" w:themeColor="text1"/>
          <w:sz w:val="16"/>
          <w:szCs w:val="16"/>
        </w:rPr>
        <w:fldChar w:fldCharType="separate"/>
      </w:r>
      <w:r w:rsidR="005D5B0E">
        <w:rPr>
          <w:rFonts w:ascii="Arial" w:hAnsi="Arial" w:cs="Arial"/>
          <w:b/>
          <w:i w:val="0"/>
          <w:noProof/>
          <w:color w:val="auto"/>
          <w:sz w:val="16"/>
        </w:rPr>
        <w:t>12</w:t>
      </w:r>
      <w:r w:rsidRPr="0075752D">
        <w:rPr>
          <w:rFonts w:ascii="Arial" w:hAnsi="Arial" w:cs="Arial"/>
          <w:b/>
          <w:i w:val="0"/>
          <w:color w:val="000000" w:themeColor="text1"/>
          <w:sz w:val="16"/>
          <w:szCs w:val="16"/>
        </w:rPr>
        <w:fldChar w:fldCharType="end"/>
      </w:r>
      <w:r w:rsidR="0075752D" w:rsidRPr="0075752D">
        <w:rPr>
          <w:rFonts w:ascii="Arial" w:hAnsi="Arial" w:cs="Arial"/>
          <w:b/>
          <w:bCs/>
          <w:i w:val="0"/>
          <w:iCs w:val="0"/>
          <w:color w:val="000000" w:themeColor="text1"/>
          <w:sz w:val="16"/>
          <w:szCs w:val="16"/>
        </w:rPr>
        <w:t>. Estructura Funcional</w:t>
      </w:r>
      <w:bookmarkEnd w:id="71"/>
      <w:bookmarkEnd w:id="72"/>
      <w:bookmarkEnd w:id="73"/>
    </w:p>
    <w:p w14:paraId="10A6E629" w14:textId="5FFF12F0" w:rsidR="0075752D" w:rsidRDefault="00F14022" w:rsidP="0075752D">
      <w:pPr>
        <w:pStyle w:val="Descripcin"/>
        <w:keepNext/>
        <w:jc w:val="center"/>
      </w:pPr>
      <w:r>
        <w:rPr>
          <w:noProof/>
          <w:lang w:eastAsia="es-CO"/>
        </w:rPr>
        <w:drawing>
          <wp:anchor distT="0" distB="0" distL="114300" distR="114300" simplePos="0" relativeHeight="251658242" behindDoc="0" locked="0" layoutInCell="1" allowOverlap="1" wp14:anchorId="13B9C860" wp14:editId="6B9B6430">
            <wp:simplePos x="0" y="0"/>
            <wp:positionH relativeFrom="margin">
              <wp:align>center</wp:align>
            </wp:positionH>
            <wp:positionV relativeFrom="paragraph">
              <wp:posOffset>227330</wp:posOffset>
            </wp:positionV>
            <wp:extent cx="5219700" cy="4787900"/>
            <wp:effectExtent l="0" t="0" r="0" b="0"/>
            <wp:wrapSquare wrapText="bothSides"/>
            <wp:docPr id="1111004084" name="Imagen 1111004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5219700" cy="4787900"/>
                    </a:xfrm>
                    <a:prstGeom prst="rect">
                      <a:avLst/>
                    </a:prstGeom>
                  </pic:spPr>
                </pic:pic>
              </a:graphicData>
            </a:graphic>
            <wp14:sizeRelH relativeFrom="page">
              <wp14:pctWidth>0</wp14:pctWidth>
            </wp14:sizeRelH>
            <wp14:sizeRelV relativeFrom="page">
              <wp14:pctHeight>0</wp14:pctHeight>
            </wp14:sizeRelV>
          </wp:anchor>
        </w:drawing>
      </w:r>
    </w:p>
    <w:p w14:paraId="41D0272A" w14:textId="0DD0A63D" w:rsidR="31FF9146" w:rsidRDefault="31FF9146" w:rsidP="31FF9146">
      <w:pPr>
        <w:pStyle w:val="Lista"/>
      </w:pPr>
    </w:p>
    <w:p w14:paraId="35516997" w14:textId="680F839E" w:rsidR="3EEE2604" w:rsidRDefault="3EEE2604" w:rsidP="31FF9146">
      <w:pPr>
        <w:pStyle w:val="Lista"/>
      </w:pPr>
    </w:p>
    <w:p w14:paraId="1E8DFE87" w14:textId="29741F2C" w:rsidR="006A7D6A" w:rsidRPr="00F14022" w:rsidRDefault="006A7D6A" w:rsidP="00F14022">
      <w:pPr>
        <w:jc w:val="center"/>
        <w:rPr>
          <w:b/>
          <w:bCs/>
          <w:sz w:val="20"/>
          <w:szCs w:val="22"/>
        </w:rPr>
      </w:pPr>
    </w:p>
    <w:p w14:paraId="66AE72D1" w14:textId="77777777" w:rsidR="00F14022" w:rsidRDefault="00F14022" w:rsidP="00F14022">
      <w:pPr>
        <w:pStyle w:val="Prrafodelista"/>
        <w:ind w:left="1440"/>
        <w:jc w:val="center"/>
        <w:rPr>
          <w:b/>
          <w:sz w:val="16"/>
        </w:rPr>
      </w:pPr>
    </w:p>
    <w:p w14:paraId="013D606C" w14:textId="77777777" w:rsidR="00F14022" w:rsidRDefault="00F14022" w:rsidP="00F14022">
      <w:pPr>
        <w:pStyle w:val="Prrafodelista"/>
        <w:ind w:left="1440"/>
        <w:jc w:val="center"/>
        <w:rPr>
          <w:b/>
          <w:sz w:val="16"/>
        </w:rPr>
      </w:pPr>
    </w:p>
    <w:p w14:paraId="244E93CE" w14:textId="77777777" w:rsidR="00F14022" w:rsidRDefault="00F14022" w:rsidP="00F14022">
      <w:pPr>
        <w:pStyle w:val="Prrafodelista"/>
        <w:ind w:left="1440"/>
        <w:jc w:val="center"/>
        <w:rPr>
          <w:b/>
          <w:sz w:val="16"/>
        </w:rPr>
      </w:pPr>
    </w:p>
    <w:p w14:paraId="25EC0FFA" w14:textId="77777777" w:rsidR="00F14022" w:rsidRDefault="00F14022" w:rsidP="00F14022">
      <w:pPr>
        <w:pStyle w:val="Prrafodelista"/>
        <w:ind w:left="1440"/>
        <w:jc w:val="center"/>
        <w:rPr>
          <w:b/>
          <w:sz w:val="16"/>
        </w:rPr>
      </w:pPr>
    </w:p>
    <w:p w14:paraId="31818A09" w14:textId="77777777" w:rsidR="00F14022" w:rsidRDefault="00F14022" w:rsidP="00F14022">
      <w:pPr>
        <w:pStyle w:val="Prrafodelista"/>
        <w:ind w:left="1440"/>
        <w:jc w:val="center"/>
        <w:rPr>
          <w:b/>
          <w:sz w:val="16"/>
        </w:rPr>
      </w:pPr>
    </w:p>
    <w:p w14:paraId="000CFFBF" w14:textId="0DBC029B" w:rsidR="00F14022" w:rsidRDefault="00F14022" w:rsidP="00F14022">
      <w:pPr>
        <w:pStyle w:val="Prrafodelista"/>
        <w:ind w:left="1440"/>
        <w:jc w:val="center"/>
        <w:rPr>
          <w:b/>
          <w:sz w:val="16"/>
        </w:rPr>
      </w:pPr>
    </w:p>
    <w:p w14:paraId="00BC9AFA" w14:textId="5E921F76" w:rsidR="00F14022" w:rsidRDefault="00F14022" w:rsidP="00F14022">
      <w:pPr>
        <w:pStyle w:val="Lista"/>
      </w:pPr>
    </w:p>
    <w:p w14:paraId="26CDD3D2" w14:textId="4143E5F2" w:rsidR="00F14022" w:rsidRDefault="00F14022" w:rsidP="00F14022">
      <w:pPr>
        <w:pStyle w:val="Lista"/>
      </w:pPr>
    </w:p>
    <w:p w14:paraId="64D959C4" w14:textId="0155A0C7" w:rsidR="00F14022" w:rsidRDefault="00F14022" w:rsidP="00F14022">
      <w:pPr>
        <w:pStyle w:val="Lista"/>
      </w:pPr>
    </w:p>
    <w:p w14:paraId="4D05AD56" w14:textId="6DD79B2D" w:rsidR="00F14022" w:rsidRDefault="00F14022" w:rsidP="00F14022">
      <w:pPr>
        <w:pStyle w:val="Lista"/>
      </w:pPr>
    </w:p>
    <w:p w14:paraId="0368F7FA" w14:textId="6CFDD136" w:rsidR="00F14022" w:rsidRDefault="00F14022" w:rsidP="00F14022">
      <w:pPr>
        <w:pStyle w:val="Lista"/>
      </w:pPr>
    </w:p>
    <w:p w14:paraId="605008F0" w14:textId="7973D6FF" w:rsidR="00F14022" w:rsidRDefault="00F14022" w:rsidP="00F14022">
      <w:pPr>
        <w:pStyle w:val="Lista"/>
      </w:pPr>
    </w:p>
    <w:p w14:paraId="6C0BDF7B" w14:textId="1E8972CA" w:rsidR="00F14022" w:rsidRDefault="00F14022" w:rsidP="00F14022">
      <w:pPr>
        <w:pStyle w:val="Lista"/>
      </w:pPr>
    </w:p>
    <w:p w14:paraId="1A0561AA" w14:textId="5B8065A9" w:rsidR="00F14022" w:rsidRDefault="00F14022" w:rsidP="00F14022">
      <w:pPr>
        <w:pStyle w:val="Lista"/>
      </w:pPr>
    </w:p>
    <w:p w14:paraId="67C8F95B" w14:textId="241306A8" w:rsidR="00F14022" w:rsidRDefault="00F14022" w:rsidP="00F14022">
      <w:pPr>
        <w:pStyle w:val="Lista"/>
      </w:pPr>
    </w:p>
    <w:p w14:paraId="08F31268" w14:textId="7015DC2C" w:rsidR="00F14022" w:rsidRDefault="00F14022" w:rsidP="00F14022">
      <w:pPr>
        <w:pStyle w:val="Lista"/>
      </w:pPr>
    </w:p>
    <w:p w14:paraId="11AC6D43" w14:textId="1EE85EC3" w:rsidR="00F14022" w:rsidRDefault="00F14022" w:rsidP="00F14022">
      <w:pPr>
        <w:pStyle w:val="Lista"/>
      </w:pPr>
    </w:p>
    <w:p w14:paraId="538813E3" w14:textId="266FDC62" w:rsidR="00F14022" w:rsidRDefault="00F14022" w:rsidP="00F14022">
      <w:pPr>
        <w:pStyle w:val="Lista"/>
      </w:pPr>
    </w:p>
    <w:p w14:paraId="2C666B2D" w14:textId="702A7370" w:rsidR="00F14022" w:rsidRDefault="00F14022" w:rsidP="00F14022">
      <w:pPr>
        <w:pStyle w:val="Lista"/>
      </w:pPr>
    </w:p>
    <w:p w14:paraId="279B8494" w14:textId="1439E308" w:rsidR="00F14022" w:rsidRDefault="00F14022" w:rsidP="00F14022">
      <w:pPr>
        <w:pStyle w:val="Lista"/>
      </w:pPr>
    </w:p>
    <w:p w14:paraId="0BC76567" w14:textId="7B89DC6F" w:rsidR="00F14022" w:rsidRDefault="00F14022" w:rsidP="00F14022">
      <w:pPr>
        <w:pStyle w:val="Lista"/>
      </w:pPr>
    </w:p>
    <w:p w14:paraId="72DA7B1E" w14:textId="42B22436" w:rsidR="00F14022" w:rsidRDefault="00F14022" w:rsidP="00F14022">
      <w:pPr>
        <w:pStyle w:val="Lista"/>
      </w:pPr>
    </w:p>
    <w:p w14:paraId="4723FE43" w14:textId="4ADE3797" w:rsidR="00F14022" w:rsidRDefault="00F14022" w:rsidP="00F14022">
      <w:pPr>
        <w:pStyle w:val="Lista"/>
      </w:pPr>
    </w:p>
    <w:p w14:paraId="4A07813C" w14:textId="1CF5AB6C" w:rsidR="00F14022" w:rsidRDefault="00F14022" w:rsidP="00F14022">
      <w:pPr>
        <w:pStyle w:val="Lista"/>
      </w:pPr>
    </w:p>
    <w:p w14:paraId="17BE12CC" w14:textId="71E3D74D" w:rsidR="00F14022" w:rsidRDefault="00F14022" w:rsidP="00F14022">
      <w:pPr>
        <w:pStyle w:val="Lista"/>
      </w:pPr>
    </w:p>
    <w:p w14:paraId="4CC791D8" w14:textId="1F32E276" w:rsidR="00F14022" w:rsidRDefault="00F14022" w:rsidP="00F14022">
      <w:pPr>
        <w:pStyle w:val="Lista"/>
      </w:pPr>
    </w:p>
    <w:p w14:paraId="7E269E48" w14:textId="2A93330F" w:rsidR="00F14022" w:rsidRDefault="00F14022" w:rsidP="00F14022">
      <w:pPr>
        <w:pStyle w:val="Lista"/>
      </w:pPr>
    </w:p>
    <w:p w14:paraId="6C1A8683" w14:textId="50A7350B" w:rsidR="00F14022" w:rsidRDefault="00F14022" w:rsidP="00F14022">
      <w:pPr>
        <w:pStyle w:val="Lista"/>
      </w:pPr>
    </w:p>
    <w:p w14:paraId="39AABEBD" w14:textId="66642708" w:rsidR="00F14022" w:rsidRDefault="00F14022" w:rsidP="00F14022">
      <w:pPr>
        <w:pStyle w:val="Lista"/>
      </w:pPr>
    </w:p>
    <w:p w14:paraId="2B3A5DF6" w14:textId="79336A19" w:rsidR="00F14022" w:rsidRDefault="00F14022" w:rsidP="00F14022">
      <w:pPr>
        <w:pStyle w:val="Lista"/>
      </w:pPr>
    </w:p>
    <w:p w14:paraId="447A4914" w14:textId="225251D2" w:rsidR="00F14022" w:rsidRDefault="00F14022" w:rsidP="00F14022">
      <w:pPr>
        <w:pStyle w:val="Lista"/>
      </w:pPr>
    </w:p>
    <w:p w14:paraId="57534E47" w14:textId="30038901" w:rsidR="00F14022" w:rsidRPr="00F14022" w:rsidRDefault="00F14022" w:rsidP="00F14022">
      <w:pPr>
        <w:pStyle w:val="Prrafodelista"/>
        <w:ind w:left="1440"/>
        <w:jc w:val="center"/>
        <w:rPr>
          <w:b/>
          <w:sz w:val="18"/>
        </w:rPr>
      </w:pPr>
      <w:r w:rsidRPr="00F14022">
        <w:rPr>
          <w:b/>
          <w:sz w:val="16"/>
        </w:rPr>
        <w:t>Fuente: Dirección de Regulación y Habilitación</w:t>
      </w:r>
    </w:p>
    <w:p w14:paraId="047A2685" w14:textId="77777777" w:rsidR="00F14022" w:rsidRPr="00F14022" w:rsidRDefault="00F14022" w:rsidP="00F14022">
      <w:pPr>
        <w:pStyle w:val="Lista"/>
      </w:pPr>
    </w:p>
    <w:p w14:paraId="1874D168" w14:textId="67A8F1DB" w:rsidR="006A7D6A" w:rsidRPr="00F14022" w:rsidRDefault="00F76E97" w:rsidP="000A20EE">
      <w:pPr>
        <w:pStyle w:val="Prrafodelista"/>
        <w:numPr>
          <w:ilvl w:val="4"/>
          <w:numId w:val="22"/>
        </w:numPr>
        <w:rPr>
          <w:b/>
          <w:bCs/>
          <w:sz w:val="22"/>
          <w:szCs w:val="22"/>
        </w:rPr>
      </w:pPr>
      <w:r w:rsidRPr="00F14022">
        <w:rPr>
          <w:b/>
          <w:bCs/>
          <w:sz w:val="22"/>
          <w:szCs w:val="22"/>
        </w:rPr>
        <w:t>EQUIPO Y ROLES</w:t>
      </w:r>
    </w:p>
    <w:p w14:paraId="51762A39" w14:textId="63460739" w:rsidR="31FF9146" w:rsidRPr="00F14022" w:rsidRDefault="31FF9146" w:rsidP="00F14022">
      <w:pPr>
        <w:pStyle w:val="Prrafodelista"/>
        <w:ind w:left="1440"/>
        <w:rPr>
          <w:b/>
          <w:bCs/>
          <w:sz w:val="22"/>
          <w:szCs w:val="22"/>
        </w:rPr>
      </w:pPr>
    </w:p>
    <w:p w14:paraId="5FD8DA62" w14:textId="115B3F98" w:rsidR="00F76E97" w:rsidRDefault="53D6EAE7" w:rsidP="00E54695">
      <w:pPr>
        <w:jc w:val="both"/>
        <w:rPr>
          <w:rFonts w:eastAsia="Arial" w:cs="Arial"/>
          <w:color w:val="000000" w:themeColor="text1"/>
          <w:sz w:val="22"/>
          <w:szCs w:val="22"/>
        </w:rPr>
      </w:pPr>
      <w:r w:rsidRPr="31FF9146">
        <w:rPr>
          <w:rFonts w:eastAsia="Arial" w:cs="Arial"/>
          <w:color w:val="000000" w:themeColor="text1"/>
          <w:sz w:val="22"/>
          <w:szCs w:val="22"/>
        </w:rPr>
        <w:t>A continuación, se indican los funcionarios y contratistas asignados a la Dirección de Regulación y Habilitación y una síntesis de los compromisos u obligaciones que desempeñan en el marco de los subprocesos de Habilitación y Regulación.</w:t>
      </w:r>
    </w:p>
    <w:p w14:paraId="74A36F86" w14:textId="77777777" w:rsidR="00E54695" w:rsidRPr="00E54695" w:rsidRDefault="00E54695" w:rsidP="00E54695">
      <w:pPr>
        <w:jc w:val="both"/>
        <w:rPr>
          <w:rFonts w:eastAsia="Arial" w:cs="Arial"/>
          <w:color w:val="000000" w:themeColor="text1"/>
          <w:sz w:val="22"/>
          <w:szCs w:val="22"/>
        </w:rPr>
      </w:pPr>
    </w:p>
    <w:tbl>
      <w:tblPr>
        <w:tblStyle w:val="Tabladecuadrcula4-nfasis1"/>
        <w:tblW w:w="0" w:type="auto"/>
        <w:tblLayout w:type="fixed"/>
        <w:tblLook w:val="06A0" w:firstRow="1" w:lastRow="0" w:firstColumn="1" w:lastColumn="0" w:noHBand="1" w:noVBand="1"/>
      </w:tblPr>
      <w:tblGrid>
        <w:gridCol w:w="712"/>
        <w:gridCol w:w="3056"/>
        <w:gridCol w:w="3634"/>
        <w:gridCol w:w="1958"/>
      </w:tblGrid>
      <w:tr w:rsidR="31FF9146" w14:paraId="3FB92B32" w14:textId="77777777" w:rsidTr="00F14022">
        <w:trPr>
          <w:cnfStyle w:val="100000000000" w:firstRow="1" w:lastRow="0" w:firstColumn="0" w:lastColumn="0" w:oddVBand="0" w:evenVBand="0" w:oddHBand="0" w:evenHBand="0" w:firstRowFirstColumn="0" w:firstRowLastColumn="0" w:lastRowFirstColumn="0" w:lastRowLastColumn="0"/>
          <w:trHeight w:val="360"/>
          <w:tblHeader/>
        </w:trPr>
        <w:tc>
          <w:tcPr>
            <w:cnfStyle w:val="001000000000" w:firstRow="0" w:lastRow="0" w:firstColumn="1" w:lastColumn="0" w:oddVBand="0" w:evenVBand="0" w:oddHBand="0" w:evenHBand="0" w:firstRowFirstColumn="0" w:firstRowLastColumn="0" w:lastRowFirstColumn="0" w:lastRowLastColumn="0"/>
            <w:tcW w:w="712" w:type="dxa"/>
            <w:vAlign w:val="center"/>
          </w:tcPr>
          <w:p w14:paraId="290B5179" w14:textId="34C0E1C8" w:rsidR="31FF9146" w:rsidRPr="00F76E97" w:rsidRDefault="31FF9146" w:rsidP="00F14022">
            <w:pPr>
              <w:jc w:val="center"/>
              <w:rPr>
                <w:rFonts w:eastAsia="Arial" w:cs="Arial"/>
                <w:sz w:val="18"/>
                <w:szCs w:val="18"/>
              </w:rPr>
            </w:pPr>
            <w:r w:rsidRPr="00F76E97">
              <w:rPr>
                <w:rFonts w:eastAsia="Arial" w:cs="Arial"/>
                <w:sz w:val="18"/>
                <w:szCs w:val="18"/>
              </w:rPr>
              <w:t>Cant.</w:t>
            </w:r>
          </w:p>
        </w:tc>
        <w:tc>
          <w:tcPr>
            <w:tcW w:w="3056" w:type="dxa"/>
            <w:vAlign w:val="center"/>
          </w:tcPr>
          <w:p w14:paraId="65073A5A" w14:textId="33FA23E3" w:rsidR="31FF9146" w:rsidRPr="00F76E97"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76E97">
              <w:rPr>
                <w:rFonts w:eastAsia="Arial" w:cs="Arial"/>
                <w:sz w:val="18"/>
                <w:szCs w:val="18"/>
              </w:rPr>
              <w:t>Funcionario o Contratista</w:t>
            </w:r>
          </w:p>
        </w:tc>
        <w:tc>
          <w:tcPr>
            <w:tcW w:w="3634" w:type="dxa"/>
            <w:vAlign w:val="center"/>
          </w:tcPr>
          <w:p w14:paraId="1F6827A3" w14:textId="29FFBB4B" w:rsidR="31FF9146" w:rsidRPr="00F76E97"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76E97">
              <w:rPr>
                <w:rFonts w:eastAsia="Arial" w:cs="Arial"/>
                <w:sz w:val="18"/>
                <w:szCs w:val="18"/>
              </w:rPr>
              <w:t>Rol</w:t>
            </w:r>
          </w:p>
        </w:tc>
        <w:tc>
          <w:tcPr>
            <w:tcW w:w="1958" w:type="dxa"/>
            <w:vAlign w:val="center"/>
          </w:tcPr>
          <w:p w14:paraId="667C0AAB" w14:textId="1CD1CF4D" w:rsidR="31FF9146" w:rsidRPr="00F76E97"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76E97">
              <w:rPr>
                <w:rFonts w:eastAsia="Arial" w:cs="Arial"/>
                <w:sz w:val="18"/>
                <w:szCs w:val="18"/>
              </w:rPr>
              <w:t>Subproceso</w:t>
            </w:r>
          </w:p>
        </w:tc>
      </w:tr>
      <w:tr w:rsidR="31FF9146" w14:paraId="5223E94B" w14:textId="77777777" w:rsidTr="00F14022">
        <w:trPr>
          <w:trHeight w:val="72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5AE7B088" w14:textId="7E2FE8E1"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056" w:type="dxa"/>
            <w:vAlign w:val="center"/>
          </w:tcPr>
          <w:p w14:paraId="486F3956" w14:textId="5E1E4CBB"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Profesional Especializado Código 2028 grado 14</w:t>
            </w:r>
          </w:p>
        </w:tc>
        <w:tc>
          <w:tcPr>
            <w:tcW w:w="3634" w:type="dxa"/>
            <w:vAlign w:val="center"/>
          </w:tcPr>
          <w:p w14:paraId="3E5CE3A5" w14:textId="49C5682E"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Asesoría y acompañamiento del proceso de habilitación catastral, de acuerdo con los lineamientos normativos vigentes.</w:t>
            </w:r>
          </w:p>
        </w:tc>
        <w:tc>
          <w:tcPr>
            <w:tcW w:w="1958" w:type="dxa"/>
            <w:vAlign w:val="center"/>
          </w:tcPr>
          <w:p w14:paraId="0CEF4DE7" w14:textId="1833CF7E"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52A17C7E" w14:textId="77777777" w:rsidTr="00F14022">
        <w:trPr>
          <w:trHeight w:val="72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7D828ADC" w14:textId="41CC6809"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056" w:type="dxa"/>
            <w:vAlign w:val="center"/>
          </w:tcPr>
          <w:p w14:paraId="72BDA580" w14:textId="4B728523"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Profesional Universitario Código 2044 grado 5</w:t>
            </w:r>
          </w:p>
        </w:tc>
        <w:tc>
          <w:tcPr>
            <w:tcW w:w="3634" w:type="dxa"/>
            <w:vAlign w:val="center"/>
          </w:tcPr>
          <w:p w14:paraId="6EA7699C" w14:textId="07BCF64A"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Actividades requeridas para la habilitación de gestores catastrales, de acuerdo con los lineamientos normativos vigentes</w:t>
            </w:r>
          </w:p>
        </w:tc>
        <w:tc>
          <w:tcPr>
            <w:tcW w:w="1958" w:type="dxa"/>
            <w:vAlign w:val="center"/>
          </w:tcPr>
          <w:p w14:paraId="3A0698B9" w14:textId="731BD99D"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620C0DC5" w14:textId="77777777" w:rsidTr="00F14022">
        <w:trPr>
          <w:trHeight w:val="72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792142C3" w14:textId="7DA8AA40"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lastRenderedPageBreak/>
              <w:t>1</w:t>
            </w:r>
          </w:p>
        </w:tc>
        <w:tc>
          <w:tcPr>
            <w:tcW w:w="3056" w:type="dxa"/>
            <w:vAlign w:val="center"/>
          </w:tcPr>
          <w:p w14:paraId="05115EA9" w14:textId="2982CB31"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Auxiliar administrativo 4044 grado 8</w:t>
            </w:r>
          </w:p>
        </w:tc>
        <w:tc>
          <w:tcPr>
            <w:tcW w:w="3634" w:type="dxa"/>
            <w:vAlign w:val="center"/>
          </w:tcPr>
          <w:p w14:paraId="3C571615" w14:textId="501CC6FF"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Actividades de soporte en proceso de apoyo y misionales de acuerdo con procedimientos establecidos.</w:t>
            </w:r>
          </w:p>
        </w:tc>
        <w:tc>
          <w:tcPr>
            <w:tcW w:w="1958" w:type="dxa"/>
            <w:vAlign w:val="center"/>
          </w:tcPr>
          <w:p w14:paraId="1DA591BB" w14:textId="4A945E22"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005E4562" w14:textId="77777777" w:rsidTr="00F14022">
        <w:trPr>
          <w:trHeight w:val="945"/>
        </w:trPr>
        <w:tc>
          <w:tcPr>
            <w:cnfStyle w:val="001000000000" w:firstRow="0" w:lastRow="0" w:firstColumn="1" w:lastColumn="0" w:oddVBand="0" w:evenVBand="0" w:oddHBand="0" w:evenHBand="0" w:firstRowFirstColumn="0" w:firstRowLastColumn="0" w:lastRowFirstColumn="0" w:lastRowLastColumn="0"/>
            <w:tcW w:w="712" w:type="dxa"/>
            <w:vAlign w:val="center"/>
          </w:tcPr>
          <w:p w14:paraId="1B01D1A7" w14:textId="0FE89D96"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056" w:type="dxa"/>
            <w:vAlign w:val="center"/>
          </w:tcPr>
          <w:p w14:paraId="48645EAF" w14:textId="036A7C71"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Secretaria Ejecutiva 4210 grado 19</w:t>
            </w:r>
          </w:p>
        </w:tc>
        <w:tc>
          <w:tcPr>
            <w:tcW w:w="3634" w:type="dxa"/>
            <w:vAlign w:val="center"/>
          </w:tcPr>
          <w:p w14:paraId="079B5BD0" w14:textId="7E4B74F1"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Asistencia administrativa y logística conforme a las necesidades y prioridades de la dependencia, de acuerdo con procedimientos establecidos.</w:t>
            </w:r>
          </w:p>
        </w:tc>
        <w:tc>
          <w:tcPr>
            <w:tcW w:w="1958" w:type="dxa"/>
            <w:vAlign w:val="center"/>
          </w:tcPr>
          <w:p w14:paraId="2DCF45EA" w14:textId="2D640B00"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50238665" w14:textId="77777777" w:rsidTr="00F14022">
        <w:trPr>
          <w:trHeight w:val="120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66BFAB3A" w14:textId="16950870"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3</w:t>
            </w:r>
          </w:p>
        </w:tc>
        <w:tc>
          <w:tcPr>
            <w:tcW w:w="3056" w:type="dxa"/>
            <w:vAlign w:val="center"/>
          </w:tcPr>
          <w:p w14:paraId="0B03D220" w14:textId="6E88CEF2"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Contratista- Profesional Especializado</w:t>
            </w:r>
          </w:p>
        </w:tc>
        <w:tc>
          <w:tcPr>
            <w:tcW w:w="3634" w:type="dxa"/>
            <w:vAlign w:val="center"/>
          </w:tcPr>
          <w:p w14:paraId="22174FF2" w14:textId="08DE9249"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Profesionales expertos en Gestión Catastral. Asesoría, acompañamiento y desarrollo de actividades requeridas en el proceso de Habilitación y Empalme con Gestores Catastrales.</w:t>
            </w:r>
          </w:p>
        </w:tc>
        <w:tc>
          <w:tcPr>
            <w:tcW w:w="1958" w:type="dxa"/>
            <w:vAlign w:val="center"/>
          </w:tcPr>
          <w:p w14:paraId="5035244E" w14:textId="67A00EA6"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60118361" w14:textId="77777777" w:rsidTr="00F14022">
        <w:trPr>
          <w:trHeight w:val="120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4B3E3F1D" w14:textId="2DB7A55E"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056" w:type="dxa"/>
            <w:vAlign w:val="center"/>
          </w:tcPr>
          <w:p w14:paraId="6E73EDEB" w14:textId="7057A110"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Contratista- Profesional Especializado</w:t>
            </w:r>
          </w:p>
        </w:tc>
        <w:tc>
          <w:tcPr>
            <w:tcW w:w="3634" w:type="dxa"/>
            <w:vAlign w:val="center"/>
          </w:tcPr>
          <w:p w14:paraId="6019A9DF" w14:textId="5D9EBE2E"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Profesional Experto Jurídico. Asesoría, acompañamiento desde el punto de vista jurídico en el desarrollo del proceso de Habilitación y Empalme con Gestores Catastrales.</w:t>
            </w:r>
          </w:p>
        </w:tc>
        <w:tc>
          <w:tcPr>
            <w:tcW w:w="1958" w:type="dxa"/>
            <w:vAlign w:val="center"/>
          </w:tcPr>
          <w:p w14:paraId="14FD269B" w14:textId="3D32FC3A"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71973B83" w14:textId="77777777" w:rsidTr="00F14022">
        <w:trPr>
          <w:trHeight w:val="120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65FAA73A" w14:textId="28949284"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056" w:type="dxa"/>
            <w:vAlign w:val="center"/>
          </w:tcPr>
          <w:p w14:paraId="7D8DBD5F" w14:textId="0AFE45AC"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Contratista- Profesional Especializado</w:t>
            </w:r>
          </w:p>
        </w:tc>
        <w:tc>
          <w:tcPr>
            <w:tcW w:w="3634" w:type="dxa"/>
            <w:vAlign w:val="center"/>
          </w:tcPr>
          <w:p w14:paraId="433CF732" w14:textId="5728BDE8"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Profesional Experto Financiero. Asesoría, acompañamiento desde el punto de vista económico y financiero en el desarrollo del proceso de Habilitación y Empalme con Gestores Catastrales.</w:t>
            </w:r>
          </w:p>
        </w:tc>
        <w:tc>
          <w:tcPr>
            <w:tcW w:w="1958" w:type="dxa"/>
            <w:vAlign w:val="center"/>
          </w:tcPr>
          <w:p w14:paraId="540CB913" w14:textId="1F8050CC"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r w:rsidR="31FF9146" w14:paraId="46A1D6AE" w14:textId="77777777" w:rsidTr="00F14022">
        <w:trPr>
          <w:trHeight w:val="1200"/>
        </w:trPr>
        <w:tc>
          <w:tcPr>
            <w:cnfStyle w:val="001000000000" w:firstRow="0" w:lastRow="0" w:firstColumn="1" w:lastColumn="0" w:oddVBand="0" w:evenVBand="0" w:oddHBand="0" w:evenHBand="0" w:firstRowFirstColumn="0" w:firstRowLastColumn="0" w:lastRowFirstColumn="0" w:lastRowLastColumn="0"/>
            <w:tcW w:w="712" w:type="dxa"/>
            <w:vAlign w:val="center"/>
          </w:tcPr>
          <w:p w14:paraId="2F98373A" w14:textId="7CA0F5FA" w:rsidR="31FF9146" w:rsidRDefault="31FF9146" w:rsidP="00F14022">
            <w:pPr>
              <w:jc w:val="center"/>
              <w:rPr>
                <w:rFonts w:eastAsia="Arial" w:cs="Arial"/>
                <w:color w:val="000000" w:themeColor="text1"/>
                <w:sz w:val="18"/>
                <w:szCs w:val="18"/>
              </w:rPr>
            </w:pPr>
            <w:r w:rsidRPr="31FF9146">
              <w:rPr>
                <w:rFonts w:eastAsia="Arial" w:cs="Arial"/>
                <w:b w:val="0"/>
                <w:bCs w:val="0"/>
                <w:color w:val="000000" w:themeColor="text1"/>
                <w:sz w:val="18"/>
                <w:szCs w:val="18"/>
              </w:rPr>
              <w:t>2</w:t>
            </w:r>
          </w:p>
        </w:tc>
        <w:tc>
          <w:tcPr>
            <w:tcW w:w="3056" w:type="dxa"/>
            <w:vAlign w:val="center"/>
          </w:tcPr>
          <w:p w14:paraId="2A2A8DEA" w14:textId="6BDCBDFA"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Contratista-Técnico</w:t>
            </w:r>
          </w:p>
        </w:tc>
        <w:tc>
          <w:tcPr>
            <w:tcW w:w="3634" w:type="dxa"/>
            <w:vAlign w:val="center"/>
          </w:tcPr>
          <w:p w14:paraId="05276094" w14:textId="2DF2C560" w:rsidR="31FF9146" w:rsidRDefault="31FF9146" w:rsidP="00F14022">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Técnicos expertos en Catastro. Asesoría, acompañamiento y desarrollo de actividades técnicas requeridas en el proceso de Habilitación y Empalme con Gestores Catastrales.</w:t>
            </w:r>
          </w:p>
        </w:tc>
        <w:tc>
          <w:tcPr>
            <w:tcW w:w="1958" w:type="dxa"/>
            <w:vAlign w:val="center"/>
          </w:tcPr>
          <w:p w14:paraId="2637B677" w14:textId="3F0B08C9" w:rsidR="31FF9146" w:rsidRPr="00F76E97"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76E97">
              <w:rPr>
                <w:rFonts w:eastAsia="Arial" w:cs="Arial"/>
                <w:b/>
                <w:color w:val="000000" w:themeColor="text1"/>
                <w:sz w:val="18"/>
                <w:szCs w:val="18"/>
              </w:rPr>
              <w:t>Habilitación</w:t>
            </w:r>
          </w:p>
        </w:tc>
      </w:tr>
    </w:tbl>
    <w:p w14:paraId="3B36C324" w14:textId="6D89F99B" w:rsidR="24A72F01" w:rsidRPr="00F14022" w:rsidRDefault="24A72F01" w:rsidP="00E54695">
      <w:pPr>
        <w:pStyle w:val="Descripcin"/>
        <w:rPr>
          <w:rFonts w:ascii="Arial" w:eastAsia="Arial" w:hAnsi="Arial" w:cs="Arial"/>
          <w:b/>
          <w:i w:val="0"/>
          <w:color w:val="auto"/>
          <w:sz w:val="16"/>
        </w:rPr>
      </w:pPr>
    </w:p>
    <w:tbl>
      <w:tblPr>
        <w:tblStyle w:val="Tabladecuadrcula4-nfasis1"/>
        <w:tblW w:w="9360" w:type="dxa"/>
        <w:tblLayout w:type="fixed"/>
        <w:tblLook w:val="06A0" w:firstRow="1" w:lastRow="0" w:firstColumn="1" w:lastColumn="0" w:noHBand="1" w:noVBand="1"/>
      </w:tblPr>
      <w:tblGrid>
        <w:gridCol w:w="3768"/>
        <w:gridCol w:w="3634"/>
        <w:gridCol w:w="1958"/>
      </w:tblGrid>
      <w:tr w:rsidR="31FF9146" w14:paraId="4C453D69" w14:textId="77777777" w:rsidTr="00F140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68" w:type="dxa"/>
            <w:vAlign w:val="center"/>
          </w:tcPr>
          <w:p w14:paraId="4EBBDFF6" w14:textId="30817789" w:rsidR="31FF9146" w:rsidRPr="00F14022" w:rsidRDefault="31FF9146" w:rsidP="00F14022">
            <w:pPr>
              <w:jc w:val="center"/>
              <w:rPr>
                <w:rFonts w:eastAsia="Arial" w:cs="Arial"/>
                <w:sz w:val="18"/>
                <w:szCs w:val="18"/>
              </w:rPr>
            </w:pPr>
            <w:r w:rsidRPr="00F14022">
              <w:rPr>
                <w:rFonts w:eastAsia="Arial" w:cs="Arial"/>
                <w:sz w:val="18"/>
                <w:szCs w:val="18"/>
              </w:rPr>
              <w:t>Funcionario o contratista</w:t>
            </w:r>
          </w:p>
        </w:tc>
        <w:tc>
          <w:tcPr>
            <w:tcW w:w="3634" w:type="dxa"/>
            <w:vAlign w:val="center"/>
          </w:tcPr>
          <w:p w14:paraId="3ECD7606" w14:textId="1CE2CD4C" w:rsidR="31FF9146" w:rsidRPr="00F14022"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14022">
              <w:rPr>
                <w:rFonts w:eastAsia="Arial" w:cs="Arial"/>
                <w:sz w:val="18"/>
                <w:szCs w:val="18"/>
              </w:rPr>
              <w:t>Rol</w:t>
            </w:r>
          </w:p>
        </w:tc>
        <w:tc>
          <w:tcPr>
            <w:tcW w:w="1958" w:type="dxa"/>
            <w:vAlign w:val="center"/>
          </w:tcPr>
          <w:p w14:paraId="7593B8B6" w14:textId="5391E74F" w:rsidR="31FF9146" w:rsidRPr="00F14022"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14022">
              <w:rPr>
                <w:rFonts w:eastAsia="Arial" w:cs="Arial"/>
                <w:sz w:val="18"/>
                <w:szCs w:val="18"/>
              </w:rPr>
              <w:t>Subproceso</w:t>
            </w:r>
          </w:p>
        </w:tc>
      </w:tr>
      <w:tr w:rsidR="31FF9146" w14:paraId="3291AA42" w14:textId="77777777" w:rsidTr="00F14022">
        <w:tc>
          <w:tcPr>
            <w:cnfStyle w:val="001000000000" w:firstRow="0" w:lastRow="0" w:firstColumn="1" w:lastColumn="0" w:oddVBand="0" w:evenVBand="0" w:oddHBand="0" w:evenHBand="0" w:firstRowFirstColumn="0" w:firstRowLastColumn="0" w:lastRowFirstColumn="0" w:lastRowLastColumn="0"/>
            <w:tcW w:w="3768" w:type="dxa"/>
            <w:vAlign w:val="center"/>
          </w:tcPr>
          <w:p w14:paraId="025579FA" w14:textId="7B0CCA49" w:rsidR="31FF9146" w:rsidRPr="00F14022" w:rsidRDefault="31FF9146" w:rsidP="00F14022">
            <w:pPr>
              <w:jc w:val="center"/>
              <w:rPr>
                <w:rFonts w:eastAsia="Arial" w:cs="Arial"/>
                <w:color w:val="000000" w:themeColor="text1"/>
                <w:sz w:val="18"/>
                <w:szCs w:val="18"/>
              </w:rPr>
            </w:pPr>
            <w:r w:rsidRPr="00F14022">
              <w:rPr>
                <w:rFonts w:eastAsia="Arial" w:cs="Arial"/>
                <w:bCs w:val="0"/>
                <w:color w:val="000000" w:themeColor="text1"/>
                <w:sz w:val="18"/>
                <w:szCs w:val="18"/>
              </w:rPr>
              <w:t>Profesional Especializado Código 2028 grado 21</w:t>
            </w:r>
          </w:p>
        </w:tc>
        <w:tc>
          <w:tcPr>
            <w:tcW w:w="3634" w:type="dxa"/>
            <w:vMerge w:val="restart"/>
            <w:vAlign w:val="center"/>
          </w:tcPr>
          <w:p w14:paraId="5D63229B" w14:textId="3B786D6D"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Revisión de la regulación</w:t>
            </w:r>
          </w:p>
        </w:tc>
        <w:tc>
          <w:tcPr>
            <w:tcW w:w="1958" w:type="dxa"/>
            <w:vAlign w:val="center"/>
          </w:tcPr>
          <w:p w14:paraId="04F94D60" w14:textId="728540A1" w:rsidR="31FF9146" w:rsidRPr="00F14022"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14022">
              <w:rPr>
                <w:rFonts w:eastAsia="Arial" w:cs="Arial"/>
                <w:b/>
                <w:color w:val="000000" w:themeColor="text1"/>
                <w:sz w:val="18"/>
                <w:szCs w:val="18"/>
              </w:rPr>
              <w:t>Regulación</w:t>
            </w:r>
          </w:p>
        </w:tc>
      </w:tr>
      <w:tr w:rsidR="31FF9146" w14:paraId="4A05D26A" w14:textId="77777777" w:rsidTr="00F14022">
        <w:tc>
          <w:tcPr>
            <w:cnfStyle w:val="001000000000" w:firstRow="0" w:lastRow="0" w:firstColumn="1" w:lastColumn="0" w:oddVBand="0" w:evenVBand="0" w:oddHBand="0" w:evenHBand="0" w:firstRowFirstColumn="0" w:firstRowLastColumn="0" w:lastRowFirstColumn="0" w:lastRowLastColumn="0"/>
            <w:tcW w:w="3768" w:type="dxa"/>
            <w:vAlign w:val="center"/>
          </w:tcPr>
          <w:p w14:paraId="748C0020" w14:textId="17BEAC24" w:rsidR="31FF9146" w:rsidRPr="00F14022" w:rsidRDefault="31FF9146" w:rsidP="00F14022">
            <w:pPr>
              <w:jc w:val="center"/>
              <w:rPr>
                <w:rFonts w:eastAsia="Arial" w:cs="Arial"/>
                <w:color w:val="000000" w:themeColor="text1"/>
                <w:sz w:val="18"/>
                <w:szCs w:val="18"/>
              </w:rPr>
            </w:pPr>
            <w:r w:rsidRPr="00F14022">
              <w:rPr>
                <w:rFonts w:eastAsia="Arial" w:cs="Arial"/>
                <w:bCs w:val="0"/>
                <w:color w:val="000000" w:themeColor="text1"/>
                <w:sz w:val="18"/>
                <w:szCs w:val="18"/>
              </w:rPr>
              <w:t>Profesional Especializado Código 2028 grado 18</w:t>
            </w:r>
          </w:p>
        </w:tc>
        <w:tc>
          <w:tcPr>
            <w:tcW w:w="3634" w:type="dxa"/>
            <w:vMerge/>
            <w:vAlign w:val="center"/>
          </w:tcPr>
          <w:p w14:paraId="4839D07E" w14:textId="77777777" w:rsidR="0071119F" w:rsidRDefault="0071119F" w:rsidP="00F14022">
            <w:pPr>
              <w:jc w:val="center"/>
              <w:cnfStyle w:val="000000000000" w:firstRow="0" w:lastRow="0" w:firstColumn="0" w:lastColumn="0" w:oddVBand="0" w:evenVBand="0" w:oddHBand="0" w:evenHBand="0" w:firstRowFirstColumn="0" w:firstRowLastColumn="0" w:lastRowFirstColumn="0" w:lastRowLastColumn="0"/>
            </w:pPr>
          </w:p>
        </w:tc>
        <w:tc>
          <w:tcPr>
            <w:tcW w:w="1958" w:type="dxa"/>
            <w:vAlign w:val="center"/>
          </w:tcPr>
          <w:p w14:paraId="6CEA1D4A" w14:textId="4EF7F9DA" w:rsidR="31FF9146" w:rsidRPr="00F14022"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14022">
              <w:rPr>
                <w:rFonts w:eastAsia="Arial" w:cs="Arial"/>
                <w:b/>
                <w:color w:val="000000" w:themeColor="text1"/>
                <w:sz w:val="18"/>
                <w:szCs w:val="18"/>
              </w:rPr>
              <w:t>Regulación</w:t>
            </w:r>
          </w:p>
        </w:tc>
      </w:tr>
      <w:tr w:rsidR="31FF9146" w14:paraId="3EEC098D" w14:textId="77777777" w:rsidTr="00F14022">
        <w:tc>
          <w:tcPr>
            <w:cnfStyle w:val="001000000000" w:firstRow="0" w:lastRow="0" w:firstColumn="1" w:lastColumn="0" w:oddVBand="0" w:evenVBand="0" w:oddHBand="0" w:evenHBand="0" w:firstRowFirstColumn="0" w:firstRowLastColumn="0" w:lastRowFirstColumn="0" w:lastRowLastColumn="0"/>
            <w:tcW w:w="3768" w:type="dxa"/>
            <w:vAlign w:val="center"/>
          </w:tcPr>
          <w:p w14:paraId="43D5E6A3" w14:textId="42AA1A53" w:rsidR="31FF9146" w:rsidRPr="00F14022" w:rsidRDefault="31FF9146" w:rsidP="00F14022">
            <w:pPr>
              <w:jc w:val="center"/>
              <w:rPr>
                <w:rFonts w:eastAsia="Arial" w:cs="Arial"/>
                <w:color w:val="000000" w:themeColor="text1"/>
                <w:sz w:val="18"/>
                <w:szCs w:val="18"/>
              </w:rPr>
            </w:pPr>
            <w:r w:rsidRPr="00F14022">
              <w:rPr>
                <w:rFonts w:eastAsia="Arial" w:cs="Arial"/>
                <w:bCs w:val="0"/>
                <w:color w:val="000000" w:themeColor="text1"/>
                <w:sz w:val="18"/>
                <w:szCs w:val="18"/>
              </w:rPr>
              <w:t>Profesional Especializado Código 2028 grado 17</w:t>
            </w:r>
          </w:p>
        </w:tc>
        <w:tc>
          <w:tcPr>
            <w:tcW w:w="3634" w:type="dxa"/>
            <w:vAlign w:val="center"/>
          </w:tcPr>
          <w:p w14:paraId="28D9377F" w14:textId="565AF48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Enlace con planeación</w:t>
            </w:r>
          </w:p>
        </w:tc>
        <w:tc>
          <w:tcPr>
            <w:tcW w:w="1958" w:type="dxa"/>
            <w:vAlign w:val="center"/>
          </w:tcPr>
          <w:p w14:paraId="463AA9EB" w14:textId="14B2AEEE" w:rsidR="31FF9146" w:rsidRPr="00F14022"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F14022">
              <w:rPr>
                <w:rFonts w:eastAsia="Arial" w:cs="Arial"/>
                <w:b/>
                <w:color w:val="000000" w:themeColor="text1"/>
                <w:sz w:val="18"/>
                <w:szCs w:val="18"/>
              </w:rPr>
              <w:t>Regulación</w:t>
            </w:r>
          </w:p>
        </w:tc>
      </w:tr>
    </w:tbl>
    <w:p w14:paraId="5E771069" w14:textId="77777777" w:rsidR="00F14022" w:rsidRPr="00F14022" w:rsidRDefault="00F14022" w:rsidP="00F14022">
      <w:pPr>
        <w:jc w:val="center"/>
        <w:rPr>
          <w:b/>
          <w:sz w:val="18"/>
        </w:rPr>
      </w:pPr>
      <w:r w:rsidRPr="00F14022">
        <w:rPr>
          <w:b/>
          <w:sz w:val="16"/>
        </w:rPr>
        <w:t>Fuente: Dirección de Regulación y Habilitación</w:t>
      </w:r>
    </w:p>
    <w:p w14:paraId="7DEF80E7" w14:textId="3E814D26" w:rsidR="31FF9146" w:rsidRDefault="31FF9146" w:rsidP="31FF9146">
      <w:pPr>
        <w:rPr>
          <w:rFonts w:ascii="Times New Roman" w:hAnsi="Times New Roman"/>
          <w:color w:val="000000" w:themeColor="text1"/>
        </w:rPr>
      </w:pPr>
    </w:p>
    <w:p w14:paraId="1104FFC9" w14:textId="64493B1B" w:rsidR="006A7D6A" w:rsidRPr="002D2F11" w:rsidRDefault="00F14022" w:rsidP="000A20EE">
      <w:pPr>
        <w:pStyle w:val="Prrafodelista"/>
        <w:numPr>
          <w:ilvl w:val="2"/>
          <w:numId w:val="22"/>
        </w:numPr>
        <w:rPr>
          <w:b/>
          <w:bCs/>
          <w:sz w:val="22"/>
          <w:szCs w:val="22"/>
        </w:rPr>
      </w:pPr>
      <w:r w:rsidRPr="31FF9146">
        <w:rPr>
          <w:b/>
          <w:bCs/>
          <w:sz w:val="22"/>
          <w:szCs w:val="22"/>
        </w:rPr>
        <w:t>PROCESOS A CARGO</w:t>
      </w:r>
    </w:p>
    <w:p w14:paraId="5999C6F9" w14:textId="41E02052" w:rsidR="006A7D6A" w:rsidRPr="002D2F11" w:rsidRDefault="2F802D17" w:rsidP="31FF9146">
      <w:pPr>
        <w:spacing w:before="240"/>
        <w:jc w:val="both"/>
        <w:rPr>
          <w:rFonts w:eastAsia="Arial" w:cs="Arial"/>
          <w:color w:val="000000" w:themeColor="text1"/>
          <w:sz w:val="22"/>
          <w:szCs w:val="22"/>
        </w:rPr>
      </w:pPr>
      <w:r w:rsidRPr="31FF9146">
        <w:rPr>
          <w:rFonts w:eastAsia="Arial" w:cs="Arial"/>
          <w:color w:val="000000" w:themeColor="text1"/>
          <w:sz w:val="22"/>
          <w:szCs w:val="22"/>
        </w:rPr>
        <w:t xml:space="preserve">La gestión de Regulación y Habilitación tiene el objetivo de “Expedir la regulación catastral, geográfica, cartográfica, geodésica y agrológica mediante normas técnicas, lineamientos y estándares nacionales a aplicar en el territorio colombiano, y habilitar los gestores catastrales para la prestación del servicio público catastral.” </w:t>
      </w:r>
    </w:p>
    <w:p w14:paraId="58948FA2" w14:textId="54D9A61B" w:rsidR="006A7D6A" w:rsidRPr="002D2F11" w:rsidRDefault="006A7D6A" w:rsidP="31FF9146">
      <w:pPr>
        <w:jc w:val="both"/>
        <w:rPr>
          <w:rFonts w:eastAsia="Arial" w:cs="Arial"/>
          <w:color w:val="000000" w:themeColor="text1"/>
          <w:sz w:val="22"/>
          <w:szCs w:val="22"/>
        </w:rPr>
      </w:pPr>
    </w:p>
    <w:p w14:paraId="06197645" w14:textId="5CE0BE43" w:rsidR="006A7D6A" w:rsidRPr="002D2F11" w:rsidRDefault="2F802D17" w:rsidP="31FF9146">
      <w:pPr>
        <w:jc w:val="both"/>
        <w:rPr>
          <w:rFonts w:eastAsia="Arial" w:cs="Arial"/>
          <w:color w:val="000000" w:themeColor="text1"/>
          <w:sz w:val="22"/>
          <w:szCs w:val="22"/>
        </w:rPr>
      </w:pPr>
      <w:r w:rsidRPr="31FF9146">
        <w:rPr>
          <w:rFonts w:eastAsia="Arial" w:cs="Arial"/>
          <w:color w:val="000000" w:themeColor="text1"/>
          <w:sz w:val="22"/>
          <w:szCs w:val="22"/>
        </w:rPr>
        <w:t xml:space="preserve">Particularmente, el subproceso de Habilitación, tiene como objetivo “Habilitar como gestores catastrales a las entidades públicas nacionales, territoriales y esquemas asociativos de entidades territoriales, para la prestación del servicio público catastral previo cumplimiento de las condiciones jurídicas, técnicas, económicas y financieras, definidas en el marco regulatorio”; el de Regulación “Expedir la regulación catastral, geográfica, cartográfica, geodésica y agrológica mediante normas, técnicas, lineamientos y estándares nacionales a aplicar en el territorio </w:t>
      </w:r>
      <w:r w:rsidRPr="31FF9146">
        <w:rPr>
          <w:rFonts w:eastAsia="Arial" w:cs="Arial"/>
          <w:color w:val="000000" w:themeColor="text1"/>
          <w:sz w:val="22"/>
          <w:szCs w:val="22"/>
        </w:rPr>
        <w:lastRenderedPageBreak/>
        <w:t>colombiano con el fin de responder a la función de autoridad que posee el IGAC en estas materias.”</w:t>
      </w:r>
    </w:p>
    <w:p w14:paraId="09FA87EC" w14:textId="5FA00A1F" w:rsidR="006A7D6A" w:rsidRPr="002D2F11" w:rsidRDefault="2F802D17" w:rsidP="31FF9146">
      <w:pPr>
        <w:spacing w:before="240"/>
        <w:jc w:val="both"/>
        <w:rPr>
          <w:rFonts w:eastAsia="Arial" w:cs="Arial"/>
          <w:color w:val="000000" w:themeColor="text1"/>
          <w:sz w:val="22"/>
          <w:szCs w:val="22"/>
        </w:rPr>
      </w:pPr>
      <w:r w:rsidRPr="31FF9146">
        <w:rPr>
          <w:rFonts w:eastAsia="Arial" w:cs="Arial"/>
          <w:color w:val="000000" w:themeColor="text1"/>
          <w:sz w:val="22"/>
          <w:szCs w:val="22"/>
        </w:rPr>
        <w:t>Su alcance se establece a partir de los subprocesos a su cargo:</w:t>
      </w:r>
    </w:p>
    <w:p w14:paraId="5033D3AF" w14:textId="225BA6D2" w:rsidR="006A7D6A" w:rsidRPr="002D2F11" w:rsidRDefault="2F802D17" w:rsidP="31FF9146">
      <w:pPr>
        <w:spacing w:before="240"/>
        <w:jc w:val="both"/>
        <w:rPr>
          <w:rFonts w:eastAsia="Arial" w:cs="Arial"/>
          <w:color w:val="000000" w:themeColor="text1"/>
          <w:sz w:val="22"/>
          <w:szCs w:val="22"/>
        </w:rPr>
      </w:pPr>
      <w:r w:rsidRPr="00F14022">
        <w:rPr>
          <w:rFonts w:eastAsia="Arial" w:cs="Arial"/>
          <w:b/>
          <w:color w:val="000000" w:themeColor="text1"/>
          <w:sz w:val="22"/>
          <w:szCs w:val="22"/>
        </w:rPr>
        <w:t>Regulación:</w:t>
      </w:r>
      <w:r w:rsidRPr="31FF9146">
        <w:rPr>
          <w:rFonts w:eastAsia="Arial" w:cs="Arial"/>
          <w:color w:val="000000" w:themeColor="text1"/>
          <w:sz w:val="22"/>
          <w:szCs w:val="22"/>
        </w:rPr>
        <w:t xml:space="preserve"> Inicia con la identificación y planeación de los temas a regular, continúa con la proyección, participación ciudadana y expedición de la regulación, y finaliza con la formulación de las medidas correctivas o de mejora de los actos o documentos administrativos emitidos. </w:t>
      </w:r>
    </w:p>
    <w:p w14:paraId="79E3A951" w14:textId="089576E2" w:rsidR="006A7D6A" w:rsidRPr="002D2F11" w:rsidRDefault="006A7D6A" w:rsidP="31FF9146">
      <w:pPr>
        <w:jc w:val="both"/>
        <w:rPr>
          <w:rFonts w:eastAsia="Arial" w:cs="Arial"/>
          <w:color w:val="000000" w:themeColor="text1"/>
          <w:sz w:val="22"/>
          <w:szCs w:val="22"/>
        </w:rPr>
      </w:pPr>
    </w:p>
    <w:p w14:paraId="4B11DFDA" w14:textId="1D1016DA" w:rsidR="006A7D6A" w:rsidRPr="002D2F11" w:rsidRDefault="2F802D17" w:rsidP="31FF9146">
      <w:pPr>
        <w:jc w:val="both"/>
        <w:rPr>
          <w:b/>
          <w:bCs/>
        </w:rPr>
      </w:pPr>
      <w:r w:rsidRPr="00F14022">
        <w:rPr>
          <w:rFonts w:eastAsia="Arial" w:cs="Arial"/>
          <w:b/>
          <w:color w:val="000000" w:themeColor="text1"/>
          <w:sz w:val="22"/>
          <w:szCs w:val="22"/>
        </w:rPr>
        <w:t>Habilitación:</w:t>
      </w:r>
      <w:r w:rsidRPr="31FF9146">
        <w:rPr>
          <w:rFonts w:eastAsia="Arial" w:cs="Arial"/>
          <w:color w:val="000000" w:themeColor="text1"/>
          <w:sz w:val="22"/>
          <w:szCs w:val="22"/>
        </w:rPr>
        <w:t xml:space="preserve"> Inicia con la recepción formal de la propuesta de habilitación como gestor catastral, presentada por las entidades públicas del orden nacional y territorial o esquemas asociativos de entidades territoriales, continúa con la verificación de requisitos por parte del IGAC, y finaliza con la expedición del acto administrativo que decide respecto de la solicitud, empalme y posterior entrega de la prestación del servicio.</w:t>
      </w:r>
    </w:p>
    <w:p w14:paraId="54924FCE" w14:textId="1D1016DA" w:rsidR="006A7D6A" w:rsidRPr="002D2F11" w:rsidRDefault="006A7D6A" w:rsidP="31FF9146">
      <w:pPr>
        <w:rPr>
          <w:b/>
          <w:bCs/>
        </w:rPr>
      </w:pPr>
      <w:r w:rsidRPr="31FF9146">
        <w:rPr>
          <w:b/>
          <w:bCs/>
          <w:sz w:val="22"/>
          <w:szCs w:val="22"/>
        </w:rPr>
        <w:t xml:space="preserve"> </w:t>
      </w:r>
    </w:p>
    <w:p w14:paraId="0CC56E0C" w14:textId="716A4B9F" w:rsidR="00F14022" w:rsidRDefault="00F14022" w:rsidP="000A20EE">
      <w:pPr>
        <w:pStyle w:val="Prrafodelista"/>
        <w:numPr>
          <w:ilvl w:val="2"/>
          <w:numId w:val="22"/>
        </w:numPr>
        <w:rPr>
          <w:b/>
          <w:bCs/>
          <w:sz w:val="22"/>
          <w:szCs w:val="22"/>
        </w:rPr>
      </w:pPr>
      <w:r w:rsidRPr="31FF9146">
        <w:rPr>
          <w:b/>
          <w:bCs/>
          <w:sz w:val="22"/>
          <w:szCs w:val="22"/>
        </w:rPr>
        <w:t>RESULTADOS Y LOGROS</w:t>
      </w:r>
    </w:p>
    <w:p w14:paraId="15E40F38" w14:textId="77777777" w:rsidR="00F14022" w:rsidRPr="00F14022" w:rsidRDefault="00F14022" w:rsidP="00F14022">
      <w:pPr>
        <w:pStyle w:val="Lista"/>
      </w:pPr>
    </w:p>
    <w:p w14:paraId="288E9E83" w14:textId="3C194E7F" w:rsidR="28578FC8" w:rsidRPr="00F14022" w:rsidRDefault="00F14022" w:rsidP="000A20EE">
      <w:pPr>
        <w:pStyle w:val="Prrafodelista"/>
        <w:numPr>
          <w:ilvl w:val="3"/>
          <w:numId w:val="22"/>
        </w:numPr>
        <w:rPr>
          <w:b/>
          <w:bCs/>
          <w:sz w:val="22"/>
          <w:szCs w:val="22"/>
        </w:rPr>
      </w:pPr>
      <w:r w:rsidRPr="00F14022">
        <w:rPr>
          <w:rFonts w:eastAsia="Arial" w:cs="Arial"/>
          <w:b/>
          <w:bCs/>
          <w:color w:val="000000" w:themeColor="text1"/>
          <w:sz w:val="22"/>
          <w:szCs w:val="22"/>
        </w:rPr>
        <w:t>SUBPROCESO HABILITACIÓN CATASTRAL</w:t>
      </w:r>
    </w:p>
    <w:p w14:paraId="446F6F05" w14:textId="1BD28509" w:rsidR="31FF9146" w:rsidRDefault="31FF9146" w:rsidP="31FF9146">
      <w:pPr>
        <w:jc w:val="both"/>
        <w:rPr>
          <w:rFonts w:eastAsia="Arial" w:cs="Arial"/>
          <w:color w:val="000000" w:themeColor="text1"/>
          <w:sz w:val="22"/>
          <w:szCs w:val="22"/>
        </w:rPr>
      </w:pPr>
    </w:p>
    <w:p w14:paraId="59E26C88" w14:textId="2BD4585B" w:rsidR="28578FC8" w:rsidRPr="00F14022" w:rsidRDefault="28578FC8" w:rsidP="00F14022">
      <w:pPr>
        <w:spacing w:after="160"/>
        <w:jc w:val="both"/>
        <w:rPr>
          <w:rFonts w:eastAsia="Arial" w:cs="Arial"/>
          <w:b/>
          <w:bCs/>
          <w:color w:val="000000" w:themeColor="text1"/>
          <w:sz w:val="22"/>
          <w:szCs w:val="22"/>
        </w:rPr>
      </w:pPr>
      <w:r w:rsidRPr="00F14022">
        <w:rPr>
          <w:rFonts w:eastAsia="Arial" w:cs="Arial"/>
          <w:b/>
          <w:bCs/>
          <w:color w:val="000000" w:themeColor="text1"/>
          <w:sz w:val="22"/>
          <w:szCs w:val="22"/>
          <w:lang w:val="es-CO"/>
        </w:rPr>
        <w:t xml:space="preserve">Propuestas evaluadas: </w:t>
      </w:r>
      <w:r w:rsidRPr="00F14022">
        <w:rPr>
          <w:rFonts w:eastAsia="Arial" w:cs="Arial"/>
          <w:color w:val="000000" w:themeColor="text1"/>
          <w:sz w:val="22"/>
          <w:szCs w:val="22"/>
          <w:lang w:val="es-CO"/>
        </w:rPr>
        <w:t>Durante el periodo reportado diferentes entidades territoriales han presentado la solicitud de habilitación para la prestación del servicio público catastral con la propuesta correspondiente, las cuales ascienden aproximadamente a 40 propuestas las que fueron evaluadas inicialmente desde la Subdirección de Catastro y ahora por la Dirección a partir del Decreto 846 de 2021, de conformidad con lo establecido en el artículo 2.2.2.5.1 del Decreto 1983 de 2019, para la habilitación de las entidades territoriales como gestores catastrales, verificando el cumplimiento de las condiciones jurídicas, técnicas, económicas y financieras allí definidas. En igual sentido, el artículo 2.2.2.5.3 del decreto citado, en el cual se define el procedimiento para ser habilitado como gestor catastral.</w:t>
      </w:r>
    </w:p>
    <w:p w14:paraId="5ECD1693" w14:textId="08C85772" w:rsidR="31FF9146" w:rsidRDefault="31FF9146" w:rsidP="00F14022">
      <w:pPr>
        <w:ind w:left="720"/>
        <w:jc w:val="both"/>
        <w:rPr>
          <w:rFonts w:eastAsia="Arial" w:cs="Arial"/>
          <w:color w:val="000000" w:themeColor="text1"/>
          <w:sz w:val="22"/>
          <w:szCs w:val="22"/>
        </w:rPr>
      </w:pPr>
    </w:p>
    <w:p w14:paraId="406AE5AB" w14:textId="611DCF3A" w:rsidR="28578FC8" w:rsidRDefault="28578FC8" w:rsidP="00F14022">
      <w:pPr>
        <w:jc w:val="both"/>
        <w:rPr>
          <w:rFonts w:eastAsia="Arial" w:cs="Arial"/>
          <w:color w:val="000000" w:themeColor="text1"/>
          <w:sz w:val="22"/>
          <w:szCs w:val="22"/>
          <w:lang w:val="es-CO"/>
        </w:rPr>
      </w:pPr>
      <w:r w:rsidRPr="31FF9146">
        <w:rPr>
          <w:rFonts w:eastAsia="Arial" w:cs="Arial"/>
          <w:color w:val="000000" w:themeColor="text1"/>
          <w:sz w:val="22"/>
          <w:szCs w:val="22"/>
          <w:lang w:val="es-CO"/>
        </w:rPr>
        <w:t>En el siguiente cuadro se presenta la relación de las propuestas de habilitación catastral evaluadas por la Dirección de Regulación y Habilitación para el periodo 2020-2021.</w:t>
      </w:r>
    </w:p>
    <w:p w14:paraId="4FA3D357" w14:textId="730A9324" w:rsidR="00F14022" w:rsidRDefault="00F14022" w:rsidP="00F14022">
      <w:pPr>
        <w:jc w:val="both"/>
        <w:rPr>
          <w:rFonts w:eastAsia="Arial" w:cs="Arial"/>
          <w:color w:val="000000" w:themeColor="text1"/>
          <w:sz w:val="22"/>
          <w:szCs w:val="22"/>
        </w:rPr>
      </w:pPr>
    </w:p>
    <w:p w14:paraId="216A5616" w14:textId="690BCB57" w:rsidR="28578FC8" w:rsidRPr="00E54695" w:rsidRDefault="00E54695" w:rsidP="00E54695">
      <w:pPr>
        <w:pStyle w:val="Descripcin"/>
        <w:jc w:val="center"/>
        <w:rPr>
          <w:rFonts w:ascii="Arial" w:eastAsia="Arial" w:hAnsi="Arial" w:cs="Arial"/>
          <w:b/>
          <w:i w:val="0"/>
          <w:color w:val="000000" w:themeColor="text1"/>
          <w:sz w:val="20"/>
          <w:szCs w:val="22"/>
        </w:rPr>
      </w:pPr>
      <w:bookmarkStart w:id="74" w:name="_Toc88677094"/>
      <w:r w:rsidRPr="00E54695">
        <w:rPr>
          <w:rFonts w:ascii="Arial" w:hAnsi="Arial" w:cs="Arial"/>
          <w:b/>
          <w:i w:val="0"/>
          <w:color w:val="000000" w:themeColor="text1"/>
          <w:sz w:val="16"/>
        </w:rPr>
        <w:t xml:space="preserve">Tabla </w:t>
      </w:r>
      <w:r w:rsidRPr="00E54695">
        <w:rPr>
          <w:rFonts w:ascii="Arial" w:hAnsi="Arial" w:cs="Arial"/>
          <w:b/>
          <w:i w:val="0"/>
          <w:color w:val="000000" w:themeColor="text1"/>
          <w:sz w:val="16"/>
        </w:rPr>
        <w:fldChar w:fldCharType="begin"/>
      </w:r>
      <w:r w:rsidRPr="00E54695">
        <w:rPr>
          <w:rFonts w:ascii="Arial" w:hAnsi="Arial" w:cs="Arial"/>
          <w:b/>
          <w:i w:val="0"/>
          <w:color w:val="000000" w:themeColor="text1"/>
          <w:sz w:val="16"/>
        </w:rPr>
        <w:instrText xml:space="preserve"> SEQ Tabla \* ARABIC </w:instrText>
      </w:r>
      <w:r w:rsidRPr="00E5469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22</w:t>
      </w:r>
      <w:r w:rsidRPr="00E54695">
        <w:rPr>
          <w:rFonts w:ascii="Arial" w:hAnsi="Arial" w:cs="Arial"/>
          <w:b/>
          <w:i w:val="0"/>
          <w:color w:val="000000" w:themeColor="text1"/>
          <w:sz w:val="16"/>
        </w:rPr>
        <w:fldChar w:fldCharType="end"/>
      </w:r>
      <w:r w:rsidRPr="00E54695">
        <w:rPr>
          <w:rFonts w:ascii="Arial" w:hAnsi="Arial" w:cs="Arial"/>
          <w:b/>
          <w:i w:val="0"/>
          <w:color w:val="000000" w:themeColor="text1"/>
          <w:sz w:val="16"/>
        </w:rPr>
        <w:t>. Propuestas de habilitación catastral evaluadas durante el periodo 2020-2021</w:t>
      </w:r>
      <w:bookmarkEnd w:id="74"/>
    </w:p>
    <w:tbl>
      <w:tblPr>
        <w:tblStyle w:val="Tabladecuadrcula4-nfasis1"/>
        <w:tblW w:w="0" w:type="auto"/>
        <w:jc w:val="center"/>
        <w:tblLayout w:type="fixed"/>
        <w:tblLook w:val="04A0" w:firstRow="1" w:lastRow="0" w:firstColumn="1" w:lastColumn="0" w:noHBand="0" w:noVBand="1"/>
      </w:tblPr>
      <w:tblGrid>
        <w:gridCol w:w="630"/>
        <w:gridCol w:w="4590"/>
        <w:gridCol w:w="1650"/>
        <w:gridCol w:w="1980"/>
      </w:tblGrid>
      <w:tr w:rsidR="31FF9146" w14:paraId="1F042313" w14:textId="77777777" w:rsidTr="00F14022">
        <w:trPr>
          <w:cnfStyle w:val="100000000000" w:firstRow="1" w:lastRow="0" w:firstColumn="0" w:lastColumn="0" w:oddVBand="0" w:evenVBand="0" w:oddHBand="0" w:evenHBand="0" w:firstRowFirstColumn="0" w:firstRowLastColumn="0" w:lastRowFirstColumn="0" w:lastRowLastColumn="0"/>
          <w:trHeight w:val="300"/>
          <w:tblHeader/>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2A4982C" w14:textId="59DD79E7" w:rsidR="31FF9146" w:rsidRPr="00F14022" w:rsidRDefault="31FF9146" w:rsidP="00F14022">
            <w:pPr>
              <w:jc w:val="center"/>
              <w:rPr>
                <w:rFonts w:eastAsia="Arial" w:cs="Arial"/>
                <w:sz w:val="18"/>
                <w:szCs w:val="18"/>
              </w:rPr>
            </w:pPr>
            <w:r w:rsidRPr="00F14022">
              <w:rPr>
                <w:rFonts w:eastAsia="Arial" w:cs="Arial"/>
                <w:sz w:val="18"/>
                <w:szCs w:val="18"/>
              </w:rPr>
              <w:t>No.</w:t>
            </w:r>
          </w:p>
        </w:tc>
        <w:tc>
          <w:tcPr>
            <w:tcW w:w="4590" w:type="dxa"/>
            <w:vAlign w:val="center"/>
          </w:tcPr>
          <w:p w14:paraId="741A195C" w14:textId="7BD3644D" w:rsidR="31FF9146" w:rsidRPr="00F14022"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14022">
              <w:rPr>
                <w:rFonts w:eastAsia="Arial" w:cs="Arial"/>
                <w:sz w:val="18"/>
                <w:szCs w:val="18"/>
              </w:rPr>
              <w:t>Gestor Catastral</w:t>
            </w:r>
          </w:p>
        </w:tc>
        <w:tc>
          <w:tcPr>
            <w:tcW w:w="1650" w:type="dxa"/>
            <w:vAlign w:val="center"/>
          </w:tcPr>
          <w:p w14:paraId="06805A19" w14:textId="00CE7540" w:rsidR="31FF9146" w:rsidRPr="00F14022"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14022">
              <w:rPr>
                <w:rFonts w:eastAsia="Arial" w:cs="Arial"/>
                <w:sz w:val="18"/>
                <w:szCs w:val="18"/>
              </w:rPr>
              <w:t>Año de evaluación</w:t>
            </w:r>
          </w:p>
        </w:tc>
        <w:tc>
          <w:tcPr>
            <w:tcW w:w="1980" w:type="dxa"/>
            <w:vAlign w:val="center"/>
          </w:tcPr>
          <w:p w14:paraId="544E1B82" w14:textId="33988A95" w:rsidR="31FF9146" w:rsidRPr="00F14022"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F14022">
              <w:rPr>
                <w:rFonts w:eastAsia="Arial" w:cs="Arial"/>
                <w:sz w:val="18"/>
                <w:szCs w:val="18"/>
              </w:rPr>
              <w:t>Decisión</w:t>
            </w:r>
          </w:p>
        </w:tc>
      </w:tr>
      <w:tr w:rsidR="31FF9146" w14:paraId="2B521857" w14:textId="77777777" w:rsidTr="00F14022">
        <w:trPr>
          <w:cnfStyle w:val="000000100000" w:firstRow="0" w:lastRow="0" w:firstColumn="0" w:lastColumn="0" w:oddVBand="0" w:evenVBand="0" w:oddHBand="1"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6FFD2587" w14:textId="24BCBC7B"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w:t>
            </w:r>
          </w:p>
        </w:tc>
        <w:tc>
          <w:tcPr>
            <w:tcW w:w="4590" w:type="dxa"/>
            <w:vAlign w:val="center"/>
          </w:tcPr>
          <w:p w14:paraId="17D5640F" w14:textId="2CE22F7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Municipios Asociados del Altiplano del Oriente Antioqueño (MASORA)</w:t>
            </w:r>
          </w:p>
        </w:tc>
        <w:tc>
          <w:tcPr>
            <w:tcW w:w="1650" w:type="dxa"/>
            <w:vAlign w:val="center"/>
          </w:tcPr>
          <w:p w14:paraId="60D07AA2" w14:textId="0C5E55D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02EB55B6" w14:textId="13F88D0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4962602" w14:textId="77777777" w:rsidTr="00F14022">
        <w:trPr>
          <w:trHeight w:val="375"/>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0A070691" w14:textId="2C882CC6"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w:t>
            </w:r>
          </w:p>
        </w:tc>
        <w:tc>
          <w:tcPr>
            <w:tcW w:w="4590" w:type="dxa"/>
            <w:vAlign w:val="center"/>
          </w:tcPr>
          <w:p w14:paraId="2F8B523B" w14:textId="0FCA097A"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Sibaté</w:t>
            </w:r>
          </w:p>
        </w:tc>
        <w:tc>
          <w:tcPr>
            <w:tcW w:w="1650" w:type="dxa"/>
            <w:vAlign w:val="center"/>
          </w:tcPr>
          <w:p w14:paraId="4940C270" w14:textId="4ECC8BD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46B78A7E" w14:textId="55A6A63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4D8FE6A4"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282B840B" w14:textId="1420A393"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w:t>
            </w:r>
          </w:p>
        </w:tc>
        <w:tc>
          <w:tcPr>
            <w:tcW w:w="4590" w:type="dxa"/>
            <w:vAlign w:val="center"/>
          </w:tcPr>
          <w:p w14:paraId="6F988B72" w14:textId="7C438B5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Soacha</w:t>
            </w:r>
          </w:p>
        </w:tc>
        <w:tc>
          <w:tcPr>
            <w:tcW w:w="1650" w:type="dxa"/>
            <w:vAlign w:val="center"/>
          </w:tcPr>
          <w:p w14:paraId="20EE7E17" w14:textId="68E92F9A"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52C5B4C5" w14:textId="55ECF924"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63F13E36"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C1B376B" w14:textId="46724709"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4</w:t>
            </w:r>
          </w:p>
        </w:tc>
        <w:tc>
          <w:tcPr>
            <w:tcW w:w="4590" w:type="dxa"/>
            <w:vAlign w:val="center"/>
          </w:tcPr>
          <w:p w14:paraId="0F742505" w14:textId="2705BB4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Área Metropolitana de Barranquilla</w:t>
            </w:r>
          </w:p>
        </w:tc>
        <w:tc>
          <w:tcPr>
            <w:tcW w:w="1650" w:type="dxa"/>
            <w:vAlign w:val="center"/>
          </w:tcPr>
          <w:p w14:paraId="7F3B4145" w14:textId="2DDFEA81"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734856D0" w14:textId="4C0B588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443030D5"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D2ABDFF" w14:textId="3A74F98A"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5</w:t>
            </w:r>
          </w:p>
        </w:tc>
        <w:tc>
          <w:tcPr>
            <w:tcW w:w="4590" w:type="dxa"/>
            <w:vAlign w:val="center"/>
          </w:tcPr>
          <w:p w14:paraId="6653E485" w14:textId="12AFF81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Departamento de Cundinamarca</w:t>
            </w:r>
          </w:p>
        </w:tc>
        <w:tc>
          <w:tcPr>
            <w:tcW w:w="1650" w:type="dxa"/>
            <w:vAlign w:val="center"/>
          </w:tcPr>
          <w:p w14:paraId="1B2B9BDC" w14:textId="0E48CD6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471754D7" w14:textId="6C4A1F7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0DBDA255"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5F26A1F" w14:textId="088F76DE"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6</w:t>
            </w:r>
          </w:p>
        </w:tc>
        <w:tc>
          <w:tcPr>
            <w:tcW w:w="4590" w:type="dxa"/>
            <w:vAlign w:val="center"/>
          </w:tcPr>
          <w:p w14:paraId="5EC08A93" w14:textId="7FB1A9A2"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Fusagasugá</w:t>
            </w:r>
          </w:p>
        </w:tc>
        <w:tc>
          <w:tcPr>
            <w:tcW w:w="1650" w:type="dxa"/>
            <w:vAlign w:val="center"/>
          </w:tcPr>
          <w:p w14:paraId="22B6E0F4" w14:textId="6A4D1B2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2C33D82E" w14:textId="2C814F9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6708F35D"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F5D4914" w14:textId="2FA98DDE"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7</w:t>
            </w:r>
          </w:p>
        </w:tc>
        <w:tc>
          <w:tcPr>
            <w:tcW w:w="4590" w:type="dxa"/>
            <w:vAlign w:val="center"/>
          </w:tcPr>
          <w:p w14:paraId="09417478" w14:textId="736FAF4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Distrito de Santa Marta</w:t>
            </w:r>
          </w:p>
        </w:tc>
        <w:tc>
          <w:tcPr>
            <w:tcW w:w="1650" w:type="dxa"/>
            <w:vAlign w:val="center"/>
          </w:tcPr>
          <w:p w14:paraId="2E381BC7" w14:textId="7EA29D0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63BDF216" w14:textId="7F4FB1E3"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042F72DE"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82C8361" w14:textId="7E188DC7"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8</w:t>
            </w:r>
          </w:p>
        </w:tc>
        <w:tc>
          <w:tcPr>
            <w:tcW w:w="4590" w:type="dxa"/>
            <w:vAlign w:val="center"/>
          </w:tcPr>
          <w:p w14:paraId="40959A08" w14:textId="30DA9D1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San José de Cúcuta</w:t>
            </w:r>
          </w:p>
        </w:tc>
        <w:tc>
          <w:tcPr>
            <w:tcW w:w="1650" w:type="dxa"/>
            <w:vAlign w:val="center"/>
          </w:tcPr>
          <w:p w14:paraId="7486C72D" w14:textId="52DEC001"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2F4F6F36" w14:textId="531A1D9D"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5D9AC97D" w14:textId="77777777" w:rsidTr="00F14022">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147418A0" w14:textId="289B670B"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9</w:t>
            </w:r>
          </w:p>
        </w:tc>
        <w:tc>
          <w:tcPr>
            <w:tcW w:w="4590" w:type="dxa"/>
            <w:vAlign w:val="center"/>
          </w:tcPr>
          <w:p w14:paraId="3ACBBD04" w14:textId="0CC64AD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Área Metropolitana del Valle de Aburrá (AMVA)</w:t>
            </w:r>
          </w:p>
        </w:tc>
        <w:tc>
          <w:tcPr>
            <w:tcW w:w="1650" w:type="dxa"/>
            <w:vAlign w:val="center"/>
          </w:tcPr>
          <w:p w14:paraId="034B1AB4" w14:textId="1789BBEA"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36F71E68" w14:textId="145B45CC"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8F89AC3"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31E8773" w14:textId="7A2B1FB9"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10</w:t>
            </w:r>
          </w:p>
        </w:tc>
        <w:tc>
          <w:tcPr>
            <w:tcW w:w="4590" w:type="dxa"/>
            <w:vAlign w:val="center"/>
          </w:tcPr>
          <w:p w14:paraId="7F088B6C" w14:textId="6FD2392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Rionegro</w:t>
            </w:r>
          </w:p>
        </w:tc>
        <w:tc>
          <w:tcPr>
            <w:tcW w:w="1650" w:type="dxa"/>
            <w:vAlign w:val="center"/>
          </w:tcPr>
          <w:p w14:paraId="4D87E5FD" w14:textId="33668BF8"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1A14D911" w14:textId="1F760D8C"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48226A4"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2C5102BB" w14:textId="1E4FC6DF"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11</w:t>
            </w:r>
          </w:p>
        </w:tc>
        <w:tc>
          <w:tcPr>
            <w:tcW w:w="4590" w:type="dxa"/>
            <w:vAlign w:val="center"/>
          </w:tcPr>
          <w:p w14:paraId="17C9B2C4" w14:textId="73A967C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Sincelejo</w:t>
            </w:r>
          </w:p>
        </w:tc>
        <w:tc>
          <w:tcPr>
            <w:tcW w:w="1650" w:type="dxa"/>
            <w:vAlign w:val="center"/>
          </w:tcPr>
          <w:p w14:paraId="62423972" w14:textId="7DFF8D72"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471A310D" w14:textId="0F3591F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6C1800C0"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4347E4EC" w14:textId="594BD37F"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lastRenderedPageBreak/>
              <w:t>12</w:t>
            </w:r>
          </w:p>
        </w:tc>
        <w:tc>
          <w:tcPr>
            <w:tcW w:w="4590" w:type="dxa"/>
            <w:vAlign w:val="center"/>
          </w:tcPr>
          <w:p w14:paraId="6DFDCDE9" w14:textId="0AF0FD2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Sesquilé</w:t>
            </w:r>
          </w:p>
        </w:tc>
        <w:tc>
          <w:tcPr>
            <w:tcW w:w="1650" w:type="dxa"/>
            <w:vAlign w:val="center"/>
          </w:tcPr>
          <w:p w14:paraId="03233AD1" w14:textId="724E3C7C"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72842CE8" w14:textId="2621AFD7"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77AF7A5E"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6E140DCA" w14:textId="05B9B576"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13</w:t>
            </w:r>
          </w:p>
        </w:tc>
        <w:tc>
          <w:tcPr>
            <w:tcW w:w="4590" w:type="dxa"/>
            <w:vAlign w:val="center"/>
          </w:tcPr>
          <w:p w14:paraId="6A6F61DC" w14:textId="1CB29A0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Planeta Rica</w:t>
            </w:r>
          </w:p>
        </w:tc>
        <w:tc>
          <w:tcPr>
            <w:tcW w:w="1650" w:type="dxa"/>
            <w:vAlign w:val="center"/>
          </w:tcPr>
          <w:p w14:paraId="45F8FE7D" w14:textId="18DC68B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2020</w:t>
            </w:r>
          </w:p>
        </w:tc>
        <w:tc>
          <w:tcPr>
            <w:tcW w:w="1980" w:type="dxa"/>
            <w:vAlign w:val="center"/>
          </w:tcPr>
          <w:p w14:paraId="23625384" w14:textId="5C8AF8BA"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7095E4D6"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A6B7D6C" w14:textId="0A713F1E"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14</w:t>
            </w:r>
          </w:p>
        </w:tc>
        <w:tc>
          <w:tcPr>
            <w:tcW w:w="4590" w:type="dxa"/>
            <w:vAlign w:val="center"/>
          </w:tcPr>
          <w:p w14:paraId="01B1BA48" w14:textId="481419B2"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Envigado</w:t>
            </w:r>
          </w:p>
        </w:tc>
        <w:tc>
          <w:tcPr>
            <w:tcW w:w="1650" w:type="dxa"/>
            <w:vAlign w:val="center"/>
          </w:tcPr>
          <w:p w14:paraId="14951E3D" w14:textId="0339601E"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C7F5DB8" w14:textId="1F337AA6"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1490E028"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1A5BE447" w14:textId="171B296A"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15</w:t>
            </w:r>
          </w:p>
        </w:tc>
        <w:tc>
          <w:tcPr>
            <w:tcW w:w="4590" w:type="dxa"/>
            <w:vAlign w:val="center"/>
          </w:tcPr>
          <w:p w14:paraId="3CD3D4AA" w14:textId="62750BE1"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Zipaquirá</w:t>
            </w:r>
          </w:p>
        </w:tc>
        <w:tc>
          <w:tcPr>
            <w:tcW w:w="1650" w:type="dxa"/>
            <w:vAlign w:val="center"/>
          </w:tcPr>
          <w:p w14:paraId="04571DC5" w14:textId="647EFE57"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7E75EEB" w14:textId="1ABD80B2"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18A1F9FA"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929E19B" w14:textId="7E4661BB"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16</w:t>
            </w:r>
          </w:p>
        </w:tc>
        <w:tc>
          <w:tcPr>
            <w:tcW w:w="4590" w:type="dxa"/>
            <w:vAlign w:val="center"/>
          </w:tcPr>
          <w:p w14:paraId="732A5AB8" w14:textId="7440EC4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Armenia</w:t>
            </w:r>
          </w:p>
        </w:tc>
        <w:tc>
          <w:tcPr>
            <w:tcW w:w="1650" w:type="dxa"/>
            <w:vAlign w:val="center"/>
          </w:tcPr>
          <w:p w14:paraId="5F6C8481" w14:textId="2413EEFF"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7E43FCA9" w14:textId="75319F75"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745C42F0"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71D0F26D" w14:textId="5DD0F512"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17</w:t>
            </w:r>
          </w:p>
        </w:tc>
        <w:tc>
          <w:tcPr>
            <w:tcW w:w="4590" w:type="dxa"/>
            <w:vAlign w:val="center"/>
          </w:tcPr>
          <w:p w14:paraId="70324C36" w14:textId="739416F4"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Jamundí</w:t>
            </w:r>
          </w:p>
        </w:tc>
        <w:tc>
          <w:tcPr>
            <w:tcW w:w="1650" w:type="dxa"/>
            <w:vAlign w:val="center"/>
          </w:tcPr>
          <w:p w14:paraId="41DE3D36" w14:textId="02CD8892"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38CAAB1" w14:textId="62D5E66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2C484DE6"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74EB618E" w14:textId="30D5A89D"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18</w:t>
            </w:r>
          </w:p>
        </w:tc>
        <w:tc>
          <w:tcPr>
            <w:tcW w:w="4590" w:type="dxa"/>
            <w:vAlign w:val="center"/>
          </w:tcPr>
          <w:p w14:paraId="72F20CB1" w14:textId="1B1EC04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Sabaneta</w:t>
            </w:r>
          </w:p>
        </w:tc>
        <w:tc>
          <w:tcPr>
            <w:tcW w:w="1650" w:type="dxa"/>
            <w:vAlign w:val="center"/>
          </w:tcPr>
          <w:p w14:paraId="41121AD9" w14:textId="267CC41E"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6333098" w14:textId="21DB4D5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4C46C78"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8FBEA60" w14:textId="3E7CE4A3"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19</w:t>
            </w:r>
          </w:p>
        </w:tc>
        <w:tc>
          <w:tcPr>
            <w:tcW w:w="4590" w:type="dxa"/>
            <w:vAlign w:val="center"/>
          </w:tcPr>
          <w:p w14:paraId="5F89B0AB" w14:textId="66F1896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Neiva</w:t>
            </w:r>
          </w:p>
        </w:tc>
        <w:tc>
          <w:tcPr>
            <w:tcW w:w="1650" w:type="dxa"/>
            <w:vAlign w:val="center"/>
          </w:tcPr>
          <w:p w14:paraId="7A3D025C" w14:textId="35DC214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66FF6D4B" w14:textId="35B7A94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D50AA4C"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2C4BB9DC" w14:textId="0FBA7A79"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20</w:t>
            </w:r>
          </w:p>
        </w:tc>
        <w:tc>
          <w:tcPr>
            <w:tcW w:w="4590" w:type="dxa"/>
            <w:vAlign w:val="center"/>
          </w:tcPr>
          <w:p w14:paraId="646DA08E" w14:textId="7586D778"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El Espinal V1</w:t>
            </w:r>
          </w:p>
        </w:tc>
        <w:tc>
          <w:tcPr>
            <w:tcW w:w="1650" w:type="dxa"/>
            <w:vAlign w:val="center"/>
          </w:tcPr>
          <w:p w14:paraId="19DEF1A4" w14:textId="2150701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2F30A5CB" w14:textId="2364A9ED"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2CA2684B"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A6E4485" w14:textId="7C10EE01"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21</w:t>
            </w:r>
          </w:p>
        </w:tc>
        <w:tc>
          <w:tcPr>
            <w:tcW w:w="4590" w:type="dxa"/>
            <w:vAlign w:val="center"/>
          </w:tcPr>
          <w:p w14:paraId="5F0821DC" w14:textId="000E60F0"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Garzón V1</w:t>
            </w:r>
          </w:p>
        </w:tc>
        <w:tc>
          <w:tcPr>
            <w:tcW w:w="1650" w:type="dxa"/>
            <w:vAlign w:val="center"/>
          </w:tcPr>
          <w:p w14:paraId="49EADB81" w14:textId="0AF67FF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6AA8DE64" w14:textId="3AD67544"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0F65563E"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2866296" w14:textId="24EE17D7"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22</w:t>
            </w:r>
          </w:p>
        </w:tc>
        <w:tc>
          <w:tcPr>
            <w:tcW w:w="4590" w:type="dxa"/>
            <w:vAlign w:val="center"/>
          </w:tcPr>
          <w:p w14:paraId="0E86C048" w14:textId="1130302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La Vega</w:t>
            </w:r>
          </w:p>
        </w:tc>
        <w:tc>
          <w:tcPr>
            <w:tcW w:w="1650" w:type="dxa"/>
            <w:vAlign w:val="center"/>
          </w:tcPr>
          <w:p w14:paraId="5AF22F11" w14:textId="3F34082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25E811D0" w14:textId="3DA2AAA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54E796EE"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A672233" w14:textId="1D4ADB75"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23</w:t>
            </w:r>
          </w:p>
        </w:tc>
        <w:tc>
          <w:tcPr>
            <w:tcW w:w="4590" w:type="dxa"/>
            <w:vAlign w:val="center"/>
          </w:tcPr>
          <w:p w14:paraId="64971E21" w14:textId="1870EF2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Asomunicipios V1</w:t>
            </w:r>
          </w:p>
        </w:tc>
        <w:tc>
          <w:tcPr>
            <w:tcW w:w="1650" w:type="dxa"/>
            <w:vAlign w:val="center"/>
          </w:tcPr>
          <w:p w14:paraId="0F3CA37A" w14:textId="70BCBF37"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289B9825" w14:textId="5C562B50"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092E5BA6"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4846CA1" w14:textId="4B7629C5"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24</w:t>
            </w:r>
          </w:p>
        </w:tc>
        <w:tc>
          <w:tcPr>
            <w:tcW w:w="4590" w:type="dxa"/>
            <w:vAlign w:val="center"/>
          </w:tcPr>
          <w:p w14:paraId="092EE83D" w14:textId="11ABCA9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Sabanalarga V1</w:t>
            </w:r>
          </w:p>
        </w:tc>
        <w:tc>
          <w:tcPr>
            <w:tcW w:w="1650" w:type="dxa"/>
            <w:vAlign w:val="center"/>
          </w:tcPr>
          <w:p w14:paraId="54B8F722" w14:textId="61B2954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6C0FDED5" w14:textId="6F675F5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689C4C6A"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7612FCF6" w14:textId="346EFAE3"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25</w:t>
            </w:r>
          </w:p>
        </w:tc>
        <w:tc>
          <w:tcPr>
            <w:tcW w:w="4590" w:type="dxa"/>
            <w:vAlign w:val="center"/>
          </w:tcPr>
          <w:p w14:paraId="278674CC" w14:textId="0481ACA4"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Quibdó</w:t>
            </w:r>
          </w:p>
        </w:tc>
        <w:tc>
          <w:tcPr>
            <w:tcW w:w="1650" w:type="dxa"/>
            <w:vAlign w:val="center"/>
          </w:tcPr>
          <w:p w14:paraId="7A3CB71B" w14:textId="2F1C7F02"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3FACBBD" w14:textId="5AB8926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0B1794D6"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6980907B" w14:textId="183C720A"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26</w:t>
            </w:r>
          </w:p>
        </w:tc>
        <w:tc>
          <w:tcPr>
            <w:tcW w:w="4590" w:type="dxa"/>
            <w:vAlign w:val="center"/>
          </w:tcPr>
          <w:p w14:paraId="075232B6" w14:textId="4F48F284"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Sahagún V1</w:t>
            </w:r>
          </w:p>
        </w:tc>
        <w:tc>
          <w:tcPr>
            <w:tcW w:w="1650" w:type="dxa"/>
            <w:vAlign w:val="center"/>
          </w:tcPr>
          <w:p w14:paraId="3FDB124E" w14:textId="5609B1F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67F6A3D" w14:textId="336823A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07D9B9C9"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609724BD" w14:textId="657FFAC6"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27</w:t>
            </w:r>
          </w:p>
        </w:tc>
        <w:tc>
          <w:tcPr>
            <w:tcW w:w="4590" w:type="dxa"/>
            <w:vAlign w:val="center"/>
          </w:tcPr>
          <w:p w14:paraId="522C34DC" w14:textId="582285AA"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Albania</w:t>
            </w:r>
          </w:p>
        </w:tc>
        <w:tc>
          <w:tcPr>
            <w:tcW w:w="1650" w:type="dxa"/>
            <w:vAlign w:val="center"/>
          </w:tcPr>
          <w:p w14:paraId="5F345FCE" w14:textId="3ED6C059"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75010A2" w14:textId="1CBA84D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78BCC1E8"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51A7E5F" w14:textId="0A4C9202"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28</w:t>
            </w:r>
          </w:p>
        </w:tc>
        <w:tc>
          <w:tcPr>
            <w:tcW w:w="4590" w:type="dxa"/>
            <w:vAlign w:val="center"/>
          </w:tcPr>
          <w:p w14:paraId="0DD8C6E5" w14:textId="31B05E0F"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Chirigüaná V1</w:t>
            </w:r>
          </w:p>
        </w:tc>
        <w:tc>
          <w:tcPr>
            <w:tcW w:w="1650" w:type="dxa"/>
            <w:vAlign w:val="center"/>
          </w:tcPr>
          <w:p w14:paraId="3A44BE0D" w14:textId="06112C2D"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74C6434" w14:textId="03126667"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2FF386A1"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22C1077E" w14:textId="6D605F2B"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29</w:t>
            </w:r>
          </w:p>
        </w:tc>
        <w:tc>
          <w:tcPr>
            <w:tcW w:w="4590" w:type="dxa"/>
            <w:vAlign w:val="center"/>
          </w:tcPr>
          <w:p w14:paraId="14164FB5" w14:textId="5972148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Valledupar</w:t>
            </w:r>
          </w:p>
        </w:tc>
        <w:tc>
          <w:tcPr>
            <w:tcW w:w="1650" w:type="dxa"/>
            <w:vAlign w:val="center"/>
          </w:tcPr>
          <w:p w14:paraId="155295F8" w14:textId="0F6CEE81"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1D5D28D1" w14:textId="12FDBD7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20C0AEEF"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4B07727" w14:textId="4DBCA86D"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30</w:t>
            </w:r>
          </w:p>
        </w:tc>
        <w:tc>
          <w:tcPr>
            <w:tcW w:w="4590" w:type="dxa"/>
            <w:vAlign w:val="center"/>
          </w:tcPr>
          <w:p w14:paraId="75F2F0E2" w14:textId="687B182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Málaga</w:t>
            </w:r>
          </w:p>
        </w:tc>
        <w:tc>
          <w:tcPr>
            <w:tcW w:w="1650" w:type="dxa"/>
            <w:vAlign w:val="center"/>
          </w:tcPr>
          <w:p w14:paraId="71AD3D9E" w14:textId="585AD3CA"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9F9BC6B" w14:textId="315DC962"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Desistimiento</w:t>
            </w:r>
          </w:p>
        </w:tc>
      </w:tr>
      <w:tr w:rsidR="31FF9146" w14:paraId="6F0ECEC0"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F4AAA63" w14:textId="6520341D"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31</w:t>
            </w:r>
          </w:p>
        </w:tc>
        <w:tc>
          <w:tcPr>
            <w:tcW w:w="4590" w:type="dxa"/>
            <w:vAlign w:val="center"/>
          </w:tcPr>
          <w:p w14:paraId="26113092" w14:textId="7D7FB6A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Ibagué</w:t>
            </w:r>
          </w:p>
        </w:tc>
        <w:tc>
          <w:tcPr>
            <w:tcW w:w="1650" w:type="dxa"/>
            <w:vAlign w:val="center"/>
          </w:tcPr>
          <w:p w14:paraId="024BE355" w14:textId="4494804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4529FEA" w14:textId="770BC452"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3031CA00"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5830720C" w14:textId="06CAF08E"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32</w:t>
            </w:r>
          </w:p>
        </w:tc>
        <w:tc>
          <w:tcPr>
            <w:tcW w:w="4590" w:type="dxa"/>
            <w:vAlign w:val="center"/>
          </w:tcPr>
          <w:p w14:paraId="58674D86" w14:textId="6C5E006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Asomunicipios V2</w:t>
            </w:r>
          </w:p>
        </w:tc>
        <w:tc>
          <w:tcPr>
            <w:tcW w:w="1650" w:type="dxa"/>
            <w:vAlign w:val="center"/>
          </w:tcPr>
          <w:p w14:paraId="44B510EE" w14:textId="0322D7C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5FCA2C2E" w14:textId="7245A128"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0C9B75A8"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48E44544" w14:textId="4C200630"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33</w:t>
            </w:r>
          </w:p>
        </w:tc>
        <w:tc>
          <w:tcPr>
            <w:tcW w:w="4590" w:type="dxa"/>
            <w:vAlign w:val="center"/>
          </w:tcPr>
          <w:p w14:paraId="7FABC86D" w14:textId="256862F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Sabanalarga V2</w:t>
            </w:r>
          </w:p>
        </w:tc>
        <w:tc>
          <w:tcPr>
            <w:tcW w:w="1650" w:type="dxa"/>
            <w:vAlign w:val="center"/>
          </w:tcPr>
          <w:p w14:paraId="2EA6BEC0" w14:textId="1E0EB8B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72502164" w14:textId="258BE81C"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2A263C2D"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070574AF" w14:textId="42ECA67B"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34</w:t>
            </w:r>
          </w:p>
        </w:tc>
        <w:tc>
          <w:tcPr>
            <w:tcW w:w="4590" w:type="dxa"/>
            <w:vAlign w:val="center"/>
          </w:tcPr>
          <w:p w14:paraId="043D3253" w14:textId="72DDF72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Girardot</w:t>
            </w:r>
          </w:p>
        </w:tc>
        <w:tc>
          <w:tcPr>
            <w:tcW w:w="1650" w:type="dxa"/>
            <w:vAlign w:val="center"/>
          </w:tcPr>
          <w:p w14:paraId="733326C3" w14:textId="0E535163"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2381BF4F" w14:textId="4323D01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51BC29EE"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1B181E97" w14:textId="4A96E750"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35</w:t>
            </w:r>
          </w:p>
        </w:tc>
        <w:tc>
          <w:tcPr>
            <w:tcW w:w="4590" w:type="dxa"/>
            <w:vAlign w:val="center"/>
          </w:tcPr>
          <w:p w14:paraId="1A421EDF" w14:textId="3012F13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Sahagún V2</w:t>
            </w:r>
          </w:p>
        </w:tc>
        <w:tc>
          <w:tcPr>
            <w:tcW w:w="1650" w:type="dxa"/>
            <w:vAlign w:val="center"/>
          </w:tcPr>
          <w:p w14:paraId="792183A6" w14:textId="28622BC7"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189480A9" w14:textId="39B72081"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Habilitado</w:t>
            </w:r>
          </w:p>
        </w:tc>
      </w:tr>
      <w:tr w:rsidR="31FF9146" w14:paraId="2D86A6AC" w14:textId="77777777" w:rsidTr="00F14022">
        <w:trPr>
          <w:trHeight w:val="39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72901FC6" w14:textId="44928C22"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36</w:t>
            </w:r>
          </w:p>
        </w:tc>
        <w:tc>
          <w:tcPr>
            <w:tcW w:w="4590" w:type="dxa"/>
            <w:vAlign w:val="center"/>
          </w:tcPr>
          <w:p w14:paraId="775B6831" w14:textId="63FE0BEA"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El Espinal V2</w:t>
            </w:r>
          </w:p>
        </w:tc>
        <w:tc>
          <w:tcPr>
            <w:tcW w:w="1650" w:type="dxa"/>
            <w:vAlign w:val="center"/>
          </w:tcPr>
          <w:p w14:paraId="0E990CC9" w14:textId="29ACA6A1"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4FE8D204" w14:textId="137EE4C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Inicio de trámite de Habilitación</w:t>
            </w:r>
          </w:p>
        </w:tc>
      </w:tr>
      <w:tr w:rsidR="31FF9146" w14:paraId="7FB06D07" w14:textId="77777777" w:rsidTr="00F14022">
        <w:trPr>
          <w:cnfStyle w:val="000000100000" w:firstRow="0" w:lastRow="0" w:firstColumn="0" w:lastColumn="0" w:oddVBand="0" w:evenVBand="0" w:oddHBand="1" w:evenHBand="0" w:firstRowFirstColumn="0" w:firstRowLastColumn="0" w:lastRowFirstColumn="0" w:lastRowLastColumn="0"/>
          <w:trHeight w:val="39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07B0AAD0" w14:textId="63B5E169"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37</w:t>
            </w:r>
          </w:p>
        </w:tc>
        <w:tc>
          <w:tcPr>
            <w:tcW w:w="4590" w:type="dxa"/>
            <w:vAlign w:val="center"/>
          </w:tcPr>
          <w:p w14:paraId="7DCA2FAC" w14:textId="3822818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Garzón V2</w:t>
            </w:r>
          </w:p>
        </w:tc>
        <w:tc>
          <w:tcPr>
            <w:tcW w:w="1650" w:type="dxa"/>
            <w:vAlign w:val="center"/>
          </w:tcPr>
          <w:p w14:paraId="62535DE9" w14:textId="23504134"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16FC46A0" w14:textId="304C4A3B"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Inicio de trámite de Habilitación</w:t>
            </w:r>
          </w:p>
        </w:tc>
      </w:tr>
      <w:tr w:rsidR="31FF9146" w14:paraId="51053606" w14:textId="77777777" w:rsidTr="00F14022">
        <w:trPr>
          <w:trHeight w:val="39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3D488B04" w14:textId="22B26E09"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38</w:t>
            </w:r>
          </w:p>
        </w:tc>
        <w:tc>
          <w:tcPr>
            <w:tcW w:w="4590" w:type="dxa"/>
            <w:vAlign w:val="center"/>
          </w:tcPr>
          <w:p w14:paraId="062D37DD" w14:textId="65494F60"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Chirigüaná V2</w:t>
            </w:r>
          </w:p>
        </w:tc>
        <w:tc>
          <w:tcPr>
            <w:tcW w:w="1650" w:type="dxa"/>
            <w:vAlign w:val="center"/>
          </w:tcPr>
          <w:p w14:paraId="3E25868D" w14:textId="715CA8F2"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1CDED7E0" w14:textId="72B5411A"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Inicio de trámite de Habilitación</w:t>
            </w:r>
          </w:p>
        </w:tc>
      </w:tr>
      <w:tr w:rsidR="31FF9146" w14:paraId="66D67190" w14:textId="77777777" w:rsidTr="00F1402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21DEE2C9" w14:textId="5F1C85B2"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39</w:t>
            </w:r>
          </w:p>
        </w:tc>
        <w:tc>
          <w:tcPr>
            <w:tcW w:w="4590" w:type="dxa"/>
            <w:vAlign w:val="center"/>
          </w:tcPr>
          <w:p w14:paraId="2DF829B3" w14:textId="68B36778"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Floridablanca</w:t>
            </w:r>
          </w:p>
        </w:tc>
        <w:tc>
          <w:tcPr>
            <w:tcW w:w="1650" w:type="dxa"/>
            <w:vAlign w:val="center"/>
          </w:tcPr>
          <w:p w14:paraId="27E76579" w14:textId="5DA90907"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321393F6" w14:textId="55CE2807"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Requerimiento</w:t>
            </w:r>
          </w:p>
        </w:tc>
      </w:tr>
      <w:tr w:rsidR="31FF9146" w14:paraId="718F028C" w14:textId="77777777" w:rsidTr="00F14022">
        <w:trPr>
          <w:trHeight w:val="300"/>
          <w:jc w:val="center"/>
        </w:trPr>
        <w:tc>
          <w:tcPr>
            <w:cnfStyle w:val="001000000000" w:firstRow="0" w:lastRow="0" w:firstColumn="1" w:lastColumn="0" w:oddVBand="0" w:evenVBand="0" w:oddHBand="0" w:evenHBand="0" w:firstRowFirstColumn="0" w:firstRowLastColumn="0" w:lastRowFirstColumn="0" w:lastRowLastColumn="0"/>
            <w:tcW w:w="630" w:type="dxa"/>
            <w:vAlign w:val="center"/>
          </w:tcPr>
          <w:p w14:paraId="185C2244" w14:textId="223A5E4D" w:rsidR="31FF9146" w:rsidRDefault="31FF9146" w:rsidP="00F14022">
            <w:pPr>
              <w:jc w:val="center"/>
              <w:rPr>
                <w:rFonts w:eastAsia="Arial" w:cs="Arial"/>
                <w:color w:val="000000" w:themeColor="text1"/>
                <w:sz w:val="18"/>
                <w:szCs w:val="18"/>
              </w:rPr>
            </w:pPr>
            <w:r w:rsidRPr="31FF9146">
              <w:rPr>
                <w:rFonts w:eastAsia="Arial" w:cs="Arial"/>
                <w:color w:val="000000" w:themeColor="text1"/>
                <w:sz w:val="18"/>
                <w:szCs w:val="18"/>
              </w:rPr>
              <w:t>40</w:t>
            </w:r>
          </w:p>
        </w:tc>
        <w:tc>
          <w:tcPr>
            <w:tcW w:w="4590" w:type="dxa"/>
            <w:vAlign w:val="center"/>
          </w:tcPr>
          <w:p w14:paraId="68DC6D48" w14:textId="23B33B92"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Florencia</w:t>
            </w:r>
          </w:p>
        </w:tc>
        <w:tc>
          <w:tcPr>
            <w:tcW w:w="1650" w:type="dxa"/>
            <w:vAlign w:val="center"/>
          </w:tcPr>
          <w:p w14:paraId="4DADE79A" w14:textId="522FA0E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2021</w:t>
            </w:r>
          </w:p>
        </w:tc>
        <w:tc>
          <w:tcPr>
            <w:tcW w:w="1980" w:type="dxa"/>
            <w:vAlign w:val="center"/>
          </w:tcPr>
          <w:p w14:paraId="57678802" w14:textId="427646AD"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Requerimiento</w:t>
            </w:r>
          </w:p>
        </w:tc>
      </w:tr>
    </w:tbl>
    <w:p w14:paraId="461E97B3" w14:textId="38E3BAAB" w:rsidR="67E604C3" w:rsidRPr="00F14022" w:rsidRDefault="67E604C3" w:rsidP="00F14022">
      <w:pPr>
        <w:ind w:left="720"/>
        <w:jc w:val="center"/>
        <w:rPr>
          <w:rFonts w:eastAsia="Arial" w:cs="Arial"/>
          <w:b/>
          <w:color w:val="000000" w:themeColor="text1"/>
          <w:sz w:val="16"/>
          <w:szCs w:val="18"/>
        </w:rPr>
      </w:pPr>
      <w:r w:rsidRPr="00F14022">
        <w:rPr>
          <w:rFonts w:eastAsia="Arial" w:cs="Arial"/>
          <w:b/>
          <w:color w:val="000000" w:themeColor="text1"/>
          <w:sz w:val="16"/>
          <w:szCs w:val="18"/>
          <w:lang w:val="es-CO"/>
        </w:rPr>
        <w:t xml:space="preserve">Fuente: </w:t>
      </w:r>
      <w:r w:rsidR="00F14022" w:rsidRPr="00F14022">
        <w:rPr>
          <w:rFonts w:eastAsia="Arial" w:cs="Arial"/>
          <w:b/>
          <w:color w:val="000000" w:themeColor="text1"/>
          <w:sz w:val="16"/>
          <w:szCs w:val="18"/>
          <w:lang w:val="es-CO"/>
        </w:rPr>
        <w:t xml:space="preserve">Dirección de Regulación y Habilitación </w:t>
      </w:r>
    </w:p>
    <w:p w14:paraId="6319929B" w14:textId="0B188593" w:rsidR="31FF9146" w:rsidRDefault="31FF9146" w:rsidP="31FF9146">
      <w:pPr>
        <w:jc w:val="both"/>
        <w:rPr>
          <w:color w:val="000000" w:themeColor="text1"/>
        </w:rPr>
      </w:pPr>
    </w:p>
    <w:p w14:paraId="6E7583AA" w14:textId="7BB2EAB2" w:rsidR="28578FC8" w:rsidRPr="00F14022" w:rsidRDefault="28578FC8" w:rsidP="00F14022">
      <w:pPr>
        <w:spacing w:after="160"/>
        <w:jc w:val="both"/>
        <w:rPr>
          <w:rFonts w:eastAsia="Arial" w:cs="Arial"/>
          <w:b/>
          <w:bCs/>
          <w:color w:val="000000" w:themeColor="text1"/>
          <w:sz w:val="22"/>
          <w:szCs w:val="22"/>
        </w:rPr>
      </w:pPr>
      <w:r w:rsidRPr="00F14022">
        <w:rPr>
          <w:rFonts w:eastAsia="Arial" w:cs="Arial"/>
          <w:b/>
          <w:bCs/>
          <w:color w:val="000000" w:themeColor="text1"/>
          <w:sz w:val="22"/>
          <w:szCs w:val="22"/>
          <w:lang w:val="es-CO"/>
        </w:rPr>
        <w:t xml:space="preserve">Gestores Habilitados 2020-2021: </w:t>
      </w:r>
      <w:r w:rsidRPr="00F14022">
        <w:rPr>
          <w:rFonts w:eastAsia="Arial" w:cs="Arial"/>
          <w:color w:val="000000" w:themeColor="text1"/>
          <w:sz w:val="22"/>
          <w:szCs w:val="22"/>
          <w:lang w:val="es-CO"/>
        </w:rPr>
        <w:t xml:space="preserve">En el marco del Plan Nacional de Desarrollo 2018 - 2022 </w:t>
      </w:r>
      <w:r w:rsidRPr="00F14022">
        <w:rPr>
          <w:rFonts w:eastAsia="Arial" w:cs="Arial"/>
          <w:i/>
          <w:iCs/>
          <w:color w:val="000000" w:themeColor="text1"/>
          <w:sz w:val="22"/>
          <w:szCs w:val="22"/>
          <w:lang w:val="es-CO"/>
        </w:rPr>
        <w:t>“Pacto por Colombia, Pacto por la Equidad”</w:t>
      </w:r>
      <w:r w:rsidRPr="00F14022">
        <w:rPr>
          <w:rFonts w:eastAsia="Arial" w:cs="Arial"/>
          <w:color w:val="000000" w:themeColor="text1"/>
          <w:sz w:val="22"/>
          <w:szCs w:val="22"/>
          <w:lang w:val="es-CO"/>
        </w:rPr>
        <w:t>, el artículo 79 de la Ley 1955 de 2019, contempló un nuevo modelo de la gestión catastral al otorgarle la naturaleza de servicio público, que permite la descentralización catastral a cargo de entidades públicas, nacionales, territoriales y Esquemas Asociativos de Entidades Territoriales –EAT, que deberán solicitar al IGAC su habilitación como gestores catastrales y podrán prestar el servicio público de catastro en todo el territorio nacional.</w:t>
      </w:r>
    </w:p>
    <w:p w14:paraId="2F2215C2" w14:textId="2583BF7E" w:rsidR="28578FC8" w:rsidRDefault="28578FC8" w:rsidP="00F14022">
      <w:pPr>
        <w:pStyle w:val="Lista"/>
      </w:pPr>
      <w:r w:rsidRPr="31FF9146">
        <w:rPr>
          <w:rFonts w:eastAsia="Arial" w:cs="Arial"/>
          <w:color w:val="000000" w:themeColor="text1"/>
          <w:sz w:val="22"/>
          <w:szCs w:val="22"/>
        </w:rPr>
        <w:t xml:space="preserve">En virtud de lo anterior, y previamente verificadas las condiciones jurídicas, técnicas, económicas y financieras, y el procedimiento para tal fin, el Instituto </w:t>
      </w:r>
      <w:r w:rsidRPr="31FF9146">
        <w:rPr>
          <w:rFonts w:eastAsia="Arial" w:cs="Arial"/>
          <w:b/>
          <w:bCs/>
          <w:color w:val="000000" w:themeColor="text1"/>
          <w:sz w:val="22"/>
          <w:szCs w:val="22"/>
        </w:rPr>
        <w:t>desde el año 2020</w:t>
      </w:r>
      <w:r w:rsidRPr="31FF9146">
        <w:rPr>
          <w:rFonts w:eastAsia="Arial" w:cs="Arial"/>
          <w:color w:val="000000" w:themeColor="text1"/>
          <w:sz w:val="22"/>
          <w:szCs w:val="22"/>
        </w:rPr>
        <w:t xml:space="preserve"> a la fecha, ha habilitado 24 entidades territoriales y esquemas asociativos territoriales, a las cuales les corresponde una jurisdicción de 132 municipios, correspondientes a 4.536.027 hectáreas</w:t>
      </w:r>
    </w:p>
    <w:p w14:paraId="724E011A" w14:textId="09C514D5" w:rsidR="31FF9146" w:rsidRDefault="31FF9146" w:rsidP="00F14022">
      <w:pPr>
        <w:pStyle w:val="Lista"/>
        <w:rPr>
          <w:color w:val="000000" w:themeColor="text1"/>
        </w:rPr>
      </w:pPr>
    </w:p>
    <w:p w14:paraId="14A1C6AD" w14:textId="362F3DA7" w:rsidR="31FF9146" w:rsidRPr="00672909" w:rsidRDefault="00672909" w:rsidP="001B630C">
      <w:pPr>
        <w:pStyle w:val="Descripcin"/>
        <w:jc w:val="center"/>
        <w:rPr>
          <w:rFonts w:ascii="Arial" w:eastAsia="Arial" w:hAnsi="Arial" w:cs="Arial"/>
          <w:b/>
          <w:i w:val="0"/>
          <w:color w:val="auto"/>
          <w:sz w:val="16"/>
        </w:rPr>
      </w:pPr>
      <w:bookmarkStart w:id="75" w:name="_Toc88677095"/>
      <w:r w:rsidRPr="00672909">
        <w:rPr>
          <w:rFonts w:ascii="Arial" w:hAnsi="Arial" w:cs="Arial"/>
          <w:b/>
          <w:i w:val="0"/>
          <w:color w:val="auto"/>
          <w:sz w:val="16"/>
        </w:rPr>
        <w:t xml:space="preserve">Tabla </w:t>
      </w:r>
      <w:r w:rsidRPr="00672909">
        <w:rPr>
          <w:rFonts w:ascii="Arial" w:hAnsi="Arial" w:cs="Arial"/>
          <w:b/>
          <w:i w:val="0"/>
          <w:color w:val="auto"/>
          <w:sz w:val="16"/>
        </w:rPr>
        <w:fldChar w:fldCharType="begin"/>
      </w:r>
      <w:r w:rsidRPr="00672909">
        <w:rPr>
          <w:rFonts w:ascii="Arial" w:hAnsi="Arial" w:cs="Arial"/>
          <w:b/>
          <w:i w:val="0"/>
          <w:color w:val="auto"/>
          <w:sz w:val="16"/>
        </w:rPr>
        <w:instrText xml:space="preserve"> SEQ Tabla \* ARABIC </w:instrText>
      </w:r>
      <w:r w:rsidRPr="00672909">
        <w:rPr>
          <w:rFonts w:ascii="Arial" w:hAnsi="Arial" w:cs="Arial"/>
          <w:b/>
          <w:i w:val="0"/>
          <w:color w:val="auto"/>
          <w:sz w:val="16"/>
        </w:rPr>
        <w:fldChar w:fldCharType="separate"/>
      </w:r>
      <w:r w:rsidR="004D4C6A">
        <w:rPr>
          <w:rFonts w:ascii="Arial" w:hAnsi="Arial" w:cs="Arial"/>
          <w:b/>
          <w:i w:val="0"/>
          <w:noProof/>
          <w:color w:val="auto"/>
          <w:sz w:val="16"/>
        </w:rPr>
        <w:t>23</w:t>
      </w:r>
      <w:r w:rsidRPr="00672909">
        <w:rPr>
          <w:rFonts w:ascii="Arial" w:hAnsi="Arial" w:cs="Arial"/>
          <w:b/>
          <w:i w:val="0"/>
          <w:color w:val="auto"/>
          <w:sz w:val="16"/>
        </w:rPr>
        <w:fldChar w:fldCharType="end"/>
      </w:r>
      <w:r w:rsidR="0095454D">
        <w:rPr>
          <w:rFonts w:ascii="Arial" w:hAnsi="Arial" w:cs="Arial"/>
          <w:b/>
          <w:i w:val="0"/>
          <w:color w:val="auto"/>
          <w:sz w:val="16"/>
        </w:rPr>
        <w:t xml:space="preserve">. </w:t>
      </w:r>
      <w:r w:rsidRPr="00672909">
        <w:rPr>
          <w:rFonts w:ascii="Arial" w:hAnsi="Arial" w:cs="Arial"/>
          <w:b/>
          <w:i w:val="0"/>
          <w:color w:val="auto"/>
          <w:sz w:val="16"/>
        </w:rPr>
        <w:t>Gestores habilitados desde el año 2020</w:t>
      </w:r>
      <w:bookmarkEnd w:id="75"/>
    </w:p>
    <w:tbl>
      <w:tblPr>
        <w:tblStyle w:val="Tabladecuadrcula4-nfasis1"/>
        <w:tblW w:w="0" w:type="auto"/>
        <w:jc w:val="center"/>
        <w:tblLayout w:type="fixed"/>
        <w:tblLook w:val="06A0" w:firstRow="1" w:lastRow="0" w:firstColumn="1" w:lastColumn="0" w:noHBand="1" w:noVBand="1"/>
      </w:tblPr>
      <w:tblGrid>
        <w:gridCol w:w="735"/>
        <w:gridCol w:w="3345"/>
        <w:gridCol w:w="2505"/>
        <w:gridCol w:w="1350"/>
        <w:gridCol w:w="1215"/>
      </w:tblGrid>
      <w:tr w:rsidR="31FF9146" w14:paraId="3C0F2A1E" w14:textId="77777777" w:rsidTr="00672909">
        <w:trPr>
          <w:cnfStyle w:val="100000000000" w:firstRow="1" w:lastRow="0" w:firstColumn="0" w:lastColumn="0" w:oddVBand="0" w:evenVBand="0" w:oddHBand="0"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18DD9445" w14:textId="4E1BDD7A" w:rsidR="31FF9146" w:rsidRPr="00672909" w:rsidRDefault="31FF9146" w:rsidP="00672909">
            <w:pPr>
              <w:jc w:val="center"/>
              <w:rPr>
                <w:rFonts w:eastAsia="Arial" w:cs="Arial"/>
                <w:sz w:val="18"/>
                <w:szCs w:val="18"/>
              </w:rPr>
            </w:pPr>
            <w:r w:rsidRPr="00672909">
              <w:rPr>
                <w:rFonts w:eastAsia="Arial" w:cs="Arial"/>
                <w:bCs w:val="0"/>
                <w:sz w:val="18"/>
                <w:szCs w:val="18"/>
              </w:rPr>
              <w:t>No.</w:t>
            </w:r>
          </w:p>
        </w:tc>
        <w:tc>
          <w:tcPr>
            <w:tcW w:w="3345" w:type="dxa"/>
            <w:vAlign w:val="center"/>
          </w:tcPr>
          <w:p w14:paraId="2B6452A3" w14:textId="1E0C62B2"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sz w:val="18"/>
                <w:szCs w:val="18"/>
              </w:rPr>
            </w:pPr>
            <w:r w:rsidRPr="00672909">
              <w:rPr>
                <w:rFonts w:eastAsia="Arial" w:cs="Arial"/>
                <w:bCs w:val="0"/>
                <w:sz w:val="18"/>
                <w:szCs w:val="18"/>
              </w:rPr>
              <w:t>Gestor Catastral</w:t>
            </w:r>
          </w:p>
        </w:tc>
        <w:tc>
          <w:tcPr>
            <w:tcW w:w="2505" w:type="dxa"/>
            <w:vAlign w:val="center"/>
          </w:tcPr>
          <w:p w14:paraId="4AA04323" w14:textId="5C33042E"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sz w:val="18"/>
                <w:szCs w:val="18"/>
              </w:rPr>
            </w:pPr>
            <w:r w:rsidRPr="00672909">
              <w:rPr>
                <w:rFonts w:eastAsia="Arial" w:cs="Arial"/>
                <w:bCs w:val="0"/>
                <w:sz w:val="18"/>
                <w:szCs w:val="18"/>
              </w:rPr>
              <w:t>Acto administrativo</w:t>
            </w:r>
          </w:p>
        </w:tc>
        <w:tc>
          <w:tcPr>
            <w:tcW w:w="1350" w:type="dxa"/>
            <w:vAlign w:val="center"/>
          </w:tcPr>
          <w:p w14:paraId="13D9B408" w14:textId="2C34376C"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sz w:val="18"/>
                <w:szCs w:val="18"/>
              </w:rPr>
            </w:pPr>
            <w:r w:rsidRPr="00672909">
              <w:rPr>
                <w:rFonts w:eastAsia="Arial" w:cs="Arial"/>
                <w:bCs w:val="0"/>
                <w:sz w:val="18"/>
                <w:szCs w:val="18"/>
              </w:rPr>
              <w:t>Area (Ha)</w:t>
            </w:r>
          </w:p>
        </w:tc>
        <w:tc>
          <w:tcPr>
            <w:tcW w:w="1215" w:type="dxa"/>
            <w:vAlign w:val="center"/>
          </w:tcPr>
          <w:p w14:paraId="367DD2D2" w14:textId="6A3EF47C"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sz w:val="18"/>
                <w:szCs w:val="18"/>
              </w:rPr>
            </w:pPr>
            <w:r w:rsidRPr="00672909">
              <w:rPr>
                <w:rFonts w:eastAsia="Arial" w:cs="Arial"/>
                <w:bCs w:val="0"/>
                <w:sz w:val="18"/>
                <w:szCs w:val="18"/>
              </w:rPr>
              <w:t>No. Municipios</w:t>
            </w:r>
          </w:p>
        </w:tc>
      </w:tr>
      <w:tr w:rsidR="31FF9146" w14:paraId="71B22816" w14:textId="77777777" w:rsidTr="00672909">
        <w:trPr>
          <w:trHeight w:val="72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6153EBE5" w14:textId="363EFDCC"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345" w:type="dxa"/>
            <w:vAlign w:val="center"/>
          </w:tcPr>
          <w:p w14:paraId="0FD51EBA" w14:textId="299B4A7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Municipios Asociados del Altiplano del  Oriente Antioqueño (MASORA)</w:t>
            </w:r>
          </w:p>
        </w:tc>
        <w:tc>
          <w:tcPr>
            <w:tcW w:w="2505" w:type="dxa"/>
            <w:vAlign w:val="center"/>
          </w:tcPr>
          <w:p w14:paraId="4BF67F0C" w14:textId="4584520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307 de 2020</w:t>
            </w:r>
          </w:p>
        </w:tc>
        <w:tc>
          <w:tcPr>
            <w:tcW w:w="1350" w:type="dxa"/>
            <w:vAlign w:val="center"/>
          </w:tcPr>
          <w:p w14:paraId="53A6D316" w14:textId="432ABE1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55.755</w:t>
            </w:r>
          </w:p>
        </w:tc>
        <w:tc>
          <w:tcPr>
            <w:tcW w:w="1215" w:type="dxa"/>
            <w:vAlign w:val="center"/>
          </w:tcPr>
          <w:p w14:paraId="749514E4" w14:textId="7152310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3</w:t>
            </w:r>
          </w:p>
        </w:tc>
      </w:tr>
      <w:tr w:rsidR="31FF9146" w14:paraId="6DA93B40"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5D2B77DF" w14:textId="004CBDFA"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w:t>
            </w:r>
          </w:p>
        </w:tc>
        <w:tc>
          <w:tcPr>
            <w:tcW w:w="3345" w:type="dxa"/>
            <w:vAlign w:val="center"/>
          </w:tcPr>
          <w:p w14:paraId="313B55ED" w14:textId="1B20DFF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Soacha</w:t>
            </w:r>
          </w:p>
        </w:tc>
        <w:tc>
          <w:tcPr>
            <w:tcW w:w="2505" w:type="dxa"/>
            <w:vAlign w:val="center"/>
          </w:tcPr>
          <w:p w14:paraId="61EE679F" w14:textId="573CA66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377 de 2020</w:t>
            </w:r>
          </w:p>
        </w:tc>
        <w:tc>
          <w:tcPr>
            <w:tcW w:w="1350" w:type="dxa"/>
            <w:vAlign w:val="center"/>
          </w:tcPr>
          <w:p w14:paraId="226CAFB0" w14:textId="000D6E7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18.745</w:t>
            </w:r>
          </w:p>
        </w:tc>
        <w:tc>
          <w:tcPr>
            <w:tcW w:w="1215" w:type="dxa"/>
            <w:vAlign w:val="center"/>
          </w:tcPr>
          <w:p w14:paraId="2B439A04" w14:textId="766BDAC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E3AE844" w14:textId="77777777" w:rsidTr="00672909">
        <w:trPr>
          <w:trHeight w:val="900"/>
          <w:jc w:val="center"/>
        </w:trPr>
        <w:tc>
          <w:tcPr>
            <w:cnfStyle w:val="001000000000" w:firstRow="0" w:lastRow="0" w:firstColumn="1" w:lastColumn="0" w:oddVBand="0" w:evenVBand="0" w:oddHBand="0" w:evenHBand="0" w:firstRowFirstColumn="0" w:firstRowLastColumn="0" w:lastRowFirstColumn="0" w:lastRowLastColumn="0"/>
            <w:tcW w:w="735" w:type="dxa"/>
            <w:vMerge w:val="restart"/>
            <w:vAlign w:val="center"/>
          </w:tcPr>
          <w:p w14:paraId="6599D00E" w14:textId="4CC98574"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w:t>
            </w:r>
          </w:p>
        </w:tc>
        <w:tc>
          <w:tcPr>
            <w:tcW w:w="3345" w:type="dxa"/>
            <w:vMerge w:val="restart"/>
            <w:vAlign w:val="center"/>
          </w:tcPr>
          <w:p w14:paraId="04551EFB" w14:textId="6A119585"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Departamento Valle del Cauca</w:t>
            </w:r>
          </w:p>
        </w:tc>
        <w:tc>
          <w:tcPr>
            <w:tcW w:w="2505" w:type="dxa"/>
            <w:vAlign w:val="center"/>
          </w:tcPr>
          <w:p w14:paraId="1BB7B370" w14:textId="3FA1FC1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1546 16-12-2019</w:t>
            </w:r>
          </w:p>
        </w:tc>
        <w:tc>
          <w:tcPr>
            <w:tcW w:w="1350" w:type="dxa"/>
            <w:vMerge w:val="restart"/>
            <w:vAlign w:val="center"/>
          </w:tcPr>
          <w:p w14:paraId="4316B82A" w14:textId="569F6A9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621.687</w:t>
            </w:r>
          </w:p>
        </w:tc>
        <w:tc>
          <w:tcPr>
            <w:tcW w:w="1215" w:type="dxa"/>
            <w:vMerge w:val="restart"/>
            <w:vAlign w:val="center"/>
          </w:tcPr>
          <w:p w14:paraId="0E3916AE" w14:textId="1404956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21</w:t>
            </w:r>
          </w:p>
        </w:tc>
      </w:tr>
      <w:tr w:rsidR="31FF9146" w14:paraId="33219DC1"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Merge/>
            <w:vAlign w:val="center"/>
          </w:tcPr>
          <w:p w14:paraId="6D3229BF" w14:textId="77777777" w:rsidR="0071119F" w:rsidRDefault="0071119F" w:rsidP="00672909">
            <w:pPr>
              <w:jc w:val="center"/>
            </w:pPr>
          </w:p>
        </w:tc>
        <w:tc>
          <w:tcPr>
            <w:tcW w:w="3345" w:type="dxa"/>
            <w:vMerge/>
            <w:vAlign w:val="center"/>
          </w:tcPr>
          <w:p w14:paraId="015F1E9E" w14:textId="77777777" w:rsidR="0071119F" w:rsidRPr="00672909" w:rsidRDefault="0071119F" w:rsidP="00672909">
            <w:pPr>
              <w:jc w:val="center"/>
              <w:cnfStyle w:val="000000000000" w:firstRow="0" w:lastRow="0" w:firstColumn="0" w:lastColumn="0" w:oddVBand="0" w:evenVBand="0" w:oddHBand="0" w:evenHBand="0" w:firstRowFirstColumn="0" w:firstRowLastColumn="0" w:lastRowFirstColumn="0" w:lastRowLastColumn="0"/>
              <w:rPr>
                <w:b/>
              </w:rPr>
            </w:pPr>
          </w:p>
        </w:tc>
        <w:tc>
          <w:tcPr>
            <w:tcW w:w="2505" w:type="dxa"/>
            <w:vAlign w:val="center"/>
          </w:tcPr>
          <w:p w14:paraId="48CF8346" w14:textId="4451B47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Mod. Res. 444 06-05-2020</w:t>
            </w:r>
          </w:p>
        </w:tc>
        <w:tc>
          <w:tcPr>
            <w:tcW w:w="1350" w:type="dxa"/>
            <w:vMerge/>
            <w:vAlign w:val="center"/>
          </w:tcPr>
          <w:p w14:paraId="673C59AE" w14:textId="77777777" w:rsidR="0071119F" w:rsidRDefault="0071119F" w:rsidP="00672909">
            <w:pPr>
              <w:jc w:val="center"/>
              <w:cnfStyle w:val="000000000000" w:firstRow="0" w:lastRow="0" w:firstColumn="0" w:lastColumn="0" w:oddVBand="0" w:evenVBand="0" w:oddHBand="0" w:evenHBand="0" w:firstRowFirstColumn="0" w:firstRowLastColumn="0" w:lastRowFirstColumn="0" w:lastRowLastColumn="0"/>
            </w:pPr>
          </w:p>
        </w:tc>
        <w:tc>
          <w:tcPr>
            <w:tcW w:w="1215" w:type="dxa"/>
            <w:vMerge/>
            <w:vAlign w:val="center"/>
          </w:tcPr>
          <w:p w14:paraId="0478B74D" w14:textId="77777777" w:rsidR="0071119F" w:rsidRDefault="0071119F" w:rsidP="00672909">
            <w:pPr>
              <w:jc w:val="center"/>
              <w:cnfStyle w:val="000000000000" w:firstRow="0" w:lastRow="0" w:firstColumn="0" w:lastColumn="0" w:oddVBand="0" w:evenVBand="0" w:oddHBand="0" w:evenHBand="0" w:firstRowFirstColumn="0" w:firstRowLastColumn="0" w:lastRowFirstColumn="0" w:lastRowLastColumn="0"/>
            </w:pPr>
          </w:p>
        </w:tc>
      </w:tr>
      <w:tr w:rsidR="31FF9146" w14:paraId="5A2013AE"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Merge/>
            <w:vAlign w:val="center"/>
          </w:tcPr>
          <w:p w14:paraId="21BBE50D" w14:textId="77777777" w:rsidR="0071119F" w:rsidRDefault="0071119F" w:rsidP="00672909">
            <w:pPr>
              <w:jc w:val="center"/>
            </w:pPr>
          </w:p>
        </w:tc>
        <w:tc>
          <w:tcPr>
            <w:tcW w:w="3345" w:type="dxa"/>
            <w:vMerge/>
            <w:vAlign w:val="center"/>
          </w:tcPr>
          <w:p w14:paraId="7B7394E5" w14:textId="77777777" w:rsidR="0071119F" w:rsidRPr="00672909" w:rsidRDefault="0071119F" w:rsidP="00672909">
            <w:pPr>
              <w:jc w:val="center"/>
              <w:cnfStyle w:val="000000000000" w:firstRow="0" w:lastRow="0" w:firstColumn="0" w:lastColumn="0" w:oddVBand="0" w:evenVBand="0" w:oddHBand="0" w:evenHBand="0" w:firstRowFirstColumn="0" w:firstRowLastColumn="0" w:lastRowFirstColumn="0" w:lastRowLastColumn="0"/>
              <w:rPr>
                <w:b/>
              </w:rPr>
            </w:pPr>
          </w:p>
        </w:tc>
        <w:tc>
          <w:tcPr>
            <w:tcW w:w="2505" w:type="dxa"/>
            <w:vAlign w:val="center"/>
          </w:tcPr>
          <w:p w14:paraId="213A0334" w14:textId="0D85CB9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Mod. Res 609 30-06-2020</w:t>
            </w:r>
          </w:p>
        </w:tc>
        <w:tc>
          <w:tcPr>
            <w:tcW w:w="1350" w:type="dxa"/>
            <w:vMerge/>
            <w:vAlign w:val="center"/>
          </w:tcPr>
          <w:p w14:paraId="74C38639" w14:textId="77777777" w:rsidR="0071119F" w:rsidRDefault="0071119F" w:rsidP="00672909">
            <w:pPr>
              <w:jc w:val="center"/>
              <w:cnfStyle w:val="000000000000" w:firstRow="0" w:lastRow="0" w:firstColumn="0" w:lastColumn="0" w:oddVBand="0" w:evenVBand="0" w:oddHBand="0" w:evenHBand="0" w:firstRowFirstColumn="0" w:firstRowLastColumn="0" w:lastRowFirstColumn="0" w:lastRowLastColumn="0"/>
            </w:pPr>
          </w:p>
        </w:tc>
        <w:tc>
          <w:tcPr>
            <w:tcW w:w="1215" w:type="dxa"/>
            <w:vMerge/>
            <w:vAlign w:val="center"/>
          </w:tcPr>
          <w:p w14:paraId="211C5B9F" w14:textId="77777777" w:rsidR="0071119F" w:rsidRDefault="0071119F" w:rsidP="00672909">
            <w:pPr>
              <w:jc w:val="center"/>
              <w:cnfStyle w:val="000000000000" w:firstRow="0" w:lastRow="0" w:firstColumn="0" w:lastColumn="0" w:oddVBand="0" w:evenVBand="0" w:oddHBand="0" w:evenHBand="0" w:firstRowFirstColumn="0" w:firstRowLastColumn="0" w:lastRowFirstColumn="0" w:lastRowLastColumn="0"/>
            </w:pPr>
          </w:p>
        </w:tc>
      </w:tr>
      <w:tr w:rsidR="31FF9146" w14:paraId="5305E174" w14:textId="77777777" w:rsidTr="00672909">
        <w:trPr>
          <w:trHeight w:val="405"/>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5C9EBBE" w14:textId="60E14CAE"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4</w:t>
            </w:r>
          </w:p>
        </w:tc>
        <w:tc>
          <w:tcPr>
            <w:tcW w:w="3345" w:type="dxa"/>
            <w:vAlign w:val="center"/>
          </w:tcPr>
          <w:p w14:paraId="15A882AD" w14:textId="3E4798B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Área Metropolitana de Barranquilla</w:t>
            </w:r>
          </w:p>
        </w:tc>
        <w:tc>
          <w:tcPr>
            <w:tcW w:w="2505" w:type="dxa"/>
            <w:vAlign w:val="center"/>
          </w:tcPr>
          <w:p w14:paraId="20F652BA" w14:textId="5BBA4E5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602 de 2020</w:t>
            </w:r>
          </w:p>
        </w:tc>
        <w:tc>
          <w:tcPr>
            <w:tcW w:w="1350" w:type="dxa"/>
            <w:vAlign w:val="center"/>
          </w:tcPr>
          <w:p w14:paraId="7BEAFD7F" w14:textId="155D343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26.602</w:t>
            </w:r>
          </w:p>
        </w:tc>
        <w:tc>
          <w:tcPr>
            <w:tcW w:w="1215" w:type="dxa"/>
            <w:vAlign w:val="center"/>
          </w:tcPr>
          <w:p w14:paraId="4F1B8E3C" w14:textId="45D3675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3</w:t>
            </w:r>
          </w:p>
        </w:tc>
      </w:tr>
      <w:tr w:rsidR="31FF9146" w14:paraId="2B748645"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16583B40" w14:textId="33A98B3C"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5</w:t>
            </w:r>
          </w:p>
        </w:tc>
        <w:tc>
          <w:tcPr>
            <w:tcW w:w="3345" w:type="dxa"/>
            <w:vAlign w:val="center"/>
          </w:tcPr>
          <w:p w14:paraId="64DE2F8B" w14:textId="0A4F416F"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Departamento de Cundinamarca</w:t>
            </w:r>
          </w:p>
        </w:tc>
        <w:tc>
          <w:tcPr>
            <w:tcW w:w="2505" w:type="dxa"/>
            <w:vAlign w:val="center"/>
          </w:tcPr>
          <w:p w14:paraId="49EA54D5" w14:textId="1D8E017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727 de 2020</w:t>
            </w:r>
          </w:p>
        </w:tc>
        <w:tc>
          <w:tcPr>
            <w:tcW w:w="1350" w:type="dxa"/>
            <w:vAlign w:val="center"/>
          </w:tcPr>
          <w:p w14:paraId="485F403D" w14:textId="31F0E73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1.405.287</w:t>
            </w:r>
          </w:p>
        </w:tc>
        <w:tc>
          <w:tcPr>
            <w:tcW w:w="1215" w:type="dxa"/>
            <w:vAlign w:val="center"/>
          </w:tcPr>
          <w:p w14:paraId="0F215980" w14:textId="54CAB82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71</w:t>
            </w:r>
          </w:p>
        </w:tc>
      </w:tr>
      <w:tr w:rsidR="31FF9146" w14:paraId="0CDC60EA"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339F8074" w14:textId="6BDBDACB"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6</w:t>
            </w:r>
          </w:p>
        </w:tc>
        <w:tc>
          <w:tcPr>
            <w:tcW w:w="3345" w:type="dxa"/>
            <w:vAlign w:val="center"/>
          </w:tcPr>
          <w:p w14:paraId="2333B2D3" w14:textId="6C659B6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Fusagasugá</w:t>
            </w:r>
          </w:p>
        </w:tc>
        <w:tc>
          <w:tcPr>
            <w:tcW w:w="2505" w:type="dxa"/>
            <w:vAlign w:val="center"/>
          </w:tcPr>
          <w:p w14:paraId="1C19E932" w14:textId="1107896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765 de 2020</w:t>
            </w:r>
          </w:p>
        </w:tc>
        <w:tc>
          <w:tcPr>
            <w:tcW w:w="1350" w:type="dxa"/>
            <w:vAlign w:val="center"/>
          </w:tcPr>
          <w:p w14:paraId="4E50D722" w14:textId="05EB56B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19.395</w:t>
            </w:r>
          </w:p>
        </w:tc>
        <w:tc>
          <w:tcPr>
            <w:tcW w:w="1215" w:type="dxa"/>
            <w:vAlign w:val="center"/>
          </w:tcPr>
          <w:p w14:paraId="4BE7C88A" w14:textId="42AF329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B72AC3A"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26991D56" w14:textId="692FC754"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7</w:t>
            </w:r>
          </w:p>
        </w:tc>
        <w:tc>
          <w:tcPr>
            <w:tcW w:w="3345" w:type="dxa"/>
            <w:vAlign w:val="center"/>
          </w:tcPr>
          <w:p w14:paraId="5529E954" w14:textId="68FECC3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Distrito de Santa Marta</w:t>
            </w:r>
          </w:p>
        </w:tc>
        <w:tc>
          <w:tcPr>
            <w:tcW w:w="2505" w:type="dxa"/>
            <w:vAlign w:val="center"/>
          </w:tcPr>
          <w:p w14:paraId="5C68CB46" w14:textId="11ED26A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766 de 2020</w:t>
            </w:r>
          </w:p>
        </w:tc>
        <w:tc>
          <w:tcPr>
            <w:tcW w:w="1350" w:type="dxa"/>
            <w:vAlign w:val="center"/>
          </w:tcPr>
          <w:p w14:paraId="597C0E3A" w14:textId="7F755A4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234.713</w:t>
            </w:r>
          </w:p>
        </w:tc>
        <w:tc>
          <w:tcPr>
            <w:tcW w:w="1215" w:type="dxa"/>
            <w:vAlign w:val="center"/>
          </w:tcPr>
          <w:p w14:paraId="09FADEE5" w14:textId="44AB5F5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FE4A271"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70F3D66D" w14:textId="51EFE7B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8</w:t>
            </w:r>
          </w:p>
        </w:tc>
        <w:tc>
          <w:tcPr>
            <w:tcW w:w="3345" w:type="dxa"/>
            <w:vAlign w:val="center"/>
          </w:tcPr>
          <w:p w14:paraId="426E4342" w14:textId="7B9979FF"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San José de Cúcuta</w:t>
            </w:r>
          </w:p>
        </w:tc>
        <w:tc>
          <w:tcPr>
            <w:tcW w:w="2505" w:type="dxa"/>
            <w:vAlign w:val="center"/>
          </w:tcPr>
          <w:p w14:paraId="1A616D43" w14:textId="49EA2B04"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787 de 2020</w:t>
            </w:r>
          </w:p>
        </w:tc>
        <w:tc>
          <w:tcPr>
            <w:tcW w:w="1350" w:type="dxa"/>
            <w:vAlign w:val="center"/>
          </w:tcPr>
          <w:p w14:paraId="62CC3CB3" w14:textId="78EFFCE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113.313</w:t>
            </w:r>
          </w:p>
        </w:tc>
        <w:tc>
          <w:tcPr>
            <w:tcW w:w="1215" w:type="dxa"/>
            <w:vAlign w:val="center"/>
          </w:tcPr>
          <w:p w14:paraId="19BE4B6D" w14:textId="35BA880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47EAC02" w14:textId="77777777" w:rsidTr="00672909">
        <w:trPr>
          <w:trHeight w:val="48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23594E0" w14:textId="37810A33"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9</w:t>
            </w:r>
          </w:p>
        </w:tc>
        <w:tc>
          <w:tcPr>
            <w:tcW w:w="3345" w:type="dxa"/>
            <w:vAlign w:val="center"/>
          </w:tcPr>
          <w:p w14:paraId="3602446C" w14:textId="6C7126E2"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Área Metropolitana del Valle de Aburrá (AMVA)</w:t>
            </w:r>
          </w:p>
        </w:tc>
        <w:tc>
          <w:tcPr>
            <w:tcW w:w="2505" w:type="dxa"/>
            <w:vAlign w:val="center"/>
          </w:tcPr>
          <w:p w14:paraId="24211776" w14:textId="4BED9C9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800 de 2020</w:t>
            </w:r>
          </w:p>
        </w:tc>
        <w:tc>
          <w:tcPr>
            <w:tcW w:w="1350" w:type="dxa"/>
            <w:vAlign w:val="center"/>
          </w:tcPr>
          <w:p w14:paraId="37E8F581" w14:textId="56BCB87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50.404</w:t>
            </w:r>
          </w:p>
        </w:tc>
        <w:tc>
          <w:tcPr>
            <w:tcW w:w="1215" w:type="dxa"/>
            <w:vAlign w:val="center"/>
          </w:tcPr>
          <w:p w14:paraId="7982E2D0" w14:textId="13AF5FF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4</w:t>
            </w:r>
          </w:p>
        </w:tc>
      </w:tr>
      <w:tr w:rsidR="31FF9146" w14:paraId="35B4471C"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21C09AEF" w14:textId="759C593D"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10</w:t>
            </w:r>
          </w:p>
        </w:tc>
        <w:tc>
          <w:tcPr>
            <w:tcW w:w="3345" w:type="dxa"/>
            <w:vAlign w:val="center"/>
          </w:tcPr>
          <w:p w14:paraId="34819533" w14:textId="0A186EF3"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Rionegro</w:t>
            </w:r>
          </w:p>
        </w:tc>
        <w:tc>
          <w:tcPr>
            <w:tcW w:w="2505" w:type="dxa"/>
            <w:vAlign w:val="center"/>
          </w:tcPr>
          <w:p w14:paraId="153D542E" w14:textId="6665286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937 de 2020</w:t>
            </w:r>
          </w:p>
        </w:tc>
        <w:tc>
          <w:tcPr>
            <w:tcW w:w="1350" w:type="dxa"/>
            <w:vAlign w:val="center"/>
          </w:tcPr>
          <w:p w14:paraId="6759A97A" w14:textId="55158DC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19.594</w:t>
            </w:r>
          </w:p>
        </w:tc>
        <w:tc>
          <w:tcPr>
            <w:tcW w:w="1215" w:type="dxa"/>
            <w:vAlign w:val="center"/>
          </w:tcPr>
          <w:p w14:paraId="532CD092" w14:textId="37FEB80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EE552DE"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650EC107" w14:textId="51CD0117"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11</w:t>
            </w:r>
          </w:p>
        </w:tc>
        <w:tc>
          <w:tcPr>
            <w:tcW w:w="3345" w:type="dxa"/>
            <w:vAlign w:val="center"/>
          </w:tcPr>
          <w:p w14:paraId="2BFD0314" w14:textId="40AFB63B"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Sincelejo</w:t>
            </w:r>
          </w:p>
        </w:tc>
        <w:tc>
          <w:tcPr>
            <w:tcW w:w="2505" w:type="dxa"/>
            <w:vAlign w:val="center"/>
          </w:tcPr>
          <w:p w14:paraId="09295AAC" w14:textId="79D4481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1030 de 2020</w:t>
            </w:r>
          </w:p>
        </w:tc>
        <w:tc>
          <w:tcPr>
            <w:tcW w:w="1350" w:type="dxa"/>
            <w:vAlign w:val="center"/>
          </w:tcPr>
          <w:p w14:paraId="689B58D2" w14:textId="4E4C9EB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27.997</w:t>
            </w:r>
          </w:p>
        </w:tc>
        <w:tc>
          <w:tcPr>
            <w:tcW w:w="1215" w:type="dxa"/>
            <w:vAlign w:val="center"/>
          </w:tcPr>
          <w:p w14:paraId="78E760C5" w14:textId="0506217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993E3E6"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6C01CC60" w14:textId="5FDF1CDB"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12</w:t>
            </w:r>
          </w:p>
        </w:tc>
        <w:tc>
          <w:tcPr>
            <w:tcW w:w="3345" w:type="dxa"/>
            <w:vAlign w:val="center"/>
          </w:tcPr>
          <w:p w14:paraId="18C9BD64" w14:textId="0D62F0E0"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Sesquilé</w:t>
            </w:r>
          </w:p>
        </w:tc>
        <w:tc>
          <w:tcPr>
            <w:tcW w:w="2505" w:type="dxa"/>
            <w:vAlign w:val="center"/>
          </w:tcPr>
          <w:p w14:paraId="206AC851" w14:textId="7A149CC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1057 de 2020</w:t>
            </w:r>
          </w:p>
        </w:tc>
        <w:tc>
          <w:tcPr>
            <w:tcW w:w="1350" w:type="dxa"/>
            <w:vAlign w:val="center"/>
          </w:tcPr>
          <w:p w14:paraId="642A8DB1" w14:textId="3678D76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14.115</w:t>
            </w:r>
          </w:p>
        </w:tc>
        <w:tc>
          <w:tcPr>
            <w:tcW w:w="1215" w:type="dxa"/>
            <w:vAlign w:val="center"/>
          </w:tcPr>
          <w:p w14:paraId="713BC271" w14:textId="6033515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D0ECEF5"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94DB710" w14:textId="03CFA58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13</w:t>
            </w:r>
          </w:p>
        </w:tc>
        <w:tc>
          <w:tcPr>
            <w:tcW w:w="3345" w:type="dxa"/>
            <w:vAlign w:val="center"/>
          </w:tcPr>
          <w:p w14:paraId="72DD6B32" w14:textId="500E3C6E"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Envigado</w:t>
            </w:r>
          </w:p>
        </w:tc>
        <w:tc>
          <w:tcPr>
            <w:tcW w:w="2505" w:type="dxa"/>
            <w:vAlign w:val="center"/>
          </w:tcPr>
          <w:p w14:paraId="0F98037F" w14:textId="4D3122A0"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95 de 2021</w:t>
            </w:r>
          </w:p>
        </w:tc>
        <w:tc>
          <w:tcPr>
            <w:tcW w:w="1350" w:type="dxa"/>
            <w:vAlign w:val="center"/>
          </w:tcPr>
          <w:p w14:paraId="644ED368" w14:textId="603319E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7.800</w:t>
            </w:r>
          </w:p>
        </w:tc>
        <w:tc>
          <w:tcPr>
            <w:tcW w:w="1215" w:type="dxa"/>
            <w:vAlign w:val="center"/>
          </w:tcPr>
          <w:p w14:paraId="5B8855EF" w14:textId="73E8FF5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2704D4E"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3BFC7AC6" w14:textId="710A25B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14</w:t>
            </w:r>
          </w:p>
        </w:tc>
        <w:tc>
          <w:tcPr>
            <w:tcW w:w="3345" w:type="dxa"/>
            <w:vAlign w:val="center"/>
          </w:tcPr>
          <w:p w14:paraId="09D7AD41" w14:textId="2D55FCA1"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Zipaquirá</w:t>
            </w:r>
          </w:p>
        </w:tc>
        <w:tc>
          <w:tcPr>
            <w:tcW w:w="2505" w:type="dxa"/>
            <w:vAlign w:val="center"/>
          </w:tcPr>
          <w:p w14:paraId="15C8E73D" w14:textId="56C97ED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96 de 2021</w:t>
            </w:r>
          </w:p>
        </w:tc>
        <w:tc>
          <w:tcPr>
            <w:tcW w:w="1350" w:type="dxa"/>
            <w:vAlign w:val="center"/>
          </w:tcPr>
          <w:p w14:paraId="318DE0D5" w14:textId="062ECF5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19.482</w:t>
            </w:r>
          </w:p>
        </w:tc>
        <w:tc>
          <w:tcPr>
            <w:tcW w:w="1215" w:type="dxa"/>
            <w:vAlign w:val="center"/>
          </w:tcPr>
          <w:p w14:paraId="68242C7E" w14:textId="66A8BF9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1EA597D"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1134840F" w14:textId="0B13A320"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15</w:t>
            </w:r>
          </w:p>
        </w:tc>
        <w:tc>
          <w:tcPr>
            <w:tcW w:w="3345" w:type="dxa"/>
            <w:vAlign w:val="center"/>
          </w:tcPr>
          <w:p w14:paraId="5EFE684B" w14:textId="0B65ABC4"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Armenia</w:t>
            </w:r>
          </w:p>
        </w:tc>
        <w:tc>
          <w:tcPr>
            <w:tcW w:w="2505" w:type="dxa"/>
            <w:vAlign w:val="center"/>
          </w:tcPr>
          <w:p w14:paraId="0E1ADA9A" w14:textId="567B26F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201 de 2021</w:t>
            </w:r>
          </w:p>
        </w:tc>
        <w:tc>
          <w:tcPr>
            <w:tcW w:w="1350" w:type="dxa"/>
            <w:vAlign w:val="center"/>
          </w:tcPr>
          <w:p w14:paraId="646E65B3" w14:textId="468239F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12.162</w:t>
            </w:r>
          </w:p>
        </w:tc>
        <w:tc>
          <w:tcPr>
            <w:tcW w:w="1215" w:type="dxa"/>
            <w:vAlign w:val="center"/>
          </w:tcPr>
          <w:p w14:paraId="2D7DDF1E" w14:textId="744FEBC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9B815D4"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9039FA2" w14:textId="4D92A460"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16</w:t>
            </w:r>
          </w:p>
        </w:tc>
        <w:tc>
          <w:tcPr>
            <w:tcW w:w="3345" w:type="dxa"/>
            <w:vAlign w:val="center"/>
          </w:tcPr>
          <w:p w14:paraId="5869E7A9" w14:textId="0DB8DE21"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Jamundí</w:t>
            </w:r>
          </w:p>
        </w:tc>
        <w:tc>
          <w:tcPr>
            <w:tcW w:w="2505" w:type="dxa"/>
            <w:vAlign w:val="center"/>
          </w:tcPr>
          <w:p w14:paraId="3F90F792" w14:textId="082E570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202 de 2021</w:t>
            </w:r>
          </w:p>
        </w:tc>
        <w:tc>
          <w:tcPr>
            <w:tcW w:w="1350" w:type="dxa"/>
            <w:vAlign w:val="center"/>
          </w:tcPr>
          <w:p w14:paraId="7421F6E1" w14:textId="3E88D30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62.893</w:t>
            </w:r>
          </w:p>
        </w:tc>
        <w:tc>
          <w:tcPr>
            <w:tcW w:w="1215" w:type="dxa"/>
            <w:vAlign w:val="center"/>
          </w:tcPr>
          <w:p w14:paraId="49F05E37" w14:textId="2E780EE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77CF9FF"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5CD80E0" w14:textId="74CC91FC"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17</w:t>
            </w:r>
          </w:p>
        </w:tc>
        <w:tc>
          <w:tcPr>
            <w:tcW w:w="3345" w:type="dxa"/>
            <w:vAlign w:val="center"/>
          </w:tcPr>
          <w:p w14:paraId="223745ED" w14:textId="67095B78"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Sabaneta</w:t>
            </w:r>
          </w:p>
        </w:tc>
        <w:tc>
          <w:tcPr>
            <w:tcW w:w="2505" w:type="dxa"/>
            <w:vAlign w:val="center"/>
          </w:tcPr>
          <w:p w14:paraId="0B558808" w14:textId="6D06EC3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244 de 2021</w:t>
            </w:r>
          </w:p>
        </w:tc>
        <w:tc>
          <w:tcPr>
            <w:tcW w:w="1350" w:type="dxa"/>
            <w:vAlign w:val="center"/>
          </w:tcPr>
          <w:p w14:paraId="5E4BEE52" w14:textId="5E772ED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1.583</w:t>
            </w:r>
          </w:p>
        </w:tc>
        <w:tc>
          <w:tcPr>
            <w:tcW w:w="1215" w:type="dxa"/>
            <w:vAlign w:val="center"/>
          </w:tcPr>
          <w:p w14:paraId="5EEAD7F6" w14:textId="63A2C87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551BD57"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0811546E" w14:textId="3DA13A8C"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18</w:t>
            </w:r>
          </w:p>
        </w:tc>
        <w:tc>
          <w:tcPr>
            <w:tcW w:w="3345" w:type="dxa"/>
            <w:vAlign w:val="center"/>
          </w:tcPr>
          <w:p w14:paraId="025B0051" w14:textId="6D4FDFC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Neiva</w:t>
            </w:r>
          </w:p>
        </w:tc>
        <w:tc>
          <w:tcPr>
            <w:tcW w:w="2505" w:type="dxa"/>
            <w:vAlign w:val="center"/>
          </w:tcPr>
          <w:p w14:paraId="01CE9196" w14:textId="2C49BE9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249 de 2021</w:t>
            </w:r>
          </w:p>
        </w:tc>
        <w:tc>
          <w:tcPr>
            <w:tcW w:w="1350" w:type="dxa"/>
            <w:vAlign w:val="center"/>
          </w:tcPr>
          <w:p w14:paraId="79F4EC34" w14:textId="1D14A6F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126.983</w:t>
            </w:r>
          </w:p>
        </w:tc>
        <w:tc>
          <w:tcPr>
            <w:tcW w:w="1215" w:type="dxa"/>
            <w:vAlign w:val="center"/>
          </w:tcPr>
          <w:p w14:paraId="3F71243E" w14:textId="650A691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F48F4DB"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2D3BBA2C" w14:textId="2421C8A1"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19</w:t>
            </w:r>
          </w:p>
        </w:tc>
        <w:tc>
          <w:tcPr>
            <w:tcW w:w="3345" w:type="dxa"/>
            <w:vAlign w:val="center"/>
          </w:tcPr>
          <w:p w14:paraId="539361B6" w14:textId="3F1A822F"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Valledupar</w:t>
            </w:r>
          </w:p>
        </w:tc>
        <w:tc>
          <w:tcPr>
            <w:tcW w:w="2505" w:type="dxa"/>
            <w:vAlign w:val="center"/>
          </w:tcPr>
          <w:p w14:paraId="2DB724BE" w14:textId="770119A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486 de 2021</w:t>
            </w:r>
          </w:p>
        </w:tc>
        <w:tc>
          <w:tcPr>
            <w:tcW w:w="1350" w:type="dxa"/>
            <w:vAlign w:val="center"/>
          </w:tcPr>
          <w:p w14:paraId="7F08D8CB" w14:textId="1C3FFC0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418.579</w:t>
            </w:r>
          </w:p>
        </w:tc>
        <w:tc>
          <w:tcPr>
            <w:tcW w:w="1215" w:type="dxa"/>
            <w:vAlign w:val="center"/>
          </w:tcPr>
          <w:p w14:paraId="59D34B2E" w14:textId="6757EB9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72857DB"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1823B99E" w14:textId="004291BD"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20</w:t>
            </w:r>
          </w:p>
        </w:tc>
        <w:tc>
          <w:tcPr>
            <w:tcW w:w="3345" w:type="dxa"/>
            <w:vAlign w:val="center"/>
          </w:tcPr>
          <w:p w14:paraId="2585D7C7" w14:textId="14DDA042"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Ibagué</w:t>
            </w:r>
          </w:p>
        </w:tc>
        <w:tc>
          <w:tcPr>
            <w:tcW w:w="2505" w:type="dxa"/>
            <w:vAlign w:val="center"/>
          </w:tcPr>
          <w:p w14:paraId="2D99FF2C" w14:textId="1559B7F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494 de 2021</w:t>
            </w:r>
          </w:p>
        </w:tc>
        <w:tc>
          <w:tcPr>
            <w:tcW w:w="1350" w:type="dxa"/>
            <w:vAlign w:val="center"/>
          </w:tcPr>
          <w:p w14:paraId="60628B8F" w14:textId="7253EB4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166.227</w:t>
            </w:r>
          </w:p>
        </w:tc>
        <w:tc>
          <w:tcPr>
            <w:tcW w:w="1215" w:type="dxa"/>
            <w:vAlign w:val="center"/>
          </w:tcPr>
          <w:p w14:paraId="6B8D3FCF" w14:textId="391D79C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591B89A3"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5B020900" w14:textId="2DF3DC47"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21</w:t>
            </w:r>
          </w:p>
        </w:tc>
        <w:tc>
          <w:tcPr>
            <w:tcW w:w="3345" w:type="dxa"/>
            <w:vAlign w:val="center"/>
          </w:tcPr>
          <w:p w14:paraId="5115EA76" w14:textId="7F564F63"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Asomunicipios</w:t>
            </w:r>
          </w:p>
        </w:tc>
        <w:tc>
          <w:tcPr>
            <w:tcW w:w="2505" w:type="dxa"/>
            <w:vAlign w:val="center"/>
          </w:tcPr>
          <w:p w14:paraId="6BA65F5D" w14:textId="2D3072D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758 de 2021</w:t>
            </w:r>
          </w:p>
        </w:tc>
        <w:tc>
          <w:tcPr>
            <w:tcW w:w="1350" w:type="dxa"/>
            <w:vAlign w:val="center"/>
          </w:tcPr>
          <w:p w14:paraId="6A689737" w14:textId="18049AD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963.628</w:t>
            </w:r>
          </w:p>
        </w:tc>
        <w:tc>
          <w:tcPr>
            <w:tcW w:w="1215" w:type="dxa"/>
            <w:vAlign w:val="center"/>
          </w:tcPr>
          <w:p w14:paraId="07AA5FED" w14:textId="62DBF26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12</w:t>
            </w:r>
          </w:p>
        </w:tc>
      </w:tr>
      <w:tr w:rsidR="31FF9146" w14:paraId="5E535841"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55EAE3B8" w14:textId="36B26EE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22</w:t>
            </w:r>
          </w:p>
        </w:tc>
        <w:tc>
          <w:tcPr>
            <w:tcW w:w="3345" w:type="dxa"/>
            <w:vAlign w:val="center"/>
          </w:tcPr>
          <w:p w14:paraId="5135B33B" w14:textId="76559B1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Sabanalarga</w:t>
            </w:r>
          </w:p>
        </w:tc>
        <w:tc>
          <w:tcPr>
            <w:tcW w:w="2505" w:type="dxa"/>
            <w:vAlign w:val="center"/>
          </w:tcPr>
          <w:p w14:paraId="5512FC43" w14:textId="4D2B8EE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1061 de 2021</w:t>
            </w:r>
          </w:p>
        </w:tc>
        <w:tc>
          <w:tcPr>
            <w:tcW w:w="1350" w:type="dxa"/>
            <w:vAlign w:val="center"/>
          </w:tcPr>
          <w:p w14:paraId="4D0A8CE2" w14:textId="7B38D60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39.587</w:t>
            </w:r>
          </w:p>
        </w:tc>
        <w:tc>
          <w:tcPr>
            <w:tcW w:w="1215" w:type="dxa"/>
            <w:vAlign w:val="center"/>
          </w:tcPr>
          <w:p w14:paraId="101C2CCF" w14:textId="52DD60F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44E95A87"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6CCDDF1C" w14:textId="1B16341F"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23</w:t>
            </w:r>
          </w:p>
        </w:tc>
        <w:tc>
          <w:tcPr>
            <w:tcW w:w="3345" w:type="dxa"/>
            <w:vAlign w:val="center"/>
          </w:tcPr>
          <w:p w14:paraId="5BCEC17B" w14:textId="3DDA5AEF"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Girardot</w:t>
            </w:r>
          </w:p>
        </w:tc>
        <w:tc>
          <w:tcPr>
            <w:tcW w:w="2505" w:type="dxa"/>
            <w:vAlign w:val="center"/>
          </w:tcPr>
          <w:p w14:paraId="56829101" w14:textId="7CDF5C36"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1108 de 2021</w:t>
            </w:r>
          </w:p>
        </w:tc>
        <w:tc>
          <w:tcPr>
            <w:tcW w:w="1350" w:type="dxa"/>
            <w:vAlign w:val="center"/>
          </w:tcPr>
          <w:p w14:paraId="4ED07412" w14:textId="10B6FDB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13.015</w:t>
            </w:r>
          </w:p>
        </w:tc>
        <w:tc>
          <w:tcPr>
            <w:tcW w:w="1215" w:type="dxa"/>
            <w:vAlign w:val="center"/>
          </w:tcPr>
          <w:p w14:paraId="6177645B" w14:textId="197E145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05AB7D5"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735" w:type="dxa"/>
            <w:vAlign w:val="center"/>
          </w:tcPr>
          <w:p w14:paraId="7F6D3803" w14:textId="1FE17835"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24</w:t>
            </w:r>
          </w:p>
        </w:tc>
        <w:tc>
          <w:tcPr>
            <w:tcW w:w="3345" w:type="dxa"/>
            <w:vAlign w:val="center"/>
          </w:tcPr>
          <w:p w14:paraId="46F93C52" w14:textId="27CD5502"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18"/>
                <w:szCs w:val="18"/>
              </w:rPr>
            </w:pPr>
            <w:r w:rsidRPr="00672909">
              <w:rPr>
                <w:rFonts w:eastAsia="Arial" w:cs="Arial"/>
                <w:b/>
                <w:color w:val="000000" w:themeColor="text1"/>
                <w:sz w:val="18"/>
                <w:szCs w:val="18"/>
              </w:rPr>
              <w:t>Municipio de Sahagún</w:t>
            </w:r>
          </w:p>
        </w:tc>
        <w:tc>
          <w:tcPr>
            <w:tcW w:w="2505" w:type="dxa"/>
            <w:vAlign w:val="center"/>
          </w:tcPr>
          <w:p w14:paraId="0FF40747" w14:textId="0B42F9B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1191 de 2021</w:t>
            </w:r>
          </w:p>
        </w:tc>
        <w:tc>
          <w:tcPr>
            <w:tcW w:w="1350" w:type="dxa"/>
            <w:vAlign w:val="center"/>
          </w:tcPr>
          <w:p w14:paraId="2031CC5A" w14:textId="2371E48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96.481</w:t>
            </w:r>
          </w:p>
        </w:tc>
        <w:tc>
          <w:tcPr>
            <w:tcW w:w="1215" w:type="dxa"/>
            <w:vAlign w:val="center"/>
          </w:tcPr>
          <w:p w14:paraId="3B44E0ED" w14:textId="1A81DC8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BCB14BF"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6585" w:type="dxa"/>
            <w:gridSpan w:val="3"/>
            <w:vAlign w:val="center"/>
          </w:tcPr>
          <w:p w14:paraId="044004D3" w14:textId="23724F46" w:rsidR="31FF9146" w:rsidRPr="00672909" w:rsidRDefault="31FF9146" w:rsidP="00672909">
            <w:pPr>
              <w:jc w:val="center"/>
              <w:rPr>
                <w:rFonts w:eastAsia="Arial" w:cs="Arial"/>
                <w:color w:val="000000" w:themeColor="text1"/>
                <w:sz w:val="18"/>
                <w:szCs w:val="18"/>
              </w:rPr>
            </w:pPr>
            <w:r w:rsidRPr="00672909">
              <w:rPr>
                <w:rFonts w:eastAsia="Arial" w:cs="Arial"/>
                <w:bCs w:val="0"/>
                <w:color w:val="000000" w:themeColor="text1"/>
                <w:sz w:val="18"/>
                <w:szCs w:val="18"/>
              </w:rPr>
              <w:t>Total</w:t>
            </w:r>
          </w:p>
        </w:tc>
        <w:tc>
          <w:tcPr>
            <w:tcW w:w="1350" w:type="dxa"/>
            <w:vAlign w:val="center"/>
          </w:tcPr>
          <w:p w14:paraId="133CDD89" w14:textId="735804F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b/>
                <w:bCs/>
                <w:color w:val="000000" w:themeColor="text1"/>
                <w:sz w:val="18"/>
                <w:szCs w:val="18"/>
              </w:rPr>
              <w:t>4.536.027</w:t>
            </w:r>
          </w:p>
        </w:tc>
        <w:tc>
          <w:tcPr>
            <w:tcW w:w="1215" w:type="dxa"/>
            <w:vAlign w:val="center"/>
          </w:tcPr>
          <w:p w14:paraId="4891E9E9" w14:textId="4E93FD4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b/>
                <w:bCs/>
                <w:color w:val="000000" w:themeColor="text1"/>
                <w:sz w:val="18"/>
                <w:szCs w:val="18"/>
              </w:rPr>
              <w:t>132</w:t>
            </w:r>
          </w:p>
        </w:tc>
      </w:tr>
    </w:tbl>
    <w:p w14:paraId="6B51F9F6" w14:textId="1266B0D2" w:rsidR="66FC74F9" w:rsidRPr="00672909" w:rsidRDefault="00672909" w:rsidP="00F14022">
      <w:pPr>
        <w:pStyle w:val="Lista"/>
        <w:jc w:val="center"/>
        <w:rPr>
          <w:b/>
          <w:color w:val="000000" w:themeColor="text1"/>
          <w:sz w:val="16"/>
          <w:szCs w:val="18"/>
        </w:rPr>
      </w:pPr>
      <w:r w:rsidRPr="00672909">
        <w:rPr>
          <w:rFonts w:eastAsia="Arial" w:cs="Arial"/>
          <w:b/>
          <w:color w:val="000000" w:themeColor="text1"/>
          <w:sz w:val="16"/>
          <w:szCs w:val="18"/>
          <w:lang w:val="es-CO"/>
        </w:rPr>
        <w:t xml:space="preserve">Fuente: Dirección de Regulación y Habilitación </w:t>
      </w:r>
    </w:p>
    <w:p w14:paraId="7DE3000D" w14:textId="5B7CB05A" w:rsidR="31FF9146" w:rsidRDefault="31FF9146" w:rsidP="00F14022">
      <w:pPr>
        <w:pStyle w:val="Lista"/>
        <w:rPr>
          <w:color w:val="000000" w:themeColor="text1"/>
          <w:lang w:val="es-CO"/>
        </w:rPr>
      </w:pPr>
    </w:p>
    <w:p w14:paraId="2D78CE63" w14:textId="6B5E9244" w:rsidR="66FC74F9" w:rsidRDefault="66FC74F9" w:rsidP="00F14022">
      <w:pPr>
        <w:pStyle w:val="Normal0"/>
        <w:spacing w:line="240" w:lineRule="auto"/>
        <w:jc w:val="both"/>
        <w:rPr>
          <w:rFonts w:ascii="Arial" w:eastAsia="Arial" w:hAnsi="Arial" w:cs="Arial"/>
          <w:color w:val="000000" w:themeColor="text1"/>
          <w:lang w:val="es-CO"/>
        </w:rPr>
      </w:pPr>
      <w:r w:rsidRPr="31FF9146">
        <w:rPr>
          <w:rFonts w:ascii="Arial" w:eastAsia="Arial" w:hAnsi="Arial" w:cs="Arial"/>
          <w:b/>
          <w:bCs/>
          <w:color w:val="000000" w:themeColor="text1"/>
        </w:rPr>
        <w:t xml:space="preserve">Empalmes Ejecutados: </w:t>
      </w:r>
      <w:r w:rsidRPr="31FF9146">
        <w:rPr>
          <w:rFonts w:ascii="Arial" w:eastAsia="Arial" w:hAnsi="Arial" w:cs="Arial"/>
          <w:color w:val="000000" w:themeColor="text1"/>
        </w:rPr>
        <w:t>Respecto del empalme y entrega de la información catastral al gestor habilitado, establece el artículo 2.2.2.5.4., del Decreto 1983 de 2019, lo siguiente: “…</w:t>
      </w:r>
      <w:r w:rsidRPr="31FF9146">
        <w:rPr>
          <w:rFonts w:ascii="Arial" w:eastAsia="Arial" w:hAnsi="Arial" w:cs="Arial"/>
          <w:i/>
          <w:iCs/>
          <w:color w:val="000000" w:themeColor="text1"/>
        </w:rPr>
        <w:t>El empalme y entrega de la información al gestor catastral deberá efectuarse en un período máximo de tres (3) meses contados a partir de la fecha de la habilitación, so pena de responsabilidad disciplinaria, si a ello hubiere lugar</w:t>
      </w:r>
      <w:r w:rsidRPr="31FF9146">
        <w:rPr>
          <w:rFonts w:ascii="Arial" w:eastAsia="Arial" w:hAnsi="Arial" w:cs="Arial"/>
          <w:color w:val="000000" w:themeColor="text1"/>
        </w:rPr>
        <w:t xml:space="preserve">.”. A su vez, la Resolución IGAC No. 789 de 2020 expedida </w:t>
      </w:r>
      <w:r w:rsidRPr="31FF9146">
        <w:rPr>
          <w:rFonts w:ascii="Arial" w:eastAsia="Arial" w:hAnsi="Arial" w:cs="Arial"/>
          <w:color w:val="000000" w:themeColor="text1"/>
        </w:rPr>
        <w:lastRenderedPageBreak/>
        <w:t>por esta entidad, regula el proceso de empalme y entrega de información al gestor catastral habilitado.</w:t>
      </w:r>
    </w:p>
    <w:p w14:paraId="3D5964EA" w14:textId="36CA4CBC" w:rsidR="66FC74F9" w:rsidRDefault="66FC74F9" w:rsidP="00F14022">
      <w:pPr>
        <w:jc w:val="both"/>
        <w:rPr>
          <w:rFonts w:eastAsia="Arial" w:cs="Arial"/>
          <w:color w:val="000000" w:themeColor="text1"/>
          <w:sz w:val="22"/>
          <w:szCs w:val="22"/>
          <w:lang w:val="es-CO"/>
        </w:rPr>
      </w:pPr>
      <w:r w:rsidRPr="31FF9146">
        <w:rPr>
          <w:rFonts w:eastAsia="Arial" w:cs="Arial"/>
          <w:color w:val="000000" w:themeColor="text1"/>
          <w:sz w:val="22"/>
          <w:szCs w:val="22"/>
          <w:lang w:val="es-MX"/>
        </w:rPr>
        <w:t>En cumplimiento a lo anterior, esta dependencia ha ejecutado 34 procesos de empalme con gestores catastrales, que corresponden a una jurisdicción de 143 municipios, de los cuales 23 se han ejecutado por procesos de habilitación y los otros 11 se debe a la contratación de gestores catastrales de acuerdo con lo contemplado en el artículo 2.2.2.5.6. del Decreto 1983 de 2019.</w:t>
      </w:r>
    </w:p>
    <w:p w14:paraId="6AADE6FE" w14:textId="7EBA7463" w:rsidR="31FF9146" w:rsidRPr="00672909" w:rsidRDefault="31FF9146" w:rsidP="00672909">
      <w:pPr>
        <w:jc w:val="center"/>
        <w:rPr>
          <w:rFonts w:eastAsia="Arial" w:cs="Arial"/>
          <w:b/>
          <w:sz w:val="20"/>
          <w:szCs w:val="22"/>
          <w:lang w:val="es-CO"/>
        </w:rPr>
      </w:pPr>
    </w:p>
    <w:p w14:paraId="21ADE021" w14:textId="05A3E3AE" w:rsidR="31FF9146" w:rsidRPr="00672909" w:rsidRDefault="00672909" w:rsidP="006251EB">
      <w:pPr>
        <w:pStyle w:val="Descripcin"/>
        <w:jc w:val="center"/>
        <w:rPr>
          <w:rFonts w:ascii="Arial" w:eastAsia="Arial" w:hAnsi="Arial" w:cs="Arial"/>
          <w:b/>
          <w:i w:val="0"/>
          <w:color w:val="auto"/>
          <w:sz w:val="20"/>
          <w:szCs w:val="22"/>
        </w:rPr>
      </w:pPr>
      <w:bookmarkStart w:id="76" w:name="_Toc88677096"/>
      <w:r w:rsidRPr="00672909">
        <w:rPr>
          <w:rFonts w:ascii="Arial" w:hAnsi="Arial" w:cs="Arial"/>
          <w:b/>
          <w:i w:val="0"/>
          <w:color w:val="auto"/>
          <w:sz w:val="16"/>
        </w:rPr>
        <w:t xml:space="preserve">Tabla </w:t>
      </w:r>
      <w:r w:rsidRPr="00672909">
        <w:rPr>
          <w:rFonts w:ascii="Arial" w:hAnsi="Arial" w:cs="Arial"/>
          <w:b/>
          <w:i w:val="0"/>
          <w:color w:val="auto"/>
          <w:sz w:val="16"/>
        </w:rPr>
        <w:fldChar w:fldCharType="begin"/>
      </w:r>
      <w:r w:rsidRPr="00672909">
        <w:rPr>
          <w:rFonts w:ascii="Arial" w:hAnsi="Arial" w:cs="Arial"/>
          <w:b/>
          <w:i w:val="0"/>
          <w:color w:val="auto"/>
          <w:sz w:val="16"/>
        </w:rPr>
        <w:instrText xml:space="preserve"> SEQ Tabla \* ARABIC </w:instrText>
      </w:r>
      <w:r w:rsidRPr="00672909">
        <w:rPr>
          <w:rFonts w:ascii="Arial" w:hAnsi="Arial" w:cs="Arial"/>
          <w:b/>
          <w:i w:val="0"/>
          <w:color w:val="auto"/>
          <w:sz w:val="16"/>
        </w:rPr>
        <w:fldChar w:fldCharType="separate"/>
      </w:r>
      <w:r w:rsidR="004D4C6A">
        <w:rPr>
          <w:rFonts w:ascii="Arial" w:hAnsi="Arial" w:cs="Arial"/>
          <w:b/>
          <w:i w:val="0"/>
          <w:noProof/>
          <w:color w:val="auto"/>
          <w:sz w:val="16"/>
        </w:rPr>
        <w:t>24</w:t>
      </w:r>
      <w:r w:rsidRPr="00672909">
        <w:rPr>
          <w:rFonts w:ascii="Arial" w:hAnsi="Arial" w:cs="Arial"/>
          <w:b/>
          <w:i w:val="0"/>
          <w:color w:val="auto"/>
          <w:sz w:val="16"/>
        </w:rPr>
        <w:fldChar w:fldCharType="end"/>
      </w:r>
      <w:r w:rsidR="0095454D">
        <w:rPr>
          <w:rFonts w:ascii="Arial" w:hAnsi="Arial" w:cs="Arial"/>
          <w:b/>
          <w:i w:val="0"/>
          <w:color w:val="auto"/>
          <w:sz w:val="16"/>
        </w:rPr>
        <w:t xml:space="preserve">. </w:t>
      </w:r>
      <w:r w:rsidRPr="00672909">
        <w:rPr>
          <w:rFonts w:ascii="Arial" w:hAnsi="Arial" w:cs="Arial"/>
          <w:b/>
          <w:i w:val="0"/>
          <w:color w:val="auto"/>
          <w:sz w:val="16"/>
        </w:rPr>
        <w:t>Empalmes gestores catastrales, ejecutados durante el periodo 2020-2021</w:t>
      </w:r>
      <w:bookmarkEnd w:id="76"/>
    </w:p>
    <w:tbl>
      <w:tblPr>
        <w:tblStyle w:val="Tabladecuadrcula4-nfasis1"/>
        <w:tblW w:w="0" w:type="auto"/>
        <w:jc w:val="center"/>
        <w:tblLayout w:type="fixed"/>
        <w:tblLook w:val="04A0" w:firstRow="1" w:lastRow="0" w:firstColumn="1" w:lastColumn="0" w:noHBand="0" w:noVBand="1"/>
      </w:tblPr>
      <w:tblGrid>
        <w:gridCol w:w="1500"/>
        <w:gridCol w:w="3630"/>
        <w:gridCol w:w="2310"/>
        <w:gridCol w:w="1635"/>
      </w:tblGrid>
      <w:tr w:rsidR="00672909" w:rsidRPr="00672909" w14:paraId="60772E2E" w14:textId="77777777" w:rsidTr="00672909">
        <w:trPr>
          <w:cnfStyle w:val="100000000000" w:firstRow="1" w:lastRow="0" w:firstColumn="0" w:lastColumn="0" w:oddVBand="0" w:evenVBand="0" w:oddHBand="0" w:evenHBand="0" w:firstRowFirstColumn="0" w:firstRowLastColumn="0" w:lastRowFirstColumn="0" w:lastRowLastColumn="0"/>
          <w:trHeight w:val="345"/>
          <w:tblHeader/>
          <w:jc w:val="center"/>
        </w:trPr>
        <w:tc>
          <w:tcPr>
            <w:cnfStyle w:val="001000000000" w:firstRow="0" w:lastRow="0" w:firstColumn="1" w:lastColumn="0" w:oddVBand="0" w:evenVBand="0" w:oddHBand="0" w:evenHBand="0" w:firstRowFirstColumn="0" w:firstRowLastColumn="0" w:lastRowFirstColumn="0" w:lastRowLastColumn="0"/>
            <w:tcW w:w="1500" w:type="dxa"/>
            <w:tcBorders>
              <w:top w:val="single" w:sz="6" w:space="0" w:color="4F81BD" w:themeColor="accent1"/>
              <w:left w:val="single" w:sz="6" w:space="0" w:color="4F81BD" w:themeColor="accent1"/>
              <w:bottom w:val="single" w:sz="6" w:space="0" w:color="4F81BD" w:themeColor="accent1"/>
            </w:tcBorders>
            <w:vAlign w:val="center"/>
          </w:tcPr>
          <w:p w14:paraId="4A8F6019" w14:textId="59640E9B" w:rsidR="31FF9146" w:rsidRPr="00672909" w:rsidRDefault="31FF9146" w:rsidP="00672909">
            <w:pPr>
              <w:jc w:val="center"/>
              <w:rPr>
                <w:rFonts w:eastAsia="Arial" w:cs="Arial"/>
                <w:sz w:val="18"/>
                <w:szCs w:val="18"/>
              </w:rPr>
            </w:pPr>
            <w:r w:rsidRPr="00672909">
              <w:rPr>
                <w:rFonts w:eastAsia="Arial" w:cs="Arial"/>
                <w:sz w:val="18"/>
                <w:szCs w:val="18"/>
              </w:rPr>
              <w:t>No.</w:t>
            </w:r>
          </w:p>
        </w:tc>
        <w:tc>
          <w:tcPr>
            <w:tcW w:w="3630" w:type="dxa"/>
            <w:tcBorders>
              <w:top w:val="single" w:sz="6" w:space="0" w:color="4F81BD" w:themeColor="accent1"/>
              <w:bottom w:val="single" w:sz="6" w:space="0" w:color="4F81BD" w:themeColor="accent1"/>
            </w:tcBorders>
            <w:vAlign w:val="center"/>
          </w:tcPr>
          <w:p w14:paraId="2C42B08A" w14:textId="630A6AA4"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Gestor Catastral</w:t>
            </w:r>
          </w:p>
        </w:tc>
        <w:tc>
          <w:tcPr>
            <w:tcW w:w="2310" w:type="dxa"/>
            <w:tcBorders>
              <w:top w:val="single" w:sz="6" w:space="0" w:color="4F81BD" w:themeColor="accent1"/>
              <w:bottom w:val="single" w:sz="6" w:space="0" w:color="4F81BD" w:themeColor="accent1"/>
            </w:tcBorders>
            <w:vAlign w:val="center"/>
          </w:tcPr>
          <w:p w14:paraId="160DED15" w14:textId="253DFB5B"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Acto administrativo</w:t>
            </w:r>
          </w:p>
        </w:tc>
        <w:tc>
          <w:tcPr>
            <w:tcW w:w="1635" w:type="dxa"/>
            <w:tcBorders>
              <w:top w:val="single" w:sz="6" w:space="0" w:color="4F81BD" w:themeColor="accent1"/>
              <w:bottom w:val="single" w:sz="6" w:space="0" w:color="4F81BD" w:themeColor="accent1"/>
              <w:right w:val="single" w:sz="6" w:space="0" w:color="4F81BD" w:themeColor="accent1"/>
            </w:tcBorders>
            <w:vAlign w:val="center"/>
          </w:tcPr>
          <w:p w14:paraId="6C48612A" w14:textId="33A03C5A"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No. Municipios</w:t>
            </w:r>
          </w:p>
        </w:tc>
      </w:tr>
      <w:tr w:rsidR="31FF9146" w14:paraId="2A1116D4"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28EF5AB5" w14:textId="6389905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w:t>
            </w:r>
          </w:p>
        </w:tc>
        <w:tc>
          <w:tcPr>
            <w:tcW w:w="3630" w:type="dxa"/>
            <w:vAlign w:val="center"/>
          </w:tcPr>
          <w:p w14:paraId="2169CEF6" w14:textId="75761B00"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Municipios Asociados del Altiplano del Oriente Antioqueño (MASORA)</w:t>
            </w:r>
          </w:p>
        </w:tc>
        <w:tc>
          <w:tcPr>
            <w:tcW w:w="2310" w:type="dxa"/>
            <w:vAlign w:val="center"/>
          </w:tcPr>
          <w:p w14:paraId="0B068543" w14:textId="1DC709A7"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307 de 2020</w:t>
            </w:r>
          </w:p>
        </w:tc>
        <w:tc>
          <w:tcPr>
            <w:tcW w:w="1635" w:type="dxa"/>
            <w:vAlign w:val="center"/>
          </w:tcPr>
          <w:p w14:paraId="5D3618FA" w14:textId="53FF8B0E"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3</w:t>
            </w:r>
          </w:p>
        </w:tc>
      </w:tr>
      <w:tr w:rsidR="31FF9146" w14:paraId="2108EBD7"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11360A8F" w14:textId="2AA4922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w:t>
            </w:r>
          </w:p>
        </w:tc>
        <w:tc>
          <w:tcPr>
            <w:tcW w:w="3630" w:type="dxa"/>
            <w:vAlign w:val="center"/>
          </w:tcPr>
          <w:p w14:paraId="0B8CF551" w14:textId="4EF6B880"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Soacha</w:t>
            </w:r>
          </w:p>
        </w:tc>
        <w:tc>
          <w:tcPr>
            <w:tcW w:w="2310" w:type="dxa"/>
            <w:vAlign w:val="center"/>
          </w:tcPr>
          <w:p w14:paraId="3C1BB1F8" w14:textId="2FF242D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377 de 2020</w:t>
            </w:r>
          </w:p>
        </w:tc>
        <w:tc>
          <w:tcPr>
            <w:tcW w:w="1635" w:type="dxa"/>
            <w:vAlign w:val="center"/>
          </w:tcPr>
          <w:p w14:paraId="45859A02" w14:textId="2648D3E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A641DC3" w14:textId="77777777" w:rsidTr="00672909">
        <w:trPr>
          <w:cnfStyle w:val="000000100000" w:firstRow="0" w:lastRow="0" w:firstColumn="0" w:lastColumn="0" w:oddVBand="0" w:evenVBand="0" w:oddHBand="1" w:evenHBand="0" w:firstRowFirstColumn="0" w:firstRowLastColumn="0" w:lastRowFirstColumn="0" w:lastRowLastColumn="0"/>
          <w:trHeight w:val="45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1338045" w14:textId="5F999BAD"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w:t>
            </w:r>
          </w:p>
        </w:tc>
        <w:tc>
          <w:tcPr>
            <w:tcW w:w="3630" w:type="dxa"/>
            <w:vAlign w:val="center"/>
          </w:tcPr>
          <w:p w14:paraId="2A836A4A" w14:textId="7FE352D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Departamento Valle del Cauca</w:t>
            </w:r>
          </w:p>
        </w:tc>
        <w:tc>
          <w:tcPr>
            <w:tcW w:w="2310" w:type="dxa"/>
            <w:vAlign w:val="center"/>
          </w:tcPr>
          <w:p w14:paraId="483C8FA0" w14:textId="32429C2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1546 16-12-2019</w:t>
            </w:r>
            <w:r>
              <w:br/>
            </w:r>
            <w:r w:rsidRPr="31FF9146">
              <w:rPr>
                <w:rFonts w:eastAsia="Arial" w:cs="Arial"/>
                <w:color w:val="000000" w:themeColor="text1"/>
                <w:sz w:val="18"/>
                <w:szCs w:val="18"/>
              </w:rPr>
              <w:t>Mod. Res. 444 06-05-2020</w:t>
            </w:r>
            <w:r>
              <w:br/>
            </w:r>
            <w:r w:rsidRPr="31FF9146">
              <w:rPr>
                <w:rFonts w:eastAsia="Arial" w:cs="Arial"/>
                <w:color w:val="000000" w:themeColor="text1"/>
                <w:sz w:val="18"/>
                <w:szCs w:val="18"/>
              </w:rPr>
              <w:t>Mod. Res 609 30-06-2020</w:t>
            </w:r>
          </w:p>
        </w:tc>
        <w:tc>
          <w:tcPr>
            <w:tcW w:w="1635" w:type="dxa"/>
            <w:vAlign w:val="center"/>
          </w:tcPr>
          <w:p w14:paraId="05C8D624" w14:textId="29508C06"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21</w:t>
            </w:r>
          </w:p>
        </w:tc>
      </w:tr>
      <w:tr w:rsidR="31FF9146" w14:paraId="795B6D64"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61EE8EFD" w14:textId="6CE35C2B"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4</w:t>
            </w:r>
          </w:p>
        </w:tc>
        <w:tc>
          <w:tcPr>
            <w:tcW w:w="3630" w:type="dxa"/>
            <w:vAlign w:val="center"/>
          </w:tcPr>
          <w:p w14:paraId="6C03504B" w14:textId="2FAD6DB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Área Metropolitana de Barranquilla</w:t>
            </w:r>
          </w:p>
        </w:tc>
        <w:tc>
          <w:tcPr>
            <w:tcW w:w="2310" w:type="dxa"/>
            <w:vAlign w:val="center"/>
          </w:tcPr>
          <w:p w14:paraId="28638A60" w14:textId="2CB1568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602 de 2020</w:t>
            </w:r>
          </w:p>
        </w:tc>
        <w:tc>
          <w:tcPr>
            <w:tcW w:w="1635" w:type="dxa"/>
            <w:vAlign w:val="center"/>
          </w:tcPr>
          <w:p w14:paraId="028C573D" w14:textId="71EC146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3</w:t>
            </w:r>
          </w:p>
        </w:tc>
      </w:tr>
      <w:tr w:rsidR="31FF9146" w14:paraId="76E6E6CB"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37930BC" w14:textId="2D353C7E"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5</w:t>
            </w:r>
          </w:p>
        </w:tc>
        <w:tc>
          <w:tcPr>
            <w:tcW w:w="3630" w:type="dxa"/>
            <w:vAlign w:val="center"/>
          </w:tcPr>
          <w:p w14:paraId="462D0C3E" w14:textId="1A4EC0A7"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Departamento de Cundinamarca</w:t>
            </w:r>
          </w:p>
        </w:tc>
        <w:tc>
          <w:tcPr>
            <w:tcW w:w="2310" w:type="dxa"/>
            <w:vAlign w:val="center"/>
          </w:tcPr>
          <w:p w14:paraId="60048E71" w14:textId="6A10D6BF"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727 de 2020</w:t>
            </w:r>
          </w:p>
        </w:tc>
        <w:tc>
          <w:tcPr>
            <w:tcW w:w="1635" w:type="dxa"/>
            <w:vAlign w:val="center"/>
          </w:tcPr>
          <w:p w14:paraId="5EDE70DA" w14:textId="4B7EBFEA"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71</w:t>
            </w:r>
          </w:p>
        </w:tc>
      </w:tr>
      <w:tr w:rsidR="31FF9146" w14:paraId="5914CAAD"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486850AE" w14:textId="2621DDBA"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6</w:t>
            </w:r>
          </w:p>
        </w:tc>
        <w:tc>
          <w:tcPr>
            <w:tcW w:w="3630" w:type="dxa"/>
            <w:vAlign w:val="center"/>
          </w:tcPr>
          <w:p w14:paraId="298B7ABA" w14:textId="42A58A2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Fusagasugá</w:t>
            </w:r>
          </w:p>
        </w:tc>
        <w:tc>
          <w:tcPr>
            <w:tcW w:w="2310" w:type="dxa"/>
            <w:vAlign w:val="center"/>
          </w:tcPr>
          <w:p w14:paraId="7C21EAB8" w14:textId="77CD494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765 de 2020</w:t>
            </w:r>
          </w:p>
        </w:tc>
        <w:tc>
          <w:tcPr>
            <w:tcW w:w="1635" w:type="dxa"/>
            <w:vAlign w:val="center"/>
          </w:tcPr>
          <w:p w14:paraId="5E13897F" w14:textId="1B7BBDB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04D799F"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7FEF491" w14:textId="6E9E5B45"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7</w:t>
            </w:r>
          </w:p>
        </w:tc>
        <w:tc>
          <w:tcPr>
            <w:tcW w:w="3630" w:type="dxa"/>
            <w:vAlign w:val="center"/>
          </w:tcPr>
          <w:p w14:paraId="1D881017" w14:textId="73909F6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Distrito de Santa Marta</w:t>
            </w:r>
          </w:p>
        </w:tc>
        <w:tc>
          <w:tcPr>
            <w:tcW w:w="2310" w:type="dxa"/>
            <w:vAlign w:val="center"/>
          </w:tcPr>
          <w:p w14:paraId="6010D6B8" w14:textId="747386E8"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766 de 2020</w:t>
            </w:r>
          </w:p>
        </w:tc>
        <w:tc>
          <w:tcPr>
            <w:tcW w:w="1635" w:type="dxa"/>
            <w:vAlign w:val="center"/>
          </w:tcPr>
          <w:p w14:paraId="19393FF7" w14:textId="29D41182"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5553C5D8"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24CBC41D" w14:textId="7CDE6B8B"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8</w:t>
            </w:r>
          </w:p>
        </w:tc>
        <w:tc>
          <w:tcPr>
            <w:tcW w:w="3630" w:type="dxa"/>
            <w:vAlign w:val="center"/>
          </w:tcPr>
          <w:p w14:paraId="7A24684C" w14:textId="561CBC5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San José de Cúcuta</w:t>
            </w:r>
          </w:p>
        </w:tc>
        <w:tc>
          <w:tcPr>
            <w:tcW w:w="2310" w:type="dxa"/>
            <w:vAlign w:val="center"/>
          </w:tcPr>
          <w:p w14:paraId="1698E17D" w14:textId="79BE676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787 de 2020</w:t>
            </w:r>
          </w:p>
        </w:tc>
        <w:tc>
          <w:tcPr>
            <w:tcW w:w="1635" w:type="dxa"/>
            <w:vAlign w:val="center"/>
          </w:tcPr>
          <w:p w14:paraId="7775660B" w14:textId="6D76E18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F8D2176"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13B2C262" w14:textId="1421A5D3"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9</w:t>
            </w:r>
          </w:p>
        </w:tc>
        <w:tc>
          <w:tcPr>
            <w:tcW w:w="3630" w:type="dxa"/>
            <w:vAlign w:val="center"/>
          </w:tcPr>
          <w:p w14:paraId="6EB654EB" w14:textId="443C2ECA"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Área Metropolitana del Valle de Aburrá (AMVA)</w:t>
            </w:r>
          </w:p>
        </w:tc>
        <w:tc>
          <w:tcPr>
            <w:tcW w:w="2310" w:type="dxa"/>
            <w:vAlign w:val="center"/>
          </w:tcPr>
          <w:p w14:paraId="7BEEA09C" w14:textId="2987FD5F"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800 de 2020</w:t>
            </w:r>
          </w:p>
        </w:tc>
        <w:tc>
          <w:tcPr>
            <w:tcW w:w="1635" w:type="dxa"/>
            <w:vAlign w:val="center"/>
          </w:tcPr>
          <w:p w14:paraId="0565845A" w14:textId="71837DB2"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4</w:t>
            </w:r>
          </w:p>
        </w:tc>
      </w:tr>
      <w:tr w:rsidR="31FF9146" w14:paraId="6083B074"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F98782F" w14:textId="5089975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10</w:t>
            </w:r>
          </w:p>
        </w:tc>
        <w:tc>
          <w:tcPr>
            <w:tcW w:w="3630" w:type="dxa"/>
            <w:vAlign w:val="center"/>
          </w:tcPr>
          <w:p w14:paraId="765819AD" w14:textId="13EEBD5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Rionegro</w:t>
            </w:r>
          </w:p>
        </w:tc>
        <w:tc>
          <w:tcPr>
            <w:tcW w:w="2310" w:type="dxa"/>
            <w:vAlign w:val="center"/>
          </w:tcPr>
          <w:p w14:paraId="01409DA9" w14:textId="455C217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937 de 2020</w:t>
            </w:r>
          </w:p>
        </w:tc>
        <w:tc>
          <w:tcPr>
            <w:tcW w:w="1635" w:type="dxa"/>
            <w:vAlign w:val="center"/>
          </w:tcPr>
          <w:p w14:paraId="3E4EC534" w14:textId="080D8A1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45BE936"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4909FF86" w14:textId="64025DA1"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11</w:t>
            </w:r>
          </w:p>
        </w:tc>
        <w:tc>
          <w:tcPr>
            <w:tcW w:w="3630" w:type="dxa"/>
            <w:vAlign w:val="center"/>
          </w:tcPr>
          <w:p w14:paraId="6F2DD07B" w14:textId="68F29FE9"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Sincelejo</w:t>
            </w:r>
          </w:p>
        </w:tc>
        <w:tc>
          <w:tcPr>
            <w:tcW w:w="2310" w:type="dxa"/>
            <w:vAlign w:val="center"/>
          </w:tcPr>
          <w:p w14:paraId="43CC535B" w14:textId="7EB92288"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1030 de 2020</w:t>
            </w:r>
          </w:p>
        </w:tc>
        <w:tc>
          <w:tcPr>
            <w:tcW w:w="1635" w:type="dxa"/>
            <w:vAlign w:val="center"/>
          </w:tcPr>
          <w:p w14:paraId="275D9873" w14:textId="2EC8E7CC"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561B4C3"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23836C16" w14:textId="4009103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12</w:t>
            </w:r>
          </w:p>
        </w:tc>
        <w:tc>
          <w:tcPr>
            <w:tcW w:w="3630" w:type="dxa"/>
            <w:vAlign w:val="center"/>
          </w:tcPr>
          <w:p w14:paraId="0A071B16" w14:textId="72A9BC6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Sesquilé</w:t>
            </w:r>
          </w:p>
        </w:tc>
        <w:tc>
          <w:tcPr>
            <w:tcW w:w="2310" w:type="dxa"/>
            <w:vAlign w:val="center"/>
          </w:tcPr>
          <w:p w14:paraId="1B439724" w14:textId="2A03768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1057 de 2020</w:t>
            </w:r>
          </w:p>
        </w:tc>
        <w:tc>
          <w:tcPr>
            <w:tcW w:w="1635" w:type="dxa"/>
            <w:vAlign w:val="center"/>
          </w:tcPr>
          <w:p w14:paraId="600D663D" w14:textId="7A930980"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E265EDE"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21104C1" w14:textId="5C0AB4E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13</w:t>
            </w:r>
          </w:p>
        </w:tc>
        <w:tc>
          <w:tcPr>
            <w:tcW w:w="3630" w:type="dxa"/>
            <w:vAlign w:val="center"/>
          </w:tcPr>
          <w:p w14:paraId="526D3011" w14:textId="629C1CE1"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Envigado</w:t>
            </w:r>
          </w:p>
        </w:tc>
        <w:tc>
          <w:tcPr>
            <w:tcW w:w="2310" w:type="dxa"/>
            <w:vAlign w:val="center"/>
          </w:tcPr>
          <w:p w14:paraId="38965597" w14:textId="4EE01E58"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95 de 2021</w:t>
            </w:r>
          </w:p>
        </w:tc>
        <w:tc>
          <w:tcPr>
            <w:tcW w:w="1635" w:type="dxa"/>
            <w:vAlign w:val="center"/>
          </w:tcPr>
          <w:p w14:paraId="07C61AC9" w14:textId="648A93C6"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FE8A169"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5F834C6" w14:textId="794059ED"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14</w:t>
            </w:r>
          </w:p>
        </w:tc>
        <w:tc>
          <w:tcPr>
            <w:tcW w:w="3630" w:type="dxa"/>
            <w:vAlign w:val="center"/>
          </w:tcPr>
          <w:p w14:paraId="1B666B1E" w14:textId="73ED02E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Zipaquirá</w:t>
            </w:r>
          </w:p>
        </w:tc>
        <w:tc>
          <w:tcPr>
            <w:tcW w:w="2310" w:type="dxa"/>
            <w:vAlign w:val="center"/>
          </w:tcPr>
          <w:p w14:paraId="5DE14555" w14:textId="7D79D69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96 de 2021</w:t>
            </w:r>
          </w:p>
        </w:tc>
        <w:tc>
          <w:tcPr>
            <w:tcW w:w="1635" w:type="dxa"/>
            <w:vAlign w:val="center"/>
          </w:tcPr>
          <w:p w14:paraId="79958D8D" w14:textId="4F3A9510"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73F18EE"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4FE6543F" w14:textId="7336A18D"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15</w:t>
            </w:r>
          </w:p>
        </w:tc>
        <w:tc>
          <w:tcPr>
            <w:tcW w:w="3630" w:type="dxa"/>
            <w:vAlign w:val="center"/>
          </w:tcPr>
          <w:p w14:paraId="72409463" w14:textId="19DADEC0"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Armenia</w:t>
            </w:r>
          </w:p>
        </w:tc>
        <w:tc>
          <w:tcPr>
            <w:tcW w:w="2310" w:type="dxa"/>
            <w:vAlign w:val="center"/>
          </w:tcPr>
          <w:p w14:paraId="56C8607C" w14:textId="7F3C53B7"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201 de 2021</w:t>
            </w:r>
          </w:p>
        </w:tc>
        <w:tc>
          <w:tcPr>
            <w:tcW w:w="1635" w:type="dxa"/>
            <w:vAlign w:val="center"/>
          </w:tcPr>
          <w:p w14:paraId="1174A6B3" w14:textId="20B64F25"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F64EF30"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44951A09" w14:textId="0B5A20FC"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16</w:t>
            </w:r>
          </w:p>
        </w:tc>
        <w:tc>
          <w:tcPr>
            <w:tcW w:w="3630" w:type="dxa"/>
            <w:vAlign w:val="center"/>
          </w:tcPr>
          <w:p w14:paraId="12AE8D13" w14:textId="03F7697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Jamundí</w:t>
            </w:r>
          </w:p>
        </w:tc>
        <w:tc>
          <w:tcPr>
            <w:tcW w:w="2310" w:type="dxa"/>
            <w:vAlign w:val="center"/>
          </w:tcPr>
          <w:p w14:paraId="52D7D6C3" w14:textId="5821416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202 de 2021</w:t>
            </w:r>
          </w:p>
        </w:tc>
        <w:tc>
          <w:tcPr>
            <w:tcW w:w="1635" w:type="dxa"/>
            <w:vAlign w:val="center"/>
          </w:tcPr>
          <w:p w14:paraId="5560F982" w14:textId="6688BD2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14289059"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3A1123B2" w14:textId="63B0B432"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17</w:t>
            </w:r>
          </w:p>
        </w:tc>
        <w:tc>
          <w:tcPr>
            <w:tcW w:w="3630" w:type="dxa"/>
            <w:vAlign w:val="center"/>
          </w:tcPr>
          <w:p w14:paraId="269A39FA" w14:textId="05D4413B"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Sabaneta</w:t>
            </w:r>
          </w:p>
        </w:tc>
        <w:tc>
          <w:tcPr>
            <w:tcW w:w="2310" w:type="dxa"/>
            <w:vAlign w:val="center"/>
          </w:tcPr>
          <w:p w14:paraId="55184C11" w14:textId="0B9132C5"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244 de 2021</w:t>
            </w:r>
          </w:p>
        </w:tc>
        <w:tc>
          <w:tcPr>
            <w:tcW w:w="1635" w:type="dxa"/>
            <w:vAlign w:val="center"/>
          </w:tcPr>
          <w:p w14:paraId="4FA73D1C" w14:textId="576390C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5E3AD48B"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3BFAD6B8" w14:textId="46D4257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18</w:t>
            </w:r>
          </w:p>
        </w:tc>
        <w:tc>
          <w:tcPr>
            <w:tcW w:w="3630" w:type="dxa"/>
            <w:vAlign w:val="center"/>
          </w:tcPr>
          <w:p w14:paraId="4A8601FB" w14:textId="3CB965A7"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Neiva</w:t>
            </w:r>
          </w:p>
        </w:tc>
        <w:tc>
          <w:tcPr>
            <w:tcW w:w="2310" w:type="dxa"/>
            <w:vAlign w:val="center"/>
          </w:tcPr>
          <w:p w14:paraId="4C2ECC37" w14:textId="02852C6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249 de 2021</w:t>
            </w:r>
          </w:p>
        </w:tc>
        <w:tc>
          <w:tcPr>
            <w:tcW w:w="1635" w:type="dxa"/>
            <w:vAlign w:val="center"/>
          </w:tcPr>
          <w:p w14:paraId="65E91B7F" w14:textId="3DBC119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753F59B"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6ADEBD80" w14:textId="080C65C9"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19</w:t>
            </w:r>
          </w:p>
        </w:tc>
        <w:tc>
          <w:tcPr>
            <w:tcW w:w="3630" w:type="dxa"/>
            <w:vAlign w:val="center"/>
          </w:tcPr>
          <w:p w14:paraId="68489D6B" w14:textId="30EB497F"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Valledupar</w:t>
            </w:r>
          </w:p>
        </w:tc>
        <w:tc>
          <w:tcPr>
            <w:tcW w:w="2310" w:type="dxa"/>
            <w:vAlign w:val="center"/>
          </w:tcPr>
          <w:p w14:paraId="2EF74212" w14:textId="75F7676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486 de 2021</w:t>
            </w:r>
          </w:p>
        </w:tc>
        <w:tc>
          <w:tcPr>
            <w:tcW w:w="1635" w:type="dxa"/>
            <w:vAlign w:val="center"/>
          </w:tcPr>
          <w:p w14:paraId="5915CC8B" w14:textId="6E9EB319"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1E22851"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6EF28532" w14:textId="3AED6B1B"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20</w:t>
            </w:r>
          </w:p>
        </w:tc>
        <w:tc>
          <w:tcPr>
            <w:tcW w:w="3630" w:type="dxa"/>
            <w:vAlign w:val="center"/>
          </w:tcPr>
          <w:p w14:paraId="2AAD81C6" w14:textId="018B2F8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Ibagué</w:t>
            </w:r>
          </w:p>
        </w:tc>
        <w:tc>
          <w:tcPr>
            <w:tcW w:w="2310" w:type="dxa"/>
            <w:vAlign w:val="center"/>
          </w:tcPr>
          <w:p w14:paraId="40C90C05" w14:textId="1D899E7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494 de 2021</w:t>
            </w:r>
          </w:p>
        </w:tc>
        <w:tc>
          <w:tcPr>
            <w:tcW w:w="1635" w:type="dxa"/>
            <w:vAlign w:val="center"/>
          </w:tcPr>
          <w:p w14:paraId="38FEADC7" w14:textId="6608F0C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6F471E1"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74A059F5" w14:textId="7135EB40"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21</w:t>
            </w:r>
          </w:p>
        </w:tc>
        <w:tc>
          <w:tcPr>
            <w:tcW w:w="3630" w:type="dxa"/>
            <w:vAlign w:val="center"/>
          </w:tcPr>
          <w:p w14:paraId="1AC3ED93" w14:textId="420C2A61"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Asomunicipios</w:t>
            </w:r>
          </w:p>
        </w:tc>
        <w:tc>
          <w:tcPr>
            <w:tcW w:w="2310" w:type="dxa"/>
            <w:vAlign w:val="center"/>
          </w:tcPr>
          <w:p w14:paraId="6BE67113" w14:textId="5F39BD89"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758 de 2021</w:t>
            </w:r>
          </w:p>
        </w:tc>
        <w:tc>
          <w:tcPr>
            <w:tcW w:w="1635" w:type="dxa"/>
            <w:vAlign w:val="center"/>
          </w:tcPr>
          <w:p w14:paraId="3A215A64" w14:textId="6E1B614F"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12</w:t>
            </w:r>
          </w:p>
        </w:tc>
      </w:tr>
      <w:tr w:rsidR="31FF9146" w14:paraId="5B653059"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728CAA9C" w14:textId="0A88437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22</w:t>
            </w:r>
          </w:p>
        </w:tc>
        <w:tc>
          <w:tcPr>
            <w:tcW w:w="3630" w:type="dxa"/>
            <w:vAlign w:val="center"/>
          </w:tcPr>
          <w:p w14:paraId="018F5962" w14:textId="3492973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Sabanalarga</w:t>
            </w:r>
          </w:p>
        </w:tc>
        <w:tc>
          <w:tcPr>
            <w:tcW w:w="2310" w:type="dxa"/>
            <w:vAlign w:val="center"/>
          </w:tcPr>
          <w:p w14:paraId="7512D159" w14:textId="4A53EB9B"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1061 de 2021</w:t>
            </w:r>
          </w:p>
        </w:tc>
        <w:tc>
          <w:tcPr>
            <w:tcW w:w="1635" w:type="dxa"/>
            <w:vAlign w:val="center"/>
          </w:tcPr>
          <w:p w14:paraId="0D8ADA62" w14:textId="4525BD1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2D4135E2"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42978D4A" w14:textId="35D550EF"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23</w:t>
            </w:r>
          </w:p>
        </w:tc>
        <w:tc>
          <w:tcPr>
            <w:tcW w:w="3630" w:type="dxa"/>
            <w:vAlign w:val="center"/>
          </w:tcPr>
          <w:p w14:paraId="6EB35B58" w14:textId="165FC5C8"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Girardot</w:t>
            </w:r>
          </w:p>
        </w:tc>
        <w:tc>
          <w:tcPr>
            <w:tcW w:w="2310" w:type="dxa"/>
            <w:vAlign w:val="center"/>
          </w:tcPr>
          <w:p w14:paraId="5B5320A4" w14:textId="6339568A"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Res. 1108 de 2021</w:t>
            </w:r>
          </w:p>
        </w:tc>
        <w:tc>
          <w:tcPr>
            <w:tcW w:w="1635" w:type="dxa"/>
            <w:vAlign w:val="center"/>
          </w:tcPr>
          <w:p w14:paraId="5B85E120" w14:textId="2068DC4D"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0B3138FB"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29AD7466" w14:textId="38E4255E"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24</w:t>
            </w:r>
          </w:p>
        </w:tc>
        <w:tc>
          <w:tcPr>
            <w:tcW w:w="3630" w:type="dxa"/>
            <w:vAlign w:val="center"/>
          </w:tcPr>
          <w:p w14:paraId="3F078065" w14:textId="49E8124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Santa Rosa de Cabal</w:t>
            </w:r>
          </w:p>
        </w:tc>
        <w:tc>
          <w:tcPr>
            <w:tcW w:w="2310" w:type="dxa"/>
            <w:vAlign w:val="center"/>
          </w:tcPr>
          <w:p w14:paraId="31DFE9A6" w14:textId="25A5958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14C79936" w14:textId="7ECF8A0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E8ACDB1"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1B7F7393" w14:textId="00F6FCF4"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25</w:t>
            </w:r>
          </w:p>
        </w:tc>
        <w:tc>
          <w:tcPr>
            <w:tcW w:w="3630" w:type="dxa"/>
            <w:vAlign w:val="center"/>
          </w:tcPr>
          <w:p w14:paraId="4E6B0D93" w14:textId="400C8F9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Palmira</w:t>
            </w:r>
          </w:p>
        </w:tc>
        <w:tc>
          <w:tcPr>
            <w:tcW w:w="2310" w:type="dxa"/>
            <w:vAlign w:val="center"/>
          </w:tcPr>
          <w:p w14:paraId="424735EA" w14:textId="6FC22300"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7B0EC00A" w14:textId="666DC6A1"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3C7DC194"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146D3CC5" w14:textId="0337AE68"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26</w:t>
            </w:r>
          </w:p>
        </w:tc>
        <w:tc>
          <w:tcPr>
            <w:tcW w:w="3630" w:type="dxa"/>
            <w:vAlign w:val="center"/>
          </w:tcPr>
          <w:p w14:paraId="329002CE" w14:textId="6C4EC884"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Tuluá</w:t>
            </w:r>
          </w:p>
        </w:tc>
        <w:tc>
          <w:tcPr>
            <w:tcW w:w="2310" w:type="dxa"/>
            <w:vAlign w:val="center"/>
          </w:tcPr>
          <w:p w14:paraId="19AB8208" w14:textId="1542A0A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676EC24E" w14:textId="71341EE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BEE9D52"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601D2DE0" w14:textId="6E19836A"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27</w:t>
            </w:r>
          </w:p>
        </w:tc>
        <w:tc>
          <w:tcPr>
            <w:tcW w:w="3630" w:type="dxa"/>
            <w:vAlign w:val="center"/>
          </w:tcPr>
          <w:p w14:paraId="293FECB9" w14:textId="188D6A4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Medio Baudó</w:t>
            </w:r>
          </w:p>
        </w:tc>
        <w:tc>
          <w:tcPr>
            <w:tcW w:w="2310" w:type="dxa"/>
            <w:vAlign w:val="center"/>
          </w:tcPr>
          <w:p w14:paraId="1C384AB9" w14:textId="52FFF63D"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11FA82E3" w14:textId="5C5C4023"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5B4F5E1A"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2FB93212" w14:textId="1E32C722"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28</w:t>
            </w:r>
          </w:p>
        </w:tc>
        <w:tc>
          <w:tcPr>
            <w:tcW w:w="3630" w:type="dxa"/>
            <w:vAlign w:val="center"/>
          </w:tcPr>
          <w:p w14:paraId="47FF71CB" w14:textId="230B4BD5"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Tenjo</w:t>
            </w:r>
          </w:p>
        </w:tc>
        <w:tc>
          <w:tcPr>
            <w:tcW w:w="2310" w:type="dxa"/>
            <w:vAlign w:val="center"/>
          </w:tcPr>
          <w:p w14:paraId="5A9B0734" w14:textId="67D72CC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4B07F32D" w14:textId="294C9D28"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68E8AAC"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3BF0F60F" w14:textId="66A9C5F6"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29</w:t>
            </w:r>
          </w:p>
        </w:tc>
        <w:tc>
          <w:tcPr>
            <w:tcW w:w="3630" w:type="dxa"/>
            <w:vAlign w:val="center"/>
          </w:tcPr>
          <w:p w14:paraId="1044F2C4" w14:textId="04ED2EFE"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Gacheta</w:t>
            </w:r>
          </w:p>
        </w:tc>
        <w:tc>
          <w:tcPr>
            <w:tcW w:w="2310" w:type="dxa"/>
            <w:vAlign w:val="center"/>
          </w:tcPr>
          <w:p w14:paraId="3B5DD9AE" w14:textId="6C3BCF92"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1E18B112" w14:textId="07FF07E0"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700CD09B"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607EF595" w14:textId="795BE7CE"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30</w:t>
            </w:r>
          </w:p>
        </w:tc>
        <w:tc>
          <w:tcPr>
            <w:tcW w:w="3630" w:type="dxa"/>
            <w:vAlign w:val="center"/>
          </w:tcPr>
          <w:p w14:paraId="6263D49C" w14:textId="0368FA2E"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Trujillo</w:t>
            </w:r>
          </w:p>
        </w:tc>
        <w:tc>
          <w:tcPr>
            <w:tcW w:w="2310" w:type="dxa"/>
            <w:vAlign w:val="center"/>
          </w:tcPr>
          <w:p w14:paraId="68743EBC" w14:textId="064E5984"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4DAF82E4" w14:textId="70C25A1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4CC65AB4"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39AA4EA9" w14:textId="53622F67"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lastRenderedPageBreak/>
              <w:t>31</w:t>
            </w:r>
          </w:p>
        </w:tc>
        <w:tc>
          <w:tcPr>
            <w:tcW w:w="3630" w:type="dxa"/>
            <w:vAlign w:val="center"/>
          </w:tcPr>
          <w:p w14:paraId="127BE903" w14:textId="2CF34C81"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Manizales</w:t>
            </w:r>
          </w:p>
        </w:tc>
        <w:tc>
          <w:tcPr>
            <w:tcW w:w="2310" w:type="dxa"/>
            <w:vAlign w:val="center"/>
          </w:tcPr>
          <w:p w14:paraId="48045E07" w14:textId="359E9175"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4E5C2FB6" w14:textId="66B2C3CF"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12AB785D"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79A19B74" w14:textId="029800A3"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32</w:t>
            </w:r>
          </w:p>
        </w:tc>
        <w:tc>
          <w:tcPr>
            <w:tcW w:w="3630" w:type="dxa"/>
            <w:vAlign w:val="center"/>
          </w:tcPr>
          <w:p w14:paraId="4CF4C64C" w14:textId="7B47493A"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La Cumbre</w:t>
            </w:r>
          </w:p>
        </w:tc>
        <w:tc>
          <w:tcPr>
            <w:tcW w:w="2310" w:type="dxa"/>
            <w:vAlign w:val="center"/>
          </w:tcPr>
          <w:p w14:paraId="39CBE656" w14:textId="5048087D"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7C73C54A" w14:textId="38A05F0C"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178BF394" w14:textId="77777777" w:rsidTr="006729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5940EBC4" w14:textId="3DABC73A"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33</w:t>
            </w:r>
          </w:p>
        </w:tc>
        <w:tc>
          <w:tcPr>
            <w:tcW w:w="3630" w:type="dxa"/>
            <w:vAlign w:val="center"/>
          </w:tcPr>
          <w:p w14:paraId="650B9E73" w14:textId="17A46A4D"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Calima Darién</w:t>
            </w:r>
          </w:p>
        </w:tc>
        <w:tc>
          <w:tcPr>
            <w:tcW w:w="2310" w:type="dxa"/>
            <w:vAlign w:val="center"/>
          </w:tcPr>
          <w:p w14:paraId="5B440CAB" w14:textId="572478D2"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43A514D7" w14:textId="4A3BD30D" w:rsidR="31FF9146" w:rsidRDefault="31FF9146" w:rsidP="00672909">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r w:rsidR="31FF9146" w14:paraId="6246F3CF" w14:textId="77777777" w:rsidTr="00672909">
        <w:trPr>
          <w:trHeight w:val="300"/>
          <w:jc w:val="center"/>
        </w:trPr>
        <w:tc>
          <w:tcPr>
            <w:cnfStyle w:val="001000000000" w:firstRow="0" w:lastRow="0" w:firstColumn="1" w:lastColumn="0" w:oddVBand="0" w:evenVBand="0" w:oddHBand="0" w:evenHBand="0" w:firstRowFirstColumn="0" w:firstRowLastColumn="0" w:lastRowFirstColumn="0" w:lastRowLastColumn="0"/>
            <w:tcW w:w="1500" w:type="dxa"/>
            <w:vAlign w:val="center"/>
          </w:tcPr>
          <w:p w14:paraId="74636032" w14:textId="66E70CD1" w:rsidR="31FF9146" w:rsidRDefault="31FF9146" w:rsidP="00672909">
            <w:pPr>
              <w:jc w:val="center"/>
              <w:rPr>
                <w:rFonts w:eastAsia="Arial" w:cs="Arial"/>
                <w:color w:val="000000" w:themeColor="text1"/>
                <w:sz w:val="18"/>
                <w:szCs w:val="18"/>
              </w:rPr>
            </w:pPr>
            <w:r w:rsidRPr="31FF9146">
              <w:rPr>
                <w:rFonts w:eastAsia="Arial" w:cs="Arial"/>
                <w:b w:val="0"/>
                <w:bCs w:val="0"/>
                <w:color w:val="000000" w:themeColor="text1"/>
                <w:sz w:val="18"/>
                <w:szCs w:val="18"/>
              </w:rPr>
              <w:t>34</w:t>
            </w:r>
          </w:p>
        </w:tc>
        <w:tc>
          <w:tcPr>
            <w:tcW w:w="3630" w:type="dxa"/>
            <w:vAlign w:val="center"/>
          </w:tcPr>
          <w:p w14:paraId="3688A9E1" w14:textId="1ED206E9"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Municipio de Sopó</w:t>
            </w:r>
          </w:p>
        </w:tc>
        <w:tc>
          <w:tcPr>
            <w:tcW w:w="2310" w:type="dxa"/>
            <w:vAlign w:val="center"/>
          </w:tcPr>
          <w:p w14:paraId="5C99F2E3" w14:textId="06CCA82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Contrato</w:t>
            </w:r>
          </w:p>
        </w:tc>
        <w:tc>
          <w:tcPr>
            <w:tcW w:w="1635" w:type="dxa"/>
            <w:vAlign w:val="center"/>
          </w:tcPr>
          <w:p w14:paraId="775DB5AE" w14:textId="46D70EE2"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1</w:t>
            </w:r>
          </w:p>
        </w:tc>
      </w:tr>
    </w:tbl>
    <w:p w14:paraId="0A82C45A" w14:textId="48D55B7E" w:rsidR="76ECFD2C" w:rsidRPr="00672909" w:rsidRDefault="00672909" w:rsidP="00F14022">
      <w:pPr>
        <w:jc w:val="center"/>
        <w:rPr>
          <w:rFonts w:eastAsia="Arial" w:cs="Arial"/>
          <w:color w:val="000000" w:themeColor="text1"/>
          <w:sz w:val="16"/>
          <w:szCs w:val="18"/>
          <w:lang w:val="es-CO"/>
        </w:rPr>
      </w:pPr>
      <w:r w:rsidRPr="00672909">
        <w:rPr>
          <w:rFonts w:eastAsia="Arial" w:cs="Arial"/>
          <w:b/>
          <w:color w:val="000000" w:themeColor="text1"/>
          <w:sz w:val="16"/>
          <w:szCs w:val="18"/>
        </w:rPr>
        <w:t xml:space="preserve">Fuente: Dirección de Regulación y Habilitación </w:t>
      </w:r>
    </w:p>
    <w:p w14:paraId="3CCFF070" w14:textId="665275DA" w:rsidR="31FF9146" w:rsidRDefault="31FF9146" w:rsidP="00F14022">
      <w:pPr>
        <w:jc w:val="both"/>
        <w:rPr>
          <w:rFonts w:eastAsia="Arial" w:cs="Arial"/>
          <w:color w:val="000000" w:themeColor="text1"/>
          <w:sz w:val="22"/>
          <w:szCs w:val="22"/>
          <w:lang w:val="es-CO"/>
        </w:rPr>
      </w:pPr>
    </w:p>
    <w:p w14:paraId="0FA59DDE" w14:textId="35D0FE27" w:rsidR="00672909" w:rsidRDefault="00672909" w:rsidP="00672909">
      <w:pPr>
        <w:jc w:val="both"/>
        <w:rPr>
          <w:rFonts w:eastAsia="Arial" w:cs="Arial"/>
          <w:color w:val="000000" w:themeColor="text1"/>
          <w:sz w:val="22"/>
          <w:szCs w:val="22"/>
          <w:lang w:val="es-CO"/>
        </w:rPr>
      </w:pPr>
      <w:r>
        <w:rPr>
          <w:rFonts w:eastAsia="Arial" w:cs="Arial"/>
          <w:b/>
          <w:bCs/>
          <w:color w:val="000000" w:themeColor="text1"/>
          <w:sz w:val="22"/>
          <w:szCs w:val="22"/>
        </w:rPr>
        <w:t>SUBPROCESO DE REGULACIÓN</w:t>
      </w:r>
    </w:p>
    <w:p w14:paraId="2DB2EB62" w14:textId="77777777" w:rsidR="00672909" w:rsidRPr="00672909" w:rsidRDefault="00672909" w:rsidP="00672909">
      <w:pPr>
        <w:jc w:val="both"/>
        <w:rPr>
          <w:rFonts w:eastAsia="Arial" w:cs="Arial"/>
          <w:color w:val="000000" w:themeColor="text1"/>
          <w:sz w:val="22"/>
          <w:szCs w:val="22"/>
          <w:lang w:val="es-CO"/>
        </w:rPr>
      </w:pPr>
    </w:p>
    <w:p w14:paraId="363D0D6D" w14:textId="1DB4A21C" w:rsidR="31FF9146" w:rsidRPr="001B630C" w:rsidRDefault="1F6DFC50" w:rsidP="001B630C">
      <w:pPr>
        <w:spacing w:after="160"/>
        <w:jc w:val="both"/>
        <w:rPr>
          <w:rFonts w:eastAsia="Arial" w:cs="Arial"/>
          <w:b/>
          <w:color w:val="000000" w:themeColor="text1"/>
          <w:sz w:val="22"/>
          <w:szCs w:val="22"/>
          <w:lang w:val="es-CO"/>
        </w:rPr>
      </w:pPr>
      <w:r w:rsidRPr="00672909">
        <w:rPr>
          <w:rFonts w:eastAsia="Arial" w:cs="Arial"/>
          <w:b/>
          <w:bCs/>
          <w:color w:val="000000" w:themeColor="text1"/>
          <w:sz w:val="22"/>
          <w:szCs w:val="22"/>
          <w:lang w:val="es-CO"/>
        </w:rPr>
        <w:t>Creación del proceso de Regulación</w:t>
      </w:r>
      <w:r w:rsidR="00672909">
        <w:rPr>
          <w:rFonts w:eastAsia="Arial" w:cs="Arial"/>
          <w:b/>
          <w:bCs/>
          <w:color w:val="000000" w:themeColor="text1"/>
          <w:sz w:val="22"/>
          <w:szCs w:val="22"/>
          <w:lang w:val="es-CO"/>
        </w:rPr>
        <w:t xml:space="preserve">: </w:t>
      </w:r>
      <w:r w:rsidRPr="31FF9146">
        <w:rPr>
          <w:rFonts w:eastAsia="Arial" w:cs="Arial"/>
          <w:color w:val="000000" w:themeColor="text1"/>
          <w:sz w:val="22"/>
          <w:szCs w:val="22"/>
        </w:rPr>
        <w:t xml:space="preserve">primera versión del proceso de Regulación en el Sistema de Gestión Integrado en mayo de 2020, dado que la Entidad no contaba con el mismo pese a las gestiones que ya venía realizando asociadas a expedir regulación. Así mismo, de conformidad con la modernización, se actualizó dicho procedimiento con la incorporación de buenas prácticas regulatorias aplicables a la Entidad. </w:t>
      </w:r>
    </w:p>
    <w:p w14:paraId="75FF436C" w14:textId="22D37B0E" w:rsidR="1F6DFC50" w:rsidRPr="00672909" w:rsidRDefault="1F6DFC50" w:rsidP="00672909">
      <w:pPr>
        <w:spacing w:after="160"/>
        <w:jc w:val="both"/>
        <w:rPr>
          <w:rFonts w:eastAsia="Arial" w:cs="Arial"/>
          <w:b/>
          <w:bCs/>
          <w:color w:val="000000" w:themeColor="text1"/>
          <w:sz w:val="22"/>
          <w:szCs w:val="22"/>
          <w:lang w:val="es-CO"/>
        </w:rPr>
      </w:pPr>
      <w:r w:rsidRPr="00672909">
        <w:rPr>
          <w:rFonts w:eastAsia="Arial" w:cs="Arial"/>
          <w:b/>
          <w:bCs/>
          <w:color w:val="000000" w:themeColor="text1"/>
          <w:sz w:val="22"/>
          <w:szCs w:val="22"/>
          <w:lang w:val="es-CO"/>
        </w:rPr>
        <w:t>Actos administrativos:</w:t>
      </w:r>
      <w:r w:rsidR="00672909">
        <w:rPr>
          <w:rFonts w:eastAsia="Arial" w:cs="Arial"/>
          <w:b/>
          <w:bCs/>
          <w:color w:val="000000" w:themeColor="text1"/>
          <w:sz w:val="22"/>
          <w:szCs w:val="22"/>
          <w:lang w:val="es-CO"/>
        </w:rPr>
        <w:t xml:space="preserve"> </w:t>
      </w:r>
      <w:r w:rsidRPr="31FF9146">
        <w:rPr>
          <w:rFonts w:eastAsia="Arial" w:cs="Arial"/>
          <w:color w:val="000000" w:themeColor="text1"/>
          <w:sz w:val="22"/>
          <w:szCs w:val="22"/>
          <w:lang w:val="es-CO"/>
        </w:rPr>
        <w:t>En virtud de lo anteriormente expuesto, se expidieron los siguientes actos administrativos:</w:t>
      </w:r>
    </w:p>
    <w:p w14:paraId="49589497" w14:textId="75ECAEA2" w:rsidR="31FF9146" w:rsidRPr="00672909" w:rsidRDefault="00672909" w:rsidP="006251EB">
      <w:pPr>
        <w:pStyle w:val="Descripcin"/>
        <w:jc w:val="center"/>
        <w:rPr>
          <w:rFonts w:ascii="Arial" w:hAnsi="Arial" w:cs="Arial"/>
          <w:b/>
          <w:i w:val="0"/>
          <w:color w:val="auto"/>
          <w:sz w:val="16"/>
        </w:rPr>
      </w:pPr>
      <w:bookmarkStart w:id="77" w:name="_Toc88677097"/>
      <w:r w:rsidRPr="00672909">
        <w:rPr>
          <w:rFonts w:ascii="Arial" w:hAnsi="Arial" w:cs="Arial"/>
          <w:b/>
          <w:i w:val="0"/>
          <w:color w:val="auto"/>
          <w:sz w:val="16"/>
        </w:rPr>
        <w:t xml:space="preserve">Tabla </w:t>
      </w:r>
      <w:r w:rsidRPr="00672909">
        <w:rPr>
          <w:rFonts w:ascii="Arial" w:hAnsi="Arial" w:cs="Arial"/>
          <w:b/>
          <w:i w:val="0"/>
          <w:color w:val="auto"/>
          <w:sz w:val="16"/>
        </w:rPr>
        <w:fldChar w:fldCharType="begin"/>
      </w:r>
      <w:r w:rsidRPr="00672909">
        <w:rPr>
          <w:rFonts w:ascii="Arial" w:hAnsi="Arial" w:cs="Arial"/>
          <w:b/>
          <w:i w:val="0"/>
          <w:color w:val="auto"/>
          <w:sz w:val="16"/>
        </w:rPr>
        <w:instrText xml:space="preserve"> SEQ Tabla \* ARABIC </w:instrText>
      </w:r>
      <w:r w:rsidRPr="00672909">
        <w:rPr>
          <w:rFonts w:ascii="Arial" w:hAnsi="Arial" w:cs="Arial"/>
          <w:b/>
          <w:i w:val="0"/>
          <w:color w:val="auto"/>
          <w:sz w:val="16"/>
        </w:rPr>
        <w:fldChar w:fldCharType="separate"/>
      </w:r>
      <w:r w:rsidR="004D4C6A">
        <w:rPr>
          <w:rFonts w:ascii="Arial" w:hAnsi="Arial" w:cs="Arial"/>
          <w:b/>
          <w:i w:val="0"/>
          <w:noProof/>
          <w:color w:val="auto"/>
          <w:sz w:val="16"/>
        </w:rPr>
        <w:t>25</w:t>
      </w:r>
      <w:r w:rsidRPr="00672909">
        <w:rPr>
          <w:rFonts w:ascii="Arial" w:hAnsi="Arial" w:cs="Arial"/>
          <w:b/>
          <w:i w:val="0"/>
          <w:color w:val="auto"/>
          <w:sz w:val="16"/>
        </w:rPr>
        <w:fldChar w:fldCharType="end"/>
      </w:r>
      <w:r w:rsidR="00B25A4B">
        <w:rPr>
          <w:rFonts w:ascii="Arial" w:hAnsi="Arial" w:cs="Arial"/>
          <w:b/>
          <w:i w:val="0"/>
          <w:color w:val="auto"/>
          <w:sz w:val="16"/>
        </w:rPr>
        <w:t xml:space="preserve">. </w:t>
      </w:r>
      <w:r w:rsidRPr="00672909">
        <w:rPr>
          <w:rFonts w:ascii="Arial" w:hAnsi="Arial" w:cs="Arial"/>
          <w:b/>
          <w:i w:val="0"/>
          <w:color w:val="auto"/>
          <w:sz w:val="16"/>
        </w:rPr>
        <w:t>Actos administrativos</w:t>
      </w:r>
      <w:bookmarkEnd w:id="77"/>
    </w:p>
    <w:tbl>
      <w:tblPr>
        <w:tblStyle w:val="Tabladecuadrcula4-nfasis1"/>
        <w:tblW w:w="9360" w:type="dxa"/>
        <w:tblLayout w:type="fixed"/>
        <w:tblLook w:val="06A0" w:firstRow="1" w:lastRow="0" w:firstColumn="1" w:lastColumn="0" w:noHBand="1" w:noVBand="1"/>
      </w:tblPr>
      <w:tblGrid>
        <w:gridCol w:w="1958"/>
        <w:gridCol w:w="1528"/>
        <w:gridCol w:w="5874"/>
      </w:tblGrid>
      <w:tr w:rsidR="31FF9146" w:rsidRPr="00672909" w14:paraId="39C7CB4C" w14:textId="77777777" w:rsidTr="0067290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58" w:type="dxa"/>
            <w:vAlign w:val="center"/>
          </w:tcPr>
          <w:p w14:paraId="3D0FC54E" w14:textId="12480A7F" w:rsidR="31FF9146" w:rsidRPr="00672909" w:rsidRDefault="31FF9146" w:rsidP="00672909">
            <w:pPr>
              <w:jc w:val="center"/>
              <w:rPr>
                <w:rFonts w:eastAsia="Arial" w:cs="Arial"/>
                <w:sz w:val="18"/>
                <w:szCs w:val="18"/>
              </w:rPr>
            </w:pPr>
            <w:r w:rsidRPr="00672909">
              <w:rPr>
                <w:rFonts w:eastAsia="Arial" w:cs="Arial"/>
                <w:sz w:val="18"/>
                <w:szCs w:val="18"/>
              </w:rPr>
              <w:t>Acto administrativo</w:t>
            </w:r>
          </w:p>
        </w:tc>
        <w:tc>
          <w:tcPr>
            <w:tcW w:w="1528" w:type="dxa"/>
            <w:vAlign w:val="center"/>
          </w:tcPr>
          <w:p w14:paraId="1F4A6CB4" w14:textId="3016277E"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Fecha de expedición</w:t>
            </w:r>
          </w:p>
        </w:tc>
        <w:tc>
          <w:tcPr>
            <w:tcW w:w="5874" w:type="dxa"/>
            <w:vAlign w:val="center"/>
          </w:tcPr>
          <w:p w14:paraId="1497F701" w14:textId="61F579AD"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Objeto</w:t>
            </w:r>
          </w:p>
        </w:tc>
      </w:tr>
      <w:tr w:rsidR="31FF9146" w:rsidRPr="00672909" w14:paraId="5F89E2A2"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76B4C4E1" w14:textId="65D05E27"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388 de 2020</w:t>
            </w:r>
          </w:p>
        </w:tc>
        <w:tc>
          <w:tcPr>
            <w:tcW w:w="1528" w:type="dxa"/>
            <w:vAlign w:val="center"/>
          </w:tcPr>
          <w:p w14:paraId="1B512D93" w14:textId="193C541A"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13 de abril de 2020</w:t>
            </w:r>
          </w:p>
        </w:tc>
        <w:tc>
          <w:tcPr>
            <w:tcW w:w="5874" w:type="dxa"/>
            <w:vAlign w:val="center"/>
          </w:tcPr>
          <w:p w14:paraId="4B2EB2CE" w14:textId="0C48C425"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establecen las especificaciones técnicas para los productos de información generados por los procesos de formación y actualización catastral con enfoque multipropósito.</w:t>
            </w:r>
          </w:p>
          <w:p w14:paraId="1F7DA073" w14:textId="7F10A07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p>
        </w:tc>
      </w:tr>
      <w:tr w:rsidR="31FF9146" w:rsidRPr="00672909" w14:paraId="3063EEAC"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3D8185BE" w14:textId="4DEBAD38"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471 de 2020</w:t>
            </w:r>
          </w:p>
        </w:tc>
        <w:tc>
          <w:tcPr>
            <w:tcW w:w="1528" w:type="dxa"/>
            <w:vAlign w:val="center"/>
          </w:tcPr>
          <w:p w14:paraId="27C23DD1" w14:textId="390E8D93"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14 de mayo de 2020</w:t>
            </w:r>
          </w:p>
        </w:tc>
        <w:tc>
          <w:tcPr>
            <w:tcW w:w="5874" w:type="dxa"/>
            <w:vAlign w:val="center"/>
          </w:tcPr>
          <w:p w14:paraId="603BCBBB" w14:textId="63250121"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establecen las especificaciones técnicas mínimas que deben tener los productos de la cartografía básica oficial de Colombia.</w:t>
            </w:r>
          </w:p>
          <w:p w14:paraId="307851AB" w14:textId="0B8FF76A"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p>
        </w:tc>
      </w:tr>
      <w:tr w:rsidR="31FF9146" w:rsidRPr="00672909" w14:paraId="40F88F5E"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687A4230" w14:textId="11CED803"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Conjunta SNR 04218 IGAC 499 de 2020</w:t>
            </w:r>
          </w:p>
        </w:tc>
        <w:tc>
          <w:tcPr>
            <w:tcW w:w="1528" w:type="dxa"/>
            <w:vAlign w:val="center"/>
          </w:tcPr>
          <w:p w14:paraId="2030D528" w14:textId="47606AC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28 de mayo de 2020</w:t>
            </w:r>
          </w:p>
        </w:tc>
        <w:tc>
          <w:tcPr>
            <w:tcW w:w="5874" w:type="dxa"/>
            <w:vAlign w:val="center"/>
          </w:tcPr>
          <w:p w14:paraId="2199CE2A" w14:textId="0952A0A0"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adopta el Modelo Extendido de Catastro Registro del Modelo LADM_COL.</w:t>
            </w:r>
          </w:p>
          <w:p w14:paraId="233FFBAF" w14:textId="038F3F79"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p>
        </w:tc>
      </w:tr>
      <w:tr w:rsidR="31FF9146" w:rsidRPr="00672909" w14:paraId="41270363"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6E244EE1" w14:textId="1546AE2E"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509 de 2020</w:t>
            </w:r>
          </w:p>
        </w:tc>
        <w:tc>
          <w:tcPr>
            <w:tcW w:w="1528" w:type="dxa"/>
            <w:vAlign w:val="center"/>
          </w:tcPr>
          <w:p w14:paraId="6D8F8C1A" w14:textId="2A0A7079"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 de junio de 2020</w:t>
            </w:r>
          </w:p>
        </w:tc>
        <w:tc>
          <w:tcPr>
            <w:tcW w:w="5874" w:type="dxa"/>
            <w:vAlign w:val="center"/>
          </w:tcPr>
          <w:p w14:paraId="0B20DE60" w14:textId="559C1757"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modifica el parágrafo del artículo 1, el artículo 8 y los anexos 1 y 3 de la Resolución 388 del 13 de abril de 2020 "Por la cual se establecen las especificaciones técnicas para los productos de información generados por los procesos de formación y actualización catastral con enfoque multipropósito.</w:t>
            </w:r>
          </w:p>
          <w:p w14:paraId="6489617A" w14:textId="2E16A06F"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p>
        </w:tc>
      </w:tr>
      <w:tr w:rsidR="31FF9146" w:rsidRPr="00672909" w14:paraId="3E34B280"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251CB2E0" w14:textId="637E3176"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529 de 2020.</w:t>
            </w:r>
          </w:p>
        </w:tc>
        <w:tc>
          <w:tcPr>
            <w:tcW w:w="1528" w:type="dxa"/>
            <w:vAlign w:val="center"/>
          </w:tcPr>
          <w:p w14:paraId="76E6C1AE" w14:textId="40229BA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5 de junio de 2020</w:t>
            </w:r>
          </w:p>
        </w:tc>
        <w:tc>
          <w:tcPr>
            <w:tcW w:w="5874" w:type="dxa"/>
            <w:vAlign w:val="center"/>
          </w:tcPr>
          <w:p w14:paraId="09CE3772" w14:textId="5ABDE00C"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modifica la Resolución 471 de 2020 "Por medio de la cual se establecen las especificaciones técnicas mínimas que deben tener los productos de la cartografía básica oficial de Colombia.</w:t>
            </w:r>
          </w:p>
        </w:tc>
      </w:tr>
      <w:tr w:rsidR="31FF9146" w:rsidRPr="00672909" w14:paraId="71C1FA1D"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5DD097AD" w14:textId="166B5362"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789 de 2020</w:t>
            </w:r>
          </w:p>
        </w:tc>
        <w:tc>
          <w:tcPr>
            <w:tcW w:w="1528" w:type="dxa"/>
            <w:vAlign w:val="center"/>
          </w:tcPr>
          <w:p w14:paraId="480CEA99" w14:textId="43EF22D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8 de septiembre de 2020</w:t>
            </w:r>
          </w:p>
        </w:tc>
        <w:tc>
          <w:tcPr>
            <w:tcW w:w="5874" w:type="dxa"/>
            <w:vAlign w:val="center"/>
          </w:tcPr>
          <w:p w14:paraId="311984C3" w14:textId="0A33E4C0"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establecen los criterios básicos de atención al ciudadano, de calidad del servicio, de protección al usuario, de interoperabilidad tecnológica, de reporte de información en el Sistema Nacional de Información Catastral (SINIC), de gestión documental y regula el proceso de empalme.</w:t>
            </w:r>
          </w:p>
        </w:tc>
      </w:tr>
      <w:tr w:rsidR="31FF9146" w:rsidRPr="00672909" w14:paraId="27F29BD0"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45017D2B" w14:textId="34C9761A"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Conjunta IGAC 1101 SNR 11344 de 2020</w:t>
            </w:r>
          </w:p>
        </w:tc>
        <w:tc>
          <w:tcPr>
            <w:tcW w:w="1528" w:type="dxa"/>
            <w:vAlign w:val="center"/>
          </w:tcPr>
          <w:p w14:paraId="4A3891A0" w14:textId="33C5C081"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31 de diciembre de 2020</w:t>
            </w:r>
          </w:p>
        </w:tc>
        <w:tc>
          <w:tcPr>
            <w:tcW w:w="5874" w:type="dxa"/>
            <w:vAlign w:val="center"/>
          </w:tcPr>
          <w:p w14:paraId="431DD05A" w14:textId="004A2C31"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establecen los lineamientos para la aplicación de los procedimientos catastrales con efectos registrales, la corrección y/o inclusión de cabida en procesos de ordenamiento social de la propiedad, y la corrección de área y/o linderos mediante escrituras aclaratorias</w:t>
            </w:r>
          </w:p>
        </w:tc>
      </w:tr>
      <w:tr w:rsidR="31FF9146" w:rsidRPr="00672909" w14:paraId="526EAE09"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7E842EDD" w14:textId="47265CB6"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45 de 2021.</w:t>
            </w:r>
          </w:p>
        </w:tc>
        <w:tc>
          <w:tcPr>
            <w:tcW w:w="1528" w:type="dxa"/>
            <w:vAlign w:val="center"/>
          </w:tcPr>
          <w:p w14:paraId="156CBC1C" w14:textId="00AD5CA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20 de enero de 2021</w:t>
            </w:r>
          </w:p>
        </w:tc>
        <w:tc>
          <w:tcPr>
            <w:tcW w:w="5874" w:type="dxa"/>
            <w:vAlign w:val="center"/>
          </w:tcPr>
          <w:p w14:paraId="0D1F6DA7" w14:textId="5DE55809"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 xml:space="preserve">“Por medio de la cual se asigna al IGAC, como gestor catastral por excepción, el prefijo y las series del Código Homologado de </w:t>
            </w:r>
            <w:r w:rsidRPr="00672909">
              <w:rPr>
                <w:rFonts w:eastAsia="Arial" w:cs="Arial"/>
                <w:color w:val="000000" w:themeColor="text1"/>
                <w:sz w:val="18"/>
                <w:szCs w:val="18"/>
                <w:lang w:val="es-CO"/>
              </w:rPr>
              <w:lastRenderedPageBreak/>
              <w:t>Identificación Predial (CH) en los municipios a su cargo para los predios registrados en el Sistema Nacional Catastral –SNC”.</w:t>
            </w:r>
          </w:p>
          <w:p w14:paraId="02337719" w14:textId="28F3E3D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p>
        </w:tc>
      </w:tr>
      <w:tr w:rsidR="31FF9146" w:rsidRPr="00672909" w14:paraId="11FB2AC9"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1EE01236" w14:textId="65001BFC"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rPr>
              <w:lastRenderedPageBreak/>
              <w:t>Resolución 370 de 2021</w:t>
            </w:r>
          </w:p>
        </w:tc>
        <w:tc>
          <w:tcPr>
            <w:tcW w:w="1528" w:type="dxa"/>
            <w:vAlign w:val="center"/>
          </w:tcPr>
          <w:p w14:paraId="57122DE8" w14:textId="7A3CD495"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4 de julio de 2021</w:t>
            </w:r>
          </w:p>
        </w:tc>
        <w:tc>
          <w:tcPr>
            <w:tcW w:w="5874" w:type="dxa"/>
            <w:vAlign w:val="center"/>
          </w:tcPr>
          <w:p w14:paraId="549D029E" w14:textId="2B0155C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establece el sistema de proyección cartográfica oficial para Colombia</w:t>
            </w:r>
          </w:p>
        </w:tc>
      </w:tr>
      <w:tr w:rsidR="31FF9146" w:rsidRPr="00672909" w14:paraId="3C9BE2FE"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6E755387" w14:textId="5A81A29B"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1100 de 2021</w:t>
            </w:r>
          </w:p>
        </w:tc>
        <w:tc>
          <w:tcPr>
            <w:tcW w:w="1528" w:type="dxa"/>
            <w:vAlign w:val="center"/>
          </w:tcPr>
          <w:p w14:paraId="5FECF259" w14:textId="77F7DA56"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10 de agosto de 2021</w:t>
            </w:r>
          </w:p>
        </w:tc>
        <w:tc>
          <w:tcPr>
            <w:tcW w:w="5874" w:type="dxa"/>
            <w:vAlign w:val="center"/>
          </w:tcPr>
          <w:p w14:paraId="0761A533" w14:textId="5E009CC0"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asigna el prefijo del Código Homologado de Identificación Predial (CH) por municipio y se realiza la entrega de las series del Código Homologado de Identificación Predial (CH) a los Gestores Catastrales</w:t>
            </w:r>
          </w:p>
        </w:tc>
      </w:tr>
      <w:tr w:rsidR="31FF9146" w:rsidRPr="00672909" w14:paraId="6832228A"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475EED4D" w14:textId="0ABD1A86"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1149 de 2021</w:t>
            </w:r>
          </w:p>
        </w:tc>
        <w:tc>
          <w:tcPr>
            <w:tcW w:w="1528" w:type="dxa"/>
            <w:vAlign w:val="center"/>
          </w:tcPr>
          <w:p w14:paraId="4C8359BC" w14:textId="2FB19D4E"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19 de agosto de 2021</w:t>
            </w:r>
          </w:p>
        </w:tc>
        <w:tc>
          <w:tcPr>
            <w:tcW w:w="5874" w:type="dxa"/>
            <w:vAlign w:val="center"/>
          </w:tcPr>
          <w:p w14:paraId="264606DE" w14:textId="0F158E7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actualiza la reglamentación técnica de la formación, actualización, conservación y difusión catastral con enfoque multipropósito</w:t>
            </w:r>
          </w:p>
        </w:tc>
      </w:tr>
      <w:tr w:rsidR="31FF9146" w:rsidRPr="00672909" w14:paraId="50C27B09"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18753981" w14:textId="7074C065"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1421 de 2021</w:t>
            </w:r>
          </w:p>
        </w:tc>
        <w:tc>
          <w:tcPr>
            <w:tcW w:w="1528" w:type="dxa"/>
            <w:vAlign w:val="center"/>
          </w:tcPr>
          <w:p w14:paraId="33820A62" w14:textId="2FDDA87C"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15 de septiembre de 2021</w:t>
            </w:r>
          </w:p>
        </w:tc>
        <w:tc>
          <w:tcPr>
            <w:tcW w:w="5874" w:type="dxa"/>
            <w:vAlign w:val="center"/>
          </w:tcPr>
          <w:p w14:paraId="2FCF404E" w14:textId="0D9D5DEA"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establecen las condiciones de validación técnica y oficialización de productos cartográficos básicos y se dictan otras disposiciones</w:t>
            </w:r>
          </w:p>
        </w:tc>
      </w:tr>
      <w:tr w:rsidR="31FF9146" w:rsidRPr="00672909" w14:paraId="2B8FBC27"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12A5560D" w14:textId="446AA24A"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1468 de 2021</w:t>
            </w:r>
          </w:p>
        </w:tc>
        <w:tc>
          <w:tcPr>
            <w:tcW w:w="1528" w:type="dxa"/>
            <w:vAlign w:val="center"/>
          </w:tcPr>
          <w:p w14:paraId="09E3D92C" w14:textId="2A88D39D"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29 de septiembre de 2021</w:t>
            </w:r>
          </w:p>
        </w:tc>
        <w:tc>
          <w:tcPr>
            <w:tcW w:w="5874" w:type="dxa"/>
            <w:vAlign w:val="center"/>
          </w:tcPr>
          <w:p w14:paraId="3A3B6F32" w14:textId="1C39FDA4"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medio de la cual se establecen los lineamientos técnicos mínimos requeridos en la materialización, medición y administración de vértices geodésicos para su integración a la Red Geodésica Nacional de la República de Colombia</w:t>
            </w:r>
          </w:p>
        </w:tc>
      </w:tr>
      <w:tr w:rsidR="31FF9146" w:rsidRPr="00672909" w14:paraId="43F28571" w14:textId="77777777" w:rsidTr="00672909">
        <w:tc>
          <w:tcPr>
            <w:cnfStyle w:val="001000000000" w:firstRow="0" w:lastRow="0" w:firstColumn="1" w:lastColumn="0" w:oddVBand="0" w:evenVBand="0" w:oddHBand="0" w:evenHBand="0" w:firstRowFirstColumn="0" w:firstRowLastColumn="0" w:lastRowFirstColumn="0" w:lastRowLastColumn="0"/>
            <w:tcW w:w="1958" w:type="dxa"/>
            <w:vAlign w:val="center"/>
          </w:tcPr>
          <w:p w14:paraId="694C9BD4" w14:textId="779622FE" w:rsidR="31FF9146" w:rsidRPr="00672909" w:rsidRDefault="31FF9146" w:rsidP="00672909">
            <w:pPr>
              <w:jc w:val="center"/>
              <w:rPr>
                <w:rFonts w:eastAsia="Arial" w:cs="Arial"/>
                <w:color w:val="000000" w:themeColor="text1"/>
                <w:sz w:val="18"/>
                <w:szCs w:val="18"/>
              </w:rPr>
            </w:pPr>
            <w:r w:rsidRPr="00672909">
              <w:rPr>
                <w:rFonts w:eastAsia="Arial" w:cs="Arial"/>
                <w:color w:val="000000" w:themeColor="text1"/>
                <w:sz w:val="18"/>
                <w:szCs w:val="18"/>
                <w:lang w:val="es-CO"/>
              </w:rPr>
              <w:t>Resolución 1620 de 2021</w:t>
            </w:r>
          </w:p>
        </w:tc>
        <w:tc>
          <w:tcPr>
            <w:tcW w:w="1528" w:type="dxa"/>
            <w:vAlign w:val="center"/>
          </w:tcPr>
          <w:p w14:paraId="6A2A6315" w14:textId="0FAFE135"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25 de octubre de 2021</w:t>
            </w:r>
          </w:p>
        </w:tc>
        <w:tc>
          <w:tcPr>
            <w:tcW w:w="5874" w:type="dxa"/>
            <w:vAlign w:val="center"/>
          </w:tcPr>
          <w:p w14:paraId="50C7AFE7" w14:textId="30EAA597" w:rsidR="31FF9146" w:rsidRPr="00672909"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00672909">
              <w:rPr>
                <w:rFonts w:eastAsia="Arial" w:cs="Arial"/>
                <w:color w:val="000000" w:themeColor="text1"/>
                <w:sz w:val="18"/>
                <w:szCs w:val="18"/>
                <w:lang w:val="es-CO"/>
              </w:rPr>
              <w:t>Por la cual se modifica el Anexo 1 de la Resolución No. 1100 del 10 de agosto de 2021 “Por medio de la cual se asigna el prefijo del Código Homologado de Identificación Predial (CH) por municipio y se realiza la entrega de las series del Código Homologado de Identificación Predial (CH) a los Gestores Catastrales</w:t>
            </w:r>
          </w:p>
        </w:tc>
      </w:tr>
    </w:tbl>
    <w:p w14:paraId="2EE52141" w14:textId="77777777" w:rsidR="00672909" w:rsidRPr="00672909" w:rsidRDefault="00672909" w:rsidP="00672909">
      <w:pPr>
        <w:jc w:val="center"/>
        <w:rPr>
          <w:rFonts w:eastAsia="Arial" w:cs="Arial"/>
          <w:color w:val="000000" w:themeColor="text1"/>
          <w:sz w:val="16"/>
          <w:szCs w:val="18"/>
          <w:lang w:val="es-CO"/>
        </w:rPr>
      </w:pPr>
      <w:r w:rsidRPr="00672909">
        <w:rPr>
          <w:rFonts w:eastAsia="Arial" w:cs="Arial"/>
          <w:b/>
          <w:color w:val="000000" w:themeColor="text1"/>
          <w:sz w:val="16"/>
          <w:szCs w:val="18"/>
        </w:rPr>
        <w:t xml:space="preserve">Fuente: Dirección de Regulación y Habilitación </w:t>
      </w:r>
    </w:p>
    <w:p w14:paraId="49174ACD" w14:textId="5C85A109" w:rsidR="31FF9146" w:rsidRDefault="31FF9146" w:rsidP="00F14022">
      <w:pPr>
        <w:rPr>
          <w:rFonts w:eastAsia="Arial" w:cs="Arial"/>
          <w:color w:val="000000" w:themeColor="text1"/>
          <w:sz w:val="20"/>
          <w:szCs w:val="20"/>
          <w:lang w:val="es-CO"/>
        </w:rPr>
      </w:pPr>
    </w:p>
    <w:p w14:paraId="0C76A378" w14:textId="484C4A86" w:rsidR="31FF9146" w:rsidRPr="00672909" w:rsidRDefault="00672909" w:rsidP="006251EB">
      <w:pPr>
        <w:pStyle w:val="Descripcin"/>
        <w:jc w:val="center"/>
        <w:rPr>
          <w:rFonts w:ascii="Arial" w:eastAsia="Arial" w:hAnsi="Arial" w:cs="Arial"/>
          <w:b/>
          <w:i w:val="0"/>
          <w:color w:val="auto"/>
          <w:sz w:val="20"/>
          <w:szCs w:val="22"/>
        </w:rPr>
      </w:pPr>
      <w:bookmarkStart w:id="78" w:name="_Toc88677098"/>
      <w:r w:rsidRPr="00672909">
        <w:rPr>
          <w:rFonts w:ascii="Arial" w:hAnsi="Arial" w:cs="Arial"/>
          <w:b/>
          <w:i w:val="0"/>
          <w:color w:val="auto"/>
          <w:sz w:val="16"/>
        </w:rPr>
        <w:t xml:space="preserve">Tabla </w:t>
      </w:r>
      <w:r w:rsidRPr="00672909">
        <w:rPr>
          <w:rFonts w:ascii="Arial" w:hAnsi="Arial" w:cs="Arial"/>
          <w:b/>
          <w:i w:val="0"/>
          <w:color w:val="auto"/>
          <w:sz w:val="16"/>
        </w:rPr>
        <w:fldChar w:fldCharType="begin"/>
      </w:r>
      <w:r w:rsidRPr="00672909">
        <w:rPr>
          <w:rFonts w:ascii="Arial" w:hAnsi="Arial" w:cs="Arial"/>
          <w:b/>
          <w:i w:val="0"/>
          <w:color w:val="auto"/>
          <w:sz w:val="16"/>
        </w:rPr>
        <w:instrText xml:space="preserve"> SEQ Tabla \* ARABIC </w:instrText>
      </w:r>
      <w:r w:rsidRPr="00672909">
        <w:rPr>
          <w:rFonts w:ascii="Arial" w:hAnsi="Arial" w:cs="Arial"/>
          <w:b/>
          <w:i w:val="0"/>
          <w:color w:val="auto"/>
          <w:sz w:val="16"/>
        </w:rPr>
        <w:fldChar w:fldCharType="separate"/>
      </w:r>
      <w:r w:rsidR="004D4C6A">
        <w:rPr>
          <w:rFonts w:ascii="Arial" w:hAnsi="Arial" w:cs="Arial"/>
          <w:b/>
          <w:i w:val="0"/>
          <w:noProof/>
          <w:color w:val="auto"/>
          <w:sz w:val="16"/>
        </w:rPr>
        <w:t>26</w:t>
      </w:r>
      <w:r w:rsidRPr="00672909">
        <w:rPr>
          <w:rFonts w:ascii="Arial" w:hAnsi="Arial" w:cs="Arial"/>
          <w:b/>
          <w:i w:val="0"/>
          <w:color w:val="auto"/>
          <w:sz w:val="16"/>
        </w:rPr>
        <w:fldChar w:fldCharType="end"/>
      </w:r>
      <w:r w:rsidR="0004736C">
        <w:rPr>
          <w:rFonts w:ascii="Arial" w:hAnsi="Arial" w:cs="Arial"/>
          <w:b/>
          <w:i w:val="0"/>
          <w:color w:val="auto"/>
          <w:sz w:val="16"/>
        </w:rPr>
        <w:t xml:space="preserve">. </w:t>
      </w:r>
      <w:r w:rsidRPr="00672909">
        <w:rPr>
          <w:rFonts w:ascii="Arial" w:hAnsi="Arial" w:cs="Arial"/>
          <w:b/>
          <w:i w:val="0"/>
          <w:color w:val="auto"/>
          <w:sz w:val="16"/>
        </w:rPr>
        <w:t>Proyectos de actos administrativos en revisión</w:t>
      </w:r>
      <w:bookmarkEnd w:id="78"/>
    </w:p>
    <w:tbl>
      <w:tblPr>
        <w:tblStyle w:val="Tabladecuadrcula4-nfasis1"/>
        <w:tblW w:w="9360" w:type="dxa"/>
        <w:tblLayout w:type="fixed"/>
        <w:tblLook w:val="06A0" w:firstRow="1" w:lastRow="0" w:firstColumn="1" w:lastColumn="0" w:noHBand="1" w:noVBand="1"/>
      </w:tblPr>
      <w:tblGrid>
        <w:gridCol w:w="2221"/>
        <w:gridCol w:w="7139"/>
      </w:tblGrid>
      <w:tr w:rsidR="31FF9146" w14:paraId="47AA0F13" w14:textId="77777777" w:rsidTr="0067290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21" w:type="dxa"/>
            <w:tcBorders>
              <w:top w:val="single" w:sz="6" w:space="0" w:color="4F81BD" w:themeColor="accent1"/>
              <w:left w:val="single" w:sz="6" w:space="0" w:color="4F81BD" w:themeColor="accent1"/>
              <w:bottom w:val="single" w:sz="6" w:space="0" w:color="4F81BD" w:themeColor="accent1"/>
            </w:tcBorders>
            <w:vAlign w:val="center"/>
          </w:tcPr>
          <w:p w14:paraId="001082AA" w14:textId="112B1705" w:rsidR="31FF9146" w:rsidRPr="00672909" w:rsidRDefault="31FF9146" w:rsidP="00672909">
            <w:pPr>
              <w:jc w:val="center"/>
              <w:rPr>
                <w:rFonts w:eastAsia="Arial" w:cs="Arial"/>
                <w:sz w:val="18"/>
                <w:szCs w:val="18"/>
              </w:rPr>
            </w:pPr>
            <w:r w:rsidRPr="00672909">
              <w:rPr>
                <w:rFonts w:eastAsia="Arial" w:cs="Arial"/>
                <w:sz w:val="18"/>
                <w:szCs w:val="18"/>
              </w:rPr>
              <w:t>Proyecto de acto administrativo</w:t>
            </w:r>
          </w:p>
        </w:tc>
        <w:tc>
          <w:tcPr>
            <w:tcW w:w="7139" w:type="dxa"/>
            <w:tcBorders>
              <w:top w:val="single" w:sz="6" w:space="0" w:color="4F81BD" w:themeColor="accent1"/>
              <w:bottom w:val="single" w:sz="6" w:space="0" w:color="4F81BD" w:themeColor="accent1"/>
              <w:right w:val="single" w:sz="6" w:space="0" w:color="4F81BD" w:themeColor="accent1"/>
            </w:tcBorders>
            <w:vAlign w:val="center"/>
          </w:tcPr>
          <w:p w14:paraId="2CA0DCA5" w14:textId="5BC46137" w:rsidR="31FF9146" w:rsidRPr="00672909" w:rsidRDefault="31FF9146" w:rsidP="0067290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18"/>
              </w:rPr>
            </w:pPr>
            <w:r w:rsidRPr="00672909">
              <w:rPr>
                <w:rFonts w:eastAsia="Arial" w:cs="Arial"/>
                <w:sz w:val="18"/>
                <w:szCs w:val="18"/>
              </w:rPr>
              <w:t>Objeto</w:t>
            </w:r>
          </w:p>
        </w:tc>
      </w:tr>
      <w:tr w:rsidR="31FF9146" w14:paraId="6EC8F83B" w14:textId="77777777" w:rsidTr="00672909">
        <w:tc>
          <w:tcPr>
            <w:cnfStyle w:val="001000000000" w:firstRow="0" w:lastRow="0" w:firstColumn="1" w:lastColumn="0" w:oddVBand="0" w:evenVBand="0" w:oddHBand="0" w:evenHBand="0" w:firstRowFirstColumn="0" w:firstRowLastColumn="0" w:lastRowFirstColumn="0" w:lastRowLastColumn="0"/>
            <w:tcW w:w="2221" w:type="dxa"/>
            <w:vAlign w:val="center"/>
          </w:tcPr>
          <w:p w14:paraId="66FC78FA" w14:textId="631F03D3" w:rsidR="31FF9146" w:rsidRDefault="31FF9146" w:rsidP="00672909">
            <w:pPr>
              <w:jc w:val="center"/>
              <w:rPr>
                <w:rFonts w:eastAsia="Arial" w:cs="Arial"/>
                <w:color w:val="000000" w:themeColor="text1"/>
                <w:sz w:val="18"/>
                <w:szCs w:val="18"/>
              </w:rPr>
            </w:pPr>
            <w:r w:rsidRPr="31FF9146">
              <w:rPr>
                <w:rFonts w:eastAsia="Arial" w:cs="Arial"/>
                <w:color w:val="000000" w:themeColor="text1"/>
                <w:sz w:val="18"/>
                <w:szCs w:val="18"/>
              </w:rPr>
              <w:t>Decreto</w:t>
            </w:r>
          </w:p>
        </w:tc>
        <w:tc>
          <w:tcPr>
            <w:tcW w:w="7139" w:type="dxa"/>
            <w:vAlign w:val="center"/>
          </w:tcPr>
          <w:p w14:paraId="568DBE63" w14:textId="60880CCF"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Por el cual se modifican parcialmente los artículos 2.2.2.5.6 y 2.2.2.5.7 del Decreto 1170 de 2015, “Por medio del cual se expide el Decreto Reglamentario Único del Sector Administrativo de Información Estadística”, adicionado por el Decreto 1983 de 2019, “Por el cual se reglamentan parcialmente los artículos 79, 80, 81 y 82 de la Ley 1955 de 2019 y se adiciona un Capítulo al Título 2 de la Parte 2 del Libro 2 del Decreto número 1170 de 2015, por medio del cual se expide el Decreto Reglamentario Único del Sector Administrativo de Información Estadística”. Para ingreso a territorios étnicos.</w:t>
            </w:r>
          </w:p>
        </w:tc>
      </w:tr>
      <w:tr w:rsidR="31FF9146" w14:paraId="582910E2" w14:textId="77777777" w:rsidTr="00672909">
        <w:tc>
          <w:tcPr>
            <w:cnfStyle w:val="001000000000" w:firstRow="0" w:lastRow="0" w:firstColumn="1" w:lastColumn="0" w:oddVBand="0" w:evenVBand="0" w:oddHBand="0" w:evenHBand="0" w:firstRowFirstColumn="0" w:firstRowLastColumn="0" w:lastRowFirstColumn="0" w:lastRowLastColumn="0"/>
            <w:tcW w:w="2221" w:type="dxa"/>
            <w:vAlign w:val="center"/>
          </w:tcPr>
          <w:p w14:paraId="7CD45D54" w14:textId="2376980D" w:rsidR="31FF9146" w:rsidRDefault="31FF9146" w:rsidP="00672909">
            <w:pPr>
              <w:jc w:val="center"/>
              <w:rPr>
                <w:rFonts w:eastAsia="Arial" w:cs="Arial"/>
                <w:color w:val="000000" w:themeColor="text1"/>
                <w:sz w:val="18"/>
                <w:szCs w:val="18"/>
              </w:rPr>
            </w:pPr>
            <w:r w:rsidRPr="31FF9146">
              <w:rPr>
                <w:rFonts w:eastAsia="Arial" w:cs="Arial"/>
                <w:color w:val="000000" w:themeColor="text1"/>
                <w:sz w:val="18"/>
                <w:szCs w:val="18"/>
              </w:rPr>
              <w:t>Resolución</w:t>
            </w:r>
          </w:p>
        </w:tc>
        <w:tc>
          <w:tcPr>
            <w:tcW w:w="7139" w:type="dxa"/>
            <w:vAlign w:val="center"/>
          </w:tcPr>
          <w:p w14:paraId="1176127C" w14:textId="7EE7CB5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Por medio de la cual se fijan normas, métodos, parámetros, criterios y procedimientos para la elaboración de avalúos de servidumbres legales y afectaciones transitorias en desarrollo de actividades, obras o proyectos declarados por el legislador como de utilidad pública e interés social.</w:t>
            </w:r>
          </w:p>
        </w:tc>
      </w:tr>
      <w:tr w:rsidR="31FF9146" w14:paraId="23E41A2A" w14:textId="77777777" w:rsidTr="00672909">
        <w:tc>
          <w:tcPr>
            <w:cnfStyle w:val="001000000000" w:firstRow="0" w:lastRow="0" w:firstColumn="1" w:lastColumn="0" w:oddVBand="0" w:evenVBand="0" w:oddHBand="0" w:evenHBand="0" w:firstRowFirstColumn="0" w:firstRowLastColumn="0" w:lastRowFirstColumn="0" w:lastRowLastColumn="0"/>
            <w:tcW w:w="2221" w:type="dxa"/>
            <w:vAlign w:val="center"/>
          </w:tcPr>
          <w:p w14:paraId="46969019" w14:textId="42317441" w:rsidR="31FF9146" w:rsidRDefault="31FF9146" w:rsidP="00672909">
            <w:pPr>
              <w:jc w:val="center"/>
              <w:rPr>
                <w:rFonts w:eastAsia="Arial" w:cs="Arial"/>
                <w:color w:val="000000" w:themeColor="text1"/>
                <w:sz w:val="18"/>
                <w:szCs w:val="18"/>
              </w:rPr>
            </w:pPr>
            <w:r w:rsidRPr="31FF9146">
              <w:rPr>
                <w:rFonts w:eastAsia="Arial" w:cs="Arial"/>
                <w:color w:val="000000" w:themeColor="text1"/>
                <w:sz w:val="18"/>
                <w:szCs w:val="18"/>
              </w:rPr>
              <w:t>Resolución</w:t>
            </w:r>
          </w:p>
        </w:tc>
        <w:tc>
          <w:tcPr>
            <w:tcW w:w="7139" w:type="dxa"/>
            <w:vAlign w:val="center"/>
          </w:tcPr>
          <w:p w14:paraId="7156C1EF" w14:textId="39D033F1"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Por la cual se actualiza el procedimiento para desarrollar el trámite de actualización de cabida y/o linderos de que trata el artículo 26 de la Ley 1682 de 2013.</w:t>
            </w:r>
          </w:p>
        </w:tc>
      </w:tr>
      <w:tr w:rsidR="31FF9146" w14:paraId="6F442729" w14:textId="77777777" w:rsidTr="00672909">
        <w:tc>
          <w:tcPr>
            <w:cnfStyle w:val="001000000000" w:firstRow="0" w:lastRow="0" w:firstColumn="1" w:lastColumn="0" w:oddVBand="0" w:evenVBand="0" w:oddHBand="0" w:evenHBand="0" w:firstRowFirstColumn="0" w:firstRowLastColumn="0" w:lastRowFirstColumn="0" w:lastRowLastColumn="0"/>
            <w:tcW w:w="2221" w:type="dxa"/>
            <w:vAlign w:val="center"/>
          </w:tcPr>
          <w:p w14:paraId="69B27AB5" w14:textId="3036962F" w:rsidR="31FF9146" w:rsidRDefault="31FF9146" w:rsidP="00672909">
            <w:pPr>
              <w:jc w:val="center"/>
              <w:rPr>
                <w:rFonts w:eastAsia="Arial" w:cs="Arial"/>
                <w:color w:val="000000" w:themeColor="text1"/>
                <w:sz w:val="18"/>
                <w:szCs w:val="18"/>
              </w:rPr>
            </w:pPr>
            <w:r w:rsidRPr="31FF9146">
              <w:rPr>
                <w:rFonts w:eastAsia="Arial" w:cs="Arial"/>
                <w:color w:val="000000" w:themeColor="text1"/>
                <w:sz w:val="18"/>
                <w:szCs w:val="18"/>
              </w:rPr>
              <w:t>Resolución</w:t>
            </w:r>
          </w:p>
        </w:tc>
        <w:tc>
          <w:tcPr>
            <w:tcW w:w="7139" w:type="dxa"/>
            <w:vAlign w:val="center"/>
          </w:tcPr>
          <w:p w14:paraId="2C7FD880" w14:textId="7B459E13" w:rsidR="31FF9146" w:rsidRDefault="31FF9146" w:rsidP="00672909">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18"/>
              </w:rPr>
            </w:pPr>
            <w:r w:rsidRPr="31FF9146">
              <w:rPr>
                <w:rFonts w:eastAsia="Arial" w:cs="Arial"/>
                <w:color w:val="000000" w:themeColor="text1"/>
                <w:sz w:val="18"/>
                <w:szCs w:val="18"/>
              </w:rPr>
              <w:t>Por medio de la cual se establecen los requisitos de los trámites a cargo del Instituto Geográfico Agustín Codazzi.</w:t>
            </w:r>
          </w:p>
        </w:tc>
      </w:tr>
    </w:tbl>
    <w:p w14:paraId="1DA23A05" w14:textId="06CBDE34" w:rsidR="00672909" w:rsidRDefault="00672909" w:rsidP="00672909">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0C9541B8" w14:textId="0FFBA5CC" w:rsidR="00672909" w:rsidRPr="00941D96" w:rsidRDefault="00672909" w:rsidP="00941D96">
      <w:pPr>
        <w:rPr>
          <w:rFonts w:eastAsia="Arial" w:cs="Arial"/>
          <w:color w:val="000000" w:themeColor="text1"/>
          <w:sz w:val="16"/>
          <w:szCs w:val="18"/>
          <w:lang w:val="es-CO"/>
        </w:rPr>
      </w:pPr>
    </w:p>
    <w:p w14:paraId="630C118F" w14:textId="77777777" w:rsidR="00672909" w:rsidRDefault="00672909" w:rsidP="00F14022">
      <w:pPr>
        <w:pStyle w:val="Lista"/>
        <w:rPr>
          <w:color w:val="000000" w:themeColor="text1"/>
          <w:lang w:val="es-CO"/>
        </w:rPr>
      </w:pPr>
    </w:p>
    <w:p w14:paraId="57B8ED69" w14:textId="6A2BBC20" w:rsidR="006A7D6A" w:rsidRPr="002D2F11" w:rsidRDefault="00672909" w:rsidP="000A20EE">
      <w:pPr>
        <w:pStyle w:val="Prrafodelista"/>
        <w:numPr>
          <w:ilvl w:val="2"/>
          <w:numId w:val="22"/>
        </w:numPr>
        <w:rPr>
          <w:b/>
          <w:bCs/>
          <w:sz w:val="22"/>
          <w:szCs w:val="22"/>
        </w:rPr>
      </w:pPr>
      <w:r w:rsidRPr="31FF9146">
        <w:rPr>
          <w:b/>
          <w:bCs/>
          <w:sz w:val="22"/>
          <w:szCs w:val="22"/>
        </w:rPr>
        <w:t>OTROS LOGROS</w:t>
      </w:r>
    </w:p>
    <w:p w14:paraId="638F92CF" w14:textId="2A8BE30E" w:rsidR="31FF9146" w:rsidRDefault="31FF9146" w:rsidP="00F14022">
      <w:pPr>
        <w:pStyle w:val="Lista"/>
      </w:pPr>
    </w:p>
    <w:p w14:paraId="5AC42F5B" w14:textId="19779E3D" w:rsidR="31FF9146" w:rsidRPr="00672909" w:rsidRDefault="131366D5" w:rsidP="000A20EE">
      <w:pPr>
        <w:pStyle w:val="Prrafodelista"/>
        <w:numPr>
          <w:ilvl w:val="0"/>
          <w:numId w:val="184"/>
        </w:numPr>
        <w:rPr>
          <w:rFonts w:eastAsia="Arial" w:cs="Arial"/>
          <w:color w:val="000000" w:themeColor="text1"/>
          <w:sz w:val="22"/>
          <w:szCs w:val="22"/>
        </w:rPr>
      </w:pPr>
      <w:r w:rsidRPr="00672909">
        <w:rPr>
          <w:rFonts w:eastAsia="Arial" w:cs="Arial"/>
          <w:color w:val="000000" w:themeColor="text1"/>
          <w:sz w:val="22"/>
          <w:szCs w:val="22"/>
        </w:rPr>
        <w:t xml:space="preserve">Definición y actualización de los procedimientos de habilitación de gestores catastrales y empalme. </w:t>
      </w:r>
    </w:p>
    <w:p w14:paraId="4E55B751" w14:textId="5B45EE6F" w:rsidR="31FF9146" w:rsidRPr="00672909" w:rsidRDefault="131366D5" w:rsidP="000A20EE">
      <w:pPr>
        <w:pStyle w:val="Prrafodelista"/>
        <w:numPr>
          <w:ilvl w:val="0"/>
          <w:numId w:val="184"/>
        </w:numPr>
        <w:rPr>
          <w:rFonts w:eastAsia="Arial" w:cs="Arial"/>
          <w:color w:val="000000" w:themeColor="text1"/>
          <w:sz w:val="22"/>
          <w:szCs w:val="22"/>
        </w:rPr>
      </w:pPr>
      <w:r w:rsidRPr="00672909">
        <w:rPr>
          <w:rFonts w:eastAsia="Arial" w:cs="Arial"/>
          <w:color w:val="000000" w:themeColor="text1"/>
          <w:sz w:val="22"/>
          <w:szCs w:val="22"/>
        </w:rPr>
        <w:t>Definición de formatos tipo como apoyo a las entidades territoriales para la construcción de sus proyectos de habilitación.</w:t>
      </w:r>
    </w:p>
    <w:p w14:paraId="21F145CC" w14:textId="7011F190" w:rsidR="31FF9146" w:rsidRPr="00672909" w:rsidRDefault="131366D5" w:rsidP="000A20EE">
      <w:pPr>
        <w:pStyle w:val="Prrafodelista"/>
        <w:numPr>
          <w:ilvl w:val="0"/>
          <w:numId w:val="184"/>
        </w:numPr>
        <w:rPr>
          <w:rFonts w:eastAsia="Arial" w:cs="Arial"/>
          <w:color w:val="000000" w:themeColor="text1"/>
          <w:sz w:val="22"/>
          <w:szCs w:val="22"/>
        </w:rPr>
      </w:pPr>
      <w:r w:rsidRPr="00672909">
        <w:rPr>
          <w:rFonts w:eastAsia="Arial" w:cs="Arial"/>
          <w:color w:val="000000" w:themeColor="text1"/>
          <w:sz w:val="22"/>
          <w:szCs w:val="22"/>
        </w:rPr>
        <w:t xml:space="preserve">Realización de talleres especializados con los municipios perfilados, agrupados por zonas del país, con el apoyo de la entonces Oficina de Difusión y Mercadeo y la participación </w:t>
      </w:r>
      <w:r w:rsidRPr="00672909">
        <w:rPr>
          <w:rFonts w:eastAsia="Arial" w:cs="Arial"/>
          <w:color w:val="000000" w:themeColor="text1"/>
          <w:sz w:val="22"/>
          <w:szCs w:val="22"/>
        </w:rPr>
        <w:lastRenderedPageBreak/>
        <w:t xml:space="preserve">del DNP, el Departamento Administrativo de la Función Pública y gestores catastrales habilitados. </w:t>
      </w:r>
    </w:p>
    <w:p w14:paraId="0A83F192" w14:textId="4340E742" w:rsidR="31FF9146" w:rsidRPr="00672909" w:rsidRDefault="131366D5" w:rsidP="000A20EE">
      <w:pPr>
        <w:pStyle w:val="Prrafodelista"/>
        <w:numPr>
          <w:ilvl w:val="0"/>
          <w:numId w:val="184"/>
        </w:numPr>
        <w:rPr>
          <w:rFonts w:eastAsia="Arial" w:cs="Arial"/>
          <w:color w:val="000000" w:themeColor="text1"/>
          <w:sz w:val="22"/>
          <w:szCs w:val="22"/>
        </w:rPr>
      </w:pPr>
      <w:r w:rsidRPr="00672909">
        <w:rPr>
          <w:rFonts w:eastAsia="Arial" w:cs="Arial"/>
          <w:color w:val="000000" w:themeColor="text1"/>
          <w:sz w:val="22"/>
          <w:szCs w:val="22"/>
        </w:rPr>
        <w:t>Creación de la cartilla ‘Guía para la habilitación de gestores catastrales’ la cual contiene el flujo del proceso completo para ser gestor, requisitos, descripción de actividades, tiempos y formatos facilitadores.</w:t>
      </w:r>
    </w:p>
    <w:p w14:paraId="773D1D8D" w14:textId="3FA2F263" w:rsidR="131366D5" w:rsidRPr="00672909" w:rsidRDefault="131366D5" w:rsidP="000A20EE">
      <w:pPr>
        <w:pStyle w:val="Prrafodelista"/>
        <w:numPr>
          <w:ilvl w:val="0"/>
          <w:numId w:val="184"/>
        </w:numPr>
        <w:rPr>
          <w:rFonts w:eastAsia="Arial" w:cs="Arial"/>
          <w:color w:val="000000" w:themeColor="text1"/>
          <w:sz w:val="22"/>
          <w:szCs w:val="22"/>
        </w:rPr>
      </w:pPr>
      <w:r w:rsidRPr="00672909">
        <w:rPr>
          <w:rFonts w:eastAsia="Arial" w:cs="Arial"/>
          <w:color w:val="000000" w:themeColor="text1"/>
          <w:sz w:val="22"/>
          <w:szCs w:val="22"/>
        </w:rPr>
        <w:t xml:space="preserve">Diseño en conjunto con las entonces Oficinas de Informática y Difusión y Mercadeo, de un micrositio en la página web de la entidad, denominado </w:t>
      </w:r>
      <w:r w:rsidRPr="00672909">
        <w:rPr>
          <w:rFonts w:eastAsia="Arial" w:cs="Arial"/>
          <w:i/>
          <w:iCs/>
          <w:color w:val="000000" w:themeColor="text1"/>
          <w:sz w:val="22"/>
          <w:szCs w:val="22"/>
        </w:rPr>
        <w:t>Catastro Multipropósito,</w:t>
      </w:r>
      <w:r w:rsidRPr="00672909">
        <w:rPr>
          <w:rFonts w:eastAsia="Arial" w:cs="Arial"/>
          <w:color w:val="000000" w:themeColor="text1"/>
          <w:sz w:val="22"/>
          <w:szCs w:val="22"/>
        </w:rPr>
        <w:t xml:space="preserve"> </w:t>
      </w:r>
      <w:r w:rsidRPr="00672909">
        <w:rPr>
          <w:rFonts w:eastAsia="Arial" w:cs="Arial"/>
          <w:i/>
          <w:iCs/>
          <w:color w:val="000000" w:themeColor="text1"/>
          <w:sz w:val="22"/>
          <w:szCs w:val="22"/>
        </w:rPr>
        <w:t>habilítese como gestor catastral,</w:t>
      </w:r>
      <w:r w:rsidRPr="00672909">
        <w:rPr>
          <w:rFonts w:eastAsia="Arial" w:cs="Arial"/>
          <w:color w:val="000000" w:themeColor="text1"/>
          <w:sz w:val="22"/>
          <w:szCs w:val="22"/>
        </w:rPr>
        <w:t xml:space="preserve"> en el cual los usuarios pueden consultar información clave de los municipios del país como insumos para la habilitación; así mismo, se encuentran los requisitos para la habilitación, los gestores catastrales habilitados y los municipios de su jurisdicción, entre otros.</w:t>
      </w:r>
    </w:p>
    <w:p w14:paraId="6960987D" w14:textId="2BF4B422" w:rsidR="31FF9146" w:rsidRDefault="31FF9146" w:rsidP="00F14022">
      <w:pPr>
        <w:pStyle w:val="Lista"/>
      </w:pPr>
    </w:p>
    <w:p w14:paraId="6C78B008" w14:textId="19B3AC0E" w:rsidR="006A7D6A" w:rsidRDefault="00672909" w:rsidP="000A20EE">
      <w:pPr>
        <w:pStyle w:val="Prrafodelista"/>
        <w:numPr>
          <w:ilvl w:val="2"/>
          <w:numId w:val="22"/>
        </w:numPr>
        <w:rPr>
          <w:b/>
          <w:bCs/>
          <w:sz w:val="22"/>
          <w:szCs w:val="22"/>
        </w:rPr>
      </w:pPr>
      <w:r w:rsidRPr="31FF9146">
        <w:rPr>
          <w:b/>
          <w:bCs/>
          <w:sz w:val="22"/>
          <w:szCs w:val="22"/>
        </w:rPr>
        <w:t>ANTECEDENTES Y ESTADO ACTUAL DE LA DEPENDENCIA</w:t>
      </w:r>
    </w:p>
    <w:p w14:paraId="729404DA" w14:textId="65000B58" w:rsidR="31FF9146" w:rsidRPr="00E03308" w:rsidRDefault="31FF9146" w:rsidP="00E54695">
      <w:pPr>
        <w:pStyle w:val="Descripcin"/>
        <w:rPr>
          <w:rFonts w:ascii="Arial" w:hAnsi="Arial" w:cs="Arial"/>
          <w:b/>
          <w:i w:val="0"/>
          <w:color w:val="auto"/>
          <w:sz w:val="16"/>
          <w:szCs w:val="16"/>
        </w:rPr>
      </w:pPr>
    </w:p>
    <w:tbl>
      <w:tblPr>
        <w:tblStyle w:val="Tabladecuadrcula4-nfasis1"/>
        <w:tblW w:w="9360" w:type="dxa"/>
        <w:tblLayout w:type="fixed"/>
        <w:tblLook w:val="04A0" w:firstRow="1" w:lastRow="0" w:firstColumn="1" w:lastColumn="0" w:noHBand="0" w:noVBand="1"/>
      </w:tblPr>
      <w:tblGrid>
        <w:gridCol w:w="2452"/>
        <w:gridCol w:w="3149"/>
        <w:gridCol w:w="3759"/>
      </w:tblGrid>
      <w:tr w:rsidR="31FF9146" w:rsidRPr="007C693C" w14:paraId="14A14290" w14:textId="77777777" w:rsidTr="007C693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52" w:type="dxa"/>
            <w:tcBorders>
              <w:top w:val="single" w:sz="6" w:space="0" w:color="4F81BD" w:themeColor="accent1"/>
              <w:left w:val="single" w:sz="6" w:space="0" w:color="4F81BD" w:themeColor="accent1"/>
              <w:bottom w:val="single" w:sz="6" w:space="0" w:color="4F81BD" w:themeColor="accent1"/>
            </w:tcBorders>
          </w:tcPr>
          <w:p w14:paraId="422EB5A8" w14:textId="3B2B8DAA" w:rsidR="31FF9146" w:rsidRPr="007C693C" w:rsidRDefault="31FF9146" w:rsidP="00F14022">
            <w:pPr>
              <w:jc w:val="center"/>
              <w:rPr>
                <w:rFonts w:eastAsia="Arial" w:cs="Arial"/>
                <w:sz w:val="18"/>
                <w:szCs w:val="20"/>
              </w:rPr>
            </w:pPr>
            <w:r w:rsidRPr="007C693C">
              <w:rPr>
                <w:rFonts w:eastAsia="Arial" w:cs="Arial"/>
                <w:sz w:val="18"/>
                <w:szCs w:val="20"/>
                <w:lang w:val="es-MX"/>
              </w:rPr>
              <w:t>Ítem</w:t>
            </w:r>
          </w:p>
        </w:tc>
        <w:tc>
          <w:tcPr>
            <w:tcW w:w="3149" w:type="dxa"/>
            <w:tcBorders>
              <w:top w:val="single" w:sz="6" w:space="0" w:color="4F81BD" w:themeColor="accent1"/>
              <w:bottom w:val="single" w:sz="6" w:space="0" w:color="4F81BD" w:themeColor="accent1"/>
            </w:tcBorders>
          </w:tcPr>
          <w:p w14:paraId="11408CF5" w14:textId="2288AC7B" w:rsidR="31FF9146" w:rsidRPr="007C693C"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20"/>
              </w:rPr>
            </w:pPr>
            <w:r w:rsidRPr="007C693C">
              <w:rPr>
                <w:rFonts w:eastAsia="Arial" w:cs="Arial"/>
                <w:sz w:val="18"/>
                <w:szCs w:val="20"/>
                <w:lang w:val="es-MX"/>
              </w:rPr>
              <w:t xml:space="preserve">Estado Inicial  </w:t>
            </w:r>
          </w:p>
        </w:tc>
        <w:tc>
          <w:tcPr>
            <w:tcW w:w="3759" w:type="dxa"/>
            <w:tcBorders>
              <w:top w:val="single" w:sz="6" w:space="0" w:color="4F81BD" w:themeColor="accent1"/>
              <w:bottom w:val="single" w:sz="6" w:space="0" w:color="4F81BD" w:themeColor="accent1"/>
              <w:right w:val="single" w:sz="6" w:space="0" w:color="4F81BD" w:themeColor="accent1"/>
            </w:tcBorders>
          </w:tcPr>
          <w:p w14:paraId="0DD4AC6E" w14:textId="6DFAA95C" w:rsidR="31FF9146" w:rsidRPr="007C693C"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18"/>
                <w:szCs w:val="20"/>
              </w:rPr>
            </w:pPr>
            <w:r w:rsidRPr="007C693C">
              <w:rPr>
                <w:rFonts w:eastAsia="Arial" w:cs="Arial"/>
                <w:sz w:val="18"/>
                <w:szCs w:val="20"/>
                <w:lang w:val="es-MX"/>
              </w:rPr>
              <w:t>Estado Actual</w:t>
            </w:r>
          </w:p>
        </w:tc>
      </w:tr>
      <w:tr w:rsidR="31FF9146" w:rsidRPr="007C693C" w14:paraId="1BC3F462" w14:textId="77777777" w:rsidTr="007C693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52" w:type="dxa"/>
            <w:vAlign w:val="center"/>
          </w:tcPr>
          <w:p w14:paraId="6C4BEE5F" w14:textId="1F48976D" w:rsidR="31FF9146" w:rsidRPr="007C693C" w:rsidRDefault="31FF9146" w:rsidP="007C693C">
            <w:pPr>
              <w:jc w:val="center"/>
              <w:rPr>
                <w:rFonts w:eastAsia="Arial" w:cs="Arial"/>
                <w:color w:val="000000" w:themeColor="text1"/>
                <w:sz w:val="18"/>
                <w:szCs w:val="20"/>
              </w:rPr>
            </w:pPr>
            <w:r w:rsidRPr="007C693C">
              <w:rPr>
                <w:rFonts w:eastAsia="Arial" w:cs="Arial"/>
                <w:color w:val="000000" w:themeColor="text1"/>
                <w:sz w:val="18"/>
                <w:szCs w:val="20"/>
                <w:lang w:val="es-MX"/>
              </w:rPr>
              <w:t>Información</w:t>
            </w:r>
          </w:p>
        </w:tc>
        <w:tc>
          <w:tcPr>
            <w:tcW w:w="3149" w:type="dxa"/>
            <w:vMerge w:val="restart"/>
            <w:vAlign w:val="center"/>
          </w:tcPr>
          <w:p w14:paraId="692D8372" w14:textId="165EC9E0" w:rsidR="31FF9146" w:rsidRPr="007C693C"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20"/>
              </w:rPr>
            </w:pPr>
            <w:r w:rsidRPr="007C693C">
              <w:rPr>
                <w:rFonts w:eastAsia="Arial" w:cs="Arial"/>
                <w:color w:val="000000" w:themeColor="text1"/>
                <w:sz w:val="18"/>
                <w:szCs w:val="20"/>
                <w:lang w:val="es-MX"/>
              </w:rPr>
              <w:t>No existía consolidación de la información para el proceso de Regulación, toda vez que no existía en el mapa de procesos de la Entidad.</w:t>
            </w:r>
          </w:p>
          <w:p w14:paraId="7CF70C8D" w14:textId="20FADAAF" w:rsidR="31FF9146" w:rsidRPr="007C693C"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20"/>
              </w:rPr>
            </w:pPr>
          </w:p>
        </w:tc>
        <w:tc>
          <w:tcPr>
            <w:tcW w:w="3759" w:type="dxa"/>
            <w:vAlign w:val="center"/>
          </w:tcPr>
          <w:p w14:paraId="21948A5B" w14:textId="625B9CED" w:rsidR="31FF9146" w:rsidRPr="007C693C"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20"/>
              </w:rPr>
            </w:pPr>
            <w:r w:rsidRPr="007C693C">
              <w:rPr>
                <w:rFonts w:eastAsia="Arial" w:cs="Arial"/>
                <w:color w:val="000000" w:themeColor="text1"/>
                <w:sz w:val="18"/>
                <w:szCs w:val="20"/>
                <w:lang w:val="es-MX"/>
              </w:rPr>
              <w:t>De conformidad con el Procedimiento de Regulación PC-REG-01, Habilitación de Gestores Catastrales PC-CGT-04 y Empalme de Gestores Catastrales PC-CGT-08, se cuenta con las instrucciones para el depósito de la información asociada a las actividades de los procedimientos.</w:t>
            </w:r>
          </w:p>
        </w:tc>
      </w:tr>
      <w:tr w:rsidR="31FF9146" w:rsidRPr="007C693C" w14:paraId="08497A0F" w14:textId="77777777" w:rsidTr="007C693C">
        <w:trPr>
          <w:trHeight w:val="300"/>
        </w:trPr>
        <w:tc>
          <w:tcPr>
            <w:cnfStyle w:val="001000000000" w:firstRow="0" w:lastRow="0" w:firstColumn="1" w:lastColumn="0" w:oddVBand="0" w:evenVBand="0" w:oddHBand="0" w:evenHBand="0" w:firstRowFirstColumn="0" w:firstRowLastColumn="0" w:lastRowFirstColumn="0" w:lastRowLastColumn="0"/>
            <w:tcW w:w="2452" w:type="dxa"/>
            <w:vAlign w:val="center"/>
          </w:tcPr>
          <w:p w14:paraId="29D04B1E" w14:textId="05FCA580" w:rsidR="31FF9146" w:rsidRPr="007C693C" w:rsidRDefault="31FF9146" w:rsidP="007C693C">
            <w:pPr>
              <w:jc w:val="center"/>
              <w:rPr>
                <w:rFonts w:eastAsia="Arial" w:cs="Arial"/>
                <w:color w:val="000000" w:themeColor="text1"/>
                <w:sz w:val="18"/>
                <w:szCs w:val="20"/>
              </w:rPr>
            </w:pPr>
            <w:r w:rsidRPr="007C693C">
              <w:rPr>
                <w:rFonts w:eastAsia="Arial" w:cs="Arial"/>
                <w:color w:val="000000" w:themeColor="text1"/>
                <w:sz w:val="18"/>
                <w:szCs w:val="20"/>
                <w:lang w:val="es-MX"/>
              </w:rPr>
              <w:t>Alcance del proceso</w:t>
            </w:r>
          </w:p>
        </w:tc>
        <w:tc>
          <w:tcPr>
            <w:tcW w:w="3149" w:type="dxa"/>
            <w:vMerge/>
            <w:vAlign w:val="center"/>
          </w:tcPr>
          <w:p w14:paraId="27D25CB8" w14:textId="77777777" w:rsidR="0071119F" w:rsidRPr="007C693C" w:rsidRDefault="0071119F" w:rsidP="007C693C">
            <w:pPr>
              <w:jc w:val="center"/>
              <w:cnfStyle w:val="000000000000" w:firstRow="0" w:lastRow="0" w:firstColumn="0" w:lastColumn="0" w:oddVBand="0" w:evenVBand="0" w:oddHBand="0" w:evenHBand="0" w:firstRowFirstColumn="0" w:firstRowLastColumn="0" w:lastRowFirstColumn="0" w:lastRowLastColumn="0"/>
              <w:rPr>
                <w:sz w:val="18"/>
              </w:rPr>
            </w:pPr>
          </w:p>
        </w:tc>
        <w:tc>
          <w:tcPr>
            <w:tcW w:w="3759" w:type="dxa"/>
            <w:vAlign w:val="center"/>
          </w:tcPr>
          <w:p w14:paraId="5D0C7ACA" w14:textId="1B8EA4B6" w:rsidR="31FF9146" w:rsidRPr="007C693C" w:rsidRDefault="31FF9146" w:rsidP="007C693C">
            <w:pPr>
              <w:spacing w:before="240"/>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20"/>
              </w:rPr>
            </w:pPr>
            <w:r w:rsidRPr="007C693C">
              <w:rPr>
                <w:rFonts w:eastAsia="Arial" w:cs="Arial"/>
                <w:color w:val="000000" w:themeColor="text1"/>
                <w:sz w:val="18"/>
                <w:szCs w:val="20"/>
              </w:rPr>
              <w:t>De conformidad con las competencias otorgadas a la Entidad en el marco del Plan Nacional de Desarrollo 2018-2022, actualmente los procesos de Regulación y Habilitación se encuentran creados para cumplir con las metas establecidas en los distintos planes, programas y proyectos en materia misional.</w:t>
            </w:r>
          </w:p>
          <w:p w14:paraId="616843FF" w14:textId="093C286A" w:rsidR="31FF9146" w:rsidRPr="007C693C"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20"/>
              </w:rPr>
            </w:pPr>
          </w:p>
        </w:tc>
      </w:tr>
      <w:tr w:rsidR="31FF9146" w:rsidRPr="007C693C" w14:paraId="354D30B8" w14:textId="77777777" w:rsidTr="007C693C">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2452" w:type="dxa"/>
            <w:vAlign w:val="center"/>
          </w:tcPr>
          <w:p w14:paraId="4A374A1F" w14:textId="651C5C8C" w:rsidR="31FF9146" w:rsidRPr="007C693C" w:rsidRDefault="31FF9146" w:rsidP="007C693C">
            <w:pPr>
              <w:jc w:val="center"/>
              <w:rPr>
                <w:rFonts w:eastAsia="Arial" w:cs="Arial"/>
                <w:color w:val="000000" w:themeColor="text1"/>
                <w:sz w:val="18"/>
                <w:szCs w:val="20"/>
              </w:rPr>
            </w:pPr>
            <w:r w:rsidRPr="007C693C">
              <w:rPr>
                <w:rFonts w:eastAsia="Arial" w:cs="Arial"/>
                <w:color w:val="000000" w:themeColor="text1"/>
                <w:sz w:val="18"/>
                <w:szCs w:val="20"/>
                <w:lang w:val="es-MX"/>
              </w:rPr>
              <w:t>Procedimientos</w:t>
            </w:r>
          </w:p>
        </w:tc>
        <w:tc>
          <w:tcPr>
            <w:tcW w:w="3149" w:type="dxa"/>
            <w:vMerge/>
            <w:vAlign w:val="center"/>
          </w:tcPr>
          <w:p w14:paraId="1622C87F" w14:textId="77777777" w:rsidR="0071119F" w:rsidRPr="007C693C" w:rsidRDefault="0071119F" w:rsidP="007C693C">
            <w:pPr>
              <w:jc w:val="center"/>
              <w:cnfStyle w:val="000000100000" w:firstRow="0" w:lastRow="0" w:firstColumn="0" w:lastColumn="0" w:oddVBand="0" w:evenVBand="0" w:oddHBand="1" w:evenHBand="0" w:firstRowFirstColumn="0" w:firstRowLastColumn="0" w:lastRowFirstColumn="0" w:lastRowLastColumn="0"/>
              <w:rPr>
                <w:sz w:val="18"/>
              </w:rPr>
            </w:pPr>
          </w:p>
        </w:tc>
        <w:tc>
          <w:tcPr>
            <w:tcW w:w="3759" w:type="dxa"/>
            <w:vAlign w:val="center"/>
          </w:tcPr>
          <w:p w14:paraId="1E756106" w14:textId="4A94FBAB" w:rsidR="759F661C" w:rsidRPr="007C693C" w:rsidRDefault="759F661C"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18"/>
                <w:szCs w:val="20"/>
                <w:lang w:val="es-MX"/>
              </w:rPr>
            </w:pPr>
            <w:r w:rsidRPr="007C693C">
              <w:rPr>
                <w:rFonts w:eastAsia="Arial" w:cs="Arial"/>
                <w:color w:val="000000" w:themeColor="text1"/>
                <w:sz w:val="18"/>
                <w:szCs w:val="20"/>
                <w:lang w:val="es-MX"/>
              </w:rPr>
              <w:t xml:space="preserve">Fueron creados tres nuevos procedimientos relacionados con el la </w:t>
            </w:r>
            <w:r w:rsidR="1381546F" w:rsidRPr="007C693C">
              <w:rPr>
                <w:rFonts w:eastAsia="Arial" w:cs="Arial"/>
                <w:color w:val="000000" w:themeColor="text1"/>
                <w:sz w:val="18"/>
                <w:szCs w:val="20"/>
                <w:lang w:val="es-MX"/>
              </w:rPr>
              <w:t>r</w:t>
            </w:r>
            <w:r w:rsidR="31FF9146" w:rsidRPr="007C693C">
              <w:rPr>
                <w:rFonts w:eastAsia="Arial" w:cs="Arial"/>
                <w:color w:val="000000" w:themeColor="text1"/>
                <w:sz w:val="18"/>
                <w:szCs w:val="20"/>
                <w:lang w:val="es-MX"/>
              </w:rPr>
              <w:t>egulación</w:t>
            </w:r>
            <w:r w:rsidR="4076CD0F" w:rsidRPr="007C693C">
              <w:rPr>
                <w:rFonts w:eastAsia="Arial" w:cs="Arial"/>
                <w:color w:val="000000" w:themeColor="text1"/>
                <w:sz w:val="18"/>
                <w:szCs w:val="20"/>
                <w:lang w:val="es-MX"/>
              </w:rPr>
              <w:t xml:space="preserve"> catastral, la</w:t>
            </w:r>
            <w:r w:rsidR="31FF9146" w:rsidRPr="007C693C">
              <w:rPr>
                <w:rFonts w:eastAsia="Arial" w:cs="Arial"/>
                <w:color w:val="000000" w:themeColor="text1"/>
                <w:sz w:val="18"/>
                <w:szCs w:val="20"/>
                <w:lang w:val="es-MX"/>
              </w:rPr>
              <w:t xml:space="preserve"> </w:t>
            </w:r>
            <w:r w:rsidR="334CA2D6" w:rsidRPr="007C693C">
              <w:rPr>
                <w:rFonts w:eastAsia="Arial" w:cs="Arial"/>
                <w:color w:val="000000" w:themeColor="text1"/>
                <w:sz w:val="18"/>
                <w:szCs w:val="20"/>
                <w:lang w:val="es-MX"/>
              </w:rPr>
              <w:t>h</w:t>
            </w:r>
            <w:r w:rsidR="31FF9146" w:rsidRPr="007C693C">
              <w:rPr>
                <w:rFonts w:eastAsia="Arial" w:cs="Arial"/>
                <w:color w:val="000000" w:themeColor="text1"/>
                <w:sz w:val="18"/>
                <w:szCs w:val="20"/>
                <w:lang w:val="es-MX"/>
              </w:rPr>
              <w:t xml:space="preserve">abilitación de </w:t>
            </w:r>
            <w:r w:rsidR="56AD908A" w:rsidRPr="007C693C">
              <w:rPr>
                <w:rFonts w:eastAsia="Arial" w:cs="Arial"/>
                <w:color w:val="000000" w:themeColor="text1"/>
                <w:sz w:val="18"/>
                <w:szCs w:val="20"/>
                <w:lang w:val="es-MX"/>
              </w:rPr>
              <w:t>g</w:t>
            </w:r>
            <w:r w:rsidR="31FF9146" w:rsidRPr="007C693C">
              <w:rPr>
                <w:rFonts w:eastAsia="Arial" w:cs="Arial"/>
                <w:color w:val="000000" w:themeColor="text1"/>
                <w:sz w:val="18"/>
                <w:szCs w:val="20"/>
                <w:lang w:val="es-MX"/>
              </w:rPr>
              <w:t xml:space="preserve">estores </w:t>
            </w:r>
            <w:r w:rsidR="478A3BDA" w:rsidRPr="007C693C">
              <w:rPr>
                <w:rFonts w:eastAsia="Arial" w:cs="Arial"/>
                <w:color w:val="000000" w:themeColor="text1"/>
                <w:sz w:val="18"/>
                <w:szCs w:val="20"/>
                <w:lang w:val="es-MX"/>
              </w:rPr>
              <w:t>c</w:t>
            </w:r>
            <w:r w:rsidR="31FF9146" w:rsidRPr="007C693C">
              <w:rPr>
                <w:rFonts w:eastAsia="Arial" w:cs="Arial"/>
                <w:color w:val="000000" w:themeColor="text1"/>
                <w:sz w:val="18"/>
                <w:szCs w:val="20"/>
                <w:lang w:val="es-MX"/>
              </w:rPr>
              <w:t>atastrales y</w:t>
            </w:r>
            <w:r w:rsidR="12E0EBAA" w:rsidRPr="007C693C">
              <w:rPr>
                <w:rFonts w:eastAsia="Arial" w:cs="Arial"/>
                <w:color w:val="000000" w:themeColor="text1"/>
                <w:sz w:val="18"/>
                <w:szCs w:val="20"/>
                <w:lang w:val="es-MX"/>
              </w:rPr>
              <w:t xml:space="preserve"> el</w:t>
            </w:r>
            <w:r w:rsidR="31FF9146" w:rsidRPr="007C693C">
              <w:rPr>
                <w:rFonts w:eastAsia="Arial" w:cs="Arial"/>
                <w:color w:val="000000" w:themeColor="text1"/>
                <w:sz w:val="18"/>
                <w:szCs w:val="20"/>
                <w:lang w:val="es-MX"/>
              </w:rPr>
              <w:t xml:space="preserve"> </w:t>
            </w:r>
            <w:r w:rsidR="4F85FFBB" w:rsidRPr="007C693C">
              <w:rPr>
                <w:rFonts w:eastAsia="Arial" w:cs="Arial"/>
                <w:color w:val="000000" w:themeColor="text1"/>
                <w:sz w:val="18"/>
                <w:szCs w:val="20"/>
                <w:lang w:val="es-MX"/>
              </w:rPr>
              <w:t>e</w:t>
            </w:r>
            <w:r w:rsidR="31FF9146" w:rsidRPr="007C693C">
              <w:rPr>
                <w:rFonts w:eastAsia="Arial" w:cs="Arial"/>
                <w:color w:val="000000" w:themeColor="text1"/>
                <w:sz w:val="18"/>
                <w:szCs w:val="20"/>
                <w:lang w:val="es-MX"/>
              </w:rPr>
              <w:t xml:space="preserve">mpalme de </w:t>
            </w:r>
            <w:r w:rsidR="6C3854B0" w:rsidRPr="007C693C">
              <w:rPr>
                <w:rFonts w:eastAsia="Arial" w:cs="Arial"/>
                <w:color w:val="000000" w:themeColor="text1"/>
                <w:sz w:val="18"/>
                <w:szCs w:val="20"/>
                <w:lang w:val="es-MX"/>
              </w:rPr>
              <w:t>g</w:t>
            </w:r>
            <w:r w:rsidR="31FF9146" w:rsidRPr="007C693C">
              <w:rPr>
                <w:rFonts w:eastAsia="Arial" w:cs="Arial"/>
                <w:color w:val="000000" w:themeColor="text1"/>
                <w:sz w:val="18"/>
                <w:szCs w:val="20"/>
                <w:lang w:val="es-MX"/>
              </w:rPr>
              <w:t xml:space="preserve">estores </w:t>
            </w:r>
            <w:r w:rsidR="22B35935" w:rsidRPr="007C693C">
              <w:rPr>
                <w:rFonts w:eastAsia="Arial" w:cs="Arial"/>
                <w:color w:val="000000" w:themeColor="text1"/>
                <w:sz w:val="18"/>
                <w:szCs w:val="20"/>
                <w:lang w:val="es-MX"/>
              </w:rPr>
              <w:t>c</w:t>
            </w:r>
            <w:r w:rsidR="31FF9146" w:rsidRPr="007C693C">
              <w:rPr>
                <w:rFonts w:eastAsia="Arial" w:cs="Arial"/>
                <w:color w:val="000000" w:themeColor="text1"/>
                <w:sz w:val="18"/>
                <w:szCs w:val="20"/>
                <w:lang w:val="es-MX"/>
              </w:rPr>
              <w:t>atastrales</w:t>
            </w:r>
            <w:r w:rsidR="53EB6F6A" w:rsidRPr="007C693C">
              <w:rPr>
                <w:rFonts w:eastAsia="Arial" w:cs="Arial"/>
                <w:color w:val="000000" w:themeColor="text1"/>
                <w:sz w:val="18"/>
                <w:szCs w:val="20"/>
                <w:lang w:val="es-MX"/>
              </w:rPr>
              <w:t>.</w:t>
            </w:r>
          </w:p>
        </w:tc>
      </w:tr>
      <w:tr w:rsidR="31FF9146" w:rsidRPr="007C693C" w14:paraId="4C97AF32" w14:textId="77777777" w:rsidTr="007C693C">
        <w:trPr>
          <w:trHeight w:val="300"/>
        </w:trPr>
        <w:tc>
          <w:tcPr>
            <w:cnfStyle w:val="001000000000" w:firstRow="0" w:lastRow="0" w:firstColumn="1" w:lastColumn="0" w:oddVBand="0" w:evenVBand="0" w:oddHBand="0" w:evenHBand="0" w:firstRowFirstColumn="0" w:firstRowLastColumn="0" w:lastRowFirstColumn="0" w:lastRowLastColumn="0"/>
            <w:tcW w:w="2452" w:type="dxa"/>
            <w:vAlign w:val="center"/>
          </w:tcPr>
          <w:p w14:paraId="1CF19107" w14:textId="126DA30A" w:rsidR="31FF9146" w:rsidRPr="007C693C" w:rsidRDefault="31FF9146" w:rsidP="007C693C">
            <w:pPr>
              <w:jc w:val="center"/>
              <w:rPr>
                <w:rFonts w:eastAsia="Arial" w:cs="Arial"/>
                <w:color w:val="000000" w:themeColor="text1"/>
                <w:sz w:val="18"/>
                <w:szCs w:val="20"/>
              </w:rPr>
            </w:pPr>
            <w:r w:rsidRPr="007C693C">
              <w:rPr>
                <w:rFonts w:eastAsia="Arial" w:cs="Arial"/>
                <w:color w:val="000000" w:themeColor="text1"/>
                <w:sz w:val="18"/>
                <w:szCs w:val="20"/>
                <w:lang w:val="es-MX"/>
              </w:rPr>
              <w:t>Equipo Humano</w:t>
            </w:r>
          </w:p>
        </w:tc>
        <w:tc>
          <w:tcPr>
            <w:tcW w:w="3149" w:type="dxa"/>
            <w:vMerge/>
            <w:vAlign w:val="center"/>
          </w:tcPr>
          <w:p w14:paraId="07B299CF" w14:textId="77777777" w:rsidR="0071119F" w:rsidRPr="007C693C" w:rsidRDefault="0071119F" w:rsidP="007C693C">
            <w:pPr>
              <w:jc w:val="center"/>
              <w:cnfStyle w:val="000000000000" w:firstRow="0" w:lastRow="0" w:firstColumn="0" w:lastColumn="0" w:oddVBand="0" w:evenVBand="0" w:oddHBand="0" w:evenHBand="0" w:firstRowFirstColumn="0" w:firstRowLastColumn="0" w:lastRowFirstColumn="0" w:lastRowLastColumn="0"/>
              <w:rPr>
                <w:sz w:val="18"/>
              </w:rPr>
            </w:pPr>
          </w:p>
        </w:tc>
        <w:tc>
          <w:tcPr>
            <w:tcW w:w="3759" w:type="dxa"/>
            <w:vAlign w:val="center"/>
          </w:tcPr>
          <w:p w14:paraId="14C809A2" w14:textId="76C72514" w:rsidR="31FF9146" w:rsidRPr="007C693C"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8"/>
                <w:szCs w:val="20"/>
              </w:rPr>
            </w:pPr>
            <w:r w:rsidRPr="007C693C">
              <w:rPr>
                <w:rFonts w:eastAsia="Arial" w:cs="Arial"/>
                <w:color w:val="000000" w:themeColor="text1"/>
                <w:sz w:val="18"/>
                <w:szCs w:val="20"/>
              </w:rPr>
              <w:t>En la actualidad ya hace parte del mapa de procesos que está conformado con un equipo humano nuevo y específico a los procesos de Regulación y Habilitación.</w:t>
            </w:r>
          </w:p>
        </w:tc>
      </w:tr>
    </w:tbl>
    <w:p w14:paraId="3BC24E12" w14:textId="576C4C40" w:rsidR="31FF9146" w:rsidRDefault="007C693C" w:rsidP="00EE7433">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70B623B7" w14:textId="77777777" w:rsidR="00EE7433" w:rsidRPr="00EE7433" w:rsidRDefault="00EE7433" w:rsidP="00EE7433">
      <w:pPr>
        <w:jc w:val="center"/>
        <w:rPr>
          <w:rFonts w:eastAsia="Arial" w:cs="Arial"/>
          <w:b/>
          <w:color w:val="000000" w:themeColor="text1"/>
          <w:sz w:val="16"/>
          <w:szCs w:val="18"/>
        </w:rPr>
      </w:pPr>
    </w:p>
    <w:p w14:paraId="5233F5E8" w14:textId="1468BB2E" w:rsidR="43354277" w:rsidRPr="007C693C" w:rsidRDefault="007C693C" w:rsidP="007C693C">
      <w:pPr>
        <w:spacing w:after="160"/>
        <w:rPr>
          <w:rFonts w:eastAsia="Arial" w:cs="Arial"/>
          <w:b/>
          <w:bCs/>
          <w:color w:val="000000" w:themeColor="text1"/>
          <w:sz w:val="22"/>
          <w:szCs w:val="22"/>
        </w:rPr>
      </w:pPr>
      <w:r>
        <w:rPr>
          <w:rFonts w:eastAsia="Arial" w:cs="Arial"/>
          <w:b/>
          <w:bCs/>
          <w:color w:val="000000" w:themeColor="text1"/>
          <w:sz w:val="22"/>
          <w:szCs w:val="22"/>
          <w:lang w:val="es-CO"/>
        </w:rPr>
        <w:t>HABILITACIÓN CATASTRAL</w:t>
      </w:r>
    </w:p>
    <w:p w14:paraId="2CA46486" w14:textId="1B56CEB1" w:rsidR="00EE7433" w:rsidRDefault="43354277" w:rsidP="00F14022">
      <w:pPr>
        <w:jc w:val="both"/>
        <w:rPr>
          <w:rFonts w:eastAsia="Arial" w:cs="Arial"/>
          <w:color w:val="000000" w:themeColor="text1"/>
          <w:sz w:val="22"/>
          <w:szCs w:val="22"/>
        </w:rPr>
      </w:pPr>
      <w:r w:rsidRPr="31FF9146">
        <w:rPr>
          <w:rFonts w:eastAsia="Arial" w:cs="Arial"/>
          <w:color w:val="000000" w:themeColor="text1"/>
          <w:sz w:val="22"/>
          <w:szCs w:val="22"/>
        </w:rPr>
        <w:t>En el siguiente cuadro se resumen los cuatro ítems como son: propuestas evaluadas, gestores catastrales habilitados, empalmes ejecutados y avance en la meta del cuatrienio, en su estado inicial corte diciembre 2019 y su estado actual con corte 30 de octubre 2021.</w:t>
      </w:r>
    </w:p>
    <w:p w14:paraId="60E73343" w14:textId="77777777" w:rsidR="00EE7433" w:rsidRPr="00E54695" w:rsidRDefault="00EE7433" w:rsidP="00E54695">
      <w:pPr>
        <w:jc w:val="center"/>
        <w:rPr>
          <w:rFonts w:eastAsia="Arial" w:cs="Arial"/>
          <w:b/>
          <w:color w:val="000000" w:themeColor="text1"/>
          <w:sz w:val="20"/>
          <w:szCs w:val="22"/>
        </w:rPr>
      </w:pPr>
    </w:p>
    <w:p w14:paraId="17202323" w14:textId="5C9E5DE2" w:rsidR="43354277" w:rsidRPr="00E54695" w:rsidRDefault="00E54695" w:rsidP="00E54695">
      <w:pPr>
        <w:pStyle w:val="Descripcin"/>
        <w:jc w:val="center"/>
        <w:rPr>
          <w:rFonts w:ascii="Arial" w:eastAsia="Arial" w:hAnsi="Arial" w:cs="Arial"/>
          <w:b/>
          <w:i w:val="0"/>
          <w:color w:val="000000" w:themeColor="text1"/>
          <w:sz w:val="14"/>
        </w:rPr>
      </w:pPr>
      <w:bookmarkStart w:id="79" w:name="_Toc88677099"/>
      <w:r w:rsidRPr="00E54695">
        <w:rPr>
          <w:rFonts w:ascii="Arial" w:hAnsi="Arial" w:cs="Arial"/>
          <w:b/>
          <w:i w:val="0"/>
          <w:color w:val="000000" w:themeColor="text1"/>
          <w:sz w:val="16"/>
        </w:rPr>
        <w:t xml:space="preserve">Tabla </w:t>
      </w:r>
      <w:r w:rsidRPr="00E54695">
        <w:rPr>
          <w:rFonts w:ascii="Arial" w:hAnsi="Arial" w:cs="Arial"/>
          <w:b/>
          <w:i w:val="0"/>
          <w:color w:val="000000" w:themeColor="text1"/>
          <w:sz w:val="16"/>
        </w:rPr>
        <w:fldChar w:fldCharType="begin"/>
      </w:r>
      <w:r w:rsidRPr="00E54695">
        <w:rPr>
          <w:rFonts w:ascii="Arial" w:hAnsi="Arial" w:cs="Arial"/>
          <w:b/>
          <w:i w:val="0"/>
          <w:color w:val="000000" w:themeColor="text1"/>
          <w:sz w:val="16"/>
        </w:rPr>
        <w:instrText xml:space="preserve"> SEQ Tabla \* ARABIC </w:instrText>
      </w:r>
      <w:r w:rsidRPr="00E5469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27</w:t>
      </w:r>
      <w:r w:rsidRPr="00E54695">
        <w:rPr>
          <w:rFonts w:ascii="Arial" w:hAnsi="Arial" w:cs="Arial"/>
          <w:b/>
          <w:i w:val="0"/>
          <w:color w:val="000000" w:themeColor="text1"/>
          <w:sz w:val="16"/>
        </w:rPr>
        <w:fldChar w:fldCharType="end"/>
      </w:r>
      <w:r w:rsidRPr="00E54695">
        <w:rPr>
          <w:rFonts w:ascii="Arial" w:hAnsi="Arial" w:cs="Arial"/>
          <w:b/>
          <w:i w:val="0"/>
          <w:color w:val="000000" w:themeColor="text1"/>
          <w:sz w:val="16"/>
        </w:rPr>
        <w:t>. Estado de avance habilitación catastral</w:t>
      </w:r>
      <w:bookmarkEnd w:id="79"/>
    </w:p>
    <w:tbl>
      <w:tblPr>
        <w:tblStyle w:val="Tabladelista3-nfasis1"/>
        <w:tblW w:w="7508" w:type="dxa"/>
        <w:jc w:val="center"/>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4A0" w:firstRow="1" w:lastRow="0" w:firstColumn="1" w:lastColumn="0" w:noHBand="0" w:noVBand="1"/>
      </w:tblPr>
      <w:tblGrid>
        <w:gridCol w:w="2799"/>
        <w:gridCol w:w="2441"/>
        <w:gridCol w:w="2268"/>
      </w:tblGrid>
      <w:tr w:rsidR="31FF9146" w14:paraId="6E753BA9" w14:textId="77777777" w:rsidTr="00C34582">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100" w:firstRow="0" w:lastRow="0" w:firstColumn="1" w:lastColumn="0" w:oddVBand="0" w:evenVBand="0" w:oddHBand="0" w:evenHBand="0" w:firstRowFirstColumn="1" w:firstRowLastColumn="0" w:lastRowFirstColumn="0" w:lastRowLastColumn="0"/>
            <w:tcW w:w="2799" w:type="dxa"/>
            <w:tcBorders>
              <w:bottom w:val="none" w:sz="0" w:space="0" w:color="auto"/>
              <w:right w:val="none" w:sz="0" w:space="0" w:color="auto"/>
            </w:tcBorders>
          </w:tcPr>
          <w:p w14:paraId="6B943C3D" w14:textId="7180B96D" w:rsidR="31FF9146" w:rsidRPr="007C693C" w:rsidRDefault="31FF9146" w:rsidP="007C693C">
            <w:pPr>
              <w:jc w:val="center"/>
              <w:rPr>
                <w:rFonts w:eastAsia="Arial" w:cs="Arial"/>
                <w:sz w:val="20"/>
                <w:szCs w:val="20"/>
              </w:rPr>
            </w:pPr>
            <w:r w:rsidRPr="007C693C">
              <w:rPr>
                <w:rFonts w:eastAsia="Arial" w:cs="Arial"/>
                <w:sz w:val="20"/>
                <w:szCs w:val="20"/>
                <w:lang w:val="es-MX"/>
              </w:rPr>
              <w:t>Ítem</w:t>
            </w:r>
          </w:p>
        </w:tc>
        <w:tc>
          <w:tcPr>
            <w:tcW w:w="2441" w:type="dxa"/>
          </w:tcPr>
          <w:p w14:paraId="074F170B" w14:textId="5C98D25D" w:rsidR="31FF9146" w:rsidRPr="007C693C" w:rsidRDefault="31FF9146" w:rsidP="007C693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7C693C">
              <w:rPr>
                <w:rFonts w:eastAsia="Arial" w:cs="Arial"/>
                <w:sz w:val="20"/>
                <w:szCs w:val="20"/>
                <w:lang w:val="es-MX"/>
              </w:rPr>
              <w:t>Estado Inicial Dic 2019</w:t>
            </w:r>
          </w:p>
        </w:tc>
        <w:tc>
          <w:tcPr>
            <w:tcW w:w="2268" w:type="dxa"/>
          </w:tcPr>
          <w:p w14:paraId="30C8DE7E" w14:textId="4846261C" w:rsidR="31FF9146" w:rsidRPr="007C693C" w:rsidRDefault="31FF9146" w:rsidP="007C693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7C693C">
              <w:rPr>
                <w:rFonts w:eastAsia="Arial" w:cs="Arial"/>
                <w:sz w:val="20"/>
                <w:szCs w:val="20"/>
                <w:lang w:val="es-MX"/>
              </w:rPr>
              <w:t>Estado Actual</w:t>
            </w:r>
          </w:p>
        </w:tc>
      </w:tr>
      <w:tr w:rsidR="31FF9146" w14:paraId="2C8F0C66" w14:textId="77777777" w:rsidTr="00C34582">
        <w:trPr>
          <w:cnfStyle w:val="000000100000" w:firstRow="0" w:lastRow="0" w:firstColumn="0" w:lastColumn="0" w:oddVBand="0" w:evenVBand="0" w:oddHBand="1" w:evenHBand="0" w:firstRowFirstColumn="0" w:firstRowLastColumn="0" w:lastRowFirstColumn="0" w:lastRowLastColumn="0"/>
          <w:trHeight w:val="465"/>
          <w:jc w:val="center"/>
        </w:trPr>
        <w:tc>
          <w:tcPr>
            <w:cnfStyle w:val="001000000000" w:firstRow="0" w:lastRow="0" w:firstColumn="1" w:lastColumn="0" w:oddVBand="0" w:evenVBand="0" w:oddHBand="0" w:evenHBand="0" w:firstRowFirstColumn="0" w:firstRowLastColumn="0" w:lastRowFirstColumn="0" w:lastRowLastColumn="0"/>
            <w:tcW w:w="2799" w:type="dxa"/>
            <w:tcBorders>
              <w:top w:val="none" w:sz="0" w:space="0" w:color="auto"/>
              <w:bottom w:val="none" w:sz="0" w:space="0" w:color="auto"/>
              <w:right w:val="none" w:sz="0" w:space="0" w:color="auto"/>
            </w:tcBorders>
          </w:tcPr>
          <w:p w14:paraId="1CBBD089" w14:textId="006BAF87" w:rsidR="31FF9146" w:rsidRDefault="31FF9146" w:rsidP="007C693C">
            <w:pPr>
              <w:jc w:val="center"/>
              <w:rPr>
                <w:rFonts w:eastAsia="Arial" w:cs="Arial"/>
                <w:sz w:val="20"/>
                <w:szCs w:val="20"/>
              </w:rPr>
            </w:pPr>
            <w:r w:rsidRPr="31FF9146">
              <w:rPr>
                <w:rFonts w:eastAsia="Arial" w:cs="Arial"/>
                <w:b w:val="0"/>
                <w:bCs w:val="0"/>
                <w:sz w:val="20"/>
                <w:szCs w:val="20"/>
                <w:lang w:val="es-MX"/>
              </w:rPr>
              <w:t>Propuestas Evaluadas</w:t>
            </w:r>
          </w:p>
        </w:tc>
        <w:tc>
          <w:tcPr>
            <w:tcW w:w="2441" w:type="dxa"/>
            <w:tcBorders>
              <w:top w:val="none" w:sz="0" w:space="0" w:color="auto"/>
              <w:bottom w:val="none" w:sz="0" w:space="0" w:color="auto"/>
            </w:tcBorders>
          </w:tcPr>
          <w:p w14:paraId="2D858E96" w14:textId="56372458"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3</w:t>
            </w:r>
          </w:p>
        </w:tc>
        <w:tc>
          <w:tcPr>
            <w:tcW w:w="2268" w:type="dxa"/>
            <w:tcBorders>
              <w:top w:val="none" w:sz="0" w:space="0" w:color="auto"/>
              <w:bottom w:val="none" w:sz="0" w:space="0" w:color="auto"/>
            </w:tcBorders>
          </w:tcPr>
          <w:p w14:paraId="3514CDD2" w14:textId="08B72F37"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43</w:t>
            </w:r>
          </w:p>
        </w:tc>
      </w:tr>
      <w:tr w:rsidR="31FF9146" w14:paraId="08E9E895" w14:textId="77777777" w:rsidTr="00C34582">
        <w:trPr>
          <w:trHeight w:val="300"/>
          <w:jc w:val="center"/>
        </w:trPr>
        <w:tc>
          <w:tcPr>
            <w:cnfStyle w:val="001000000000" w:firstRow="0" w:lastRow="0" w:firstColumn="1" w:lastColumn="0" w:oddVBand="0" w:evenVBand="0" w:oddHBand="0" w:evenHBand="0" w:firstRowFirstColumn="0" w:firstRowLastColumn="0" w:lastRowFirstColumn="0" w:lastRowLastColumn="0"/>
            <w:tcW w:w="2799" w:type="dxa"/>
            <w:tcBorders>
              <w:right w:val="none" w:sz="0" w:space="0" w:color="auto"/>
            </w:tcBorders>
          </w:tcPr>
          <w:p w14:paraId="6851CF1E" w14:textId="69DC2E8A" w:rsidR="31FF9146" w:rsidRDefault="31FF9146" w:rsidP="007C693C">
            <w:pPr>
              <w:jc w:val="center"/>
              <w:rPr>
                <w:rFonts w:eastAsia="Arial" w:cs="Arial"/>
                <w:sz w:val="20"/>
                <w:szCs w:val="20"/>
              </w:rPr>
            </w:pPr>
            <w:r w:rsidRPr="31FF9146">
              <w:rPr>
                <w:rFonts w:eastAsia="Arial" w:cs="Arial"/>
                <w:b w:val="0"/>
                <w:bCs w:val="0"/>
                <w:sz w:val="20"/>
                <w:szCs w:val="20"/>
                <w:lang w:val="es-MX"/>
              </w:rPr>
              <w:lastRenderedPageBreak/>
              <w:t>Gestores Catastrales Habilitados</w:t>
            </w:r>
          </w:p>
        </w:tc>
        <w:tc>
          <w:tcPr>
            <w:tcW w:w="2441" w:type="dxa"/>
          </w:tcPr>
          <w:p w14:paraId="46332CC6" w14:textId="3EE1C701"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8</w:t>
            </w:r>
          </w:p>
        </w:tc>
        <w:tc>
          <w:tcPr>
            <w:tcW w:w="2268" w:type="dxa"/>
          </w:tcPr>
          <w:p w14:paraId="6599D497" w14:textId="7B4ED273"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31</w:t>
            </w:r>
          </w:p>
        </w:tc>
      </w:tr>
      <w:tr w:rsidR="31FF9146" w14:paraId="26DD6106" w14:textId="77777777" w:rsidTr="00C34582">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799" w:type="dxa"/>
            <w:tcBorders>
              <w:top w:val="none" w:sz="0" w:space="0" w:color="auto"/>
              <w:bottom w:val="none" w:sz="0" w:space="0" w:color="auto"/>
              <w:right w:val="none" w:sz="0" w:space="0" w:color="auto"/>
            </w:tcBorders>
          </w:tcPr>
          <w:p w14:paraId="3EFB556B" w14:textId="165FCBEF" w:rsidR="31FF9146" w:rsidRDefault="31FF9146" w:rsidP="007C693C">
            <w:pPr>
              <w:jc w:val="center"/>
              <w:rPr>
                <w:rFonts w:eastAsia="Arial" w:cs="Arial"/>
                <w:sz w:val="20"/>
                <w:szCs w:val="20"/>
              </w:rPr>
            </w:pPr>
            <w:r w:rsidRPr="31FF9146">
              <w:rPr>
                <w:rFonts w:eastAsia="Arial" w:cs="Arial"/>
                <w:b w:val="0"/>
                <w:bCs w:val="0"/>
                <w:sz w:val="20"/>
                <w:szCs w:val="20"/>
                <w:lang w:val="es-MX"/>
              </w:rPr>
              <w:t>Empalmes Ejecutados</w:t>
            </w:r>
          </w:p>
        </w:tc>
        <w:tc>
          <w:tcPr>
            <w:tcW w:w="2441" w:type="dxa"/>
            <w:tcBorders>
              <w:top w:val="none" w:sz="0" w:space="0" w:color="auto"/>
              <w:bottom w:val="none" w:sz="0" w:space="0" w:color="auto"/>
            </w:tcBorders>
          </w:tcPr>
          <w:p w14:paraId="5F4FDB35" w14:textId="799FC552"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2</w:t>
            </w:r>
          </w:p>
        </w:tc>
        <w:tc>
          <w:tcPr>
            <w:tcW w:w="2268" w:type="dxa"/>
            <w:tcBorders>
              <w:top w:val="none" w:sz="0" w:space="0" w:color="auto"/>
              <w:bottom w:val="none" w:sz="0" w:space="0" w:color="auto"/>
            </w:tcBorders>
          </w:tcPr>
          <w:p w14:paraId="66B0E730" w14:textId="019F0437"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36</w:t>
            </w:r>
          </w:p>
          <w:p w14:paraId="65CC1E9E" w14:textId="13E70C19" w:rsidR="31FF9146" w:rsidRDefault="31FF9146" w:rsidP="007C693C">
            <w:pPr>
              <w:ind w:left="360"/>
              <w:jc w:val="center"/>
              <w:cnfStyle w:val="000000100000" w:firstRow="0" w:lastRow="0" w:firstColumn="0" w:lastColumn="0" w:oddVBand="0" w:evenVBand="0" w:oddHBand="1" w:evenHBand="0" w:firstRowFirstColumn="0" w:firstRowLastColumn="0" w:lastRowFirstColumn="0" w:lastRowLastColumn="0"/>
              <w:rPr>
                <w:rFonts w:eastAsia="Arial" w:cs="Arial"/>
                <w:b/>
                <w:bCs/>
                <w:sz w:val="20"/>
                <w:szCs w:val="20"/>
              </w:rPr>
            </w:pPr>
          </w:p>
        </w:tc>
      </w:tr>
      <w:tr w:rsidR="31FF9146" w14:paraId="5FFCDBE3" w14:textId="77777777" w:rsidTr="00C34582">
        <w:trPr>
          <w:trHeight w:val="300"/>
          <w:jc w:val="center"/>
        </w:trPr>
        <w:tc>
          <w:tcPr>
            <w:cnfStyle w:val="001000000000" w:firstRow="0" w:lastRow="0" w:firstColumn="1" w:lastColumn="0" w:oddVBand="0" w:evenVBand="0" w:oddHBand="0" w:evenHBand="0" w:firstRowFirstColumn="0" w:firstRowLastColumn="0" w:lastRowFirstColumn="0" w:lastRowLastColumn="0"/>
            <w:tcW w:w="2799" w:type="dxa"/>
            <w:tcBorders>
              <w:right w:val="none" w:sz="0" w:space="0" w:color="auto"/>
            </w:tcBorders>
          </w:tcPr>
          <w:p w14:paraId="6CAF3339" w14:textId="7B99AF35" w:rsidR="31FF9146" w:rsidRDefault="31FF9146" w:rsidP="007C693C">
            <w:pPr>
              <w:jc w:val="center"/>
              <w:rPr>
                <w:rFonts w:eastAsia="Arial" w:cs="Arial"/>
                <w:sz w:val="20"/>
                <w:szCs w:val="20"/>
              </w:rPr>
            </w:pPr>
            <w:r w:rsidRPr="31FF9146">
              <w:rPr>
                <w:rFonts w:eastAsia="Arial" w:cs="Arial"/>
                <w:b w:val="0"/>
                <w:bCs w:val="0"/>
                <w:sz w:val="20"/>
                <w:szCs w:val="20"/>
                <w:lang w:val="es-MX"/>
              </w:rPr>
              <w:t>Avance Meta Cuatrienio</w:t>
            </w:r>
          </w:p>
        </w:tc>
        <w:tc>
          <w:tcPr>
            <w:tcW w:w="2441" w:type="dxa"/>
          </w:tcPr>
          <w:p w14:paraId="544C17B2" w14:textId="6FDDEE3F" w:rsidR="31FF9146" w:rsidRDefault="31FF9146" w:rsidP="007C693C">
            <w:pPr>
              <w:ind w:left="360"/>
              <w:jc w:val="center"/>
              <w:cnfStyle w:val="000000000000" w:firstRow="0" w:lastRow="0" w:firstColumn="0" w:lastColumn="0" w:oddVBand="0" w:evenVBand="0" w:oddHBand="0"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8 gestores catastrales 40%</w:t>
            </w:r>
          </w:p>
        </w:tc>
        <w:tc>
          <w:tcPr>
            <w:tcW w:w="2268" w:type="dxa"/>
          </w:tcPr>
          <w:p w14:paraId="7C37854F" w14:textId="4BAEE744"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b/>
                <w:bCs/>
                <w:sz w:val="20"/>
                <w:szCs w:val="20"/>
              </w:rPr>
            </w:pPr>
            <w:r w:rsidRPr="31FF9146">
              <w:rPr>
                <w:rFonts w:eastAsia="Arial" w:cs="Arial"/>
                <w:b/>
                <w:bCs/>
                <w:sz w:val="20"/>
                <w:szCs w:val="20"/>
                <w:lang w:val="es-MX"/>
              </w:rPr>
              <w:t>31 gestores catastrales 155%</w:t>
            </w:r>
          </w:p>
        </w:tc>
      </w:tr>
    </w:tbl>
    <w:p w14:paraId="53F3764A" w14:textId="77777777" w:rsidR="007C693C" w:rsidRDefault="007C693C" w:rsidP="007C693C">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632C323B" w14:textId="1D5BDD43" w:rsidR="31FF9146" w:rsidRPr="007C693C" w:rsidRDefault="31FF9146" w:rsidP="007C693C">
      <w:pPr>
        <w:spacing w:after="60"/>
        <w:jc w:val="center"/>
        <w:rPr>
          <w:rFonts w:eastAsia="Arial" w:cs="Arial"/>
          <w:sz w:val="18"/>
          <w:szCs w:val="18"/>
        </w:rPr>
      </w:pPr>
    </w:p>
    <w:p w14:paraId="44360BB7" w14:textId="7D010D68" w:rsidR="43354277" w:rsidRDefault="007C693C" w:rsidP="00F14022">
      <w:pPr>
        <w:spacing w:after="60"/>
        <w:jc w:val="both"/>
        <w:rPr>
          <w:rFonts w:eastAsia="Arial" w:cs="Arial"/>
          <w:color w:val="000000" w:themeColor="text1"/>
          <w:sz w:val="22"/>
          <w:szCs w:val="22"/>
        </w:rPr>
      </w:pPr>
      <w:r w:rsidRPr="31FF9146">
        <w:rPr>
          <w:rFonts w:eastAsia="Arial" w:cs="Arial"/>
          <w:b/>
          <w:bCs/>
          <w:sz w:val="22"/>
          <w:szCs w:val="22"/>
        </w:rPr>
        <w:t>ESTAD</w:t>
      </w:r>
      <w:r>
        <w:rPr>
          <w:rFonts w:eastAsia="Arial" w:cs="Arial"/>
          <w:b/>
          <w:bCs/>
          <w:color w:val="000000" w:themeColor="text1"/>
          <w:sz w:val="22"/>
          <w:szCs w:val="22"/>
        </w:rPr>
        <w:t>O OTRAS ACTIVIDADES</w:t>
      </w:r>
    </w:p>
    <w:p w14:paraId="4EB461DB" w14:textId="57A6A178" w:rsidR="31FF9146" w:rsidRPr="007C693C" w:rsidRDefault="007C693C" w:rsidP="006251EB">
      <w:pPr>
        <w:pStyle w:val="Descripcin"/>
        <w:jc w:val="center"/>
        <w:rPr>
          <w:rFonts w:ascii="Arial" w:eastAsia="Arial" w:hAnsi="Arial" w:cs="Arial"/>
          <w:b/>
          <w:i w:val="0"/>
          <w:color w:val="000000" w:themeColor="text1"/>
          <w:sz w:val="20"/>
          <w:szCs w:val="22"/>
        </w:rPr>
      </w:pPr>
      <w:bookmarkStart w:id="80" w:name="_Toc88677100"/>
      <w:r w:rsidRPr="007C693C">
        <w:rPr>
          <w:rFonts w:ascii="Arial" w:hAnsi="Arial" w:cs="Arial"/>
          <w:b/>
          <w:i w:val="0"/>
          <w:color w:val="000000" w:themeColor="text1"/>
          <w:sz w:val="16"/>
        </w:rPr>
        <w:t xml:space="preserve">Tabla </w:t>
      </w:r>
      <w:r w:rsidRPr="007C693C">
        <w:rPr>
          <w:rFonts w:ascii="Arial" w:hAnsi="Arial" w:cs="Arial"/>
          <w:b/>
          <w:i w:val="0"/>
          <w:color w:val="000000" w:themeColor="text1"/>
          <w:sz w:val="16"/>
        </w:rPr>
        <w:fldChar w:fldCharType="begin"/>
      </w:r>
      <w:r w:rsidRPr="007C693C">
        <w:rPr>
          <w:rFonts w:ascii="Arial" w:hAnsi="Arial" w:cs="Arial"/>
          <w:b/>
          <w:i w:val="0"/>
          <w:color w:val="000000" w:themeColor="text1"/>
          <w:sz w:val="16"/>
        </w:rPr>
        <w:instrText xml:space="preserve"> SEQ Tabla \* ARABIC </w:instrText>
      </w:r>
      <w:r w:rsidRPr="007C693C">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28</w:t>
      </w:r>
      <w:r w:rsidRPr="007C693C">
        <w:rPr>
          <w:rFonts w:ascii="Arial" w:hAnsi="Arial" w:cs="Arial"/>
          <w:b/>
          <w:i w:val="0"/>
          <w:color w:val="000000" w:themeColor="text1"/>
          <w:sz w:val="16"/>
        </w:rPr>
        <w:fldChar w:fldCharType="end"/>
      </w:r>
      <w:r w:rsidR="00882AC7">
        <w:rPr>
          <w:rFonts w:ascii="Arial" w:hAnsi="Arial" w:cs="Arial"/>
          <w:b/>
          <w:i w:val="0"/>
          <w:color w:val="000000" w:themeColor="text1"/>
          <w:sz w:val="16"/>
        </w:rPr>
        <w:t xml:space="preserve">. </w:t>
      </w:r>
      <w:r w:rsidRPr="007C693C">
        <w:rPr>
          <w:rFonts w:ascii="Arial" w:hAnsi="Arial" w:cs="Arial"/>
          <w:b/>
          <w:i w:val="0"/>
          <w:color w:val="000000" w:themeColor="text1"/>
          <w:sz w:val="16"/>
        </w:rPr>
        <w:t>Otras actividades</w:t>
      </w:r>
      <w:bookmarkEnd w:id="80"/>
    </w:p>
    <w:tbl>
      <w:tblPr>
        <w:tblStyle w:val="Tabladecuadrcula4-nfasis1"/>
        <w:tblW w:w="0" w:type="auto"/>
        <w:tblLayout w:type="fixed"/>
        <w:tblLook w:val="0600" w:firstRow="0" w:lastRow="0" w:firstColumn="0" w:lastColumn="0" w:noHBand="1" w:noVBand="1"/>
      </w:tblPr>
      <w:tblGrid>
        <w:gridCol w:w="1192"/>
        <w:gridCol w:w="2520"/>
        <w:gridCol w:w="1575"/>
        <w:gridCol w:w="4073"/>
      </w:tblGrid>
      <w:tr w:rsidR="31FF9146" w14:paraId="0612FAD9" w14:textId="77777777" w:rsidTr="007C693C">
        <w:trPr>
          <w:trHeight w:val="300"/>
        </w:trPr>
        <w:tc>
          <w:tcPr>
            <w:tcW w:w="3712" w:type="dxa"/>
            <w:gridSpan w:val="2"/>
            <w:vAlign w:val="center"/>
          </w:tcPr>
          <w:p w14:paraId="69C27241" w14:textId="406EE5B2"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Entidades con inicio de trámite habilitación</w:t>
            </w:r>
          </w:p>
        </w:tc>
        <w:tc>
          <w:tcPr>
            <w:tcW w:w="1575" w:type="dxa"/>
            <w:vAlign w:val="center"/>
          </w:tcPr>
          <w:p w14:paraId="54C940A6" w14:textId="3FA4918D"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Departamento</w:t>
            </w:r>
          </w:p>
        </w:tc>
        <w:tc>
          <w:tcPr>
            <w:tcW w:w="4073" w:type="dxa"/>
            <w:vAlign w:val="center"/>
          </w:tcPr>
          <w:p w14:paraId="6D6B03EA" w14:textId="63E5F8B3"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Estado Actual</w:t>
            </w:r>
          </w:p>
        </w:tc>
      </w:tr>
      <w:tr w:rsidR="31FF9146" w14:paraId="2385C792" w14:textId="77777777" w:rsidTr="007C693C">
        <w:trPr>
          <w:trHeight w:val="300"/>
        </w:trPr>
        <w:tc>
          <w:tcPr>
            <w:tcW w:w="1192" w:type="dxa"/>
            <w:vMerge w:val="restart"/>
            <w:vAlign w:val="center"/>
          </w:tcPr>
          <w:p w14:paraId="3E3DC986" w14:textId="6A521AA8"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1</w:t>
            </w:r>
          </w:p>
        </w:tc>
        <w:tc>
          <w:tcPr>
            <w:tcW w:w="2520" w:type="dxa"/>
            <w:vMerge w:val="restart"/>
            <w:vAlign w:val="center"/>
          </w:tcPr>
          <w:p w14:paraId="71DE5ADD" w14:textId="4B6E3395"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de Garzón</w:t>
            </w:r>
          </w:p>
        </w:tc>
        <w:tc>
          <w:tcPr>
            <w:tcW w:w="1575" w:type="dxa"/>
            <w:vMerge w:val="restart"/>
            <w:vAlign w:val="center"/>
          </w:tcPr>
          <w:p w14:paraId="26E88CD7" w14:textId="40F8182C"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Huila</w:t>
            </w:r>
          </w:p>
        </w:tc>
        <w:tc>
          <w:tcPr>
            <w:tcW w:w="4073" w:type="dxa"/>
            <w:vAlign w:val="center"/>
          </w:tcPr>
          <w:p w14:paraId="06D55A68" w14:textId="3F346BB5"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Resolución Inicio Tramite No. 1484  06-10-2021</w:t>
            </w:r>
          </w:p>
        </w:tc>
      </w:tr>
      <w:tr w:rsidR="31FF9146" w14:paraId="341C8223" w14:textId="77777777" w:rsidTr="007C693C">
        <w:trPr>
          <w:trHeight w:val="315"/>
        </w:trPr>
        <w:tc>
          <w:tcPr>
            <w:tcW w:w="1192" w:type="dxa"/>
            <w:vMerge/>
            <w:vAlign w:val="center"/>
          </w:tcPr>
          <w:p w14:paraId="7BFD881E" w14:textId="77777777" w:rsidR="0071119F" w:rsidRDefault="0071119F" w:rsidP="007C693C">
            <w:pPr>
              <w:jc w:val="center"/>
            </w:pPr>
          </w:p>
        </w:tc>
        <w:tc>
          <w:tcPr>
            <w:tcW w:w="2520" w:type="dxa"/>
            <w:vMerge/>
            <w:vAlign w:val="center"/>
          </w:tcPr>
          <w:p w14:paraId="1575BA5A" w14:textId="77777777" w:rsidR="0071119F" w:rsidRDefault="0071119F" w:rsidP="007C693C">
            <w:pPr>
              <w:jc w:val="center"/>
            </w:pPr>
          </w:p>
        </w:tc>
        <w:tc>
          <w:tcPr>
            <w:tcW w:w="1575" w:type="dxa"/>
            <w:vMerge/>
            <w:vAlign w:val="center"/>
          </w:tcPr>
          <w:p w14:paraId="59793297" w14:textId="77777777" w:rsidR="0071119F" w:rsidRDefault="0071119F" w:rsidP="007C693C">
            <w:pPr>
              <w:jc w:val="center"/>
            </w:pPr>
          </w:p>
        </w:tc>
        <w:tc>
          <w:tcPr>
            <w:tcW w:w="4073" w:type="dxa"/>
            <w:vAlign w:val="center"/>
          </w:tcPr>
          <w:p w14:paraId="5B577E67" w14:textId="6B5D5C20"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construcción Res. Habilitación</w:t>
            </w:r>
          </w:p>
        </w:tc>
      </w:tr>
      <w:tr w:rsidR="31FF9146" w14:paraId="0BDDC239" w14:textId="77777777" w:rsidTr="007C693C">
        <w:trPr>
          <w:trHeight w:val="300"/>
        </w:trPr>
        <w:tc>
          <w:tcPr>
            <w:tcW w:w="1192" w:type="dxa"/>
            <w:vMerge w:val="restart"/>
            <w:vAlign w:val="center"/>
          </w:tcPr>
          <w:p w14:paraId="7A7FFF0E" w14:textId="1580B266"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2</w:t>
            </w:r>
          </w:p>
        </w:tc>
        <w:tc>
          <w:tcPr>
            <w:tcW w:w="2520" w:type="dxa"/>
            <w:vMerge w:val="restart"/>
            <w:vAlign w:val="center"/>
          </w:tcPr>
          <w:p w14:paraId="135190F8" w14:textId="1D7A1E77"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de El Espinal</w:t>
            </w:r>
          </w:p>
        </w:tc>
        <w:tc>
          <w:tcPr>
            <w:tcW w:w="1575" w:type="dxa"/>
            <w:vMerge w:val="restart"/>
            <w:vAlign w:val="center"/>
          </w:tcPr>
          <w:p w14:paraId="7A13544A" w14:textId="1E74103C"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Tolima</w:t>
            </w:r>
          </w:p>
        </w:tc>
        <w:tc>
          <w:tcPr>
            <w:tcW w:w="4073" w:type="dxa"/>
            <w:vAlign w:val="center"/>
          </w:tcPr>
          <w:p w14:paraId="2D3A66A2" w14:textId="771D5760"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Resolución Inicio Tramite No.1504  11-10-2021</w:t>
            </w:r>
          </w:p>
        </w:tc>
      </w:tr>
      <w:tr w:rsidR="31FF9146" w14:paraId="2963182D" w14:textId="77777777" w:rsidTr="007C693C">
        <w:trPr>
          <w:trHeight w:val="315"/>
        </w:trPr>
        <w:tc>
          <w:tcPr>
            <w:tcW w:w="1192" w:type="dxa"/>
            <w:vMerge/>
            <w:vAlign w:val="center"/>
          </w:tcPr>
          <w:p w14:paraId="1B452CB9" w14:textId="77777777" w:rsidR="0071119F" w:rsidRDefault="0071119F" w:rsidP="007C693C">
            <w:pPr>
              <w:jc w:val="center"/>
            </w:pPr>
          </w:p>
        </w:tc>
        <w:tc>
          <w:tcPr>
            <w:tcW w:w="2520" w:type="dxa"/>
            <w:vMerge/>
            <w:vAlign w:val="center"/>
          </w:tcPr>
          <w:p w14:paraId="481582E0" w14:textId="77777777" w:rsidR="0071119F" w:rsidRDefault="0071119F" w:rsidP="007C693C">
            <w:pPr>
              <w:jc w:val="center"/>
            </w:pPr>
          </w:p>
        </w:tc>
        <w:tc>
          <w:tcPr>
            <w:tcW w:w="1575" w:type="dxa"/>
            <w:vMerge/>
            <w:vAlign w:val="center"/>
          </w:tcPr>
          <w:p w14:paraId="2E336FC8" w14:textId="77777777" w:rsidR="0071119F" w:rsidRDefault="0071119F" w:rsidP="007C693C">
            <w:pPr>
              <w:jc w:val="center"/>
            </w:pPr>
          </w:p>
        </w:tc>
        <w:tc>
          <w:tcPr>
            <w:tcW w:w="4073" w:type="dxa"/>
            <w:vAlign w:val="center"/>
          </w:tcPr>
          <w:p w14:paraId="2FC093B8" w14:textId="2C6D5D75"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construcción Res. Habilitación</w:t>
            </w:r>
          </w:p>
        </w:tc>
      </w:tr>
      <w:tr w:rsidR="31FF9146" w14:paraId="505E93E6" w14:textId="77777777" w:rsidTr="007C693C">
        <w:trPr>
          <w:trHeight w:val="300"/>
        </w:trPr>
        <w:tc>
          <w:tcPr>
            <w:tcW w:w="1192" w:type="dxa"/>
            <w:vMerge w:val="restart"/>
            <w:vAlign w:val="center"/>
          </w:tcPr>
          <w:p w14:paraId="0AAB51FA" w14:textId="62FD4FB9"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3</w:t>
            </w:r>
          </w:p>
        </w:tc>
        <w:tc>
          <w:tcPr>
            <w:tcW w:w="2520" w:type="dxa"/>
            <w:vMerge w:val="restart"/>
            <w:vAlign w:val="center"/>
          </w:tcPr>
          <w:p w14:paraId="2FAA14D9" w14:textId="03585A7D"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Chirigüaná</w:t>
            </w:r>
          </w:p>
        </w:tc>
        <w:tc>
          <w:tcPr>
            <w:tcW w:w="1575" w:type="dxa"/>
            <w:vMerge w:val="restart"/>
            <w:vAlign w:val="center"/>
          </w:tcPr>
          <w:p w14:paraId="03FD7168" w14:textId="5B4D6A5C"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Cesar</w:t>
            </w:r>
          </w:p>
        </w:tc>
        <w:tc>
          <w:tcPr>
            <w:tcW w:w="4073" w:type="dxa"/>
            <w:vAlign w:val="center"/>
          </w:tcPr>
          <w:p w14:paraId="0A8393DA" w14:textId="7A16E286"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Resolución Inicio Tramite No. 1631 26-10-2021</w:t>
            </w:r>
          </w:p>
        </w:tc>
      </w:tr>
      <w:tr w:rsidR="31FF9146" w14:paraId="179BCADE" w14:textId="77777777" w:rsidTr="007C693C">
        <w:trPr>
          <w:trHeight w:val="345"/>
        </w:trPr>
        <w:tc>
          <w:tcPr>
            <w:tcW w:w="1192" w:type="dxa"/>
            <w:vMerge/>
            <w:vAlign w:val="center"/>
          </w:tcPr>
          <w:p w14:paraId="0C6C5464" w14:textId="77777777" w:rsidR="0071119F" w:rsidRDefault="0071119F" w:rsidP="007C693C">
            <w:pPr>
              <w:jc w:val="center"/>
            </w:pPr>
          </w:p>
        </w:tc>
        <w:tc>
          <w:tcPr>
            <w:tcW w:w="2520" w:type="dxa"/>
            <w:vMerge/>
            <w:vAlign w:val="center"/>
          </w:tcPr>
          <w:p w14:paraId="61027289" w14:textId="77777777" w:rsidR="0071119F" w:rsidRDefault="0071119F" w:rsidP="007C693C">
            <w:pPr>
              <w:jc w:val="center"/>
            </w:pPr>
          </w:p>
        </w:tc>
        <w:tc>
          <w:tcPr>
            <w:tcW w:w="1575" w:type="dxa"/>
            <w:vMerge/>
            <w:vAlign w:val="center"/>
          </w:tcPr>
          <w:p w14:paraId="0016396B" w14:textId="77777777" w:rsidR="0071119F" w:rsidRDefault="0071119F" w:rsidP="007C693C">
            <w:pPr>
              <w:jc w:val="center"/>
            </w:pPr>
          </w:p>
        </w:tc>
        <w:tc>
          <w:tcPr>
            <w:tcW w:w="4073" w:type="dxa"/>
            <w:vAlign w:val="center"/>
          </w:tcPr>
          <w:p w14:paraId="60598E06" w14:textId="24A2F7C2"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construcción Res. Habilitación</w:t>
            </w:r>
          </w:p>
        </w:tc>
      </w:tr>
    </w:tbl>
    <w:p w14:paraId="76983E2D" w14:textId="1C869519" w:rsidR="31FF9146" w:rsidRDefault="31FF9146" w:rsidP="007C693C">
      <w:pPr>
        <w:pStyle w:val="Sinespaciado"/>
      </w:pPr>
    </w:p>
    <w:tbl>
      <w:tblPr>
        <w:tblStyle w:val="Tabladecuadrcula4-nfasis1"/>
        <w:tblW w:w="0" w:type="auto"/>
        <w:tblLayout w:type="fixed"/>
        <w:tblLook w:val="0600" w:firstRow="0" w:lastRow="0" w:firstColumn="0" w:lastColumn="0" w:noHBand="1" w:noVBand="1"/>
      </w:tblPr>
      <w:tblGrid>
        <w:gridCol w:w="1192"/>
        <w:gridCol w:w="1610"/>
        <w:gridCol w:w="2295"/>
        <w:gridCol w:w="4263"/>
      </w:tblGrid>
      <w:tr w:rsidR="31FF9146" w14:paraId="24304543" w14:textId="77777777" w:rsidTr="007C693C">
        <w:trPr>
          <w:trHeight w:val="585"/>
        </w:trPr>
        <w:tc>
          <w:tcPr>
            <w:tcW w:w="2802" w:type="dxa"/>
            <w:gridSpan w:val="2"/>
            <w:vAlign w:val="center"/>
          </w:tcPr>
          <w:p w14:paraId="66680C9E" w14:textId="4A7A82B3"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Entidades para inicio de empalme</w:t>
            </w:r>
          </w:p>
        </w:tc>
        <w:tc>
          <w:tcPr>
            <w:tcW w:w="2295" w:type="dxa"/>
            <w:vAlign w:val="center"/>
          </w:tcPr>
          <w:p w14:paraId="36A54677" w14:textId="789C44AA"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Departamento</w:t>
            </w:r>
          </w:p>
        </w:tc>
        <w:tc>
          <w:tcPr>
            <w:tcW w:w="4263" w:type="dxa"/>
            <w:vAlign w:val="center"/>
          </w:tcPr>
          <w:p w14:paraId="55FD7CA5" w14:textId="691D2478"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Estado Actual</w:t>
            </w:r>
          </w:p>
        </w:tc>
      </w:tr>
      <w:tr w:rsidR="31FF9146" w14:paraId="7916E997" w14:textId="77777777" w:rsidTr="007C693C">
        <w:trPr>
          <w:trHeight w:val="495"/>
        </w:trPr>
        <w:tc>
          <w:tcPr>
            <w:tcW w:w="1192" w:type="dxa"/>
            <w:vAlign w:val="center"/>
          </w:tcPr>
          <w:p w14:paraId="7061448C" w14:textId="29AD9D25"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1</w:t>
            </w:r>
          </w:p>
        </w:tc>
        <w:tc>
          <w:tcPr>
            <w:tcW w:w="1610" w:type="dxa"/>
            <w:vAlign w:val="center"/>
          </w:tcPr>
          <w:p w14:paraId="60ADED08" w14:textId="534ECA1B"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Sahagún</w:t>
            </w:r>
          </w:p>
        </w:tc>
        <w:tc>
          <w:tcPr>
            <w:tcW w:w="2295" w:type="dxa"/>
            <w:vAlign w:val="center"/>
          </w:tcPr>
          <w:p w14:paraId="3FBB6918" w14:textId="6835176B"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Córdoba</w:t>
            </w:r>
          </w:p>
        </w:tc>
        <w:tc>
          <w:tcPr>
            <w:tcW w:w="4263" w:type="dxa"/>
            <w:vAlign w:val="center"/>
          </w:tcPr>
          <w:p w14:paraId="55E13635" w14:textId="07E2028D"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notificación Res. de Habilitación</w:t>
            </w:r>
          </w:p>
        </w:tc>
      </w:tr>
    </w:tbl>
    <w:p w14:paraId="4603F6BA" w14:textId="1C869519" w:rsidR="31FF9146" w:rsidRDefault="31FF9146" w:rsidP="007C693C">
      <w:pPr>
        <w:pStyle w:val="Sinespaciado"/>
      </w:pPr>
    </w:p>
    <w:tbl>
      <w:tblPr>
        <w:tblStyle w:val="Tabladecuadrcula4-nfasis1"/>
        <w:tblW w:w="0" w:type="auto"/>
        <w:tblLayout w:type="fixed"/>
        <w:tblLook w:val="0600" w:firstRow="0" w:lastRow="0" w:firstColumn="0" w:lastColumn="0" w:noHBand="1" w:noVBand="1"/>
      </w:tblPr>
      <w:tblGrid>
        <w:gridCol w:w="1149"/>
        <w:gridCol w:w="1821"/>
        <w:gridCol w:w="2239"/>
        <w:gridCol w:w="4150"/>
      </w:tblGrid>
      <w:tr w:rsidR="31FF9146" w14:paraId="2432691B" w14:textId="77777777" w:rsidTr="007C693C">
        <w:trPr>
          <w:trHeight w:val="315"/>
        </w:trPr>
        <w:tc>
          <w:tcPr>
            <w:tcW w:w="2970" w:type="dxa"/>
            <w:gridSpan w:val="2"/>
            <w:vAlign w:val="center"/>
          </w:tcPr>
          <w:p w14:paraId="5AC84EF2" w14:textId="68934FA9"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Entidades en evaluación de propuesta</w:t>
            </w:r>
          </w:p>
        </w:tc>
        <w:tc>
          <w:tcPr>
            <w:tcW w:w="2239" w:type="dxa"/>
            <w:vAlign w:val="center"/>
          </w:tcPr>
          <w:p w14:paraId="298EC4A6" w14:textId="35678019"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Departamento</w:t>
            </w:r>
          </w:p>
        </w:tc>
        <w:tc>
          <w:tcPr>
            <w:tcW w:w="4150" w:type="dxa"/>
            <w:vAlign w:val="center"/>
          </w:tcPr>
          <w:p w14:paraId="6E2C3A9F" w14:textId="6DB1AD0B" w:rsidR="31FF9146" w:rsidRDefault="31FF9146" w:rsidP="007C693C">
            <w:pPr>
              <w:jc w:val="center"/>
              <w:rPr>
                <w:rFonts w:eastAsia="Arial" w:cs="Arial"/>
                <w:color w:val="000000" w:themeColor="text1"/>
                <w:sz w:val="20"/>
                <w:szCs w:val="20"/>
              </w:rPr>
            </w:pPr>
            <w:r w:rsidRPr="31FF9146">
              <w:rPr>
                <w:rFonts w:eastAsia="Arial" w:cs="Arial"/>
                <w:b/>
                <w:bCs/>
                <w:color w:val="000000" w:themeColor="text1"/>
                <w:sz w:val="20"/>
                <w:szCs w:val="20"/>
              </w:rPr>
              <w:t>Estado Actual</w:t>
            </w:r>
          </w:p>
        </w:tc>
      </w:tr>
      <w:tr w:rsidR="31FF9146" w14:paraId="1763643C" w14:textId="77777777" w:rsidTr="007C693C">
        <w:trPr>
          <w:trHeight w:val="510"/>
        </w:trPr>
        <w:tc>
          <w:tcPr>
            <w:tcW w:w="1149" w:type="dxa"/>
            <w:vAlign w:val="center"/>
          </w:tcPr>
          <w:p w14:paraId="138E788B" w14:textId="005D6F9E"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1</w:t>
            </w:r>
          </w:p>
        </w:tc>
        <w:tc>
          <w:tcPr>
            <w:tcW w:w="1821" w:type="dxa"/>
            <w:vAlign w:val="center"/>
          </w:tcPr>
          <w:p w14:paraId="404EFB19" w14:textId="57827733"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Floridablanca</w:t>
            </w:r>
          </w:p>
        </w:tc>
        <w:tc>
          <w:tcPr>
            <w:tcW w:w="2239" w:type="dxa"/>
            <w:vAlign w:val="center"/>
          </w:tcPr>
          <w:p w14:paraId="4D059E4A" w14:textId="13872697"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Santander</w:t>
            </w:r>
          </w:p>
        </w:tc>
        <w:tc>
          <w:tcPr>
            <w:tcW w:w="4150" w:type="dxa"/>
            <w:vAlign w:val="center"/>
          </w:tcPr>
          <w:p w14:paraId="380299C8" w14:textId="65BF9904"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Subsanación por parte del municipio</w:t>
            </w:r>
          </w:p>
        </w:tc>
      </w:tr>
      <w:tr w:rsidR="31FF9146" w14:paraId="2E80A13C" w14:textId="77777777" w:rsidTr="007C693C">
        <w:trPr>
          <w:trHeight w:val="510"/>
        </w:trPr>
        <w:tc>
          <w:tcPr>
            <w:tcW w:w="1149" w:type="dxa"/>
            <w:vAlign w:val="center"/>
          </w:tcPr>
          <w:p w14:paraId="332333E8" w14:textId="011616F9"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2</w:t>
            </w:r>
          </w:p>
        </w:tc>
        <w:tc>
          <w:tcPr>
            <w:tcW w:w="1821" w:type="dxa"/>
            <w:vAlign w:val="center"/>
          </w:tcPr>
          <w:p w14:paraId="5363DAEC" w14:textId="73D9F91D"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Florencia</w:t>
            </w:r>
          </w:p>
        </w:tc>
        <w:tc>
          <w:tcPr>
            <w:tcW w:w="2239" w:type="dxa"/>
            <w:vAlign w:val="center"/>
          </w:tcPr>
          <w:p w14:paraId="68EE5A67" w14:textId="4C595956"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Caquetá</w:t>
            </w:r>
          </w:p>
        </w:tc>
        <w:tc>
          <w:tcPr>
            <w:tcW w:w="4150" w:type="dxa"/>
            <w:vAlign w:val="center"/>
          </w:tcPr>
          <w:p w14:paraId="3596C08F" w14:textId="76E78E7F"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estudio</w:t>
            </w:r>
          </w:p>
        </w:tc>
      </w:tr>
      <w:tr w:rsidR="31FF9146" w14:paraId="6F2120AD" w14:textId="77777777" w:rsidTr="007C693C">
        <w:trPr>
          <w:trHeight w:val="315"/>
        </w:trPr>
        <w:tc>
          <w:tcPr>
            <w:tcW w:w="1149" w:type="dxa"/>
            <w:vAlign w:val="center"/>
          </w:tcPr>
          <w:p w14:paraId="7C30E062" w14:textId="14C6499B"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3</w:t>
            </w:r>
          </w:p>
        </w:tc>
        <w:tc>
          <w:tcPr>
            <w:tcW w:w="1821" w:type="dxa"/>
            <w:vAlign w:val="center"/>
          </w:tcPr>
          <w:p w14:paraId="330FB593" w14:textId="1976D368"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Municipio Acevedo</w:t>
            </w:r>
          </w:p>
        </w:tc>
        <w:tc>
          <w:tcPr>
            <w:tcW w:w="2239" w:type="dxa"/>
            <w:vAlign w:val="center"/>
          </w:tcPr>
          <w:p w14:paraId="5F8CA3F1" w14:textId="7AEE9AD7"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Huila</w:t>
            </w:r>
          </w:p>
        </w:tc>
        <w:tc>
          <w:tcPr>
            <w:tcW w:w="4150" w:type="dxa"/>
            <w:vAlign w:val="center"/>
          </w:tcPr>
          <w:p w14:paraId="5208AF24" w14:textId="6DEA8FA9" w:rsidR="31FF9146" w:rsidRDefault="31FF9146" w:rsidP="007C693C">
            <w:pPr>
              <w:jc w:val="center"/>
              <w:rPr>
                <w:rFonts w:eastAsia="Arial" w:cs="Arial"/>
                <w:color w:val="000000" w:themeColor="text1"/>
                <w:sz w:val="20"/>
                <w:szCs w:val="20"/>
              </w:rPr>
            </w:pPr>
            <w:r w:rsidRPr="31FF9146">
              <w:rPr>
                <w:rFonts w:eastAsia="Arial" w:cs="Arial"/>
                <w:color w:val="000000" w:themeColor="text1"/>
                <w:sz w:val="20"/>
                <w:szCs w:val="20"/>
              </w:rPr>
              <w:t>En estudio</w:t>
            </w:r>
          </w:p>
        </w:tc>
      </w:tr>
    </w:tbl>
    <w:p w14:paraId="65B1BDD4" w14:textId="2381AC7C" w:rsidR="007968CA" w:rsidRDefault="007C693C" w:rsidP="00E54695">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31FDFF6A" w14:textId="77777777" w:rsidR="007968CA" w:rsidRDefault="007968CA" w:rsidP="007C693C">
      <w:pPr>
        <w:jc w:val="center"/>
        <w:rPr>
          <w:rFonts w:eastAsia="Arial" w:cs="Arial"/>
          <w:b/>
          <w:color w:val="000000" w:themeColor="text1"/>
          <w:sz w:val="16"/>
          <w:szCs w:val="18"/>
        </w:rPr>
      </w:pPr>
    </w:p>
    <w:p w14:paraId="303844AB" w14:textId="15C64845" w:rsidR="31FF9146" w:rsidRDefault="31FF9146" w:rsidP="00F14022">
      <w:pPr>
        <w:pStyle w:val="Lista"/>
      </w:pPr>
    </w:p>
    <w:p w14:paraId="3EA641B8" w14:textId="26117D4C" w:rsidR="003110C5" w:rsidRDefault="007C693C" w:rsidP="00E54695">
      <w:pPr>
        <w:pStyle w:val="Prrafodelista"/>
        <w:numPr>
          <w:ilvl w:val="2"/>
          <w:numId w:val="22"/>
        </w:numPr>
        <w:rPr>
          <w:b/>
          <w:bCs/>
          <w:sz w:val="22"/>
          <w:szCs w:val="22"/>
        </w:rPr>
      </w:pPr>
      <w:r w:rsidRPr="31FF9146">
        <w:rPr>
          <w:b/>
          <w:bCs/>
          <w:sz w:val="22"/>
          <w:szCs w:val="22"/>
        </w:rPr>
        <w:t xml:space="preserve">PROCEDIMIENTOS, INDICADORES Y RIESGOS ASOCIADOS </w:t>
      </w:r>
    </w:p>
    <w:p w14:paraId="08009E0F" w14:textId="77777777" w:rsidR="00E54695" w:rsidRPr="00E54695" w:rsidRDefault="00E54695" w:rsidP="00E54695">
      <w:pPr>
        <w:pStyle w:val="Lista"/>
      </w:pPr>
    </w:p>
    <w:tbl>
      <w:tblPr>
        <w:tblStyle w:val="Tabladecuadrcula4-nfasis1"/>
        <w:tblW w:w="9360" w:type="dxa"/>
        <w:tblLayout w:type="fixed"/>
        <w:tblLook w:val="04A0" w:firstRow="1" w:lastRow="0" w:firstColumn="1" w:lastColumn="0" w:noHBand="0" w:noVBand="1"/>
      </w:tblPr>
      <w:tblGrid>
        <w:gridCol w:w="1740"/>
        <w:gridCol w:w="1755"/>
        <w:gridCol w:w="2100"/>
        <w:gridCol w:w="1725"/>
        <w:gridCol w:w="2040"/>
      </w:tblGrid>
      <w:tr w:rsidR="31FF9146" w14:paraId="38C6F893" w14:textId="77777777" w:rsidTr="007C693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40" w:type="dxa"/>
            <w:tcBorders>
              <w:top w:val="single" w:sz="6" w:space="0" w:color="4F81BD" w:themeColor="accent1"/>
              <w:left w:val="single" w:sz="6" w:space="0" w:color="4F81BD" w:themeColor="accent1"/>
              <w:bottom w:val="single" w:sz="6" w:space="0" w:color="4F81BD" w:themeColor="accent1"/>
            </w:tcBorders>
            <w:vAlign w:val="center"/>
          </w:tcPr>
          <w:p w14:paraId="5E8969C6" w14:textId="738E7D4D" w:rsidR="31FF9146" w:rsidRDefault="31FF9146" w:rsidP="00F14022">
            <w:pPr>
              <w:jc w:val="center"/>
              <w:rPr>
                <w:rFonts w:eastAsia="Arial" w:cs="Arial"/>
                <w:sz w:val="20"/>
                <w:szCs w:val="20"/>
              </w:rPr>
            </w:pPr>
            <w:r w:rsidRPr="31FF9146">
              <w:rPr>
                <w:rFonts w:eastAsia="Arial" w:cs="Arial"/>
                <w:sz w:val="20"/>
                <w:szCs w:val="20"/>
              </w:rPr>
              <w:t>Proceso</w:t>
            </w:r>
          </w:p>
        </w:tc>
        <w:tc>
          <w:tcPr>
            <w:tcW w:w="1755" w:type="dxa"/>
            <w:tcBorders>
              <w:top w:val="single" w:sz="6" w:space="0" w:color="4F81BD" w:themeColor="accent1"/>
              <w:bottom w:val="single" w:sz="6" w:space="0" w:color="4F81BD" w:themeColor="accent1"/>
            </w:tcBorders>
            <w:vAlign w:val="center"/>
          </w:tcPr>
          <w:p w14:paraId="67E3A87B" w14:textId="0875D165"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rPr>
              <w:t>Subproceso</w:t>
            </w:r>
          </w:p>
        </w:tc>
        <w:tc>
          <w:tcPr>
            <w:tcW w:w="2100" w:type="dxa"/>
            <w:tcBorders>
              <w:top w:val="single" w:sz="6" w:space="0" w:color="4F81BD" w:themeColor="accent1"/>
              <w:bottom w:val="single" w:sz="6" w:space="0" w:color="4F81BD" w:themeColor="accent1"/>
            </w:tcBorders>
            <w:vAlign w:val="center"/>
          </w:tcPr>
          <w:p w14:paraId="4250455C" w14:textId="7D16B3CA"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rPr>
              <w:t>Procedimientos</w:t>
            </w:r>
          </w:p>
        </w:tc>
        <w:tc>
          <w:tcPr>
            <w:tcW w:w="1725" w:type="dxa"/>
            <w:tcBorders>
              <w:top w:val="single" w:sz="6" w:space="0" w:color="4F81BD" w:themeColor="accent1"/>
              <w:bottom w:val="single" w:sz="6" w:space="0" w:color="4F81BD" w:themeColor="accent1"/>
            </w:tcBorders>
            <w:vAlign w:val="center"/>
          </w:tcPr>
          <w:p w14:paraId="0CED0EFE" w14:textId="3017153C"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rPr>
              <w:t>Indicadores</w:t>
            </w:r>
          </w:p>
        </w:tc>
        <w:tc>
          <w:tcPr>
            <w:tcW w:w="2040" w:type="dxa"/>
            <w:tcBorders>
              <w:top w:val="single" w:sz="6" w:space="0" w:color="4F81BD" w:themeColor="accent1"/>
              <w:bottom w:val="single" w:sz="6" w:space="0" w:color="4F81BD" w:themeColor="accent1"/>
              <w:right w:val="single" w:sz="6" w:space="0" w:color="4F81BD" w:themeColor="accent1"/>
            </w:tcBorders>
            <w:vAlign w:val="center"/>
          </w:tcPr>
          <w:p w14:paraId="2D5FD64D" w14:textId="6D092648"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rPr>
              <w:t>Riesgos</w:t>
            </w:r>
          </w:p>
        </w:tc>
      </w:tr>
      <w:tr w:rsidR="31FF9146" w14:paraId="0661711C" w14:textId="77777777" w:rsidTr="007C693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40" w:type="dxa"/>
            <w:vMerge w:val="restart"/>
            <w:vAlign w:val="center"/>
          </w:tcPr>
          <w:p w14:paraId="14FA2CA8" w14:textId="44F9C7A4"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rPr>
              <w:t>Gestión de Regulación y Habilitación</w:t>
            </w:r>
          </w:p>
        </w:tc>
        <w:tc>
          <w:tcPr>
            <w:tcW w:w="1755" w:type="dxa"/>
            <w:vAlign w:val="center"/>
          </w:tcPr>
          <w:p w14:paraId="13A6D2D2" w14:textId="7ACC231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Habilitación</w:t>
            </w:r>
          </w:p>
        </w:tc>
        <w:tc>
          <w:tcPr>
            <w:tcW w:w="2100" w:type="dxa"/>
            <w:vAlign w:val="center"/>
          </w:tcPr>
          <w:p w14:paraId="01DA9C82" w14:textId="3D69500E"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2</w:t>
            </w:r>
          </w:p>
        </w:tc>
        <w:tc>
          <w:tcPr>
            <w:tcW w:w="1725" w:type="dxa"/>
            <w:vAlign w:val="center"/>
          </w:tcPr>
          <w:p w14:paraId="4CB4562B" w14:textId="35B1AA61"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1</w:t>
            </w:r>
          </w:p>
        </w:tc>
        <w:tc>
          <w:tcPr>
            <w:tcW w:w="2040" w:type="dxa"/>
            <w:vAlign w:val="center"/>
          </w:tcPr>
          <w:p w14:paraId="502813D9" w14:textId="0F0DD4EA"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0</w:t>
            </w:r>
          </w:p>
        </w:tc>
      </w:tr>
      <w:tr w:rsidR="31FF9146" w14:paraId="1697FB51" w14:textId="77777777" w:rsidTr="007C693C">
        <w:trPr>
          <w:trHeight w:val="300"/>
        </w:trPr>
        <w:tc>
          <w:tcPr>
            <w:cnfStyle w:val="001000000000" w:firstRow="0" w:lastRow="0" w:firstColumn="1" w:lastColumn="0" w:oddVBand="0" w:evenVBand="0" w:oddHBand="0" w:evenHBand="0" w:firstRowFirstColumn="0" w:firstRowLastColumn="0" w:lastRowFirstColumn="0" w:lastRowLastColumn="0"/>
            <w:tcW w:w="1740" w:type="dxa"/>
            <w:vMerge/>
            <w:vAlign w:val="center"/>
          </w:tcPr>
          <w:p w14:paraId="101F15D2" w14:textId="77777777" w:rsidR="0071119F" w:rsidRDefault="0071119F" w:rsidP="00F14022"/>
        </w:tc>
        <w:tc>
          <w:tcPr>
            <w:tcW w:w="1755" w:type="dxa"/>
            <w:vAlign w:val="center"/>
          </w:tcPr>
          <w:p w14:paraId="4AE42C6B" w14:textId="033A7BB1"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Regulación</w:t>
            </w:r>
          </w:p>
        </w:tc>
        <w:tc>
          <w:tcPr>
            <w:tcW w:w="2100" w:type="dxa"/>
            <w:vAlign w:val="center"/>
          </w:tcPr>
          <w:p w14:paraId="68567DF4" w14:textId="3DEFCAA6"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1</w:t>
            </w:r>
          </w:p>
        </w:tc>
        <w:tc>
          <w:tcPr>
            <w:tcW w:w="1725" w:type="dxa"/>
            <w:vAlign w:val="center"/>
          </w:tcPr>
          <w:p w14:paraId="597312CE" w14:textId="22B18339"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4</w:t>
            </w:r>
          </w:p>
        </w:tc>
        <w:tc>
          <w:tcPr>
            <w:tcW w:w="2040" w:type="dxa"/>
            <w:vAlign w:val="center"/>
          </w:tcPr>
          <w:p w14:paraId="4B57A96E" w14:textId="260CF01B" w:rsidR="31FF9146" w:rsidRDefault="31FF9146" w:rsidP="00F14022">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rPr>
              <w:t>3</w:t>
            </w:r>
          </w:p>
        </w:tc>
      </w:tr>
      <w:tr w:rsidR="31FF9146" w14:paraId="787461D1" w14:textId="77777777" w:rsidTr="007C693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5" w:type="dxa"/>
            <w:gridSpan w:val="2"/>
            <w:vAlign w:val="center"/>
          </w:tcPr>
          <w:p w14:paraId="2351FD79" w14:textId="35D5B559"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rPr>
              <w:t>Total</w:t>
            </w:r>
          </w:p>
        </w:tc>
        <w:tc>
          <w:tcPr>
            <w:tcW w:w="2100" w:type="dxa"/>
            <w:vAlign w:val="center"/>
          </w:tcPr>
          <w:p w14:paraId="53D9D8FF" w14:textId="3F76C675"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b/>
                <w:bCs/>
                <w:color w:val="000000" w:themeColor="text1"/>
                <w:sz w:val="20"/>
                <w:szCs w:val="20"/>
              </w:rPr>
              <w:t>3</w:t>
            </w:r>
          </w:p>
        </w:tc>
        <w:tc>
          <w:tcPr>
            <w:tcW w:w="1725" w:type="dxa"/>
            <w:vAlign w:val="center"/>
          </w:tcPr>
          <w:p w14:paraId="51304AA1" w14:textId="277A0646"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b/>
                <w:bCs/>
                <w:color w:val="000000" w:themeColor="text1"/>
                <w:sz w:val="20"/>
                <w:szCs w:val="20"/>
              </w:rPr>
              <w:t>5</w:t>
            </w:r>
          </w:p>
        </w:tc>
        <w:tc>
          <w:tcPr>
            <w:tcW w:w="2040" w:type="dxa"/>
            <w:vAlign w:val="center"/>
          </w:tcPr>
          <w:p w14:paraId="0C3F8C88" w14:textId="53C11899"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b/>
                <w:bCs/>
                <w:color w:val="000000" w:themeColor="text1"/>
                <w:sz w:val="20"/>
                <w:szCs w:val="20"/>
              </w:rPr>
              <w:t>3</w:t>
            </w:r>
          </w:p>
        </w:tc>
      </w:tr>
    </w:tbl>
    <w:p w14:paraId="011EB12F" w14:textId="77E0FB30" w:rsidR="007C693C" w:rsidRDefault="007C693C" w:rsidP="007C693C">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w:t>
      </w:r>
      <w:r>
        <w:rPr>
          <w:rFonts w:eastAsia="Arial" w:cs="Arial"/>
          <w:b/>
          <w:color w:val="000000" w:themeColor="text1"/>
          <w:sz w:val="16"/>
          <w:szCs w:val="18"/>
        </w:rPr>
        <w:t xml:space="preserve">Oficina Asesora de Planeación </w:t>
      </w:r>
    </w:p>
    <w:p w14:paraId="15482857" w14:textId="1ABC69F0" w:rsidR="00941D96" w:rsidRDefault="00941D96" w:rsidP="00F14022">
      <w:pPr>
        <w:pStyle w:val="Lista"/>
      </w:pPr>
    </w:p>
    <w:p w14:paraId="02FFAA75" w14:textId="77777777" w:rsidR="00E54695" w:rsidRDefault="00E54695" w:rsidP="00F14022">
      <w:pPr>
        <w:jc w:val="both"/>
        <w:rPr>
          <w:rFonts w:eastAsia="Arial" w:cs="Arial"/>
          <w:color w:val="000000" w:themeColor="text1"/>
          <w:sz w:val="22"/>
          <w:szCs w:val="22"/>
        </w:rPr>
      </w:pPr>
    </w:p>
    <w:p w14:paraId="614B6D95" w14:textId="77777777" w:rsidR="00E54695" w:rsidRDefault="00E54695" w:rsidP="00F14022">
      <w:pPr>
        <w:jc w:val="both"/>
        <w:rPr>
          <w:rFonts w:eastAsia="Arial" w:cs="Arial"/>
          <w:color w:val="000000" w:themeColor="text1"/>
          <w:sz w:val="22"/>
          <w:szCs w:val="22"/>
        </w:rPr>
      </w:pPr>
    </w:p>
    <w:p w14:paraId="19FF1FBD" w14:textId="77777777" w:rsidR="00E54695" w:rsidRDefault="00E54695" w:rsidP="00F14022">
      <w:pPr>
        <w:jc w:val="both"/>
        <w:rPr>
          <w:rFonts w:eastAsia="Arial" w:cs="Arial"/>
          <w:color w:val="000000" w:themeColor="text1"/>
          <w:sz w:val="22"/>
          <w:szCs w:val="22"/>
        </w:rPr>
      </w:pPr>
    </w:p>
    <w:p w14:paraId="747FB057" w14:textId="77777777" w:rsidR="00E54695" w:rsidRDefault="00E54695" w:rsidP="00F14022">
      <w:pPr>
        <w:jc w:val="both"/>
        <w:rPr>
          <w:rFonts w:eastAsia="Arial" w:cs="Arial"/>
          <w:color w:val="000000" w:themeColor="text1"/>
          <w:sz w:val="22"/>
          <w:szCs w:val="22"/>
        </w:rPr>
      </w:pPr>
    </w:p>
    <w:p w14:paraId="689F3BF2" w14:textId="6B714C0E" w:rsidR="00E54695" w:rsidRDefault="163EBA6A" w:rsidP="00F14022">
      <w:pPr>
        <w:jc w:val="both"/>
        <w:rPr>
          <w:rFonts w:eastAsia="Arial" w:cs="Arial"/>
          <w:color w:val="000000" w:themeColor="text1"/>
          <w:sz w:val="22"/>
          <w:szCs w:val="22"/>
        </w:rPr>
      </w:pPr>
      <w:r w:rsidRPr="31FF9146">
        <w:rPr>
          <w:rFonts w:eastAsia="Arial" w:cs="Arial"/>
          <w:color w:val="000000" w:themeColor="text1"/>
          <w:sz w:val="22"/>
          <w:szCs w:val="22"/>
        </w:rPr>
        <w:lastRenderedPageBreak/>
        <w:t>Para mayor detalle de la información consultar en: </w:t>
      </w:r>
    </w:p>
    <w:p w14:paraId="52C5CBD7" w14:textId="55563E42" w:rsidR="163EBA6A" w:rsidRDefault="163EBA6A" w:rsidP="00F14022">
      <w:pPr>
        <w:jc w:val="both"/>
        <w:rPr>
          <w:rFonts w:eastAsia="Arial" w:cs="Arial"/>
          <w:color w:val="000000" w:themeColor="text1"/>
          <w:sz w:val="22"/>
          <w:szCs w:val="22"/>
        </w:rPr>
      </w:pPr>
      <w:r w:rsidRPr="31FF9146">
        <w:rPr>
          <w:rFonts w:eastAsia="Arial" w:cs="Arial"/>
          <w:color w:val="000000" w:themeColor="text1"/>
          <w:sz w:val="22"/>
          <w:szCs w:val="22"/>
        </w:rPr>
        <w:t> </w:t>
      </w:r>
    </w:p>
    <w:p w14:paraId="21D4823F" w14:textId="015D5194" w:rsidR="163EBA6A" w:rsidRDefault="163EBA6A" w:rsidP="000A20EE">
      <w:pPr>
        <w:pStyle w:val="Prrafodelista"/>
        <w:numPr>
          <w:ilvl w:val="0"/>
          <w:numId w:val="265"/>
        </w:numPr>
        <w:rPr>
          <w:rFonts w:eastAsia="Arial" w:cs="Arial"/>
          <w:color w:val="000000" w:themeColor="text1"/>
          <w:sz w:val="22"/>
          <w:szCs w:val="22"/>
        </w:rPr>
      </w:pPr>
      <w:r w:rsidRPr="31FF9146">
        <w:rPr>
          <w:rFonts w:eastAsia="Arial" w:cs="Arial"/>
          <w:b/>
          <w:bCs/>
          <w:color w:val="000000" w:themeColor="text1"/>
          <w:sz w:val="22"/>
          <w:szCs w:val="22"/>
        </w:rPr>
        <w:t>Procedimientos</w:t>
      </w:r>
      <w:r w:rsidRPr="31FF9146">
        <w:rPr>
          <w:rFonts w:eastAsia="Arial" w:cs="Arial"/>
          <w:color w:val="000000" w:themeColor="text1"/>
          <w:sz w:val="22"/>
          <w:szCs w:val="22"/>
        </w:rPr>
        <w:t>: </w:t>
      </w:r>
      <w:hyperlink r:id="rId27">
        <w:r w:rsidRPr="31FF9146">
          <w:rPr>
            <w:rStyle w:val="Hipervnculo"/>
            <w:rFonts w:eastAsia="Arial" w:cs="Arial"/>
            <w:sz w:val="22"/>
            <w:szCs w:val="22"/>
          </w:rPr>
          <w:t>https://www.igac.gov.co/es/listado-maestro-de-documentos</w:t>
        </w:r>
      </w:hyperlink>
      <w:r w:rsidRPr="31FF9146">
        <w:rPr>
          <w:rFonts w:eastAsia="Arial" w:cs="Arial"/>
          <w:color w:val="000000" w:themeColor="text1"/>
          <w:sz w:val="22"/>
          <w:szCs w:val="22"/>
        </w:rPr>
        <w:t> </w:t>
      </w:r>
    </w:p>
    <w:p w14:paraId="5526AAA4" w14:textId="067647AA" w:rsidR="163EBA6A" w:rsidRDefault="163EBA6A" w:rsidP="000A20EE">
      <w:pPr>
        <w:pStyle w:val="Prrafodelista"/>
        <w:numPr>
          <w:ilvl w:val="0"/>
          <w:numId w:val="265"/>
        </w:numPr>
        <w:rPr>
          <w:rFonts w:eastAsia="Arial" w:cs="Arial"/>
          <w:color w:val="000000" w:themeColor="text1"/>
          <w:sz w:val="22"/>
          <w:szCs w:val="22"/>
        </w:rPr>
      </w:pPr>
      <w:r w:rsidRPr="31FF9146">
        <w:rPr>
          <w:rFonts w:eastAsia="Arial" w:cs="Arial"/>
          <w:b/>
          <w:bCs/>
          <w:color w:val="000000" w:themeColor="text1"/>
          <w:sz w:val="22"/>
          <w:szCs w:val="22"/>
        </w:rPr>
        <w:t>Indicadores</w:t>
      </w:r>
      <w:r w:rsidRPr="31FF9146">
        <w:rPr>
          <w:rFonts w:eastAsia="Arial" w:cs="Arial"/>
          <w:color w:val="000000" w:themeColor="text1"/>
          <w:sz w:val="22"/>
          <w:szCs w:val="22"/>
        </w:rPr>
        <w:t>: Plan Acción Anual 2021: </w:t>
      </w:r>
      <w:r w:rsidRPr="31FF9146">
        <w:rPr>
          <w:rFonts w:ascii="Times New Roman" w:hAnsi="Times New Roman"/>
          <w:color w:val="000000" w:themeColor="text1"/>
          <w:sz w:val="22"/>
          <w:szCs w:val="22"/>
        </w:rPr>
        <w:t> </w:t>
      </w:r>
      <w:hyperlink r:id="rId28">
        <w:r w:rsidRPr="31FF9146">
          <w:rPr>
            <w:rStyle w:val="Hipervnculo"/>
            <w:rFonts w:eastAsia="Arial" w:cs="Arial"/>
            <w:sz w:val="22"/>
            <w:szCs w:val="22"/>
          </w:rPr>
          <w:t>https://www.igac.gov.co/es/transparencia-y-acceso-a-la-informacion-publica/plan-de-accion-anual</w:t>
        </w:r>
      </w:hyperlink>
      <w:r w:rsidRPr="31FF9146">
        <w:rPr>
          <w:rFonts w:eastAsia="Arial" w:cs="Arial"/>
          <w:color w:val="000000" w:themeColor="text1"/>
          <w:sz w:val="22"/>
          <w:szCs w:val="22"/>
        </w:rPr>
        <w:t> y en Herramienta Planigac </w:t>
      </w:r>
    </w:p>
    <w:p w14:paraId="6ADB65CC" w14:textId="08219E13" w:rsidR="163EBA6A" w:rsidRDefault="163EBA6A" w:rsidP="000A20EE">
      <w:pPr>
        <w:pStyle w:val="Prrafodelista"/>
        <w:numPr>
          <w:ilvl w:val="0"/>
          <w:numId w:val="265"/>
        </w:numPr>
        <w:rPr>
          <w:rFonts w:eastAsia="Arial" w:cs="Arial"/>
          <w:color w:val="000000" w:themeColor="text1"/>
          <w:sz w:val="22"/>
          <w:szCs w:val="22"/>
        </w:rPr>
      </w:pPr>
      <w:r w:rsidRPr="31FF9146">
        <w:rPr>
          <w:rFonts w:eastAsia="Arial" w:cs="Arial"/>
          <w:b/>
          <w:bCs/>
          <w:color w:val="000000" w:themeColor="text1"/>
          <w:sz w:val="22"/>
          <w:szCs w:val="22"/>
        </w:rPr>
        <w:t>Riesgos</w:t>
      </w:r>
      <w:r w:rsidRPr="31FF9146">
        <w:rPr>
          <w:rFonts w:eastAsia="Arial" w:cs="Arial"/>
          <w:color w:val="000000" w:themeColor="text1"/>
          <w:sz w:val="22"/>
          <w:szCs w:val="22"/>
        </w:rPr>
        <w:t>: Matriz de Riesgos Institucional IGAC 2021: </w:t>
      </w:r>
      <w:hyperlink r:id="rId29">
        <w:r w:rsidRPr="31FF9146">
          <w:rPr>
            <w:rStyle w:val="Hipervnculo"/>
            <w:rFonts w:eastAsia="Arial" w:cs="Arial"/>
            <w:sz w:val="22"/>
            <w:szCs w:val="22"/>
          </w:rPr>
          <w:t>https://www.igac.gov.co/es/transparencia-y-acceso-a-la-informacion-publica/plan-anticorrupcion-y-de-atencion-al-ciudadano</w:t>
        </w:r>
      </w:hyperlink>
      <w:r w:rsidRPr="31FF9146">
        <w:rPr>
          <w:rFonts w:eastAsia="Arial" w:cs="Arial"/>
          <w:color w:val="000000" w:themeColor="text1"/>
          <w:sz w:val="22"/>
          <w:szCs w:val="22"/>
        </w:rPr>
        <w:t>   y en herramienta Planigac. </w:t>
      </w:r>
    </w:p>
    <w:p w14:paraId="162C9663" w14:textId="6E207668" w:rsidR="31FF9146" w:rsidRDefault="31FF9146" w:rsidP="00F14022">
      <w:pPr>
        <w:spacing w:after="60"/>
        <w:rPr>
          <w:rFonts w:eastAsia="Arial" w:cs="Arial"/>
          <w:color w:val="000000" w:themeColor="text1"/>
          <w:sz w:val="22"/>
          <w:szCs w:val="22"/>
        </w:rPr>
      </w:pPr>
    </w:p>
    <w:p w14:paraId="4D28CDE2" w14:textId="448DA527" w:rsidR="008032C4" w:rsidRDefault="007C693C" w:rsidP="00E54695">
      <w:pPr>
        <w:pStyle w:val="Prrafodelista"/>
        <w:numPr>
          <w:ilvl w:val="2"/>
          <w:numId w:val="22"/>
        </w:numPr>
        <w:rPr>
          <w:b/>
          <w:bCs/>
          <w:sz w:val="22"/>
          <w:szCs w:val="22"/>
        </w:rPr>
      </w:pPr>
      <w:r w:rsidRPr="31FF9146">
        <w:rPr>
          <w:b/>
          <w:bCs/>
          <w:sz w:val="22"/>
          <w:szCs w:val="22"/>
        </w:rPr>
        <w:t>POLÍTICAS ASOCIADAS</w:t>
      </w:r>
    </w:p>
    <w:p w14:paraId="0905A436" w14:textId="77777777" w:rsidR="00E54695" w:rsidRPr="00E54695" w:rsidRDefault="00E54695" w:rsidP="00E54695">
      <w:pPr>
        <w:pStyle w:val="Lista"/>
      </w:pPr>
    </w:p>
    <w:tbl>
      <w:tblPr>
        <w:tblStyle w:val="Tabladecuadrcula4-nfasis1"/>
        <w:tblW w:w="9360" w:type="dxa"/>
        <w:tblLayout w:type="fixed"/>
        <w:tblLook w:val="04A0" w:firstRow="1" w:lastRow="0" w:firstColumn="1" w:lastColumn="0" w:noHBand="0" w:noVBand="1"/>
      </w:tblPr>
      <w:tblGrid>
        <w:gridCol w:w="3359"/>
        <w:gridCol w:w="2971"/>
        <w:gridCol w:w="3030"/>
      </w:tblGrid>
      <w:tr w:rsidR="31FF9146" w14:paraId="50C3C54E" w14:textId="77777777" w:rsidTr="007C693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359" w:type="dxa"/>
            <w:tcBorders>
              <w:top w:val="single" w:sz="6" w:space="0" w:color="4F81BD" w:themeColor="accent1"/>
              <w:left w:val="single" w:sz="6" w:space="0" w:color="4F81BD" w:themeColor="accent1"/>
              <w:bottom w:val="single" w:sz="6" w:space="0" w:color="4F81BD" w:themeColor="accent1"/>
            </w:tcBorders>
            <w:vAlign w:val="center"/>
          </w:tcPr>
          <w:p w14:paraId="339DD18E" w14:textId="532C7698" w:rsidR="31FF9146" w:rsidRDefault="31FF9146" w:rsidP="007C693C">
            <w:pPr>
              <w:jc w:val="center"/>
              <w:rPr>
                <w:rFonts w:eastAsia="Arial" w:cs="Arial"/>
                <w:sz w:val="20"/>
                <w:szCs w:val="20"/>
              </w:rPr>
            </w:pPr>
            <w:r w:rsidRPr="31FF9146">
              <w:rPr>
                <w:rFonts w:eastAsia="Arial" w:cs="Arial"/>
                <w:sz w:val="20"/>
                <w:szCs w:val="20"/>
                <w:lang w:val="es-MX"/>
              </w:rPr>
              <w:t>Política</w:t>
            </w:r>
          </w:p>
        </w:tc>
        <w:tc>
          <w:tcPr>
            <w:tcW w:w="2971" w:type="dxa"/>
            <w:tcBorders>
              <w:top w:val="single" w:sz="6" w:space="0" w:color="4F81BD" w:themeColor="accent1"/>
              <w:bottom w:val="single" w:sz="6" w:space="0" w:color="4F81BD" w:themeColor="accent1"/>
            </w:tcBorders>
            <w:vAlign w:val="center"/>
          </w:tcPr>
          <w:p w14:paraId="4FCEDAA2" w14:textId="24BEF76D" w:rsidR="31FF9146" w:rsidRDefault="31FF9146" w:rsidP="007C693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lang w:val="es-MX"/>
              </w:rPr>
              <w:t>Objetivo</w:t>
            </w:r>
          </w:p>
        </w:tc>
        <w:tc>
          <w:tcPr>
            <w:tcW w:w="3030" w:type="dxa"/>
            <w:tcBorders>
              <w:top w:val="single" w:sz="6" w:space="0" w:color="4F81BD" w:themeColor="accent1"/>
              <w:bottom w:val="single" w:sz="6" w:space="0" w:color="4F81BD" w:themeColor="accent1"/>
              <w:right w:val="single" w:sz="6" w:space="0" w:color="4F81BD" w:themeColor="accent1"/>
            </w:tcBorders>
            <w:vAlign w:val="center"/>
          </w:tcPr>
          <w:p w14:paraId="4A370A82" w14:textId="1F039E93" w:rsidR="31FF9146" w:rsidRDefault="31FF9146" w:rsidP="007C693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lang w:val="es-MX"/>
              </w:rPr>
              <w:t>Alcance</w:t>
            </w:r>
          </w:p>
        </w:tc>
      </w:tr>
      <w:tr w:rsidR="31FF9146" w14:paraId="4C234678" w14:textId="77777777" w:rsidTr="007C69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9" w:type="dxa"/>
            <w:vAlign w:val="center"/>
          </w:tcPr>
          <w:p w14:paraId="41C07E46" w14:textId="0419BA06"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Mejora Normativa</w:t>
            </w:r>
          </w:p>
        </w:tc>
        <w:tc>
          <w:tcPr>
            <w:tcW w:w="2971" w:type="dxa"/>
            <w:vAlign w:val="center"/>
          </w:tcPr>
          <w:p w14:paraId="442F0FD5" w14:textId="521F0335"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Fortalecer la seguridad jurídica del IGAC que permita a la entidad cumplir con sus objetivos institucionales basados en una regulación clara y competente.</w:t>
            </w:r>
          </w:p>
        </w:tc>
        <w:tc>
          <w:tcPr>
            <w:tcW w:w="3030" w:type="dxa"/>
            <w:vAlign w:val="center"/>
          </w:tcPr>
          <w:p w14:paraId="7B494804" w14:textId="6C1F4F91"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La política abarca de forma integral las fases, herramientas y procesos del IGAC que estén involucrados en la expedición y/o modificación de una norma.</w:t>
            </w:r>
          </w:p>
        </w:tc>
      </w:tr>
      <w:tr w:rsidR="31FF9146" w14:paraId="26E54574" w14:textId="77777777" w:rsidTr="007C693C">
        <w:tc>
          <w:tcPr>
            <w:cnfStyle w:val="001000000000" w:firstRow="0" w:lastRow="0" w:firstColumn="1" w:lastColumn="0" w:oddVBand="0" w:evenVBand="0" w:oddHBand="0" w:evenHBand="0" w:firstRowFirstColumn="0" w:firstRowLastColumn="0" w:lastRowFirstColumn="0" w:lastRowLastColumn="0"/>
            <w:tcW w:w="3359" w:type="dxa"/>
            <w:vAlign w:val="center"/>
          </w:tcPr>
          <w:p w14:paraId="0D577EAB" w14:textId="109907F0"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Pacto por la descentralización: conectar territorios, gobiernos y poblaciones.</w:t>
            </w:r>
          </w:p>
          <w:p w14:paraId="27680A52" w14:textId="30FF34C6" w:rsidR="31FF9146" w:rsidRPr="007C693C" w:rsidRDefault="31FF9146" w:rsidP="007C693C">
            <w:pPr>
              <w:jc w:val="center"/>
              <w:rPr>
                <w:rFonts w:eastAsia="Arial" w:cs="Arial"/>
                <w:color w:val="000000" w:themeColor="text1"/>
                <w:sz w:val="20"/>
                <w:szCs w:val="20"/>
              </w:rPr>
            </w:pPr>
          </w:p>
          <w:p w14:paraId="1811B960" w14:textId="19DCBC32"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A. Políticas e inversiones para el desarrollo, el ordenamiento y fortalecimiento de la asociatividad</w:t>
            </w:r>
          </w:p>
          <w:p w14:paraId="739BDB28" w14:textId="7E220CC6" w:rsidR="31FF9146" w:rsidRPr="007C693C" w:rsidRDefault="31FF9146" w:rsidP="007C693C">
            <w:pPr>
              <w:jc w:val="center"/>
              <w:rPr>
                <w:rFonts w:eastAsia="Arial" w:cs="Arial"/>
                <w:color w:val="333333"/>
                <w:sz w:val="20"/>
                <w:szCs w:val="20"/>
              </w:rPr>
            </w:pPr>
          </w:p>
        </w:tc>
        <w:tc>
          <w:tcPr>
            <w:tcW w:w="2971" w:type="dxa"/>
            <w:vAlign w:val="center"/>
          </w:tcPr>
          <w:p w14:paraId="67C758B2" w14:textId="2A58E8AB"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Definir los lineamientos para la habilitación de los Gestores Catastrales responsables de la prestación del Servicio Público Catastral. Los Gestores Catastrales serán las entidades públicas del orden nacional y territorial</w:t>
            </w:r>
          </w:p>
        </w:tc>
        <w:tc>
          <w:tcPr>
            <w:tcW w:w="3030" w:type="dxa"/>
            <w:vAlign w:val="center"/>
          </w:tcPr>
          <w:p w14:paraId="53BF4611" w14:textId="29CCA141"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 xml:space="preserve">Inicia con la recepción formal de la manifestación de interés de habilitación como gestor catastral, presentada por las entidades públicas del orden nacional o territorial, o esquemas asociativos de entidades territoriales, </w:t>
            </w:r>
            <w:r w:rsidRPr="31FF9146">
              <w:rPr>
                <w:rFonts w:eastAsia="Arial" w:cs="Arial"/>
                <w:color w:val="000000" w:themeColor="text1"/>
                <w:sz w:val="20"/>
                <w:szCs w:val="20"/>
              </w:rPr>
              <w:t>continúa con la expedición del Acto administrativo de inicio seguido del</w:t>
            </w:r>
            <w:r w:rsidRPr="31FF9146">
              <w:rPr>
                <w:rFonts w:eastAsia="Arial" w:cs="Arial"/>
                <w:color w:val="000000" w:themeColor="text1"/>
                <w:sz w:val="20"/>
                <w:szCs w:val="20"/>
                <w:lang w:val="es-MX"/>
              </w:rPr>
              <w:t xml:space="preserve"> que resuelve la solicitud.</w:t>
            </w:r>
          </w:p>
          <w:p w14:paraId="48915476" w14:textId="0F9FAC00"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p>
        </w:tc>
      </w:tr>
      <w:tr w:rsidR="31FF9146" w14:paraId="14406EFD" w14:textId="77777777" w:rsidTr="007C69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9" w:type="dxa"/>
            <w:vAlign w:val="center"/>
          </w:tcPr>
          <w:p w14:paraId="3B0CFAC6" w14:textId="0ABE58FA" w:rsidR="31FF9146" w:rsidRPr="007C693C" w:rsidRDefault="31FF9146" w:rsidP="007C693C">
            <w:pPr>
              <w:jc w:val="center"/>
              <w:rPr>
                <w:rFonts w:eastAsia="Arial" w:cs="Arial"/>
                <w:color w:val="000000" w:themeColor="text1"/>
                <w:sz w:val="20"/>
                <w:szCs w:val="20"/>
              </w:rPr>
            </w:pPr>
          </w:p>
          <w:p w14:paraId="2DD74623" w14:textId="5D7FFBD2"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CONPES 3958 de 2019 “Estrategia para la implementación de la política pública de catastro multipropósito”</w:t>
            </w:r>
          </w:p>
        </w:tc>
        <w:tc>
          <w:tcPr>
            <w:tcW w:w="2971" w:type="dxa"/>
            <w:vAlign w:val="center"/>
          </w:tcPr>
          <w:p w14:paraId="614C16EF" w14:textId="1F7E9BFF"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P</w:t>
            </w:r>
            <w:r w:rsidRPr="31FF9146">
              <w:rPr>
                <w:rFonts w:eastAsia="Arial" w:cs="Arial"/>
                <w:color w:val="000000" w:themeColor="text1"/>
                <w:sz w:val="20"/>
                <w:szCs w:val="20"/>
              </w:rPr>
              <w:t>ropone una estrategia para la implementación de la política pública de catastro multipropósito, que permita contar con un catastro integral, completo, actualizado, confiable, consistente con el sistema de registro de la propiedad inmueble, digital e interoperable con otros sistemas de información</w:t>
            </w:r>
          </w:p>
        </w:tc>
        <w:tc>
          <w:tcPr>
            <w:tcW w:w="3030" w:type="dxa"/>
            <w:vAlign w:val="center"/>
          </w:tcPr>
          <w:p w14:paraId="598B795C" w14:textId="2FE2C0EA" w:rsidR="31FF9146" w:rsidRDefault="31FF9146" w:rsidP="007C693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Hace referencia a los esquemas asociativos de entidades territoriales quienes previa solicitud y cumplimiento de las condiciones jurídicas, técnicas, económicas y financieras definidas en la normativa vigente, serán habilitados.</w:t>
            </w:r>
          </w:p>
        </w:tc>
      </w:tr>
      <w:tr w:rsidR="31FF9146" w14:paraId="3EC8D819" w14:textId="77777777" w:rsidTr="007C693C">
        <w:tc>
          <w:tcPr>
            <w:cnfStyle w:val="001000000000" w:firstRow="0" w:lastRow="0" w:firstColumn="1" w:lastColumn="0" w:oddVBand="0" w:evenVBand="0" w:oddHBand="0" w:evenHBand="0" w:firstRowFirstColumn="0" w:firstRowLastColumn="0" w:lastRowFirstColumn="0" w:lastRowLastColumn="0"/>
            <w:tcW w:w="3359" w:type="dxa"/>
            <w:vAlign w:val="center"/>
          </w:tcPr>
          <w:p w14:paraId="5D07139F" w14:textId="4F95C0D0"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Pacto por la descentralización: conectar territorios, gobiernos y poblaciones.</w:t>
            </w:r>
          </w:p>
          <w:p w14:paraId="01B51DE7" w14:textId="164D74E1" w:rsidR="31FF9146" w:rsidRPr="007C693C" w:rsidRDefault="31FF9146" w:rsidP="007C693C">
            <w:pPr>
              <w:jc w:val="center"/>
              <w:rPr>
                <w:rFonts w:eastAsia="Arial" w:cs="Arial"/>
                <w:color w:val="000000" w:themeColor="text1"/>
                <w:sz w:val="20"/>
                <w:szCs w:val="20"/>
              </w:rPr>
            </w:pPr>
            <w:r w:rsidRPr="007C693C">
              <w:rPr>
                <w:rFonts w:eastAsia="Arial" w:cs="Arial"/>
                <w:bCs w:val="0"/>
                <w:color w:val="000000" w:themeColor="text1"/>
                <w:sz w:val="20"/>
                <w:szCs w:val="20"/>
                <w:lang w:val="es-MX"/>
              </w:rPr>
              <w:t>A. Políticas e inversiones para el desarrollo, el ordenamiento y fortalecimiento de la asociatividad.</w:t>
            </w:r>
          </w:p>
        </w:tc>
        <w:tc>
          <w:tcPr>
            <w:tcW w:w="2971" w:type="dxa"/>
            <w:vAlign w:val="center"/>
          </w:tcPr>
          <w:p w14:paraId="3299FAEB" w14:textId="7972BB6A"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Establecer las actividades y condiciones necesarias para adelantar el empalme con los gestores catastrales habilitados con el fin de realizar la entrega de la información necesaria para el inicio de la prestación del servicio público catastral</w:t>
            </w:r>
          </w:p>
        </w:tc>
        <w:tc>
          <w:tcPr>
            <w:tcW w:w="3030" w:type="dxa"/>
            <w:vAlign w:val="center"/>
          </w:tcPr>
          <w:p w14:paraId="667FAA10" w14:textId="12B0C146"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Inicia con la reunión de apertura del empalme y finaliza con el Acta de Finalización de Empalme y Entrega del Servicio y el acto administrativo de Entrega del Servicio Público catastral al gestor habilitado.</w:t>
            </w:r>
          </w:p>
          <w:p w14:paraId="5427848E" w14:textId="5AF945BB" w:rsidR="31FF9146" w:rsidRDefault="31FF9146" w:rsidP="007C693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p>
        </w:tc>
      </w:tr>
    </w:tbl>
    <w:p w14:paraId="42BFBEF7" w14:textId="77777777" w:rsidR="007C693C" w:rsidRDefault="007C693C" w:rsidP="007C693C">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709B0506" w14:textId="34915CBC" w:rsidR="008032C4" w:rsidRPr="00B75FD3" w:rsidRDefault="008032C4" w:rsidP="00F14022">
      <w:pPr>
        <w:pStyle w:val="Lista"/>
      </w:pPr>
    </w:p>
    <w:p w14:paraId="07B41F7C" w14:textId="38795354" w:rsidR="00941D96" w:rsidRDefault="00941D96" w:rsidP="00F14022">
      <w:pPr>
        <w:pStyle w:val="Lista"/>
      </w:pPr>
    </w:p>
    <w:p w14:paraId="217EA1B2" w14:textId="77777777" w:rsidR="00E54695" w:rsidRPr="00B75FD3" w:rsidRDefault="00E54695" w:rsidP="00F14022">
      <w:pPr>
        <w:pStyle w:val="Lista"/>
      </w:pPr>
    </w:p>
    <w:p w14:paraId="52C6BC84" w14:textId="7F9246B6" w:rsidR="008032C4" w:rsidRDefault="007C693C" w:rsidP="000A20EE">
      <w:pPr>
        <w:pStyle w:val="Lista"/>
        <w:numPr>
          <w:ilvl w:val="2"/>
          <w:numId w:val="22"/>
        </w:numPr>
        <w:rPr>
          <w:b/>
          <w:bCs/>
        </w:rPr>
      </w:pPr>
      <w:r w:rsidRPr="31FF9146">
        <w:rPr>
          <w:b/>
          <w:bCs/>
        </w:rPr>
        <w:lastRenderedPageBreak/>
        <w:t>LISTADO DE INFORMES</w:t>
      </w:r>
    </w:p>
    <w:p w14:paraId="7860A978" w14:textId="3DD1A73C" w:rsidR="008032C4" w:rsidRPr="00BD7260" w:rsidRDefault="008032C4" w:rsidP="00E54695">
      <w:pPr>
        <w:pStyle w:val="Descripcin"/>
        <w:rPr>
          <w:rFonts w:ascii="Arial" w:hAnsi="Arial" w:cs="Arial"/>
          <w:b/>
          <w:i w:val="0"/>
          <w:color w:val="auto"/>
          <w:sz w:val="16"/>
          <w:szCs w:val="16"/>
        </w:rPr>
      </w:pPr>
    </w:p>
    <w:tbl>
      <w:tblPr>
        <w:tblW w:w="0" w:type="auto"/>
        <w:tblLayout w:type="fixed"/>
        <w:tblLook w:val="04A0" w:firstRow="1" w:lastRow="0" w:firstColumn="1" w:lastColumn="0" w:noHBand="0" w:noVBand="1"/>
      </w:tblPr>
      <w:tblGrid>
        <w:gridCol w:w="550"/>
        <w:gridCol w:w="2793"/>
        <w:gridCol w:w="2942"/>
        <w:gridCol w:w="3075"/>
      </w:tblGrid>
      <w:tr w:rsidR="31FF9146" w14:paraId="22B01720" w14:textId="77777777" w:rsidTr="007C693C">
        <w:trPr>
          <w:trHeight w:val="300"/>
        </w:trPr>
        <w:tc>
          <w:tcPr>
            <w:tcW w:w="550" w:type="dxa"/>
            <w:vMerge w:val="restart"/>
            <w:tcBorders>
              <w:top w:val="single" w:sz="6" w:space="0" w:color="FFFFFF" w:themeColor="background1"/>
              <w:left w:val="single" w:sz="6" w:space="0" w:color="FFFFFF" w:themeColor="background1"/>
              <w:bottom w:val="outset" w:sz="18" w:space="0" w:color="auto"/>
              <w:right w:val="nil"/>
            </w:tcBorders>
            <w:shd w:val="clear" w:color="auto" w:fill="4F81BD" w:themeFill="accent1"/>
            <w:textDirection w:val="btLr"/>
            <w:vAlign w:val="center"/>
          </w:tcPr>
          <w:p w14:paraId="7396BF59" w14:textId="30D9FAAF" w:rsidR="31FF9146" w:rsidRDefault="31FF9146" w:rsidP="00F14022">
            <w:pPr>
              <w:ind w:left="113" w:right="113"/>
              <w:jc w:val="center"/>
              <w:rPr>
                <w:rFonts w:eastAsia="Arial" w:cs="Arial"/>
                <w:color w:val="FFFFFF" w:themeColor="background1"/>
                <w:sz w:val="20"/>
                <w:szCs w:val="20"/>
              </w:rPr>
            </w:pPr>
            <w:r w:rsidRPr="31FF9146">
              <w:rPr>
                <w:rFonts w:eastAsia="Arial" w:cs="Arial"/>
                <w:b/>
                <w:bCs/>
                <w:color w:val="FFFFFF" w:themeColor="background1"/>
                <w:sz w:val="20"/>
                <w:szCs w:val="20"/>
                <w:lang w:val="es-MX"/>
              </w:rPr>
              <w:t>Internos</w:t>
            </w:r>
          </w:p>
        </w:tc>
        <w:tc>
          <w:tcPr>
            <w:tcW w:w="2793" w:type="dxa"/>
            <w:tcBorders>
              <w:top w:val="single" w:sz="6" w:space="0" w:color="FFFFFF" w:themeColor="background1"/>
              <w:left w:val="nil"/>
              <w:bottom w:val="single" w:sz="6" w:space="0" w:color="FFFFFF" w:themeColor="background1"/>
              <w:right w:val="nil"/>
            </w:tcBorders>
            <w:shd w:val="clear" w:color="auto" w:fill="4F81BD" w:themeFill="accent1"/>
            <w:vAlign w:val="center"/>
          </w:tcPr>
          <w:p w14:paraId="5C77EE3E" w14:textId="59F34804" w:rsidR="31FF9146" w:rsidRDefault="31FF9146" w:rsidP="00F14022">
            <w:pPr>
              <w:jc w:val="center"/>
              <w:rPr>
                <w:rFonts w:eastAsia="Arial" w:cs="Arial"/>
                <w:color w:val="FFFFFF" w:themeColor="background1"/>
                <w:sz w:val="20"/>
                <w:szCs w:val="20"/>
              </w:rPr>
            </w:pPr>
            <w:r w:rsidRPr="31FF9146">
              <w:rPr>
                <w:rFonts w:eastAsia="Arial" w:cs="Arial"/>
                <w:b/>
                <w:bCs/>
                <w:color w:val="FFFFFF" w:themeColor="background1"/>
                <w:sz w:val="20"/>
                <w:szCs w:val="20"/>
                <w:lang w:val="es-MX"/>
              </w:rPr>
              <w:t>Informe</w:t>
            </w:r>
          </w:p>
        </w:tc>
        <w:tc>
          <w:tcPr>
            <w:tcW w:w="2942" w:type="dxa"/>
            <w:tcBorders>
              <w:top w:val="single" w:sz="6" w:space="0" w:color="FFFFFF" w:themeColor="background1"/>
              <w:left w:val="nil"/>
              <w:bottom w:val="single" w:sz="6" w:space="0" w:color="FFFFFF" w:themeColor="background1"/>
              <w:right w:val="nil"/>
            </w:tcBorders>
            <w:shd w:val="clear" w:color="auto" w:fill="4F81BD" w:themeFill="accent1"/>
            <w:vAlign w:val="center"/>
          </w:tcPr>
          <w:p w14:paraId="49292480" w14:textId="4B8EDC39" w:rsidR="31FF9146" w:rsidRDefault="31FF9146" w:rsidP="00F14022">
            <w:pPr>
              <w:jc w:val="center"/>
              <w:rPr>
                <w:rFonts w:eastAsia="Arial" w:cs="Arial"/>
                <w:color w:val="FFFFFF" w:themeColor="background1"/>
                <w:sz w:val="20"/>
                <w:szCs w:val="20"/>
              </w:rPr>
            </w:pPr>
            <w:r w:rsidRPr="31FF9146">
              <w:rPr>
                <w:rFonts w:eastAsia="Arial" w:cs="Arial"/>
                <w:b/>
                <w:bCs/>
                <w:color w:val="FFFFFF" w:themeColor="background1"/>
                <w:sz w:val="20"/>
                <w:szCs w:val="20"/>
                <w:lang w:val="es-MX"/>
              </w:rPr>
              <w:t>Responsable</w:t>
            </w:r>
          </w:p>
        </w:tc>
        <w:tc>
          <w:tcPr>
            <w:tcW w:w="3075" w:type="dxa"/>
            <w:tcBorders>
              <w:top w:val="single" w:sz="6" w:space="0" w:color="FFFFFF" w:themeColor="background1"/>
              <w:left w:val="nil"/>
              <w:bottom w:val="single" w:sz="6" w:space="0" w:color="FFFFFF" w:themeColor="background1"/>
              <w:right w:val="single" w:sz="6" w:space="0" w:color="FFFFFF" w:themeColor="background1"/>
            </w:tcBorders>
            <w:shd w:val="clear" w:color="auto" w:fill="4F81BD" w:themeFill="accent1"/>
            <w:vAlign w:val="center"/>
          </w:tcPr>
          <w:p w14:paraId="7868E739" w14:textId="4C986454" w:rsidR="31FF9146" w:rsidRDefault="31FF9146" w:rsidP="00F14022">
            <w:pPr>
              <w:jc w:val="center"/>
              <w:rPr>
                <w:rFonts w:eastAsia="Arial" w:cs="Arial"/>
                <w:color w:val="FFFFFF" w:themeColor="background1"/>
                <w:sz w:val="20"/>
                <w:szCs w:val="20"/>
              </w:rPr>
            </w:pPr>
            <w:r w:rsidRPr="31FF9146">
              <w:rPr>
                <w:rFonts w:eastAsia="Arial" w:cs="Arial"/>
                <w:b/>
                <w:bCs/>
                <w:color w:val="FFFFFF" w:themeColor="background1"/>
                <w:sz w:val="20"/>
                <w:szCs w:val="20"/>
                <w:lang w:val="es-MX"/>
              </w:rPr>
              <w:t>Entrega y Publicación</w:t>
            </w:r>
          </w:p>
        </w:tc>
      </w:tr>
      <w:tr w:rsidR="31FF9146" w14:paraId="420AF1A2" w14:textId="77777777" w:rsidTr="31FF9146">
        <w:trPr>
          <w:trHeight w:val="300"/>
        </w:trPr>
        <w:tc>
          <w:tcPr>
            <w:tcW w:w="550" w:type="dxa"/>
            <w:vMerge/>
            <w:tcBorders>
              <w:left w:val="single" w:sz="0" w:space="0" w:color="FFFFFF" w:themeColor="background1"/>
            </w:tcBorders>
            <w:vAlign w:val="center"/>
          </w:tcPr>
          <w:p w14:paraId="6F41515B" w14:textId="77777777" w:rsidR="0071119F" w:rsidRDefault="0071119F" w:rsidP="00F14022"/>
        </w:tc>
        <w:tc>
          <w:tcPr>
            <w:tcW w:w="2793"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77D0B196" w14:textId="433674C1"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Reporte de avance Plan de Acción proceso de Regulación y Habilitación</w:t>
            </w:r>
          </w:p>
        </w:tc>
        <w:tc>
          <w:tcPr>
            <w:tcW w:w="2942"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38A5FE61" w14:textId="12929CE8"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Subproceso de Regulación</w:t>
            </w:r>
          </w:p>
          <w:p w14:paraId="7C76593C" w14:textId="6A17E723"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Subproceso de Habilitación</w:t>
            </w:r>
          </w:p>
        </w:tc>
        <w:tc>
          <w:tcPr>
            <w:tcW w:w="307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68380463" w14:textId="1080D525"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Trimestral (enero, abril, julio, octubre)</w:t>
            </w:r>
          </w:p>
        </w:tc>
      </w:tr>
      <w:tr w:rsidR="31FF9146" w14:paraId="61379E03" w14:textId="77777777" w:rsidTr="31FF9146">
        <w:trPr>
          <w:trHeight w:val="300"/>
        </w:trPr>
        <w:tc>
          <w:tcPr>
            <w:tcW w:w="550" w:type="dxa"/>
            <w:vMerge/>
            <w:tcBorders>
              <w:top w:val="single" w:sz="0" w:space="0" w:color="FFFFFF" w:themeColor="background1"/>
              <w:left w:val="single" w:sz="0" w:space="0" w:color="FFFFFF" w:themeColor="background1"/>
              <w:bottom w:val="outset" w:sz="0" w:space="0" w:color="auto"/>
            </w:tcBorders>
            <w:vAlign w:val="center"/>
          </w:tcPr>
          <w:p w14:paraId="4B4ED9EA" w14:textId="77777777" w:rsidR="0071119F" w:rsidRDefault="0071119F" w:rsidP="00F14022"/>
        </w:tc>
        <w:tc>
          <w:tcPr>
            <w:tcW w:w="2793"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014D1E5C" w14:textId="176DF9E8"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Reporte controles matriz de riesgos institucional proceso de Regulación y Habilitación</w:t>
            </w:r>
          </w:p>
        </w:tc>
        <w:tc>
          <w:tcPr>
            <w:tcW w:w="2942"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7BD7EED6" w14:textId="703DF8D6" w:rsidR="31FF9146" w:rsidRDefault="31FF9146" w:rsidP="00F14022">
            <w:pPr>
              <w:jc w:val="center"/>
              <w:rPr>
                <w:rFonts w:eastAsia="Arial" w:cs="Arial"/>
                <w:color w:val="000000" w:themeColor="text1"/>
                <w:sz w:val="20"/>
                <w:szCs w:val="20"/>
              </w:rPr>
            </w:pPr>
          </w:p>
          <w:p w14:paraId="7BC55787" w14:textId="056FB216"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CO"/>
              </w:rPr>
              <w:t>Subproceso de Regulación</w:t>
            </w:r>
          </w:p>
        </w:tc>
        <w:tc>
          <w:tcPr>
            <w:tcW w:w="307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5BE18676" w14:textId="51E72C84" w:rsidR="31FF9146" w:rsidRDefault="31FF9146" w:rsidP="00F14022">
            <w:pPr>
              <w:jc w:val="center"/>
              <w:rPr>
                <w:rFonts w:eastAsia="Arial" w:cs="Arial"/>
                <w:color w:val="000000" w:themeColor="text1"/>
                <w:sz w:val="20"/>
                <w:szCs w:val="20"/>
              </w:rPr>
            </w:pPr>
            <w:r w:rsidRPr="31FF9146">
              <w:rPr>
                <w:rFonts w:eastAsia="Arial" w:cs="Arial"/>
                <w:color w:val="000000" w:themeColor="text1"/>
                <w:sz w:val="20"/>
                <w:szCs w:val="20"/>
                <w:lang w:val="es-MX"/>
              </w:rPr>
              <w:t>Trimestral (enero, abril, julio, octubre)</w:t>
            </w:r>
          </w:p>
        </w:tc>
      </w:tr>
    </w:tbl>
    <w:tbl>
      <w:tblPr>
        <w:tblStyle w:val="Tabladecuadrcula5oscura-nfasis1"/>
        <w:tblW w:w="9361" w:type="dxa"/>
        <w:tblLayout w:type="fixed"/>
        <w:tblLook w:val="04A0" w:firstRow="1" w:lastRow="0" w:firstColumn="1" w:lastColumn="0" w:noHBand="0" w:noVBand="1"/>
      </w:tblPr>
      <w:tblGrid>
        <w:gridCol w:w="549"/>
        <w:gridCol w:w="2804"/>
        <w:gridCol w:w="2937"/>
        <w:gridCol w:w="3071"/>
      </w:tblGrid>
      <w:tr w:rsidR="31FF9146" w14:paraId="393725F6" w14:textId="77777777" w:rsidTr="007C693C">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549" w:type="dxa"/>
            <w:vMerge w:val="restart"/>
            <w:tcBorders>
              <w:top w:val="single" w:sz="6" w:space="0" w:color="FFFFFF" w:themeColor="background1"/>
              <w:left w:val="single" w:sz="6" w:space="0" w:color="FFFFFF" w:themeColor="background1"/>
            </w:tcBorders>
            <w:textDirection w:val="btLr"/>
            <w:vAlign w:val="center"/>
          </w:tcPr>
          <w:p w14:paraId="415301EE" w14:textId="20E0B600" w:rsidR="31FF9146" w:rsidRDefault="31FF9146" w:rsidP="00F14022">
            <w:pPr>
              <w:ind w:left="113" w:right="113"/>
              <w:jc w:val="center"/>
              <w:rPr>
                <w:rFonts w:eastAsia="Arial" w:cs="Arial"/>
                <w:sz w:val="20"/>
                <w:szCs w:val="20"/>
              </w:rPr>
            </w:pPr>
            <w:r w:rsidRPr="31FF9146">
              <w:rPr>
                <w:rFonts w:eastAsia="Arial" w:cs="Arial"/>
                <w:sz w:val="20"/>
                <w:szCs w:val="20"/>
                <w:lang w:val="es-MX"/>
              </w:rPr>
              <w:t>Externos</w:t>
            </w:r>
          </w:p>
        </w:tc>
        <w:tc>
          <w:tcPr>
            <w:tcW w:w="2804" w:type="dxa"/>
            <w:tcBorders>
              <w:top w:val="single" w:sz="6" w:space="0" w:color="FFFFFF" w:themeColor="background1"/>
            </w:tcBorders>
            <w:vAlign w:val="center"/>
          </w:tcPr>
          <w:p w14:paraId="22B5E0E7" w14:textId="17B58899"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lang w:val="es-MX"/>
              </w:rPr>
              <w:t>Informe</w:t>
            </w:r>
          </w:p>
        </w:tc>
        <w:tc>
          <w:tcPr>
            <w:tcW w:w="2937" w:type="dxa"/>
            <w:tcBorders>
              <w:top w:val="single" w:sz="6" w:space="0" w:color="FFFFFF" w:themeColor="background1"/>
            </w:tcBorders>
            <w:vAlign w:val="center"/>
          </w:tcPr>
          <w:p w14:paraId="3144E722" w14:textId="67E6F7D2"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lang w:val="es-MX"/>
              </w:rPr>
              <w:t>Responsable</w:t>
            </w:r>
          </w:p>
        </w:tc>
        <w:tc>
          <w:tcPr>
            <w:tcW w:w="3071" w:type="dxa"/>
            <w:tcBorders>
              <w:top w:val="single" w:sz="6" w:space="0" w:color="FFFFFF" w:themeColor="background1"/>
              <w:right w:val="single" w:sz="6" w:space="0" w:color="FFFFFF" w:themeColor="background1"/>
            </w:tcBorders>
            <w:vAlign w:val="center"/>
          </w:tcPr>
          <w:p w14:paraId="554217F8" w14:textId="4B1477F9" w:rsidR="31FF9146" w:rsidRDefault="31FF9146" w:rsidP="00F14022">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31FF9146">
              <w:rPr>
                <w:rFonts w:eastAsia="Arial" w:cs="Arial"/>
                <w:sz w:val="20"/>
                <w:szCs w:val="20"/>
                <w:lang w:val="es-MX"/>
              </w:rPr>
              <w:t>Entrega y Publicación</w:t>
            </w:r>
          </w:p>
        </w:tc>
      </w:tr>
      <w:tr w:rsidR="31FF9146" w14:paraId="308BD8B8" w14:textId="77777777" w:rsidTr="007C693C">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49" w:type="dxa"/>
            <w:vMerge/>
            <w:tcBorders>
              <w:top w:val="single" w:sz="0" w:space="0" w:color="FFFFFF" w:themeColor="background1"/>
              <w:left w:val="single" w:sz="0" w:space="0" w:color="FFFFFF" w:themeColor="background1"/>
              <w:bottom w:val="none" w:sz="0" w:space="0" w:color="auto"/>
            </w:tcBorders>
            <w:vAlign w:val="center"/>
          </w:tcPr>
          <w:p w14:paraId="12BB9B89" w14:textId="77777777" w:rsidR="0071119F" w:rsidRDefault="0071119F" w:rsidP="00F14022"/>
        </w:tc>
        <w:tc>
          <w:tcPr>
            <w:tcW w:w="2804" w:type="dxa"/>
            <w:vAlign w:val="center"/>
          </w:tcPr>
          <w:p w14:paraId="556F4DEB" w14:textId="273D324D"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Reporte de avance indicador del Plan Nacional de Desarrollo (gestores catastrales habilitados)</w:t>
            </w:r>
          </w:p>
        </w:tc>
        <w:tc>
          <w:tcPr>
            <w:tcW w:w="2937" w:type="dxa"/>
            <w:vAlign w:val="center"/>
          </w:tcPr>
          <w:p w14:paraId="528371CB" w14:textId="21A961A5"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Dirección de Regulación y Habilitación</w:t>
            </w:r>
          </w:p>
        </w:tc>
        <w:tc>
          <w:tcPr>
            <w:tcW w:w="3071" w:type="dxa"/>
            <w:vAlign w:val="center"/>
          </w:tcPr>
          <w:p w14:paraId="73E231F8" w14:textId="4FB62A01"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Mensual</w:t>
            </w:r>
          </w:p>
          <w:p w14:paraId="33B366C3" w14:textId="7A0AA65F" w:rsidR="31FF9146" w:rsidRDefault="31FF9146" w:rsidP="00F14022">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31FF9146">
              <w:rPr>
                <w:rFonts w:eastAsia="Arial" w:cs="Arial"/>
                <w:color w:val="000000" w:themeColor="text1"/>
                <w:sz w:val="20"/>
                <w:szCs w:val="20"/>
                <w:lang w:val="es-MX"/>
              </w:rPr>
              <w:t>DNP - SINERGIA</w:t>
            </w:r>
          </w:p>
        </w:tc>
      </w:tr>
    </w:tbl>
    <w:p w14:paraId="4852701E" w14:textId="05A8776A" w:rsidR="007C693C" w:rsidRDefault="007C693C" w:rsidP="007C693C">
      <w:pPr>
        <w:jc w:val="center"/>
        <w:rPr>
          <w:rFonts w:eastAsia="Arial" w:cs="Arial"/>
          <w:b/>
          <w:color w:val="000000" w:themeColor="text1"/>
          <w:sz w:val="16"/>
          <w:szCs w:val="18"/>
        </w:rPr>
      </w:pPr>
      <w:r w:rsidRPr="00672909">
        <w:rPr>
          <w:rFonts w:eastAsia="Arial" w:cs="Arial"/>
          <w:b/>
          <w:color w:val="000000" w:themeColor="text1"/>
          <w:sz w:val="16"/>
          <w:szCs w:val="18"/>
        </w:rPr>
        <w:t xml:space="preserve">Fuente: Dirección de Regulación y Habilitación </w:t>
      </w:r>
    </w:p>
    <w:p w14:paraId="2AF9CED0" w14:textId="77777777" w:rsidR="00DF1B15" w:rsidRPr="007C693C" w:rsidRDefault="00DF1B15" w:rsidP="007C693C">
      <w:pPr>
        <w:jc w:val="center"/>
        <w:rPr>
          <w:rFonts w:eastAsia="Arial" w:cs="Arial"/>
          <w:b/>
          <w:color w:val="000000" w:themeColor="text1"/>
          <w:sz w:val="16"/>
          <w:szCs w:val="18"/>
        </w:rPr>
      </w:pPr>
    </w:p>
    <w:p w14:paraId="4FB0413D" w14:textId="77777777" w:rsidR="00941D96" w:rsidRPr="007C693C" w:rsidRDefault="00941D96" w:rsidP="007C693C">
      <w:pPr>
        <w:jc w:val="center"/>
        <w:rPr>
          <w:rFonts w:eastAsia="Arial" w:cs="Arial"/>
          <w:b/>
          <w:color w:val="000000" w:themeColor="text1"/>
          <w:sz w:val="16"/>
          <w:szCs w:val="18"/>
        </w:rPr>
      </w:pPr>
    </w:p>
    <w:p w14:paraId="38FAB638" w14:textId="5970C0CA" w:rsidR="008032C4" w:rsidRPr="00941D96" w:rsidRDefault="007C693C" w:rsidP="000A20EE">
      <w:pPr>
        <w:pStyle w:val="Prrafodelista"/>
        <w:numPr>
          <w:ilvl w:val="2"/>
          <w:numId w:val="22"/>
        </w:numPr>
        <w:rPr>
          <w:b/>
          <w:sz w:val="22"/>
          <w:szCs w:val="22"/>
        </w:rPr>
      </w:pPr>
      <w:r w:rsidRPr="31FF9146">
        <w:rPr>
          <w:b/>
          <w:bCs/>
          <w:sz w:val="22"/>
          <w:szCs w:val="22"/>
        </w:rPr>
        <w:t>RECOMENDACIONES</w:t>
      </w:r>
    </w:p>
    <w:p w14:paraId="5720F2B0" w14:textId="3A018F5D" w:rsidR="31FF9146" w:rsidRDefault="31FF9146" w:rsidP="00F14022">
      <w:pPr>
        <w:rPr>
          <w:b/>
          <w:bCs/>
        </w:rPr>
      </w:pPr>
    </w:p>
    <w:p w14:paraId="28D1CBC6" w14:textId="32EA4363" w:rsidR="31FF9146" w:rsidRPr="00DF1B15" w:rsidRDefault="59BF1245" w:rsidP="000A20EE">
      <w:pPr>
        <w:pStyle w:val="Sinespaciado"/>
        <w:numPr>
          <w:ilvl w:val="0"/>
          <w:numId w:val="185"/>
        </w:numPr>
        <w:jc w:val="both"/>
        <w:rPr>
          <w:rFonts w:ascii="Arial" w:hAnsi="Arial" w:cs="Arial"/>
        </w:rPr>
      </w:pPr>
      <w:r w:rsidRPr="00DF1B15">
        <w:rPr>
          <w:rFonts w:ascii="Arial" w:hAnsi="Arial" w:cs="Arial"/>
        </w:rPr>
        <w:t>La Dirección de Regulación y Habilitación deberá continuar con la coordinación de las gestiones de regulación y habilitación en aras de generar la mejora continua de los subprocesos. De igual forma, es indispensable contar con un director en propiedad con el fin de consolidar el equipo y las gestiones.</w:t>
      </w:r>
      <w:r w:rsidR="00941D96">
        <w:rPr>
          <w:rFonts w:ascii="Arial" w:hAnsi="Arial" w:cs="Arial"/>
        </w:rPr>
        <w:t xml:space="preserve"> </w:t>
      </w:r>
      <w:r w:rsidRPr="00DF1B15">
        <w:rPr>
          <w:rFonts w:ascii="Arial" w:hAnsi="Arial" w:cs="Arial"/>
        </w:rPr>
        <w:t>Teniendo en cuenta las funciones de la Dirección de Regulación y Habilitación en decreto 846 de 2021, se debe implementar una estrategia de acompañamiento y asesoría a los gestores catastrales habilitados en el marco de la ley, durante la ejecución de las actividades previas y posteriores al proceso de la habilitación, durante el proceso de empalme e inicio de la prestación del servicio.</w:t>
      </w:r>
    </w:p>
    <w:p w14:paraId="1C72C229" w14:textId="41C2FCD9" w:rsidR="31FF9146" w:rsidRPr="00DF1B15" w:rsidRDefault="59BF1245" w:rsidP="000A20EE">
      <w:pPr>
        <w:pStyle w:val="Sinespaciado"/>
        <w:numPr>
          <w:ilvl w:val="0"/>
          <w:numId w:val="185"/>
        </w:numPr>
        <w:jc w:val="both"/>
        <w:rPr>
          <w:rFonts w:ascii="Arial" w:hAnsi="Arial" w:cs="Arial"/>
        </w:rPr>
      </w:pPr>
      <w:r w:rsidRPr="00DF1B15">
        <w:rPr>
          <w:rFonts w:ascii="Arial" w:hAnsi="Arial" w:cs="Arial"/>
        </w:rPr>
        <w:t xml:space="preserve">En el periodo de empalme se debe precisar a los gestores habilitados, la necesidad de implementar acciones para el copiado de las fichas prediales de acuerdo con el diagnóstico documental entregado, lo anterior teniendo en cuenta lo establecido en la Ley 1955 </w:t>
      </w:r>
      <w:r w:rsidR="00DF1B15" w:rsidRPr="00DF1B15">
        <w:rPr>
          <w:rFonts w:ascii="Arial" w:hAnsi="Arial" w:cs="Arial"/>
        </w:rPr>
        <w:t>artículo</w:t>
      </w:r>
      <w:r w:rsidRPr="00DF1B15">
        <w:rPr>
          <w:rFonts w:ascii="Arial" w:hAnsi="Arial" w:cs="Arial"/>
        </w:rPr>
        <w:t xml:space="preserve"> 79, “l</w:t>
      </w:r>
      <w:r w:rsidRPr="00DF1B15">
        <w:rPr>
          <w:rFonts w:ascii="Arial" w:hAnsi="Arial" w:cs="Arial"/>
          <w:i/>
          <w:iCs/>
        </w:rPr>
        <w:t>a custodia y gestión de la información catastral corresponde al Estado a través del Instituto Geográfico Agustín Codazzi – IGAC"</w:t>
      </w:r>
    </w:p>
    <w:p w14:paraId="5AEBF2D4" w14:textId="7E9BD857" w:rsidR="31FF9146" w:rsidRPr="00DF1B15" w:rsidRDefault="59BF1245" w:rsidP="000A20EE">
      <w:pPr>
        <w:pStyle w:val="Sinespaciado"/>
        <w:numPr>
          <w:ilvl w:val="0"/>
          <w:numId w:val="185"/>
        </w:numPr>
        <w:jc w:val="both"/>
        <w:rPr>
          <w:rFonts w:ascii="Arial" w:hAnsi="Arial" w:cs="Arial"/>
        </w:rPr>
      </w:pPr>
      <w:r w:rsidRPr="00DF1B15">
        <w:rPr>
          <w:rFonts w:ascii="Arial" w:hAnsi="Arial" w:cs="Arial"/>
        </w:rPr>
        <w:t>Teniendo en cuenta que para el caso de los municipios de Garzón (Huila), El Espinal (Tolima) y Chiriguaná (Cesar), su estado actual es inicio de trámite de habilitación como Gestor Catastral, se recomienda seguir con la emisión de los actos administrativos respectivos de acuerdo con el procedimiento.</w:t>
      </w:r>
    </w:p>
    <w:p w14:paraId="279DFEF3" w14:textId="1827A573" w:rsidR="31FF9146" w:rsidRPr="00DF1B15" w:rsidRDefault="59BF1245" w:rsidP="000A20EE">
      <w:pPr>
        <w:pStyle w:val="Sinespaciado"/>
        <w:numPr>
          <w:ilvl w:val="0"/>
          <w:numId w:val="185"/>
        </w:numPr>
        <w:jc w:val="both"/>
        <w:rPr>
          <w:rFonts w:ascii="Arial" w:hAnsi="Arial" w:cs="Arial"/>
        </w:rPr>
      </w:pPr>
      <w:r w:rsidRPr="00DF1B15">
        <w:rPr>
          <w:rFonts w:ascii="Arial" w:hAnsi="Arial" w:cs="Arial"/>
        </w:rPr>
        <w:t xml:space="preserve">Con relación al municipio de Sahagún (Córdoba), se recomienda que, una vez quede ejecutoriada la Resolución de habilitación, se </w:t>
      </w:r>
      <w:r w:rsidR="00DF1B15" w:rsidRPr="00DF1B15">
        <w:rPr>
          <w:rFonts w:ascii="Arial" w:hAnsi="Arial" w:cs="Arial"/>
        </w:rPr>
        <w:t>dé</w:t>
      </w:r>
      <w:r w:rsidRPr="00DF1B15">
        <w:rPr>
          <w:rFonts w:ascii="Arial" w:hAnsi="Arial" w:cs="Arial"/>
        </w:rPr>
        <w:t xml:space="preserve"> inicio al proceso de empalme de acuerdo con la Resolución 789 de 2020.</w:t>
      </w:r>
    </w:p>
    <w:p w14:paraId="322AF2A6" w14:textId="7837C260" w:rsidR="59BF1245" w:rsidRDefault="59BF1245" w:rsidP="000A20EE">
      <w:pPr>
        <w:pStyle w:val="Sinespaciado"/>
        <w:numPr>
          <w:ilvl w:val="0"/>
          <w:numId w:val="185"/>
        </w:numPr>
        <w:jc w:val="both"/>
        <w:rPr>
          <w:rFonts w:ascii="Arial" w:hAnsi="Arial" w:cs="Arial"/>
        </w:rPr>
      </w:pPr>
      <w:r w:rsidRPr="00DF1B15">
        <w:rPr>
          <w:rFonts w:ascii="Arial" w:hAnsi="Arial" w:cs="Arial"/>
        </w:rPr>
        <w:t xml:space="preserve">Se recomienda continuar con la evaluación de las propuestas de los municipios de Florencia (Caquetá) y Acevedo (Huila), con relación al municipio de Floridablanca (Santander) se encuentra pendiente por parte del municipio la subsanación de los requerimientos realizados por el IGAC. </w:t>
      </w:r>
    </w:p>
    <w:p w14:paraId="703F48FD" w14:textId="46E00A65" w:rsidR="00DB7E6D" w:rsidRDefault="00DB7E6D" w:rsidP="00DB7E6D">
      <w:pPr>
        <w:pStyle w:val="Sinespaciado"/>
        <w:jc w:val="both"/>
        <w:rPr>
          <w:rFonts w:ascii="Arial" w:hAnsi="Arial" w:cs="Arial"/>
        </w:rPr>
      </w:pPr>
    </w:p>
    <w:p w14:paraId="1BFBA188" w14:textId="1F7093E8" w:rsidR="00DB7E6D" w:rsidRDefault="00DB7E6D" w:rsidP="00DB7E6D">
      <w:pPr>
        <w:pStyle w:val="Sinespaciado"/>
        <w:jc w:val="both"/>
        <w:rPr>
          <w:rFonts w:ascii="Arial" w:hAnsi="Arial" w:cs="Arial"/>
        </w:rPr>
      </w:pPr>
    </w:p>
    <w:p w14:paraId="3CE6F948" w14:textId="03F61C5F" w:rsidR="00DB7E6D" w:rsidRDefault="00DB7E6D" w:rsidP="00DB7E6D">
      <w:pPr>
        <w:pStyle w:val="Sinespaciado"/>
        <w:jc w:val="both"/>
        <w:rPr>
          <w:rFonts w:ascii="Arial" w:hAnsi="Arial" w:cs="Arial"/>
        </w:rPr>
      </w:pPr>
    </w:p>
    <w:p w14:paraId="7C754BB2" w14:textId="77777777" w:rsidR="00276307" w:rsidRDefault="00276307" w:rsidP="00DB7E6D">
      <w:pPr>
        <w:pStyle w:val="Sinespaciado"/>
        <w:jc w:val="both"/>
        <w:rPr>
          <w:rFonts w:ascii="Arial" w:hAnsi="Arial" w:cs="Arial"/>
        </w:rPr>
      </w:pPr>
    </w:p>
    <w:p w14:paraId="22AA68FB" w14:textId="783C633D" w:rsidR="00276307" w:rsidRDefault="00276307" w:rsidP="00DB7E6D">
      <w:pPr>
        <w:pStyle w:val="Sinespaciado"/>
        <w:jc w:val="both"/>
        <w:rPr>
          <w:rFonts w:ascii="Arial" w:hAnsi="Arial" w:cs="Arial"/>
        </w:rPr>
      </w:pPr>
    </w:p>
    <w:p w14:paraId="78506D86" w14:textId="6A0B3B79" w:rsidR="007B7514" w:rsidRDefault="007B7514" w:rsidP="007B7514">
      <w:pPr>
        <w:rPr>
          <w:b/>
          <w:bCs/>
        </w:rPr>
      </w:pPr>
    </w:p>
    <w:p w14:paraId="15140E91" w14:textId="1C5B87E5" w:rsidR="00D9777F" w:rsidRPr="007968CA" w:rsidRDefault="007B7514" w:rsidP="00D9777F">
      <w:pPr>
        <w:pStyle w:val="Ttulo2"/>
        <w:numPr>
          <w:ilvl w:val="1"/>
          <w:numId w:val="22"/>
        </w:numPr>
        <w:spacing w:line="240" w:lineRule="auto"/>
        <w:jc w:val="left"/>
        <w:rPr>
          <w:sz w:val="22"/>
          <w:szCs w:val="22"/>
        </w:rPr>
      </w:pPr>
      <w:bookmarkStart w:id="81" w:name="_Toc88677057"/>
      <w:r w:rsidRPr="002D2F11">
        <w:rPr>
          <w:sz w:val="22"/>
          <w:szCs w:val="22"/>
        </w:rPr>
        <w:lastRenderedPageBreak/>
        <w:t>DIRECCIÓN DE GESTIÓN DE INFORMACIÓN GEOGRÁFICA</w:t>
      </w:r>
      <w:bookmarkEnd w:id="81"/>
    </w:p>
    <w:p w14:paraId="0657107B" w14:textId="77777777" w:rsidR="007B7514" w:rsidRPr="006F7F5C" w:rsidRDefault="007B7514" w:rsidP="000A20EE">
      <w:pPr>
        <w:pStyle w:val="Prrafodelista"/>
        <w:numPr>
          <w:ilvl w:val="2"/>
          <w:numId w:val="22"/>
        </w:numPr>
        <w:rPr>
          <w:b/>
          <w:bCs/>
          <w:sz w:val="22"/>
          <w:szCs w:val="22"/>
        </w:rPr>
      </w:pPr>
      <w:r w:rsidRPr="002D2F11">
        <w:rPr>
          <w:b/>
          <w:bCs/>
          <w:sz w:val="22"/>
          <w:szCs w:val="22"/>
        </w:rPr>
        <w:t xml:space="preserve">GENERALIDADES </w:t>
      </w:r>
    </w:p>
    <w:p w14:paraId="551FF0E2" w14:textId="77777777" w:rsidR="007B7514" w:rsidRDefault="007B7514" w:rsidP="007B7514">
      <w:pPr>
        <w:pStyle w:val="Lista"/>
      </w:pPr>
    </w:p>
    <w:p w14:paraId="456902C4" w14:textId="77777777" w:rsidR="007B7514" w:rsidRDefault="007B7514" w:rsidP="007B7514">
      <w:pPr>
        <w:jc w:val="both"/>
        <w:rPr>
          <w:rFonts w:eastAsia="Arial" w:cs="Arial"/>
          <w:sz w:val="22"/>
          <w:szCs w:val="22"/>
          <w:lang w:eastAsia="en-US"/>
        </w:rPr>
      </w:pPr>
      <w:r w:rsidRPr="31FF9146">
        <w:rPr>
          <w:rFonts w:eastAsia="Arial" w:cs="Arial"/>
          <w:sz w:val="22"/>
          <w:szCs w:val="22"/>
          <w:lang w:eastAsia="en-US"/>
        </w:rPr>
        <w:t>En la estructura organizacional del IGAC, establecida mediante el Decreto 846 de 2021, se encuentra la Dirección de Gestión Dirección de Gestión de Información Geográfica, quien principalmente tiene el propósito de dirigir y orientar la gestión geodésica, cartográfica, agrológica y geográfica del país, de acuerdo con los lineamientos, criterios técnicos y normatividad aplicable. Desde esta Dirección se formulan, implementan y monitorean estrategias para la producción, adquisición, disposición y aprovechamiento de los productos y servicios cartográficos, geodésicos, geográficos y agrológicos, en articulación con las diferentes entidades del orden nacional, regional y local.</w:t>
      </w:r>
    </w:p>
    <w:p w14:paraId="689BEBEC" w14:textId="77777777" w:rsidR="007B7514" w:rsidRDefault="007B7514" w:rsidP="007B7514">
      <w:pPr>
        <w:jc w:val="both"/>
        <w:rPr>
          <w:rFonts w:eastAsia="Arial" w:cs="Arial"/>
          <w:sz w:val="22"/>
          <w:szCs w:val="22"/>
          <w:lang w:eastAsia="en-US"/>
        </w:rPr>
      </w:pPr>
    </w:p>
    <w:p w14:paraId="40B6AAF4" w14:textId="77777777" w:rsidR="007B7514" w:rsidRDefault="007B7514" w:rsidP="007B7514">
      <w:pPr>
        <w:jc w:val="both"/>
        <w:rPr>
          <w:rFonts w:eastAsia="Arial" w:cs="Arial"/>
          <w:sz w:val="22"/>
          <w:szCs w:val="22"/>
          <w:lang w:eastAsia="en-US"/>
        </w:rPr>
      </w:pPr>
      <w:r w:rsidRPr="31FF9146">
        <w:rPr>
          <w:rFonts w:eastAsia="Arial" w:cs="Arial"/>
          <w:sz w:val="22"/>
          <w:szCs w:val="22"/>
          <w:lang w:eastAsia="en-US"/>
        </w:rPr>
        <w:t>Dentro de esta Dirección, se encuentra la Subdirección Cartográfica y Geodésica quien es la responsable de ejecutar los planes, programas, proyectos y demás acciones relacionadas con la gestión, producción, validación y oficialización de la cartografía básica del país, así como del diseño, operación y disposición del sistema y marco de referencia geodésico, gravimétrico y geomagnético de Colombia, de acuerdo con las especificaciones y estándares nacionales e internacionales establecidos.</w:t>
      </w:r>
    </w:p>
    <w:p w14:paraId="3AC933E6" w14:textId="77777777" w:rsidR="007B7514" w:rsidRDefault="007B7514" w:rsidP="007B7514">
      <w:pPr>
        <w:jc w:val="both"/>
        <w:rPr>
          <w:lang w:eastAsia="en-US"/>
        </w:rPr>
      </w:pPr>
    </w:p>
    <w:p w14:paraId="53D8CF8D" w14:textId="77777777" w:rsidR="007B7514" w:rsidRDefault="007B7514" w:rsidP="007B7514">
      <w:pPr>
        <w:jc w:val="both"/>
        <w:rPr>
          <w:rFonts w:eastAsia="Arial" w:cs="Arial"/>
          <w:sz w:val="22"/>
          <w:szCs w:val="22"/>
          <w:lang w:eastAsia="en-US"/>
        </w:rPr>
      </w:pPr>
      <w:r w:rsidRPr="3E522895">
        <w:rPr>
          <w:rFonts w:eastAsia="Arial" w:cs="Arial"/>
          <w:sz w:val="22"/>
          <w:szCs w:val="22"/>
          <w:lang w:eastAsia="en-US"/>
        </w:rPr>
        <w:t>Así mismo, se encuentra la Subdirección de Geografía, quien efectúa principalmente la investigación, registro y administración de los nombres geográficos; realiza las operaciones de deslinde y amojonamiento de las entidades territoriales de Colombia, así como orienta y coordina el apoyo técnico para la evaluación de expedientes de titulación y la determinación de los límites de tierras de comunidades negras, resguardos indígenas; participa técnicamente en los procesos de demarcación y densificación de las fronteras de país; realiza la producción, actualización y disposición del Atlas Nacional de Colombia y los regionales; y apoya los procesos de planificación y ordenamiento territorial en el país, así como realiza estudios y asesorías en los mismos temas.</w:t>
      </w:r>
    </w:p>
    <w:p w14:paraId="3F9F3BA0" w14:textId="77777777" w:rsidR="007B7514" w:rsidRDefault="007B7514" w:rsidP="007B7514">
      <w:pPr>
        <w:jc w:val="both"/>
        <w:rPr>
          <w:rFonts w:eastAsia="Arial" w:cs="Arial"/>
          <w:sz w:val="22"/>
          <w:szCs w:val="22"/>
          <w:lang w:eastAsia="en-US"/>
        </w:rPr>
      </w:pPr>
      <w:r w:rsidRPr="3E522895">
        <w:rPr>
          <w:rFonts w:eastAsia="Arial" w:cs="Arial"/>
          <w:sz w:val="22"/>
          <w:szCs w:val="22"/>
          <w:lang w:eastAsia="en-US"/>
        </w:rPr>
        <w:t xml:space="preserve"> </w:t>
      </w:r>
    </w:p>
    <w:p w14:paraId="5ABF3613" w14:textId="77777777" w:rsidR="007B7514" w:rsidRDefault="007B7514" w:rsidP="007B7514">
      <w:pPr>
        <w:jc w:val="both"/>
        <w:rPr>
          <w:rFonts w:eastAsia="Arial" w:cs="Arial"/>
          <w:sz w:val="22"/>
          <w:szCs w:val="22"/>
          <w:lang w:eastAsia="en-US"/>
        </w:rPr>
      </w:pPr>
      <w:r w:rsidRPr="3E522895">
        <w:rPr>
          <w:rFonts w:eastAsia="Arial" w:cs="Arial"/>
          <w:sz w:val="22"/>
          <w:szCs w:val="22"/>
          <w:lang w:eastAsia="en-US"/>
        </w:rPr>
        <w:t xml:space="preserve">De igual forma, la Subdirección de Agrología hace parte de esta Dirección, y es quien dirige y realiza la producción, actualización y custodia de los procesos asociados al levantamiento de suelos, el inventario de las tierras del país y con la identificación de la vocación, uso y manejo de las tierras, con el fin de clasificarlas y zonificarlas para apoyar los procesos catastrales, de planificación, y desarrollo territorial. Dirige el Laboratorio Nacional de Suelos, y coordina los programas, proyectos, actividades y procesos analíticos en aspectos físicos, químicos, mineralógicos, micromorfológicos y biológicos de los suelos. </w:t>
      </w:r>
    </w:p>
    <w:p w14:paraId="748A65A5" w14:textId="77777777" w:rsidR="007B7514" w:rsidRDefault="007B7514" w:rsidP="007B7514">
      <w:pPr>
        <w:jc w:val="both"/>
        <w:rPr>
          <w:rFonts w:eastAsia="Arial" w:cs="Arial"/>
          <w:sz w:val="22"/>
          <w:szCs w:val="22"/>
          <w:lang w:eastAsia="en-US"/>
        </w:rPr>
      </w:pPr>
      <w:r w:rsidRPr="3E522895">
        <w:rPr>
          <w:rFonts w:eastAsia="Arial" w:cs="Arial"/>
          <w:sz w:val="22"/>
          <w:szCs w:val="22"/>
          <w:lang w:eastAsia="en-US"/>
        </w:rPr>
        <w:t xml:space="preserve"> </w:t>
      </w:r>
    </w:p>
    <w:p w14:paraId="7C6A569C" w14:textId="77777777" w:rsidR="007B7514" w:rsidRDefault="007B7514" w:rsidP="007B7514">
      <w:pPr>
        <w:jc w:val="both"/>
        <w:rPr>
          <w:rFonts w:eastAsia="Arial" w:cs="Arial"/>
          <w:sz w:val="22"/>
          <w:szCs w:val="22"/>
          <w:lang w:eastAsia="en-US"/>
        </w:rPr>
      </w:pPr>
      <w:r w:rsidRPr="3E522895">
        <w:rPr>
          <w:rFonts w:eastAsia="Arial" w:cs="Arial"/>
          <w:sz w:val="22"/>
          <w:szCs w:val="22"/>
          <w:lang w:eastAsia="en-US"/>
        </w:rPr>
        <w:t>La Dirección de Gestión de Información Geográfica es autoridad y gestión a la misma vez. Genera conocimiento, recursos y herramientas que apoyan la construcción, clasificación y descripción de nuestro territorio. Es un equipo de profesionales y técnicos construyendo la base para que otros transformen su propio insumo en conocimiento y se tomen las decisiones estratégicas del país.</w:t>
      </w:r>
    </w:p>
    <w:p w14:paraId="16899FA0" w14:textId="77777777" w:rsidR="007B7514" w:rsidRDefault="007B7514" w:rsidP="007B7514">
      <w:pPr>
        <w:pStyle w:val="Lista"/>
      </w:pPr>
    </w:p>
    <w:p w14:paraId="38BD87D4" w14:textId="77777777" w:rsidR="007B7514" w:rsidRDefault="007B7514" w:rsidP="007B7514">
      <w:pPr>
        <w:pStyle w:val="Lista"/>
      </w:pPr>
    </w:p>
    <w:p w14:paraId="5A10AD86" w14:textId="77777777" w:rsidR="007B7514" w:rsidRDefault="007B7514" w:rsidP="007B7514">
      <w:pPr>
        <w:pStyle w:val="Lista"/>
      </w:pPr>
    </w:p>
    <w:p w14:paraId="4CDDE1E5" w14:textId="77777777" w:rsidR="007B7514" w:rsidRDefault="007B7514" w:rsidP="007B7514">
      <w:pPr>
        <w:pStyle w:val="Lista"/>
      </w:pPr>
    </w:p>
    <w:p w14:paraId="772FDD76" w14:textId="77777777" w:rsidR="002E418A" w:rsidRPr="002E418A" w:rsidRDefault="002E418A" w:rsidP="002E418A">
      <w:pPr>
        <w:pStyle w:val="Lista"/>
      </w:pPr>
    </w:p>
    <w:p w14:paraId="44D3C442" w14:textId="77777777" w:rsidR="00925476" w:rsidRDefault="00925476" w:rsidP="007B7514">
      <w:pPr>
        <w:pStyle w:val="Lista"/>
      </w:pPr>
    </w:p>
    <w:p w14:paraId="29A29C3B" w14:textId="77777777" w:rsidR="00CB637D" w:rsidRDefault="00CB637D" w:rsidP="007B7514">
      <w:pPr>
        <w:pStyle w:val="Lista"/>
      </w:pPr>
    </w:p>
    <w:p w14:paraId="024FFED1" w14:textId="77777777" w:rsidR="007B7514" w:rsidRDefault="007B7514" w:rsidP="007B7514">
      <w:pPr>
        <w:pStyle w:val="Lista"/>
      </w:pPr>
    </w:p>
    <w:p w14:paraId="51EF50A5" w14:textId="77777777" w:rsidR="007B7514" w:rsidRDefault="007B7514" w:rsidP="007B7514">
      <w:pPr>
        <w:pStyle w:val="Lista"/>
      </w:pPr>
    </w:p>
    <w:p w14:paraId="603F3135" w14:textId="596AF490" w:rsidR="007B7514" w:rsidRDefault="007B7514" w:rsidP="007B7514">
      <w:pPr>
        <w:pStyle w:val="Lista"/>
      </w:pPr>
    </w:p>
    <w:p w14:paraId="3A1A28BE" w14:textId="6ACDBBC6" w:rsidR="007B7514" w:rsidRPr="00DF1B15" w:rsidRDefault="007B7514" w:rsidP="000A20EE">
      <w:pPr>
        <w:pStyle w:val="Prrafodelista"/>
        <w:numPr>
          <w:ilvl w:val="3"/>
          <w:numId w:val="22"/>
        </w:numPr>
        <w:rPr>
          <w:b/>
          <w:bCs/>
          <w:sz w:val="22"/>
          <w:szCs w:val="22"/>
        </w:rPr>
      </w:pPr>
      <w:r w:rsidRPr="00DF1B15">
        <w:rPr>
          <w:b/>
          <w:bCs/>
          <w:sz w:val="22"/>
          <w:szCs w:val="22"/>
        </w:rPr>
        <w:lastRenderedPageBreak/>
        <w:t>ESTRUCTURA</w:t>
      </w:r>
      <w:r>
        <w:rPr>
          <w:b/>
          <w:bCs/>
          <w:sz w:val="22"/>
          <w:szCs w:val="22"/>
        </w:rPr>
        <w:t xml:space="preserve"> FUNCIONAL DIRECCIÓN DE GESTIÓN DE INFORMACIÓN GEOGRÁFICA</w:t>
      </w:r>
    </w:p>
    <w:p w14:paraId="5D51EC5E" w14:textId="77777777" w:rsidR="007B7514" w:rsidRDefault="007B7514" w:rsidP="007B7514">
      <w:pPr>
        <w:jc w:val="both"/>
        <w:rPr>
          <w:rFonts w:eastAsia="Arial" w:cs="Arial"/>
          <w:sz w:val="22"/>
          <w:szCs w:val="22"/>
          <w:lang w:eastAsia="en-US"/>
        </w:rPr>
      </w:pPr>
      <w:r w:rsidRPr="31FF9146">
        <w:rPr>
          <w:rFonts w:eastAsia="Arial" w:cs="Arial"/>
          <w:sz w:val="22"/>
          <w:szCs w:val="22"/>
          <w:lang w:eastAsia="en-US"/>
        </w:rPr>
        <w:t>En la estructura organizacional del IGAC, se encuentra la Dirección de Gestión Dirección de Gestión de Información Geográfica, la cual se compone de tres Subdirecciones y del Laboratorio nacional de suelos</w:t>
      </w:r>
      <w:r>
        <w:rPr>
          <w:rFonts w:eastAsia="Arial" w:cs="Arial"/>
          <w:sz w:val="22"/>
          <w:szCs w:val="22"/>
          <w:lang w:eastAsia="en-US"/>
        </w:rPr>
        <w:t>.</w:t>
      </w:r>
    </w:p>
    <w:p w14:paraId="2AE5BA4D" w14:textId="77777777" w:rsidR="00833A42" w:rsidRPr="00833A42" w:rsidRDefault="00833A42" w:rsidP="00833A42">
      <w:pPr>
        <w:jc w:val="center"/>
        <w:rPr>
          <w:rFonts w:cs="Arial"/>
          <w:b/>
          <w:color w:val="000000" w:themeColor="text1"/>
          <w:sz w:val="22"/>
          <w:lang w:eastAsia="en-US"/>
        </w:rPr>
      </w:pPr>
    </w:p>
    <w:p w14:paraId="70AE487B" w14:textId="77777777" w:rsidR="00B06EDE" w:rsidRPr="00DF1B15" w:rsidRDefault="00B06EDE" w:rsidP="007B7514">
      <w:pPr>
        <w:jc w:val="center"/>
        <w:rPr>
          <w:rFonts w:cs="Arial"/>
          <w:b/>
          <w:color w:val="000000" w:themeColor="text1"/>
          <w:sz w:val="22"/>
          <w:lang w:eastAsia="en-US"/>
        </w:rPr>
      </w:pPr>
    </w:p>
    <w:p w14:paraId="4A28E1E1" w14:textId="40194E98" w:rsidR="007B7514" w:rsidRPr="00D65D0D" w:rsidRDefault="007B7514" w:rsidP="00D65D0D">
      <w:pPr>
        <w:pStyle w:val="Descripcin"/>
        <w:jc w:val="center"/>
        <w:rPr>
          <w:rFonts w:ascii="Arial" w:hAnsi="Arial" w:cs="Arial"/>
          <w:b/>
          <w:bCs/>
          <w:i w:val="0"/>
          <w:iCs w:val="0"/>
          <w:color w:val="auto"/>
          <w:sz w:val="16"/>
          <w:szCs w:val="16"/>
        </w:rPr>
      </w:pPr>
      <w:bookmarkStart w:id="82" w:name="_Toc88677169"/>
      <w:r w:rsidRPr="00D65D0D">
        <w:rPr>
          <w:b/>
          <w:bCs/>
          <w:i w:val="0"/>
          <w:iCs w:val="0"/>
          <w:noProof/>
          <w:color w:val="auto"/>
          <w:lang w:eastAsia="es-CO"/>
        </w:rPr>
        <w:drawing>
          <wp:anchor distT="0" distB="0" distL="114300" distR="114300" simplePos="0" relativeHeight="251658269" behindDoc="0" locked="0" layoutInCell="1" allowOverlap="1" wp14:anchorId="03CFACBF" wp14:editId="2F9C6BA2">
            <wp:simplePos x="0" y="0"/>
            <wp:positionH relativeFrom="margin">
              <wp:posOffset>-148295</wp:posOffset>
            </wp:positionH>
            <wp:positionV relativeFrom="paragraph">
              <wp:posOffset>231494</wp:posOffset>
            </wp:positionV>
            <wp:extent cx="6661150" cy="5842635"/>
            <wp:effectExtent l="0" t="0" r="6350" b="5715"/>
            <wp:wrapSquare wrapText="bothSides"/>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print">
                      <a:extLst>
                        <a:ext uri="{28A0092B-C50C-407E-A947-70E740481C1C}">
                          <a14:useLocalDpi xmlns:a14="http://schemas.microsoft.com/office/drawing/2010/main" val="0"/>
                        </a:ext>
                      </a:extLst>
                    </a:blip>
                    <a:srcRect l="28419" t="19562" r="31197" b="14720"/>
                    <a:stretch/>
                  </pic:blipFill>
                  <pic:spPr bwMode="auto">
                    <a:xfrm>
                      <a:off x="0" y="0"/>
                      <a:ext cx="6661150" cy="58426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65D0D" w:rsidRPr="00D65D0D">
        <w:rPr>
          <w:b/>
          <w:bCs/>
          <w:i w:val="0"/>
          <w:iCs w:val="0"/>
          <w:color w:val="auto"/>
        </w:rPr>
        <w:t xml:space="preserve">Ilustración </w:t>
      </w:r>
      <w:r w:rsidR="00D65D0D" w:rsidRPr="00D65D0D">
        <w:rPr>
          <w:b/>
          <w:bCs/>
          <w:i w:val="0"/>
          <w:iCs w:val="0"/>
          <w:color w:val="auto"/>
        </w:rPr>
        <w:fldChar w:fldCharType="begin"/>
      </w:r>
      <w:r w:rsidR="00D65D0D" w:rsidRPr="00D65D0D">
        <w:rPr>
          <w:b/>
          <w:bCs/>
          <w:i w:val="0"/>
          <w:iCs w:val="0"/>
          <w:color w:val="auto"/>
        </w:rPr>
        <w:instrText xml:space="preserve"> SEQ Ilustración \* ARABIC </w:instrText>
      </w:r>
      <w:r w:rsidR="00D65D0D" w:rsidRPr="00D65D0D">
        <w:rPr>
          <w:b/>
          <w:bCs/>
          <w:i w:val="0"/>
          <w:iCs w:val="0"/>
          <w:color w:val="auto"/>
        </w:rPr>
        <w:fldChar w:fldCharType="separate"/>
      </w:r>
      <w:r w:rsidR="005D5B0E">
        <w:rPr>
          <w:b/>
          <w:bCs/>
          <w:i w:val="0"/>
          <w:iCs w:val="0"/>
          <w:noProof/>
          <w:color w:val="auto"/>
        </w:rPr>
        <w:t>13</w:t>
      </w:r>
      <w:r w:rsidR="00D65D0D" w:rsidRPr="00D65D0D">
        <w:rPr>
          <w:b/>
          <w:bCs/>
          <w:i w:val="0"/>
          <w:iCs w:val="0"/>
          <w:color w:val="auto"/>
        </w:rPr>
        <w:fldChar w:fldCharType="end"/>
      </w:r>
      <w:r w:rsidR="00D65D0D" w:rsidRPr="00D65D0D">
        <w:rPr>
          <w:b/>
          <w:bCs/>
          <w:i w:val="0"/>
          <w:iCs w:val="0"/>
          <w:color w:val="auto"/>
        </w:rPr>
        <w:t>. Estructura Organizacional</w:t>
      </w:r>
      <w:bookmarkEnd w:id="82"/>
    </w:p>
    <w:p w14:paraId="658BE55B" w14:textId="20929A44" w:rsidR="007B7514" w:rsidRDefault="007B7514" w:rsidP="007968CA">
      <w:pPr>
        <w:pStyle w:val="Lista"/>
        <w:jc w:val="center"/>
        <w:rPr>
          <w:b/>
          <w:sz w:val="16"/>
        </w:rPr>
      </w:pPr>
      <w:r>
        <w:rPr>
          <w:b/>
          <w:sz w:val="16"/>
        </w:rPr>
        <w:t>Fuente: Dirección de Gestión de Información Geog</w:t>
      </w:r>
      <w:r w:rsidR="007968CA">
        <w:rPr>
          <w:b/>
          <w:sz w:val="16"/>
        </w:rPr>
        <w:t>ráfica</w:t>
      </w:r>
    </w:p>
    <w:p w14:paraId="3334EC6F" w14:textId="105F2DFA" w:rsidR="007968CA" w:rsidRDefault="007968CA" w:rsidP="007968CA">
      <w:pPr>
        <w:pStyle w:val="Lista"/>
        <w:jc w:val="center"/>
        <w:rPr>
          <w:b/>
          <w:sz w:val="16"/>
        </w:rPr>
      </w:pPr>
    </w:p>
    <w:p w14:paraId="2E738685" w14:textId="20FC66B9" w:rsidR="007968CA" w:rsidRDefault="007968CA" w:rsidP="007968CA">
      <w:pPr>
        <w:pStyle w:val="Lista"/>
        <w:jc w:val="center"/>
        <w:rPr>
          <w:b/>
          <w:sz w:val="16"/>
        </w:rPr>
      </w:pPr>
    </w:p>
    <w:p w14:paraId="0DFD88D9" w14:textId="5277A4CD" w:rsidR="007968CA" w:rsidRDefault="007968CA" w:rsidP="007968CA">
      <w:pPr>
        <w:pStyle w:val="Lista"/>
        <w:jc w:val="center"/>
        <w:rPr>
          <w:b/>
          <w:sz w:val="16"/>
        </w:rPr>
      </w:pPr>
    </w:p>
    <w:p w14:paraId="52FA409C" w14:textId="77777777" w:rsidR="007968CA" w:rsidRDefault="007968CA" w:rsidP="007968CA">
      <w:pPr>
        <w:pStyle w:val="Lista"/>
        <w:jc w:val="center"/>
        <w:rPr>
          <w:b/>
          <w:sz w:val="16"/>
        </w:rPr>
      </w:pPr>
    </w:p>
    <w:p w14:paraId="42EAC174" w14:textId="77777777" w:rsidR="007B7514" w:rsidRDefault="007B7514" w:rsidP="007B7514">
      <w:pPr>
        <w:pStyle w:val="Lista"/>
        <w:jc w:val="center"/>
        <w:rPr>
          <w:b/>
          <w:sz w:val="16"/>
        </w:rPr>
      </w:pPr>
    </w:p>
    <w:p w14:paraId="430C6079" w14:textId="77777777" w:rsidR="007B7514" w:rsidRDefault="007B7514" w:rsidP="007B7514">
      <w:pPr>
        <w:pStyle w:val="Lista"/>
        <w:jc w:val="center"/>
        <w:rPr>
          <w:b/>
          <w:sz w:val="16"/>
        </w:rPr>
      </w:pPr>
    </w:p>
    <w:p w14:paraId="10EA1185" w14:textId="740F7730" w:rsidR="007B7514" w:rsidRPr="00DF1B15" w:rsidRDefault="007B7514" w:rsidP="00615C22">
      <w:pPr>
        <w:pStyle w:val="Lista"/>
        <w:rPr>
          <w:b/>
          <w:sz w:val="16"/>
        </w:rPr>
      </w:pPr>
    </w:p>
    <w:p w14:paraId="6D9E46EB" w14:textId="6E37992B" w:rsidR="00833A42" w:rsidRPr="00833A42" w:rsidRDefault="007B7514" w:rsidP="000A20EE">
      <w:pPr>
        <w:pStyle w:val="Prrafodelista"/>
        <w:numPr>
          <w:ilvl w:val="4"/>
          <w:numId w:val="22"/>
        </w:numPr>
        <w:rPr>
          <w:b/>
          <w:bCs/>
          <w:sz w:val="22"/>
        </w:rPr>
      </w:pPr>
      <w:r w:rsidRPr="00615C22">
        <w:rPr>
          <w:b/>
          <w:bCs/>
          <w:sz w:val="22"/>
        </w:rPr>
        <w:lastRenderedPageBreak/>
        <w:t>EQUIPO Y ROLES</w:t>
      </w:r>
    </w:p>
    <w:p w14:paraId="12D5B835" w14:textId="658D8F57" w:rsidR="007B7514" w:rsidRDefault="007B7514" w:rsidP="007968CA">
      <w:pPr>
        <w:pStyle w:val="Lista"/>
      </w:pPr>
    </w:p>
    <w:p w14:paraId="2C087B62" w14:textId="77777777" w:rsidR="00833A42" w:rsidRPr="00833A42" w:rsidRDefault="007B7514" w:rsidP="00833A42">
      <w:pPr>
        <w:jc w:val="both"/>
        <w:rPr>
          <w:rFonts w:eastAsia="Arial" w:cs="Arial"/>
          <w:sz w:val="22"/>
          <w:szCs w:val="22"/>
          <w:lang w:eastAsia="en-US"/>
        </w:rPr>
      </w:pPr>
      <w:r w:rsidRPr="31FF9146">
        <w:rPr>
          <w:rFonts w:eastAsia="Arial" w:cs="Arial"/>
          <w:sz w:val="22"/>
          <w:szCs w:val="22"/>
          <w:lang w:eastAsia="en-US"/>
        </w:rPr>
        <w:t>La Dirección de Gestión de Información Geográfica está conformada por 367 integrantes, de los cuales 176 son empleos de carrera administrativa (con 48 empleos vacantes) y 191 por contratos de prestación</w:t>
      </w:r>
      <w:r>
        <w:rPr>
          <w:rFonts w:eastAsia="Arial" w:cs="Arial"/>
          <w:sz w:val="22"/>
          <w:szCs w:val="22"/>
          <w:lang w:eastAsia="en-US"/>
        </w:rPr>
        <w:t xml:space="preserve"> de servicios, distribuidos así: </w:t>
      </w:r>
    </w:p>
    <w:p w14:paraId="178AAB4B" w14:textId="77777777" w:rsidR="00B06EDE" w:rsidRDefault="00B06EDE" w:rsidP="007B7514">
      <w:pPr>
        <w:jc w:val="both"/>
        <w:rPr>
          <w:rFonts w:eastAsia="Arial" w:cs="Arial"/>
          <w:sz w:val="22"/>
          <w:szCs w:val="22"/>
          <w:lang w:eastAsia="en-US"/>
        </w:rPr>
      </w:pPr>
    </w:p>
    <w:p w14:paraId="11339CB6" w14:textId="77E7F918" w:rsidR="00E83F84" w:rsidRPr="00615C22" w:rsidRDefault="007B7514" w:rsidP="00615C22">
      <w:pPr>
        <w:jc w:val="both"/>
      </w:pPr>
      <w:r w:rsidRPr="31FF9146">
        <w:rPr>
          <w:rFonts w:ascii="Calibri" w:eastAsia="Calibri" w:hAnsi="Calibri" w:cs="Calibri"/>
          <w:color w:val="000000" w:themeColor="text1"/>
          <w:sz w:val="22"/>
          <w:szCs w:val="22"/>
        </w:rPr>
        <w:t xml:space="preserve"> </w:t>
      </w:r>
    </w:p>
    <w:p w14:paraId="222618AB" w14:textId="49873F91" w:rsidR="007B7514" w:rsidRPr="00DF1B15" w:rsidRDefault="00E54695" w:rsidP="00E54695">
      <w:pPr>
        <w:pStyle w:val="Descripcin"/>
        <w:jc w:val="center"/>
        <w:rPr>
          <w:rFonts w:ascii="Arial" w:hAnsi="Arial" w:cs="Arial"/>
          <w:b/>
          <w:i w:val="0"/>
          <w:color w:val="000000" w:themeColor="text1"/>
          <w:sz w:val="16"/>
        </w:rPr>
      </w:pPr>
      <w:bookmarkStart w:id="83" w:name="_Toc88677101"/>
      <w:r w:rsidRPr="00E54695">
        <w:rPr>
          <w:rFonts w:ascii="Arial" w:hAnsi="Arial" w:cs="Arial"/>
          <w:b/>
          <w:i w:val="0"/>
          <w:color w:val="000000" w:themeColor="text1"/>
          <w:sz w:val="16"/>
        </w:rPr>
        <w:t xml:space="preserve">Tabla </w:t>
      </w:r>
      <w:r w:rsidRPr="00E54695">
        <w:rPr>
          <w:rFonts w:ascii="Arial" w:hAnsi="Arial" w:cs="Arial"/>
          <w:b/>
          <w:i w:val="0"/>
          <w:color w:val="000000" w:themeColor="text1"/>
          <w:sz w:val="16"/>
        </w:rPr>
        <w:fldChar w:fldCharType="begin"/>
      </w:r>
      <w:r w:rsidRPr="00E54695">
        <w:rPr>
          <w:rFonts w:ascii="Arial" w:hAnsi="Arial" w:cs="Arial"/>
          <w:b/>
          <w:i w:val="0"/>
          <w:color w:val="000000" w:themeColor="text1"/>
          <w:sz w:val="16"/>
        </w:rPr>
        <w:instrText xml:space="preserve"> SEQ Tabla \* ARABIC </w:instrText>
      </w:r>
      <w:r w:rsidRPr="00E5469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29</w:t>
      </w:r>
      <w:r w:rsidRPr="00E54695">
        <w:rPr>
          <w:rFonts w:ascii="Arial" w:hAnsi="Arial" w:cs="Arial"/>
          <w:b/>
          <w:i w:val="0"/>
          <w:color w:val="000000" w:themeColor="text1"/>
          <w:sz w:val="16"/>
        </w:rPr>
        <w:fldChar w:fldCharType="end"/>
      </w:r>
      <w:r w:rsidRPr="00E54695">
        <w:rPr>
          <w:rFonts w:ascii="Arial" w:hAnsi="Arial" w:cs="Arial"/>
          <w:b/>
          <w:i w:val="0"/>
          <w:color w:val="000000" w:themeColor="text1"/>
          <w:sz w:val="16"/>
        </w:rPr>
        <w:t>. Número de integrantes de la Dirección de Gestión Información Geográfica</w:t>
      </w:r>
      <w:bookmarkEnd w:id="83"/>
    </w:p>
    <w:tbl>
      <w:tblPr>
        <w:tblStyle w:val="Tabladecuadrcula4-nfasis1"/>
        <w:tblW w:w="0" w:type="auto"/>
        <w:tblLayout w:type="fixed"/>
        <w:tblLook w:val="06A0" w:firstRow="1" w:lastRow="0" w:firstColumn="1" w:lastColumn="0" w:noHBand="1" w:noVBand="1"/>
      </w:tblPr>
      <w:tblGrid>
        <w:gridCol w:w="3390"/>
        <w:gridCol w:w="2145"/>
        <w:gridCol w:w="1905"/>
        <w:gridCol w:w="1620"/>
      </w:tblGrid>
      <w:tr w:rsidR="007B7514" w:rsidRPr="00DF1B15" w14:paraId="1E860C20" w14:textId="77777777" w:rsidTr="00A6302C">
        <w:trPr>
          <w:cnfStyle w:val="100000000000" w:firstRow="1" w:lastRow="0" w:firstColumn="0" w:lastColumn="0" w:oddVBand="0" w:evenVBand="0" w:oddHBand="0" w:evenHBand="0" w:firstRowFirstColumn="0" w:firstRowLastColumn="0" w:lastRowFirstColumn="0" w:lastRowLastColumn="0"/>
          <w:trHeight w:val="21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2A8D1F9B" w14:textId="77777777" w:rsidR="007B7514" w:rsidRPr="00DF1B15" w:rsidRDefault="007B7514" w:rsidP="00A6302C">
            <w:pPr>
              <w:jc w:val="center"/>
              <w:rPr>
                <w:lang w:val="es-CO"/>
              </w:rPr>
            </w:pPr>
            <w:r w:rsidRPr="00DF1B15">
              <w:rPr>
                <w:rFonts w:eastAsia="Arial" w:cs="Arial"/>
                <w:bCs w:val="0"/>
                <w:sz w:val="20"/>
                <w:szCs w:val="20"/>
                <w:lang w:val="es-CO"/>
              </w:rPr>
              <w:t>DEPENDENCIA</w:t>
            </w:r>
          </w:p>
        </w:tc>
        <w:tc>
          <w:tcPr>
            <w:tcW w:w="2145" w:type="dxa"/>
            <w:vAlign w:val="center"/>
          </w:tcPr>
          <w:p w14:paraId="03023BBA" w14:textId="77777777" w:rsidR="007B7514" w:rsidRPr="00DF1B15"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DF1B15">
              <w:rPr>
                <w:rFonts w:eastAsia="Arial" w:cs="Arial"/>
                <w:bCs w:val="0"/>
                <w:sz w:val="20"/>
                <w:szCs w:val="20"/>
                <w:lang w:val="es-CO"/>
              </w:rPr>
              <w:t>CARRERA ADMINISTRATIVA</w:t>
            </w:r>
          </w:p>
        </w:tc>
        <w:tc>
          <w:tcPr>
            <w:tcW w:w="1905" w:type="dxa"/>
            <w:vAlign w:val="center"/>
          </w:tcPr>
          <w:p w14:paraId="07BA0DD0" w14:textId="77777777" w:rsidR="007B7514" w:rsidRPr="00DF1B15"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DF1B15">
              <w:rPr>
                <w:rFonts w:eastAsia="Arial" w:cs="Arial"/>
                <w:bCs w:val="0"/>
                <w:sz w:val="20"/>
                <w:szCs w:val="20"/>
                <w:lang w:val="es-CO"/>
              </w:rPr>
              <w:t>CONTRATISTAS</w:t>
            </w:r>
          </w:p>
        </w:tc>
        <w:tc>
          <w:tcPr>
            <w:tcW w:w="1620" w:type="dxa"/>
            <w:vAlign w:val="center"/>
          </w:tcPr>
          <w:p w14:paraId="07B0A3BC" w14:textId="77777777" w:rsidR="007B7514" w:rsidRPr="00DF1B15"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DF1B15">
              <w:rPr>
                <w:rFonts w:eastAsia="Arial" w:cs="Arial"/>
                <w:bCs w:val="0"/>
                <w:sz w:val="20"/>
                <w:szCs w:val="20"/>
                <w:lang w:val="es-CO"/>
              </w:rPr>
              <w:t>TOTAL</w:t>
            </w:r>
          </w:p>
        </w:tc>
      </w:tr>
      <w:tr w:rsidR="007B7514" w:rsidRPr="00DF1B15" w14:paraId="5772F720"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178BF1FC" w14:textId="77777777" w:rsidR="007B7514" w:rsidRPr="00DF1B15" w:rsidRDefault="007B7514" w:rsidP="00A6302C">
            <w:pPr>
              <w:jc w:val="center"/>
              <w:rPr>
                <w:lang w:val="es-CO"/>
              </w:rPr>
            </w:pPr>
            <w:r w:rsidRPr="00DF1B15">
              <w:rPr>
                <w:rFonts w:eastAsia="Arial" w:cs="Arial"/>
                <w:sz w:val="20"/>
                <w:szCs w:val="20"/>
                <w:lang w:val="es-CO"/>
              </w:rPr>
              <w:t>Dirección de Gestión de Información Geográfica</w:t>
            </w:r>
          </w:p>
        </w:tc>
        <w:tc>
          <w:tcPr>
            <w:tcW w:w="2145" w:type="dxa"/>
            <w:vAlign w:val="center"/>
          </w:tcPr>
          <w:p w14:paraId="6ECF12A2"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8</w:t>
            </w:r>
          </w:p>
        </w:tc>
        <w:tc>
          <w:tcPr>
            <w:tcW w:w="1905" w:type="dxa"/>
            <w:vAlign w:val="center"/>
          </w:tcPr>
          <w:p w14:paraId="190AB2A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18</w:t>
            </w:r>
          </w:p>
        </w:tc>
        <w:tc>
          <w:tcPr>
            <w:tcW w:w="1620" w:type="dxa"/>
            <w:vAlign w:val="center"/>
          </w:tcPr>
          <w:p w14:paraId="4A73CC57"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26</w:t>
            </w:r>
          </w:p>
        </w:tc>
      </w:tr>
      <w:tr w:rsidR="007B7514" w:rsidRPr="00DF1B15" w14:paraId="7FA90407"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707F7870" w14:textId="77777777" w:rsidR="007B7514" w:rsidRPr="00DF1B15" w:rsidRDefault="007B7514" w:rsidP="00A6302C">
            <w:pPr>
              <w:jc w:val="center"/>
              <w:rPr>
                <w:lang w:val="es-CO"/>
              </w:rPr>
            </w:pPr>
            <w:r w:rsidRPr="00DF1B15">
              <w:rPr>
                <w:rFonts w:eastAsia="Arial" w:cs="Arial"/>
                <w:sz w:val="20"/>
                <w:szCs w:val="20"/>
                <w:lang w:val="es-CO"/>
              </w:rPr>
              <w:t>Subdirección Cartográfica y Geodésica</w:t>
            </w:r>
          </w:p>
        </w:tc>
        <w:tc>
          <w:tcPr>
            <w:tcW w:w="2145" w:type="dxa"/>
            <w:vAlign w:val="center"/>
          </w:tcPr>
          <w:p w14:paraId="653C5D8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74</w:t>
            </w:r>
          </w:p>
          <w:p w14:paraId="57DC827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(12 vacantes)</w:t>
            </w:r>
          </w:p>
        </w:tc>
        <w:tc>
          <w:tcPr>
            <w:tcW w:w="1905" w:type="dxa"/>
            <w:vAlign w:val="center"/>
          </w:tcPr>
          <w:p w14:paraId="4186168D" w14:textId="77777777" w:rsidR="007B7514" w:rsidRPr="00DF1B15"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108</w:t>
            </w:r>
          </w:p>
        </w:tc>
        <w:tc>
          <w:tcPr>
            <w:tcW w:w="1620" w:type="dxa"/>
            <w:vAlign w:val="center"/>
          </w:tcPr>
          <w:p w14:paraId="501BFAB6"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182</w:t>
            </w:r>
          </w:p>
          <w:p w14:paraId="5C6DE9A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(12 vacantes)</w:t>
            </w:r>
          </w:p>
        </w:tc>
      </w:tr>
      <w:tr w:rsidR="007B7514" w:rsidRPr="00DF1B15" w14:paraId="1D0889C3"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120C7D60" w14:textId="387104B2" w:rsidR="007B7514" w:rsidRPr="00DF1B15" w:rsidRDefault="007B7514" w:rsidP="00A6302C">
            <w:pPr>
              <w:jc w:val="center"/>
              <w:rPr>
                <w:lang w:val="es-CO"/>
              </w:rPr>
            </w:pPr>
            <w:r w:rsidRPr="00DF1B15">
              <w:rPr>
                <w:rFonts w:eastAsia="Arial" w:cs="Arial"/>
                <w:sz w:val="20"/>
                <w:szCs w:val="20"/>
                <w:lang w:val="es-CO"/>
              </w:rPr>
              <w:t>Subdirección de Geografía</w:t>
            </w:r>
          </w:p>
        </w:tc>
        <w:tc>
          <w:tcPr>
            <w:tcW w:w="2145" w:type="dxa"/>
            <w:vAlign w:val="center"/>
          </w:tcPr>
          <w:p w14:paraId="0432970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40</w:t>
            </w:r>
          </w:p>
          <w:p w14:paraId="23D8C881"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(9 vacantes)</w:t>
            </w:r>
          </w:p>
        </w:tc>
        <w:tc>
          <w:tcPr>
            <w:tcW w:w="1905" w:type="dxa"/>
            <w:vAlign w:val="center"/>
          </w:tcPr>
          <w:p w14:paraId="4E90B1FD" w14:textId="77777777" w:rsidR="007B7514" w:rsidRPr="00DF1B15"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44</w:t>
            </w:r>
          </w:p>
        </w:tc>
        <w:tc>
          <w:tcPr>
            <w:tcW w:w="1620" w:type="dxa"/>
            <w:vAlign w:val="center"/>
          </w:tcPr>
          <w:p w14:paraId="2009086F"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84</w:t>
            </w:r>
          </w:p>
          <w:p w14:paraId="159555C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(9 vacantes)</w:t>
            </w:r>
          </w:p>
        </w:tc>
      </w:tr>
      <w:tr w:rsidR="007B7514" w:rsidRPr="00DF1B15" w14:paraId="0CFCBB14"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6B99C8D7" w14:textId="77777777" w:rsidR="007B7514" w:rsidRPr="00DF1B15" w:rsidRDefault="007B7514" w:rsidP="00A6302C">
            <w:pPr>
              <w:jc w:val="center"/>
              <w:rPr>
                <w:lang w:val="es-CO"/>
              </w:rPr>
            </w:pPr>
            <w:r w:rsidRPr="00DF1B15">
              <w:rPr>
                <w:rFonts w:eastAsia="Arial" w:cs="Arial"/>
                <w:sz w:val="20"/>
                <w:szCs w:val="20"/>
                <w:lang w:val="es-CO"/>
              </w:rPr>
              <w:t>Subdirección de Agrología</w:t>
            </w:r>
          </w:p>
        </w:tc>
        <w:tc>
          <w:tcPr>
            <w:tcW w:w="2145" w:type="dxa"/>
            <w:vAlign w:val="center"/>
          </w:tcPr>
          <w:p w14:paraId="05BAD97E"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38</w:t>
            </w:r>
          </w:p>
          <w:p w14:paraId="6C36742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(18 vacantes)</w:t>
            </w:r>
          </w:p>
        </w:tc>
        <w:tc>
          <w:tcPr>
            <w:tcW w:w="1905" w:type="dxa"/>
            <w:vAlign w:val="center"/>
          </w:tcPr>
          <w:p w14:paraId="001259DB"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13</w:t>
            </w:r>
          </w:p>
        </w:tc>
        <w:tc>
          <w:tcPr>
            <w:tcW w:w="1620" w:type="dxa"/>
            <w:vAlign w:val="center"/>
          </w:tcPr>
          <w:p w14:paraId="5B0DD2D7"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51</w:t>
            </w:r>
          </w:p>
          <w:p w14:paraId="3C5E695C"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(18 vacantes)</w:t>
            </w:r>
          </w:p>
        </w:tc>
      </w:tr>
      <w:tr w:rsidR="007B7514" w:rsidRPr="00DF1B15" w14:paraId="31A4DDBC"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56A19AC6" w14:textId="77777777" w:rsidR="007B7514" w:rsidRPr="00DF1B15" w:rsidRDefault="007B7514" w:rsidP="00A6302C">
            <w:pPr>
              <w:jc w:val="center"/>
              <w:rPr>
                <w:lang w:val="es-CO"/>
              </w:rPr>
            </w:pPr>
            <w:r w:rsidRPr="00DF1B15">
              <w:rPr>
                <w:rFonts w:eastAsia="Arial" w:cs="Arial"/>
                <w:sz w:val="20"/>
                <w:szCs w:val="20"/>
                <w:lang w:val="es-CO"/>
              </w:rPr>
              <w:t>Laboratorio Nacional De Suelos</w:t>
            </w:r>
          </w:p>
        </w:tc>
        <w:tc>
          <w:tcPr>
            <w:tcW w:w="2145" w:type="dxa"/>
            <w:vAlign w:val="center"/>
          </w:tcPr>
          <w:p w14:paraId="10BB73BA"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16</w:t>
            </w:r>
          </w:p>
          <w:p w14:paraId="0253593A"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(9 vacantes)</w:t>
            </w:r>
          </w:p>
        </w:tc>
        <w:tc>
          <w:tcPr>
            <w:tcW w:w="1905" w:type="dxa"/>
            <w:vAlign w:val="center"/>
          </w:tcPr>
          <w:p w14:paraId="5292B17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8</w:t>
            </w:r>
          </w:p>
        </w:tc>
        <w:tc>
          <w:tcPr>
            <w:tcW w:w="1620" w:type="dxa"/>
            <w:vAlign w:val="center"/>
          </w:tcPr>
          <w:p w14:paraId="60AE8F80"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24</w:t>
            </w:r>
          </w:p>
          <w:p w14:paraId="23C4029C"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sz w:val="20"/>
                <w:szCs w:val="20"/>
                <w:lang w:val="es-CO"/>
              </w:rPr>
              <w:t>(9 vacantes)</w:t>
            </w:r>
          </w:p>
        </w:tc>
      </w:tr>
      <w:tr w:rsidR="007B7514" w:rsidRPr="00DF1B15" w14:paraId="5C15BA91"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3390" w:type="dxa"/>
            <w:vAlign w:val="center"/>
          </w:tcPr>
          <w:p w14:paraId="1CDB3E94" w14:textId="77777777" w:rsidR="007B7514" w:rsidRPr="00DF1B15" w:rsidRDefault="007B7514" w:rsidP="00A6302C">
            <w:pPr>
              <w:jc w:val="center"/>
              <w:rPr>
                <w:lang w:val="es-CO"/>
              </w:rPr>
            </w:pPr>
            <w:r w:rsidRPr="00DF1B15">
              <w:rPr>
                <w:rFonts w:eastAsia="Arial" w:cs="Arial"/>
                <w:bCs w:val="0"/>
                <w:sz w:val="20"/>
                <w:szCs w:val="20"/>
                <w:lang w:val="es-CO"/>
              </w:rPr>
              <w:t>TOTAL</w:t>
            </w:r>
          </w:p>
        </w:tc>
        <w:tc>
          <w:tcPr>
            <w:tcW w:w="2145" w:type="dxa"/>
            <w:vAlign w:val="center"/>
          </w:tcPr>
          <w:p w14:paraId="21FC7FF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b/>
                <w:bCs/>
                <w:sz w:val="20"/>
                <w:szCs w:val="20"/>
                <w:lang w:val="es-CO"/>
              </w:rPr>
              <w:t>176</w:t>
            </w:r>
          </w:p>
          <w:p w14:paraId="6EC61C8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b/>
                <w:bCs/>
                <w:sz w:val="20"/>
                <w:szCs w:val="20"/>
                <w:lang w:val="es-CO"/>
              </w:rPr>
              <w:t>(48 vacantes)</w:t>
            </w:r>
          </w:p>
        </w:tc>
        <w:tc>
          <w:tcPr>
            <w:tcW w:w="1905" w:type="dxa"/>
            <w:vAlign w:val="center"/>
          </w:tcPr>
          <w:p w14:paraId="4140E279"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b/>
                <w:bCs/>
                <w:sz w:val="20"/>
                <w:szCs w:val="20"/>
                <w:lang w:val="es-CO"/>
              </w:rPr>
              <w:t>191</w:t>
            </w:r>
          </w:p>
        </w:tc>
        <w:tc>
          <w:tcPr>
            <w:tcW w:w="1620" w:type="dxa"/>
            <w:vAlign w:val="center"/>
          </w:tcPr>
          <w:p w14:paraId="713D12CC"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b/>
                <w:bCs/>
                <w:sz w:val="20"/>
                <w:szCs w:val="20"/>
                <w:lang w:val="es-CO"/>
              </w:rPr>
              <w:t>367</w:t>
            </w:r>
          </w:p>
          <w:p w14:paraId="4F0709F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DF1B15">
              <w:rPr>
                <w:rFonts w:eastAsia="Arial" w:cs="Arial"/>
                <w:b/>
                <w:bCs/>
                <w:sz w:val="20"/>
                <w:szCs w:val="20"/>
                <w:lang w:val="es-CO"/>
              </w:rPr>
              <w:t>(48 vacantes)</w:t>
            </w:r>
          </w:p>
        </w:tc>
      </w:tr>
    </w:tbl>
    <w:p w14:paraId="62311F03" w14:textId="2A90C1A5" w:rsidR="007B7514" w:rsidRDefault="007B7514" w:rsidP="00615C22">
      <w:pPr>
        <w:jc w:val="center"/>
        <w:rPr>
          <w:rFonts w:eastAsia="Arial" w:cs="Arial"/>
          <w:b/>
          <w:color w:val="000000" w:themeColor="text1"/>
          <w:sz w:val="16"/>
          <w:szCs w:val="14"/>
          <w:lang w:val="es"/>
        </w:rPr>
      </w:pPr>
      <w:r w:rsidRPr="00DF1B15">
        <w:rPr>
          <w:rFonts w:eastAsia="Arial" w:cs="Arial"/>
          <w:b/>
          <w:bCs/>
          <w:color w:val="000000" w:themeColor="text1"/>
          <w:sz w:val="16"/>
          <w:szCs w:val="14"/>
          <w:lang w:val="es"/>
        </w:rPr>
        <w:t xml:space="preserve">Fuente: </w:t>
      </w:r>
      <w:r w:rsidRPr="00DF1B15">
        <w:rPr>
          <w:rFonts w:eastAsia="Arial" w:cs="Arial"/>
          <w:b/>
          <w:color w:val="000000" w:themeColor="text1"/>
          <w:sz w:val="16"/>
          <w:szCs w:val="14"/>
          <w:lang w:val="es"/>
        </w:rPr>
        <w:t>Dirección de Gestión de la Información Geográfica</w:t>
      </w:r>
    </w:p>
    <w:p w14:paraId="117F91BB" w14:textId="12C6DF54" w:rsidR="007B7514" w:rsidRPr="005E19D4" w:rsidRDefault="007B7514" w:rsidP="00E54695">
      <w:pPr>
        <w:pStyle w:val="Descripcin"/>
        <w:rPr>
          <w:rFonts w:ascii="Arial" w:hAnsi="Arial" w:cs="Arial"/>
          <w:b/>
          <w:i w:val="0"/>
          <w:color w:val="000000" w:themeColor="text1"/>
          <w:sz w:val="16"/>
        </w:rPr>
      </w:pPr>
    </w:p>
    <w:tbl>
      <w:tblPr>
        <w:tblStyle w:val="Tabladecuadrcula4-nfasis1"/>
        <w:tblW w:w="0" w:type="auto"/>
        <w:jc w:val="center"/>
        <w:tblLayout w:type="fixed"/>
        <w:tblLook w:val="06A0" w:firstRow="1" w:lastRow="0" w:firstColumn="1" w:lastColumn="0" w:noHBand="1" w:noVBand="1"/>
      </w:tblPr>
      <w:tblGrid>
        <w:gridCol w:w="1767"/>
        <w:gridCol w:w="5248"/>
        <w:gridCol w:w="1975"/>
      </w:tblGrid>
      <w:tr w:rsidR="007B7514" w:rsidRPr="00DF1B15" w14:paraId="2035C2DC" w14:textId="77777777" w:rsidTr="00A6302C">
        <w:trPr>
          <w:cnfStyle w:val="100000000000" w:firstRow="1" w:lastRow="0" w:firstColumn="0" w:lastColumn="0" w:oddVBand="0" w:evenVBand="0" w:oddHBand="0" w:evenHBand="0" w:firstRowFirstColumn="0" w:firstRowLastColumn="0" w:lastRowFirstColumn="0" w:lastRowLastColumn="0"/>
          <w:trHeight w:val="440"/>
          <w:tblHeader/>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66066C07" w14:textId="77777777" w:rsidR="007B7514" w:rsidRPr="00F379C0" w:rsidRDefault="007B7514" w:rsidP="00A6302C">
            <w:pPr>
              <w:jc w:val="center"/>
              <w:rPr>
                <w:rFonts w:cs="Arial"/>
                <w:sz w:val="20"/>
                <w:szCs w:val="20"/>
              </w:rPr>
            </w:pPr>
            <w:r w:rsidRPr="00F379C0">
              <w:rPr>
                <w:rFonts w:eastAsia="Calibri" w:cs="Arial"/>
                <w:bCs w:val="0"/>
                <w:sz w:val="20"/>
                <w:szCs w:val="20"/>
              </w:rPr>
              <w:t>Funcionario o Contratista</w:t>
            </w:r>
          </w:p>
        </w:tc>
        <w:tc>
          <w:tcPr>
            <w:tcW w:w="5248" w:type="dxa"/>
            <w:vAlign w:val="center"/>
          </w:tcPr>
          <w:p w14:paraId="1F6B321F" w14:textId="77777777" w:rsidR="007B7514" w:rsidRPr="00F379C0" w:rsidRDefault="007B7514"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F379C0">
              <w:rPr>
                <w:rFonts w:eastAsia="Calibri" w:cs="Arial"/>
                <w:bCs w:val="0"/>
                <w:sz w:val="20"/>
                <w:szCs w:val="20"/>
              </w:rPr>
              <w:t>Rol</w:t>
            </w:r>
          </w:p>
        </w:tc>
        <w:tc>
          <w:tcPr>
            <w:tcW w:w="1975" w:type="dxa"/>
            <w:vAlign w:val="center"/>
          </w:tcPr>
          <w:p w14:paraId="6E6E801D" w14:textId="77777777" w:rsidR="007B7514" w:rsidRPr="00F379C0" w:rsidRDefault="007B7514"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F379C0">
              <w:rPr>
                <w:rFonts w:eastAsia="Calibri" w:cs="Arial"/>
                <w:bCs w:val="0"/>
                <w:sz w:val="20"/>
                <w:szCs w:val="20"/>
              </w:rPr>
              <w:t>Proceso / Subproceso</w:t>
            </w:r>
          </w:p>
        </w:tc>
      </w:tr>
      <w:tr w:rsidR="007B7514" w:rsidRPr="00DF1B15" w14:paraId="79D5CE88" w14:textId="77777777" w:rsidTr="00A6302C">
        <w:trPr>
          <w:trHeight w:val="1910"/>
          <w:jc w:val="center"/>
        </w:trPr>
        <w:tc>
          <w:tcPr>
            <w:cnfStyle w:val="001000000000" w:firstRow="0" w:lastRow="0" w:firstColumn="1" w:lastColumn="0" w:oddVBand="0" w:evenVBand="0" w:oddHBand="0" w:evenHBand="0" w:firstRowFirstColumn="0" w:firstRowLastColumn="0" w:lastRowFirstColumn="0" w:lastRowLastColumn="0"/>
            <w:tcW w:w="1767" w:type="dxa"/>
            <w:tcBorders>
              <w:bottom w:val="single" w:sz="4" w:space="0" w:color="95B3D7" w:themeColor="accent1" w:themeTint="99"/>
            </w:tcBorders>
            <w:vAlign w:val="center"/>
          </w:tcPr>
          <w:p w14:paraId="4981422B"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Director Técnico</w:t>
            </w:r>
          </w:p>
        </w:tc>
        <w:tc>
          <w:tcPr>
            <w:tcW w:w="5248" w:type="dxa"/>
            <w:tcBorders>
              <w:bottom w:val="single" w:sz="4" w:space="0" w:color="95B3D7" w:themeColor="accent1" w:themeTint="99"/>
            </w:tcBorders>
            <w:vAlign w:val="center"/>
          </w:tcPr>
          <w:p w14:paraId="7ED45A1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b/>
                <w:bCs/>
                <w:color w:val="000000" w:themeColor="text1"/>
                <w:sz w:val="20"/>
                <w:szCs w:val="20"/>
              </w:rPr>
              <w:t>Director de Gestión de la Información Geográfica</w:t>
            </w:r>
          </w:p>
          <w:p w14:paraId="33900DFA"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Dirección de la gestión geodésica, cartográfica, geográfica y agrológica</w:t>
            </w:r>
            <w:r w:rsidRPr="00DF1B15">
              <w:rPr>
                <w:rFonts w:cs="Arial"/>
                <w:sz w:val="20"/>
                <w:szCs w:val="20"/>
              </w:rPr>
              <w:br/>
            </w:r>
            <w:r w:rsidRPr="00DF1B15">
              <w:rPr>
                <w:rFonts w:eastAsia="Calibri" w:cs="Arial"/>
                <w:color w:val="000000" w:themeColor="text1"/>
                <w:sz w:val="20"/>
                <w:szCs w:val="20"/>
              </w:rPr>
              <w:t>· Definición, seguimiento y evaluación planes</w:t>
            </w:r>
            <w:r w:rsidRPr="00DF1B15">
              <w:rPr>
                <w:rFonts w:cs="Arial"/>
                <w:sz w:val="20"/>
                <w:szCs w:val="20"/>
              </w:rPr>
              <w:br/>
            </w:r>
            <w:r w:rsidRPr="00DF1B15">
              <w:rPr>
                <w:rFonts w:eastAsia="Calibri" w:cs="Arial"/>
                <w:color w:val="000000" w:themeColor="text1"/>
                <w:sz w:val="20"/>
                <w:szCs w:val="20"/>
              </w:rPr>
              <w:t xml:space="preserve">· Definición de lineamientos técnicos </w:t>
            </w:r>
            <w:r w:rsidRPr="00DF1B15">
              <w:rPr>
                <w:rFonts w:cs="Arial"/>
                <w:sz w:val="20"/>
                <w:szCs w:val="20"/>
              </w:rPr>
              <w:br/>
            </w:r>
            <w:r w:rsidRPr="00DF1B15">
              <w:rPr>
                <w:rFonts w:eastAsia="Calibri" w:cs="Arial"/>
                <w:color w:val="000000" w:themeColor="text1"/>
                <w:sz w:val="20"/>
                <w:szCs w:val="20"/>
              </w:rPr>
              <w:t>· Aprovechamiento de productos generados</w:t>
            </w:r>
            <w:r w:rsidRPr="00DF1B15">
              <w:rPr>
                <w:rFonts w:cs="Arial"/>
                <w:sz w:val="20"/>
                <w:szCs w:val="20"/>
              </w:rPr>
              <w:br/>
            </w:r>
            <w:r w:rsidRPr="00DF1B15">
              <w:rPr>
                <w:rFonts w:eastAsia="Calibri" w:cs="Arial"/>
                <w:color w:val="000000" w:themeColor="text1"/>
                <w:sz w:val="20"/>
                <w:szCs w:val="20"/>
              </w:rPr>
              <w:t>· Gestión de espacios interinstitucionales para identificación de necesidades</w:t>
            </w:r>
            <w:r w:rsidRPr="00DF1B15">
              <w:rPr>
                <w:rFonts w:cs="Arial"/>
                <w:sz w:val="20"/>
                <w:szCs w:val="20"/>
              </w:rPr>
              <w:br/>
            </w:r>
            <w:r w:rsidRPr="00DF1B15">
              <w:rPr>
                <w:rFonts w:eastAsia="Calibri" w:cs="Arial"/>
                <w:color w:val="000000" w:themeColor="text1"/>
                <w:sz w:val="20"/>
                <w:szCs w:val="20"/>
              </w:rPr>
              <w:t>· Gestión de necesidades del usuario</w:t>
            </w:r>
          </w:p>
        </w:tc>
        <w:tc>
          <w:tcPr>
            <w:tcW w:w="1975" w:type="dxa"/>
            <w:tcBorders>
              <w:bottom w:val="single" w:sz="4" w:space="0" w:color="95B3D7" w:themeColor="accent1" w:themeTint="99"/>
            </w:tcBorders>
            <w:vAlign w:val="center"/>
          </w:tcPr>
          <w:p w14:paraId="3874F488" w14:textId="66F225C1" w:rsidR="007B7514" w:rsidRPr="00F379C0" w:rsidRDefault="00763752" w:rsidP="00A6302C">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DF1B15">
              <w:rPr>
                <w:rFonts w:eastAsia="Calibri" w:cs="Arial"/>
                <w:color w:val="000000" w:themeColor="text1"/>
                <w:sz w:val="20"/>
                <w:szCs w:val="20"/>
              </w:rPr>
              <w:t>Proceso Gestión de Información Geográfica</w:t>
            </w:r>
          </w:p>
        </w:tc>
      </w:tr>
      <w:tr w:rsidR="007B7514" w:rsidRPr="00DF1B15" w14:paraId="56617A52" w14:textId="77777777" w:rsidTr="00D3692F">
        <w:trPr>
          <w:trHeight w:val="664"/>
          <w:jc w:val="center"/>
        </w:trPr>
        <w:tc>
          <w:tcPr>
            <w:cnfStyle w:val="001000000000" w:firstRow="0" w:lastRow="0" w:firstColumn="1" w:lastColumn="0" w:oddVBand="0" w:evenVBand="0" w:oddHBand="0" w:evenHBand="0" w:firstRowFirstColumn="0" w:firstRowLastColumn="0" w:lastRowFirstColumn="0" w:lastRowLastColumn="0"/>
            <w:tcW w:w="1767" w:type="dxa"/>
            <w:tcBorders>
              <w:bottom w:val="single" w:sz="4" w:space="0" w:color="95B3D7" w:themeColor="accent1" w:themeTint="99"/>
            </w:tcBorders>
            <w:vAlign w:val="center"/>
          </w:tcPr>
          <w:p w14:paraId="1A614267" w14:textId="77777777"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Profesional Especializado</w:t>
            </w:r>
          </w:p>
          <w:p w14:paraId="203D1ACC" w14:textId="77777777" w:rsidR="007B7514" w:rsidRPr="00DF1B15" w:rsidRDefault="007B7514" w:rsidP="00A6302C">
            <w:pPr>
              <w:jc w:val="center"/>
              <w:rPr>
                <w:rFonts w:cs="Arial"/>
                <w:sz w:val="20"/>
                <w:szCs w:val="20"/>
              </w:rPr>
            </w:pPr>
          </w:p>
        </w:tc>
        <w:tc>
          <w:tcPr>
            <w:tcW w:w="5248" w:type="dxa"/>
            <w:tcBorders>
              <w:bottom w:val="single" w:sz="4" w:space="0" w:color="95B3D7" w:themeColor="accent1" w:themeTint="99"/>
            </w:tcBorders>
            <w:vAlign w:val="center"/>
          </w:tcPr>
          <w:p w14:paraId="6339D27C"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b/>
                <w:bCs/>
                <w:color w:val="000000" w:themeColor="text1"/>
                <w:sz w:val="20"/>
                <w:szCs w:val="20"/>
              </w:rPr>
              <w:t>Profesional planeación estratégica</w:t>
            </w:r>
          </w:p>
          <w:p w14:paraId="3C4CB8BD"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Formulación de planes y programas de acción</w:t>
            </w:r>
            <w:r w:rsidRPr="00DF1B15">
              <w:rPr>
                <w:rFonts w:cs="Arial"/>
                <w:sz w:val="20"/>
                <w:szCs w:val="20"/>
              </w:rPr>
              <w:br/>
            </w:r>
            <w:r w:rsidRPr="00DF1B15">
              <w:rPr>
                <w:rFonts w:eastAsia="Calibri" w:cs="Arial"/>
                <w:color w:val="000000" w:themeColor="text1"/>
                <w:sz w:val="20"/>
                <w:szCs w:val="20"/>
              </w:rPr>
              <w:t>· Socialización de ajustes y nueva normatividad relacionada</w:t>
            </w:r>
            <w:r w:rsidRPr="00DF1B15">
              <w:rPr>
                <w:rFonts w:cs="Arial"/>
                <w:sz w:val="20"/>
                <w:szCs w:val="20"/>
              </w:rPr>
              <w:br/>
            </w:r>
            <w:r w:rsidRPr="00DF1B15">
              <w:rPr>
                <w:rFonts w:eastAsia="Calibri" w:cs="Arial"/>
                <w:color w:val="000000" w:themeColor="text1"/>
                <w:sz w:val="20"/>
                <w:szCs w:val="20"/>
              </w:rPr>
              <w:t>· Apoyo en funcionamiento de representación del IGAC ante diferentes instituciones</w:t>
            </w:r>
            <w:r w:rsidRPr="00DF1B15">
              <w:rPr>
                <w:rFonts w:cs="Arial"/>
                <w:sz w:val="20"/>
                <w:szCs w:val="20"/>
              </w:rPr>
              <w:br/>
            </w:r>
            <w:r w:rsidRPr="00DF1B15">
              <w:rPr>
                <w:rFonts w:eastAsia="Calibri" w:cs="Arial"/>
                <w:color w:val="000000" w:themeColor="text1"/>
                <w:sz w:val="20"/>
                <w:szCs w:val="20"/>
              </w:rPr>
              <w:t>· Proyección de respuesta a solicitudes y elaboración de informes</w:t>
            </w:r>
          </w:p>
        </w:tc>
        <w:tc>
          <w:tcPr>
            <w:tcW w:w="1975" w:type="dxa"/>
            <w:tcBorders>
              <w:bottom w:val="single" w:sz="4" w:space="0" w:color="95B3D7" w:themeColor="accent1" w:themeTint="99"/>
            </w:tcBorders>
            <w:vAlign w:val="center"/>
          </w:tcPr>
          <w:p w14:paraId="6657EE65" w14:textId="6225B3A3" w:rsidR="007B7514" w:rsidRPr="00F379C0" w:rsidRDefault="00763752" w:rsidP="00A6302C">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DF1B15">
              <w:rPr>
                <w:rFonts w:eastAsia="Calibri" w:cs="Arial"/>
                <w:color w:val="000000" w:themeColor="text1"/>
                <w:sz w:val="20"/>
                <w:szCs w:val="20"/>
              </w:rPr>
              <w:t>Proceso Gestión de Información Geográfica</w:t>
            </w:r>
          </w:p>
        </w:tc>
      </w:tr>
      <w:tr w:rsidR="007B7514" w:rsidRPr="00DF1B15" w14:paraId="65E65815" w14:textId="77777777" w:rsidTr="00A6302C">
        <w:trPr>
          <w:trHeight w:val="1600"/>
          <w:jc w:val="center"/>
        </w:trPr>
        <w:tc>
          <w:tcPr>
            <w:cnfStyle w:val="001000000000" w:firstRow="0" w:lastRow="0" w:firstColumn="1" w:lastColumn="0" w:oddVBand="0" w:evenVBand="0" w:oddHBand="0" w:evenHBand="0" w:firstRowFirstColumn="0" w:firstRowLastColumn="0" w:lastRowFirstColumn="0" w:lastRowLastColumn="0"/>
            <w:tcW w:w="1767" w:type="dxa"/>
            <w:vMerge w:val="restart"/>
            <w:tcBorders>
              <w:bottom w:val="single" w:sz="4" w:space="0" w:color="95B3D7" w:themeColor="accent1" w:themeTint="99"/>
            </w:tcBorders>
            <w:vAlign w:val="center"/>
          </w:tcPr>
          <w:p w14:paraId="749E8FA0" w14:textId="77777777" w:rsidR="007B7514" w:rsidRPr="00DF1B15" w:rsidRDefault="007B7514" w:rsidP="00A6302C">
            <w:pPr>
              <w:jc w:val="center"/>
              <w:rPr>
                <w:rFonts w:cs="Arial"/>
                <w:b w:val="0"/>
                <w:bCs w:val="0"/>
                <w:sz w:val="20"/>
                <w:szCs w:val="20"/>
              </w:rPr>
            </w:pPr>
            <w:r>
              <w:rPr>
                <w:rFonts w:eastAsia="Calibri" w:cs="Arial"/>
                <w:color w:val="000000" w:themeColor="text1"/>
                <w:sz w:val="20"/>
                <w:szCs w:val="20"/>
              </w:rPr>
              <w:t>Profesional Universitario</w:t>
            </w:r>
          </w:p>
          <w:p w14:paraId="01F8E64A" w14:textId="77777777" w:rsidR="007B7514" w:rsidRDefault="007B7514" w:rsidP="00A6302C">
            <w:pPr>
              <w:jc w:val="center"/>
              <w:rPr>
                <w:rFonts w:eastAsia="Calibri" w:cs="Arial"/>
                <w:color w:val="000000" w:themeColor="text1"/>
                <w:sz w:val="20"/>
                <w:szCs w:val="20"/>
              </w:rPr>
            </w:pPr>
          </w:p>
          <w:p w14:paraId="44A74D6B" w14:textId="77777777" w:rsidR="007B7514" w:rsidRPr="00DF1B15" w:rsidRDefault="007B7514" w:rsidP="00A6302C">
            <w:pPr>
              <w:jc w:val="center"/>
              <w:rPr>
                <w:rFonts w:cs="Arial"/>
                <w:sz w:val="20"/>
                <w:szCs w:val="20"/>
              </w:rPr>
            </w:pPr>
          </w:p>
        </w:tc>
        <w:tc>
          <w:tcPr>
            <w:tcW w:w="5248" w:type="dxa"/>
            <w:tcBorders>
              <w:bottom w:val="single" w:sz="4" w:space="0" w:color="95B3D7" w:themeColor="accent1" w:themeTint="99"/>
            </w:tcBorders>
            <w:vAlign w:val="center"/>
          </w:tcPr>
          <w:p w14:paraId="6151E5F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planeación táctica</w:t>
            </w:r>
          </w:p>
          <w:p w14:paraId="303A901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Coordinación y seguimiento a requerimientos de productos</w:t>
            </w:r>
            <w:r w:rsidRPr="00DF1B15">
              <w:rPr>
                <w:rFonts w:cs="Arial"/>
                <w:sz w:val="20"/>
                <w:szCs w:val="20"/>
              </w:rPr>
              <w:br/>
            </w:r>
            <w:r w:rsidRPr="00DF1B15">
              <w:rPr>
                <w:rFonts w:eastAsia="Calibri" w:cs="Arial"/>
                <w:color w:val="000000" w:themeColor="text1"/>
                <w:sz w:val="20"/>
                <w:szCs w:val="20"/>
              </w:rPr>
              <w:t xml:space="preserve">· Elaboración de informes </w:t>
            </w:r>
            <w:r w:rsidRPr="00DF1B15">
              <w:rPr>
                <w:rFonts w:cs="Arial"/>
                <w:sz w:val="20"/>
                <w:szCs w:val="20"/>
              </w:rPr>
              <w:br/>
            </w:r>
            <w:r w:rsidRPr="00DF1B15">
              <w:rPr>
                <w:rFonts w:eastAsia="Calibri" w:cs="Arial"/>
                <w:color w:val="000000" w:themeColor="text1"/>
                <w:sz w:val="20"/>
                <w:szCs w:val="20"/>
              </w:rPr>
              <w:t>· Participación en pruebas y/o conceptos técnicos sobre el uso de instrumentos relacionados</w:t>
            </w:r>
            <w:r w:rsidRPr="00DF1B15">
              <w:rPr>
                <w:rFonts w:cs="Arial"/>
                <w:sz w:val="20"/>
                <w:szCs w:val="20"/>
              </w:rPr>
              <w:br/>
            </w:r>
            <w:r w:rsidRPr="00DF1B15">
              <w:rPr>
                <w:rFonts w:eastAsia="Calibri" w:cs="Arial"/>
                <w:color w:val="000000" w:themeColor="text1"/>
                <w:sz w:val="20"/>
                <w:szCs w:val="20"/>
              </w:rPr>
              <w:t>· Seguimiento y disposición de los productos generados</w:t>
            </w:r>
          </w:p>
        </w:tc>
        <w:tc>
          <w:tcPr>
            <w:tcW w:w="1975" w:type="dxa"/>
            <w:tcBorders>
              <w:bottom w:val="single" w:sz="4" w:space="0" w:color="95B3D7" w:themeColor="accent1" w:themeTint="99"/>
            </w:tcBorders>
            <w:vAlign w:val="center"/>
          </w:tcPr>
          <w:p w14:paraId="51B69E5E" w14:textId="56BE27C6"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Proceso </w:t>
            </w:r>
            <w:r w:rsidR="00763752" w:rsidRPr="00DF1B15">
              <w:rPr>
                <w:rFonts w:eastAsia="Calibri" w:cs="Arial"/>
                <w:color w:val="000000" w:themeColor="text1"/>
                <w:sz w:val="20"/>
                <w:szCs w:val="20"/>
              </w:rPr>
              <w:t>Gestión de</w:t>
            </w:r>
            <w:r w:rsidRPr="00DF1B15">
              <w:rPr>
                <w:rFonts w:eastAsia="Calibri" w:cs="Arial"/>
                <w:color w:val="000000" w:themeColor="text1"/>
                <w:sz w:val="20"/>
                <w:szCs w:val="20"/>
              </w:rPr>
              <w:t xml:space="preserve"> Información Geográfica</w:t>
            </w:r>
          </w:p>
        </w:tc>
      </w:tr>
      <w:tr w:rsidR="007B7514" w:rsidRPr="00DF1B15" w14:paraId="03E50248" w14:textId="77777777" w:rsidTr="00D94327">
        <w:trPr>
          <w:trHeight w:val="1437"/>
          <w:jc w:val="center"/>
        </w:trPr>
        <w:tc>
          <w:tcPr>
            <w:cnfStyle w:val="001000000000" w:firstRow="0" w:lastRow="0" w:firstColumn="1" w:lastColumn="0" w:oddVBand="0" w:evenVBand="0" w:oddHBand="0" w:evenHBand="0" w:firstRowFirstColumn="0" w:firstRowLastColumn="0" w:lastRowFirstColumn="0" w:lastRowLastColumn="0"/>
            <w:tcW w:w="1767" w:type="dxa"/>
            <w:vMerge/>
            <w:tcBorders>
              <w:bottom w:val="single" w:sz="4" w:space="0" w:color="95B3D7" w:themeColor="accent1" w:themeTint="99"/>
            </w:tcBorders>
            <w:vAlign w:val="center"/>
          </w:tcPr>
          <w:p w14:paraId="50CE18F6" w14:textId="77777777" w:rsidR="007B7514" w:rsidRPr="00DF1B15" w:rsidRDefault="007B7514" w:rsidP="00A6302C">
            <w:pPr>
              <w:jc w:val="center"/>
              <w:rPr>
                <w:rFonts w:cs="Arial"/>
                <w:sz w:val="20"/>
                <w:szCs w:val="20"/>
              </w:rPr>
            </w:pPr>
          </w:p>
        </w:tc>
        <w:tc>
          <w:tcPr>
            <w:tcW w:w="5248" w:type="dxa"/>
            <w:tcBorders>
              <w:bottom w:val="single" w:sz="4" w:space="0" w:color="95B3D7" w:themeColor="accent1" w:themeTint="99"/>
            </w:tcBorders>
            <w:vAlign w:val="center"/>
          </w:tcPr>
          <w:p w14:paraId="0DA06E76"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técnico Dirección</w:t>
            </w:r>
          </w:p>
          <w:p w14:paraId="2DB0DB95"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Apoyo en planes de mejoramiento </w:t>
            </w:r>
            <w:r w:rsidRPr="00DF1B15">
              <w:rPr>
                <w:rFonts w:cs="Arial"/>
                <w:sz w:val="20"/>
                <w:szCs w:val="20"/>
              </w:rPr>
              <w:br/>
            </w:r>
            <w:r w:rsidRPr="00DF1B15">
              <w:rPr>
                <w:rFonts w:eastAsia="Calibri" w:cs="Arial"/>
                <w:color w:val="000000" w:themeColor="text1"/>
                <w:sz w:val="20"/>
                <w:szCs w:val="20"/>
              </w:rPr>
              <w:t>· Actualización y mantenimiento del archivo de la dependencia</w:t>
            </w:r>
            <w:r w:rsidRPr="00DF1B15">
              <w:rPr>
                <w:rFonts w:cs="Arial"/>
                <w:sz w:val="20"/>
                <w:szCs w:val="20"/>
              </w:rPr>
              <w:br/>
            </w:r>
            <w:r w:rsidRPr="00DF1B15">
              <w:rPr>
                <w:rFonts w:eastAsia="Calibri" w:cs="Arial"/>
                <w:color w:val="000000" w:themeColor="text1"/>
                <w:sz w:val="20"/>
                <w:szCs w:val="20"/>
              </w:rPr>
              <w:t>· Apoyo técnico, administrativo y operativo a las actividades inherentes a la ejecución de planes</w:t>
            </w:r>
          </w:p>
        </w:tc>
        <w:tc>
          <w:tcPr>
            <w:tcW w:w="1975" w:type="dxa"/>
            <w:tcBorders>
              <w:bottom w:val="single" w:sz="4" w:space="0" w:color="95B3D7" w:themeColor="accent1" w:themeTint="99"/>
            </w:tcBorders>
            <w:vAlign w:val="center"/>
          </w:tcPr>
          <w:p w14:paraId="74E4AD9B" w14:textId="63B101DC"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Proceso </w:t>
            </w:r>
            <w:r w:rsidR="00763752" w:rsidRPr="00DF1B15">
              <w:rPr>
                <w:rFonts w:eastAsia="Calibri" w:cs="Arial"/>
                <w:color w:val="000000" w:themeColor="text1"/>
                <w:sz w:val="20"/>
                <w:szCs w:val="20"/>
              </w:rPr>
              <w:t>Gestión de</w:t>
            </w:r>
            <w:r w:rsidRPr="00DF1B15">
              <w:rPr>
                <w:rFonts w:eastAsia="Calibri" w:cs="Arial"/>
                <w:color w:val="000000" w:themeColor="text1"/>
                <w:sz w:val="20"/>
                <w:szCs w:val="20"/>
              </w:rPr>
              <w:t xml:space="preserve"> Información Geográfica</w:t>
            </w:r>
          </w:p>
        </w:tc>
      </w:tr>
      <w:tr w:rsidR="007B7514" w:rsidRPr="00DF1B15" w14:paraId="2CEC3E9A" w14:textId="77777777" w:rsidTr="00D94327">
        <w:trPr>
          <w:trHeight w:val="141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03953816" w14:textId="77777777" w:rsidR="007B7514" w:rsidRDefault="007B7514" w:rsidP="00A6302C">
            <w:pPr>
              <w:jc w:val="center"/>
              <w:rPr>
                <w:rFonts w:eastAsia="Calibri" w:cs="Arial"/>
                <w:b w:val="0"/>
                <w:bCs w:val="0"/>
                <w:color w:val="000000" w:themeColor="text1"/>
                <w:sz w:val="20"/>
                <w:szCs w:val="20"/>
              </w:rPr>
            </w:pPr>
          </w:p>
          <w:p w14:paraId="0E9552C0" w14:textId="77777777" w:rsidR="007B7514" w:rsidRDefault="007B7514" w:rsidP="00A6302C">
            <w:pPr>
              <w:jc w:val="center"/>
              <w:rPr>
                <w:rFonts w:eastAsia="Calibri" w:cs="Arial"/>
                <w:b w:val="0"/>
                <w:bCs w:val="0"/>
                <w:color w:val="000000" w:themeColor="text1"/>
                <w:sz w:val="20"/>
                <w:szCs w:val="20"/>
              </w:rPr>
            </w:pPr>
          </w:p>
          <w:p w14:paraId="1194506B" w14:textId="77777777"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Secretario Ejecutivo</w:t>
            </w:r>
          </w:p>
          <w:p w14:paraId="01DDC2FC" w14:textId="77777777" w:rsidR="007B7514" w:rsidRPr="00DF1B15" w:rsidRDefault="007B7514" w:rsidP="00A6302C">
            <w:pPr>
              <w:jc w:val="center"/>
              <w:rPr>
                <w:rFonts w:cs="Arial"/>
                <w:b w:val="0"/>
                <w:bCs w:val="0"/>
                <w:sz w:val="20"/>
                <w:szCs w:val="20"/>
              </w:rPr>
            </w:pPr>
          </w:p>
          <w:p w14:paraId="338DF42C" w14:textId="77777777" w:rsidR="007B7514" w:rsidRPr="00DF1B15" w:rsidRDefault="007B7514" w:rsidP="00A6302C">
            <w:pPr>
              <w:jc w:val="center"/>
              <w:rPr>
                <w:rFonts w:cs="Arial"/>
                <w:b w:val="0"/>
                <w:bCs w:val="0"/>
                <w:sz w:val="20"/>
                <w:szCs w:val="20"/>
              </w:rPr>
            </w:pPr>
          </w:p>
          <w:p w14:paraId="67DCFF6C" w14:textId="77777777" w:rsidR="007B7514" w:rsidRPr="00DF1B15" w:rsidRDefault="007B7514" w:rsidP="00A6302C">
            <w:pPr>
              <w:jc w:val="center"/>
              <w:rPr>
                <w:rFonts w:cs="Arial"/>
                <w:sz w:val="20"/>
                <w:szCs w:val="20"/>
              </w:rPr>
            </w:pPr>
          </w:p>
        </w:tc>
        <w:tc>
          <w:tcPr>
            <w:tcW w:w="5248" w:type="dxa"/>
            <w:vAlign w:val="center"/>
          </w:tcPr>
          <w:p w14:paraId="243FAEFF"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administrativo Dirección</w:t>
            </w:r>
          </w:p>
          <w:p w14:paraId="5BC3D08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Gestión de la asignación, trámite y respuesta oportuna a las solicitudes</w:t>
            </w:r>
            <w:r w:rsidRPr="00DF1B15">
              <w:rPr>
                <w:rFonts w:cs="Arial"/>
                <w:sz w:val="20"/>
                <w:szCs w:val="20"/>
              </w:rPr>
              <w:br/>
            </w:r>
            <w:r w:rsidRPr="00DF1B15">
              <w:rPr>
                <w:rFonts w:eastAsia="Calibri" w:cs="Arial"/>
                <w:color w:val="000000" w:themeColor="text1"/>
                <w:sz w:val="20"/>
                <w:szCs w:val="20"/>
              </w:rPr>
              <w:t>· Organización y actualización de los archivos físicos y digitales</w:t>
            </w:r>
            <w:r w:rsidRPr="00DF1B15">
              <w:rPr>
                <w:rFonts w:cs="Arial"/>
                <w:sz w:val="20"/>
                <w:szCs w:val="20"/>
              </w:rPr>
              <w:br/>
            </w:r>
            <w:r w:rsidRPr="00DF1B15">
              <w:rPr>
                <w:rFonts w:eastAsia="Calibri" w:cs="Arial"/>
                <w:color w:val="000000" w:themeColor="text1"/>
                <w:sz w:val="20"/>
                <w:szCs w:val="20"/>
              </w:rPr>
              <w:t>· Generación de documentos administrativos</w:t>
            </w:r>
          </w:p>
        </w:tc>
        <w:tc>
          <w:tcPr>
            <w:tcW w:w="1975" w:type="dxa"/>
            <w:vAlign w:val="center"/>
          </w:tcPr>
          <w:p w14:paraId="0223A7E2" w14:textId="7FF8220B"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Proceso </w:t>
            </w:r>
            <w:r w:rsidR="00763752" w:rsidRPr="00DF1B15">
              <w:rPr>
                <w:rFonts w:eastAsia="Calibri" w:cs="Arial"/>
                <w:color w:val="000000" w:themeColor="text1"/>
                <w:sz w:val="20"/>
                <w:szCs w:val="20"/>
              </w:rPr>
              <w:t>Gestión de</w:t>
            </w:r>
            <w:r w:rsidRPr="00DF1B15">
              <w:rPr>
                <w:rFonts w:eastAsia="Calibri" w:cs="Arial"/>
                <w:color w:val="000000" w:themeColor="text1"/>
                <w:sz w:val="20"/>
                <w:szCs w:val="20"/>
              </w:rPr>
              <w:t xml:space="preserve"> Información Geográfica</w:t>
            </w:r>
          </w:p>
        </w:tc>
      </w:tr>
      <w:tr w:rsidR="007B7514" w:rsidRPr="00DF1B15" w14:paraId="0F0550AE"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7E2A67F2" w14:textId="77777777" w:rsidR="007B7514" w:rsidRDefault="007B7514" w:rsidP="00A6302C">
            <w:pPr>
              <w:jc w:val="center"/>
              <w:rPr>
                <w:rFonts w:eastAsia="Calibri" w:cs="Arial"/>
                <w:b w:val="0"/>
                <w:bCs w:val="0"/>
                <w:color w:val="000000" w:themeColor="text1"/>
                <w:sz w:val="20"/>
                <w:szCs w:val="20"/>
              </w:rPr>
            </w:pPr>
          </w:p>
          <w:p w14:paraId="3BE2A321" w14:textId="77777777" w:rsidR="007B7514" w:rsidRDefault="007B7514" w:rsidP="00A6302C">
            <w:pPr>
              <w:jc w:val="center"/>
              <w:rPr>
                <w:rFonts w:eastAsia="Calibri" w:cs="Arial"/>
                <w:b w:val="0"/>
                <w:bCs w:val="0"/>
                <w:color w:val="000000" w:themeColor="text1"/>
                <w:sz w:val="20"/>
                <w:szCs w:val="20"/>
              </w:rPr>
            </w:pPr>
          </w:p>
          <w:p w14:paraId="0098F857" w14:textId="77777777" w:rsidR="007B7514" w:rsidRDefault="007B7514" w:rsidP="00A6302C">
            <w:pPr>
              <w:jc w:val="center"/>
              <w:rPr>
                <w:rFonts w:eastAsia="Calibri" w:cs="Arial"/>
                <w:b w:val="0"/>
                <w:bCs w:val="0"/>
                <w:color w:val="000000" w:themeColor="text1"/>
                <w:sz w:val="20"/>
                <w:szCs w:val="20"/>
              </w:rPr>
            </w:pPr>
          </w:p>
          <w:p w14:paraId="077BE2CC" w14:textId="77777777" w:rsidR="007B7514" w:rsidRDefault="007B7514" w:rsidP="00A6302C">
            <w:pPr>
              <w:jc w:val="center"/>
              <w:rPr>
                <w:rFonts w:eastAsia="Calibri" w:cs="Arial"/>
                <w:b w:val="0"/>
                <w:bCs w:val="0"/>
                <w:color w:val="000000" w:themeColor="text1"/>
                <w:sz w:val="20"/>
                <w:szCs w:val="20"/>
              </w:rPr>
            </w:pPr>
          </w:p>
          <w:p w14:paraId="36B860A3" w14:textId="77777777"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Profesional</w:t>
            </w:r>
          </w:p>
          <w:p w14:paraId="5A6018DB" w14:textId="77777777" w:rsidR="007B7514" w:rsidRPr="00DF1B15" w:rsidRDefault="007B7514" w:rsidP="00A6302C">
            <w:pPr>
              <w:jc w:val="center"/>
              <w:rPr>
                <w:rFonts w:cs="Arial"/>
                <w:b w:val="0"/>
                <w:bCs w:val="0"/>
                <w:sz w:val="20"/>
                <w:szCs w:val="20"/>
              </w:rPr>
            </w:pPr>
          </w:p>
          <w:p w14:paraId="33A65E3B" w14:textId="77777777" w:rsidR="007B7514" w:rsidRPr="00DF1B15" w:rsidRDefault="007B7514" w:rsidP="00A6302C">
            <w:pPr>
              <w:jc w:val="center"/>
              <w:rPr>
                <w:rFonts w:cs="Arial"/>
                <w:b w:val="0"/>
                <w:bCs w:val="0"/>
                <w:sz w:val="20"/>
                <w:szCs w:val="20"/>
              </w:rPr>
            </w:pPr>
          </w:p>
          <w:p w14:paraId="1079BAA7" w14:textId="77777777" w:rsidR="007B7514" w:rsidRPr="00DF1B15" w:rsidRDefault="007B7514" w:rsidP="00A6302C">
            <w:pPr>
              <w:jc w:val="center"/>
              <w:rPr>
                <w:rFonts w:cs="Arial"/>
                <w:b w:val="0"/>
                <w:bCs w:val="0"/>
                <w:sz w:val="20"/>
                <w:szCs w:val="20"/>
              </w:rPr>
            </w:pPr>
          </w:p>
          <w:p w14:paraId="28FA5B81" w14:textId="77777777" w:rsidR="007B7514" w:rsidRPr="00DF1B15" w:rsidRDefault="007B7514" w:rsidP="00A6302C">
            <w:pPr>
              <w:jc w:val="center"/>
              <w:rPr>
                <w:rFonts w:cs="Arial"/>
                <w:b w:val="0"/>
                <w:bCs w:val="0"/>
                <w:sz w:val="20"/>
                <w:szCs w:val="20"/>
              </w:rPr>
            </w:pPr>
          </w:p>
          <w:p w14:paraId="27953E9A" w14:textId="77777777" w:rsidR="007B7514" w:rsidRPr="00DF1B15" w:rsidRDefault="007B7514" w:rsidP="00A6302C">
            <w:pPr>
              <w:jc w:val="center"/>
              <w:rPr>
                <w:rFonts w:cs="Arial"/>
                <w:b w:val="0"/>
                <w:bCs w:val="0"/>
                <w:sz w:val="20"/>
                <w:szCs w:val="20"/>
              </w:rPr>
            </w:pPr>
          </w:p>
          <w:p w14:paraId="238F7283" w14:textId="77777777" w:rsidR="007B7514" w:rsidRPr="00DF1B15" w:rsidRDefault="007B7514" w:rsidP="00A6302C">
            <w:pPr>
              <w:jc w:val="center"/>
              <w:rPr>
                <w:rFonts w:cs="Arial"/>
                <w:sz w:val="20"/>
                <w:szCs w:val="20"/>
              </w:rPr>
            </w:pPr>
          </w:p>
        </w:tc>
        <w:tc>
          <w:tcPr>
            <w:tcW w:w="5248" w:type="dxa"/>
            <w:vAlign w:val="center"/>
          </w:tcPr>
          <w:p w14:paraId="5128D9E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Personal de apoyo Dirección</w:t>
            </w:r>
          </w:p>
          <w:p w14:paraId="3D093314"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Gestión e integración de productos y aplicaciones </w:t>
            </w:r>
            <w:r w:rsidRPr="00DF1B15">
              <w:rPr>
                <w:rFonts w:cs="Arial"/>
                <w:sz w:val="20"/>
                <w:szCs w:val="20"/>
              </w:rPr>
              <w:br/>
            </w:r>
            <w:r w:rsidRPr="00DF1B15">
              <w:rPr>
                <w:rFonts w:eastAsia="Calibri" w:cs="Arial"/>
                <w:color w:val="000000" w:themeColor="text1"/>
                <w:sz w:val="20"/>
                <w:szCs w:val="20"/>
              </w:rPr>
              <w:t>· Gestión solicitudes de bienes, servicio y/o obras públicas</w:t>
            </w:r>
            <w:r w:rsidRPr="00DF1B15">
              <w:rPr>
                <w:rFonts w:cs="Arial"/>
                <w:sz w:val="20"/>
                <w:szCs w:val="20"/>
              </w:rPr>
              <w:br/>
            </w:r>
            <w:r w:rsidRPr="00DF1B15">
              <w:rPr>
                <w:rFonts w:eastAsia="Calibri" w:cs="Arial"/>
                <w:color w:val="000000" w:themeColor="text1"/>
                <w:sz w:val="20"/>
                <w:szCs w:val="20"/>
              </w:rPr>
              <w:t>· Acompañamiento y seguimiento a la ejecución de los proyectos y procesos</w:t>
            </w:r>
            <w:r w:rsidRPr="00DF1B15">
              <w:rPr>
                <w:rFonts w:cs="Arial"/>
                <w:sz w:val="20"/>
                <w:szCs w:val="20"/>
              </w:rPr>
              <w:br/>
            </w:r>
            <w:r w:rsidRPr="00DF1B15">
              <w:rPr>
                <w:rFonts w:eastAsia="Calibri" w:cs="Arial"/>
                <w:color w:val="000000" w:themeColor="text1"/>
                <w:sz w:val="20"/>
                <w:szCs w:val="20"/>
              </w:rPr>
              <w:t>· Implementación de métodos estadísticos y generación de nuevos productos</w:t>
            </w:r>
            <w:r w:rsidRPr="00DF1B15">
              <w:rPr>
                <w:rFonts w:cs="Arial"/>
                <w:sz w:val="20"/>
                <w:szCs w:val="20"/>
              </w:rPr>
              <w:br/>
            </w:r>
            <w:r w:rsidRPr="00DF1B15">
              <w:rPr>
                <w:rFonts w:eastAsia="Calibri" w:cs="Arial"/>
                <w:color w:val="000000" w:themeColor="text1"/>
                <w:sz w:val="20"/>
                <w:szCs w:val="20"/>
              </w:rPr>
              <w:t xml:space="preserve">· Fortalecimiento de los productos y servicios de información </w:t>
            </w:r>
            <w:r w:rsidRPr="00DF1B15">
              <w:rPr>
                <w:rFonts w:cs="Arial"/>
                <w:sz w:val="20"/>
                <w:szCs w:val="20"/>
              </w:rPr>
              <w:br/>
            </w:r>
            <w:r w:rsidRPr="00DF1B15">
              <w:rPr>
                <w:rFonts w:eastAsia="Calibri" w:cs="Arial"/>
                <w:color w:val="000000" w:themeColor="text1"/>
                <w:sz w:val="20"/>
                <w:szCs w:val="20"/>
              </w:rPr>
              <w:t>· Gestión de requerimientos y procesos jurídicos de la dependencia</w:t>
            </w:r>
            <w:r w:rsidRPr="00DF1B15">
              <w:rPr>
                <w:rFonts w:cs="Arial"/>
                <w:sz w:val="20"/>
                <w:szCs w:val="20"/>
              </w:rPr>
              <w:br/>
            </w:r>
            <w:r w:rsidRPr="00DF1B15">
              <w:rPr>
                <w:rFonts w:eastAsia="Calibri" w:cs="Arial"/>
                <w:color w:val="000000" w:themeColor="text1"/>
                <w:sz w:val="20"/>
                <w:szCs w:val="20"/>
              </w:rPr>
              <w:t xml:space="preserve">actualización de los procesos </w:t>
            </w:r>
            <w:r w:rsidRPr="00DF1B15">
              <w:rPr>
                <w:rFonts w:cs="Arial"/>
                <w:sz w:val="20"/>
                <w:szCs w:val="20"/>
              </w:rPr>
              <w:br/>
            </w:r>
            <w:r w:rsidRPr="00DF1B15">
              <w:rPr>
                <w:rFonts w:eastAsia="Calibri" w:cs="Arial"/>
                <w:color w:val="000000" w:themeColor="text1"/>
                <w:sz w:val="20"/>
                <w:szCs w:val="20"/>
              </w:rPr>
              <w:t>· Gestión, análisis y respuesta oportuna asociada con los procesos y proyectos</w:t>
            </w:r>
            <w:r w:rsidRPr="00DF1B15">
              <w:rPr>
                <w:rFonts w:cs="Arial"/>
                <w:sz w:val="20"/>
                <w:szCs w:val="20"/>
              </w:rPr>
              <w:br/>
            </w:r>
            <w:r w:rsidRPr="00DF1B15">
              <w:rPr>
                <w:rFonts w:eastAsia="Calibri" w:cs="Arial"/>
                <w:color w:val="000000" w:themeColor="text1"/>
                <w:sz w:val="20"/>
                <w:szCs w:val="20"/>
              </w:rPr>
              <w:t>· Gestión desde el componente administrativo, procesos y proyectos misionales</w:t>
            </w:r>
            <w:r w:rsidRPr="00DF1B15">
              <w:rPr>
                <w:rFonts w:cs="Arial"/>
                <w:sz w:val="20"/>
                <w:szCs w:val="20"/>
              </w:rPr>
              <w:br/>
            </w:r>
            <w:r w:rsidRPr="00DF1B15">
              <w:rPr>
                <w:rFonts w:eastAsia="Calibri" w:cs="Arial"/>
                <w:color w:val="000000" w:themeColor="text1"/>
                <w:sz w:val="20"/>
                <w:szCs w:val="20"/>
              </w:rPr>
              <w:t>· Apoyar la gestión logística</w:t>
            </w:r>
            <w:r w:rsidRPr="00DF1B15">
              <w:rPr>
                <w:rFonts w:cs="Arial"/>
                <w:sz w:val="20"/>
                <w:szCs w:val="20"/>
              </w:rPr>
              <w:br/>
            </w:r>
            <w:r w:rsidRPr="00DF1B15">
              <w:rPr>
                <w:rFonts w:eastAsia="Calibri" w:cs="Arial"/>
                <w:color w:val="000000" w:themeColor="text1"/>
                <w:sz w:val="20"/>
                <w:szCs w:val="20"/>
              </w:rPr>
              <w:t>· Orientar técnicamente la ejecución de los proyectos y procesos</w:t>
            </w:r>
            <w:r w:rsidRPr="00DF1B15">
              <w:rPr>
                <w:rFonts w:cs="Arial"/>
                <w:sz w:val="20"/>
                <w:szCs w:val="20"/>
              </w:rPr>
              <w:br/>
            </w:r>
            <w:r w:rsidRPr="00DF1B15">
              <w:rPr>
                <w:rFonts w:eastAsia="Calibri" w:cs="Arial"/>
                <w:color w:val="000000" w:themeColor="text1"/>
                <w:sz w:val="20"/>
                <w:szCs w:val="20"/>
              </w:rPr>
              <w:t>·Apoyar en la atención, control y seguimiento de los contratos, convenios y procesos que lidere la dependencia</w:t>
            </w:r>
          </w:p>
        </w:tc>
        <w:tc>
          <w:tcPr>
            <w:tcW w:w="1975" w:type="dxa"/>
            <w:vAlign w:val="center"/>
          </w:tcPr>
          <w:p w14:paraId="24F96786" w14:textId="258FCF59"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Proceso </w:t>
            </w:r>
            <w:r w:rsidR="00763752" w:rsidRPr="00DF1B15">
              <w:rPr>
                <w:rFonts w:eastAsia="Calibri" w:cs="Arial"/>
                <w:color w:val="000000" w:themeColor="text1"/>
                <w:sz w:val="20"/>
                <w:szCs w:val="20"/>
              </w:rPr>
              <w:t>Gestión de</w:t>
            </w:r>
            <w:r w:rsidRPr="00DF1B15">
              <w:rPr>
                <w:rFonts w:eastAsia="Calibri" w:cs="Arial"/>
                <w:color w:val="000000" w:themeColor="text1"/>
                <w:sz w:val="20"/>
                <w:szCs w:val="20"/>
              </w:rPr>
              <w:t xml:space="preserve"> Información Geográfica</w:t>
            </w:r>
          </w:p>
        </w:tc>
      </w:tr>
      <w:tr w:rsidR="007B7514" w:rsidRPr="00DF1B15" w14:paraId="04A23243"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9F4E43F" w14:textId="77777777" w:rsidR="007B7514" w:rsidRDefault="007B7514" w:rsidP="00A6302C">
            <w:pPr>
              <w:jc w:val="center"/>
              <w:rPr>
                <w:rFonts w:eastAsia="Calibri" w:cs="Arial"/>
                <w:b w:val="0"/>
                <w:bCs w:val="0"/>
                <w:color w:val="000000" w:themeColor="text1"/>
                <w:sz w:val="20"/>
                <w:szCs w:val="20"/>
              </w:rPr>
            </w:pPr>
          </w:p>
          <w:p w14:paraId="22E53834" w14:textId="77777777" w:rsidR="007B7514" w:rsidRDefault="007B7514" w:rsidP="00A6302C">
            <w:pPr>
              <w:jc w:val="center"/>
              <w:rPr>
                <w:rFonts w:eastAsia="Calibri" w:cs="Arial"/>
                <w:b w:val="0"/>
                <w:bCs w:val="0"/>
                <w:color w:val="000000" w:themeColor="text1"/>
                <w:sz w:val="20"/>
                <w:szCs w:val="20"/>
              </w:rPr>
            </w:pPr>
          </w:p>
          <w:p w14:paraId="4EA9EB45" w14:textId="77777777" w:rsidR="007B7514" w:rsidRDefault="007B7514" w:rsidP="00A6302C">
            <w:pPr>
              <w:jc w:val="center"/>
              <w:rPr>
                <w:rFonts w:eastAsia="Calibri" w:cs="Arial"/>
                <w:b w:val="0"/>
                <w:bCs w:val="0"/>
                <w:color w:val="000000" w:themeColor="text1"/>
                <w:sz w:val="20"/>
                <w:szCs w:val="20"/>
              </w:rPr>
            </w:pPr>
          </w:p>
          <w:p w14:paraId="67B3A1BC" w14:textId="77777777" w:rsidR="007B7514" w:rsidRDefault="007B7514" w:rsidP="00A6302C">
            <w:pPr>
              <w:jc w:val="center"/>
              <w:rPr>
                <w:rFonts w:eastAsia="Calibri" w:cs="Arial"/>
                <w:b w:val="0"/>
                <w:bCs w:val="0"/>
                <w:color w:val="000000" w:themeColor="text1"/>
                <w:sz w:val="20"/>
                <w:szCs w:val="20"/>
              </w:rPr>
            </w:pPr>
            <w:r w:rsidRPr="00DF1B15">
              <w:rPr>
                <w:rFonts w:eastAsia="Calibri" w:cs="Arial"/>
                <w:color w:val="000000" w:themeColor="text1"/>
                <w:sz w:val="20"/>
                <w:szCs w:val="20"/>
              </w:rPr>
              <w:t xml:space="preserve">Subdirector </w:t>
            </w:r>
          </w:p>
          <w:p w14:paraId="7150AA2C" w14:textId="77777777"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Técnico</w:t>
            </w:r>
          </w:p>
          <w:p w14:paraId="3E9D4402" w14:textId="77777777" w:rsidR="007B7514" w:rsidRPr="00DF1B15" w:rsidRDefault="007B7514" w:rsidP="00A6302C">
            <w:pPr>
              <w:jc w:val="center"/>
              <w:rPr>
                <w:rFonts w:cs="Arial"/>
                <w:b w:val="0"/>
                <w:bCs w:val="0"/>
                <w:sz w:val="20"/>
                <w:szCs w:val="20"/>
              </w:rPr>
            </w:pPr>
          </w:p>
          <w:p w14:paraId="3246DB77" w14:textId="77777777" w:rsidR="007B7514" w:rsidRPr="00DF1B15" w:rsidRDefault="007B7514" w:rsidP="00A6302C">
            <w:pPr>
              <w:jc w:val="center"/>
              <w:rPr>
                <w:rFonts w:cs="Arial"/>
                <w:b w:val="0"/>
                <w:bCs w:val="0"/>
                <w:sz w:val="20"/>
                <w:szCs w:val="20"/>
              </w:rPr>
            </w:pPr>
          </w:p>
          <w:p w14:paraId="635E3CCB" w14:textId="77777777" w:rsidR="007B7514" w:rsidRPr="00DF1B15" w:rsidRDefault="007B7514" w:rsidP="00A6302C">
            <w:pPr>
              <w:jc w:val="center"/>
              <w:rPr>
                <w:rFonts w:cs="Arial"/>
                <w:sz w:val="20"/>
                <w:szCs w:val="20"/>
              </w:rPr>
            </w:pPr>
          </w:p>
        </w:tc>
        <w:tc>
          <w:tcPr>
            <w:tcW w:w="5248" w:type="dxa"/>
            <w:vAlign w:val="center"/>
          </w:tcPr>
          <w:p w14:paraId="314F2C6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Subdirector de Cartografía y Geodesia</w:t>
            </w:r>
          </w:p>
          <w:p w14:paraId="30472E82"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Liderazgo de proyectos y desarrollar estrategias de operación, con los máximos criterios de calidad, oportunidad y efectividad </w:t>
            </w:r>
            <w:r w:rsidRPr="00DF1B15">
              <w:rPr>
                <w:rFonts w:cs="Arial"/>
                <w:sz w:val="20"/>
                <w:szCs w:val="20"/>
              </w:rPr>
              <w:br/>
            </w:r>
            <w:r w:rsidRPr="00DF1B15">
              <w:rPr>
                <w:rFonts w:eastAsia="Calibri" w:cs="Arial"/>
                <w:color w:val="000000" w:themeColor="text1"/>
                <w:sz w:val="20"/>
                <w:szCs w:val="20"/>
              </w:rPr>
              <w:t>· Planeación, ejecución y evaluación de los procesos</w:t>
            </w:r>
            <w:r w:rsidRPr="00DF1B15">
              <w:rPr>
                <w:rFonts w:cs="Arial"/>
                <w:sz w:val="20"/>
                <w:szCs w:val="20"/>
              </w:rPr>
              <w:br/>
            </w:r>
            <w:r w:rsidRPr="00DF1B15">
              <w:rPr>
                <w:rFonts w:eastAsia="Calibri" w:cs="Arial"/>
                <w:color w:val="000000" w:themeColor="text1"/>
                <w:sz w:val="20"/>
                <w:szCs w:val="20"/>
              </w:rPr>
              <w:t>· Definición e implementación de planes y programas</w:t>
            </w:r>
            <w:r w:rsidRPr="00DF1B15">
              <w:rPr>
                <w:rFonts w:cs="Arial"/>
                <w:sz w:val="20"/>
                <w:szCs w:val="20"/>
              </w:rPr>
              <w:br/>
            </w:r>
            <w:r w:rsidRPr="00DF1B15">
              <w:rPr>
                <w:rFonts w:eastAsia="Calibri" w:cs="Arial"/>
                <w:color w:val="000000" w:themeColor="text1"/>
                <w:sz w:val="20"/>
                <w:szCs w:val="20"/>
              </w:rPr>
              <w:t xml:space="preserve">· Definición de políticas, especificaciones y estrategias </w:t>
            </w:r>
            <w:r w:rsidRPr="00DF1B15">
              <w:rPr>
                <w:rFonts w:cs="Arial"/>
                <w:sz w:val="20"/>
                <w:szCs w:val="20"/>
              </w:rPr>
              <w:br/>
            </w:r>
            <w:r w:rsidRPr="00DF1B15">
              <w:rPr>
                <w:rFonts w:eastAsia="Calibri" w:cs="Arial"/>
                <w:color w:val="000000" w:themeColor="text1"/>
                <w:sz w:val="20"/>
                <w:szCs w:val="20"/>
              </w:rPr>
              <w:t>· Administración de Sistemas Nacionales de Referencia</w:t>
            </w:r>
          </w:p>
        </w:tc>
        <w:tc>
          <w:tcPr>
            <w:tcW w:w="1975" w:type="dxa"/>
            <w:vAlign w:val="center"/>
          </w:tcPr>
          <w:p w14:paraId="35CFEC1F"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162ACC3A" w14:textId="77777777" w:rsidTr="00D94327">
        <w:trPr>
          <w:trHeight w:val="150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D6EF560" w14:textId="77777777" w:rsidR="007B7514" w:rsidRDefault="007B7514" w:rsidP="00A6302C">
            <w:pPr>
              <w:jc w:val="center"/>
              <w:rPr>
                <w:rFonts w:eastAsia="Calibri" w:cs="Arial"/>
                <w:b w:val="0"/>
                <w:bCs w:val="0"/>
                <w:color w:val="000000" w:themeColor="text1"/>
                <w:sz w:val="20"/>
                <w:szCs w:val="20"/>
              </w:rPr>
            </w:pPr>
          </w:p>
          <w:p w14:paraId="04C85732" w14:textId="77777777" w:rsidR="007B7514" w:rsidRDefault="007B7514" w:rsidP="00A6302C">
            <w:pPr>
              <w:jc w:val="center"/>
              <w:rPr>
                <w:rFonts w:eastAsia="Calibri" w:cs="Arial"/>
                <w:b w:val="0"/>
                <w:bCs w:val="0"/>
                <w:color w:val="000000" w:themeColor="text1"/>
                <w:sz w:val="20"/>
                <w:szCs w:val="20"/>
              </w:rPr>
            </w:pPr>
          </w:p>
          <w:p w14:paraId="14C5BB2F" w14:textId="77777777" w:rsidR="007B7514" w:rsidRDefault="007B7514" w:rsidP="00A6302C">
            <w:pPr>
              <w:jc w:val="center"/>
              <w:rPr>
                <w:rFonts w:eastAsia="Calibri" w:cs="Arial"/>
                <w:b w:val="0"/>
                <w:bCs w:val="0"/>
                <w:color w:val="000000" w:themeColor="text1"/>
                <w:sz w:val="20"/>
                <w:szCs w:val="20"/>
              </w:rPr>
            </w:pPr>
          </w:p>
          <w:p w14:paraId="00AABF63" w14:textId="77777777"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Profesional</w:t>
            </w:r>
          </w:p>
          <w:p w14:paraId="317CED1E" w14:textId="77777777" w:rsidR="007B7514" w:rsidRPr="00DF1B15" w:rsidRDefault="007B7514" w:rsidP="00A6302C">
            <w:pPr>
              <w:jc w:val="center"/>
              <w:rPr>
                <w:rFonts w:cs="Arial"/>
                <w:b w:val="0"/>
                <w:bCs w:val="0"/>
                <w:sz w:val="20"/>
                <w:szCs w:val="20"/>
              </w:rPr>
            </w:pPr>
          </w:p>
          <w:p w14:paraId="20A15B90" w14:textId="77777777" w:rsidR="007B7514" w:rsidRPr="00DF1B15" w:rsidRDefault="007B7514" w:rsidP="00A6302C">
            <w:pPr>
              <w:jc w:val="center"/>
              <w:rPr>
                <w:rFonts w:cs="Arial"/>
                <w:b w:val="0"/>
                <w:bCs w:val="0"/>
                <w:sz w:val="20"/>
                <w:szCs w:val="20"/>
              </w:rPr>
            </w:pPr>
          </w:p>
          <w:p w14:paraId="6942631D" w14:textId="77777777" w:rsidR="007B7514" w:rsidRPr="00DF1B15" w:rsidRDefault="007B7514" w:rsidP="00A6302C">
            <w:pPr>
              <w:jc w:val="center"/>
              <w:rPr>
                <w:rFonts w:cs="Arial"/>
                <w:sz w:val="20"/>
                <w:szCs w:val="20"/>
              </w:rPr>
            </w:pPr>
          </w:p>
        </w:tc>
        <w:tc>
          <w:tcPr>
            <w:tcW w:w="5248" w:type="dxa"/>
            <w:vAlign w:val="center"/>
          </w:tcPr>
          <w:p w14:paraId="32E12FC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Producción Cartográfica</w:t>
            </w:r>
          </w:p>
          <w:p w14:paraId="174FB6D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Elaboración planes de vuelo para levantamientos aerofotogramétricos y adquisición de insumos</w:t>
            </w:r>
            <w:r w:rsidRPr="00DF1B15">
              <w:rPr>
                <w:rFonts w:cs="Arial"/>
                <w:sz w:val="20"/>
                <w:szCs w:val="20"/>
              </w:rPr>
              <w:br/>
            </w:r>
            <w:r w:rsidRPr="00DF1B15">
              <w:rPr>
                <w:rFonts w:eastAsia="Calibri" w:cs="Arial"/>
                <w:color w:val="000000" w:themeColor="text1"/>
                <w:sz w:val="20"/>
                <w:szCs w:val="20"/>
              </w:rPr>
              <w:t>· Aseguramiento de la calidad</w:t>
            </w:r>
            <w:r w:rsidRPr="00DF1B15">
              <w:rPr>
                <w:rFonts w:cs="Arial"/>
                <w:sz w:val="20"/>
                <w:szCs w:val="20"/>
              </w:rPr>
              <w:br/>
            </w:r>
            <w:r w:rsidRPr="00DF1B15">
              <w:rPr>
                <w:rFonts w:eastAsia="Calibri" w:cs="Arial"/>
                <w:color w:val="000000" w:themeColor="text1"/>
                <w:sz w:val="20"/>
                <w:szCs w:val="20"/>
              </w:rPr>
              <w:t>· Ejecución de proyectos de producción, mantenimiento y difusión</w:t>
            </w:r>
          </w:p>
        </w:tc>
        <w:tc>
          <w:tcPr>
            <w:tcW w:w="1975" w:type="dxa"/>
            <w:vAlign w:val="center"/>
          </w:tcPr>
          <w:p w14:paraId="682608C1"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029EB466" w14:textId="77777777" w:rsidTr="00D94327">
        <w:trPr>
          <w:trHeight w:val="1721"/>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4E487FFB" w14:textId="77777777" w:rsidR="007E5071" w:rsidRPr="007E5071" w:rsidRDefault="007E5071" w:rsidP="007E5071">
            <w:pPr>
              <w:jc w:val="center"/>
              <w:rPr>
                <w:rFonts w:eastAsia="Calibri" w:cs="Arial"/>
                <w:color w:val="000000" w:themeColor="text1"/>
                <w:sz w:val="20"/>
                <w:szCs w:val="20"/>
              </w:rPr>
            </w:pPr>
          </w:p>
          <w:p w14:paraId="41601A72" w14:textId="77777777" w:rsidR="00B06EDE" w:rsidRDefault="00B06EDE" w:rsidP="00A6302C">
            <w:pPr>
              <w:jc w:val="center"/>
              <w:rPr>
                <w:rFonts w:eastAsia="Calibri" w:cs="Arial"/>
                <w:color w:val="000000" w:themeColor="text1"/>
                <w:sz w:val="20"/>
                <w:szCs w:val="20"/>
              </w:rPr>
            </w:pPr>
          </w:p>
          <w:p w14:paraId="156CDCE6" w14:textId="77777777" w:rsidR="00B06EDE" w:rsidRDefault="00B06EDE" w:rsidP="00A6302C">
            <w:pPr>
              <w:jc w:val="center"/>
              <w:rPr>
                <w:rFonts w:eastAsia="Calibri" w:cs="Arial"/>
                <w:color w:val="000000" w:themeColor="text1"/>
                <w:sz w:val="20"/>
                <w:szCs w:val="20"/>
              </w:rPr>
            </w:pPr>
          </w:p>
          <w:p w14:paraId="51A53200" w14:textId="77777777" w:rsidR="00B06EDE" w:rsidRDefault="00B06EDE" w:rsidP="00A6302C">
            <w:pPr>
              <w:jc w:val="center"/>
              <w:rPr>
                <w:rFonts w:eastAsia="Calibri" w:cs="Arial"/>
                <w:color w:val="000000" w:themeColor="text1"/>
                <w:sz w:val="20"/>
                <w:szCs w:val="20"/>
              </w:rPr>
            </w:pPr>
          </w:p>
          <w:p w14:paraId="33FFD40C" w14:textId="77777777" w:rsidR="00B06EDE" w:rsidRDefault="00B06EDE" w:rsidP="00A6302C">
            <w:pPr>
              <w:jc w:val="center"/>
              <w:rPr>
                <w:rFonts w:eastAsia="Calibri" w:cs="Arial"/>
                <w:b w:val="0"/>
                <w:bCs w:val="0"/>
                <w:color w:val="000000" w:themeColor="text1"/>
                <w:sz w:val="20"/>
                <w:szCs w:val="20"/>
              </w:rPr>
            </w:pPr>
          </w:p>
          <w:p w14:paraId="0987615E" w14:textId="1CBBA0E5"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Profesional</w:t>
            </w:r>
            <w:r w:rsidR="00A315AC" w:rsidRPr="00DF1B15">
              <w:rPr>
                <w:rFonts w:eastAsia="Calibri" w:cs="Arial"/>
                <w:color w:val="000000" w:themeColor="text1"/>
                <w:sz w:val="20"/>
                <w:szCs w:val="20"/>
              </w:rPr>
              <w:t>Profesional</w:t>
            </w:r>
          </w:p>
          <w:p w14:paraId="29AEFD2F" w14:textId="77777777" w:rsidR="007B7514" w:rsidRPr="00DF1B15" w:rsidRDefault="007B7514" w:rsidP="00A6302C">
            <w:pPr>
              <w:jc w:val="center"/>
              <w:rPr>
                <w:rFonts w:cs="Arial"/>
                <w:b w:val="0"/>
                <w:bCs w:val="0"/>
                <w:sz w:val="20"/>
                <w:szCs w:val="20"/>
              </w:rPr>
            </w:pPr>
          </w:p>
          <w:p w14:paraId="3933CA18" w14:textId="77777777" w:rsidR="007B7514" w:rsidRPr="00DF1B15" w:rsidRDefault="007B7514" w:rsidP="00A6302C">
            <w:pPr>
              <w:jc w:val="center"/>
              <w:rPr>
                <w:rFonts w:cs="Arial"/>
                <w:b w:val="0"/>
                <w:bCs w:val="0"/>
                <w:sz w:val="20"/>
                <w:szCs w:val="20"/>
              </w:rPr>
            </w:pPr>
          </w:p>
          <w:p w14:paraId="12DCC247" w14:textId="77777777" w:rsidR="007B7514" w:rsidRPr="00DF1B15" w:rsidRDefault="007B7514" w:rsidP="00A6302C">
            <w:pPr>
              <w:jc w:val="center"/>
              <w:rPr>
                <w:rFonts w:cs="Arial"/>
                <w:b w:val="0"/>
                <w:bCs w:val="0"/>
                <w:sz w:val="20"/>
                <w:szCs w:val="20"/>
              </w:rPr>
            </w:pPr>
          </w:p>
          <w:p w14:paraId="3A15E32D" w14:textId="77777777" w:rsidR="007B7514" w:rsidRPr="00DF1B15" w:rsidRDefault="007B7514" w:rsidP="00A6302C">
            <w:pPr>
              <w:jc w:val="center"/>
              <w:rPr>
                <w:rFonts w:cs="Arial"/>
                <w:sz w:val="20"/>
                <w:szCs w:val="20"/>
              </w:rPr>
            </w:pPr>
          </w:p>
        </w:tc>
        <w:tc>
          <w:tcPr>
            <w:tcW w:w="5248" w:type="dxa"/>
            <w:vAlign w:val="center"/>
          </w:tcPr>
          <w:p w14:paraId="74B916D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Administración de la Información</w:t>
            </w:r>
          </w:p>
          <w:p w14:paraId="50361A69"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Metodología de uso y manejo de información</w:t>
            </w:r>
            <w:r w:rsidRPr="00DF1B15">
              <w:rPr>
                <w:rFonts w:cs="Arial"/>
                <w:sz w:val="20"/>
                <w:szCs w:val="20"/>
              </w:rPr>
              <w:br/>
            </w:r>
            <w:r w:rsidRPr="00DF1B15">
              <w:rPr>
                <w:rFonts w:eastAsia="Calibri" w:cs="Arial"/>
                <w:color w:val="000000" w:themeColor="text1"/>
                <w:sz w:val="20"/>
                <w:szCs w:val="20"/>
              </w:rPr>
              <w:t>· Administración de la información geográfica</w:t>
            </w:r>
            <w:r w:rsidRPr="00DF1B15">
              <w:rPr>
                <w:rFonts w:cs="Arial"/>
                <w:sz w:val="20"/>
                <w:szCs w:val="20"/>
              </w:rPr>
              <w:br/>
            </w:r>
            <w:r w:rsidRPr="00DF1B15">
              <w:rPr>
                <w:rFonts w:eastAsia="Calibri" w:cs="Arial"/>
                <w:color w:val="000000" w:themeColor="text1"/>
                <w:sz w:val="20"/>
                <w:szCs w:val="20"/>
              </w:rPr>
              <w:t>· Adquisición, administración y mantenimiento de tecnologías</w:t>
            </w:r>
            <w:r w:rsidRPr="00DF1B15">
              <w:rPr>
                <w:rFonts w:cs="Arial"/>
                <w:sz w:val="20"/>
                <w:szCs w:val="20"/>
              </w:rPr>
              <w:br/>
            </w:r>
            <w:r w:rsidRPr="00DF1B15">
              <w:rPr>
                <w:rFonts w:eastAsia="Calibri" w:cs="Arial"/>
                <w:color w:val="000000" w:themeColor="text1"/>
                <w:sz w:val="20"/>
                <w:szCs w:val="20"/>
              </w:rPr>
              <w:t>· Modelos y esquemas corporativos de datos</w:t>
            </w:r>
            <w:r w:rsidRPr="00DF1B15">
              <w:rPr>
                <w:rFonts w:cs="Arial"/>
                <w:sz w:val="20"/>
                <w:szCs w:val="20"/>
              </w:rPr>
              <w:br/>
            </w:r>
            <w:r w:rsidRPr="00DF1B15">
              <w:rPr>
                <w:rFonts w:eastAsia="Calibri" w:cs="Arial"/>
                <w:color w:val="000000" w:themeColor="text1"/>
                <w:sz w:val="20"/>
                <w:szCs w:val="20"/>
              </w:rPr>
              <w:t>· Disposición de la información a usuarios internos y externos</w:t>
            </w:r>
            <w:r w:rsidRPr="00DF1B15">
              <w:rPr>
                <w:rFonts w:cs="Arial"/>
                <w:sz w:val="20"/>
                <w:szCs w:val="20"/>
              </w:rPr>
              <w:br/>
            </w:r>
            <w:r w:rsidRPr="00DF1B15">
              <w:rPr>
                <w:rFonts w:eastAsia="Calibri" w:cs="Arial"/>
                <w:color w:val="000000" w:themeColor="text1"/>
                <w:sz w:val="20"/>
                <w:szCs w:val="20"/>
              </w:rPr>
              <w:t>· Optimización de herramientas tecnológicas</w:t>
            </w:r>
          </w:p>
        </w:tc>
        <w:tc>
          <w:tcPr>
            <w:tcW w:w="1975" w:type="dxa"/>
            <w:vAlign w:val="center"/>
          </w:tcPr>
          <w:p w14:paraId="469FFC4B"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15D49CBF" w14:textId="77777777" w:rsidTr="00D94327">
        <w:trPr>
          <w:trHeight w:val="2061"/>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D7B56CB" w14:textId="77777777" w:rsidR="007B7514" w:rsidRDefault="007B7514" w:rsidP="00A6302C">
            <w:pPr>
              <w:jc w:val="center"/>
              <w:rPr>
                <w:rFonts w:eastAsia="Calibri" w:cs="Arial"/>
                <w:b w:val="0"/>
                <w:bCs w:val="0"/>
                <w:color w:val="000000" w:themeColor="text1"/>
                <w:sz w:val="20"/>
                <w:szCs w:val="20"/>
              </w:rPr>
            </w:pPr>
          </w:p>
          <w:p w14:paraId="1FBD63E5" w14:textId="77777777" w:rsidR="007B7514" w:rsidRDefault="007B7514" w:rsidP="00A6302C">
            <w:pPr>
              <w:jc w:val="center"/>
              <w:rPr>
                <w:rFonts w:eastAsia="Calibri" w:cs="Arial"/>
                <w:b w:val="0"/>
                <w:bCs w:val="0"/>
                <w:color w:val="000000" w:themeColor="text1"/>
                <w:sz w:val="20"/>
                <w:szCs w:val="20"/>
              </w:rPr>
            </w:pPr>
          </w:p>
          <w:p w14:paraId="3FAE10DF" w14:textId="77777777" w:rsidR="007B7514" w:rsidRDefault="007B7514" w:rsidP="00A6302C">
            <w:pPr>
              <w:jc w:val="center"/>
              <w:rPr>
                <w:rFonts w:eastAsia="Calibri" w:cs="Arial"/>
                <w:color w:val="000000" w:themeColor="text1"/>
                <w:sz w:val="20"/>
                <w:szCs w:val="20"/>
              </w:rPr>
            </w:pPr>
          </w:p>
          <w:p w14:paraId="13CA1C32" w14:textId="77777777" w:rsidR="007B7514" w:rsidRDefault="007B7514" w:rsidP="00A6302C">
            <w:pPr>
              <w:jc w:val="center"/>
              <w:rPr>
                <w:rFonts w:eastAsia="Calibri" w:cs="Arial"/>
                <w:b w:val="0"/>
                <w:bCs w:val="0"/>
                <w:color w:val="000000" w:themeColor="text1"/>
                <w:sz w:val="20"/>
                <w:szCs w:val="20"/>
              </w:rPr>
            </w:pPr>
          </w:p>
          <w:p w14:paraId="4BA87431" w14:textId="77777777" w:rsidR="007B7514" w:rsidRDefault="007B7514" w:rsidP="00A6302C">
            <w:pPr>
              <w:jc w:val="center"/>
              <w:rPr>
                <w:rFonts w:eastAsia="Calibri" w:cs="Arial"/>
                <w:b w:val="0"/>
                <w:bCs w:val="0"/>
                <w:color w:val="000000" w:themeColor="text1"/>
                <w:sz w:val="20"/>
                <w:szCs w:val="20"/>
              </w:rPr>
            </w:pPr>
          </w:p>
          <w:p w14:paraId="444EA7BB" w14:textId="7BC71922" w:rsidR="007B7514" w:rsidRPr="00DF1B15" w:rsidRDefault="007B7514" w:rsidP="00A6302C">
            <w:pPr>
              <w:jc w:val="center"/>
              <w:rPr>
                <w:rFonts w:cs="Arial"/>
                <w:b w:val="0"/>
                <w:bCs w:val="0"/>
                <w:sz w:val="20"/>
                <w:szCs w:val="20"/>
              </w:rPr>
            </w:pPr>
            <w:r w:rsidRPr="00DF1B15">
              <w:rPr>
                <w:rFonts w:eastAsia="Calibri" w:cs="Arial"/>
                <w:color w:val="000000" w:themeColor="text1"/>
                <w:sz w:val="20"/>
                <w:szCs w:val="20"/>
              </w:rPr>
              <w:t>Profesional</w:t>
            </w:r>
          </w:p>
          <w:p w14:paraId="18857CD7" w14:textId="77777777" w:rsidR="007B7514" w:rsidRPr="00DF1B15" w:rsidRDefault="007B7514" w:rsidP="00A6302C">
            <w:pPr>
              <w:jc w:val="center"/>
              <w:rPr>
                <w:rFonts w:cs="Arial"/>
                <w:b w:val="0"/>
                <w:bCs w:val="0"/>
                <w:sz w:val="20"/>
                <w:szCs w:val="20"/>
              </w:rPr>
            </w:pPr>
          </w:p>
          <w:p w14:paraId="5412F7A8" w14:textId="77777777" w:rsidR="007B7514" w:rsidRPr="00DF1B15" w:rsidRDefault="007B7514" w:rsidP="00A6302C">
            <w:pPr>
              <w:jc w:val="center"/>
              <w:rPr>
                <w:rFonts w:cs="Arial"/>
                <w:b w:val="0"/>
                <w:bCs w:val="0"/>
                <w:sz w:val="20"/>
                <w:szCs w:val="20"/>
              </w:rPr>
            </w:pPr>
          </w:p>
          <w:p w14:paraId="76B3C0AB" w14:textId="77777777" w:rsidR="007B7514" w:rsidRPr="00DF1B15" w:rsidRDefault="007B7514" w:rsidP="00A6302C">
            <w:pPr>
              <w:jc w:val="center"/>
              <w:rPr>
                <w:rFonts w:cs="Arial"/>
                <w:b w:val="0"/>
                <w:bCs w:val="0"/>
                <w:sz w:val="20"/>
                <w:szCs w:val="20"/>
              </w:rPr>
            </w:pPr>
          </w:p>
          <w:p w14:paraId="68F35BC0" w14:textId="77777777" w:rsidR="007B7514" w:rsidRPr="00DF1B15" w:rsidRDefault="007B7514" w:rsidP="00A6302C">
            <w:pPr>
              <w:jc w:val="center"/>
              <w:rPr>
                <w:rFonts w:cs="Arial"/>
                <w:b w:val="0"/>
                <w:bCs w:val="0"/>
                <w:sz w:val="20"/>
                <w:szCs w:val="20"/>
              </w:rPr>
            </w:pPr>
          </w:p>
          <w:p w14:paraId="5B13C9DD" w14:textId="77777777" w:rsidR="007B7514" w:rsidRPr="00DF1B15" w:rsidRDefault="007B7514" w:rsidP="00A6302C">
            <w:pPr>
              <w:jc w:val="center"/>
              <w:rPr>
                <w:rFonts w:cs="Arial"/>
                <w:sz w:val="20"/>
                <w:szCs w:val="20"/>
              </w:rPr>
            </w:pPr>
          </w:p>
        </w:tc>
        <w:tc>
          <w:tcPr>
            <w:tcW w:w="5248" w:type="dxa"/>
            <w:vAlign w:val="center"/>
          </w:tcPr>
          <w:p w14:paraId="2133F97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Apoyo para la generación de lineamientos</w:t>
            </w:r>
          </w:p>
          <w:p w14:paraId="28ECA65C"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Reporte de resultados sobre validación</w:t>
            </w:r>
            <w:r w:rsidRPr="00DF1B15">
              <w:rPr>
                <w:rFonts w:cs="Arial"/>
                <w:sz w:val="20"/>
                <w:szCs w:val="20"/>
              </w:rPr>
              <w:br/>
            </w:r>
            <w:r w:rsidRPr="00DF1B15">
              <w:rPr>
                <w:rFonts w:eastAsia="Calibri" w:cs="Arial"/>
                <w:color w:val="000000" w:themeColor="text1"/>
                <w:sz w:val="20"/>
                <w:szCs w:val="20"/>
              </w:rPr>
              <w:t>· Validación técnica de los productos generados por terceros</w:t>
            </w:r>
            <w:r w:rsidRPr="00DF1B15">
              <w:rPr>
                <w:rFonts w:cs="Arial"/>
                <w:sz w:val="20"/>
                <w:szCs w:val="20"/>
              </w:rPr>
              <w:br/>
            </w:r>
            <w:r w:rsidRPr="00DF1B15">
              <w:rPr>
                <w:rFonts w:eastAsia="Calibri" w:cs="Arial"/>
                <w:color w:val="000000" w:themeColor="text1"/>
                <w:sz w:val="20"/>
                <w:szCs w:val="20"/>
              </w:rPr>
              <w:t>· Evaluación de los productos generados</w:t>
            </w:r>
            <w:r w:rsidRPr="00DF1B15">
              <w:rPr>
                <w:rFonts w:cs="Arial"/>
                <w:sz w:val="20"/>
                <w:szCs w:val="20"/>
              </w:rPr>
              <w:br/>
            </w:r>
            <w:r w:rsidRPr="00DF1B15">
              <w:rPr>
                <w:rFonts w:eastAsia="Calibri" w:cs="Arial"/>
                <w:color w:val="000000" w:themeColor="text1"/>
                <w:sz w:val="20"/>
                <w:szCs w:val="20"/>
              </w:rPr>
              <w:t>· Acompañamiento en la formulación de políticas y normas</w:t>
            </w:r>
            <w:r w:rsidRPr="00DF1B15">
              <w:rPr>
                <w:rFonts w:cs="Arial"/>
                <w:sz w:val="20"/>
                <w:szCs w:val="20"/>
              </w:rPr>
              <w:br/>
            </w:r>
            <w:r w:rsidRPr="00DF1B15">
              <w:rPr>
                <w:rFonts w:eastAsia="Calibri" w:cs="Arial"/>
                <w:color w:val="000000" w:themeColor="text1"/>
                <w:sz w:val="20"/>
                <w:szCs w:val="20"/>
              </w:rPr>
              <w:t>· Incorporación de nuevas tecnologías geoespaciales</w:t>
            </w:r>
            <w:r w:rsidRPr="00DF1B15">
              <w:rPr>
                <w:rFonts w:cs="Arial"/>
                <w:sz w:val="20"/>
                <w:szCs w:val="20"/>
              </w:rPr>
              <w:br/>
            </w:r>
            <w:r w:rsidRPr="00DF1B15">
              <w:rPr>
                <w:rFonts w:eastAsia="Calibri" w:cs="Arial"/>
                <w:color w:val="000000" w:themeColor="text1"/>
                <w:sz w:val="20"/>
                <w:szCs w:val="20"/>
              </w:rPr>
              <w:t>· Análisis en formulación de propuestas técnico-económicas</w:t>
            </w:r>
          </w:p>
        </w:tc>
        <w:tc>
          <w:tcPr>
            <w:tcW w:w="1975" w:type="dxa"/>
            <w:vAlign w:val="center"/>
          </w:tcPr>
          <w:p w14:paraId="19B6D34B"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3E59CC36" w14:textId="77777777" w:rsidTr="00A6302C">
        <w:trPr>
          <w:trHeight w:val="1361"/>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A37F8CE"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Técnico operativo</w:t>
            </w:r>
          </w:p>
        </w:tc>
        <w:tc>
          <w:tcPr>
            <w:tcW w:w="5248" w:type="dxa"/>
            <w:vAlign w:val="center"/>
          </w:tcPr>
          <w:p w14:paraId="7050B7CC"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en la gestión de información</w:t>
            </w:r>
          </w:p>
          <w:p w14:paraId="3E19CA28"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·Levantamiento información toponímica y salidas de campo</w:t>
            </w:r>
            <w:r w:rsidRPr="00DF1B15">
              <w:rPr>
                <w:rFonts w:cs="Arial"/>
                <w:sz w:val="20"/>
                <w:szCs w:val="20"/>
              </w:rPr>
              <w:br/>
            </w:r>
            <w:r w:rsidRPr="00DF1B15">
              <w:rPr>
                <w:rFonts w:eastAsia="Calibri" w:cs="Arial"/>
                <w:color w:val="000000" w:themeColor="text1"/>
                <w:sz w:val="20"/>
                <w:szCs w:val="20"/>
              </w:rPr>
              <w:t>·Revisión, validación e integración de la toponimia</w:t>
            </w:r>
            <w:r w:rsidRPr="00DF1B15">
              <w:rPr>
                <w:rFonts w:cs="Arial"/>
                <w:sz w:val="20"/>
                <w:szCs w:val="20"/>
              </w:rPr>
              <w:br/>
            </w:r>
            <w:r w:rsidRPr="00DF1B15">
              <w:rPr>
                <w:rFonts w:eastAsia="Calibri" w:cs="Arial"/>
                <w:color w:val="000000" w:themeColor="text1"/>
                <w:sz w:val="20"/>
                <w:szCs w:val="20"/>
              </w:rPr>
              <w:t>·Realizar la planeación, captura y procesamiento de datos aéreos</w:t>
            </w:r>
          </w:p>
        </w:tc>
        <w:tc>
          <w:tcPr>
            <w:tcW w:w="1975" w:type="dxa"/>
            <w:vAlign w:val="center"/>
          </w:tcPr>
          <w:p w14:paraId="7E6D3366"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59D6F567"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5FC0CB6"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Auxiliar Admi</w:t>
            </w:r>
            <w:r>
              <w:rPr>
                <w:rFonts w:eastAsia="Calibri" w:cs="Arial"/>
                <w:color w:val="000000" w:themeColor="text1"/>
                <w:sz w:val="20"/>
                <w:szCs w:val="20"/>
              </w:rPr>
              <w:t>nistrativo</w:t>
            </w:r>
          </w:p>
        </w:tc>
        <w:tc>
          <w:tcPr>
            <w:tcW w:w="5248" w:type="dxa"/>
            <w:vAlign w:val="center"/>
          </w:tcPr>
          <w:p w14:paraId="0180547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logístico y administrativo</w:t>
            </w:r>
          </w:p>
          <w:p w14:paraId="2110C4DC" w14:textId="016A0466"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Apoyar el desarrollo de las actividades administrativas de la dependencia </w:t>
            </w:r>
            <w:r w:rsidRPr="00DF1B15">
              <w:rPr>
                <w:rFonts w:cs="Arial"/>
                <w:sz w:val="20"/>
                <w:szCs w:val="20"/>
              </w:rPr>
              <w:br/>
            </w:r>
            <w:r w:rsidRPr="00DF1B15">
              <w:rPr>
                <w:rFonts w:eastAsia="Calibri" w:cs="Arial"/>
                <w:color w:val="000000" w:themeColor="text1"/>
                <w:sz w:val="20"/>
                <w:szCs w:val="20"/>
              </w:rPr>
              <w:t>·Atender y orientar al personal del Instituto y a los visitantes por los diferentes canales de atención</w:t>
            </w:r>
            <w:r w:rsidRPr="00DF1B15">
              <w:rPr>
                <w:rFonts w:cs="Arial"/>
                <w:sz w:val="20"/>
                <w:szCs w:val="20"/>
              </w:rPr>
              <w:br/>
            </w:r>
            <w:r w:rsidRPr="00DF1B15">
              <w:rPr>
                <w:rFonts w:eastAsia="Calibri" w:cs="Arial"/>
                <w:color w:val="000000" w:themeColor="text1"/>
                <w:sz w:val="20"/>
                <w:szCs w:val="20"/>
              </w:rPr>
              <w:t xml:space="preserve"> ·Llevar el control de correspondencia recibida y entregada</w:t>
            </w:r>
          </w:p>
        </w:tc>
        <w:tc>
          <w:tcPr>
            <w:tcW w:w="1975" w:type="dxa"/>
            <w:vAlign w:val="center"/>
          </w:tcPr>
          <w:p w14:paraId="1B5D000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Cartográfica</w:t>
            </w:r>
          </w:p>
        </w:tc>
      </w:tr>
      <w:tr w:rsidR="007B7514" w:rsidRPr="00DF1B15" w14:paraId="3EFA1278"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26916558"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Auxiliar Admi</w:t>
            </w:r>
            <w:r>
              <w:rPr>
                <w:rFonts w:eastAsia="Calibri" w:cs="Arial"/>
                <w:color w:val="000000" w:themeColor="text1"/>
                <w:sz w:val="20"/>
                <w:szCs w:val="20"/>
              </w:rPr>
              <w:t>nistrativ</w:t>
            </w:r>
            <w:r w:rsidRPr="00DF1B15">
              <w:rPr>
                <w:rFonts w:eastAsia="Calibri" w:cs="Arial"/>
                <w:color w:val="000000" w:themeColor="text1"/>
                <w:sz w:val="20"/>
                <w:szCs w:val="20"/>
              </w:rPr>
              <w:t>o</w:t>
            </w:r>
          </w:p>
        </w:tc>
        <w:tc>
          <w:tcPr>
            <w:tcW w:w="5248" w:type="dxa"/>
            <w:vAlign w:val="center"/>
          </w:tcPr>
          <w:p w14:paraId="32E9B8F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logístico y administrativo</w:t>
            </w:r>
          </w:p>
          <w:p w14:paraId="04D3B523"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Apoyar el desarrollo de las actividades administrativas de la dependencia </w:t>
            </w:r>
            <w:r w:rsidRPr="00DF1B15">
              <w:rPr>
                <w:rFonts w:cs="Arial"/>
                <w:sz w:val="20"/>
                <w:szCs w:val="20"/>
              </w:rPr>
              <w:br/>
            </w:r>
            <w:r w:rsidRPr="00DF1B15">
              <w:rPr>
                <w:rFonts w:eastAsia="Calibri" w:cs="Arial"/>
                <w:color w:val="000000" w:themeColor="text1"/>
                <w:sz w:val="20"/>
                <w:szCs w:val="20"/>
              </w:rPr>
              <w:t>·Atender y orientar al personal del Instituto y a los visitantes por los diferentes canales de atención</w:t>
            </w:r>
            <w:r w:rsidRPr="00DF1B15">
              <w:rPr>
                <w:rFonts w:cs="Arial"/>
                <w:sz w:val="20"/>
                <w:szCs w:val="20"/>
              </w:rPr>
              <w:br/>
            </w:r>
            <w:r w:rsidRPr="00DF1B15">
              <w:rPr>
                <w:rFonts w:eastAsia="Calibri" w:cs="Arial"/>
                <w:color w:val="000000" w:themeColor="text1"/>
                <w:sz w:val="20"/>
                <w:szCs w:val="20"/>
              </w:rPr>
              <w:t xml:space="preserve"> ·Llevar el control de correspondencia recibida y entregada</w:t>
            </w:r>
          </w:p>
        </w:tc>
        <w:tc>
          <w:tcPr>
            <w:tcW w:w="1975" w:type="dxa"/>
            <w:vAlign w:val="center"/>
          </w:tcPr>
          <w:p w14:paraId="48D8C49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Geodésica</w:t>
            </w:r>
          </w:p>
        </w:tc>
      </w:tr>
      <w:tr w:rsidR="007B7514" w:rsidRPr="00DF1B15" w14:paraId="2AB7B596"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AA361FC"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61BA7E4F" w14:textId="30A39EA9"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Gestión Geodésica</w:t>
            </w:r>
          </w:p>
          <w:p w14:paraId="4A8C77A9"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Levantamiento en campo sobre Redes Nacionales</w:t>
            </w:r>
            <w:r w:rsidRPr="00DF1B15">
              <w:rPr>
                <w:rFonts w:cs="Arial"/>
                <w:sz w:val="20"/>
                <w:szCs w:val="20"/>
              </w:rPr>
              <w:br/>
            </w:r>
            <w:r w:rsidRPr="00DF1B15">
              <w:rPr>
                <w:rFonts w:eastAsia="Calibri" w:cs="Arial"/>
                <w:color w:val="000000" w:themeColor="text1"/>
                <w:sz w:val="20"/>
                <w:szCs w:val="20"/>
              </w:rPr>
              <w:t>· Procesamiento de datos de Redes Nacionales de Referencia</w:t>
            </w:r>
            <w:r w:rsidRPr="00DF1B15">
              <w:rPr>
                <w:rFonts w:cs="Arial"/>
                <w:sz w:val="20"/>
                <w:szCs w:val="20"/>
              </w:rPr>
              <w:br/>
            </w:r>
            <w:r w:rsidRPr="00DF1B15">
              <w:rPr>
                <w:rFonts w:eastAsia="Calibri" w:cs="Arial"/>
                <w:color w:val="000000" w:themeColor="text1"/>
                <w:sz w:val="20"/>
                <w:szCs w:val="20"/>
              </w:rPr>
              <w:t>· Administración del almacén de equipos</w:t>
            </w:r>
            <w:r w:rsidRPr="00DF1B15">
              <w:rPr>
                <w:rFonts w:cs="Arial"/>
                <w:sz w:val="20"/>
                <w:szCs w:val="20"/>
              </w:rPr>
              <w:br/>
            </w:r>
            <w:r w:rsidRPr="00DF1B15">
              <w:rPr>
                <w:rFonts w:eastAsia="Calibri" w:cs="Arial"/>
                <w:color w:val="000000" w:themeColor="text1"/>
                <w:sz w:val="20"/>
                <w:szCs w:val="20"/>
              </w:rPr>
              <w:t>· Levantamiento en campo de información de MAGNA</w:t>
            </w:r>
            <w:r w:rsidRPr="00DF1B15">
              <w:rPr>
                <w:rFonts w:cs="Arial"/>
                <w:sz w:val="20"/>
                <w:szCs w:val="20"/>
              </w:rPr>
              <w:br/>
            </w:r>
            <w:r w:rsidRPr="00DF1B15">
              <w:rPr>
                <w:rFonts w:eastAsia="Calibri" w:cs="Arial"/>
                <w:color w:val="000000" w:themeColor="text1"/>
                <w:sz w:val="20"/>
                <w:szCs w:val="20"/>
              </w:rPr>
              <w:t>· Diseño del Sistema de Referencia Terrestre de Colombia</w:t>
            </w:r>
            <w:r w:rsidRPr="00DF1B15">
              <w:rPr>
                <w:rFonts w:cs="Arial"/>
                <w:sz w:val="20"/>
                <w:szCs w:val="20"/>
              </w:rPr>
              <w:br/>
            </w:r>
            <w:r w:rsidRPr="00DF1B15">
              <w:rPr>
                <w:rFonts w:eastAsia="Calibri" w:cs="Arial"/>
                <w:color w:val="000000" w:themeColor="text1"/>
                <w:sz w:val="20"/>
                <w:szCs w:val="20"/>
              </w:rPr>
              <w:t>· Administración del Sistema Nacional de Referencia</w:t>
            </w:r>
          </w:p>
        </w:tc>
        <w:tc>
          <w:tcPr>
            <w:tcW w:w="1975" w:type="dxa"/>
            <w:vAlign w:val="center"/>
          </w:tcPr>
          <w:p w14:paraId="09D77BDE"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Geodésica</w:t>
            </w:r>
          </w:p>
        </w:tc>
      </w:tr>
      <w:tr w:rsidR="007B7514" w:rsidRPr="00DF1B15" w14:paraId="2DD1382F"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64BE0F56"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Técnico operativo</w:t>
            </w:r>
          </w:p>
        </w:tc>
        <w:tc>
          <w:tcPr>
            <w:tcW w:w="5248" w:type="dxa"/>
            <w:vAlign w:val="center"/>
          </w:tcPr>
          <w:p w14:paraId="6A5F39E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en la gestión de información</w:t>
            </w:r>
          </w:p>
          <w:p w14:paraId="57C3FE0A"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lastRenderedPageBreak/>
              <w:t xml:space="preserve">· Generar y/o actualizar productos geodésicos, siguiendo parámetros técnicos y procedimientos. </w:t>
            </w:r>
            <w:r w:rsidRPr="00DF1B15">
              <w:rPr>
                <w:rFonts w:cs="Arial"/>
                <w:sz w:val="20"/>
                <w:szCs w:val="20"/>
              </w:rPr>
              <w:br/>
            </w:r>
            <w:r w:rsidRPr="00DF1B15">
              <w:rPr>
                <w:rFonts w:eastAsia="Calibri" w:cs="Arial"/>
                <w:color w:val="000000" w:themeColor="text1"/>
                <w:sz w:val="20"/>
                <w:szCs w:val="20"/>
              </w:rPr>
              <w:t xml:space="preserve">· Apoyar la actualización de documentos técnicos institucionales relacionados con los procesos de la dependencia. </w:t>
            </w:r>
            <w:r w:rsidRPr="00DF1B15">
              <w:rPr>
                <w:rFonts w:cs="Arial"/>
                <w:sz w:val="20"/>
                <w:szCs w:val="20"/>
              </w:rPr>
              <w:br/>
            </w:r>
            <w:r w:rsidRPr="00DF1B15">
              <w:rPr>
                <w:rFonts w:eastAsia="Calibri" w:cs="Arial"/>
                <w:color w:val="000000" w:themeColor="text1"/>
                <w:sz w:val="20"/>
                <w:szCs w:val="20"/>
              </w:rPr>
              <w:t>· Preparar y presentar los informes que sean requeridos</w:t>
            </w:r>
          </w:p>
        </w:tc>
        <w:tc>
          <w:tcPr>
            <w:tcW w:w="1975" w:type="dxa"/>
            <w:vAlign w:val="center"/>
          </w:tcPr>
          <w:p w14:paraId="14F59E9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lastRenderedPageBreak/>
              <w:t>Subproceso Gestión Geodésica</w:t>
            </w:r>
          </w:p>
        </w:tc>
      </w:tr>
      <w:tr w:rsidR="007B7514" w:rsidRPr="00DF1B15" w14:paraId="77107E40"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4E652130"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lastRenderedPageBreak/>
              <w:t>Subdirector Técnico</w:t>
            </w:r>
          </w:p>
        </w:tc>
        <w:tc>
          <w:tcPr>
            <w:tcW w:w="5248" w:type="dxa"/>
            <w:vAlign w:val="center"/>
          </w:tcPr>
          <w:p w14:paraId="18B71E8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Subdirector de Geografía</w:t>
            </w:r>
          </w:p>
          <w:p w14:paraId="5E505125"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Liderazgo de proyectos y estrategias geográficos</w:t>
            </w:r>
            <w:r w:rsidRPr="00DF1B15">
              <w:rPr>
                <w:rFonts w:cs="Arial"/>
                <w:sz w:val="20"/>
                <w:szCs w:val="20"/>
              </w:rPr>
              <w:br/>
            </w:r>
            <w:r w:rsidRPr="00DF1B15">
              <w:rPr>
                <w:rFonts w:eastAsia="Calibri" w:cs="Arial"/>
                <w:color w:val="000000" w:themeColor="text1"/>
                <w:sz w:val="20"/>
                <w:szCs w:val="20"/>
              </w:rPr>
              <w:t>· Planeación, ejecución y evaluación de procesos geográficos</w:t>
            </w:r>
            <w:r w:rsidRPr="00DF1B15">
              <w:rPr>
                <w:rFonts w:cs="Arial"/>
                <w:sz w:val="20"/>
                <w:szCs w:val="20"/>
              </w:rPr>
              <w:br/>
            </w:r>
            <w:r w:rsidRPr="00DF1B15">
              <w:rPr>
                <w:rFonts w:eastAsia="Calibri" w:cs="Arial"/>
                <w:color w:val="000000" w:themeColor="text1"/>
                <w:sz w:val="20"/>
                <w:szCs w:val="20"/>
              </w:rPr>
              <w:t>· Orientación de operaciones y evaluación de límites del país</w:t>
            </w:r>
            <w:r w:rsidRPr="00DF1B15">
              <w:rPr>
                <w:rFonts w:cs="Arial"/>
                <w:sz w:val="20"/>
                <w:szCs w:val="20"/>
              </w:rPr>
              <w:br/>
            </w:r>
            <w:r w:rsidRPr="00DF1B15">
              <w:rPr>
                <w:rFonts w:eastAsia="Calibri" w:cs="Arial"/>
                <w:color w:val="000000" w:themeColor="text1"/>
                <w:sz w:val="20"/>
                <w:szCs w:val="20"/>
              </w:rPr>
              <w:t xml:space="preserve">· Certificación de áreas geográficas de las entidades territoriales </w:t>
            </w:r>
            <w:r w:rsidRPr="00DF1B15">
              <w:rPr>
                <w:rFonts w:cs="Arial"/>
                <w:sz w:val="20"/>
                <w:szCs w:val="20"/>
              </w:rPr>
              <w:br/>
            </w:r>
            <w:r w:rsidRPr="00DF1B15">
              <w:rPr>
                <w:rFonts w:eastAsia="Calibri" w:cs="Arial"/>
                <w:color w:val="000000" w:themeColor="text1"/>
                <w:sz w:val="20"/>
                <w:szCs w:val="20"/>
              </w:rPr>
              <w:t>· Apoyo técnico al Ministerio de Relaciones Exteriores</w:t>
            </w:r>
          </w:p>
        </w:tc>
        <w:tc>
          <w:tcPr>
            <w:tcW w:w="1975" w:type="dxa"/>
            <w:vAlign w:val="center"/>
          </w:tcPr>
          <w:p w14:paraId="4A45E935"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Geográfica</w:t>
            </w:r>
          </w:p>
        </w:tc>
      </w:tr>
      <w:tr w:rsidR="007B7514" w:rsidRPr="00DF1B15" w14:paraId="3CB8BF0B"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4EC861F3"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7862752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Estudios Geográficos y Ordenamiento Territorial</w:t>
            </w:r>
          </w:p>
          <w:p w14:paraId="6906D08F" w14:textId="1F950090"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Implementación de normas técnicas y especificaciones</w:t>
            </w:r>
            <w:r w:rsidRPr="00DF1B15">
              <w:rPr>
                <w:rFonts w:cs="Arial"/>
                <w:sz w:val="20"/>
                <w:szCs w:val="20"/>
              </w:rPr>
              <w:br/>
            </w:r>
            <w:r w:rsidRPr="00DF1B15">
              <w:rPr>
                <w:rFonts w:eastAsia="Calibri" w:cs="Arial"/>
                <w:color w:val="000000" w:themeColor="text1"/>
                <w:sz w:val="20"/>
                <w:szCs w:val="20"/>
              </w:rPr>
              <w:t>· Actualización de atlas con información producida</w:t>
            </w:r>
            <w:r w:rsidRPr="00DF1B15">
              <w:rPr>
                <w:rFonts w:cs="Arial"/>
                <w:sz w:val="20"/>
                <w:szCs w:val="20"/>
              </w:rPr>
              <w:br/>
            </w:r>
            <w:r w:rsidRPr="00DF1B15">
              <w:rPr>
                <w:rFonts w:eastAsia="Calibri" w:cs="Arial"/>
                <w:color w:val="000000" w:themeColor="text1"/>
                <w:sz w:val="20"/>
                <w:szCs w:val="20"/>
              </w:rPr>
              <w:t>· Investigación toponímica y registro de nombres geográficos</w:t>
            </w:r>
            <w:r w:rsidRPr="00DF1B15">
              <w:rPr>
                <w:rFonts w:cs="Arial"/>
                <w:sz w:val="20"/>
                <w:szCs w:val="20"/>
              </w:rPr>
              <w:br/>
            </w:r>
            <w:r w:rsidRPr="00DF1B15">
              <w:rPr>
                <w:rFonts w:eastAsia="Calibri" w:cs="Arial"/>
                <w:color w:val="000000" w:themeColor="text1"/>
                <w:sz w:val="20"/>
                <w:szCs w:val="20"/>
              </w:rPr>
              <w:t>· Coordinación de estudios y transferencia de conocimiento</w:t>
            </w:r>
            <w:r w:rsidRPr="00DF1B15">
              <w:rPr>
                <w:rFonts w:cs="Arial"/>
                <w:sz w:val="20"/>
                <w:szCs w:val="20"/>
              </w:rPr>
              <w:br/>
            </w:r>
            <w:r w:rsidRPr="00DF1B15">
              <w:rPr>
                <w:rFonts w:eastAsia="Calibri" w:cs="Arial"/>
                <w:color w:val="000000" w:themeColor="text1"/>
                <w:sz w:val="20"/>
                <w:szCs w:val="20"/>
              </w:rPr>
              <w:t>· Mantenimiento de la Base Nacional de nombres geográficos</w:t>
            </w:r>
            <w:r w:rsidRPr="00DF1B15">
              <w:rPr>
                <w:rFonts w:cs="Arial"/>
                <w:sz w:val="20"/>
                <w:szCs w:val="20"/>
              </w:rPr>
              <w:br/>
            </w:r>
            <w:r w:rsidRPr="00DF1B15">
              <w:rPr>
                <w:rFonts w:eastAsia="Calibri" w:cs="Arial"/>
                <w:color w:val="000000" w:themeColor="text1"/>
                <w:sz w:val="20"/>
                <w:szCs w:val="20"/>
              </w:rPr>
              <w:t>· Investigaciones y metodologías para producción de estudios</w:t>
            </w:r>
          </w:p>
        </w:tc>
        <w:tc>
          <w:tcPr>
            <w:tcW w:w="1975" w:type="dxa"/>
            <w:vAlign w:val="center"/>
          </w:tcPr>
          <w:p w14:paraId="457BE2CD"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Geográfica</w:t>
            </w:r>
          </w:p>
        </w:tc>
      </w:tr>
      <w:tr w:rsidR="007B7514" w:rsidRPr="00DF1B15" w14:paraId="1DB082AD"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685EA68"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2A7E505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de Fronteras y Límites de Entidades Territoriales</w:t>
            </w:r>
          </w:p>
          <w:p w14:paraId="2B7F7E43"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Diseño de propuestas y administración del SIGAC</w:t>
            </w:r>
            <w:r w:rsidRPr="00DF1B15">
              <w:rPr>
                <w:rFonts w:cs="Arial"/>
                <w:sz w:val="20"/>
                <w:szCs w:val="20"/>
              </w:rPr>
              <w:br/>
            </w:r>
            <w:r w:rsidRPr="00DF1B15">
              <w:rPr>
                <w:rFonts w:eastAsia="Calibri" w:cs="Arial"/>
                <w:color w:val="000000" w:themeColor="text1"/>
                <w:sz w:val="20"/>
                <w:szCs w:val="20"/>
              </w:rPr>
              <w:t>· Proyectos de investigación y desarrollo sobre datos generados</w:t>
            </w:r>
            <w:r w:rsidRPr="00DF1B15">
              <w:rPr>
                <w:rFonts w:cs="Arial"/>
                <w:sz w:val="20"/>
                <w:szCs w:val="20"/>
              </w:rPr>
              <w:br/>
            </w:r>
            <w:r w:rsidRPr="00DF1B15">
              <w:rPr>
                <w:rFonts w:eastAsia="Calibri" w:cs="Arial"/>
                <w:color w:val="000000" w:themeColor="text1"/>
                <w:sz w:val="20"/>
                <w:szCs w:val="20"/>
              </w:rPr>
              <w:t xml:space="preserve">· Operaciones de deslinde y amojonamiento </w:t>
            </w:r>
            <w:r w:rsidRPr="00DF1B15">
              <w:rPr>
                <w:rFonts w:cs="Arial"/>
                <w:sz w:val="20"/>
                <w:szCs w:val="20"/>
              </w:rPr>
              <w:br/>
            </w:r>
            <w:r w:rsidRPr="00DF1B15">
              <w:rPr>
                <w:rFonts w:eastAsia="Calibri" w:cs="Arial"/>
                <w:color w:val="000000" w:themeColor="text1"/>
                <w:sz w:val="20"/>
                <w:szCs w:val="20"/>
              </w:rPr>
              <w:t xml:space="preserve">· Elaboración de cartografía temática sobre límites </w:t>
            </w:r>
            <w:r w:rsidRPr="00DF1B15">
              <w:rPr>
                <w:rFonts w:cs="Arial"/>
                <w:sz w:val="20"/>
                <w:szCs w:val="20"/>
              </w:rPr>
              <w:br/>
            </w:r>
            <w:r w:rsidRPr="00DF1B15">
              <w:rPr>
                <w:rFonts w:eastAsia="Calibri" w:cs="Arial"/>
                <w:color w:val="000000" w:themeColor="text1"/>
                <w:sz w:val="20"/>
                <w:szCs w:val="20"/>
              </w:rPr>
              <w:t>· Elaboración de mapas temáticos sobre resguardos indígenas</w:t>
            </w:r>
            <w:r w:rsidRPr="00DF1B15">
              <w:rPr>
                <w:rFonts w:cs="Arial"/>
                <w:sz w:val="20"/>
                <w:szCs w:val="20"/>
              </w:rPr>
              <w:br/>
            </w:r>
            <w:r w:rsidRPr="00DF1B15">
              <w:rPr>
                <w:rFonts w:eastAsia="Calibri" w:cs="Arial"/>
                <w:color w:val="000000" w:themeColor="text1"/>
                <w:sz w:val="20"/>
                <w:szCs w:val="20"/>
              </w:rPr>
              <w:t>· Apoyo técnico para la evaluación de expedientes</w:t>
            </w:r>
          </w:p>
        </w:tc>
        <w:tc>
          <w:tcPr>
            <w:tcW w:w="1975" w:type="dxa"/>
            <w:vAlign w:val="center"/>
          </w:tcPr>
          <w:p w14:paraId="551B91AD"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Geográfica</w:t>
            </w:r>
          </w:p>
        </w:tc>
      </w:tr>
      <w:tr w:rsidR="007B7514" w:rsidRPr="00DF1B15" w14:paraId="72B65331"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791DEBF"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Técnico operativo</w:t>
            </w:r>
          </w:p>
        </w:tc>
        <w:tc>
          <w:tcPr>
            <w:tcW w:w="5248" w:type="dxa"/>
            <w:vAlign w:val="center"/>
          </w:tcPr>
          <w:p w14:paraId="521B0C3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en la gestión de información</w:t>
            </w:r>
          </w:p>
          <w:p w14:paraId="5796D32F"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Realizar procesos de generalización de información cartográfica para los diferentes fines.</w:t>
            </w:r>
            <w:r w:rsidRPr="00DF1B15">
              <w:rPr>
                <w:rFonts w:cs="Arial"/>
                <w:sz w:val="20"/>
                <w:szCs w:val="20"/>
              </w:rPr>
              <w:br/>
            </w:r>
            <w:r w:rsidRPr="00DF1B15">
              <w:rPr>
                <w:rFonts w:eastAsia="Calibri" w:cs="Arial"/>
                <w:color w:val="000000" w:themeColor="text1"/>
                <w:sz w:val="20"/>
                <w:szCs w:val="20"/>
              </w:rPr>
              <w:t>·Elaborar los mapas temáticos y salidas gráficas requeridas para los estudios y/o investigaciones geográficas asignadas</w:t>
            </w:r>
            <w:r w:rsidRPr="00DF1B15">
              <w:rPr>
                <w:rFonts w:cs="Arial"/>
                <w:sz w:val="20"/>
                <w:szCs w:val="20"/>
              </w:rPr>
              <w:br/>
            </w:r>
            <w:r w:rsidRPr="00DF1B15">
              <w:rPr>
                <w:rFonts w:eastAsia="Calibri" w:cs="Arial"/>
                <w:color w:val="000000" w:themeColor="text1"/>
                <w:sz w:val="20"/>
                <w:szCs w:val="20"/>
              </w:rPr>
              <w:t>·Estructurar y elaborar cartografía temática de los proyectos asignados</w:t>
            </w:r>
          </w:p>
        </w:tc>
        <w:tc>
          <w:tcPr>
            <w:tcW w:w="1975" w:type="dxa"/>
            <w:vAlign w:val="center"/>
          </w:tcPr>
          <w:p w14:paraId="5030944E"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Geográfica</w:t>
            </w:r>
          </w:p>
        </w:tc>
      </w:tr>
      <w:tr w:rsidR="007B7514" w:rsidRPr="00DF1B15" w14:paraId="35955C5C"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7A27D5B"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Auxiliar Adm</w:t>
            </w:r>
            <w:r>
              <w:rPr>
                <w:rFonts w:eastAsia="Calibri" w:cs="Arial"/>
                <w:color w:val="000000" w:themeColor="text1"/>
                <w:sz w:val="20"/>
                <w:szCs w:val="20"/>
              </w:rPr>
              <w:t>inis</w:t>
            </w:r>
            <w:r w:rsidRPr="00DF1B15">
              <w:rPr>
                <w:rFonts w:eastAsia="Calibri" w:cs="Arial"/>
                <w:color w:val="000000" w:themeColor="text1"/>
                <w:sz w:val="20"/>
                <w:szCs w:val="20"/>
              </w:rPr>
              <w:t>t</w:t>
            </w:r>
            <w:r>
              <w:rPr>
                <w:rFonts w:eastAsia="Calibri" w:cs="Arial"/>
                <w:color w:val="000000" w:themeColor="text1"/>
                <w:sz w:val="20"/>
                <w:szCs w:val="20"/>
              </w:rPr>
              <w:t>rati</w:t>
            </w:r>
            <w:r w:rsidRPr="00DF1B15">
              <w:rPr>
                <w:rFonts w:eastAsia="Calibri" w:cs="Arial"/>
                <w:color w:val="000000" w:themeColor="text1"/>
                <w:sz w:val="20"/>
                <w:szCs w:val="20"/>
              </w:rPr>
              <w:t>vo</w:t>
            </w:r>
          </w:p>
        </w:tc>
        <w:tc>
          <w:tcPr>
            <w:tcW w:w="5248" w:type="dxa"/>
            <w:vAlign w:val="center"/>
          </w:tcPr>
          <w:p w14:paraId="0FAFDDF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logístico y administrativo</w:t>
            </w:r>
          </w:p>
          <w:p w14:paraId="5F1D040C"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Apoyar el desarrollo de las actividades administrativas de la dependencia </w:t>
            </w:r>
            <w:r w:rsidRPr="00DF1B15">
              <w:rPr>
                <w:rFonts w:cs="Arial"/>
                <w:sz w:val="20"/>
                <w:szCs w:val="20"/>
              </w:rPr>
              <w:br/>
            </w:r>
            <w:r w:rsidRPr="00DF1B15">
              <w:rPr>
                <w:rFonts w:eastAsia="Calibri" w:cs="Arial"/>
                <w:color w:val="000000" w:themeColor="text1"/>
                <w:sz w:val="20"/>
                <w:szCs w:val="20"/>
              </w:rPr>
              <w:t>·Atender y orientar al personal del Instituto y a los visitantes por los diferentes canales de atención</w:t>
            </w:r>
            <w:r w:rsidRPr="00DF1B15">
              <w:rPr>
                <w:rFonts w:cs="Arial"/>
                <w:sz w:val="20"/>
                <w:szCs w:val="20"/>
              </w:rPr>
              <w:br/>
            </w:r>
            <w:r w:rsidRPr="00DF1B15">
              <w:rPr>
                <w:rFonts w:eastAsia="Calibri" w:cs="Arial"/>
                <w:color w:val="000000" w:themeColor="text1"/>
                <w:sz w:val="20"/>
                <w:szCs w:val="20"/>
              </w:rPr>
              <w:t xml:space="preserve"> ·Llevar el control de correspondencia recibida y entregada</w:t>
            </w:r>
          </w:p>
        </w:tc>
        <w:tc>
          <w:tcPr>
            <w:tcW w:w="1975" w:type="dxa"/>
            <w:vAlign w:val="center"/>
          </w:tcPr>
          <w:p w14:paraId="77313399"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Geográfica</w:t>
            </w:r>
          </w:p>
        </w:tc>
      </w:tr>
      <w:tr w:rsidR="007B7514" w:rsidRPr="00DF1B15" w14:paraId="3AB5506E"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3E04FEED"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lastRenderedPageBreak/>
              <w:t>Subdirector Técnico</w:t>
            </w:r>
          </w:p>
        </w:tc>
        <w:tc>
          <w:tcPr>
            <w:tcW w:w="5248" w:type="dxa"/>
            <w:vAlign w:val="center"/>
          </w:tcPr>
          <w:p w14:paraId="60B4AB3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Subdirector Técnico de Agrología</w:t>
            </w:r>
          </w:p>
          <w:p w14:paraId="696F93B4"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Asesoría a la Dirección General y a las instancias pertinentes</w:t>
            </w:r>
            <w:r w:rsidRPr="00DF1B15">
              <w:rPr>
                <w:rFonts w:cs="Arial"/>
                <w:sz w:val="20"/>
                <w:szCs w:val="20"/>
              </w:rPr>
              <w:br/>
            </w:r>
            <w:r w:rsidRPr="00DF1B15">
              <w:rPr>
                <w:rFonts w:eastAsia="Calibri" w:cs="Arial"/>
                <w:color w:val="000000" w:themeColor="text1"/>
                <w:sz w:val="20"/>
                <w:szCs w:val="20"/>
              </w:rPr>
              <w:t>· Asistencia a reuniones de consejos, juntas, comités y demás</w:t>
            </w:r>
            <w:r w:rsidRPr="00DF1B15">
              <w:rPr>
                <w:rFonts w:cs="Arial"/>
                <w:sz w:val="20"/>
                <w:szCs w:val="20"/>
              </w:rPr>
              <w:br/>
            </w:r>
            <w:r w:rsidRPr="00DF1B15">
              <w:rPr>
                <w:rFonts w:eastAsia="Calibri" w:cs="Arial"/>
                <w:color w:val="000000" w:themeColor="text1"/>
                <w:sz w:val="20"/>
                <w:szCs w:val="20"/>
              </w:rPr>
              <w:t xml:space="preserve">· Presentación de proyectos de normas que deban expedirse </w:t>
            </w:r>
            <w:r w:rsidRPr="00DF1B15">
              <w:rPr>
                <w:rFonts w:cs="Arial"/>
                <w:sz w:val="20"/>
                <w:szCs w:val="20"/>
              </w:rPr>
              <w:br/>
            </w:r>
            <w:r w:rsidRPr="00DF1B15">
              <w:rPr>
                <w:rFonts w:eastAsia="Calibri" w:cs="Arial"/>
                <w:color w:val="000000" w:themeColor="text1"/>
                <w:sz w:val="20"/>
                <w:szCs w:val="20"/>
              </w:rPr>
              <w:t xml:space="preserve">· Determinación de las especificaciones técnicas  </w:t>
            </w:r>
            <w:r w:rsidRPr="00DF1B15">
              <w:rPr>
                <w:rFonts w:cs="Arial"/>
                <w:sz w:val="20"/>
                <w:szCs w:val="20"/>
              </w:rPr>
              <w:br/>
            </w:r>
            <w:r w:rsidRPr="00DF1B15">
              <w:rPr>
                <w:rFonts w:eastAsia="Calibri" w:cs="Arial"/>
                <w:color w:val="000000" w:themeColor="text1"/>
                <w:sz w:val="20"/>
                <w:szCs w:val="20"/>
              </w:rPr>
              <w:t>· Organización de la gestión de la Subdirección</w:t>
            </w:r>
            <w:r w:rsidRPr="00DF1B15">
              <w:rPr>
                <w:rFonts w:cs="Arial"/>
                <w:sz w:val="20"/>
                <w:szCs w:val="20"/>
              </w:rPr>
              <w:br/>
            </w:r>
            <w:r w:rsidRPr="00DF1B15">
              <w:rPr>
                <w:rFonts w:eastAsia="Calibri" w:cs="Arial"/>
                <w:color w:val="000000" w:themeColor="text1"/>
                <w:sz w:val="20"/>
                <w:szCs w:val="20"/>
              </w:rPr>
              <w:t>· Seguimiento a los productos e indicadores</w:t>
            </w:r>
          </w:p>
        </w:tc>
        <w:tc>
          <w:tcPr>
            <w:tcW w:w="1975" w:type="dxa"/>
            <w:vAlign w:val="center"/>
          </w:tcPr>
          <w:p w14:paraId="788252F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2D927BC3"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8DB541E"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Secretario Ejecutivo</w:t>
            </w:r>
          </w:p>
        </w:tc>
        <w:tc>
          <w:tcPr>
            <w:tcW w:w="5248" w:type="dxa"/>
            <w:vAlign w:val="center"/>
          </w:tcPr>
          <w:p w14:paraId="7136D9A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logístico y administrativo</w:t>
            </w:r>
          </w:p>
          <w:p w14:paraId="739B70D3"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Administración de la agenda de reuniones de jefe inmediato</w:t>
            </w:r>
            <w:r w:rsidRPr="00DF1B15">
              <w:rPr>
                <w:rFonts w:cs="Arial"/>
                <w:sz w:val="20"/>
                <w:szCs w:val="20"/>
              </w:rPr>
              <w:br/>
            </w:r>
            <w:r w:rsidRPr="00DF1B15">
              <w:rPr>
                <w:rFonts w:eastAsia="Calibri" w:cs="Arial"/>
                <w:color w:val="000000" w:themeColor="text1"/>
                <w:sz w:val="20"/>
                <w:szCs w:val="20"/>
              </w:rPr>
              <w:t xml:space="preserve">· Apoyo al desarrollo de las actividades administrativas </w:t>
            </w:r>
            <w:r w:rsidRPr="00DF1B15">
              <w:rPr>
                <w:rFonts w:cs="Arial"/>
                <w:sz w:val="20"/>
                <w:szCs w:val="20"/>
              </w:rPr>
              <w:br/>
            </w:r>
            <w:r w:rsidRPr="00DF1B15">
              <w:rPr>
                <w:rFonts w:eastAsia="Calibri" w:cs="Arial"/>
                <w:color w:val="000000" w:themeColor="text1"/>
                <w:sz w:val="20"/>
                <w:szCs w:val="20"/>
              </w:rPr>
              <w:t xml:space="preserve">· Atención al personal del Instituto y a los visitantes </w:t>
            </w:r>
            <w:r w:rsidRPr="00DF1B15">
              <w:rPr>
                <w:rFonts w:cs="Arial"/>
                <w:sz w:val="20"/>
                <w:szCs w:val="20"/>
              </w:rPr>
              <w:br/>
            </w:r>
            <w:r w:rsidRPr="00DF1B15">
              <w:rPr>
                <w:rFonts w:eastAsia="Calibri" w:cs="Arial"/>
                <w:color w:val="000000" w:themeColor="text1"/>
                <w:sz w:val="20"/>
                <w:szCs w:val="20"/>
              </w:rPr>
              <w:t xml:space="preserve">· Producción de documentos de apoyo administrativo </w:t>
            </w:r>
            <w:r w:rsidRPr="00DF1B15">
              <w:rPr>
                <w:rFonts w:cs="Arial"/>
                <w:sz w:val="20"/>
                <w:szCs w:val="20"/>
              </w:rPr>
              <w:br/>
            </w:r>
            <w:r w:rsidRPr="00DF1B15">
              <w:rPr>
                <w:rFonts w:eastAsia="Calibri" w:cs="Arial"/>
                <w:color w:val="000000" w:themeColor="text1"/>
                <w:sz w:val="20"/>
                <w:szCs w:val="20"/>
              </w:rPr>
              <w:t xml:space="preserve">· Apoyo en los comités a los que asista el Director General </w:t>
            </w:r>
            <w:r w:rsidRPr="00DF1B15">
              <w:rPr>
                <w:rFonts w:cs="Arial"/>
                <w:sz w:val="20"/>
                <w:szCs w:val="20"/>
              </w:rPr>
              <w:br/>
            </w:r>
            <w:r w:rsidRPr="00DF1B15">
              <w:rPr>
                <w:rFonts w:eastAsia="Calibri" w:cs="Arial"/>
                <w:color w:val="000000" w:themeColor="text1"/>
                <w:sz w:val="20"/>
                <w:szCs w:val="20"/>
              </w:rPr>
              <w:t>· Archivo de documentos y correspondencia</w:t>
            </w:r>
          </w:p>
        </w:tc>
        <w:tc>
          <w:tcPr>
            <w:tcW w:w="1975" w:type="dxa"/>
            <w:vAlign w:val="center"/>
          </w:tcPr>
          <w:p w14:paraId="2D443ADA"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5C09BFC5"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67A2B504"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680737BD"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en la gestión de información</w:t>
            </w:r>
          </w:p>
          <w:p w14:paraId="20B401BC"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Participación en las investigaciones temas de levantamientos </w:t>
            </w:r>
            <w:r w:rsidRPr="00DF1B15">
              <w:rPr>
                <w:rFonts w:cs="Arial"/>
                <w:sz w:val="20"/>
                <w:szCs w:val="20"/>
              </w:rPr>
              <w:br/>
            </w:r>
            <w:r w:rsidRPr="00DF1B15">
              <w:rPr>
                <w:rFonts w:eastAsia="Calibri" w:cs="Arial"/>
                <w:color w:val="000000" w:themeColor="text1"/>
                <w:sz w:val="20"/>
                <w:szCs w:val="20"/>
              </w:rPr>
              <w:t>· Mejora en procesos de análisis espacial y digitalización</w:t>
            </w:r>
            <w:r w:rsidRPr="00DF1B15">
              <w:rPr>
                <w:rFonts w:cs="Arial"/>
                <w:sz w:val="20"/>
                <w:szCs w:val="20"/>
              </w:rPr>
              <w:br/>
            </w:r>
            <w:r w:rsidRPr="00DF1B15">
              <w:rPr>
                <w:rFonts w:eastAsia="Calibri" w:cs="Arial"/>
                <w:color w:val="000000" w:themeColor="text1"/>
                <w:sz w:val="20"/>
                <w:szCs w:val="20"/>
              </w:rPr>
              <w:t xml:space="preserve">· Interpretación digital de geomorfología o de cobertura  </w:t>
            </w:r>
            <w:r w:rsidRPr="00DF1B15">
              <w:rPr>
                <w:rFonts w:cs="Arial"/>
                <w:sz w:val="20"/>
                <w:szCs w:val="20"/>
              </w:rPr>
              <w:br/>
            </w:r>
            <w:r w:rsidRPr="00DF1B15">
              <w:rPr>
                <w:rFonts w:eastAsia="Calibri" w:cs="Arial"/>
                <w:color w:val="000000" w:themeColor="text1"/>
                <w:sz w:val="20"/>
                <w:szCs w:val="20"/>
              </w:rPr>
              <w:t>· Control de calidad de los productos que se desarrollan</w:t>
            </w:r>
            <w:r w:rsidRPr="00DF1B15">
              <w:rPr>
                <w:rFonts w:cs="Arial"/>
                <w:sz w:val="20"/>
                <w:szCs w:val="20"/>
              </w:rPr>
              <w:br/>
            </w:r>
            <w:r w:rsidRPr="00DF1B15">
              <w:rPr>
                <w:rFonts w:eastAsia="Calibri" w:cs="Arial"/>
                <w:color w:val="000000" w:themeColor="text1"/>
                <w:sz w:val="20"/>
                <w:szCs w:val="20"/>
              </w:rPr>
              <w:t xml:space="preserve">· Gestión de la fase preparatoria del trabajo de campo </w:t>
            </w:r>
            <w:r w:rsidRPr="00DF1B15">
              <w:rPr>
                <w:rFonts w:cs="Arial"/>
                <w:sz w:val="20"/>
                <w:szCs w:val="20"/>
              </w:rPr>
              <w:br/>
            </w:r>
            <w:r w:rsidRPr="00DF1B15">
              <w:rPr>
                <w:rFonts w:eastAsia="Calibri" w:cs="Arial"/>
                <w:color w:val="000000" w:themeColor="text1"/>
                <w:sz w:val="20"/>
                <w:szCs w:val="20"/>
              </w:rPr>
              <w:t>· Ejecución de la fase de trabajo de campo</w:t>
            </w:r>
          </w:p>
        </w:tc>
        <w:tc>
          <w:tcPr>
            <w:tcW w:w="1975" w:type="dxa"/>
            <w:vAlign w:val="center"/>
          </w:tcPr>
          <w:p w14:paraId="34B34278"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5E0C99CD"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7D0EE206"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3F01EAE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Profesionales Gestión Agrol</w:t>
            </w:r>
            <w:r>
              <w:rPr>
                <w:rFonts w:eastAsia="Calibri" w:cs="Arial"/>
                <w:b/>
                <w:bCs/>
                <w:color w:val="000000" w:themeColor="text1"/>
                <w:sz w:val="20"/>
                <w:szCs w:val="20"/>
              </w:rPr>
              <w:t>ó</w:t>
            </w:r>
            <w:r w:rsidRPr="00DF1B15">
              <w:rPr>
                <w:rFonts w:eastAsia="Calibri" w:cs="Arial"/>
                <w:b/>
                <w:bCs/>
                <w:color w:val="000000" w:themeColor="text1"/>
                <w:sz w:val="20"/>
                <w:szCs w:val="20"/>
              </w:rPr>
              <w:t>gica</w:t>
            </w:r>
          </w:p>
          <w:p w14:paraId="5ADC7D33"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Control de calidad de cobertura y uso de las tierras </w:t>
            </w:r>
            <w:r w:rsidRPr="00DF1B15">
              <w:rPr>
                <w:rFonts w:cs="Arial"/>
                <w:sz w:val="20"/>
                <w:szCs w:val="20"/>
              </w:rPr>
              <w:br/>
            </w:r>
            <w:r w:rsidRPr="00DF1B15">
              <w:rPr>
                <w:rFonts w:eastAsia="Calibri" w:cs="Arial"/>
                <w:color w:val="000000" w:themeColor="text1"/>
                <w:sz w:val="20"/>
                <w:szCs w:val="20"/>
              </w:rPr>
              <w:t>· Verificación de calidad de línea, contenido temático y demás</w:t>
            </w:r>
            <w:r w:rsidRPr="00DF1B15">
              <w:rPr>
                <w:rFonts w:cs="Arial"/>
                <w:sz w:val="20"/>
                <w:szCs w:val="20"/>
              </w:rPr>
              <w:br/>
            </w:r>
            <w:r w:rsidRPr="00DF1B15">
              <w:rPr>
                <w:rFonts w:eastAsia="Calibri" w:cs="Arial"/>
                <w:color w:val="000000" w:themeColor="text1"/>
                <w:sz w:val="20"/>
                <w:szCs w:val="20"/>
              </w:rPr>
              <w:t xml:space="preserve">· Muestreo de perfiles de suelos (calicatas) de unidades cartográficas (UCS)  </w:t>
            </w:r>
            <w:r w:rsidRPr="00DF1B15">
              <w:rPr>
                <w:rFonts w:cs="Arial"/>
                <w:sz w:val="20"/>
                <w:szCs w:val="20"/>
              </w:rPr>
              <w:br/>
            </w:r>
            <w:r w:rsidRPr="00DF1B15">
              <w:rPr>
                <w:rFonts w:eastAsia="Calibri" w:cs="Arial"/>
                <w:color w:val="000000" w:themeColor="text1"/>
                <w:sz w:val="20"/>
                <w:szCs w:val="20"/>
              </w:rPr>
              <w:t xml:space="preserve">· Seguimiento a geomorfología, edafológica y capacidad de uso  </w:t>
            </w:r>
            <w:r w:rsidRPr="00DF1B15">
              <w:rPr>
                <w:rFonts w:cs="Arial"/>
                <w:sz w:val="20"/>
                <w:szCs w:val="20"/>
              </w:rPr>
              <w:br/>
            </w:r>
            <w:r w:rsidRPr="00DF1B15">
              <w:rPr>
                <w:rFonts w:eastAsia="Calibri" w:cs="Arial"/>
                <w:color w:val="000000" w:themeColor="text1"/>
                <w:sz w:val="20"/>
                <w:szCs w:val="20"/>
              </w:rPr>
              <w:t>· Aprobación de datos analíticos generados por el Laboratorio</w:t>
            </w:r>
          </w:p>
        </w:tc>
        <w:tc>
          <w:tcPr>
            <w:tcW w:w="1975" w:type="dxa"/>
            <w:vAlign w:val="center"/>
          </w:tcPr>
          <w:p w14:paraId="57BBE352"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7071B057"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24754596"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41FB457D"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Profesionales Banco Mundial – Catastro Multipropósito</w:t>
            </w:r>
          </w:p>
          <w:p w14:paraId="5CB547A3" w14:textId="15BC3F85"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color w:val="000000" w:themeColor="text1"/>
                <w:sz w:val="20"/>
                <w:szCs w:val="20"/>
              </w:rPr>
              <w:t>Seguimiento en etapas de actualización de Áreas Homogéneas de Tierras (AHT) con fines de Catastro Multipropósito</w:t>
            </w:r>
            <w:r w:rsidRPr="00DF1B15">
              <w:rPr>
                <w:rFonts w:cs="Arial"/>
                <w:sz w:val="20"/>
                <w:szCs w:val="20"/>
              </w:rPr>
              <w:br/>
            </w:r>
            <w:r w:rsidRPr="00DF1B15">
              <w:rPr>
                <w:rFonts w:eastAsia="Calibri" w:cs="Arial"/>
                <w:color w:val="000000" w:themeColor="text1"/>
                <w:sz w:val="20"/>
                <w:szCs w:val="20"/>
              </w:rPr>
              <w:t>· Verificación de las etapas de Áreas Homogéneas de Tierras</w:t>
            </w:r>
            <w:r w:rsidRPr="00DF1B15">
              <w:rPr>
                <w:rFonts w:cs="Arial"/>
                <w:sz w:val="20"/>
                <w:szCs w:val="20"/>
              </w:rPr>
              <w:br/>
            </w:r>
            <w:r w:rsidRPr="00DF1B15">
              <w:rPr>
                <w:rFonts w:eastAsia="Calibri" w:cs="Arial"/>
                <w:color w:val="000000" w:themeColor="text1"/>
                <w:sz w:val="20"/>
                <w:szCs w:val="20"/>
              </w:rPr>
              <w:t xml:space="preserve">· Control de etapa de campo, para la actualización de AHT </w:t>
            </w:r>
            <w:r w:rsidRPr="00DF1B15">
              <w:rPr>
                <w:rFonts w:cs="Arial"/>
                <w:sz w:val="20"/>
                <w:szCs w:val="20"/>
              </w:rPr>
              <w:br/>
            </w:r>
            <w:r w:rsidRPr="00DF1B15">
              <w:rPr>
                <w:rFonts w:eastAsia="Calibri" w:cs="Arial"/>
                <w:color w:val="000000" w:themeColor="text1"/>
                <w:sz w:val="20"/>
                <w:szCs w:val="20"/>
              </w:rPr>
              <w:t>· Elaboración de propuestas técnico-económicas y cronograma</w:t>
            </w:r>
          </w:p>
          <w:p w14:paraId="6E8C1214" w14:textId="51A25C21"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1975" w:type="dxa"/>
            <w:vAlign w:val="center"/>
          </w:tcPr>
          <w:p w14:paraId="0E9E7817"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6F7F34FB"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486FD54"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59B165F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Contractual</w:t>
            </w:r>
          </w:p>
          <w:p w14:paraId="012661F5"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 Seguimiento y control al desarrollo de los proyectos </w:t>
            </w:r>
            <w:r w:rsidRPr="00DF1B15">
              <w:rPr>
                <w:rFonts w:cs="Arial"/>
                <w:sz w:val="20"/>
                <w:szCs w:val="20"/>
              </w:rPr>
              <w:br/>
            </w:r>
            <w:r w:rsidRPr="00DF1B15">
              <w:rPr>
                <w:rFonts w:eastAsia="Calibri" w:cs="Arial"/>
                <w:color w:val="000000" w:themeColor="text1"/>
                <w:sz w:val="20"/>
                <w:szCs w:val="20"/>
              </w:rPr>
              <w:t xml:space="preserve">· Programación, seguimiento y control de los convenios </w:t>
            </w:r>
            <w:r w:rsidRPr="00DF1B15">
              <w:rPr>
                <w:rFonts w:cs="Arial"/>
                <w:sz w:val="20"/>
                <w:szCs w:val="20"/>
              </w:rPr>
              <w:br/>
            </w:r>
            <w:r w:rsidRPr="00DF1B15">
              <w:rPr>
                <w:rFonts w:eastAsia="Calibri" w:cs="Arial"/>
                <w:color w:val="000000" w:themeColor="text1"/>
                <w:sz w:val="20"/>
                <w:szCs w:val="20"/>
              </w:rPr>
              <w:t xml:space="preserve">· Elaboración de informes requeridos por el supervisor </w:t>
            </w:r>
            <w:r w:rsidRPr="00DF1B15">
              <w:rPr>
                <w:rFonts w:cs="Arial"/>
                <w:sz w:val="20"/>
                <w:szCs w:val="20"/>
              </w:rPr>
              <w:br/>
            </w:r>
            <w:r w:rsidRPr="00DF1B15">
              <w:rPr>
                <w:rFonts w:eastAsia="Calibri" w:cs="Arial"/>
                <w:color w:val="000000" w:themeColor="text1"/>
                <w:sz w:val="20"/>
                <w:szCs w:val="20"/>
              </w:rPr>
              <w:t>· Apoyo a procesos administrativos y financieros</w:t>
            </w:r>
          </w:p>
        </w:tc>
        <w:tc>
          <w:tcPr>
            <w:tcW w:w="1975" w:type="dxa"/>
            <w:vAlign w:val="center"/>
          </w:tcPr>
          <w:p w14:paraId="3888B471"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21F7DF87"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7E2075FE"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lastRenderedPageBreak/>
              <w:t>Profesional</w:t>
            </w:r>
          </w:p>
        </w:tc>
        <w:tc>
          <w:tcPr>
            <w:tcW w:w="5248" w:type="dxa"/>
            <w:vAlign w:val="center"/>
          </w:tcPr>
          <w:p w14:paraId="3E5B985F"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Financiero</w:t>
            </w:r>
          </w:p>
          <w:p w14:paraId="7377C579" w14:textId="0909FE9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Diagramación y maquetación de los informes (14) finales del convenio IGAC - CAR</w:t>
            </w:r>
            <w:r w:rsidRPr="00DF1B15">
              <w:rPr>
                <w:rFonts w:cs="Arial"/>
                <w:sz w:val="20"/>
                <w:szCs w:val="20"/>
              </w:rPr>
              <w:br/>
            </w:r>
            <w:r w:rsidRPr="00DF1B15">
              <w:rPr>
                <w:rFonts w:eastAsia="Calibri" w:cs="Arial"/>
                <w:color w:val="000000" w:themeColor="text1"/>
                <w:sz w:val="20"/>
                <w:szCs w:val="20"/>
              </w:rPr>
              <w:t>· Seguimiento a los movimientos financieros de la Subdirección</w:t>
            </w:r>
            <w:r w:rsidRPr="00DF1B15">
              <w:rPr>
                <w:rFonts w:cs="Arial"/>
                <w:sz w:val="20"/>
                <w:szCs w:val="20"/>
              </w:rPr>
              <w:br/>
            </w:r>
            <w:r w:rsidRPr="00DF1B15">
              <w:rPr>
                <w:rFonts w:eastAsia="Calibri" w:cs="Arial"/>
                <w:color w:val="000000" w:themeColor="text1"/>
                <w:sz w:val="20"/>
                <w:szCs w:val="20"/>
              </w:rPr>
              <w:t xml:space="preserve">· Solicitud y seguimiento administrativo (CDP, viáticos, vehículos, pasajes) a las salidas de campo de la Subdirección </w:t>
            </w:r>
            <w:r w:rsidRPr="00DF1B15">
              <w:rPr>
                <w:rFonts w:cs="Arial"/>
                <w:sz w:val="20"/>
                <w:szCs w:val="20"/>
              </w:rPr>
              <w:br/>
            </w:r>
            <w:r w:rsidRPr="00DF1B15">
              <w:rPr>
                <w:rFonts w:eastAsia="Calibri" w:cs="Arial"/>
                <w:color w:val="000000" w:themeColor="text1"/>
                <w:sz w:val="20"/>
                <w:szCs w:val="20"/>
              </w:rPr>
              <w:t>· Apoyo a los diferentes informes</w:t>
            </w:r>
          </w:p>
        </w:tc>
        <w:tc>
          <w:tcPr>
            <w:tcW w:w="1975" w:type="dxa"/>
            <w:vAlign w:val="center"/>
          </w:tcPr>
          <w:p w14:paraId="54DF9F87"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27202CF1"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3D46FD95"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677B182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administrativo (Banco Mundial – Catastro Multipropósito)</w:t>
            </w:r>
          </w:p>
          <w:p w14:paraId="54DD4BD8"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Apoyo en labores administrativas para el trámite de recursos </w:t>
            </w:r>
            <w:r w:rsidRPr="00DF1B15">
              <w:rPr>
                <w:rFonts w:cs="Arial"/>
                <w:sz w:val="20"/>
                <w:szCs w:val="20"/>
              </w:rPr>
              <w:br/>
            </w:r>
            <w:r w:rsidRPr="00DF1B15">
              <w:rPr>
                <w:rFonts w:eastAsia="Calibri" w:cs="Arial"/>
                <w:color w:val="000000" w:themeColor="text1"/>
                <w:sz w:val="20"/>
                <w:szCs w:val="20"/>
              </w:rPr>
              <w:t>· Digitación de base de datos con trazabilidad para AHT</w:t>
            </w:r>
            <w:r w:rsidRPr="00DF1B15">
              <w:rPr>
                <w:rFonts w:cs="Arial"/>
                <w:sz w:val="20"/>
                <w:szCs w:val="20"/>
              </w:rPr>
              <w:br/>
            </w:r>
            <w:r w:rsidRPr="00DF1B15">
              <w:rPr>
                <w:rFonts w:eastAsia="Calibri" w:cs="Arial"/>
                <w:color w:val="000000" w:themeColor="text1"/>
                <w:sz w:val="20"/>
                <w:szCs w:val="20"/>
              </w:rPr>
              <w:t xml:space="preserve">· Recopilación de información para elaborar actas  </w:t>
            </w:r>
            <w:r w:rsidRPr="00DF1B15">
              <w:rPr>
                <w:rFonts w:cs="Arial"/>
                <w:sz w:val="20"/>
                <w:szCs w:val="20"/>
              </w:rPr>
              <w:br/>
            </w:r>
            <w:r w:rsidRPr="00DF1B15">
              <w:rPr>
                <w:rFonts w:eastAsia="Calibri" w:cs="Arial"/>
                <w:color w:val="000000" w:themeColor="text1"/>
                <w:sz w:val="20"/>
                <w:szCs w:val="20"/>
              </w:rPr>
              <w:t xml:space="preserve">· Apoyo a los diferentes supervisores de contratos </w:t>
            </w:r>
            <w:r w:rsidRPr="00DF1B15">
              <w:rPr>
                <w:rFonts w:cs="Arial"/>
                <w:sz w:val="20"/>
                <w:szCs w:val="20"/>
              </w:rPr>
              <w:br/>
            </w:r>
            <w:r w:rsidRPr="00DF1B15">
              <w:rPr>
                <w:rFonts w:eastAsia="Calibri" w:cs="Arial"/>
                <w:color w:val="000000" w:themeColor="text1"/>
                <w:sz w:val="20"/>
                <w:szCs w:val="20"/>
              </w:rPr>
              <w:t xml:space="preserve">· Apoyo en el manejo de información (análoga y digital) </w:t>
            </w:r>
            <w:r w:rsidRPr="00DF1B15">
              <w:rPr>
                <w:rFonts w:cs="Arial"/>
                <w:sz w:val="20"/>
                <w:szCs w:val="20"/>
              </w:rPr>
              <w:br/>
            </w:r>
            <w:r w:rsidRPr="00DF1B15">
              <w:rPr>
                <w:rFonts w:eastAsia="Calibri" w:cs="Arial"/>
                <w:color w:val="000000" w:themeColor="text1"/>
                <w:sz w:val="20"/>
                <w:szCs w:val="20"/>
              </w:rPr>
              <w:t>· Elaboración de documentos requeridos por el supervisor</w:t>
            </w:r>
          </w:p>
        </w:tc>
        <w:tc>
          <w:tcPr>
            <w:tcW w:w="1975" w:type="dxa"/>
            <w:vAlign w:val="center"/>
          </w:tcPr>
          <w:p w14:paraId="48B371C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14300839"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868F0FF"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0CF2192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Jurídico</w:t>
            </w:r>
          </w:p>
          <w:p w14:paraId="3042161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color w:val="000000" w:themeColor="text1"/>
                <w:sz w:val="20"/>
                <w:szCs w:val="20"/>
              </w:rPr>
              <w:t xml:space="preserve">Preparar la información jurídica precontractual de los procesos </w:t>
            </w:r>
            <w:r w:rsidRPr="00DF1B15">
              <w:rPr>
                <w:rFonts w:cs="Arial"/>
                <w:sz w:val="20"/>
                <w:szCs w:val="20"/>
              </w:rPr>
              <w:br/>
            </w:r>
            <w:r w:rsidRPr="00DF1B15">
              <w:rPr>
                <w:rFonts w:eastAsia="Calibri" w:cs="Arial"/>
                <w:color w:val="000000" w:themeColor="text1"/>
                <w:sz w:val="20"/>
                <w:szCs w:val="20"/>
              </w:rPr>
              <w:t xml:space="preserve">· Seguimiento a los procesos contractuales que se adelantan </w:t>
            </w:r>
            <w:r w:rsidRPr="00DF1B15">
              <w:rPr>
                <w:rFonts w:cs="Arial"/>
                <w:sz w:val="20"/>
                <w:szCs w:val="20"/>
              </w:rPr>
              <w:br/>
            </w:r>
            <w:r w:rsidRPr="00DF1B15">
              <w:rPr>
                <w:rFonts w:eastAsia="Calibri" w:cs="Arial"/>
                <w:color w:val="000000" w:themeColor="text1"/>
                <w:sz w:val="20"/>
                <w:szCs w:val="20"/>
              </w:rPr>
              <w:t xml:space="preserve">· Asesoría en aspectos jurídicos los convenios y/o contratos interadministrativos  </w:t>
            </w:r>
            <w:r w:rsidRPr="00DF1B15">
              <w:rPr>
                <w:rFonts w:cs="Arial"/>
                <w:sz w:val="20"/>
                <w:szCs w:val="20"/>
              </w:rPr>
              <w:br/>
            </w:r>
            <w:r w:rsidRPr="00DF1B15">
              <w:rPr>
                <w:rFonts w:eastAsia="Calibri" w:cs="Arial"/>
                <w:color w:val="000000" w:themeColor="text1"/>
                <w:sz w:val="20"/>
                <w:szCs w:val="20"/>
              </w:rPr>
              <w:t>· Apoyo jurídico en todos los procesos de la subdirección de Agrología y el Laboratorio Nacional de Suelos</w:t>
            </w:r>
          </w:p>
          <w:p w14:paraId="7255538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1975" w:type="dxa"/>
            <w:vAlign w:val="center"/>
          </w:tcPr>
          <w:p w14:paraId="4E725B9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2D9A2BE3"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1B822D0" w14:textId="77777777" w:rsidR="007B7514" w:rsidRDefault="007B7514" w:rsidP="00A6302C">
            <w:pPr>
              <w:jc w:val="center"/>
              <w:rPr>
                <w:rFonts w:eastAsia="Calibri" w:cs="Arial"/>
                <w:b w:val="0"/>
                <w:bCs w:val="0"/>
                <w:color w:val="000000" w:themeColor="text1"/>
                <w:sz w:val="20"/>
                <w:szCs w:val="20"/>
              </w:rPr>
            </w:pPr>
          </w:p>
          <w:p w14:paraId="601C5090"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394B9DB2"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SGI</w:t>
            </w:r>
          </w:p>
          <w:p w14:paraId="4A22887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Seguimiento al cumplimiento de los controles establecidos en el SGI</w:t>
            </w:r>
            <w:r w:rsidRPr="00DF1B15">
              <w:rPr>
                <w:rFonts w:cs="Arial"/>
                <w:sz w:val="20"/>
                <w:szCs w:val="20"/>
              </w:rPr>
              <w:br/>
            </w:r>
            <w:r w:rsidRPr="00DF1B15">
              <w:rPr>
                <w:rFonts w:eastAsia="Calibri" w:cs="Arial"/>
                <w:color w:val="000000" w:themeColor="text1"/>
                <w:sz w:val="20"/>
                <w:szCs w:val="20"/>
              </w:rPr>
              <w:t>· Actualización de bases de datos</w:t>
            </w:r>
            <w:r w:rsidRPr="00DF1B15">
              <w:rPr>
                <w:rFonts w:cs="Arial"/>
                <w:sz w:val="20"/>
                <w:szCs w:val="20"/>
              </w:rPr>
              <w:br/>
            </w:r>
            <w:r w:rsidRPr="00DF1B15">
              <w:rPr>
                <w:rFonts w:eastAsia="Calibri" w:cs="Arial"/>
                <w:color w:val="000000" w:themeColor="text1"/>
                <w:sz w:val="20"/>
                <w:szCs w:val="20"/>
              </w:rPr>
              <w:t xml:space="preserve">· Apoyo en el establecimiento de estándares de calidad en la Subdirección de Agrología </w:t>
            </w:r>
            <w:r w:rsidRPr="00DF1B15">
              <w:rPr>
                <w:rFonts w:cs="Arial"/>
                <w:sz w:val="20"/>
                <w:szCs w:val="20"/>
              </w:rPr>
              <w:br/>
            </w:r>
            <w:r w:rsidRPr="00DF1B15">
              <w:rPr>
                <w:rFonts w:eastAsia="Calibri" w:cs="Arial"/>
                <w:color w:val="000000" w:themeColor="text1"/>
                <w:sz w:val="20"/>
                <w:szCs w:val="20"/>
              </w:rPr>
              <w:t>· Verificación del proceso de Gestión Agrológica</w:t>
            </w:r>
          </w:p>
        </w:tc>
        <w:tc>
          <w:tcPr>
            <w:tcW w:w="1975" w:type="dxa"/>
            <w:vAlign w:val="center"/>
          </w:tcPr>
          <w:p w14:paraId="29DA0FBA"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44F26D6B"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0E926ABA"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22150B1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Informático</w:t>
            </w:r>
          </w:p>
          <w:p w14:paraId="4E4AEBD6" w14:textId="17A0DF1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Actualizar los usuarios y sus roles que tienen acceso a la NETAPP de Agrología</w:t>
            </w:r>
            <w:r w:rsidRPr="00DF1B15">
              <w:rPr>
                <w:rFonts w:cs="Arial"/>
                <w:sz w:val="20"/>
                <w:szCs w:val="20"/>
              </w:rPr>
              <w:br/>
            </w:r>
            <w:r w:rsidRPr="00DF1B15">
              <w:rPr>
                <w:rFonts w:eastAsia="Calibri" w:cs="Arial"/>
                <w:color w:val="000000" w:themeColor="text1"/>
                <w:sz w:val="20"/>
                <w:szCs w:val="20"/>
              </w:rPr>
              <w:t>· Inventario de los recursos informáticos de Agrología</w:t>
            </w:r>
            <w:r w:rsidRPr="00DF1B15">
              <w:rPr>
                <w:rFonts w:cs="Arial"/>
                <w:sz w:val="20"/>
                <w:szCs w:val="20"/>
              </w:rPr>
              <w:br/>
            </w:r>
            <w:r w:rsidRPr="00DF1B15">
              <w:rPr>
                <w:rFonts w:eastAsia="Calibri" w:cs="Arial"/>
                <w:color w:val="000000" w:themeColor="text1"/>
                <w:sz w:val="20"/>
                <w:szCs w:val="20"/>
              </w:rPr>
              <w:t xml:space="preserve">· Actualización de los usuarios y sus roles que tienen acceso a las carpetas compartidas de Agrología </w:t>
            </w:r>
            <w:r w:rsidRPr="00DF1B15">
              <w:rPr>
                <w:rFonts w:cs="Arial"/>
                <w:sz w:val="20"/>
                <w:szCs w:val="20"/>
              </w:rPr>
              <w:br/>
            </w:r>
            <w:r w:rsidRPr="00DF1B15">
              <w:rPr>
                <w:rFonts w:eastAsia="Calibri" w:cs="Arial"/>
                <w:color w:val="000000" w:themeColor="text1"/>
                <w:sz w:val="20"/>
                <w:szCs w:val="20"/>
              </w:rPr>
              <w:t>· Seguimiento a incidencias por la Plataforma GLPI del IGAC</w:t>
            </w:r>
          </w:p>
        </w:tc>
        <w:tc>
          <w:tcPr>
            <w:tcW w:w="1975" w:type="dxa"/>
            <w:vAlign w:val="center"/>
          </w:tcPr>
          <w:p w14:paraId="2B4659DE"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Subproceso Gestión Agrológica</w:t>
            </w:r>
          </w:p>
        </w:tc>
      </w:tr>
      <w:tr w:rsidR="007B7514" w:rsidRPr="00DF1B15" w14:paraId="0FB612F2"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235C7E8F"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2E7001E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Jefe de Oficina Laboratorio Nacional de Suelos (LNS)</w:t>
            </w:r>
          </w:p>
          <w:p w14:paraId="43F7BDDC"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Dirección de ejecución de determinaciones analíticas del LNS</w:t>
            </w:r>
            <w:r w:rsidRPr="00DF1B15">
              <w:rPr>
                <w:rFonts w:cs="Arial"/>
                <w:sz w:val="20"/>
                <w:szCs w:val="20"/>
              </w:rPr>
              <w:br/>
            </w:r>
            <w:r w:rsidRPr="00DF1B15">
              <w:rPr>
                <w:rFonts w:eastAsia="Calibri" w:cs="Arial"/>
                <w:color w:val="000000" w:themeColor="text1"/>
                <w:sz w:val="20"/>
                <w:szCs w:val="20"/>
              </w:rPr>
              <w:t xml:space="preserve">· Programación de distribución de las labores analíticas del LNS </w:t>
            </w:r>
            <w:r w:rsidRPr="00DF1B15">
              <w:rPr>
                <w:rFonts w:cs="Arial"/>
                <w:sz w:val="20"/>
                <w:szCs w:val="20"/>
              </w:rPr>
              <w:br/>
            </w:r>
            <w:r w:rsidRPr="00DF1B15">
              <w:rPr>
                <w:rFonts w:eastAsia="Calibri" w:cs="Arial"/>
                <w:color w:val="000000" w:themeColor="text1"/>
                <w:sz w:val="20"/>
                <w:szCs w:val="20"/>
              </w:rPr>
              <w:t xml:space="preserve">· Asesoría técnica analítica y de suelos a clientes y al personal  </w:t>
            </w:r>
            <w:r w:rsidRPr="00DF1B15">
              <w:rPr>
                <w:rFonts w:cs="Arial"/>
                <w:sz w:val="20"/>
                <w:szCs w:val="20"/>
              </w:rPr>
              <w:br/>
            </w:r>
            <w:r w:rsidRPr="00DF1B15">
              <w:rPr>
                <w:rFonts w:eastAsia="Calibri" w:cs="Arial"/>
                <w:color w:val="000000" w:themeColor="text1"/>
                <w:sz w:val="20"/>
                <w:szCs w:val="20"/>
              </w:rPr>
              <w:t xml:space="preserve">· Supervisión y evaluación del desarrollo de actividades del LNS  </w:t>
            </w:r>
            <w:r w:rsidRPr="00DF1B15">
              <w:rPr>
                <w:rFonts w:cs="Arial"/>
                <w:sz w:val="20"/>
                <w:szCs w:val="20"/>
              </w:rPr>
              <w:br/>
            </w:r>
            <w:r w:rsidRPr="00DF1B15">
              <w:rPr>
                <w:rFonts w:eastAsia="Calibri" w:cs="Arial"/>
                <w:color w:val="000000" w:themeColor="text1"/>
                <w:sz w:val="20"/>
                <w:szCs w:val="20"/>
              </w:rPr>
              <w:lastRenderedPageBreak/>
              <w:t>· Garantía del aseguramiento de calidad del LNS</w:t>
            </w:r>
            <w:r w:rsidRPr="00DF1B15">
              <w:rPr>
                <w:rFonts w:cs="Arial"/>
                <w:sz w:val="20"/>
                <w:szCs w:val="20"/>
              </w:rPr>
              <w:br/>
            </w:r>
            <w:r w:rsidRPr="00DF1B15">
              <w:rPr>
                <w:rFonts w:eastAsia="Calibri" w:cs="Arial"/>
                <w:color w:val="000000" w:themeColor="text1"/>
                <w:sz w:val="20"/>
                <w:szCs w:val="20"/>
              </w:rPr>
              <w:t>· Elaboración de programas, proyectos de investigación</w:t>
            </w:r>
          </w:p>
        </w:tc>
        <w:tc>
          <w:tcPr>
            <w:tcW w:w="1975" w:type="dxa"/>
            <w:vAlign w:val="center"/>
          </w:tcPr>
          <w:p w14:paraId="123B804F"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lastRenderedPageBreak/>
              <w:t>Laboratorio Nacional de Suelos</w:t>
            </w:r>
          </w:p>
        </w:tc>
      </w:tr>
      <w:tr w:rsidR="007B7514" w:rsidRPr="00DF1B15" w14:paraId="6DF93E4D"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570182E3"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lastRenderedPageBreak/>
              <w:t>Profesional Especializado</w:t>
            </w:r>
          </w:p>
        </w:tc>
        <w:tc>
          <w:tcPr>
            <w:tcW w:w="5248" w:type="dxa"/>
            <w:vAlign w:val="center"/>
          </w:tcPr>
          <w:p w14:paraId="7007286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Control de Calidad, administrativo y técnico</w:t>
            </w:r>
          </w:p>
          <w:p w14:paraId="4DAD26AF"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color w:val="000000" w:themeColor="text1"/>
                <w:sz w:val="20"/>
                <w:szCs w:val="20"/>
              </w:rPr>
              <w:t xml:space="preserve">· Controles de calidad de los análisis de acuerdo con las normas </w:t>
            </w:r>
            <w:r w:rsidRPr="00DF1B15">
              <w:rPr>
                <w:rFonts w:cs="Arial"/>
                <w:sz w:val="20"/>
                <w:szCs w:val="20"/>
              </w:rPr>
              <w:br/>
            </w:r>
            <w:r w:rsidRPr="00DF1B15">
              <w:rPr>
                <w:rFonts w:eastAsia="Calibri" w:cs="Arial"/>
                <w:color w:val="000000" w:themeColor="text1"/>
                <w:sz w:val="20"/>
                <w:szCs w:val="20"/>
              </w:rPr>
              <w:t xml:space="preserve">· Cumplimiento con los tiempos, procedimientos y secuencias </w:t>
            </w:r>
            <w:r w:rsidRPr="00DF1B15">
              <w:rPr>
                <w:rFonts w:cs="Arial"/>
                <w:sz w:val="20"/>
                <w:szCs w:val="20"/>
              </w:rPr>
              <w:br/>
            </w:r>
            <w:r w:rsidRPr="00DF1B15">
              <w:rPr>
                <w:rFonts w:eastAsia="Calibri" w:cs="Arial"/>
                <w:color w:val="000000" w:themeColor="text1"/>
                <w:sz w:val="20"/>
                <w:szCs w:val="20"/>
              </w:rPr>
              <w:t xml:space="preserve">· Actualización de documentación técnica de soporte  </w:t>
            </w:r>
            <w:r w:rsidRPr="00DF1B15">
              <w:rPr>
                <w:rFonts w:cs="Arial"/>
                <w:sz w:val="20"/>
                <w:szCs w:val="20"/>
              </w:rPr>
              <w:br/>
            </w:r>
            <w:r w:rsidRPr="00DF1B15">
              <w:rPr>
                <w:rFonts w:eastAsia="Calibri" w:cs="Arial"/>
                <w:color w:val="000000" w:themeColor="text1"/>
                <w:sz w:val="20"/>
                <w:szCs w:val="20"/>
              </w:rPr>
              <w:t xml:space="preserve">· Producción de los protocolos de validación de métodos </w:t>
            </w:r>
            <w:r w:rsidRPr="00DF1B15">
              <w:rPr>
                <w:rFonts w:cs="Arial"/>
                <w:sz w:val="20"/>
                <w:szCs w:val="20"/>
              </w:rPr>
              <w:br/>
            </w:r>
            <w:r w:rsidRPr="00DF1B15">
              <w:rPr>
                <w:rFonts w:eastAsia="Calibri" w:cs="Arial"/>
                <w:color w:val="000000" w:themeColor="text1"/>
                <w:sz w:val="20"/>
                <w:szCs w:val="20"/>
              </w:rPr>
              <w:t>· Análisis de acuerdo a demanda en el LNS</w:t>
            </w:r>
            <w:r w:rsidRPr="00DF1B15">
              <w:rPr>
                <w:rFonts w:cs="Arial"/>
                <w:sz w:val="20"/>
                <w:szCs w:val="20"/>
              </w:rPr>
              <w:br/>
            </w:r>
            <w:r w:rsidRPr="00DF1B15">
              <w:rPr>
                <w:rFonts w:eastAsia="Calibri" w:cs="Arial"/>
                <w:color w:val="000000" w:themeColor="text1"/>
                <w:sz w:val="20"/>
                <w:szCs w:val="20"/>
              </w:rPr>
              <w:t>· Diversos trámites administrativos inherentes al LNS</w:t>
            </w:r>
          </w:p>
          <w:p w14:paraId="06B1E098"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1975" w:type="dxa"/>
            <w:vAlign w:val="center"/>
          </w:tcPr>
          <w:p w14:paraId="7101D299"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7964757E" w14:textId="77777777" w:rsidTr="00A6302C">
        <w:trPr>
          <w:trHeight w:val="675"/>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0DD80098"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 Universitario</w:t>
            </w:r>
          </w:p>
        </w:tc>
        <w:tc>
          <w:tcPr>
            <w:tcW w:w="5248" w:type="dxa"/>
            <w:vAlign w:val="center"/>
          </w:tcPr>
          <w:p w14:paraId="329B7AFF" w14:textId="5DD40808"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análisis químicos, físicos, mineralógicos y biológicos</w:t>
            </w:r>
          </w:p>
          <w:p w14:paraId="1964F432"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Supervisión de los contratos que sean asignados </w:t>
            </w:r>
            <w:r w:rsidRPr="00DF1B15">
              <w:rPr>
                <w:rFonts w:cs="Arial"/>
                <w:sz w:val="20"/>
                <w:szCs w:val="20"/>
              </w:rPr>
              <w:br/>
            </w:r>
            <w:r w:rsidRPr="00DF1B15">
              <w:rPr>
                <w:rFonts w:eastAsia="Calibri" w:cs="Arial"/>
                <w:color w:val="000000" w:themeColor="text1"/>
                <w:sz w:val="20"/>
                <w:szCs w:val="20"/>
              </w:rPr>
              <w:t xml:space="preserve">· Atención y asesoría a clientes </w:t>
            </w:r>
            <w:r w:rsidRPr="00DF1B15">
              <w:rPr>
                <w:rFonts w:cs="Arial"/>
                <w:sz w:val="20"/>
                <w:szCs w:val="20"/>
              </w:rPr>
              <w:br/>
            </w:r>
            <w:r w:rsidRPr="00DF1B15">
              <w:rPr>
                <w:rFonts w:eastAsia="Calibri" w:cs="Arial"/>
                <w:color w:val="000000" w:themeColor="text1"/>
                <w:sz w:val="20"/>
                <w:szCs w:val="20"/>
              </w:rPr>
              <w:t>· Participación en la actualización, modificación y/o ajuste de procedimientos llevados a cabo en el LNS</w:t>
            </w:r>
            <w:r w:rsidRPr="00DF1B15">
              <w:rPr>
                <w:rFonts w:cs="Arial"/>
                <w:sz w:val="20"/>
                <w:szCs w:val="20"/>
              </w:rPr>
              <w:br/>
            </w:r>
            <w:r w:rsidRPr="00DF1B15">
              <w:rPr>
                <w:rFonts w:eastAsia="Calibri" w:cs="Arial"/>
                <w:color w:val="000000" w:themeColor="text1"/>
                <w:sz w:val="20"/>
                <w:szCs w:val="20"/>
              </w:rPr>
              <w:t xml:space="preserve">· Ejecución análisis químicos, físicos, mineralógicos y biológicos </w:t>
            </w:r>
            <w:r w:rsidRPr="00DF1B15">
              <w:rPr>
                <w:rFonts w:cs="Arial"/>
                <w:sz w:val="20"/>
                <w:szCs w:val="20"/>
              </w:rPr>
              <w:br/>
            </w:r>
            <w:r w:rsidRPr="00DF1B15">
              <w:rPr>
                <w:rFonts w:eastAsia="Calibri" w:cs="Arial"/>
                <w:color w:val="000000" w:themeColor="text1"/>
                <w:sz w:val="20"/>
                <w:szCs w:val="20"/>
              </w:rPr>
              <w:t>· Ingreso de información al SIGA según sea requerido</w:t>
            </w:r>
            <w:r w:rsidRPr="00DF1B15">
              <w:rPr>
                <w:rFonts w:cs="Arial"/>
                <w:sz w:val="20"/>
                <w:szCs w:val="20"/>
              </w:rPr>
              <w:br/>
            </w:r>
            <w:r w:rsidRPr="00DF1B15">
              <w:rPr>
                <w:rFonts w:eastAsia="Calibri" w:cs="Arial"/>
                <w:color w:val="000000" w:themeColor="text1"/>
                <w:sz w:val="20"/>
                <w:szCs w:val="20"/>
              </w:rPr>
              <w:t xml:space="preserve">· Controles de calidad de los análisis asignados por el supervisor de acuerdo con las normas establecidas en el LNS </w:t>
            </w:r>
            <w:r w:rsidRPr="00DF1B15">
              <w:rPr>
                <w:rFonts w:cs="Arial"/>
                <w:sz w:val="20"/>
                <w:szCs w:val="20"/>
              </w:rPr>
              <w:br/>
            </w:r>
            <w:r w:rsidRPr="00DF1B15">
              <w:rPr>
                <w:rFonts w:eastAsia="Calibri" w:cs="Arial"/>
                <w:color w:val="000000" w:themeColor="text1"/>
                <w:sz w:val="20"/>
                <w:szCs w:val="20"/>
              </w:rPr>
              <w:t xml:space="preserve">· Cumplimiento de tiempos, procedimientos, secuencias </w:t>
            </w:r>
            <w:r w:rsidRPr="00DF1B15">
              <w:rPr>
                <w:rFonts w:cs="Arial"/>
                <w:sz w:val="20"/>
                <w:szCs w:val="20"/>
              </w:rPr>
              <w:br/>
            </w:r>
            <w:r w:rsidRPr="00DF1B15">
              <w:rPr>
                <w:rFonts w:eastAsia="Calibri" w:cs="Arial"/>
                <w:color w:val="000000" w:themeColor="text1"/>
                <w:sz w:val="20"/>
                <w:szCs w:val="20"/>
              </w:rPr>
              <w:t>· Cumplimiento con directrices del Sistema de Gestión Integrado (SGI)</w:t>
            </w:r>
          </w:p>
        </w:tc>
        <w:tc>
          <w:tcPr>
            <w:tcW w:w="1975" w:type="dxa"/>
            <w:vAlign w:val="center"/>
          </w:tcPr>
          <w:p w14:paraId="50F8F1E3"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522B9164"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DFC4F6C"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737FA46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Apoyo logístico y administrativo</w:t>
            </w:r>
          </w:p>
          <w:p w14:paraId="653B897D"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Atención al cliente y direccionamiento de solicitudes</w:t>
            </w:r>
            <w:r w:rsidRPr="00DF1B15">
              <w:rPr>
                <w:rFonts w:cs="Arial"/>
                <w:sz w:val="20"/>
                <w:szCs w:val="20"/>
              </w:rPr>
              <w:br/>
            </w:r>
            <w:r w:rsidRPr="00DF1B15">
              <w:rPr>
                <w:rFonts w:eastAsia="Calibri" w:cs="Arial"/>
                <w:color w:val="000000" w:themeColor="text1"/>
                <w:sz w:val="20"/>
                <w:szCs w:val="20"/>
              </w:rPr>
              <w:t>· Generación de cotizaciones y envío a clientes</w:t>
            </w:r>
            <w:r w:rsidRPr="00DF1B15">
              <w:rPr>
                <w:rFonts w:cs="Arial"/>
                <w:sz w:val="20"/>
                <w:szCs w:val="20"/>
              </w:rPr>
              <w:br/>
            </w:r>
            <w:r w:rsidRPr="00DF1B15">
              <w:rPr>
                <w:rFonts w:eastAsia="Calibri" w:cs="Arial"/>
                <w:color w:val="000000" w:themeColor="text1"/>
                <w:sz w:val="20"/>
                <w:szCs w:val="20"/>
              </w:rPr>
              <w:t xml:space="preserve">· Ingreso de solicitudes al Sistema de Informaciones de Gestión Agrologica (SIGA) </w:t>
            </w:r>
            <w:r w:rsidRPr="00DF1B15">
              <w:rPr>
                <w:rFonts w:cs="Arial"/>
                <w:sz w:val="20"/>
                <w:szCs w:val="20"/>
              </w:rPr>
              <w:br/>
            </w:r>
            <w:r w:rsidRPr="00DF1B15">
              <w:rPr>
                <w:rFonts w:eastAsia="Calibri" w:cs="Arial"/>
                <w:color w:val="000000" w:themeColor="text1"/>
                <w:sz w:val="20"/>
                <w:szCs w:val="20"/>
              </w:rPr>
              <w:t>· Elaboración de Ordenes de Consignación</w:t>
            </w:r>
            <w:r w:rsidRPr="00DF1B15">
              <w:rPr>
                <w:rFonts w:cs="Arial"/>
                <w:sz w:val="20"/>
                <w:szCs w:val="20"/>
              </w:rPr>
              <w:br/>
            </w:r>
            <w:r w:rsidRPr="00DF1B15">
              <w:rPr>
                <w:rFonts w:eastAsia="Calibri" w:cs="Arial"/>
                <w:color w:val="000000" w:themeColor="text1"/>
                <w:sz w:val="20"/>
                <w:szCs w:val="20"/>
              </w:rPr>
              <w:t>· Ingreso de facturas al SIGA</w:t>
            </w:r>
          </w:p>
        </w:tc>
        <w:tc>
          <w:tcPr>
            <w:tcW w:w="1975" w:type="dxa"/>
            <w:vAlign w:val="center"/>
          </w:tcPr>
          <w:p w14:paraId="38167FA4"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17EEDF00"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6C7588DC"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74105076"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Sistema Gestión Integrado</w:t>
            </w:r>
          </w:p>
          <w:p w14:paraId="5E10F2AA"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xml:space="preserve">Seguimiento al cumplimiento de los procedimientos e instructivos </w:t>
            </w:r>
            <w:r w:rsidRPr="00DF1B15">
              <w:rPr>
                <w:rFonts w:cs="Arial"/>
                <w:sz w:val="20"/>
                <w:szCs w:val="20"/>
              </w:rPr>
              <w:br/>
            </w:r>
            <w:r w:rsidRPr="00DF1B15">
              <w:rPr>
                <w:rFonts w:eastAsia="Calibri" w:cs="Arial"/>
                <w:color w:val="000000" w:themeColor="text1"/>
                <w:sz w:val="20"/>
                <w:szCs w:val="20"/>
              </w:rPr>
              <w:t>· Definición de acciones de mejora cuando haya lugar, para garantizar el debido funcionamiento del Sistema de Gestión Integrado</w:t>
            </w:r>
            <w:r w:rsidRPr="00DF1B15">
              <w:rPr>
                <w:rFonts w:cs="Arial"/>
                <w:sz w:val="20"/>
                <w:szCs w:val="20"/>
              </w:rPr>
              <w:br/>
            </w:r>
            <w:r w:rsidRPr="00DF1B15">
              <w:rPr>
                <w:rFonts w:eastAsia="Calibri" w:cs="Arial"/>
                <w:color w:val="000000" w:themeColor="text1"/>
                <w:sz w:val="20"/>
                <w:szCs w:val="20"/>
              </w:rPr>
              <w:t xml:space="preserve">· Mantenimiento del SGI en el LNS, seguimiento periódico de controles  </w:t>
            </w:r>
            <w:r w:rsidRPr="00DF1B15">
              <w:rPr>
                <w:rFonts w:cs="Arial"/>
                <w:sz w:val="20"/>
                <w:szCs w:val="20"/>
              </w:rPr>
              <w:br/>
            </w:r>
            <w:r w:rsidRPr="00DF1B15">
              <w:rPr>
                <w:rFonts w:eastAsia="Calibri" w:cs="Arial"/>
                <w:color w:val="000000" w:themeColor="text1"/>
                <w:sz w:val="20"/>
                <w:szCs w:val="20"/>
              </w:rPr>
              <w:t>· Participación en el proceso de acreditación del LNS</w:t>
            </w:r>
            <w:r w:rsidRPr="00DF1B15">
              <w:rPr>
                <w:rFonts w:cs="Arial"/>
                <w:sz w:val="20"/>
                <w:szCs w:val="20"/>
              </w:rPr>
              <w:br/>
            </w:r>
            <w:r w:rsidRPr="00DF1B15">
              <w:rPr>
                <w:rFonts w:eastAsia="Calibri" w:cs="Arial"/>
                <w:color w:val="000000" w:themeColor="text1"/>
                <w:sz w:val="20"/>
                <w:szCs w:val="20"/>
              </w:rPr>
              <w:t>· Actualización de la documentación del proceso</w:t>
            </w:r>
          </w:p>
        </w:tc>
        <w:tc>
          <w:tcPr>
            <w:tcW w:w="1975" w:type="dxa"/>
            <w:vAlign w:val="center"/>
          </w:tcPr>
          <w:p w14:paraId="4B3A5580"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54C1EC6D"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41EDD220"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5BA2E84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Profesional Ambiental</w:t>
            </w:r>
          </w:p>
          <w:p w14:paraId="35EEB6CE"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Sistema de monitoreo y control donde se muestren los resultados de volúmenes de residuos sólidos y líquidos según su clasificación</w:t>
            </w:r>
            <w:r w:rsidRPr="00DF1B15">
              <w:rPr>
                <w:rFonts w:cs="Arial"/>
                <w:sz w:val="20"/>
                <w:szCs w:val="20"/>
              </w:rPr>
              <w:br/>
            </w:r>
            <w:r w:rsidRPr="00DF1B15">
              <w:rPr>
                <w:rFonts w:eastAsia="Calibri" w:cs="Arial"/>
                <w:color w:val="000000" w:themeColor="text1"/>
                <w:sz w:val="20"/>
                <w:szCs w:val="20"/>
              </w:rPr>
              <w:t>· De identificación a disposición final de los residuos peligrosos ordinarios y lodos generados mensualmente del LNS</w:t>
            </w:r>
            <w:r w:rsidRPr="00DF1B15">
              <w:rPr>
                <w:rFonts w:cs="Arial"/>
                <w:sz w:val="20"/>
                <w:szCs w:val="20"/>
              </w:rPr>
              <w:br/>
            </w:r>
            <w:r w:rsidRPr="00DF1B15">
              <w:rPr>
                <w:rFonts w:eastAsia="Calibri" w:cs="Arial"/>
                <w:color w:val="000000" w:themeColor="text1"/>
                <w:sz w:val="20"/>
                <w:szCs w:val="20"/>
              </w:rPr>
              <w:t>· Procesamiento completo de mínimo 450 análisis de muestras mensuales o según demanda</w:t>
            </w:r>
          </w:p>
        </w:tc>
        <w:tc>
          <w:tcPr>
            <w:tcW w:w="1975" w:type="dxa"/>
            <w:vAlign w:val="center"/>
          </w:tcPr>
          <w:p w14:paraId="21E7CD76"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3E7D5618"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2E97F328"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lastRenderedPageBreak/>
              <w:t>Profesional</w:t>
            </w:r>
          </w:p>
        </w:tc>
        <w:tc>
          <w:tcPr>
            <w:tcW w:w="5248" w:type="dxa"/>
            <w:vAlign w:val="center"/>
          </w:tcPr>
          <w:p w14:paraId="16580C0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Metrólogo</w:t>
            </w:r>
          </w:p>
          <w:p w14:paraId="101899AD"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color w:val="000000" w:themeColor="text1"/>
                <w:sz w:val="20"/>
                <w:szCs w:val="20"/>
              </w:rPr>
              <w:t>Verificación y seguimiento metrológico de todos los equipos e instrumentos del LNS</w:t>
            </w:r>
            <w:r w:rsidRPr="00DF1B15">
              <w:rPr>
                <w:rFonts w:cs="Arial"/>
                <w:sz w:val="20"/>
                <w:szCs w:val="20"/>
              </w:rPr>
              <w:br/>
            </w:r>
            <w:r w:rsidRPr="00DF1B15">
              <w:rPr>
                <w:rFonts w:eastAsia="Calibri" w:cs="Arial"/>
                <w:color w:val="000000" w:themeColor="text1"/>
                <w:sz w:val="20"/>
                <w:szCs w:val="20"/>
              </w:rPr>
              <w:t>· Cronograma anual de los equipos que requieren mantenimiento y calibración, de acuerdo con la criticidad</w:t>
            </w:r>
            <w:r w:rsidRPr="00DF1B15">
              <w:rPr>
                <w:rFonts w:cs="Arial"/>
                <w:sz w:val="20"/>
                <w:szCs w:val="20"/>
              </w:rPr>
              <w:br/>
            </w:r>
            <w:r w:rsidRPr="00DF1B15">
              <w:rPr>
                <w:rFonts w:eastAsia="Calibri" w:cs="Arial"/>
                <w:color w:val="000000" w:themeColor="text1"/>
                <w:sz w:val="20"/>
                <w:szCs w:val="20"/>
              </w:rPr>
              <w:t xml:space="preserve">· Reporte sobre equipos e instrumentos para cálculo de incertidumbre </w:t>
            </w:r>
            <w:r w:rsidRPr="00DF1B15">
              <w:rPr>
                <w:rFonts w:cs="Arial"/>
                <w:sz w:val="20"/>
                <w:szCs w:val="20"/>
              </w:rPr>
              <w:br/>
            </w:r>
            <w:r w:rsidRPr="00DF1B15">
              <w:rPr>
                <w:rFonts w:eastAsia="Calibri" w:cs="Arial"/>
                <w:color w:val="000000" w:themeColor="text1"/>
                <w:sz w:val="20"/>
                <w:szCs w:val="20"/>
              </w:rPr>
              <w:t>· Solución de problemas en los procesos de aseguramiento metrológico</w:t>
            </w:r>
          </w:p>
          <w:p w14:paraId="1ACC3C25"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1975" w:type="dxa"/>
            <w:vAlign w:val="center"/>
          </w:tcPr>
          <w:p w14:paraId="282C170F"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06705578"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695CA0AC"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218CCB0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Lavado de Material</w:t>
            </w:r>
          </w:p>
          <w:p w14:paraId="4D96FB6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color w:val="000000" w:themeColor="text1"/>
                <w:sz w:val="20"/>
                <w:szCs w:val="20"/>
              </w:rPr>
            </w:pPr>
            <w:r w:rsidRPr="00DF1B15">
              <w:rPr>
                <w:rFonts w:eastAsia="Calibri" w:cs="Arial"/>
                <w:color w:val="000000" w:themeColor="text1"/>
                <w:sz w:val="20"/>
                <w:szCs w:val="20"/>
              </w:rPr>
              <w:t>Material necesario para ejecutar las determinaciones analíticas en cuanto a limpieza y cantidad</w:t>
            </w:r>
            <w:r w:rsidRPr="00DF1B15">
              <w:rPr>
                <w:rFonts w:cs="Arial"/>
                <w:sz w:val="20"/>
                <w:szCs w:val="20"/>
              </w:rPr>
              <w:br/>
            </w:r>
            <w:r w:rsidRPr="00DF1B15">
              <w:rPr>
                <w:rFonts w:eastAsia="Calibri" w:cs="Arial"/>
                <w:color w:val="000000" w:themeColor="text1"/>
                <w:sz w:val="20"/>
                <w:szCs w:val="20"/>
              </w:rPr>
              <w:t xml:space="preserve">· Control de limpieza de todas las áreas del LNS </w:t>
            </w:r>
            <w:r w:rsidRPr="00DF1B15">
              <w:rPr>
                <w:rFonts w:cs="Arial"/>
                <w:sz w:val="20"/>
                <w:szCs w:val="20"/>
              </w:rPr>
              <w:br/>
            </w:r>
            <w:r w:rsidRPr="00DF1B15">
              <w:rPr>
                <w:rFonts w:eastAsia="Calibri" w:cs="Arial"/>
                <w:color w:val="000000" w:themeColor="text1"/>
                <w:sz w:val="20"/>
                <w:szCs w:val="20"/>
              </w:rPr>
              <w:t xml:space="preserve">· Apoyo en el invernadero del LNS  </w:t>
            </w:r>
            <w:r w:rsidRPr="00DF1B15">
              <w:rPr>
                <w:rFonts w:cs="Arial"/>
                <w:sz w:val="20"/>
                <w:szCs w:val="20"/>
              </w:rPr>
              <w:br/>
            </w:r>
            <w:r w:rsidRPr="00DF1B15">
              <w:rPr>
                <w:rFonts w:eastAsia="Calibri" w:cs="Arial"/>
                <w:color w:val="000000" w:themeColor="text1"/>
                <w:sz w:val="20"/>
                <w:szCs w:val="20"/>
              </w:rPr>
              <w:t>· Apoyo en según manuales de procedimientos que aplican para el LNS</w:t>
            </w:r>
          </w:p>
          <w:p w14:paraId="3437A238"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1975" w:type="dxa"/>
            <w:vAlign w:val="center"/>
          </w:tcPr>
          <w:p w14:paraId="5557053A"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r w:rsidR="007B7514" w:rsidRPr="00DF1B15" w14:paraId="071A9880" w14:textId="77777777" w:rsidTr="00A6302C">
        <w:trPr>
          <w:trHeight w:val="360"/>
          <w:jc w:val="center"/>
        </w:trPr>
        <w:tc>
          <w:tcPr>
            <w:cnfStyle w:val="001000000000" w:firstRow="0" w:lastRow="0" w:firstColumn="1" w:lastColumn="0" w:oddVBand="0" w:evenVBand="0" w:oddHBand="0" w:evenHBand="0" w:firstRowFirstColumn="0" w:firstRowLastColumn="0" w:lastRowFirstColumn="0" w:lastRowLastColumn="0"/>
            <w:tcW w:w="1767" w:type="dxa"/>
            <w:vAlign w:val="center"/>
          </w:tcPr>
          <w:p w14:paraId="1E8B9671" w14:textId="77777777" w:rsidR="007B7514" w:rsidRPr="00DF1B15" w:rsidRDefault="007B7514" w:rsidP="00A6302C">
            <w:pPr>
              <w:jc w:val="center"/>
              <w:rPr>
                <w:rFonts w:cs="Arial"/>
                <w:sz w:val="20"/>
                <w:szCs w:val="20"/>
              </w:rPr>
            </w:pPr>
            <w:r w:rsidRPr="00DF1B15">
              <w:rPr>
                <w:rFonts w:eastAsia="Calibri" w:cs="Arial"/>
                <w:color w:val="000000" w:themeColor="text1"/>
                <w:sz w:val="20"/>
                <w:szCs w:val="20"/>
              </w:rPr>
              <w:t>Profesional</w:t>
            </w:r>
          </w:p>
        </w:tc>
        <w:tc>
          <w:tcPr>
            <w:tcW w:w="5248" w:type="dxa"/>
            <w:vAlign w:val="center"/>
          </w:tcPr>
          <w:p w14:paraId="6C172937"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Calibri" w:cs="Arial"/>
                <w:b/>
                <w:bCs/>
                <w:color w:val="000000" w:themeColor="text1"/>
                <w:sz w:val="20"/>
                <w:szCs w:val="20"/>
              </w:rPr>
            </w:pPr>
            <w:r w:rsidRPr="00DF1B15">
              <w:rPr>
                <w:rFonts w:eastAsia="Calibri" w:cs="Arial"/>
                <w:b/>
                <w:bCs/>
                <w:color w:val="000000" w:themeColor="text1"/>
                <w:sz w:val="20"/>
                <w:szCs w:val="20"/>
              </w:rPr>
              <w:t>Preparador de Muestras</w:t>
            </w:r>
          </w:p>
          <w:p w14:paraId="26A1BD57" w14:textId="77777777" w:rsidR="007B7514" w:rsidRPr="00DF1B15"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 Sistema de monitoreo y control con resultados de volúmenes de residuos sólidos y líquidos según su clasificación</w:t>
            </w:r>
            <w:r w:rsidRPr="00DF1B15">
              <w:rPr>
                <w:rFonts w:cs="Arial"/>
                <w:sz w:val="20"/>
                <w:szCs w:val="20"/>
              </w:rPr>
              <w:br/>
            </w:r>
            <w:r w:rsidRPr="00DF1B15">
              <w:rPr>
                <w:rFonts w:eastAsia="Calibri" w:cs="Arial"/>
                <w:color w:val="000000" w:themeColor="text1"/>
                <w:sz w:val="20"/>
                <w:szCs w:val="20"/>
              </w:rPr>
              <w:t>· De identificación a disposición final de los residuos peligrosos ordinarios y lodos generados mensualmente del LNS</w:t>
            </w:r>
            <w:r w:rsidRPr="00DF1B15">
              <w:rPr>
                <w:rFonts w:cs="Arial"/>
                <w:sz w:val="20"/>
                <w:szCs w:val="20"/>
              </w:rPr>
              <w:br/>
            </w:r>
            <w:r w:rsidRPr="00DF1B15">
              <w:rPr>
                <w:rFonts w:eastAsia="Calibri" w:cs="Arial"/>
                <w:color w:val="000000" w:themeColor="text1"/>
                <w:sz w:val="20"/>
                <w:szCs w:val="20"/>
              </w:rPr>
              <w:t>· Procesamiento completo de mínimo 450 análisis de muestras mensuales o según demanda</w:t>
            </w:r>
          </w:p>
        </w:tc>
        <w:tc>
          <w:tcPr>
            <w:tcW w:w="1975" w:type="dxa"/>
            <w:vAlign w:val="center"/>
          </w:tcPr>
          <w:p w14:paraId="25E96D80" w14:textId="77777777" w:rsidR="007B7514" w:rsidRPr="00DF1B15"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DF1B15">
              <w:rPr>
                <w:rFonts w:eastAsia="Calibri" w:cs="Arial"/>
                <w:color w:val="000000" w:themeColor="text1"/>
                <w:sz w:val="20"/>
                <w:szCs w:val="20"/>
              </w:rPr>
              <w:t>Laboratorio Nacional de Suelos</w:t>
            </w:r>
          </w:p>
        </w:tc>
      </w:tr>
    </w:tbl>
    <w:p w14:paraId="5146625F" w14:textId="02588C75" w:rsidR="007B7514" w:rsidRPr="00CF50CE" w:rsidRDefault="007B7514" w:rsidP="00CF50CE">
      <w:pPr>
        <w:jc w:val="center"/>
        <w:rPr>
          <w:rFonts w:eastAsia="Arial" w:cs="Arial"/>
          <w:b/>
          <w:color w:val="000000" w:themeColor="text1"/>
          <w:sz w:val="14"/>
          <w:szCs w:val="14"/>
        </w:rPr>
      </w:pPr>
      <w:r w:rsidRPr="00DF1B15">
        <w:rPr>
          <w:rFonts w:eastAsia="Arial" w:cs="Arial"/>
          <w:b/>
          <w:bCs/>
          <w:color w:val="000000" w:themeColor="text1"/>
          <w:sz w:val="16"/>
          <w:szCs w:val="14"/>
          <w:lang w:val="es"/>
        </w:rPr>
        <w:t xml:space="preserve">Fuente: </w:t>
      </w:r>
      <w:r w:rsidRPr="00DF1B15">
        <w:rPr>
          <w:rFonts w:eastAsia="Arial" w:cs="Arial"/>
          <w:b/>
          <w:color w:val="000000" w:themeColor="text1"/>
          <w:sz w:val="16"/>
          <w:szCs w:val="14"/>
          <w:lang w:val="es"/>
        </w:rPr>
        <w:t>Dirección de Gestión de la Información Geográfica</w:t>
      </w:r>
    </w:p>
    <w:p w14:paraId="197A5602" w14:textId="0F108C21" w:rsidR="00DE6E06" w:rsidRDefault="00DE6E06" w:rsidP="007B7514">
      <w:pPr>
        <w:rPr>
          <w:b/>
          <w:bCs/>
          <w:sz w:val="22"/>
          <w:szCs w:val="22"/>
        </w:rPr>
      </w:pPr>
    </w:p>
    <w:p w14:paraId="088BDF81" w14:textId="6F914C0D" w:rsidR="00CF50CE" w:rsidRPr="00CF50CE" w:rsidRDefault="007B7514" w:rsidP="000A20EE">
      <w:pPr>
        <w:pStyle w:val="Prrafodelista"/>
        <w:numPr>
          <w:ilvl w:val="2"/>
          <w:numId w:val="22"/>
        </w:numPr>
        <w:rPr>
          <w:b/>
          <w:bCs/>
          <w:sz w:val="22"/>
          <w:szCs w:val="22"/>
        </w:rPr>
      </w:pPr>
      <w:r w:rsidRPr="00CF50CE">
        <w:rPr>
          <w:b/>
          <w:bCs/>
          <w:sz w:val="22"/>
          <w:szCs w:val="22"/>
        </w:rPr>
        <w:t xml:space="preserve">PROCESOS A CARGO </w:t>
      </w:r>
    </w:p>
    <w:p w14:paraId="6B25E783" w14:textId="77777777" w:rsidR="007B7514" w:rsidRDefault="007B7514" w:rsidP="007B7514">
      <w:pPr>
        <w:pStyle w:val="Lista"/>
      </w:pPr>
    </w:p>
    <w:p w14:paraId="282F8D9E" w14:textId="77777777" w:rsidR="007B7514" w:rsidRDefault="007B7514" w:rsidP="007B7514">
      <w:pPr>
        <w:jc w:val="both"/>
        <w:rPr>
          <w:rFonts w:eastAsia="Arial" w:cs="Arial"/>
          <w:sz w:val="22"/>
          <w:szCs w:val="22"/>
          <w:lang w:val="es" w:eastAsia="en-US"/>
        </w:rPr>
      </w:pPr>
      <w:r w:rsidRPr="31FF9146">
        <w:rPr>
          <w:rFonts w:eastAsia="Arial" w:cs="Arial"/>
          <w:sz w:val="22"/>
          <w:szCs w:val="22"/>
          <w:lang w:val="es" w:eastAsia="en-US"/>
        </w:rPr>
        <w:t>La Dirección de Gestión de Información Geográfica lidera el proceso misional de “Gestión de Información Geográfica”, el cual tiene por objetivo coordinar y articular la producción, actualización y disposición de datos e información cartográfica, geográfica, geodésica y agrológica del país bajo estándares y especificaciones que faciliten su descubrimiento, acceso y uso.</w:t>
      </w:r>
    </w:p>
    <w:p w14:paraId="4358B825" w14:textId="77777777" w:rsidR="007B7514" w:rsidRDefault="007B7514" w:rsidP="007B7514">
      <w:pPr>
        <w:jc w:val="both"/>
        <w:rPr>
          <w:rFonts w:eastAsia="Arial" w:cs="Arial"/>
          <w:sz w:val="22"/>
          <w:szCs w:val="22"/>
          <w:lang w:eastAsia="en-US"/>
        </w:rPr>
      </w:pPr>
      <w:r w:rsidRPr="31FF9146">
        <w:rPr>
          <w:rFonts w:eastAsia="Arial" w:cs="Arial"/>
          <w:sz w:val="22"/>
          <w:szCs w:val="22"/>
          <w:lang w:eastAsia="en-US"/>
        </w:rPr>
        <w:t xml:space="preserve"> </w:t>
      </w:r>
    </w:p>
    <w:p w14:paraId="3D9D43CD" w14:textId="77777777" w:rsidR="007B7514" w:rsidRDefault="007B7514" w:rsidP="007B7514">
      <w:pPr>
        <w:jc w:val="both"/>
        <w:rPr>
          <w:rFonts w:eastAsia="Arial" w:cs="Arial"/>
          <w:sz w:val="22"/>
          <w:szCs w:val="22"/>
          <w:lang w:val="es" w:eastAsia="en-US"/>
        </w:rPr>
      </w:pPr>
      <w:r w:rsidRPr="31FF9146">
        <w:rPr>
          <w:rFonts w:eastAsia="Arial" w:cs="Arial"/>
          <w:sz w:val="22"/>
          <w:szCs w:val="22"/>
          <w:lang w:val="es" w:eastAsia="en-US"/>
        </w:rPr>
        <w:t>Dentro de este proceso se encuentran los siguientes subprocesos:</w:t>
      </w:r>
    </w:p>
    <w:p w14:paraId="553ED993" w14:textId="42B6172D" w:rsidR="007B7514" w:rsidRDefault="007B7514" w:rsidP="007B7514">
      <w:pPr>
        <w:jc w:val="both"/>
        <w:rPr>
          <w:rFonts w:eastAsia="Arial" w:cs="Arial"/>
          <w:sz w:val="22"/>
          <w:szCs w:val="22"/>
          <w:lang w:val="es" w:eastAsia="en-US"/>
        </w:rPr>
      </w:pPr>
    </w:p>
    <w:p w14:paraId="672DCEE4" w14:textId="77777777" w:rsidR="007B7514" w:rsidRPr="005E19D4" w:rsidRDefault="007B7514" w:rsidP="000A20EE">
      <w:pPr>
        <w:pStyle w:val="Prrafodelista"/>
        <w:numPr>
          <w:ilvl w:val="0"/>
          <w:numId w:val="213"/>
        </w:numPr>
        <w:spacing w:line="254" w:lineRule="exact"/>
        <w:rPr>
          <w:rFonts w:eastAsia="Arial" w:cs="Arial"/>
          <w:b/>
          <w:bCs/>
          <w:sz w:val="22"/>
          <w:szCs w:val="22"/>
        </w:rPr>
      </w:pPr>
      <w:r w:rsidRPr="005E19D4">
        <w:rPr>
          <w:rFonts w:eastAsia="Arial" w:cs="Arial"/>
          <w:b/>
          <w:bCs/>
          <w:sz w:val="22"/>
          <w:szCs w:val="22"/>
          <w:lang w:eastAsia="en-US"/>
        </w:rPr>
        <w:t xml:space="preserve">Subproceso Gestión Cartográfica </w:t>
      </w:r>
      <w:r w:rsidRPr="005E19D4">
        <w:rPr>
          <w:rFonts w:eastAsia="Arial" w:cs="Arial"/>
          <w:sz w:val="22"/>
          <w:szCs w:val="22"/>
          <w:lang w:eastAsia="en-US"/>
        </w:rPr>
        <w:t>el cual es liderado por la Subdirección Cartográfica y Geodésica y su principal objetivo es producir, actualizar, validar y administrar la información cartográfica básica del territorio nacional cumpliendo con las especificaciones técnicas establecidas, con el fin de atender oportunamente las necesidades y requerimientos de usuarios internos y externos.</w:t>
      </w:r>
    </w:p>
    <w:p w14:paraId="6366EFA5" w14:textId="77777777" w:rsidR="007B7514" w:rsidRPr="005E19D4" w:rsidRDefault="007B7514" w:rsidP="000A20EE">
      <w:pPr>
        <w:pStyle w:val="Prrafodelista"/>
        <w:numPr>
          <w:ilvl w:val="0"/>
          <w:numId w:val="213"/>
        </w:numPr>
        <w:rPr>
          <w:rFonts w:eastAsia="Arial" w:cs="Arial"/>
          <w:sz w:val="22"/>
          <w:szCs w:val="22"/>
          <w:lang w:eastAsia="en-US"/>
        </w:rPr>
      </w:pPr>
      <w:r w:rsidRPr="005E19D4">
        <w:rPr>
          <w:rFonts w:eastAsia="Arial" w:cs="Arial"/>
          <w:b/>
          <w:bCs/>
          <w:sz w:val="22"/>
          <w:szCs w:val="22"/>
          <w:lang w:eastAsia="en-US"/>
        </w:rPr>
        <w:t>Subproceso Gestión Geodésica</w:t>
      </w:r>
      <w:r w:rsidRPr="005E19D4">
        <w:rPr>
          <w:rFonts w:eastAsia="Arial" w:cs="Arial"/>
          <w:sz w:val="22"/>
          <w:szCs w:val="22"/>
          <w:lang w:eastAsia="en-US"/>
        </w:rPr>
        <w:t xml:space="preserve"> es liderado por la Subdirección Cartográfica y Geodésica y su objetivo es generar, administrar, proveer y verificar con oportunidad información geodésica cumpliendo estándares nacionales e internacionales para satisfacer las necesidades y requerimientos de las partes interesadas.</w:t>
      </w:r>
    </w:p>
    <w:p w14:paraId="7F047F94" w14:textId="77777777" w:rsidR="007B7514" w:rsidRDefault="007B7514" w:rsidP="000A20EE">
      <w:pPr>
        <w:pStyle w:val="Prrafodelista"/>
        <w:numPr>
          <w:ilvl w:val="0"/>
          <w:numId w:val="213"/>
        </w:numPr>
        <w:rPr>
          <w:rFonts w:eastAsia="Arial" w:cs="Arial"/>
          <w:sz w:val="22"/>
          <w:szCs w:val="22"/>
          <w:lang w:eastAsia="en-US"/>
        </w:rPr>
      </w:pPr>
      <w:r w:rsidRPr="005E19D4">
        <w:rPr>
          <w:rFonts w:eastAsia="Arial" w:cs="Arial"/>
          <w:b/>
          <w:bCs/>
          <w:sz w:val="22"/>
          <w:szCs w:val="22"/>
          <w:lang w:eastAsia="en-US"/>
        </w:rPr>
        <w:t>Subproceso Gestión Geográfica</w:t>
      </w:r>
      <w:r w:rsidRPr="005E19D4">
        <w:rPr>
          <w:rFonts w:eastAsia="Arial" w:cs="Arial"/>
          <w:sz w:val="22"/>
          <w:szCs w:val="22"/>
          <w:lang w:eastAsia="en-US"/>
        </w:rPr>
        <w:t xml:space="preserve"> es liderado por la Subdirección de Geografía y su objetivo es generar, actualizar y publicar estudios e investigaciones geográficas, así como realizar el apoyo técnico en la delimitación de las entidades territoriales, fronteras y </w:t>
      </w:r>
      <w:r w:rsidRPr="005E19D4">
        <w:rPr>
          <w:rFonts w:eastAsia="Arial" w:cs="Arial"/>
          <w:sz w:val="22"/>
          <w:szCs w:val="22"/>
          <w:lang w:eastAsia="en-US"/>
        </w:rPr>
        <w:lastRenderedPageBreak/>
        <w:t>territorios étnicos cumpliendo con los lineamientos y estándares, para proveer información necesaria en la formulación de políticas públicas de desarrollo territorial y en la toma de decisiones relacionadas con la planificación y ordenamiento del territorio.</w:t>
      </w:r>
    </w:p>
    <w:p w14:paraId="6A9F4D85" w14:textId="77777777" w:rsidR="007B7514" w:rsidRDefault="007B7514" w:rsidP="00712950">
      <w:pPr>
        <w:pStyle w:val="Prrafodelista"/>
        <w:numPr>
          <w:ilvl w:val="0"/>
          <w:numId w:val="213"/>
        </w:numPr>
        <w:jc w:val="center"/>
        <w:rPr>
          <w:rFonts w:eastAsia="Arial" w:cs="Arial"/>
          <w:sz w:val="22"/>
          <w:szCs w:val="22"/>
          <w:lang w:val="es" w:eastAsia="en-US"/>
        </w:rPr>
      </w:pPr>
      <w:r w:rsidRPr="005E19D4">
        <w:rPr>
          <w:rFonts w:eastAsia="Arial" w:cs="Arial"/>
          <w:b/>
          <w:bCs/>
          <w:sz w:val="22"/>
          <w:szCs w:val="22"/>
          <w:lang w:eastAsia="en-US"/>
        </w:rPr>
        <w:t>Subproceso Gestión Agrológica</w:t>
      </w:r>
      <w:r w:rsidRPr="005E19D4">
        <w:rPr>
          <w:rFonts w:eastAsia="Arial" w:cs="Arial"/>
          <w:sz w:val="22"/>
          <w:szCs w:val="22"/>
          <w:lang w:eastAsia="en-US"/>
        </w:rPr>
        <w:t xml:space="preserve"> es liderado por la Subdirección de Agrología, cuyo objetivo es </w:t>
      </w:r>
      <w:r w:rsidRPr="005E19D4">
        <w:rPr>
          <w:rFonts w:eastAsia="Arial" w:cs="Arial"/>
          <w:sz w:val="22"/>
          <w:szCs w:val="22"/>
          <w:lang w:val="es" w:eastAsia="en-US"/>
        </w:rPr>
        <w:t>generar el inventario, estudio, análisis y monitoreo de los suelos y tierras del país para su clasificación, manejo, evaluación, zonificación de uso y vocación, y de esta manera apoyar el ordenamiento del territorio y los programas de planificación territorial a cualquier nivel, cumpliendo los estándares de producción de información geográfica.</w:t>
      </w:r>
    </w:p>
    <w:p w14:paraId="1C16107F" w14:textId="0C7F1089" w:rsidR="007B7514" w:rsidRDefault="007B7514" w:rsidP="007B7514">
      <w:pPr>
        <w:pStyle w:val="Lista"/>
      </w:pPr>
    </w:p>
    <w:p w14:paraId="7082B732" w14:textId="12E91DE9" w:rsidR="003A0BEF" w:rsidRPr="007968CA" w:rsidRDefault="007B7514" w:rsidP="003A0BEF">
      <w:pPr>
        <w:pStyle w:val="Prrafodelista"/>
        <w:numPr>
          <w:ilvl w:val="2"/>
          <w:numId w:val="22"/>
        </w:numPr>
        <w:rPr>
          <w:b/>
          <w:bCs/>
          <w:sz w:val="22"/>
          <w:szCs w:val="22"/>
        </w:rPr>
      </w:pPr>
      <w:r w:rsidRPr="31FF9146">
        <w:rPr>
          <w:b/>
          <w:bCs/>
          <w:sz w:val="22"/>
          <w:szCs w:val="22"/>
        </w:rPr>
        <w:t>RESULTADOS Y LOGROS</w:t>
      </w:r>
    </w:p>
    <w:p w14:paraId="735ECE65" w14:textId="77777777" w:rsidR="007B7514" w:rsidRDefault="007B7514" w:rsidP="007B7514">
      <w:pPr>
        <w:rPr>
          <w:rFonts w:ascii="Calibri" w:eastAsia="Calibri" w:hAnsi="Calibri" w:cs="Calibri"/>
          <w:color w:val="000000" w:themeColor="text1"/>
          <w:sz w:val="16"/>
          <w:szCs w:val="16"/>
          <w:lang w:val="es-MX"/>
        </w:rPr>
      </w:pPr>
    </w:p>
    <w:p w14:paraId="1720DC46" w14:textId="77777777" w:rsidR="007B7514" w:rsidRDefault="007B7514" w:rsidP="007B7514">
      <w:pPr>
        <w:jc w:val="both"/>
      </w:pPr>
      <w:r w:rsidRPr="31FF9146">
        <w:rPr>
          <w:rFonts w:eastAsia="Arial" w:cs="Arial"/>
          <w:b/>
          <w:bCs/>
          <w:color w:val="000000" w:themeColor="text1"/>
          <w:sz w:val="22"/>
          <w:szCs w:val="22"/>
          <w:lang w:val="es-MX"/>
        </w:rPr>
        <w:t>CUMPLIMIENTO METAS PLAN NACIONAL DE DESARROLLO 2018-2022</w:t>
      </w:r>
    </w:p>
    <w:p w14:paraId="62AF2C57" w14:textId="77777777" w:rsidR="007B7514" w:rsidRDefault="007B7514" w:rsidP="007B7514">
      <w:pPr>
        <w:jc w:val="both"/>
      </w:pPr>
      <w:r w:rsidRPr="31FF9146">
        <w:rPr>
          <w:rFonts w:eastAsia="Arial" w:cs="Arial"/>
          <w:b/>
          <w:bCs/>
          <w:color w:val="000000" w:themeColor="text1"/>
          <w:sz w:val="22"/>
          <w:szCs w:val="22"/>
          <w:lang w:val="es-MX"/>
        </w:rPr>
        <w:t xml:space="preserve"> </w:t>
      </w:r>
    </w:p>
    <w:p w14:paraId="6F6ABC81" w14:textId="46B5A89B" w:rsidR="003B3B3F" w:rsidRPr="007968CA" w:rsidRDefault="007B7514" w:rsidP="003B3B3F">
      <w:pPr>
        <w:jc w:val="both"/>
      </w:pPr>
      <w:r w:rsidRPr="31FF9146">
        <w:rPr>
          <w:rFonts w:eastAsia="Arial" w:cs="Arial"/>
          <w:color w:val="000000" w:themeColor="text1"/>
          <w:sz w:val="22"/>
          <w:szCs w:val="22"/>
          <w:lang w:val="es-MX"/>
        </w:rPr>
        <w:t>Para el cumplimiento al Plan Nacional de Desarrollo, la Dirección de Gestión de Información Geográfica, en el marco de los subprocesos, contribuye al logro de los siguientes indicadores:</w:t>
      </w:r>
    </w:p>
    <w:p w14:paraId="5CBE1FBD" w14:textId="77777777" w:rsidR="003A0BEF" w:rsidRDefault="003A0BEF" w:rsidP="007B7514">
      <w:pPr>
        <w:jc w:val="both"/>
      </w:pPr>
    </w:p>
    <w:p w14:paraId="6CCE95F9" w14:textId="77777777" w:rsidR="007B7514" w:rsidRDefault="007B7514" w:rsidP="007B7514">
      <w:pPr>
        <w:ind w:left="284" w:hanging="284"/>
        <w:jc w:val="both"/>
      </w:pPr>
      <w:r w:rsidRPr="31FF9146">
        <w:rPr>
          <w:rFonts w:ascii="Symbol" w:eastAsia="Symbol" w:hAnsi="Symbol" w:cs="Symbol"/>
          <w:sz w:val="22"/>
          <w:szCs w:val="22"/>
          <w:lang w:val="es-MX"/>
        </w:rPr>
        <w:t></w:t>
      </w:r>
      <w:r w:rsidRPr="31FF9146">
        <w:rPr>
          <w:rFonts w:ascii="Times New Roman" w:hAnsi="Times New Roman"/>
          <w:sz w:val="14"/>
          <w:szCs w:val="14"/>
          <w:lang w:val="es-MX"/>
        </w:rPr>
        <w:t xml:space="preserve">     </w:t>
      </w:r>
      <w:r w:rsidRPr="31FF9146">
        <w:rPr>
          <w:rFonts w:eastAsia="Arial" w:cs="Arial"/>
          <w:b/>
          <w:bCs/>
          <w:sz w:val="22"/>
          <w:szCs w:val="22"/>
          <w:lang w:val="es-MX"/>
        </w:rPr>
        <w:t>PORCENTAJE DEL ÁREA GEOGRÁFICA CON CARTOGRAFÍA BÁSICA A LAS ESCALAS Y CON LA TEMPORALIDAD ADECUADAS</w:t>
      </w:r>
      <w:r w:rsidRPr="31FF9146">
        <w:rPr>
          <w:rFonts w:eastAsia="Arial" w:cs="Arial"/>
          <w:b/>
          <w:bCs/>
          <w:color w:val="1F487C"/>
          <w:sz w:val="22"/>
          <w:szCs w:val="22"/>
          <w:lang w:val="es-MX"/>
        </w:rPr>
        <w:t xml:space="preserve"> </w:t>
      </w:r>
    </w:p>
    <w:p w14:paraId="4C5C6E10" w14:textId="77777777" w:rsidR="007B7514" w:rsidRDefault="007B7514" w:rsidP="007B7514">
      <w:pPr>
        <w:jc w:val="both"/>
      </w:pPr>
      <w:r w:rsidRPr="31FF9146">
        <w:rPr>
          <w:rFonts w:eastAsia="Arial" w:cs="Arial"/>
          <w:color w:val="000000" w:themeColor="text1"/>
          <w:sz w:val="22"/>
          <w:szCs w:val="22"/>
          <w:lang w:val="es-MX"/>
        </w:rPr>
        <w:t xml:space="preserve"> </w:t>
      </w:r>
    </w:p>
    <w:p w14:paraId="10F7385A" w14:textId="77777777" w:rsidR="007B7514" w:rsidRDefault="007B7514" w:rsidP="007B7514">
      <w:pPr>
        <w:jc w:val="both"/>
      </w:pPr>
      <w:r w:rsidRPr="31FF9146">
        <w:rPr>
          <w:rFonts w:eastAsia="Arial" w:cs="Arial"/>
          <w:color w:val="000000" w:themeColor="text1"/>
          <w:sz w:val="22"/>
          <w:szCs w:val="22"/>
          <w:lang w:val="es-MX"/>
        </w:rPr>
        <w:t xml:space="preserve">La gestión cartográfica se enmarca en la generación de la cartografía básica oficial del país, insumo para el desarrollo de proyectos de diferentes entidades y demás partes interesadas. Uno de los ítems más relevantes en esta gestión lo constituye el Plan Nacional de Cartografía, que a partir de su formulación orienta la producción cartográfica de acuerdo con las políticas de desarrollo sostenible y a las necesidades en los diferentes territorios del país. </w:t>
      </w:r>
    </w:p>
    <w:p w14:paraId="773994AE" w14:textId="77777777" w:rsidR="007B7514" w:rsidRDefault="007B7514" w:rsidP="007B7514">
      <w:pPr>
        <w:jc w:val="both"/>
      </w:pPr>
      <w:r w:rsidRPr="31FF9146">
        <w:rPr>
          <w:rFonts w:eastAsia="Arial" w:cs="Arial"/>
          <w:color w:val="000000" w:themeColor="text1"/>
          <w:sz w:val="22"/>
          <w:szCs w:val="22"/>
          <w:lang w:val="es-MX"/>
        </w:rPr>
        <w:t xml:space="preserve"> </w:t>
      </w:r>
    </w:p>
    <w:p w14:paraId="326795E9" w14:textId="5ACE517C" w:rsidR="003B3B3F" w:rsidRPr="007968CA" w:rsidRDefault="007B7514" w:rsidP="007968CA">
      <w:pPr>
        <w:jc w:val="both"/>
      </w:pPr>
      <w:r w:rsidRPr="31FF9146">
        <w:rPr>
          <w:rFonts w:eastAsia="Arial" w:cs="Arial"/>
          <w:color w:val="000000" w:themeColor="text1"/>
          <w:sz w:val="22"/>
          <w:szCs w:val="22"/>
          <w:lang w:val="es-MX"/>
        </w:rPr>
        <w:t>Es así como, resultado de la gestión a octubre 2021, el IGAC ha logrado avanzar en un 28,54% del área geográfica con cartografía básica a las escalas y con la temporalidad adecuada, correspondiente a 32.566.222,1</w:t>
      </w:r>
      <w:r>
        <w:rPr>
          <w:rFonts w:eastAsia="Arial" w:cs="Arial"/>
          <w:color w:val="000000" w:themeColor="text1"/>
          <w:sz w:val="22"/>
          <w:szCs w:val="22"/>
          <w:lang w:val="es-MX"/>
        </w:rPr>
        <w:t>6 ha del territorio colombiano:</w:t>
      </w:r>
      <w:r w:rsidRPr="31FF9146">
        <w:rPr>
          <w:rFonts w:eastAsia="Arial" w:cs="Arial"/>
          <w:color w:val="000000" w:themeColor="text1"/>
          <w:sz w:val="22"/>
          <w:szCs w:val="22"/>
          <w:lang w:val="es-MX"/>
        </w:rPr>
        <w:t xml:space="preserve"> </w:t>
      </w:r>
    </w:p>
    <w:p w14:paraId="67D70FDD" w14:textId="77777777" w:rsidR="003A0BEF" w:rsidRPr="00CF50CE" w:rsidRDefault="003A0BEF" w:rsidP="007B7514">
      <w:pPr>
        <w:rPr>
          <w:rFonts w:ascii="Segoe UI" w:eastAsia="Segoe UI" w:hAnsi="Segoe UI" w:cs="Segoe UI"/>
          <w:color w:val="000000" w:themeColor="text1"/>
          <w:sz w:val="18"/>
          <w:szCs w:val="18"/>
          <w:lang w:val="es-MX"/>
        </w:rPr>
      </w:pPr>
    </w:p>
    <w:p w14:paraId="4AEED573" w14:textId="7EB4D4CA" w:rsidR="007B7514" w:rsidRPr="00712950" w:rsidRDefault="00712950" w:rsidP="00712950">
      <w:pPr>
        <w:pStyle w:val="Descripcin"/>
        <w:jc w:val="center"/>
        <w:rPr>
          <w:rFonts w:ascii="Arial" w:hAnsi="Arial" w:cs="Arial"/>
          <w:b/>
          <w:i w:val="0"/>
          <w:color w:val="000000" w:themeColor="text1"/>
          <w:sz w:val="14"/>
        </w:rPr>
      </w:pPr>
      <w:bookmarkStart w:id="84" w:name="_Toc88677102"/>
      <w:r w:rsidRPr="00712950">
        <w:rPr>
          <w:rFonts w:ascii="Arial" w:hAnsi="Arial" w:cs="Arial"/>
          <w:b/>
          <w:i w:val="0"/>
          <w:color w:val="000000" w:themeColor="text1"/>
          <w:sz w:val="16"/>
        </w:rPr>
        <w:t xml:space="preserve">Tabla </w:t>
      </w:r>
      <w:r w:rsidRPr="00712950">
        <w:rPr>
          <w:rFonts w:ascii="Arial" w:hAnsi="Arial" w:cs="Arial"/>
          <w:b/>
          <w:i w:val="0"/>
          <w:color w:val="000000" w:themeColor="text1"/>
          <w:sz w:val="16"/>
        </w:rPr>
        <w:fldChar w:fldCharType="begin"/>
      </w:r>
      <w:r w:rsidRPr="00712950">
        <w:rPr>
          <w:rFonts w:ascii="Arial" w:hAnsi="Arial" w:cs="Arial"/>
          <w:b/>
          <w:i w:val="0"/>
          <w:color w:val="000000" w:themeColor="text1"/>
          <w:sz w:val="16"/>
        </w:rPr>
        <w:instrText xml:space="preserve"> SEQ Tabla \* ARABIC </w:instrText>
      </w:r>
      <w:r w:rsidRPr="00712950">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30</w:t>
      </w:r>
      <w:r w:rsidRPr="00712950">
        <w:rPr>
          <w:rFonts w:ascii="Arial" w:hAnsi="Arial" w:cs="Arial"/>
          <w:b/>
          <w:i w:val="0"/>
          <w:color w:val="000000" w:themeColor="text1"/>
          <w:sz w:val="16"/>
        </w:rPr>
        <w:fldChar w:fldCharType="end"/>
      </w:r>
      <w:r w:rsidRPr="00712950">
        <w:rPr>
          <w:rFonts w:ascii="Arial" w:hAnsi="Arial" w:cs="Arial"/>
          <w:b/>
          <w:i w:val="0"/>
          <w:color w:val="000000" w:themeColor="text1"/>
          <w:sz w:val="16"/>
        </w:rPr>
        <w:t>. Seguimiento Indicador Plan Nacional de Desarrollo 2018 – 2022</w:t>
      </w:r>
      <w:bookmarkEnd w:id="84"/>
    </w:p>
    <w:tbl>
      <w:tblPr>
        <w:tblStyle w:val="Tabladecuadrcula4-nfasis1"/>
        <w:tblW w:w="0" w:type="auto"/>
        <w:tblLayout w:type="fixed"/>
        <w:tblLook w:val="06A0" w:firstRow="1" w:lastRow="0" w:firstColumn="1" w:lastColumn="0" w:noHBand="1" w:noVBand="1"/>
      </w:tblPr>
      <w:tblGrid>
        <w:gridCol w:w="1275"/>
        <w:gridCol w:w="885"/>
        <w:gridCol w:w="1710"/>
        <w:gridCol w:w="1065"/>
        <w:gridCol w:w="1560"/>
        <w:gridCol w:w="990"/>
        <w:gridCol w:w="1680"/>
      </w:tblGrid>
      <w:tr w:rsidR="007B7514" w:rsidRPr="005E19D4" w14:paraId="1DDF4A91" w14:textId="77777777" w:rsidTr="00A6302C">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5" w:type="dxa"/>
            <w:vMerge w:val="restart"/>
            <w:vAlign w:val="center"/>
          </w:tcPr>
          <w:p w14:paraId="477F7365" w14:textId="77777777" w:rsidR="007B7514" w:rsidRPr="005E19D4" w:rsidRDefault="007B7514" w:rsidP="00A6302C">
            <w:pPr>
              <w:jc w:val="center"/>
              <w:rPr>
                <w:lang w:val="es-CO"/>
              </w:rPr>
            </w:pPr>
            <w:r w:rsidRPr="005E19D4">
              <w:rPr>
                <w:rFonts w:eastAsia="Arial" w:cs="Arial"/>
                <w:sz w:val="18"/>
                <w:szCs w:val="18"/>
                <w:lang w:val="es-CO"/>
              </w:rPr>
              <w:t>AÑO</w:t>
            </w:r>
          </w:p>
        </w:tc>
        <w:tc>
          <w:tcPr>
            <w:tcW w:w="2595" w:type="dxa"/>
            <w:gridSpan w:val="2"/>
            <w:vAlign w:val="center"/>
          </w:tcPr>
          <w:p w14:paraId="7F7AC2A1" w14:textId="77777777" w:rsidR="007B7514" w:rsidRPr="005E19D4"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5E19D4">
              <w:rPr>
                <w:rFonts w:eastAsia="Arial" w:cs="Arial"/>
                <w:sz w:val="18"/>
                <w:szCs w:val="18"/>
                <w:lang w:val="es-CO"/>
              </w:rPr>
              <w:t>META</w:t>
            </w:r>
          </w:p>
        </w:tc>
        <w:tc>
          <w:tcPr>
            <w:tcW w:w="2625" w:type="dxa"/>
            <w:gridSpan w:val="2"/>
            <w:vAlign w:val="center"/>
          </w:tcPr>
          <w:p w14:paraId="23898BA2" w14:textId="77777777" w:rsidR="007B7514" w:rsidRPr="005E19D4"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5E19D4">
              <w:rPr>
                <w:rFonts w:eastAsia="Arial" w:cs="Arial"/>
                <w:sz w:val="18"/>
                <w:szCs w:val="18"/>
                <w:lang w:val="es-CO"/>
              </w:rPr>
              <w:t>EJECUTADO</w:t>
            </w:r>
          </w:p>
        </w:tc>
        <w:tc>
          <w:tcPr>
            <w:tcW w:w="2670" w:type="dxa"/>
            <w:gridSpan w:val="2"/>
            <w:vAlign w:val="center"/>
          </w:tcPr>
          <w:p w14:paraId="6EBE841D" w14:textId="77777777" w:rsidR="007B7514" w:rsidRPr="005E19D4" w:rsidRDefault="007B7514" w:rsidP="00A6302C">
            <w:pPr>
              <w:jc w:val="center"/>
              <w:cnfStyle w:val="100000000000" w:firstRow="1" w:lastRow="0" w:firstColumn="0" w:lastColumn="0" w:oddVBand="0" w:evenVBand="0" w:oddHBand="0" w:evenHBand="0" w:firstRowFirstColumn="0" w:firstRowLastColumn="0" w:lastRowFirstColumn="0" w:lastRowLastColumn="0"/>
              <w:rPr>
                <w:lang w:val="es-CO"/>
              </w:rPr>
            </w:pPr>
            <w:r w:rsidRPr="005E19D4">
              <w:rPr>
                <w:rFonts w:eastAsia="Arial" w:cs="Arial"/>
                <w:sz w:val="18"/>
                <w:szCs w:val="18"/>
                <w:lang w:val="es-CO"/>
              </w:rPr>
              <w:t>ACUMULADO</w:t>
            </w:r>
          </w:p>
        </w:tc>
      </w:tr>
      <w:tr w:rsidR="007B7514" w:rsidRPr="005E19D4" w14:paraId="0487DC81"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Merge/>
            <w:vAlign w:val="center"/>
          </w:tcPr>
          <w:p w14:paraId="1A3C643C" w14:textId="77777777" w:rsidR="007B7514" w:rsidRPr="005E19D4" w:rsidRDefault="007B7514" w:rsidP="00A6302C">
            <w:pPr>
              <w:jc w:val="center"/>
              <w:rPr>
                <w:lang w:val="es-CO"/>
              </w:rPr>
            </w:pPr>
          </w:p>
        </w:tc>
        <w:tc>
          <w:tcPr>
            <w:tcW w:w="885" w:type="dxa"/>
            <w:vAlign w:val="center"/>
          </w:tcPr>
          <w:p w14:paraId="19DE172F"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w:t>
            </w:r>
          </w:p>
        </w:tc>
        <w:tc>
          <w:tcPr>
            <w:tcW w:w="1710" w:type="dxa"/>
            <w:vAlign w:val="center"/>
          </w:tcPr>
          <w:p w14:paraId="782C2131"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Área (ha)</w:t>
            </w:r>
          </w:p>
        </w:tc>
        <w:tc>
          <w:tcPr>
            <w:tcW w:w="1065" w:type="dxa"/>
            <w:vAlign w:val="center"/>
          </w:tcPr>
          <w:p w14:paraId="50023AB4"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w:t>
            </w:r>
          </w:p>
        </w:tc>
        <w:tc>
          <w:tcPr>
            <w:tcW w:w="1560" w:type="dxa"/>
            <w:vAlign w:val="center"/>
          </w:tcPr>
          <w:p w14:paraId="0092E66F"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Área (ha)</w:t>
            </w:r>
          </w:p>
        </w:tc>
        <w:tc>
          <w:tcPr>
            <w:tcW w:w="990" w:type="dxa"/>
            <w:vAlign w:val="center"/>
          </w:tcPr>
          <w:p w14:paraId="1E9ED80A"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w:t>
            </w:r>
          </w:p>
        </w:tc>
        <w:tc>
          <w:tcPr>
            <w:tcW w:w="1680" w:type="dxa"/>
            <w:vAlign w:val="center"/>
          </w:tcPr>
          <w:p w14:paraId="4ED2B573"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b/>
                <w:bCs/>
                <w:color w:val="000000" w:themeColor="text1"/>
                <w:sz w:val="18"/>
                <w:szCs w:val="18"/>
                <w:lang w:val="es-CO"/>
              </w:rPr>
              <w:t>Área (ha)</w:t>
            </w:r>
          </w:p>
        </w:tc>
      </w:tr>
      <w:tr w:rsidR="007B7514" w:rsidRPr="005E19D4" w14:paraId="7EDCB11B"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Align w:val="center"/>
          </w:tcPr>
          <w:p w14:paraId="6B22E2E1" w14:textId="77777777" w:rsidR="007B7514" w:rsidRPr="005E19D4" w:rsidRDefault="007B7514" w:rsidP="00A6302C">
            <w:pPr>
              <w:jc w:val="center"/>
              <w:rPr>
                <w:lang w:val="es-CO"/>
              </w:rPr>
            </w:pPr>
            <w:r w:rsidRPr="005E19D4">
              <w:rPr>
                <w:rFonts w:eastAsia="Arial" w:cs="Arial"/>
                <w:color w:val="000000" w:themeColor="text1"/>
                <w:sz w:val="18"/>
                <w:szCs w:val="18"/>
                <w:lang w:val="es-CO"/>
              </w:rPr>
              <w:t>Línea base</w:t>
            </w:r>
          </w:p>
        </w:tc>
        <w:tc>
          <w:tcPr>
            <w:tcW w:w="885" w:type="dxa"/>
            <w:vAlign w:val="center"/>
          </w:tcPr>
          <w:p w14:paraId="3466BD69"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1,9%</w:t>
            </w:r>
          </w:p>
        </w:tc>
        <w:tc>
          <w:tcPr>
            <w:tcW w:w="1710" w:type="dxa"/>
            <w:vAlign w:val="center"/>
          </w:tcPr>
          <w:p w14:paraId="647D3FBB"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2.167.835,46</w:t>
            </w:r>
          </w:p>
        </w:tc>
        <w:tc>
          <w:tcPr>
            <w:tcW w:w="1065" w:type="dxa"/>
            <w:vAlign w:val="center"/>
          </w:tcPr>
          <w:p w14:paraId="3402D9ED"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1560" w:type="dxa"/>
            <w:vAlign w:val="center"/>
          </w:tcPr>
          <w:p w14:paraId="6C6F2FA3"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990" w:type="dxa"/>
            <w:vAlign w:val="center"/>
          </w:tcPr>
          <w:p w14:paraId="0083788E"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1680" w:type="dxa"/>
            <w:vAlign w:val="center"/>
          </w:tcPr>
          <w:p w14:paraId="4EB48845"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r>
      <w:tr w:rsidR="007B7514" w:rsidRPr="005E19D4" w14:paraId="5EDD255E"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Align w:val="center"/>
          </w:tcPr>
          <w:p w14:paraId="73834FA4" w14:textId="77777777" w:rsidR="007B7514" w:rsidRPr="005E19D4" w:rsidRDefault="007B7514" w:rsidP="00A6302C">
            <w:pPr>
              <w:jc w:val="center"/>
              <w:rPr>
                <w:lang w:val="es-CO"/>
              </w:rPr>
            </w:pPr>
            <w:r w:rsidRPr="005E19D4">
              <w:rPr>
                <w:rFonts w:eastAsia="Arial" w:cs="Arial"/>
                <w:color w:val="000000" w:themeColor="text1"/>
                <w:sz w:val="18"/>
                <w:szCs w:val="18"/>
                <w:lang w:val="es-CO"/>
              </w:rPr>
              <w:t>2019</w:t>
            </w:r>
          </w:p>
        </w:tc>
        <w:tc>
          <w:tcPr>
            <w:tcW w:w="885" w:type="dxa"/>
            <w:vAlign w:val="center"/>
          </w:tcPr>
          <w:p w14:paraId="0F934A15"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4,9%</w:t>
            </w:r>
          </w:p>
        </w:tc>
        <w:tc>
          <w:tcPr>
            <w:tcW w:w="1710" w:type="dxa"/>
            <w:vAlign w:val="center"/>
          </w:tcPr>
          <w:p w14:paraId="208DB2B7"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5.590.733,56</w:t>
            </w:r>
          </w:p>
        </w:tc>
        <w:tc>
          <w:tcPr>
            <w:tcW w:w="1065" w:type="dxa"/>
            <w:vAlign w:val="center"/>
          </w:tcPr>
          <w:p w14:paraId="770DDAF6"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3%</w:t>
            </w:r>
          </w:p>
        </w:tc>
        <w:tc>
          <w:tcPr>
            <w:tcW w:w="1560" w:type="dxa"/>
            <w:vAlign w:val="center"/>
          </w:tcPr>
          <w:p w14:paraId="69961051"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3.422.898,10</w:t>
            </w:r>
          </w:p>
        </w:tc>
        <w:tc>
          <w:tcPr>
            <w:tcW w:w="990" w:type="dxa"/>
            <w:vAlign w:val="center"/>
          </w:tcPr>
          <w:p w14:paraId="3CFCE47E"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4,9%</w:t>
            </w:r>
          </w:p>
        </w:tc>
        <w:tc>
          <w:tcPr>
            <w:tcW w:w="1680" w:type="dxa"/>
            <w:vAlign w:val="center"/>
          </w:tcPr>
          <w:p w14:paraId="4CD69349"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5.590.733,56</w:t>
            </w:r>
          </w:p>
        </w:tc>
      </w:tr>
      <w:tr w:rsidR="007B7514" w:rsidRPr="005E19D4" w14:paraId="4F051FD5"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Align w:val="center"/>
          </w:tcPr>
          <w:p w14:paraId="64EF7CC9" w14:textId="77777777" w:rsidR="007B7514" w:rsidRPr="005E19D4" w:rsidRDefault="007B7514" w:rsidP="00A6302C">
            <w:pPr>
              <w:jc w:val="center"/>
              <w:rPr>
                <w:lang w:val="es-CO"/>
              </w:rPr>
            </w:pPr>
            <w:r w:rsidRPr="005E19D4">
              <w:rPr>
                <w:rFonts w:eastAsia="Arial" w:cs="Arial"/>
                <w:color w:val="000000" w:themeColor="text1"/>
                <w:sz w:val="18"/>
                <w:szCs w:val="18"/>
                <w:lang w:val="es-CO"/>
              </w:rPr>
              <w:t>2020</w:t>
            </w:r>
          </w:p>
        </w:tc>
        <w:tc>
          <w:tcPr>
            <w:tcW w:w="885" w:type="dxa"/>
            <w:vAlign w:val="center"/>
          </w:tcPr>
          <w:p w14:paraId="52930B9A"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24,9%</w:t>
            </w:r>
          </w:p>
        </w:tc>
        <w:tc>
          <w:tcPr>
            <w:tcW w:w="1710" w:type="dxa"/>
            <w:vAlign w:val="center"/>
          </w:tcPr>
          <w:p w14:paraId="6E30F1F4"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28.410.054,23</w:t>
            </w:r>
          </w:p>
        </w:tc>
        <w:tc>
          <w:tcPr>
            <w:tcW w:w="1065" w:type="dxa"/>
            <w:vAlign w:val="center"/>
          </w:tcPr>
          <w:p w14:paraId="66BF03C4"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11,76%</w:t>
            </w:r>
          </w:p>
        </w:tc>
        <w:tc>
          <w:tcPr>
            <w:tcW w:w="1560" w:type="dxa"/>
            <w:vAlign w:val="center"/>
          </w:tcPr>
          <w:p w14:paraId="49006638"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13.418.129</w:t>
            </w:r>
          </w:p>
        </w:tc>
        <w:tc>
          <w:tcPr>
            <w:tcW w:w="990" w:type="dxa"/>
            <w:vAlign w:val="center"/>
          </w:tcPr>
          <w:p w14:paraId="2F5E6164"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16,66%</w:t>
            </w:r>
          </w:p>
        </w:tc>
        <w:tc>
          <w:tcPr>
            <w:tcW w:w="1680" w:type="dxa"/>
            <w:vAlign w:val="center"/>
          </w:tcPr>
          <w:p w14:paraId="52CAF425"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19.008.862,56</w:t>
            </w:r>
          </w:p>
        </w:tc>
      </w:tr>
      <w:tr w:rsidR="007B7514" w:rsidRPr="005E19D4" w14:paraId="7AC1E404"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Align w:val="center"/>
          </w:tcPr>
          <w:p w14:paraId="12A319E7" w14:textId="77777777" w:rsidR="007B7514" w:rsidRPr="005E19D4" w:rsidRDefault="007B7514" w:rsidP="00A6302C">
            <w:pPr>
              <w:jc w:val="center"/>
              <w:rPr>
                <w:lang w:val="es-CO"/>
              </w:rPr>
            </w:pPr>
            <w:r w:rsidRPr="005E19D4">
              <w:rPr>
                <w:rFonts w:eastAsia="Arial" w:cs="Arial"/>
                <w:color w:val="000000" w:themeColor="text1"/>
                <w:sz w:val="18"/>
                <w:szCs w:val="18"/>
                <w:lang w:val="es-CO"/>
              </w:rPr>
              <w:t>2021</w:t>
            </w:r>
          </w:p>
        </w:tc>
        <w:tc>
          <w:tcPr>
            <w:tcW w:w="885" w:type="dxa"/>
            <w:vAlign w:val="center"/>
          </w:tcPr>
          <w:p w14:paraId="16257F7F"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51,9%</w:t>
            </w:r>
          </w:p>
        </w:tc>
        <w:tc>
          <w:tcPr>
            <w:tcW w:w="1710" w:type="dxa"/>
            <w:vAlign w:val="center"/>
          </w:tcPr>
          <w:p w14:paraId="3798F70A"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59.216.137,13</w:t>
            </w:r>
          </w:p>
        </w:tc>
        <w:tc>
          <w:tcPr>
            <w:tcW w:w="1065" w:type="dxa"/>
            <w:vAlign w:val="center"/>
          </w:tcPr>
          <w:p w14:paraId="024A148D"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11,88%</w:t>
            </w:r>
          </w:p>
        </w:tc>
        <w:tc>
          <w:tcPr>
            <w:tcW w:w="1560" w:type="dxa"/>
            <w:vAlign w:val="center"/>
          </w:tcPr>
          <w:p w14:paraId="6F03177F"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13.557.359,6*</w:t>
            </w:r>
          </w:p>
        </w:tc>
        <w:tc>
          <w:tcPr>
            <w:tcW w:w="990" w:type="dxa"/>
            <w:vAlign w:val="center"/>
          </w:tcPr>
          <w:p w14:paraId="64A95EC5"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28,54%</w:t>
            </w:r>
          </w:p>
        </w:tc>
        <w:tc>
          <w:tcPr>
            <w:tcW w:w="1680" w:type="dxa"/>
            <w:vAlign w:val="center"/>
          </w:tcPr>
          <w:p w14:paraId="50A5913E"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32.566.222,16*</w:t>
            </w:r>
          </w:p>
        </w:tc>
      </w:tr>
      <w:tr w:rsidR="007B7514" w:rsidRPr="005E19D4" w14:paraId="2CC16EA2"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275" w:type="dxa"/>
            <w:vAlign w:val="center"/>
          </w:tcPr>
          <w:p w14:paraId="7B556E40" w14:textId="77777777" w:rsidR="007B7514" w:rsidRPr="005E19D4" w:rsidRDefault="007B7514" w:rsidP="00A6302C">
            <w:pPr>
              <w:jc w:val="center"/>
              <w:rPr>
                <w:lang w:val="es-CO"/>
              </w:rPr>
            </w:pPr>
            <w:r w:rsidRPr="005E19D4">
              <w:rPr>
                <w:rFonts w:eastAsia="Arial" w:cs="Arial"/>
                <w:color w:val="000000" w:themeColor="text1"/>
                <w:sz w:val="18"/>
                <w:szCs w:val="18"/>
                <w:lang w:val="es-CO"/>
              </w:rPr>
              <w:t>2022</w:t>
            </w:r>
          </w:p>
        </w:tc>
        <w:tc>
          <w:tcPr>
            <w:tcW w:w="885" w:type="dxa"/>
            <w:vAlign w:val="center"/>
          </w:tcPr>
          <w:p w14:paraId="177396BF"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61,9%</w:t>
            </w:r>
          </w:p>
        </w:tc>
        <w:tc>
          <w:tcPr>
            <w:tcW w:w="1710" w:type="dxa"/>
            <w:vAlign w:val="center"/>
          </w:tcPr>
          <w:p w14:paraId="486ADCDA"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r w:rsidRPr="005E19D4">
              <w:rPr>
                <w:rFonts w:eastAsia="Arial" w:cs="Arial"/>
                <w:color w:val="000000" w:themeColor="text1"/>
                <w:sz w:val="18"/>
                <w:szCs w:val="18"/>
                <w:lang w:val="es-CO"/>
              </w:rPr>
              <w:t>70.625.797,47</w:t>
            </w:r>
          </w:p>
        </w:tc>
        <w:tc>
          <w:tcPr>
            <w:tcW w:w="1065" w:type="dxa"/>
            <w:vAlign w:val="center"/>
          </w:tcPr>
          <w:p w14:paraId="46A76B44"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1560" w:type="dxa"/>
            <w:vAlign w:val="center"/>
          </w:tcPr>
          <w:p w14:paraId="1FCAE1E7"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990" w:type="dxa"/>
            <w:vAlign w:val="center"/>
          </w:tcPr>
          <w:p w14:paraId="4549185C"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c>
          <w:tcPr>
            <w:tcW w:w="1680" w:type="dxa"/>
            <w:vAlign w:val="center"/>
          </w:tcPr>
          <w:p w14:paraId="2038592A" w14:textId="77777777" w:rsidR="007B7514" w:rsidRPr="005E19D4" w:rsidRDefault="007B7514" w:rsidP="00A6302C">
            <w:pPr>
              <w:jc w:val="center"/>
              <w:cnfStyle w:val="000000000000" w:firstRow="0" w:lastRow="0" w:firstColumn="0" w:lastColumn="0" w:oddVBand="0" w:evenVBand="0" w:oddHBand="0" w:evenHBand="0" w:firstRowFirstColumn="0" w:firstRowLastColumn="0" w:lastRowFirstColumn="0" w:lastRowLastColumn="0"/>
              <w:rPr>
                <w:lang w:val="es-CO"/>
              </w:rPr>
            </w:pPr>
          </w:p>
        </w:tc>
      </w:tr>
    </w:tbl>
    <w:p w14:paraId="13BE168B" w14:textId="77777777" w:rsidR="007B7514" w:rsidRDefault="007B7514" w:rsidP="007B7514">
      <w:pPr>
        <w:jc w:val="center"/>
        <w:rPr>
          <w:rFonts w:eastAsia="Arial" w:cs="Arial"/>
          <w:b/>
          <w:iCs/>
          <w:sz w:val="16"/>
          <w:szCs w:val="16"/>
          <w:lang w:val="es-MX"/>
        </w:rPr>
      </w:pPr>
      <w:r w:rsidRPr="005E19D4">
        <w:rPr>
          <w:rFonts w:eastAsia="Arial" w:cs="Arial"/>
          <w:b/>
          <w:iCs/>
          <w:sz w:val="16"/>
          <w:szCs w:val="16"/>
          <w:lang w:val="es-MX"/>
        </w:rPr>
        <w:t>Fu</w:t>
      </w:r>
      <w:r>
        <w:rPr>
          <w:rFonts w:eastAsia="Arial" w:cs="Arial"/>
          <w:b/>
          <w:iCs/>
          <w:sz w:val="16"/>
          <w:szCs w:val="16"/>
          <w:lang w:val="es-MX"/>
        </w:rPr>
        <w:t xml:space="preserve">ente: </w:t>
      </w:r>
      <w:r w:rsidRPr="005E19D4">
        <w:rPr>
          <w:rFonts w:eastAsia="Arial" w:cs="Arial"/>
          <w:b/>
          <w:iCs/>
          <w:sz w:val="16"/>
          <w:szCs w:val="16"/>
          <w:lang w:val="es-MX"/>
        </w:rPr>
        <w:t>Dirección de Gesti</w:t>
      </w:r>
      <w:r>
        <w:rPr>
          <w:rFonts w:eastAsia="Arial" w:cs="Arial"/>
          <w:b/>
          <w:iCs/>
          <w:sz w:val="16"/>
          <w:szCs w:val="16"/>
          <w:lang w:val="es-MX"/>
        </w:rPr>
        <w:t>ón de la Información Geográfica</w:t>
      </w:r>
    </w:p>
    <w:p w14:paraId="2838D29B" w14:textId="1015C565" w:rsidR="00D75CF9" w:rsidRPr="00A01EC8" w:rsidRDefault="007B7514" w:rsidP="00A01EC8">
      <w:pPr>
        <w:jc w:val="center"/>
        <w:rPr>
          <w:rFonts w:eastAsia="Arial" w:cs="Arial"/>
          <w:b/>
          <w:sz w:val="16"/>
          <w:szCs w:val="16"/>
          <w:lang w:val="es-MX"/>
        </w:rPr>
      </w:pPr>
      <w:r w:rsidRPr="005E19D4">
        <w:rPr>
          <w:rFonts w:eastAsia="Arial" w:cs="Arial"/>
          <w:b/>
          <w:iCs/>
          <w:sz w:val="16"/>
          <w:szCs w:val="16"/>
          <w:lang w:val="es-MX"/>
        </w:rPr>
        <w:t xml:space="preserve"> *Con corte a 31 de octubre 2021</w:t>
      </w:r>
    </w:p>
    <w:p w14:paraId="2CA51D84" w14:textId="3818E57A" w:rsidR="00B20E71" w:rsidRDefault="00B20E71" w:rsidP="007B7514">
      <w:pPr>
        <w:rPr>
          <w:rFonts w:eastAsia="Arial" w:cs="Arial"/>
          <w:i/>
          <w:iCs/>
          <w:color w:val="000000" w:themeColor="text1"/>
          <w:lang w:val="es-MX"/>
        </w:rPr>
      </w:pPr>
    </w:p>
    <w:p w14:paraId="2E285496" w14:textId="5C41BB1C" w:rsidR="007968CA" w:rsidRDefault="007968CA" w:rsidP="007B7514">
      <w:pPr>
        <w:rPr>
          <w:rFonts w:eastAsia="Arial" w:cs="Arial"/>
          <w:i/>
          <w:iCs/>
          <w:color w:val="000000" w:themeColor="text1"/>
          <w:lang w:val="es-MX"/>
        </w:rPr>
      </w:pPr>
    </w:p>
    <w:p w14:paraId="60B3F8FC" w14:textId="7363D740" w:rsidR="007968CA" w:rsidRDefault="007968CA" w:rsidP="007B7514">
      <w:pPr>
        <w:rPr>
          <w:rFonts w:eastAsia="Arial" w:cs="Arial"/>
          <w:i/>
          <w:iCs/>
          <w:color w:val="000000" w:themeColor="text1"/>
          <w:lang w:val="es-MX"/>
        </w:rPr>
      </w:pPr>
    </w:p>
    <w:p w14:paraId="5845AE2E" w14:textId="04380556" w:rsidR="007968CA" w:rsidRDefault="007968CA" w:rsidP="007B7514">
      <w:pPr>
        <w:rPr>
          <w:rFonts w:eastAsia="Arial" w:cs="Arial"/>
          <w:i/>
          <w:iCs/>
          <w:color w:val="000000" w:themeColor="text1"/>
          <w:lang w:val="es-MX"/>
        </w:rPr>
      </w:pPr>
    </w:p>
    <w:p w14:paraId="743179EC" w14:textId="291F5017" w:rsidR="007968CA" w:rsidRDefault="007968CA" w:rsidP="007B7514">
      <w:pPr>
        <w:rPr>
          <w:rFonts w:eastAsia="Arial" w:cs="Arial"/>
          <w:i/>
          <w:iCs/>
          <w:color w:val="000000" w:themeColor="text1"/>
          <w:lang w:val="es-MX"/>
        </w:rPr>
      </w:pPr>
    </w:p>
    <w:p w14:paraId="315057DA" w14:textId="72470356" w:rsidR="007968CA" w:rsidRDefault="007968CA" w:rsidP="007B7514">
      <w:pPr>
        <w:rPr>
          <w:rFonts w:eastAsia="Arial" w:cs="Arial"/>
          <w:i/>
          <w:iCs/>
          <w:color w:val="000000" w:themeColor="text1"/>
          <w:lang w:val="es-MX"/>
        </w:rPr>
      </w:pPr>
    </w:p>
    <w:p w14:paraId="2957DC7A" w14:textId="2AB1ECE5" w:rsidR="007968CA" w:rsidRDefault="007968CA" w:rsidP="007B7514">
      <w:pPr>
        <w:rPr>
          <w:rFonts w:eastAsia="Arial" w:cs="Arial"/>
          <w:i/>
          <w:iCs/>
          <w:color w:val="000000" w:themeColor="text1"/>
          <w:lang w:val="es-MX"/>
        </w:rPr>
      </w:pPr>
    </w:p>
    <w:p w14:paraId="06D9C5FE" w14:textId="6B8D489C" w:rsidR="007968CA" w:rsidRDefault="007968CA" w:rsidP="007B7514">
      <w:pPr>
        <w:rPr>
          <w:rFonts w:eastAsia="Arial" w:cs="Arial"/>
          <w:i/>
          <w:iCs/>
          <w:color w:val="000000" w:themeColor="text1"/>
          <w:lang w:val="es-MX"/>
        </w:rPr>
      </w:pPr>
    </w:p>
    <w:p w14:paraId="26277060" w14:textId="520ED556" w:rsidR="007968CA" w:rsidRDefault="007968CA" w:rsidP="007B7514">
      <w:pPr>
        <w:rPr>
          <w:rFonts w:eastAsia="Arial" w:cs="Arial"/>
          <w:i/>
          <w:iCs/>
          <w:color w:val="000000" w:themeColor="text1"/>
          <w:lang w:val="es-MX"/>
        </w:rPr>
      </w:pPr>
    </w:p>
    <w:p w14:paraId="1E1B2281" w14:textId="77777777" w:rsidR="007968CA" w:rsidRDefault="007968CA" w:rsidP="007B7514">
      <w:pPr>
        <w:rPr>
          <w:rFonts w:eastAsia="Arial" w:cs="Arial"/>
          <w:i/>
          <w:iCs/>
          <w:color w:val="000000" w:themeColor="text1"/>
          <w:lang w:val="es-MX"/>
        </w:rPr>
      </w:pPr>
    </w:p>
    <w:p w14:paraId="4985C4D7" w14:textId="2160A9D9" w:rsidR="00CB637D" w:rsidRDefault="00D65D0D" w:rsidP="00B20E71">
      <w:pPr>
        <w:pStyle w:val="Descripcin"/>
        <w:jc w:val="center"/>
        <w:rPr>
          <w:rFonts w:ascii="Arial" w:hAnsi="Arial" w:cs="Arial"/>
          <w:b/>
          <w:i w:val="0"/>
          <w:color w:val="auto"/>
          <w:sz w:val="16"/>
        </w:rPr>
      </w:pPr>
      <w:bookmarkStart w:id="85" w:name="_Toc88677170"/>
      <w:r w:rsidRPr="00D65D0D">
        <w:rPr>
          <w:rFonts w:ascii="Arial" w:hAnsi="Arial" w:cs="Arial"/>
          <w:b/>
          <w:bCs/>
          <w:i w:val="0"/>
          <w:iCs w:val="0"/>
          <w:color w:val="auto"/>
          <w:sz w:val="16"/>
          <w:szCs w:val="16"/>
        </w:rPr>
        <w:lastRenderedPageBreak/>
        <w:t xml:space="preserve">Ilustración </w:t>
      </w:r>
      <w:r w:rsidRPr="00D65D0D">
        <w:rPr>
          <w:rFonts w:ascii="Arial" w:hAnsi="Arial" w:cs="Arial"/>
          <w:b/>
          <w:bCs/>
          <w:i w:val="0"/>
          <w:iCs w:val="0"/>
          <w:color w:val="auto"/>
          <w:sz w:val="16"/>
          <w:szCs w:val="16"/>
        </w:rPr>
        <w:fldChar w:fldCharType="begin"/>
      </w:r>
      <w:r w:rsidRPr="00D65D0D">
        <w:rPr>
          <w:rFonts w:ascii="Arial" w:hAnsi="Arial" w:cs="Arial"/>
          <w:b/>
          <w:bCs/>
          <w:i w:val="0"/>
          <w:iCs w:val="0"/>
          <w:color w:val="auto"/>
          <w:sz w:val="16"/>
          <w:szCs w:val="16"/>
        </w:rPr>
        <w:instrText xml:space="preserve"> SEQ Ilustración \* ARABIC </w:instrText>
      </w:r>
      <w:r w:rsidRPr="00D65D0D">
        <w:rPr>
          <w:rFonts w:ascii="Arial" w:hAnsi="Arial" w:cs="Arial"/>
          <w:b/>
          <w:bCs/>
          <w:i w:val="0"/>
          <w:iCs w:val="0"/>
          <w:color w:val="auto"/>
          <w:sz w:val="16"/>
          <w:szCs w:val="16"/>
        </w:rPr>
        <w:fldChar w:fldCharType="separate"/>
      </w:r>
      <w:r w:rsidR="005D5B0E">
        <w:rPr>
          <w:rFonts w:ascii="Arial" w:hAnsi="Arial" w:cs="Arial"/>
          <w:b/>
          <w:bCs/>
          <w:i w:val="0"/>
          <w:iCs w:val="0"/>
          <w:noProof/>
          <w:color w:val="auto"/>
          <w:sz w:val="16"/>
          <w:szCs w:val="16"/>
        </w:rPr>
        <w:t>14</w:t>
      </w:r>
      <w:r w:rsidRPr="00D65D0D">
        <w:rPr>
          <w:rFonts w:ascii="Arial" w:hAnsi="Arial" w:cs="Arial"/>
          <w:b/>
          <w:bCs/>
          <w:i w:val="0"/>
          <w:iCs w:val="0"/>
          <w:color w:val="auto"/>
          <w:sz w:val="16"/>
          <w:szCs w:val="16"/>
        </w:rPr>
        <w:fldChar w:fldCharType="end"/>
      </w:r>
      <w:r w:rsidRPr="00D65D0D">
        <w:rPr>
          <w:rFonts w:ascii="Arial" w:hAnsi="Arial" w:cs="Arial"/>
          <w:b/>
          <w:bCs/>
          <w:i w:val="0"/>
          <w:iCs w:val="0"/>
          <w:color w:val="auto"/>
          <w:sz w:val="16"/>
          <w:szCs w:val="16"/>
        </w:rPr>
        <w:t>.Porcentaje del área geográfica con cartografía básica a las escalas y con la temporalidad adecuadas</w:t>
      </w:r>
      <w:bookmarkEnd w:id="85"/>
    </w:p>
    <w:p w14:paraId="0161FC42" w14:textId="77777777" w:rsidR="007B7514" w:rsidRDefault="007B7514" w:rsidP="007B7514">
      <w:pPr>
        <w:jc w:val="center"/>
      </w:pPr>
      <w:r>
        <w:rPr>
          <w:noProof/>
          <w:lang w:val="es-CO" w:eastAsia="es-CO"/>
        </w:rPr>
        <w:drawing>
          <wp:inline distT="0" distB="0" distL="0" distR="0" wp14:anchorId="40A8B779" wp14:editId="23937526">
            <wp:extent cx="3810000" cy="1600200"/>
            <wp:effectExtent l="0" t="0" r="0" b="0"/>
            <wp:docPr id="2074467180" name="Imagen 2074467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3810000" cy="1600200"/>
                    </a:xfrm>
                    <a:prstGeom prst="rect">
                      <a:avLst/>
                    </a:prstGeom>
                  </pic:spPr>
                </pic:pic>
              </a:graphicData>
            </a:graphic>
          </wp:inline>
        </w:drawing>
      </w:r>
    </w:p>
    <w:p w14:paraId="271723C1" w14:textId="77777777" w:rsidR="007B7514" w:rsidRPr="005E19D4" w:rsidRDefault="007B7514" w:rsidP="007B7514">
      <w:pPr>
        <w:jc w:val="center"/>
        <w:rPr>
          <w:b/>
          <w:sz w:val="28"/>
        </w:rPr>
      </w:pPr>
      <w:r w:rsidRPr="005E19D4">
        <w:rPr>
          <w:rFonts w:eastAsia="Arial" w:cs="Arial"/>
          <w:b/>
          <w:bCs/>
          <w:color w:val="000000" w:themeColor="text1"/>
          <w:sz w:val="16"/>
          <w:szCs w:val="14"/>
          <w:lang w:val="es"/>
        </w:rPr>
        <w:t xml:space="preserve">Fuente: </w:t>
      </w:r>
      <w:r w:rsidRPr="005E19D4">
        <w:rPr>
          <w:rFonts w:eastAsia="Arial" w:cs="Arial"/>
          <w:b/>
          <w:color w:val="000000" w:themeColor="text1"/>
          <w:sz w:val="16"/>
          <w:szCs w:val="14"/>
          <w:lang w:val="es"/>
        </w:rPr>
        <w:t>Dirección de Gestión de la Información Geográfica</w:t>
      </w:r>
    </w:p>
    <w:p w14:paraId="6DFFA01F" w14:textId="5F9B5168" w:rsidR="00CF50CE" w:rsidRDefault="00CF50CE" w:rsidP="007968CA">
      <w:pPr>
        <w:rPr>
          <w:b/>
          <w:sz w:val="28"/>
        </w:rPr>
      </w:pPr>
    </w:p>
    <w:p w14:paraId="64DA09DC" w14:textId="3DF318C8" w:rsidR="007B7514" w:rsidRPr="00712950" w:rsidRDefault="00B20E71" w:rsidP="00B20E71">
      <w:pPr>
        <w:pStyle w:val="Descripcin"/>
        <w:jc w:val="center"/>
        <w:rPr>
          <w:rFonts w:ascii="Arial" w:hAnsi="Arial" w:cs="Arial"/>
          <w:b/>
          <w:bCs/>
          <w:i w:val="0"/>
          <w:color w:val="auto"/>
          <w:sz w:val="16"/>
          <w:szCs w:val="16"/>
        </w:rPr>
      </w:pPr>
      <w:bookmarkStart w:id="86" w:name="_Toc88677171"/>
      <w:r w:rsidRPr="00712950">
        <w:rPr>
          <w:rFonts w:ascii="Arial" w:hAnsi="Arial" w:cs="Arial"/>
          <w:b/>
          <w:bCs/>
          <w:i w:val="0"/>
          <w:color w:val="auto"/>
          <w:sz w:val="16"/>
          <w:szCs w:val="16"/>
        </w:rPr>
        <w:t xml:space="preserve">Ilustración </w:t>
      </w:r>
      <w:r w:rsidRPr="00712950">
        <w:rPr>
          <w:rFonts w:ascii="Arial" w:hAnsi="Arial" w:cs="Arial"/>
          <w:b/>
          <w:bCs/>
          <w:i w:val="0"/>
          <w:color w:val="auto"/>
          <w:sz w:val="16"/>
          <w:szCs w:val="16"/>
        </w:rPr>
        <w:fldChar w:fldCharType="begin"/>
      </w:r>
      <w:r w:rsidRPr="00712950">
        <w:rPr>
          <w:rFonts w:ascii="Arial" w:hAnsi="Arial" w:cs="Arial"/>
          <w:b/>
          <w:bCs/>
          <w:i w:val="0"/>
          <w:color w:val="auto"/>
          <w:sz w:val="16"/>
          <w:szCs w:val="16"/>
        </w:rPr>
        <w:instrText xml:space="preserve"> SEQ Ilustración \* ARABIC </w:instrText>
      </w:r>
      <w:r w:rsidRPr="00712950">
        <w:rPr>
          <w:rFonts w:ascii="Arial" w:hAnsi="Arial" w:cs="Arial"/>
          <w:b/>
          <w:bCs/>
          <w:i w:val="0"/>
          <w:color w:val="auto"/>
          <w:sz w:val="16"/>
          <w:szCs w:val="16"/>
        </w:rPr>
        <w:fldChar w:fldCharType="separate"/>
      </w:r>
      <w:r w:rsidR="005D5B0E">
        <w:rPr>
          <w:rFonts w:ascii="Arial" w:hAnsi="Arial" w:cs="Arial"/>
          <w:b/>
          <w:bCs/>
          <w:i w:val="0"/>
          <w:noProof/>
          <w:color w:val="auto"/>
          <w:sz w:val="16"/>
          <w:szCs w:val="16"/>
        </w:rPr>
        <w:t>15</w:t>
      </w:r>
      <w:r w:rsidRPr="00712950">
        <w:rPr>
          <w:rFonts w:ascii="Arial" w:hAnsi="Arial" w:cs="Arial"/>
          <w:b/>
          <w:bCs/>
          <w:i w:val="0"/>
          <w:color w:val="auto"/>
          <w:sz w:val="16"/>
          <w:szCs w:val="16"/>
        </w:rPr>
        <w:fldChar w:fldCharType="end"/>
      </w:r>
      <w:r w:rsidRPr="00712950">
        <w:rPr>
          <w:rFonts w:ascii="Arial" w:hAnsi="Arial" w:cs="Arial"/>
          <w:b/>
          <w:bCs/>
          <w:i w:val="0"/>
          <w:color w:val="auto"/>
          <w:sz w:val="16"/>
          <w:szCs w:val="16"/>
        </w:rPr>
        <w:t>.Cubrimiento de área con cartografía básica a las escalas y con la temporalidad adecuadas 2019 al 2021</w:t>
      </w:r>
      <w:bookmarkEnd w:id="86"/>
    </w:p>
    <w:p w14:paraId="3B6DE0BB" w14:textId="77777777" w:rsidR="0015111A" w:rsidRPr="0015111A" w:rsidRDefault="007B7514" w:rsidP="0015111A">
      <w:pPr>
        <w:jc w:val="center"/>
      </w:pPr>
      <w:r>
        <w:rPr>
          <w:noProof/>
          <w:lang w:val="es-CO" w:eastAsia="es-CO"/>
        </w:rPr>
        <w:drawing>
          <wp:inline distT="0" distB="0" distL="0" distR="0" wp14:anchorId="6B0204A0" wp14:editId="47785573">
            <wp:extent cx="2924175" cy="3781425"/>
            <wp:effectExtent l="0" t="0" r="0" b="0"/>
            <wp:docPr id="957744485" name="Imagen 957744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2924175" cy="3781425"/>
                    </a:xfrm>
                    <a:prstGeom prst="rect">
                      <a:avLst/>
                    </a:prstGeom>
                  </pic:spPr>
                </pic:pic>
              </a:graphicData>
            </a:graphic>
          </wp:inline>
        </w:drawing>
      </w:r>
    </w:p>
    <w:p w14:paraId="33332DE4" w14:textId="7B9AB9F7" w:rsidR="003A0BEF" w:rsidRPr="00CF50CE" w:rsidRDefault="007B7514" w:rsidP="007968CA">
      <w:pPr>
        <w:jc w:val="center"/>
        <w:rPr>
          <w:rFonts w:eastAsia="Arial" w:cs="Arial"/>
          <w:b/>
          <w:color w:val="000000" w:themeColor="text1"/>
          <w:sz w:val="16"/>
          <w:szCs w:val="14"/>
          <w:lang w:val="es"/>
        </w:rPr>
      </w:pPr>
      <w:r w:rsidRPr="005E19D4">
        <w:rPr>
          <w:rFonts w:eastAsia="Arial" w:cs="Arial"/>
          <w:b/>
          <w:bCs/>
          <w:color w:val="000000" w:themeColor="text1"/>
          <w:sz w:val="16"/>
          <w:szCs w:val="14"/>
          <w:lang w:val="es"/>
        </w:rPr>
        <w:t>Fuente:</w:t>
      </w:r>
      <w:r w:rsidRPr="005E19D4">
        <w:rPr>
          <w:rFonts w:eastAsia="Arial" w:cs="Arial"/>
          <w:b/>
          <w:color w:val="000000" w:themeColor="text1"/>
          <w:sz w:val="16"/>
          <w:szCs w:val="14"/>
          <w:lang w:val="es"/>
        </w:rPr>
        <w:t xml:space="preserve"> Dirección de Gestión de la Información Geográfica</w:t>
      </w:r>
    </w:p>
    <w:p w14:paraId="509036D6" w14:textId="77777777" w:rsidR="007B7514" w:rsidRDefault="007B7514" w:rsidP="007B7514">
      <w:pPr>
        <w:pStyle w:val="Lista"/>
      </w:pPr>
    </w:p>
    <w:p w14:paraId="4794890E" w14:textId="77777777" w:rsidR="007B7514" w:rsidRDefault="007B7514" w:rsidP="007B7514">
      <w:pPr>
        <w:ind w:left="284" w:hanging="284"/>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b/>
          <w:bCs/>
          <w:sz w:val="22"/>
          <w:szCs w:val="22"/>
        </w:rPr>
        <w:t xml:space="preserve">PORCENTAJE DEL ÁREA GEOGRÁFICA CON CARACTERIZACIÓN GEOGRÁFICA </w:t>
      </w:r>
    </w:p>
    <w:p w14:paraId="285ACBB5" w14:textId="77777777" w:rsidR="007B7514" w:rsidRDefault="007B7514" w:rsidP="007B7514">
      <w:pPr>
        <w:jc w:val="both"/>
      </w:pPr>
      <w:r w:rsidRPr="31FF9146">
        <w:rPr>
          <w:rFonts w:eastAsia="Arial" w:cs="Arial"/>
          <w:color w:val="000000" w:themeColor="text1"/>
          <w:sz w:val="22"/>
          <w:szCs w:val="22"/>
          <w:lang w:val="es-MX"/>
        </w:rPr>
        <w:t xml:space="preserve"> </w:t>
      </w:r>
    </w:p>
    <w:p w14:paraId="3E45AEA1" w14:textId="77777777" w:rsidR="007B7514" w:rsidRDefault="007B7514" w:rsidP="007B7514">
      <w:pPr>
        <w:jc w:val="both"/>
      </w:pPr>
      <w:r w:rsidRPr="31FF9146">
        <w:rPr>
          <w:rFonts w:eastAsia="Arial" w:cs="Arial"/>
          <w:color w:val="000000" w:themeColor="text1"/>
          <w:sz w:val="22"/>
          <w:szCs w:val="22"/>
          <w:lang w:val="es-MX"/>
        </w:rPr>
        <w:t>La gestión geográfica presenta retos respecto a las dinámicas de los territorios y con ello, la generación de procesos enmarcados en temas relacionados con las comisiones de ordenamiento territorial en los ámbitos nacional, departamental y municipal, así como en el aporte de lineamientos metodológicos y conceptos técnicos para el ordenamiento del territorio. De igual forma, es fundamental en la definición, materialización y representación cartográfica de los límites de entidades territoriales, en atención a la demanda de los territorios en sus diferentes niveles (municipal, departamental y nacional).</w:t>
      </w:r>
      <w:r w:rsidRPr="31FF9146">
        <w:rPr>
          <w:rFonts w:eastAsia="Arial" w:cs="Arial"/>
          <w:color w:val="000000" w:themeColor="text1"/>
          <w:sz w:val="22"/>
          <w:szCs w:val="22"/>
        </w:rPr>
        <w:t xml:space="preserve"> </w:t>
      </w:r>
    </w:p>
    <w:p w14:paraId="12492218" w14:textId="77777777" w:rsidR="007B7514" w:rsidRDefault="007B7514" w:rsidP="007B7514">
      <w:pPr>
        <w:jc w:val="both"/>
      </w:pPr>
      <w:r w:rsidRPr="31FF9146">
        <w:rPr>
          <w:rFonts w:eastAsia="Arial" w:cs="Arial"/>
          <w:color w:val="000000" w:themeColor="text1"/>
          <w:sz w:val="22"/>
          <w:szCs w:val="22"/>
        </w:rPr>
        <w:t xml:space="preserve"> </w:t>
      </w:r>
    </w:p>
    <w:p w14:paraId="59EA7521" w14:textId="4214C864" w:rsidR="000636DA" w:rsidRPr="00085FDD" w:rsidRDefault="007B7514" w:rsidP="00085FDD">
      <w:pPr>
        <w:jc w:val="both"/>
        <w:rPr>
          <w:rFonts w:eastAsia="Arial" w:cs="Arial"/>
          <w:color w:val="000000" w:themeColor="text1"/>
          <w:sz w:val="22"/>
          <w:szCs w:val="22"/>
          <w:lang w:val="es-MX"/>
        </w:rPr>
      </w:pPr>
      <w:r w:rsidRPr="31FF9146">
        <w:rPr>
          <w:rFonts w:eastAsia="Arial" w:cs="Arial"/>
          <w:color w:val="000000" w:themeColor="text1"/>
          <w:sz w:val="22"/>
          <w:szCs w:val="22"/>
          <w:lang w:val="es-MX"/>
        </w:rPr>
        <w:lastRenderedPageBreak/>
        <w:t xml:space="preserve">Es así como, a octubre de 2021 la Dirección de Gestión de la Información Geográfica, de acuerdo con la meta del Plan Nacional de Desarrollo 2018 – 2022 </w:t>
      </w:r>
      <w:r w:rsidRPr="31FF9146">
        <w:rPr>
          <w:rFonts w:eastAsia="Arial" w:cs="Arial"/>
          <w:i/>
          <w:iCs/>
          <w:color w:val="000000" w:themeColor="text1"/>
          <w:sz w:val="22"/>
          <w:szCs w:val="22"/>
          <w:lang w:val="es-MX"/>
        </w:rPr>
        <w:t>“Pacto por Colombia pacto por la equidad”,</w:t>
      </w:r>
      <w:r w:rsidRPr="31FF9146">
        <w:rPr>
          <w:rFonts w:eastAsia="Arial" w:cs="Arial"/>
          <w:color w:val="000000" w:themeColor="text1"/>
          <w:sz w:val="22"/>
          <w:szCs w:val="22"/>
          <w:lang w:val="es-MX"/>
        </w:rPr>
        <w:t xml:space="preserve"> ha avanzado en la meta en un 62,01%, logrando a la fecha un cubrimiento de 70.749.752,99 ha del territorio del país con </w:t>
      </w:r>
      <w:r>
        <w:rPr>
          <w:rFonts w:eastAsia="Arial" w:cs="Arial"/>
          <w:color w:val="000000" w:themeColor="text1"/>
          <w:sz w:val="22"/>
          <w:szCs w:val="22"/>
          <w:lang w:val="es-MX"/>
        </w:rPr>
        <w:t>caracterizaciones territoriales:</w:t>
      </w:r>
    </w:p>
    <w:p w14:paraId="14D6E92D" w14:textId="77777777" w:rsidR="000636DA" w:rsidRPr="005E19D4" w:rsidRDefault="000636DA" w:rsidP="007B7514">
      <w:pPr>
        <w:pStyle w:val="Sinespaciado"/>
      </w:pPr>
    </w:p>
    <w:p w14:paraId="29A6B72B" w14:textId="49886FC3" w:rsidR="007B7514" w:rsidRPr="005E19D4" w:rsidRDefault="007B7514" w:rsidP="006251EB">
      <w:pPr>
        <w:pStyle w:val="Descripcin"/>
        <w:jc w:val="center"/>
        <w:rPr>
          <w:rFonts w:ascii="Arial" w:hAnsi="Arial" w:cs="Arial"/>
          <w:b/>
          <w:i w:val="0"/>
          <w:color w:val="auto"/>
          <w:sz w:val="16"/>
        </w:rPr>
      </w:pPr>
      <w:bookmarkStart w:id="87" w:name="_Toc88677103"/>
      <w:r w:rsidRPr="005E19D4">
        <w:rPr>
          <w:rFonts w:ascii="Arial" w:hAnsi="Arial" w:cs="Arial"/>
          <w:b/>
          <w:i w:val="0"/>
          <w:color w:val="auto"/>
          <w:sz w:val="16"/>
        </w:rPr>
        <w:t xml:space="preserve">Tabla </w:t>
      </w:r>
      <w:r w:rsidRPr="005E19D4">
        <w:rPr>
          <w:rFonts w:ascii="Arial" w:hAnsi="Arial" w:cs="Arial"/>
          <w:b/>
          <w:i w:val="0"/>
          <w:color w:val="auto"/>
          <w:sz w:val="16"/>
        </w:rPr>
        <w:fldChar w:fldCharType="begin"/>
      </w:r>
      <w:r w:rsidRPr="005E19D4">
        <w:rPr>
          <w:rFonts w:ascii="Arial" w:hAnsi="Arial" w:cs="Arial"/>
          <w:b/>
          <w:i w:val="0"/>
          <w:color w:val="auto"/>
          <w:sz w:val="16"/>
        </w:rPr>
        <w:instrText xml:space="preserve"> SEQ Tabla \* ARABIC </w:instrText>
      </w:r>
      <w:r w:rsidRPr="005E19D4">
        <w:rPr>
          <w:rFonts w:ascii="Arial" w:hAnsi="Arial" w:cs="Arial"/>
          <w:b/>
          <w:i w:val="0"/>
          <w:color w:val="auto"/>
          <w:sz w:val="16"/>
        </w:rPr>
        <w:fldChar w:fldCharType="separate"/>
      </w:r>
      <w:r w:rsidR="004D4C6A">
        <w:rPr>
          <w:rFonts w:ascii="Arial" w:hAnsi="Arial" w:cs="Arial"/>
          <w:b/>
          <w:i w:val="0"/>
          <w:noProof/>
          <w:color w:val="auto"/>
          <w:sz w:val="16"/>
        </w:rPr>
        <w:t>31</w:t>
      </w:r>
      <w:r w:rsidRPr="005E19D4">
        <w:rPr>
          <w:rFonts w:ascii="Arial" w:hAnsi="Arial" w:cs="Arial"/>
          <w:b/>
          <w:i w:val="0"/>
          <w:color w:val="auto"/>
          <w:sz w:val="16"/>
        </w:rPr>
        <w:fldChar w:fldCharType="end"/>
      </w:r>
      <w:r w:rsidR="00B630BC">
        <w:rPr>
          <w:rFonts w:ascii="Arial" w:hAnsi="Arial" w:cs="Arial"/>
          <w:b/>
          <w:i w:val="0"/>
          <w:color w:val="auto"/>
          <w:sz w:val="16"/>
        </w:rPr>
        <w:t>.</w:t>
      </w:r>
      <w:r w:rsidRPr="005E19D4">
        <w:rPr>
          <w:rFonts w:ascii="Arial" w:hAnsi="Arial" w:cs="Arial"/>
          <w:b/>
          <w:i w:val="0"/>
          <w:color w:val="auto"/>
          <w:sz w:val="16"/>
        </w:rPr>
        <w:t xml:space="preserve"> Seguimiento Indicador Plan Nacional de Desarrollo 2018 – 2022</w:t>
      </w:r>
      <w:bookmarkEnd w:id="87"/>
    </w:p>
    <w:tbl>
      <w:tblPr>
        <w:tblStyle w:val="Tabladecuadrcula4-nfasis1"/>
        <w:tblW w:w="4036" w:type="pct"/>
        <w:jc w:val="center"/>
        <w:tblLook w:val="06A0" w:firstRow="1" w:lastRow="0" w:firstColumn="1" w:lastColumn="0" w:noHBand="1" w:noVBand="1"/>
      </w:tblPr>
      <w:tblGrid>
        <w:gridCol w:w="892"/>
        <w:gridCol w:w="827"/>
        <w:gridCol w:w="1368"/>
        <w:gridCol w:w="827"/>
        <w:gridCol w:w="1368"/>
        <w:gridCol w:w="827"/>
        <w:gridCol w:w="1438"/>
      </w:tblGrid>
      <w:tr w:rsidR="00805E84" w14:paraId="684D7541" w14:textId="77777777" w:rsidTr="00D11855">
        <w:trPr>
          <w:cnfStyle w:val="100000000000" w:firstRow="1" w:lastRow="0" w:firstColumn="0" w:lastColumn="0" w:oddVBand="0" w:evenVBand="0" w:oddHBand="0" w:evenHBand="0" w:firstRowFirstColumn="0" w:firstRowLastColumn="0" w:lastRowFirstColumn="0" w:lastRowLastColumn="0"/>
          <w:trHeight w:val="315"/>
          <w:tblHeader/>
          <w:jc w:val="center"/>
        </w:trPr>
        <w:tc>
          <w:tcPr>
            <w:cnfStyle w:val="001000000000" w:firstRow="0" w:lastRow="0" w:firstColumn="1" w:lastColumn="0" w:oddVBand="0" w:evenVBand="0" w:oddHBand="0" w:evenHBand="0" w:firstRowFirstColumn="0" w:firstRowLastColumn="0" w:lastRowFirstColumn="0" w:lastRowLastColumn="0"/>
            <w:tcW w:w="591" w:type="pct"/>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BCDBA8B" w14:textId="77777777" w:rsidR="00805E84" w:rsidRPr="005E19D4" w:rsidRDefault="00805E84" w:rsidP="00A6302C">
            <w:pPr>
              <w:jc w:val="center"/>
            </w:pPr>
            <w:r w:rsidRPr="005E19D4">
              <w:rPr>
                <w:rFonts w:eastAsia="Arial" w:cs="Arial"/>
                <w:sz w:val="18"/>
                <w:szCs w:val="18"/>
                <w:lang w:val="en-US"/>
              </w:rPr>
              <w:t>AÑO</w:t>
            </w:r>
          </w:p>
        </w:tc>
        <w:tc>
          <w:tcPr>
            <w:tcW w:w="1454"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E7A631B"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sz w:val="18"/>
                <w:szCs w:val="18"/>
                <w:lang w:val="en-US"/>
              </w:rPr>
              <w:t>META</w:t>
            </w:r>
          </w:p>
        </w:tc>
        <w:tc>
          <w:tcPr>
            <w:tcW w:w="1454"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5838B8FB" w14:textId="22001C24"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sz w:val="18"/>
                <w:szCs w:val="18"/>
                <w:lang w:val="en-US"/>
              </w:rPr>
              <w:t>EJECUTADO</w:t>
            </w:r>
          </w:p>
        </w:tc>
        <w:tc>
          <w:tcPr>
            <w:tcW w:w="1501"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31D5B8A"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sz w:val="18"/>
                <w:szCs w:val="18"/>
                <w:lang w:val="en-US"/>
              </w:rPr>
              <w:t>ACUMULADO</w:t>
            </w:r>
          </w:p>
        </w:tc>
      </w:tr>
      <w:tr w:rsidR="00805E84" w14:paraId="16E420E9" w14:textId="77777777" w:rsidTr="00D11855">
        <w:trPr>
          <w:cnfStyle w:val="100000000000" w:firstRow="1" w:lastRow="0" w:firstColumn="0" w:lastColumn="0" w:oddVBand="0" w:evenVBand="0" w:oddHBand="0" w:evenHBand="0" w:firstRowFirstColumn="0" w:firstRowLastColumn="0" w:lastRowFirstColumn="0" w:lastRowLastColumn="0"/>
          <w:trHeight w:val="315"/>
          <w:tblHeader/>
          <w:jc w:val="center"/>
        </w:trPr>
        <w:tc>
          <w:tcPr>
            <w:cnfStyle w:val="001000000000" w:firstRow="0" w:lastRow="0" w:firstColumn="1" w:lastColumn="0" w:oddVBand="0" w:evenVBand="0" w:oddHBand="0" w:evenHBand="0" w:firstRowFirstColumn="0" w:firstRowLastColumn="0" w:lastRowFirstColumn="0" w:lastRowLastColumn="0"/>
            <w:tcW w:w="591" w:type="pct"/>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E981A52" w14:textId="77777777" w:rsidR="00805E84" w:rsidRPr="005E19D4" w:rsidRDefault="00805E84" w:rsidP="00A6302C">
            <w:pPr>
              <w:jc w:val="center"/>
            </w:pPr>
          </w:p>
        </w:tc>
        <w:tc>
          <w:tcPr>
            <w:tcW w:w="548"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C36C895"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w:t>
            </w:r>
          </w:p>
        </w:tc>
        <w:tc>
          <w:tcPr>
            <w:tcW w:w="90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CB9BB4B"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Área (ha)</w:t>
            </w:r>
          </w:p>
        </w:tc>
        <w:tc>
          <w:tcPr>
            <w:tcW w:w="548"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0C530ACF" w14:textId="5685EC19"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w:t>
            </w:r>
          </w:p>
        </w:tc>
        <w:tc>
          <w:tcPr>
            <w:tcW w:w="90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8D26384"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Área (ha)</w:t>
            </w:r>
          </w:p>
        </w:tc>
        <w:tc>
          <w:tcPr>
            <w:tcW w:w="548"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A40A142"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w:t>
            </w:r>
          </w:p>
        </w:tc>
        <w:tc>
          <w:tcPr>
            <w:tcW w:w="95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C7746CE" w14:textId="77777777" w:rsidR="00805E84" w:rsidRPr="005E19D4" w:rsidRDefault="00805E84" w:rsidP="00A6302C">
            <w:pPr>
              <w:jc w:val="center"/>
              <w:cnfStyle w:val="100000000000" w:firstRow="1" w:lastRow="0" w:firstColumn="0" w:lastColumn="0" w:oddVBand="0" w:evenVBand="0" w:oddHBand="0" w:evenHBand="0" w:firstRowFirstColumn="0" w:firstRowLastColumn="0" w:lastRowFirstColumn="0" w:lastRowLastColumn="0"/>
            </w:pPr>
            <w:r w:rsidRPr="005E19D4">
              <w:rPr>
                <w:rFonts w:eastAsia="Arial" w:cs="Arial"/>
                <w:bCs w:val="0"/>
                <w:sz w:val="18"/>
                <w:szCs w:val="18"/>
                <w:lang w:val="en-US"/>
              </w:rPr>
              <w:t>Área (ha)</w:t>
            </w:r>
          </w:p>
        </w:tc>
      </w:tr>
      <w:tr w:rsidR="00805E84" w14:paraId="68CF0D13" w14:textId="77777777" w:rsidTr="00D11855">
        <w:trPr>
          <w:trHeight w:val="315"/>
          <w:jc w:val="center"/>
        </w:trPr>
        <w:tc>
          <w:tcPr>
            <w:cnfStyle w:val="001000000000" w:firstRow="0" w:lastRow="0" w:firstColumn="1" w:lastColumn="0" w:oddVBand="0" w:evenVBand="0" w:oddHBand="0" w:evenHBand="0" w:firstRowFirstColumn="0" w:firstRowLastColumn="0" w:lastRowFirstColumn="0" w:lastRowLastColumn="0"/>
            <w:tcW w:w="591" w:type="pct"/>
            <w:tcBorders>
              <w:top w:val="single" w:sz="4" w:space="0" w:color="FFFFFF" w:themeColor="background1"/>
            </w:tcBorders>
            <w:vAlign w:val="center"/>
          </w:tcPr>
          <w:p w14:paraId="48CF367A" w14:textId="77777777" w:rsidR="00805E84" w:rsidRDefault="00805E84" w:rsidP="00A6302C">
            <w:pPr>
              <w:jc w:val="center"/>
            </w:pPr>
            <w:r w:rsidRPr="31FF9146">
              <w:rPr>
                <w:rFonts w:eastAsia="Arial" w:cs="Arial"/>
                <w:color w:val="000000" w:themeColor="text1"/>
                <w:sz w:val="18"/>
                <w:szCs w:val="18"/>
                <w:lang w:val="en-US"/>
              </w:rPr>
              <w:t>Linea base</w:t>
            </w:r>
          </w:p>
        </w:tc>
        <w:tc>
          <w:tcPr>
            <w:tcW w:w="548" w:type="pct"/>
            <w:tcBorders>
              <w:top w:val="single" w:sz="4" w:space="0" w:color="FFFFFF" w:themeColor="background1"/>
            </w:tcBorders>
            <w:vAlign w:val="center"/>
          </w:tcPr>
          <w:p w14:paraId="5069CA20"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12,5%</w:t>
            </w:r>
          </w:p>
        </w:tc>
        <w:tc>
          <w:tcPr>
            <w:tcW w:w="906" w:type="pct"/>
            <w:tcBorders>
              <w:top w:val="single" w:sz="4" w:space="0" w:color="FFFFFF" w:themeColor="background1"/>
            </w:tcBorders>
            <w:vAlign w:val="center"/>
          </w:tcPr>
          <w:p w14:paraId="057C055F"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14.262.075,42</w:t>
            </w:r>
          </w:p>
        </w:tc>
        <w:tc>
          <w:tcPr>
            <w:tcW w:w="548" w:type="pct"/>
            <w:tcBorders>
              <w:top w:val="single" w:sz="4" w:space="0" w:color="FFFFFF" w:themeColor="background1"/>
            </w:tcBorders>
            <w:vAlign w:val="center"/>
          </w:tcPr>
          <w:p w14:paraId="01E6B587" w14:textId="2ABDF884"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906" w:type="pct"/>
            <w:tcBorders>
              <w:top w:val="single" w:sz="4" w:space="0" w:color="FFFFFF" w:themeColor="background1"/>
            </w:tcBorders>
            <w:vAlign w:val="center"/>
          </w:tcPr>
          <w:p w14:paraId="0ACEAF5F"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548" w:type="pct"/>
            <w:tcBorders>
              <w:top w:val="single" w:sz="4" w:space="0" w:color="FFFFFF" w:themeColor="background1"/>
            </w:tcBorders>
            <w:vAlign w:val="center"/>
          </w:tcPr>
          <w:p w14:paraId="362A9340"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953" w:type="pct"/>
            <w:tcBorders>
              <w:top w:val="single" w:sz="4" w:space="0" w:color="FFFFFF" w:themeColor="background1"/>
            </w:tcBorders>
            <w:vAlign w:val="center"/>
          </w:tcPr>
          <w:p w14:paraId="1A5FD084"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r>
      <w:tr w:rsidR="00805E84" w14:paraId="706BD45B" w14:textId="77777777" w:rsidTr="00D11855">
        <w:trPr>
          <w:trHeight w:val="315"/>
          <w:jc w:val="center"/>
        </w:trPr>
        <w:tc>
          <w:tcPr>
            <w:cnfStyle w:val="001000000000" w:firstRow="0" w:lastRow="0" w:firstColumn="1" w:lastColumn="0" w:oddVBand="0" w:evenVBand="0" w:oddHBand="0" w:evenHBand="0" w:firstRowFirstColumn="0" w:firstRowLastColumn="0" w:lastRowFirstColumn="0" w:lastRowLastColumn="0"/>
            <w:tcW w:w="591" w:type="pct"/>
            <w:vAlign w:val="center"/>
          </w:tcPr>
          <w:p w14:paraId="6A3589C9" w14:textId="77777777" w:rsidR="00805E84" w:rsidRDefault="00805E84" w:rsidP="00A6302C">
            <w:pPr>
              <w:jc w:val="center"/>
            </w:pPr>
            <w:r w:rsidRPr="31FF9146">
              <w:rPr>
                <w:rFonts w:eastAsia="Arial" w:cs="Arial"/>
                <w:color w:val="000000" w:themeColor="text1"/>
                <w:sz w:val="18"/>
                <w:szCs w:val="18"/>
                <w:lang w:val="en-US"/>
              </w:rPr>
              <w:t>2019</w:t>
            </w:r>
          </w:p>
        </w:tc>
        <w:tc>
          <w:tcPr>
            <w:tcW w:w="548" w:type="pct"/>
            <w:vAlign w:val="center"/>
          </w:tcPr>
          <w:p w14:paraId="22F3D5D6"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35,50%</w:t>
            </w:r>
          </w:p>
        </w:tc>
        <w:tc>
          <w:tcPr>
            <w:tcW w:w="906" w:type="pct"/>
            <w:vAlign w:val="center"/>
          </w:tcPr>
          <w:p w14:paraId="7F5F4935"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40.504.294,19</w:t>
            </w:r>
          </w:p>
        </w:tc>
        <w:tc>
          <w:tcPr>
            <w:tcW w:w="548" w:type="pct"/>
            <w:vAlign w:val="center"/>
          </w:tcPr>
          <w:p w14:paraId="058867A0" w14:textId="1E700656"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23%</w:t>
            </w:r>
          </w:p>
        </w:tc>
        <w:tc>
          <w:tcPr>
            <w:tcW w:w="906" w:type="pct"/>
            <w:vAlign w:val="center"/>
          </w:tcPr>
          <w:p w14:paraId="5CFC11DB"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26.242.218,77</w:t>
            </w:r>
          </w:p>
        </w:tc>
        <w:tc>
          <w:tcPr>
            <w:tcW w:w="548" w:type="pct"/>
            <w:vAlign w:val="center"/>
          </w:tcPr>
          <w:p w14:paraId="4D45E942"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35,5%</w:t>
            </w:r>
          </w:p>
        </w:tc>
        <w:tc>
          <w:tcPr>
            <w:tcW w:w="953" w:type="pct"/>
            <w:vAlign w:val="center"/>
          </w:tcPr>
          <w:p w14:paraId="0E1255A2"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40.504.294,19</w:t>
            </w:r>
          </w:p>
        </w:tc>
      </w:tr>
      <w:tr w:rsidR="00805E84" w14:paraId="7F7EF3A1" w14:textId="77777777" w:rsidTr="00D11855">
        <w:trPr>
          <w:trHeight w:val="315"/>
          <w:jc w:val="center"/>
        </w:trPr>
        <w:tc>
          <w:tcPr>
            <w:cnfStyle w:val="001000000000" w:firstRow="0" w:lastRow="0" w:firstColumn="1" w:lastColumn="0" w:oddVBand="0" w:evenVBand="0" w:oddHBand="0" w:evenHBand="0" w:firstRowFirstColumn="0" w:firstRowLastColumn="0" w:lastRowFirstColumn="0" w:lastRowLastColumn="0"/>
            <w:tcW w:w="591" w:type="pct"/>
            <w:vAlign w:val="center"/>
          </w:tcPr>
          <w:p w14:paraId="73BEA336" w14:textId="77777777" w:rsidR="00805E84" w:rsidRDefault="00805E84" w:rsidP="00A6302C">
            <w:pPr>
              <w:jc w:val="center"/>
            </w:pPr>
            <w:r w:rsidRPr="31FF9146">
              <w:rPr>
                <w:rFonts w:eastAsia="Arial" w:cs="Arial"/>
                <w:color w:val="000000" w:themeColor="text1"/>
                <w:sz w:val="18"/>
                <w:szCs w:val="18"/>
                <w:lang w:val="en-US"/>
              </w:rPr>
              <w:t>2020</w:t>
            </w:r>
          </w:p>
        </w:tc>
        <w:tc>
          <w:tcPr>
            <w:tcW w:w="548" w:type="pct"/>
            <w:vAlign w:val="center"/>
          </w:tcPr>
          <w:p w14:paraId="73884E11"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49,50%</w:t>
            </w:r>
          </w:p>
        </w:tc>
        <w:tc>
          <w:tcPr>
            <w:tcW w:w="906" w:type="pct"/>
            <w:vAlign w:val="center"/>
          </w:tcPr>
          <w:p w14:paraId="4F27E154"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56.477.818,65</w:t>
            </w:r>
          </w:p>
        </w:tc>
        <w:tc>
          <w:tcPr>
            <w:tcW w:w="548" w:type="pct"/>
            <w:vAlign w:val="center"/>
          </w:tcPr>
          <w:p w14:paraId="47FC36CC" w14:textId="16CE0D98"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14,23%</w:t>
            </w:r>
          </w:p>
        </w:tc>
        <w:tc>
          <w:tcPr>
            <w:tcW w:w="906" w:type="pct"/>
            <w:vAlign w:val="center"/>
          </w:tcPr>
          <w:p w14:paraId="31CEFD70"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16.231.703</w:t>
            </w:r>
          </w:p>
        </w:tc>
        <w:tc>
          <w:tcPr>
            <w:tcW w:w="548" w:type="pct"/>
            <w:vAlign w:val="center"/>
          </w:tcPr>
          <w:p w14:paraId="6CDD768B"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49,73%</w:t>
            </w:r>
          </w:p>
        </w:tc>
        <w:tc>
          <w:tcPr>
            <w:tcW w:w="953" w:type="pct"/>
            <w:vAlign w:val="center"/>
          </w:tcPr>
          <w:p w14:paraId="0719AFEE"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56.735.997,19</w:t>
            </w:r>
          </w:p>
        </w:tc>
      </w:tr>
      <w:tr w:rsidR="00805E84" w14:paraId="6ED49C64" w14:textId="77777777" w:rsidTr="00D11855">
        <w:trPr>
          <w:trHeight w:val="315"/>
          <w:jc w:val="center"/>
        </w:trPr>
        <w:tc>
          <w:tcPr>
            <w:cnfStyle w:val="001000000000" w:firstRow="0" w:lastRow="0" w:firstColumn="1" w:lastColumn="0" w:oddVBand="0" w:evenVBand="0" w:oddHBand="0" w:evenHBand="0" w:firstRowFirstColumn="0" w:firstRowLastColumn="0" w:lastRowFirstColumn="0" w:lastRowLastColumn="0"/>
            <w:tcW w:w="591" w:type="pct"/>
            <w:vAlign w:val="center"/>
          </w:tcPr>
          <w:p w14:paraId="44557434" w14:textId="77777777" w:rsidR="00805E84" w:rsidRDefault="00805E84" w:rsidP="00A6302C">
            <w:pPr>
              <w:jc w:val="center"/>
            </w:pPr>
            <w:r w:rsidRPr="31FF9146">
              <w:rPr>
                <w:rFonts w:eastAsia="Arial" w:cs="Arial"/>
                <w:color w:val="000000" w:themeColor="text1"/>
                <w:sz w:val="18"/>
                <w:szCs w:val="18"/>
                <w:lang w:val="en-US"/>
              </w:rPr>
              <w:t>2021</w:t>
            </w:r>
          </w:p>
        </w:tc>
        <w:tc>
          <w:tcPr>
            <w:tcW w:w="548" w:type="pct"/>
            <w:vAlign w:val="center"/>
          </w:tcPr>
          <w:p w14:paraId="1D57CD87"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61,50%</w:t>
            </w:r>
          </w:p>
        </w:tc>
        <w:tc>
          <w:tcPr>
            <w:tcW w:w="906" w:type="pct"/>
            <w:vAlign w:val="center"/>
          </w:tcPr>
          <w:p w14:paraId="4C747754"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70.169.411,05</w:t>
            </w:r>
          </w:p>
        </w:tc>
        <w:tc>
          <w:tcPr>
            <w:tcW w:w="548" w:type="pct"/>
            <w:vAlign w:val="center"/>
          </w:tcPr>
          <w:p w14:paraId="2B12AFB4" w14:textId="7DB8622B"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12,28%</w:t>
            </w:r>
          </w:p>
        </w:tc>
        <w:tc>
          <w:tcPr>
            <w:tcW w:w="906" w:type="pct"/>
            <w:vAlign w:val="center"/>
          </w:tcPr>
          <w:p w14:paraId="06EB4C3C"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14.013.755,8*</w:t>
            </w:r>
          </w:p>
        </w:tc>
        <w:tc>
          <w:tcPr>
            <w:tcW w:w="548" w:type="pct"/>
            <w:vAlign w:val="center"/>
          </w:tcPr>
          <w:p w14:paraId="0BD843FC"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62,01%</w:t>
            </w:r>
          </w:p>
        </w:tc>
        <w:tc>
          <w:tcPr>
            <w:tcW w:w="953" w:type="pct"/>
            <w:vAlign w:val="center"/>
          </w:tcPr>
          <w:p w14:paraId="02B4D824"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70.749.752,99*</w:t>
            </w:r>
          </w:p>
        </w:tc>
      </w:tr>
      <w:tr w:rsidR="00805E84" w14:paraId="5FB5AB94" w14:textId="77777777" w:rsidTr="00D11855">
        <w:trPr>
          <w:trHeight w:val="315"/>
          <w:jc w:val="center"/>
        </w:trPr>
        <w:tc>
          <w:tcPr>
            <w:cnfStyle w:val="001000000000" w:firstRow="0" w:lastRow="0" w:firstColumn="1" w:lastColumn="0" w:oddVBand="0" w:evenVBand="0" w:oddHBand="0" w:evenHBand="0" w:firstRowFirstColumn="0" w:firstRowLastColumn="0" w:lastRowFirstColumn="0" w:lastRowLastColumn="0"/>
            <w:tcW w:w="591" w:type="pct"/>
            <w:vAlign w:val="center"/>
          </w:tcPr>
          <w:p w14:paraId="6D8094D3" w14:textId="77777777" w:rsidR="00805E84" w:rsidRDefault="00805E84" w:rsidP="00A6302C">
            <w:pPr>
              <w:jc w:val="center"/>
            </w:pPr>
            <w:r w:rsidRPr="31FF9146">
              <w:rPr>
                <w:rFonts w:eastAsia="Arial" w:cs="Arial"/>
                <w:color w:val="000000" w:themeColor="text1"/>
                <w:sz w:val="18"/>
                <w:szCs w:val="18"/>
                <w:lang w:val="en-US"/>
              </w:rPr>
              <w:t>2022</w:t>
            </w:r>
          </w:p>
        </w:tc>
        <w:tc>
          <w:tcPr>
            <w:tcW w:w="548" w:type="pct"/>
            <w:vAlign w:val="center"/>
          </w:tcPr>
          <w:p w14:paraId="78DA542A"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72,50%</w:t>
            </w:r>
          </w:p>
        </w:tc>
        <w:tc>
          <w:tcPr>
            <w:tcW w:w="906" w:type="pct"/>
            <w:vAlign w:val="center"/>
          </w:tcPr>
          <w:p w14:paraId="6ADBD6A7"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n-US"/>
              </w:rPr>
              <w:t>82.720.037,42</w:t>
            </w:r>
          </w:p>
        </w:tc>
        <w:tc>
          <w:tcPr>
            <w:tcW w:w="548" w:type="pct"/>
            <w:vAlign w:val="center"/>
          </w:tcPr>
          <w:p w14:paraId="0EC6A734" w14:textId="5F5E1648"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906" w:type="pct"/>
            <w:vAlign w:val="center"/>
          </w:tcPr>
          <w:p w14:paraId="760923F8"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548" w:type="pct"/>
            <w:vAlign w:val="center"/>
          </w:tcPr>
          <w:p w14:paraId="57B5D621"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c>
          <w:tcPr>
            <w:tcW w:w="953" w:type="pct"/>
            <w:vAlign w:val="center"/>
          </w:tcPr>
          <w:p w14:paraId="75E4A5B3" w14:textId="77777777" w:rsidR="00805E84" w:rsidRDefault="00805E84" w:rsidP="00A6302C">
            <w:pPr>
              <w:jc w:val="center"/>
              <w:cnfStyle w:val="000000000000" w:firstRow="0" w:lastRow="0" w:firstColumn="0" w:lastColumn="0" w:oddVBand="0" w:evenVBand="0" w:oddHBand="0" w:evenHBand="0" w:firstRowFirstColumn="0" w:firstRowLastColumn="0" w:lastRowFirstColumn="0" w:lastRowLastColumn="0"/>
            </w:pPr>
          </w:p>
        </w:tc>
      </w:tr>
    </w:tbl>
    <w:p w14:paraId="578427CD" w14:textId="77777777" w:rsidR="007B7514" w:rsidRDefault="007B7514" w:rsidP="007B7514">
      <w:pPr>
        <w:jc w:val="center"/>
        <w:rPr>
          <w:rFonts w:eastAsia="Arial" w:cs="Arial"/>
          <w:b/>
          <w:iCs/>
          <w:sz w:val="16"/>
          <w:szCs w:val="14"/>
          <w:lang w:val="es-MX"/>
        </w:rPr>
      </w:pPr>
      <w:r>
        <w:rPr>
          <w:rFonts w:eastAsia="Arial" w:cs="Arial"/>
          <w:b/>
          <w:iCs/>
          <w:sz w:val="16"/>
          <w:szCs w:val="14"/>
          <w:lang w:val="es-MX"/>
        </w:rPr>
        <w:t xml:space="preserve">Fuente: </w:t>
      </w:r>
      <w:r w:rsidRPr="005E19D4">
        <w:rPr>
          <w:rFonts w:eastAsia="Arial" w:cs="Arial"/>
          <w:b/>
          <w:iCs/>
          <w:sz w:val="16"/>
          <w:szCs w:val="14"/>
          <w:lang w:val="es-MX"/>
        </w:rPr>
        <w:t>Dirección de Gestió</w:t>
      </w:r>
      <w:r>
        <w:rPr>
          <w:rFonts w:eastAsia="Arial" w:cs="Arial"/>
          <w:b/>
          <w:iCs/>
          <w:sz w:val="16"/>
          <w:szCs w:val="14"/>
          <w:lang w:val="es-MX"/>
        </w:rPr>
        <w:t>n de la Información Geográfica</w:t>
      </w:r>
    </w:p>
    <w:p w14:paraId="03F7D7EA" w14:textId="77777777" w:rsidR="003B3B3F" w:rsidRPr="003B3B3F" w:rsidRDefault="007B7514" w:rsidP="003B3B3F">
      <w:pPr>
        <w:jc w:val="center"/>
        <w:rPr>
          <w:rFonts w:eastAsia="Arial" w:cs="Arial"/>
          <w:b/>
          <w:iCs/>
          <w:sz w:val="16"/>
          <w:szCs w:val="14"/>
          <w:lang w:val="es-MX"/>
        </w:rPr>
      </w:pPr>
      <w:r w:rsidRPr="005E19D4">
        <w:rPr>
          <w:rFonts w:eastAsia="Arial" w:cs="Arial"/>
          <w:b/>
          <w:iCs/>
          <w:sz w:val="16"/>
          <w:szCs w:val="14"/>
          <w:lang w:val="es-MX"/>
        </w:rPr>
        <w:t xml:space="preserve">*Con corte a 31 de octubre 2021 </w:t>
      </w:r>
    </w:p>
    <w:p w14:paraId="5F897873" w14:textId="1FDFA79A" w:rsidR="003A6BBA" w:rsidRDefault="003A6BBA" w:rsidP="00085FDD">
      <w:pPr>
        <w:pStyle w:val="Sinespaciado"/>
      </w:pPr>
    </w:p>
    <w:p w14:paraId="26628610" w14:textId="74B43DE2" w:rsidR="00925476" w:rsidRPr="00925476" w:rsidRDefault="00925476" w:rsidP="00925476">
      <w:pPr>
        <w:pStyle w:val="Descripcin"/>
        <w:ind w:left="4962" w:hanging="4962"/>
        <w:jc w:val="center"/>
        <w:rPr>
          <w:rFonts w:ascii="Arial" w:eastAsia="Arial" w:hAnsi="Arial" w:cs="Arial"/>
          <w:b/>
          <w:bCs/>
          <w:i w:val="0"/>
          <w:iCs w:val="0"/>
          <w:color w:val="auto"/>
          <w:sz w:val="16"/>
          <w:szCs w:val="16"/>
          <w:lang w:val="es-MX"/>
        </w:rPr>
      </w:pPr>
      <w:bookmarkStart w:id="88" w:name="_Toc88677172"/>
      <w:r w:rsidRPr="00925476">
        <w:rPr>
          <w:rFonts w:ascii="Arial" w:hAnsi="Arial" w:cs="Arial"/>
          <w:b/>
          <w:bCs/>
          <w:i w:val="0"/>
          <w:iCs w:val="0"/>
          <w:color w:val="auto"/>
          <w:sz w:val="16"/>
          <w:szCs w:val="16"/>
        </w:rPr>
        <w:t xml:space="preserve">Ilustración </w:t>
      </w:r>
      <w:r w:rsidRPr="00925476">
        <w:rPr>
          <w:rFonts w:ascii="Arial" w:hAnsi="Arial" w:cs="Arial"/>
          <w:b/>
          <w:bCs/>
          <w:i w:val="0"/>
          <w:iCs w:val="0"/>
          <w:color w:val="auto"/>
          <w:sz w:val="16"/>
          <w:szCs w:val="16"/>
        </w:rPr>
        <w:fldChar w:fldCharType="begin"/>
      </w:r>
      <w:r w:rsidRPr="00925476">
        <w:rPr>
          <w:rFonts w:ascii="Arial" w:hAnsi="Arial" w:cs="Arial"/>
          <w:b/>
          <w:bCs/>
          <w:i w:val="0"/>
          <w:iCs w:val="0"/>
          <w:color w:val="auto"/>
          <w:sz w:val="16"/>
          <w:szCs w:val="16"/>
        </w:rPr>
        <w:instrText xml:space="preserve"> SEQ Ilustración \* ARABIC </w:instrText>
      </w:r>
      <w:r w:rsidRPr="00925476">
        <w:rPr>
          <w:rFonts w:ascii="Arial" w:hAnsi="Arial" w:cs="Arial"/>
          <w:b/>
          <w:bCs/>
          <w:i w:val="0"/>
          <w:iCs w:val="0"/>
          <w:color w:val="auto"/>
          <w:sz w:val="16"/>
          <w:szCs w:val="16"/>
        </w:rPr>
        <w:fldChar w:fldCharType="separate"/>
      </w:r>
      <w:r w:rsidR="005D5B0E">
        <w:rPr>
          <w:rFonts w:ascii="Arial" w:hAnsi="Arial" w:cs="Arial"/>
          <w:b/>
          <w:bCs/>
          <w:i w:val="0"/>
          <w:iCs w:val="0"/>
          <w:noProof/>
          <w:color w:val="auto"/>
          <w:sz w:val="16"/>
          <w:szCs w:val="16"/>
        </w:rPr>
        <w:t>16</w:t>
      </w:r>
      <w:r w:rsidRPr="00925476">
        <w:rPr>
          <w:rFonts w:ascii="Arial" w:hAnsi="Arial" w:cs="Arial"/>
          <w:b/>
          <w:bCs/>
          <w:i w:val="0"/>
          <w:iCs w:val="0"/>
          <w:color w:val="auto"/>
          <w:sz w:val="16"/>
          <w:szCs w:val="16"/>
        </w:rPr>
        <w:fldChar w:fldCharType="end"/>
      </w:r>
      <w:r w:rsidRPr="00925476">
        <w:rPr>
          <w:rFonts w:ascii="Arial" w:hAnsi="Arial" w:cs="Arial"/>
          <w:b/>
          <w:bCs/>
          <w:i w:val="0"/>
          <w:iCs w:val="0"/>
          <w:color w:val="auto"/>
          <w:sz w:val="16"/>
          <w:szCs w:val="16"/>
        </w:rPr>
        <w:t>.Porcentaje del área geográfica</w:t>
      </w:r>
      <w:r w:rsidR="000636DA">
        <w:rPr>
          <w:rFonts w:ascii="Arial" w:hAnsi="Arial" w:cs="Arial"/>
          <w:b/>
          <w:bCs/>
          <w:i w:val="0"/>
          <w:iCs w:val="0"/>
          <w:color w:val="auto"/>
          <w:sz w:val="16"/>
          <w:szCs w:val="16"/>
        </w:rPr>
        <w:t xml:space="preserve"> </w:t>
      </w:r>
      <w:r w:rsidRPr="00925476">
        <w:rPr>
          <w:rFonts w:ascii="Arial" w:hAnsi="Arial" w:cs="Arial"/>
          <w:b/>
          <w:bCs/>
          <w:i w:val="0"/>
          <w:iCs w:val="0"/>
          <w:color w:val="auto"/>
          <w:sz w:val="16"/>
          <w:szCs w:val="16"/>
        </w:rPr>
        <w:t>con caracterización geográfica</w:t>
      </w:r>
      <w:bookmarkEnd w:id="88"/>
    </w:p>
    <w:p w14:paraId="33B941D5" w14:textId="5EC92D14" w:rsidR="000636DA" w:rsidRDefault="000636DA" w:rsidP="003A6BBA">
      <w:pPr>
        <w:rPr>
          <w:noProof/>
          <w:lang w:val="es-CO" w:eastAsia="es-CO"/>
        </w:rPr>
      </w:pPr>
      <w:r>
        <w:rPr>
          <w:noProof/>
          <w:lang w:val="es-CO" w:eastAsia="es-CO"/>
        </w:rPr>
        <w:drawing>
          <wp:anchor distT="0" distB="0" distL="114300" distR="114300" simplePos="0" relativeHeight="251658266" behindDoc="0" locked="0" layoutInCell="1" allowOverlap="1" wp14:anchorId="6E730932" wp14:editId="23C16518">
            <wp:simplePos x="0" y="0"/>
            <wp:positionH relativeFrom="column">
              <wp:posOffset>1296331</wp:posOffset>
            </wp:positionH>
            <wp:positionV relativeFrom="paragraph">
              <wp:posOffset>9022</wp:posOffset>
            </wp:positionV>
            <wp:extent cx="3243580" cy="1612900"/>
            <wp:effectExtent l="0" t="0" r="0" b="6350"/>
            <wp:wrapSquare wrapText="bothSides"/>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extLst>
                        <a:ext uri="{28A0092B-C50C-407E-A947-70E740481C1C}">
                          <a14:useLocalDpi xmlns:a14="http://schemas.microsoft.com/office/drawing/2010/main" val="0"/>
                        </a:ext>
                      </a:extLst>
                    </a:blip>
                    <a:stretch>
                      <a:fillRect/>
                    </a:stretch>
                  </pic:blipFill>
                  <pic:spPr>
                    <a:xfrm>
                      <a:off x="0" y="0"/>
                      <a:ext cx="3243580" cy="1612900"/>
                    </a:xfrm>
                    <a:prstGeom prst="rect">
                      <a:avLst/>
                    </a:prstGeom>
                  </pic:spPr>
                </pic:pic>
              </a:graphicData>
            </a:graphic>
            <wp14:sizeRelH relativeFrom="page">
              <wp14:pctWidth>0</wp14:pctWidth>
            </wp14:sizeRelH>
            <wp14:sizeRelV relativeFrom="page">
              <wp14:pctHeight>0</wp14:pctHeight>
            </wp14:sizeRelV>
          </wp:anchor>
        </w:drawing>
      </w:r>
      <w:r w:rsidR="007B7514">
        <w:rPr>
          <w:rFonts w:eastAsia="Arial" w:cs="Arial"/>
          <w:b/>
          <w:iCs/>
          <w:sz w:val="16"/>
          <w:szCs w:val="14"/>
          <w:lang w:val="es-MX"/>
        </w:rPr>
        <w:t xml:space="preserve">   </w:t>
      </w:r>
      <w:r w:rsidR="007B7514">
        <w:rPr>
          <w:rFonts w:cs="Arial"/>
          <w:b/>
          <w:sz w:val="16"/>
        </w:rPr>
        <w:t xml:space="preserve">                                                                           </w:t>
      </w:r>
    </w:p>
    <w:p w14:paraId="7F52B829" w14:textId="3FD20B1C" w:rsidR="000636DA" w:rsidRDefault="000636DA" w:rsidP="003A6BBA">
      <w:pPr>
        <w:rPr>
          <w:noProof/>
          <w:lang w:val="es-CO" w:eastAsia="es-CO"/>
        </w:rPr>
      </w:pPr>
    </w:p>
    <w:p w14:paraId="18E62A12" w14:textId="77777777" w:rsidR="000636DA" w:rsidRDefault="000636DA" w:rsidP="003A6BBA">
      <w:pPr>
        <w:rPr>
          <w:noProof/>
          <w:lang w:val="es-CO" w:eastAsia="es-CO"/>
        </w:rPr>
      </w:pPr>
    </w:p>
    <w:p w14:paraId="0CFD5F87" w14:textId="77777777" w:rsidR="000636DA" w:rsidRDefault="000636DA" w:rsidP="003A6BBA">
      <w:pPr>
        <w:rPr>
          <w:noProof/>
          <w:lang w:val="es-CO" w:eastAsia="es-CO"/>
        </w:rPr>
      </w:pPr>
    </w:p>
    <w:p w14:paraId="7D38A494" w14:textId="77777777" w:rsidR="000636DA" w:rsidRDefault="000636DA" w:rsidP="003A6BBA">
      <w:pPr>
        <w:rPr>
          <w:noProof/>
          <w:lang w:val="es-CO" w:eastAsia="es-CO"/>
        </w:rPr>
      </w:pPr>
    </w:p>
    <w:p w14:paraId="2E3F9853" w14:textId="77777777" w:rsidR="000636DA" w:rsidRDefault="000636DA" w:rsidP="003A6BBA">
      <w:pPr>
        <w:rPr>
          <w:noProof/>
          <w:lang w:val="es-CO" w:eastAsia="es-CO"/>
        </w:rPr>
      </w:pPr>
    </w:p>
    <w:p w14:paraId="5DE07BA5" w14:textId="77777777" w:rsidR="000636DA" w:rsidRDefault="000636DA" w:rsidP="003A6BBA">
      <w:pPr>
        <w:rPr>
          <w:noProof/>
          <w:lang w:val="es-CO" w:eastAsia="es-CO"/>
        </w:rPr>
      </w:pPr>
    </w:p>
    <w:p w14:paraId="447B78BF" w14:textId="77777777" w:rsidR="000636DA" w:rsidRDefault="000636DA" w:rsidP="003A6BBA">
      <w:pPr>
        <w:rPr>
          <w:noProof/>
          <w:lang w:val="es-CO" w:eastAsia="es-CO"/>
        </w:rPr>
      </w:pPr>
    </w:p>
    <w:p w14:paraId="146C5DD7" w14:textId="77777777" w:rsidR="000636DA" w:rsidRDefault="000636DA" w:rsidP="003A6BBA">
      <w:pPr>
        <w:rPr>
          <w:noProof/>
          <w:lang w:val="es-CO" w:eastAsia="es-CO"/>
        </w:rPr>
      </w:pPr>
    </w:p>
    <w:p w14:paraId="673481F9" w14:textId="77777777" w:rsidR="00B56AAB" w:rsidRDefault="00B56AAB" w:rsidP="000636DA">
      <w:pPr>
        <w:jc w:val="center"/>
        <w:rPr>
          <w:rFonts w:eastAsia="Arial" w:cs="Arial"/>
          <w:b/>
          <w:bCs/>
          <w:sz w:val="16"/>
          <w:szCs w:val="14"/>
          <w:lang w:val="es"/>
        </w:rPr>
      </w:pPr>
    </w:p>
    <w:p w14:paraId="04159333" w14:textId="16B98BCA" w:rsidR="000636DA" w:rsidRPr="004A6242" w:rsidRDefault="000636DA" w:rsidP="000636DA">
      <w:pPr>
        <w:jc w:val="center"/>
        <w:rPr>
          <w:rFonts w:eastAsia="Arial" w:cs="Arial"/>
          <w:b/>
          <w:sz w:val="16"/>
          <w:szCs w:val="14"/>
        </w:rPr>
      </w:pPr>
      <w:r w:rsidRPr="004A6242">
        <w:rPr>
          <w:rFonts w:eastAsia="Arial" w:cs="Arial"/>
          <w:b/>
          <w:bCs/>
          <w:sz w:val="16"/>
          <w:szCs w:val="14"/>
          <w:lang w:val="es"/>
        </w:rPr>
        <w:t xml:space="preserve">Fuente: </w:t>
      </w:r>
      <w:r w:rsidRPr="004A6242">
        <w:rPr>
          <w:rFonts w:eastAsia="Arial" w:cs="Arial"/>
          <w:b/>
          <w:sz w:val="16"/>
          <w:szCs w:val="14"/>
          <w:lang w:val="es"/>
        </w:rPr>
        <w:t>Dirección de Gestión de la Información Geográfica</w:t>
      </w:r>
    </w:p>
    <w:p w14:paraId="5698F3DB" w14:textId="60BB89BA" w:rsidR="003A0BEF" w:rsidRDefault="003A0BEF" w:rsidP="003A6BBA">
      <w:pPr>
        <w:rPr>
          <w:noProof/>
          <w:lang w:val="es-CO" w:eastAsia="es-CO"/>
        </w:rPr>
      </w:pPr>
    </w:p>
    <w:p w14:paraId="6A6CA463" w14:textId="2577DDE5" w:rsidR="0015111A" w:rsidRPr="0015111A" w:rsidRDefault="000636DA" w:rsidP="0015111A">
      <w:pPr>
        <w:jc w:val="center"/>
        <w:rPr>
          <w:rFonts w:cs="Arial"/>
          <w:b/>
          <w:bCs/>
          <w:sz w:val="16"/>
          <w:szCs w:val="16"/>
        </w:rPr>
      </w:pPr>
      <w:bookmarkStart w:id="89" w:name="_Toc88677173"/>
      <w:r w:rsidRPr="00925476">
        <w:rPr>
          <w:rFonts w:cs="Arial"/>
          <w:b/>
          <w:bCs/>
          <w:sz w:val="16"/>
          <w:szCs w:val="16"/>
        </w:rPr>
        <w:t xml:space="preserve">Ilustración </w:t>
      </w:r>
      <w:r w:rsidRPr="00925476">
        <w:rPr>
          <w:rFonts w:cs="Arial"/>
          <w:b/>
          <w:bCs/>
          <w:sz w:val="16"/>
          <w:szCs w:val="16"/>
        </w:rPr>
        <w:fldChar w:fldCharType="begin"/>
      </w:r>
      <w:r w:rsidRPr="00925476">
        <w:rPr>
          <w:rFonts w:cs="Arial"/>
          <w:b/>
          <w:bCs/>
          <w:sz w:val="16"/>
          <w:szCs w:val="16"/>
        </w:rPr>
        <w:instrText xml:space="preserve"> SEQ Ilustración \* ARABIC </w:instrText>
      </w:r>
      <w:r w:rsidRPr="00925476">
        <w:rPr>
          <w:rFonts w:cs="Arial"/>
          <w:b/>
          <w:bCs/>
          <w:sz w:val="16"/>
          <w:szCs w:val="16"/>
        </w:rPr>
        <w:fldChar w:fldCharType="separate"/>
      </w:r>
      <w:r w:rsidR="005D5B0E">
        <w:rPr>
          <w:rFonts w:cs="Arial"/>
          <w:b/>
          <w:bCs/>
          <w:noProof/>
          <w:sz w:val="16"/>
          <w:szCs w:val="16"/>
        </w:rPr>
        <w:t>17</w:t>
      </w:r>
      <w:r w:rsidRPr="00925476">
        <w:rPr>
          <w:rFonts w:cs="Arial"/>
          <w:b/>
          <w:bCs/>
          <w:sz w:val="16"/>
          <w:szCs w:val="16"/>
        </w:rPr>
        <w:fldChar w:fldCharType="end"/>
      </w:r>
      <w:r w:rsidRPr="00925476">
        <w:rPr>
          <w:rFonts w:cs="Arial"/>
          <w:b/>
          <w:bCs/>
          <w:sz w:val="16"/>
          <w:szCs w:val="16"/>
        </w:rPr>
        <w:t>. Cubrimiento de área con caracterización    2020-2021</w:t>
      </w:r>
      <w:bookmarkEnd w:id="89"/>
    </w:p>
    <w:p w14:paraId="35739740" w14:textId="77777777" w:rsidR="00BA6536" w:rsidRDefault="00BA6536" w:rsidP="000636DA">
      <w:pPr>
        <w:jc w:val="center"/>
        <w:rPr>
          <w:noProof/>
          <w:lang w:val="es-CO" w:eastAsia="es-CO"/>
        </w:rPr>
      </w:pPr>
    </w:p>
    <w:p w14:paraId="2F6B30AC" w14:textId="438F4591" w:rsidR="007B7514" w:rsidRDefault="007B7514" w:rsidP="000636DA">
      <w:pPr>
        <w:jc w:val="center"/>
      </w:pPr>
      <w:r>
        <w:rPr>
          <w:noProof/>
          <w:lang w:val="es-CO" w:eastAsia="es-CO"/>
        </w:rPr>
        <w:drawing>
          <wp:inline distT="0" distB="0" distL="0" distR="0" wp14:anchorId="584369F6" wp14:editId="2B3D20E7">
            <wp:extent cx="1756410" cy="2262706"/>
            <wp:effectExtent l="0" t="0" r="0" b="4445"/>
            <wp:docPr id="2080165672" name="Imagen 2080165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1794595" cy="2311898"/>
                    </a:xfrm>
                    <a:prstGeom prst="rect">
                      <a:avLst/>
                    </a:prstGeom>
                  </pic:spPr>
                </pic:pic>
              </a:graphicData>
            </a:graphic>
          </wp:inline>
        </w:drawing>
      </w:r>
    </w:p>
    <w:p w14:paraId="3E36FDF7" w14:textId="77777777" w:rsidR="007B7514" w:rsidRPr="004A6242" w:rsidRDefault="007B7514" w:rsidP="007B7514">
      <w:pPr>
        <w:jc w:val="center"/>
        <w:rPr>
          <w:rFonts w:eastAsia="Arial" w:cs="Arial"/>
          <w:b/>
          <w:sz w:val="16"/>
          <w:szCs w:val="14"/>
        </w:rPr>
      </w:pPr>
      <w:r w:rsidRPr="004A6242">
        <w:rPr>
          <w:rFonts w:eastAsia="Arial" w:cs="Arial"/>
          <w:b/>
          <w:bCs/>
          <w:sz w:val="16"/>
          <w:szCs w:val="14"/>
          <w:lang w:val="es"/>
        </w:rPr>
        <w:t xml:space="preserve">Fuente: </w:t>
      </w:r>
      <w:r w:rsidRPr="004A6242">
        <w:rPr>
          <w:rFonts w:eastAsia="Arial" w:cs="Arial"/>
          <w:b/>
          <w:sz w:val="16"/>
          <w:szCs w:val="14"/>
          <w:lang w:val="es"/>
        </w:rPr>
        <w:t>Dirección de Gestión de la Información Geográfica</w:t>
      </w:r>
    </w:p>
    <w:p w14:paraId="5EB9D182" w14:textId="77777777" w:rsidR="007B7514" w:rsidRDefault="007B7514" w:rsidP="007B7514">
      <w:pPr>
        <w:pStyle w:val="Lista"/>
      </w:pPr>
    </w:p>
    <w:p w14:paraId="19A74DD5" w14:textId="77777777" w:rsidR="007B7514" w:rsidRDefault="007B7514" w:rsidP="007B7514">
      <w:pPr>
        <w:jc w:val="both"/>
        <w:rPr>
          <w:rFonts w:eastAsia="Arial" w:cs="Arial"/>
          <w:b/>
          <w:bCs/>
          <w:color w:val="000000" w:themeColor="text1"/>
          <w:sz w:val="22"/>
          <w:szCs w:val="22"/>
          <w:lang w:val="es"/>
        </w:rPr>
      </w:pPr>
    </w:p>
    <w:p w14:paraId="4261A38B" w14:textId="77777777" w:rsidR="007B7514" w:rsidRDefault="007B7514" w:rsidP="007B7514">
      <w:pPr>
        <w:jc w:val="both"/>
      </w:pPr>
      <w:r w:rsidRPr="31FF9146">
        <w:rPr>
          <w:rFonts w:eastAsia="Arial" w:cs="Arial"/>
          <w:b/>
          <w:bCs/>
          <w:color w:val="000000" w:themeColor="text1"/>
          <w:sz w:val="22"/>
          <w:szCs w:val="22"/>
          <w:lang w:val="es"/>
        </w:rPr>
        <w:lastRenderedPageBreak/>
        <w:t>PROYECTO DE INVERSIÓN: LEVANTAMIENTO, GENERACIÓN Y ACTUALIZACIÓN DE LA RED GEODÉSICA Y LA CARTOGRAFÍA BÁSICA A NIVEL NACIONAL.</w:t>
      </w:r>
    </w:p>
    <w:p w14:paraId="36CBEA0E" w14:textId="77777777" w:rsidR="007B7514" w:rsidRDefault="007B7514" w:rsidP="007B7514">
      <w:pPr>
        <w:jc w:val="both"/>
      </w:pPr>
      <w:r w:rsidRPr="31FF9146">
        <w:rPr>
          <w:rFonts w:eastAsia="Arial" w:cs="Arial"/>
          <w:b/>
          <w:bCs/>
          <w:color w:val="000000" w:themeColor="text1"/>
          <w:sz w:val="22"/>
          <w:szCs w:val="22"/>
        </w:rPr>
        <w:t xml:space="preserve"> </w:t>
      </w:r>
    </w:p>
    <w:p w14:paraId="0149E2EC" w14:textId="6AC50E0F" w:rsidR="00CF48F5" w:rsidRDefault="007B7514" w:rsidP="00085FDD">
      <w:pPr>
        <w:jc w:val="both"/>
      </w:pPr>
      <w:r w:rsidRPr="31FF9146">
        <w:rPr>
          <w:rFonts w:eastAsia="Arial" w:cs="Arial"/>
          <w:color w:val="000000" w:themeColor="text1"/>
          <w:sz w:val="22"/>
          <w:szCs w:val="22"/>
        </w:rPr>
        <w:t xml:space="preserve">El IGAC como máxima autoridad del país en temas técnicos relacionados con geodesia, cartografía básica, geografía, ordenamiento territorial, límites de entidades territoriales y nombres geográficos, ejerce a través de la Subdirección Cartográfica y Geodésica las funciones de dirigir y realizar la producción, actualización, custodia, preservación y documentación estandarizada de la cartografía básica oficial digital del país a diferentes escalas, fortalecer y mantener de la red geodésica nacional, y facilitar el acceso datos cartográficos y geodésicos para satisfacer las necesidades de los usuarios internos y externos. A través del proyecto </w:t>
      </w:r>
      <w:r w:rsidRPr="31FF9146">
        <w:rPr>
          <w:rFonts w:eastAsia="Arial" w:cs="Arial"/>
          <w:i/>
          <w:iCs/>
          <w:color w:val="000000" w:themeColor="text1"/>
          <w:sz w:val="22"/>
          <w:szCs w:val="22"/>
        </w:rPr>
        <w:t>“Levantamiento, generación y actualización de la red geodésica y la cartografía básica a nivel Nacional”</w:t>
      </w:r>
      <w:r w:rsidRPr="31FF9146">
        <w:rPr>
          <w:rFonts w:eastAsia="Arial" w:cs="Arial"/>
          <w:color w:val="000000" w:themeColor="text1"/>
          <w:sz w:val="22"/>
          <w:szCs w:val="22"/>
        </w:rPr>
        <w:t xml:space="preserve"> se alcanzaron los siguientes logros:</w:t>
      </w:r>
    </w:p>
    <w:p w14:paraId="24B934FC" w14:textId="77777777" w:rsidR="00085FDD" w:rsidRPr="00085FDD" w:rsidRDefault="00085FDD" w:rsidP="00085FDD">
      <w:pPr>
        <w:jc w:val="both"/>
      </w:pPr>
    </w:p>
    <w:p w14:paraId="302CF99D" w14:textId="4D290E3A" w:rsidR="0081674E" w:rsidRPr="00E92C59" w:rsidRDefault="007B7514" w:rsidP="005F3C74">
      <w:pPr>
        <w:rPr>
          <w:rFonts w:eastAsia="Arial"/>
          <w:b/>
          <w:color w:val="000000" w:themeColor="text1"/>
          <w:sz w:val="22"/>
        </w:rPr>
      </w:pPr>
      <w:r w:rsidRPr="00E92C59">
        <w:rPr>
          <w:rFonts w:ascii="Symbol" w:eastAsia="Symbol" w:hAnsi="Symbol" w:cs="Symbol"/>
          <w:color w:val="000000" w:themeColor="text1"/>
          <w:sz w:val="22"/>
        </w:rPr>
        <w:t></w:t>
      </w:r>
      <w:r w:rsidRPr="00E92C59">
        <w:rPr>
          <w:rFonts w:ascii="Times New Roman" w:hAnsi="Times New Roman"/>
          <w:color w:val="000000" w:themeColor="text1"/>
          <w:sz w:val="12"/>
          <w:szCs w:val="14"/>
        </w:rPr>
        <w:t xml:space="preserve">        </w:t>
      </w:r>
      <w:r w:rsidRPr="00E92C59">
        <w:rPr>
          <w:rFonts w:eastAsia="Arial"/>
          <w:b/>
          <w:color w:val="000000" w:themeColor="text1"/>
          <w:sz w:val="22"/>
          <w:lang w:val="es-MX"/>
        </w:rPr>
        <w:t>SERVICIO DE INFORMACIÓN CARTOGRÁFICA ACTUALIZADA</w:t>
      </w:r>
    </w:p>
    <w:p w14:paraId="2CA43A38" w14:textId="77777777" w:rsidR="0081674E" w:rsidRPr="00E92C59" w:rsidRDefault="0081674E" w:rsidP="005F3C74">
      <w:pPr>
        <w:rPr>
          <w:rFonts w:eastAsia="Arial"/>
          <w:b/>
          <w:sz w:val="22"/>
          <w:szCs w:val="22"/>
          <w:lang w:val="es-MX"/>
        </w:rPr>
      </w:pPr>
    </w:p>
    <w:p w14:paraId="27DB9774" w14:textId="4870DB92" w:rsidR="007B7514" w:rsidRPr="00E92C59" w:rsidRDefault="007B7514" w:rsidP="005F3C74">
      <w:pPr>
        <w:rPr>
          <w:rFonts w:eastAsia="Arial" w:cs="Arial"/>
          <w:b/>
          <w:color w:val="000000" w:themeColor="text1"/>
          <w:sz w:val="22"/>
          <w:szCs w:val="22"/>
          <w:lang w:val="es-MX"/>
        </w:rPr>
      </w:pPr>
      <w:r w:rsidRPr="00E92C59">
        <w:rPr>
          <w:rFonts w:eastAsia="Arial"/>
          <w:b/>
          <w:sz w:val="22"/>
          <w:szCs w:val="22"/>
          <w:lang w:val="es-MX"/>
        </w:rPr>
        <w:t>PRODUCCIÓN DE CARTOGRAFÍA BÁSICA Y GESTIÓN DE INSUMOS.</w:t>
      </w:r>
    </w:p>
    <w:p w14:paraId="2E4DF57D" w14:textId="77777777" w:rsidR="007B7514" w:rsidRPr="006E66A9" w:rsidRDefault="007B7514" w:rsidP="007B7514">
      <w:pPr>
        <w:rPr>
          <w:rFonts w:eastAsia="Arial" w:cs="Arial"/>
          <w:i/>
          <w:iCs/>
          <w:color w:val="2F5496"/>
          <w:sz w:val="22"/>
          <w:szCs w:val="22"/>
          <w:lang w:val="es-MX" w:eastAsia="he-IL" w:bidi="he-IL"/>
        </w:rPr>
      </w:pPr>
      <w:r w:rsidRPr="006E66A9">
        <w:rPr>
          <w:rFonts w:eastAsia="Arial" w:cs="Arial"/>
          <w:i/>
          <w:iCs/>
          <w:color w:val="2F5496"/>
          <w:sz w:val="22"/>
          <w:szCs w:val="22"/>
          <w:lang w:val="es-MX" w:eastAsia="he-IL" w:bidi="he-IL"/>
        </w:rPr>
        <w:t xml:space="preserve"> </w:t>
      </w:r>
    </w:p>
    <w:p w14:paraId="7FCF86A9" w14:textId="77777777" w:rsidR="007B7514" w:rsidRDefault="007B7514" w:rsidP="007B7514">
      <w:pPr>
        <w:jc w:val="both"/>
        <w:rPr>
          <w:rFonts w:eastAsia="Arial" w:cs="Arial"/>
          <w:color w:val="000000" w:themeColor="text1"/>
        </w:rPr>
      </w:pPr>
      <w:r w:rsidRPr="31FF9146">
        <w:rPr>
          <w:rFonts w:eastAsia="Arial" w:cs="Arial"/>
          <w:color w:val="000000" w:themeColor="text1"/>
          <w:sz w:val="22"/>
          <w:szCs w:val="22"/>
        </w:rPr>
        <w:t xml:space="preserve">En cumplimiento de los objetivos misionales del IGAC y con el propósito de generar y actualizar información geográfica insumo para el desarrollo de diferentes proyectos y fines, en los dos últimos años, el IGAC logró una producción de 31.838.874,8 ha del país con ortoimágenes, modelos digitales y/o base de datos vectoriales, a partir de la generación cartográfica en sitio, la adquisición de productos, y la validación y oficialización de cartografía producida por terceros. Algunos municipios cubiertos de manera total o parcial, dependiendo de los insumos disponibles. </w:t>
      </w:r>
    </w:p>
    <w:p w14:paraId="7FCE7701" w14:textId="77777777" w:rsidR="00526181" w:rsidRDefault="00526181" w:rsidP="00526181">
      <w:pPr>
        <w:pStyle w:val="Descripcin"/>
      </w:pPr>
    </w:p>
    <w:p w14:paraId="2B61C06B" w14:textId="248881A8" w:rsidR="007B7514" w:rsidRPr="00526181" w:rsidRDefault="00526181" w:rsidP="00526181">
      <w:pPr>
        <w:pStyle w:val="Descripcin"/>
        <w:jc w:val="center"/>
        <w:rPr>
          <w:rFonts w:eastAsia="Arial" w:cs="Arial"/>
          <w:b/>
          <w:i w:val="0"/>
          <w:color w:val="auto"/>
        </w:rPr>
      </w:pPr>
      <w:bookmarkStart w:id="90" w:name="_Toc88677174"/>
      <w:r w:rsidRPr="00526181">
        <w:rPr>
          <w:b/>
          <w:bCs/>
          <w:i w:val="0"/>
          <w:iCs w:val="0"/>
          <w:color w:val="auto"/>
        </w:rPr>
        <w:t xml:space="preserve">Ilustración </w:t>
      </w:r>
      <w:r w:rsidRPr="00526181">
        <w:rPr>
          <w:b/>
          <w:bCs/>
          <w:i w:val="0"/>
          <w:iCs w:val="0"/>
          <w:color w:val="auto"/>
        </w:rPr>
        <w:fldChar w:fldCharType="begin"/>
      </w:r>
      <w:r w:rsidRPr="00526181">
        <w:rPr>
          <w:b/>
          <w:bCs/>
          <w:i w:val="0"/>
          <w:iCs w:val="0"/>
          <w:color w:val="auto"/>
        </w:rPr>
        <w:instrText xml:space="preserve"> SEQ Ilustración \* ARABIC </w:instrText>
      </w:r>
      <w:r w:rsidRPr="00526181">
        <w:rPr>
          <w:b/>
          <w:bCs/>
          <w:i w:val="0"/>
          <w:iCs w:val="0"/>
          <w:color w:val="auto"/>
        </w:rPr>
        <w:fldChar w:fldCharType="separate"/>
      </w:r>
      <w:r w:rsidR="005D5B0E">
        <w:rPr>
          <w:b/>
          <w:bCs/>
          <w:i w:val="0"/>
          <w:iCs w:val="0"/>
          <w:noProof/>
          <w:color w:val="auto"/>
        </w:rPr>
        <w:t>18</w:t>
      </w:r>
      <w:r w:rsidRPr="00526181">
        <w:rPr>
          <w:b/>
          <w:bCs/>
          <w:i w:val="0"/>
          <w:iCs w:val="0"/>
          <w:color w:val="auto"/>
        </w:rPr>
        <w:fldChar w:fldCharType="end"/>
      </w:r>
      <w:r w:rsidRPr="00526181">
        <w:rPr>
          <w:b/>
          <w:bCs/>
          <w:i w:val="0"/>
          <w:iCs w:val="0"/>
          <w:color w:val="auto"/>
        </w:rPr>
        <w:t>. Producción de cartografía básica y gestión de insumos</w:t>
      </w:r>
      <w:bookmarkEnd w:id="90"/>
    </w:p>
    <w:p w14:paraId="59654676" w14:textId="77777777" w:rsidR="007B7514" w:rsidRDefault="007B7514" w:rsidP="007B7514">
      <w:pPr>
        <w:jc w:val="center"/>
        <w:rPr>
          <w:rFonts w:eastAsia="Arial" w:cs="Arial"/>
          <w:color w:val="000000" w:themeColor="text1"/>
        </w:rPr>
      </w:pPr>
      <w:r>
        <w:rPr>
          <w:noProof/>
          <w:lang w:val="es-CO" w:eastAsia="es-CO"/>
        </w:rPr>
        <w:drawing>
          <wp:inline distT="0" distB="0" distL="0" distR="0" wp14:anchorId="4886AEFB" wp14:editId="71F3BE7A">
            <wp:extent cx="3810000" cy="1600200"/>
            <wp:effectExtent l="0" t="0" r="0" b="0"/>
            <wp:docPr id="731465242" name="Imagen 731465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3810000" cy="1600200"/>
                    </a:xfrm>
                    <a:prstGeom prst="rect">
                      <a:avLst/>
                    </a:prstGeom>
                  </pic:spPr>
                </pic:pic>
              </a:graphicData>
            </a:graphic>
          </wp:inline>
        </w:drawing>
      </w:r>
    </w:p>
    <w:p w14:paraId="1D4D0D30" w14:textId="77777777" w:rsidR="007B7514" w:rsidRPr="00B65863" w:rsidRDefault="007B7514" w:rsidP="007B7514">
      <w:pPr>
        <w:spacing w:line="240" w:lineRule="exact"/>
        <w:jc w:val="center"/>
        <w:rPr>
          <w:rFonts w:cs="Arial"/>
          <w:b/>
          <w:sz w:val="16"/>
        </w:rPr>
      </w:pPr>
    </w:p>
    <w:p w14:paraId="2FFFA8A1" w14:textId="77777777" w:rsidR="007B7514" w:rsidRPr="00B65863" w:rsidRDefault="007B7514" w:rsidP="007B7514">
      <w:pPr>
        <w:jc w:val="center"/>
        <w:rPr>
          <w:rFonts w:cs="Arial"/>
          <w:b/>
          <w:sz w:val="16"/>
        </w:rPr>
      </w:pPr>
      <w:r w:rsidRPr="00B65863">
        <w:rPr>
          <w:rFonts w:cs="Arial"/>
          <w:b/>
          <w:sz w:val="16"/>
        </w:rPr>
        <w:t>Fuente: IGAC. Subdirección Cartográfica y Geodésica. Con corte 31 de octubre de 2021.</w:t>
      </w:r>
    </w:p>
    <w:p w14:paraId="7DF4F92F" w14:textId="77777777" w:rsidR="007B7514" w:rsidRDefault="007B7514" w:rsidP="007B7514">
      <w:pPr>
        <w:jc w:val="both"/>
      </w:pPr>
      <w:r w:rsidRPr="31FF9146">
        <w:rPr>
          <w:rFonts w:eastAsia="Arial" w:cs="Arial"/>
          <w:color w:val="000000" w:themeColor="text1"/>
          <w:sz w:val="22"/>
          <w:szCs w:val="22"/>
        </w:rPr>
        <w:t xml:space="preserve"> </w:t>
      </w:r>
    </w:p>
    <w:p w14:paraId="7108EE2A" w14:textId="3952818F" w:rsidR="007B7514" w:rsidRDefault="007B7514" w:rsidP="007B7514">
      <w:pPr>
        <w:jc w:val="both"/>
      </w:pPr>
      <w:r w:rsidRPr="31FF9146">
        <w:rPr>
          <w:rFonts w:eastAsia="Arial" w:cs="Arial"/>
          <w:color w:val="000000" w:themeColor="text1"/>
          <w:sz w:val="22"/>
          <w:szCs w:val="22"/>
        </w:rPr>
        <w:t xml:space="preserve"> Cabe mencionar que, con respecto a la cartografía básica urbana, en 2020 se logró un aumento en la producción de 320,19% con relación a 2019, y en 2021 de 858,95% con relación a 2020. En el caso de la cartografía básica rural, en 2020 se logró el 23,1% en la producción con relación a 2019, y en 2021 se logró un aumento de 120,523% con relación a 2020. Así mismo, en el marco del Programa Multinacional de Intercambio de Datos (TREx), con respecto al territorio nacional, en 2020 se actualizaron 4.276.807 ha adicionales a la cifra alcanzada en el año 2019, y 151,427 ha adicionales en 2021 a la cifra alcanzada en 2020. Actualmente, el país cuenta con un cubrimiento de 32.852.314</w:t>
      </w:r>
      <w:hyperlink r:id="rId36" w:anchor="_ftn1">
        <w:r w:rsidRPr="31FF9146">
          <w:rPr>
            <w:rStyle w:val="Hipervnculo"/>
            <w:rFonts w:eastAsia="Arial" w:cs="Arial"/>
            <w:sz w:val="22"/>
            <w:szCs w:val="22"/>
            <w:vertAlign w:val="superscript"/>
            <w:lang w:val="es"/>
          </w:rPr>
          <w:t>[1[1]]</w:t>
        </w:r>
      </w:hyperlink>
      <w:r w:rsidRPr="31FF9146">
        <w:rPr>
          <w:rFonts w:eastAsia="Arial" w:cs="Arial"/>
          <w:color w:val="000000" w:themeColor="text1"/>
          <w:sz w:val="22"/>
          <w:szCs w:val="22"/>
        </w:rPr>
        <w:t xml:space="preserve"> ha con modelos digitales de elevación generados desde el 2017, lo que permite identificar con mayor precisión las áreas posibles de ser impactadas por inundaciones o desastres naturales y de esta manera tener una mejor apreciación sobre el comportamiento de la tierra.</w:t>
      </w:r>
    </w:p>
    <w:p w14:paraId="7EA5AE80" w14:textId="77777777" w:rsidR="007B7514" w:rsidRDefault="007B7514" w:rsidP="007B7514">
      <w:pPr>
        <w:jc w:val="both"/>
      </w:pPr>
      <w:r>
        <w:lastRenderedPageBreak/>
        <w:br/>
      </w:r>
      <w:r w:rsidRPr="31FF9146">
        <w:rPr>
          <w:rFonts w:eastAsia="Arial" w:cs="Arial"/>
          <w:color w:val="000000" w:themeColor="text1"/>
          <w:sz w:val="22"/>
          <w:szCs w:val="22"/>
        </w:rPr>
        <w:t>Adicionalmente, se generaron y actualizaron datos vectoriales de 2.460.000 ha de los municipios priorizados en el marco del Convenio Interadministrativo suscrito entre National Geospatial Intelligence Agency (NGA) y el Instituto Geográfico Agustín Codazzi (IGAC), aumentando en un 23% la producción con respecto al 2019.</w:t>
      </w:r>
    </w:p>
    <w:p w14:paraId="35245E69" w14:textId="77777777" w:rsidR="007B7514" w:rsidRDefault="007B7514" w:rsidP="007B7514">
      <w:r w:rsidRPr="31FF9146">
        <w:rPr>
          <w:rFonts w:eastAsia="Arial" w:cs="Arial"/>
          <w:color w:val="000000" w:themeColor="text1"/>
          <w:sz w:val="22"/>
          <w:szCs w:val="22"/>
          <w:lang w:val="es-MX"/>
        </w:rPr>
        <w:t xml:space="preserve"> </w:t>
      </w:r>
    </w:p>
    <w:p w14:paraId="4F46AA00" w14:textId="77777777" w:rsidR="007B7514" w:rsidRDefault="007B7514" w:rsidP="007B7514">
      <w:pPr>
        <w:jc w:val="both"/>
        <w:rPr>
          <w:rFonts w:eastAsia="Arial" w:cs="Arial"/>
          <w:color w:val="000000" w:themeColor="text1"/>
          <w:sz w:val="22"/>
          <w:szCs w:val="22"/>
          <w:lang w:val="es-MX"/>
        </w:rPr>
      </w:pPr>
      <w:r w:rsidRPr="31FF9146">
        <w:rPr>
          <w:rFonts w:eastAsia="Arial" w:cs="Arial"/>
          <w:color w:val="000000" w:themeColor="text1"/>
          <w:sz w:val="22"/>
          <w:szCs w:val="22"/>
          <w:lang w:val="es-MX"/>
        </w:rPr>
        <w:t>Por último, uno de los elementos más importantes en la producción cartográfica son los puntos de control terrestre, con los cuales además de asegurar la calidad del producto, son útiles para realizar el control de exactitud posicional de estos. En el IGAC, los levantamientos de estos puntos por tradición han conllevado grandes tiempos y esfuerzos, por esto, en el 2020 uno de los retos consistía en optimizar los tiempos y costos del proceso de control terrestre, con lo cual se logró la captura y procesamiento de 796 puntos de control (641 para producción cartográfica y 155 para verificación de productos), correspondiente a un 93,20 con respecto al año inmediatamente anterior</w:t>
      </w:r>
      <w:r>
        <w:rPr>
          <w:rFonts w:eastAsia="Arial" w:cs="Arial"/>
          <w:color w:val="000000" w:themeColor="text1"/>
          <w:sz w:val="22"/>
          <w:szCs w:val="22"/>
          <w:lang w:val="es-MX"/>
        </w:rPr>
        <w:t>.</w:t>
      </w:r>
    </w:p>
    <w:p w14:paraId="64F4A341" w14:textId="74D59632" w:rsidR="004F515F" w:rsidRPr="004F515F" w:rsidRDefault="004F515F" w:rsidP="004F515F">
      <w:pPr>
        <w:jc w:val="both"/>
      </w:pPr>
    </w:p>
    <w:p w14:paraId="3DAB07F9" w14:textId="77777777" w:rsidR="00581D98" w:rsidRDefault="00581D98" w:rsidP="007B7514">
      <w:pPr>
        <w:jc w:val="both"/>
      </w:pPr>
    </w:p>
    <w:p w14:paraId="069327E0" w14:textId="419DD36B" w:rsidR="007B7514" w:rsidRDefault="00526181" w:rsidP="003A08CF">
      <w:pPr>
        <w:pStyle w:val="Descripcin"/>
        <w:jc w:val="center"/>
        <w:rPr>
          <w:b/>
          <w:i w:val="0"/>
          <w:color w:val="auto"/>
        </w:rPr>
      </w:pPr>
      <w:bookmarkStart w:id="91" w:name="_Toc88677175"/>
      <w:r w:rsidRPr="003A08CF">
        <w:rPr>
          <w:b/>
          <w:bCs/>
          <w:i w:val="0"/>
          <w:iCs w:val="0"/>
          <w:color w:val="auto"/>
        </w:rPr>
        <w:t xml:space="preserve">Ilustración </w:t>
      </w:r>
      <w:r w:rsidRPr="003A08CF">
        <w:rPr>
          <w:b/>
          <w:bCs/>
          <w:i w:val="0"/>
          <w:iCs w:val="0"/>
          <w:color w:val="auto"/>
        </w:rPr>
        <w:fldChar w:fldCharType="begin"/>
      </w:r>
      <w:r w:rsidRPr="003A08CF">
        <w:rPr>
          <w:b/>
          <w:bCs/>
          <w:i w:val="0"/>
          <w:iCs w:val="0"/>
          <w:color w:val="auto"/>
        </w:rPr>
        <w:instrText xml:space="preserve"> SEQ Ilustración \* ARABIC </w:instrText>
      </w:r>
      <w:r w:rsidRPr="003A08CF">
        <w:rPr>
          <w:b/>
          <w:bCs/>
          <w:i w:val="0"/>
          <w:iCs w:val="0"/>
          <w:color w:val="auto"/>
        </w:rPr>
        <w:fldChar w:fldCharType="separate"/>
      </w:r>
      <w:r w:rsidR="005D5B0E">
        <w:rPr>
          <w:b/>
          <w:bCs/>
          <w:i w:val="0"/>
          <w:iCs w:val="0"/>
          <w:noProof/>
          <w:color w:val="auto"/>
        </w:rPr>
        <w:t>19</w:t>
      </w:r>
      <w:r w:rsidRPr="003A08CF">
        <w:rPr>
          <w:b/>
          <w:bCs/>
          <w:i w:val="0"/>
          <w:iCs w:val="0"/>
          <w:color w:val="auto"/>
        </w:rPr>
        <w:fldChar w:fldCharType="end"/>
      </w:r>
      <w:r w:rsidRPr="003A08CF">
        <w:rPr>
          <w:b/>
          <w:bCs/>
          <w:i w:val="0"/>
          <w:iCs w:val="0"/>
          <w:color w:val="auto"/>
        </w:rPr>
        <w:t>.Número de puntos de fotocontrol para la producción y/o validación cartográfica</w:t>
      </w:r>
      <w:bookmarkEnd w:id="91"/>
    </w:p>
    <w:p w14:paraId="1B2FB76B" w14:textId="77777777" w:rsidR="007B7514" w:rsidRPr="0056267A" w:rsidRDefault="007B7514" w:rsidP="007B7514">
      <w:pPr>
        <w:jc w:val="center"/>
        <w:rPr>
          <w:rFonts w:cs="Arial"/>
          <w:b/>
          <w:sz w:val="16"/>
        </w:rPr>
      </w:pPr>
    </w:p>
    <w:p w14:paraId="109C4CB4" w14:textId="77777777" w:rsidR="007B7514" w:rsidRPr="0056267A" w:rsidRDefault="007B7514" w:rsidP="007B7514">
      <w:pPr>
        <w:jc w:val="center"/>
        <w:rPr>
          <w:rFonts w:cs="Arial"/>
          <w:b/>
          <w:sz w:val="16"/>
        </w:rPr>
      </w:pPr>
      <w:r>
        <w:rPr>
          <w:noProof/>
          <w:lang w:val="es-CO" w:eastAsia="es-CO"/>
        </w:rPr>
        <w:drawing>
          <wp:inline distT="0" distB="0" distL="0" distR="0" wp14:anchorId="2EDF52B8" wp14:editId="4875352F">
            <wp:extent cx="3766214" cy="2257425"/>
            <wp:effectExtent l="0" t="0" r="5715" b="0"/>
            <wp:docPr id="440520281" name="Imagen 440520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extLst>
                        <a:ext uri="{28A0092B-C50C-407E-A947-70E740481C1C}">
                          <a14:useLocalDpi xmlns:a14="http://schemas.microsoft.com/office/drawing/2010/main" val="0"/>
                        </a:ext>
                      </a:extLst>
                    </a:blip>
                    <a:stretch>
                      <a:fillRect/>
                    </a:stretch>
                  </pic:blipFill>
                  <pic:spPr>
                    <a:xfrm>
                      <a:off x="0" y="0"/>
                      <a:ext cx="3775106" cy="2262755"/>
                    </a:xfrm>
                    <a:prstGeom prst="rect">
                      <a:avLst/>
                    </a:prstGeom>
                  </pic:spPr>
                </pic:pic>
              </a:graphicData>
            </a:graphic>
          </wp:inline>
        </w:drawing>
      </w:r>
      <w:r>
        <w:br/>
      </w:r>
      <w:r w:rsidRPr="0056267A">
        <w:rPr>
          <w:rFonts w:cs="Arial"/>
          <w:b/>
          <w:sz w:val="16"/>
        </w:rPr>
        <w:t>Fuente: IGAC. Subdirección Cartográfica y Geodésica. Con corte 31 de octubre de 2021.</w:t>
      </w:r>
    </w:p>
    <w:p w14:paraId="57375E25" w14:textId="77777777" w:rsidR="007B7514" w:rsidRDefault="007B7514" w:rsidP="007B7514">
      <w:pPr>
        <w:jc w:val="center"/>
      </w:pPr>
      <w:r>
        <w:br/>
      </w:r>
    </w:p>
    <w:p w14:paraId="02239999" w14:textId="77777777" w:rsidR="007B7514" w:rsidRDefault="00A6302C" w:rsidP="007B7514">
      <w:pPr>
        <w:jc w:val="both"/>
      </w:pPr>
      <w:hyperlink r:id="rId38" w:anchor="_ftnref1">
        <w:r w:rsidR="007B7514" w:rsidRPr="31FF9146">
          <w:rPr>
            <w:rStyle w:val="Hipervnculo"/>
            <w:rFonts w:ascii="Times New Roman" w:hAnsi="Times New Roman"/>
            <w:vertAlign w:val="superscript"/>
            <w:lang w:val="es"/>
          </w:rPr>
          <w:t>[1]</w:t>
        </w:r>
      </w:hyperlink>
      <w:r w:rsidR="007B7514" w:rsidRPr="31FF9146">
        <w:rPr>
          <w:rFonts w:ascii="Times New Roman" w:hAnsi="Times New Roman"/>
          <w:color w:val="000000" w:themeColor="text1"/>
          <w:lang w:val="es"/>
        </w:rPr>
        <w:t xml:space="preserve"> </w:t>
      </w:r>
      <w:r w:rsidR="007B7514" w:rsidRPr="31FF9146">
        <w:rPr>
          <w:rFonts w:ascii="Calibri" w:eastAsia="Calibri" w:hAnsi="Calibri" w:cs="Calibri"/>
          <w:color w:val="000000" w:themeColor="text1"/>
          <w:sz w:val="16"/>
          <w:szCs w:val="16"/>
          <w:lang w:val="es-MX"/>
        </w:rPr>
        <w:t>Esta área no incluye las zonas fronterizas sobre las cuales se también se generaron Modelos Digitales de Superficie (9.602.948,73ha adicionales).</w:t>
      </w:r>
    </w:p>
    <w:p w14:paraId="47F721BD" w14:textId="5A449F89" w:rsidR="007B7514" w:rsidRDefault="007B7514" w:rsidP="007B7514">
      <w:pPr>
        <w:rPr>
          <w:rFonts w:eastAsia="Arial" w:cs="Arial"/>
          <w:i/>
          <w:iCs/>
          <w:color w:val="000000" w:themeColor="text1"/>
          <w:sz w:val="22"/>
          <w:szCs w:val="22"/>
          <w:lang w:val="es-MX" w:eastAsia="he-IL" w:bidi="he-IL"/>
        </w:rPr>
      </w:pPr>
    </w:p>
    <w:p w14:paraId="6ED62440" w14:textId="77777777" w:rsidR="007B7514" w:rsidRDefault="007B7514" w:rsidP="007B7514">
      <w:r w:rsidRPr="00BA6536">
        <w:rPr>
          <w:rFonts w:eastAsia="Arial" w:cs="Arial"/>
          <w:b/>
          <w:color w:val="000000" w:themeColor="text1"/>
          <w:sz w:val="22"/>
          <w:szCs w:val="22"/>
          <w:lang w:val="es-MX" w:eastAsia="he-IL" w:bidi="he-IL"/>
        </w:rPr>
        <w:t>GESTIÓN, CAPTURA Y/O ADQUISICIÓN DE IMÁGENES DEL TERRITORIO COLOMBIANO</w:t>
      </w:r>
      <w:r w:rsidRPr="0056267A">
        <w:rPr>
          <w:rFonts w:eastAsia="Arial" w:cs="Arial"/>
          <w:i/>
          <w:iCs/>
          <w:color w:val="000000" w:themeColor="text1"/>
          <w:sz w:val="22"/>
          <w:szCs w:val="22"/>
          <w:lang w:val="es-MX" w:eastAsia="he-IL" w:bidi="he-IL"/>
        </w:rPr>
        <w:t>.</w:t>
      </w:r>
    </w:p>
    <w:p w14:paraId="2839AE3A" w14:textId="77777777" w:rsidR="007B7514" w:rsidRDefault="007B7514" w:rsidP="007B7514">
      <w:r w:rsidRPr="31FF9146">
        <w:rPr>
          <w:rFonts w:eastAsia="Arial" w:cs="Arial"/>
          <w:i/>
          <w:iCs/>
          <w:color w:val="2F5496"/>
          <w:sz w:val="22"/>
          <w:szCs w:val="22"/>
          <w:lang w:val="es-MX"/>
        </w:rPr>
        <w:t xml:space="preserve"> </w:t>
      </w:r>
    </w:p>
    <w:p w14:paraId="47DDAE07" w14:textId="77777777" w:rsidR="007B7514" w:rsidRDefault="007B7514" w:rsidP="007B7514">
      <w:pPr>
        <w:jc w:val="both"/>
      </w:pPr>
      <w:r w:rsidRPr="31FF9146">
        <w:rPr>
          <w:rFonts w:eastAsia="Arial" w:cs="Arial"/>
          <w:color w:val="000000" w:themeColor="text1"/>
          <w:sz w:val="22"/>
          <w:szCs w:val="22"/>
          <w:lang w:val="es-MX"/>
        </w:rPr>
        <w:t>Uno de los objetivos misionales del IGAC es producir la información cartográfica del país, así como velar por su actualización, cubrimiento y cumplimiento de estándares para su uso y aprovechamiento. En este sentido, previa obtención de los permisos correspondientes ante la Aeronáutica Civil, se realizó la captura de imágenes con las aeronaves del IGAC de acuerdo con la priorización de municipios establecida, así como se llevó a cabo la gestión con diferentes entidades del orden nacional, regional y local, para acceder, evaluar y usar las imágenes existentes y útiles para los procesos de producción cartográfica.</w:t>
      </w:r>
    </w:p>
    <w:p w14:paraId="1E6A1CE9" w14:textId="77777777" w:rsidR="007B7514" w:rsidRDefault="007B7514" w:rsidP="007B7514">
      <w:pPr>
        <w:jc w:val="both"/>
      </w:pPr>
      <w:r w:rsidRPr="31FF9146">
        <w:rPr>
          <w:rFonts w:eastAsia="Arial" w:cs="Arial"/>
          <w:color w:val="000000" w:themeColor="text1"/>
          <w:sz w:val="22"/>
          <w:szCs w:val="22"/>
          <w:lang w:val="es-MX"/>
        </w:rPr>
        <w:t xml:space="preserve"> </w:t>
      </w:r>
    </w:p>
    <w:p w14:paraId="7AB96E41" w14:textId="20501A96" w:rsidR="00BA6536" w:rsidRDefault="007B7514" w:rsidP="00085FDD">
      <w:pPr>
        <w:jc w:val="both"/>
        <w:rPr>
          <w:rFonts w:eastAsia="Arial" w:cs="Arial"/>
          <w:color w:val="000000" w:themeColor="text1"/>
          <w:sz w:val="22"/>
          <w:szCs w:val="22"/>
          <w:lang w:val="es-MX"/>
        </w:rPr>
      </w:pPr>
      <w:r w:rsidRPr="31FF9146">
        <w:rPr>
          <w:rFonts w:eastAsia="Arial" w:cs="Arial"/>
          <w:color w:val="000000" w:themeColor="text1"/>
          <w:sz w:val="22"/>
          <w:szCs w:val="22"/>
          <w:lang w:val="es-MX"/>
        </w:rPr>
        <w:lastRenderedPageBreak/>
        <w:t>Con respecto a la captura de imágenes con la aeronave tripulada del IGAC, se logró la toma de aerofotografías de 2.315.866 hectáreas (ha), con un cubrimiento total o parcial de 24 municipios y 3 proyectos, alcanzando niveles de detalle entre 20 a 30 cm del territorio colombiano</w:t>
      </w:r>
      <w:r w:rsidR="00085FDD">
        <w:rPr>
          <w:rFonts w:eastAsia="Arial" w:cs="Arial"/>
          <w:color w:val="000000" w:themeColor="text1"/>
          <w:sz w:val="22"/>
          <w:szCs w:val="22"/>
          <w:lang w:val="es-MX"/>
        </w:rPr>
        <w:t>.</w:t>
      </w:r>
    </w:p>
    <w:p w14:paraId="3C18B6E6" w14:textId="77777777" w:rsidR="00085FDD" w:rsidRPr="00085FDD" w:rsidRDefault="00085FDD" w:rsidP="00085FDD">
      <w:pPr>
        <w:jc w:val="both"/>
        <w:rPr>
          <w:rFonts w:eastAsia="Arial" w:cs="Arial"/>
          <w:color w:val="000000" w:themeColor="text1"/>
          <w:sz w:val="22"/>
          <w:szCs w:val="22"/>
          <w:lang w:val="es-MX"/>
        </w:rPr>
      </w:pPr>
    </w:p>
    <w:p w14:paraId="0F693C23" w14:textId="29246362" w:rsidR="007B7514" w:rsidRPr="00085FDD" w:rsidRDefault="00D73828" w:rsidP="00581D98">
      <w:pPr>
        <w:pStyle w:val="Descripcin"/>
        <w:jc w:val="center"/>
        <w:rPr>
          <w:rFonts w:ascii="Arial" w:eastAsia="Arial" w:hAnsi="Arial" w:cs="Arial"/>
          <w:b/>
          <w:i w:val="0"/>
          <w:color w:val="000000" w:themeColor="text1"/>
          <w:sz w:val="14"/>
          <w:szCs w:val="16"/>
          <w:lang w:val="es"/>
        </w:rPr>
      </w:pPr>
      <w:bookmarkStart w:id="92" w:name="_Toc88677176"/>
      <w:r w:rsidRPr="00085FDD">
        <w:rPr>
          <w:rFonts w:ascii="Arial" w:hAnsi="Arial" w:cs="Arial"/>
          <w:b/>
          <w:i w:val="0"/>
          <w:color w:val="000000" w:themeColor="text1"/>
          <w:sz w:val="16"/>
        </w:rPr>
        <w:t>Ilustración</w:t>
      </w:r>
      <w:r w:rsidR="007B7514" w:rsidRPr="00085FDD">
        <w:rPr>
          <w:rFonts w:ascii="Arial" w:hAnsi="Arial" w:cs="Arial"/>
          <w:b/>
          <w:i w:val="0"/>
          <w:color w:val="000000" w:themeColor="text1"/>
          <w:sz w:val="16"/>
        </w:rPr>
        <w:t xml:space="preserve"> </w:t>
      </w:r>
      <w:r w:rsidR="00581D98" w:rsidRPr="00085FDD">
        <w:rPr>
          <w:rFonts w:ascii="Arial" w:hAnsi="Arial" w:cs="Arial"/>
          <w:b/>
          <w:bCs/>
          <w:i w:val="0"/>
          <w:iCs w:val="0"/>
          <w:color w:val="000000" w:themeColor="text1"/>
          <w:sz w:val="16"/>
        </w:rPr>
        <w:fldChar w:fldCharType="begin"/>
      </w:r>
      <w:r w:rsidR="00581D98" w:rsidRPr="00085FDD">
        <w:rPr>
          <w:rFonts w:ascii="Arial" w:hAnsi="Arial" w:cs="Arial"/>
          <w:b/>
          <w:bCs/>
          <w:i w:val="0"/>
          <w:iCs w:val="0"/>
          <w:color w:val="000000" w:themeColor="text1"/>
          <w:sz w:val="16"/>
        </w:rPr>
        <w:instrText xml:space="preserve"> SEQ Ilustración \* ARABIC </w:instrText>
      </w:r>
      <w:r w:rsidR="00581D98" w:rsidRPr="00085FDD">
        <w:rPr>
          <w:rFonts w:ascii="Arial" w:hAnsi="Arial" w:cs="Arial"/>
          <w:b/>
          <w:bCs/>
          <w:i w:val="0"/>
          <w:iCs w:val="0"/>
          <w:color w:val="000000" w:themeColor="text1"/>
          <w:sz w:val="16"/>
        </w:rPr>
        <w:fldChar w:fldCharType="separate"/>
      </w:r>
      <w:r w:rsidR="005D5B0E">
        <w:rPr>
          <w:rFonts w:ascii="Arial" w:hAnsi="Arial" w:cs="Arial"/>
          <w:b/>
          <w:bCs/>
          <w:i w:val="0"/>
          <w:iCs w:val="0"/>
          <w:noProof/>
          <w:color w:val="000000" w:themeColor="text1"/>
          <w:sz w:val="16"/>
        </w:rPr>
        <w:t>20</w:t>
      </w:r>
      <w:r w:rsidR="00581D98" w:rsidRPr="00085FDD">
        <w:rPr>
          <w:rFonts w:ascii="Arial" w:hAnsi="Arial" w:cs="Arial"/>
          <w:b/>
          <w:bCs/>
          <w:i w:val="0"/>
          <w:iCs w:val="0"/>
          <w:color w:val="000000" w:themeColor="text1"/>
          <w:sz w:val="16"/>
        </w:rPr>
        <w:fldChar w:fldCharType="end"/>
      </w:r>
      <w:r w:rsidR="00581D98" w:rsidRPr="00085FDD">
        <w:rPr>
          <w:rFonts w:ascii="Arial" w:hAnsi="Arial" w:cs="Arial"/>
          <w:b/>
          <w:bCs/>
          <w:i w:val="0"/>
          <w:iCs w:val="0"/>
          <w:color w:val="000000" w:themeColor="text1"/>
          <w:sz w:val="16"/>
        </w:rPr>
        <w:t>.</w:t>
      </w:r>
      <w:r w:rsidR="007B7514" w:rsidRPr="00085FDD">
        <w:rPr>
          <w:rFonts w:ascii="Arial" w:hAnsi="Arial" w:cs="Arial"/>
          <w:b/>
          <w:i w:val="0"/>
          <w:color w:val="000000" w:themeColor="text1"/>
          <w:sz w:val="16"/>
        </w:rPr>
        <w:t xml:space="preserve"> Captura de imágenes con aeronave tripulada durante el 2020</w:t>
      </w:r>
      <w:bookmarkEnd w:id="92"/>
    </w:p>
    <w:tbl>
      <w:tblPr>
        <w:tblStyle w:val="Tablaconcuadrcula"/>
        <w:tblW w:w="0" w:type="auto"/>
        <w:jc w:val="center"/>
        <w:tblLayout w:type="fixed"/>
        <w:tblLook w:val="06A0" w:firstRow="1" w:lastRow="0" w:firstColumn="1" w:lastColumn="0" w:noHBand="1" w:noVBand="1"/>
      </w:tblPr>
      <w:tblGrid>
        <w:gridCol w:w="3825"/>
        <w:gridCol w:w="1890"/>
        <w:gridCol w:w="1455"/>
      </w:tblGrid>
      <w:tr w:rsidR="007B7514" w14:paraId="07A3B060" w14:textId="77777777" w:rsidTr="00A6302C">
        <w:trPr>
          <w:jc w:val="center"/>
        </w:trPr>
        <w:tc>
          <w:tcPr>
            <w:tcW w:w="3825" w:type="dxa"/>
            <w:vMerge w:val="restart"/>
            <w:tc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14:paraId="27E1A173" w14:textId="77777777" w:rsidR="007B7514" w:rsidRDefault="007B7514" w:rsidP="00A6302C">
            <w:pPr>
              <w:jc w:val="center"/>
            </w:pPr>
            <w:r>
              <w:rPr>
                <w:noProof/>
                <w:lang w:val="es-CO" w:eastAsia="es-CO"/>
              </w:rPr>
              <w:drawing>
                <wp:inline distT="0" distB="0" distL="0" distR="0" wp14:anchorId="53862BD5" wp14:editId="5D4C6976">
                  <wp:extent cx="1788017" cy="2590800"/>
                  <wp:effectExtent l="0" t="0" r="0" b="0"/>
                  <wp:docPr id="1497964782" name="Imagen 1497964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extLst>
                              <a:ext uri="{28A0092B-C50C-407E-A947-70E740481C1C}">
                                <a14:useLocalDpi xmlns:a14="http://schemas.microsoft.com/office/drawing/2010/main" val="0"/>
                              </a:ext>
                            </a:extLst>
                          </a:blip>
                          <a:stretch>
                            <a:fillRect/>
                          </a:stretch>
                        </pic:blipFill>
                        <pic:spPr>
                          <a:xfrm>
                            <a:off x="0" y="0"/>
                            <a:ext cx="1788017" cy="2590800"/>
                          </a:xfrm>
                          <a:prstGeom prst="rect">
                            <a:avLst/>
                          </a:prstGeom>
                        </pic:spPr>
                      </pic:pic>
                    </a:graphicData>
                  </a:graphic>
                </wp:inline>
              </w:drawing>
            </w:r>
          </w:p>
          <w:p w14:paraId="15FB8F8C" w14:textId="77777777" w:rsidR="007B7514" w:rsidRDefault="007B7514" w:rsidP="00A6302C"/>
        </w:tc>
        <w:tc>
          <w:tcPr>
            <w:tcW w:w="3345" w:type="dxa"/>
            <w:gridSpan w:val="2"/>
            <w:tc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14:paraId="6EBEAE5F" w14:textId="77777777" w:rsidR="007B7514" w:rsidRDefault="007B7514" w:rsidP="00A6302C">
            <w:pPr>
              <w:jc w:val="center"/>
            </w:pPr>
            <w:r w:rsidRPr="31FF9146">
              <w:rPr>
                <w:rFonts w:eastAsia="Arial" w:cs="Arial"/>
                <w:b/>
                <w:bCs/>
                <w:sz w:val="28"/>
                <w:szCs w:val="28"/>
                <w:lang w:val="es"/>
              </w:rPr>
              <w:t xml:space="preserve">2.315.866 </w:t>
            </w:r>
          </w:p>
          <w:p w14:paraId="24345B6A" w14:textId="7EA6099C" w:rsidR="007B7514" w:rsidRDefault="00712950" w:rsidP="00A6302C">
            <w:pPr>
              <w:jc w:val="center"/>
            </w:pPr>
            <w:r w:rsidRPr="31FF9146">
              <w:rPr>
                <w:rFonts w:eastAsia="Arial" w:cs="Arial"/>
                <w:sz w:val="16"/>
                <w:szCs w:val="16"/>
                <w:lang w:val="es"/>
              </w:rPr>
              <w:t>H</w:t>
            </w:r>
            <w:r w:rsidR="007B7514" w:rsidRPr="31FF9146">
              <w:rPr>
                <w:rFonts w:eastAsia="Arial" w:cs="Arial"/>
                <w:sz w:val="16"/>
                <w:szCs w:val="16"/>
                <w:lang w:val="es"/>
              </w:rPr>
              <w:t>ectáreas</w:t>
            </w:r>
          </w:p>
        </w:tc>
      </w:tr>
      <w:tr w:rsidR="007B7514" w14:paraId="7C18FC54" w14:textId="77777777" w:rsidTr="00A6302C">
        <w:trPr>
          <w:trHeight w:val="180"/>
          <w:jc w:val="center"/>
        </w:trPr>
        <w:tc>
          <w:tcPr>
            <w:tcW w:w="3825" w:type="dxa"/>
            <w:vMerge/>
            <w:tcBorders>
              <w:left w:val="single" w:sz="0" w:space="0" w:color="A6A6A6" w:themeColor="background1" w:themeShade="A6"/>
              <w:right w:val="single" w:sz="0" w:space="0" w:color="A6A6A6" w:themeColor="background1" w:themeShade="A6"/>
            </w:tcBorders>
            <w:vAlign w:val="center"/>
          </w:tcPr>
          <w:p w14:paraId="2DB21590" w14:textId="77777777" w:rsidR="007B7514" w:rsidRDefault="007B7514" w:rsidP="00A6302C"/>
        </w:tc>
        <w:tc>
          <w:tcPr>
            <w:tcW w:w="1890" w:type="dxa"/>
            <w:tcBorders>
              <w:top w:val="single" w:sz="8" w:space="0" w:color="A6A6A6" w:themeColor="background1" w:themeShade="A6"/>
              <w:left w:val="nil"/>
              <w:bottom w:val="single" w:sz="8" w:space="0" w:color="A6A6A6" w:themeColor="background1" w:themeShade="A6"/>
              <w:right w:val="single" w:sz="8" w:space="0" w:color="A6A6A6" w:themeColor="background1" w:themeShade="A6"/>
            </w:tcBorders>
            <w:vAlign w:val="center"/>
          </w:tcPr>
          <w:p w14:paraId="23F2021E" w14:textId="77777777" w:rsidR="007B7514" w:rsidRDefault="007B7514" w:rsidP="00A6302C">
            <w:pPr>
              <w:jc w:val="center"/>
            </w:pPr>
            <w:r w:rsidRPr="31FF9146">
              <w:rPr>
                <w:rFonts w:eastAsia="Arial" w:cs="Arial"/>
                <w:b/>
                <w:bCs/>
                <w:sz w:val="28"/>
                <w:szCs w:val="28"/>
                <w:lang w:val="es"/>
              </w:rPr>
              <w:t>24</w:t>
            </w:r>
          </w:p>
          <w:p w14:paraId="1647F358" w14:textId="77777777" w:rsidR="007B7514" w:rsidRDefault="007B7514" w:rsidP="00A6302C">
            <w:pPr>
              <w:jc w:val="center"/>
            </w:pPr>
            <w:r w:rsidRPr="31FF9146">
              <w:rPr>
                <w:rFonts w:eastAsia="Arial" w:cs="Arial"/>
                <w:sz w:val="16"/>
                <w:szCs w:val="16"/>
                <w:lang w:val="es"/>
              </w:rPr>
              <w:t>municipios</w:t>
            </w:r>
          </w:p>
        </w:tc>
        <w:tc>
          <w:tcPr>
            <w:tcW w:w="1455" w:type="dxa"/>
            <w:tcBorders>
              <w:top w:val="nil"/>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14:paraId="614F4485" w14:textId="77777777" w:rsidR="007B7514" w:rsidRDefault="007B7514" w:rsidP="00A6302C">
            <w:pPr>
              <w:jc w:val="center"/>
            </w:pPr>
            <w:r w:rsidRPr="31FF9146">
              <w:rPr>
                <w:rFonts w:eastAsia="Arial" w:cs="Arial"/>
                <w:b/>
                <w:bCs/>
                <w:sz w:val="28"/>
                <w:szCs w:val="28"/>
                <w:lang w:val="es"/>
              </w:rPr>
              <w:t>3</w:t>
            </w:r>
          </w:p>
          <w:p w14:paraId="39047C15" w14:textId="77777777" w:rsidR="007B7514" w:rsidRDefault="007B7514" w:rsidP="00A6302C">
            <w:pPr>
              <w:jc w:val="center"/>
            </w:pPr>
            <w:r w:rsidRPr="31FF9146">
              <w:rPr>
                <w:rFonts w:eastAsia="Arial" w:cs="Arial"/>
                <w:sz w:val="16"/>
                <w:szCs w:val="16"/>
                <w:lang w:val="es"/>
              </w:rPr>
              <w:t>proyectos</w:t>
            </w:r>
          </w:p>
        </w:tc>
      </w:tr>
      <w:tr w:rsidR="007B7514" w14:paraId="6B9FCF56" w14:textId="77777777" w:rsidTr="00A6302C">
        <w:trPr>
          <w:jc w:val="center"/>
        </w:trPr>
        <w:tc>
          <w:tcPr>
            <w:tcW w:w="3825" w:type="dxa"/>
            <w:vMerge/>
            <w:tcBorders>
              <w:top w:val="single" w:sz="0" w:space="0" w:color="A6A6A6" w:themeColor="background1" w:themeShade="A6"/>
              <w:left w:val="single" w:sz="0" w:space="0" w:color="A6A6A6" w:themeColor="background1" w:themeShade="A6"/>
              <w:bottom w:val="single" w:sz="0" w:space="0" w:color="A6A6A6" w:themeColor="background1" w:themeShade="A6"/>
              <w:right w:val="single" w:sz="0" w:space="0" w:color="A6A6A6" w:themeColor="background1" w:themeShade="A6"/>
            </w:tcBorders>
            <w:vAlign w:val="center"/>
          </w:tcPr>
          <w:p w14:paraId="65952663" w14:textId="77777777" w:rsidR="007B7514" w:rsidRDefault="007B7514" w:rsidP="00A6302C"/>
        </w:tc>
        <w:tc>
          <w:tcPr>
            <w:tcW w:w="1890" w:type="dxa"/>
            <w:tcBorders>
              <w:top w:val="single" w:sz="8" w:space="0" w:color="A6A6A6" w:themeColor="background1" w:themeShade="A6"/>
              <w:left w:val="nil"/>
              <w:bottom w:val="single" w:sz="8" w:space="0" w:color="A6A6A6" w:themeColor="background1" w:themeShade="A6"/>
              <w:right w:val="single" w:sz="8" w:space="0" w:color="A6A6A6" w:themeColor="background1" w:themeShade="A6"/>
            </w:tcBorders>
          </w:tcPr>
          <w:p w14:paraId="25EE982E" w14:textId="77777777" w:rsidR="007B7514" w:rsidRDefault="007B7514" w:rsidP="00A6302C">
            <w:pPr>
              <w:ind w:left="260" w:hanging="260"/>
            </w:pPr>
            <w:r w:rsidRPr="31FF9146">
              <w:rPr>
                <w:rFonts w:eastAsia="Arial" w:cs="Arial"/>
                <w:sz w:val="12"/>
                <w:szCs w:val="12"/>
              </w:rPr>
              <w:t>1.</w:t>
            </w:r>
            <w:r w:rsidRPr="31FF9146">
              <w:rPr>
                <w:rFonts w:ascii="Times New Roman" w:hAnsi="Times New Roman"/>
                <w:sz w:val="14"/>
                <w:szCs w:val="14"/>
              </w:rPr>
              <w:t xml:space="preserve">    </w:t>
            </w:r>
            <w:r w:rsidRPr="31FF9146">
              <w:rPr>
                <w:rFonts w:eastAsia="Arial" w:cs="Arial"/>
                <w:sz w:val="12"/>
                <w:szCs w:val="12"/>
              </w:rPr>
              <w:t>Planadas</w:t>
            </w:r>
          </w:p>
          <w:p w14:paraId="4D50EBFC" w14:textId="77777777" w:rsidR="007B7514" w:rsidRDefault="007B7514" w:rsidP="00A6302C">
            <w:pPr>
              <w:ind w:left="260" w:hanging="260"/>
            </w:pPr>
            <w:r w:rsidRPr="31FF9146">
              <w:rPr>
                <w:rFonts w:eastAsia="Arial" w:cs="Arial"/>
                <w:sz w:val="12"/>
                <w:szCs w:val="12"/>
              </w:rPr>
              <w:t>2.</w:t>
            </w:r>
            <w:r w:rsidRPr="31FF9146">
              <w:rPr>
                <w:rFonts w:ascii="Times New Roman" w:hAnsi="Times New Roman"/>
                <w:sz w:val="14"/>
                <w:szCs w:val="14"/>
              </w:rPr>
              <w:t xml:space="preserve">    </w:t>
            </w:r>
            <w:r w:rsidRPr="31FF9146">
              <w:rPr>
                <w:rFonts w:eastAsia="Arial" w:cs="Arial"/>
                <w:sz w:val="12"/>
                <w:szCs w:val="12"/>
              </w:rPr>
              <w:t>Villavicencio</w:t>
            </w:r>
          </w:p>
          <w:p w14:paraId="347A0321" w14:textId="77777777" w:rsidR="007B7514" w:rsidRDefault="007B7514" w:rsidP="00A6302C">
            <w:pPr>
              <w:ind w:left="260" w:hanging="260"/>
            </w:pPr>
            <w:r w:rsidRPr="31FF9146">
              <w:rPr>
                <w:rFonts w:eastAsia="Arial" w:cs="Arial"/>
                <w:sz w:val="12"/>
                <w:szCs w:val="12"/>
              </w:rPr>
              <w:t>3.</w:t>
            </w:r>
            <w:r w:rsidRPr="31FF9146">
              <w:rPr>
                <w:rFonts w:ascii="Times New Roman" w:hAnsi="Times New Roman"/>
                <w:sz w:val="14"/>
                <w:szCs w:val="14"/>
              </w:rPr>
              <w:t xml:space="preserve">    </w:t>
            </w:r>
            <w:r w:rsidRPr="31FF9146">
              <w:rPr>
                <w:rFonts w:eastAsia="Arial" w:cs="Arial"/>
                <w:sz w:val="12"/>
                <w:szCs w:val="12"/>
              </w:rPr>
              <w:t>La Macarena</w:t>
            </w:r>
          </w:p>
          <w:p w14:paraId="47D6E7FF" w14:textId="77777777" w:rsidR="007B7514" w:rsidRDefault="007B7514" w:rsidP="00A6302C">
            <w:pPr>
              <w:ind w:left="260" w:hanging="260"/>
            </w:pPr>
            <w:r w:rsidRPr="31FF9146">
              <w:rPr>
                <w:rFonts w:eastAsia="Arial" w:cs="Arial"/>
                <w:sz w:val="12"/>
                <w:szCs w:val="12"/>
              </w:rPr>
              <w:t>4.</w:t>
            </w:r>
            <w:r w:rsidRPr="31FF9146">
              <w:rPr>
                <w:rFonts w:ascii="Times New Roman" w:hAnsi="Times New Roman"/>
                <w:sz w:val="14"/>
                <w:szCs w:val="14"/>
              </w:rPr>
              <w:t xml:space="preserve">    </w:t>
            </w:r>
            <w:r w:rsidRPr="31FF9146">
              <w:rPr>
                <w:rFonts w:eastAsia="Arial" w:cs="Arial"/>
                <w:sz w:val="12"/>
                <w:szCs w:val="12"/>
              </w:rPr>
              <w:t>Apia</w:t>
            </w:r>
          </w:p>
          <w:p w14:paraId="1A8F07C4" w14:textId="77777777" w:rsidR="007B7514" w:rsidRDefault="007B7514" w:rsidP="00A6302C">
            <w:pPr>
              <w:ind w:left="260" w:hanging="260"/>
            </w:pPr>
            <w:r w:rsidRPr="31FF9146">
              <w:rPr>
                <w:rFonts w:eastAsia="Arial" w:cs="Arial"/>
                <w:sz w:val="12"/>
                <w:szCs w:val="12"/>
              </w:rPr>
              <w:t>5.</w:t>
            </w:r>
            <w:r w:rsidRPr="31FF9146">
              <w:rPr>
                <w:rFonts w:ascii="Times New Roman" w:hAnsi="Times New Roman"/>
                <w:sz w:val="14"/>
                <w:szCs w:val="14"/>
              </w:rPr>
              <w:t xml:space="preserve">    </w:t>
            </w:r>
            <w:r w:rsidRPr="31FF9146">
              <w:rPr>
                <w:rFonts w:eastAsia="Arial" w:cs="Arial"/>
                <w:sz w:val="12"/>
                <w:szCs w:val="12"/>
              </w:rPr>
              <w:t>Balboa</w:t>
            </w:r>
          </w:p>
          <w:p w14:paraId="7C29B3C8" w14:textId="77777777" w:rsidR="007B7514" w:rsidRDefault="007B7514" w:rsidP="00A6302C">
            <w:pPr>
              <w:ind w:left="260" w:hanging="260"/>
            </w:pPr>
            <w:r w:rsidRPr="31FF9146">
              <w:rPr>
                <w:rFonts w:eastAsia="Arial" w:cs="Arial"/>
                <w:sz w:val="12"/>
                <w:szCs w:val="12"/>
              </w:rPr>
              <w:t>6.</w:t>
            </w:r>
            <w:r w:rsidRPr="31FF9146">
              <w:rPr>
                <w:rFonts w:ascii="Times New Roman" w:hAnsi="Times New Roman"/>
                <w:sz w:val="14"/>
                <w:szCs w:val="14"/>
              </w:rPr>
              <w:t xml:space="preserve">    </w:t>
            </w:r>
            <w:r w:rsidRPr="31FF9146">
              <w:rPr>
                <w:rFonts w:eastAsia="Arial" w:cs="Arial"/>
                <w:sz w:val="12"/>
                <w:szCs w:val="12"/>
              </w:rPr>
              <w:t>Popayán</w:t>
            </w:r>
          </w:p>
          <w:p w14:paraId="66E2E7BB" w14:textId="77777777" w:rsidR="007B7514" w:rsidRDefault="007B7514" w:rsidP="00A6302C">
            <w:pPr>
              <w:ind w:left="260" w:hanging="260"/>
            </w:pPr>
            <w:r w:rsidRPr="31FF9146">
              <w:rPr>
                <w:rFonts w:eastAsia="Arial" w:cs="Arial"/>
                <w:sz w:val="12"/>
                <w:szCs w:val="12"/>
              </w:rPr>
              <w:t>7.</w:t>
            </w:r>
            <w:r w:rsidRPr="31FF9146">
              <w:rPr>
                <w:rFonts w:ascii="Times New Roman" w:hAnsi="Times New Roman"/>
                <w:sz w:val="14"/>
                <w:szCs w:val="14"/>
              </w:rPr>
              <w:t xml:space="preserve">    </w:t>
            </w:r>
            <w:r w:rsidRPr="31FF9146">
              <w:rPr>
                <w:rFonts w:eastAsia="Arial" w:cs="Arial"/>
                <w:sz w:val="12"/>
                <w:szCs w:val="12"/>
              </w:rPr>
              <w:t>Arauquita</w:t>
            </w:r>
          </w:p>
          <w:p w14:paraId="29E0D650" w14:textId="77777777" w:rsidR="007B7514" w:rsidRDefault="007B7514" w:rsidP="00A6302C">
            <w:pPr>
              <w:ind w:left="260" w:hanging="260"/>
            </w:pPr>
            <w:r w:rsidRPr="31FF9146">
              <w:rPr>
                <w:rFonts w:eastAsia="Arial" w:cs="Arial"/>
                <w:sz w:val="12"/>
                <w:szCs w:val="12"/>
              </w:rPr>
              <w:t>8.</w:t>
            </w:r>
            <w:r w:rsidRPr="31FF9146">
              <w:rPr>
                <w:rFonts w:ascii="Times New Roman" w:hAnsi="Times New Roman"/>
                <w:sz w:val="14"/>
                <w:szCs w:val="14"/>
              </w:rPr>
              <w:t xml:space="preserve">    </w:t>
            </w:r>
            <w:r w:rsidRPr="31FF9146">
              <w:rPr>
                <w:rFonts w:eastAsia="Arial" w:cs="Arial"/>
                <w:sz w:val="12"/>
                <w:szCs w:val="12"/>
              </w:rPr>
              <w:t>Chaparral</w:t>
            </w:r>
          </w:p>
          <w:p w14:paraId="318A8BB0" w14:textId="77777777" w:rsidR="007B7514" w:rsidRDefault="007B7514" w:rsidP="00A6302C">
            <w:pPr>
              <w:ind w:left="260" w:hanging="260"/>
            </w:pPr>
            <w:r w:rsidRPr="31FF9146">
              <w:rPr>
                <w:rFonts w:eastAsia="Arial" w:cs="Arial"/>
                <w:sz w:val="12"/>
                <w:szCs w:val="12"/>
              </w:rPr>
              <w:t>9.</w:t>
            </w:r>
            <w:r w:rsidRPr="31FF9146">
              <w:rPr>
                <w:rFonts w:ascii="Times New Roman" w:hAnsi="Times New Roman"/>
                <w:sz w:val="14"/>
                <w:szCs w:val="14"/>
              </w:rPr>
              <w:t xml:space="preserve">    </w:t>
            </w:r>
            <w:r w:rsidRPr="31FF9146">
              <w:rPr>
                <w:rFonts w:eastAsia="Arial" w:cs="Arial"/>
                <w:sz w:val="12"/>
                <w:szCs w:val="12"/>
              </w:rPr>
              <w:t>Piendamó</w:t>
            </w:r>
          </w:p>
          <w:p w14:paraId="2B1DA380" w14:textId="77777777" w:rsidR="007B7514" w:rsidRDefault="007B7514" w:rsidP="00A6302C">
            <w:pPr>
              <w:ind w:left="260" w:hanging="260"/>
            </w:pPr>
            <w:r w:rsidRPr="31FF9146">
              <w:rPr>
                <w:rFonts w:eastAsia="Arial" w:cs="Arial"/>
                <w:sz w:val="12"/>
                <w:szCs w:val="12"/>
              </w:rPr>
              <w:t>10.</w:t>
            </w:r>
            <w:r w:rsidRPr="31FF9146">
              <w:rPr>
                <w:rFonts w:ascii="Times New Roman" w:hAnsi="Times New Roman"/>
                <w:sz w:val="14"/>
                <w:szCs w:val="14"/>
              </w:rPr>
              <w:t xml:space="preserve">   </w:t>
            </w:r>
            <w:r w:rsidRPr="31FF9146">
              <w:rPr>
                <w:rFonts w:eastAsia="Arial" w:cs="Arial"/>
                <w:sz w:val="12"/>
                <w:szCs w:val="12"/>
              </w:rPr>
              <w:t>Fuente de oro</w:t>
            </w:r>
          </w:p>
          <w:p w14:paraId="2B1620B2" w14:textId="77777777" w:rsidR="007B7514" w:rsidRDefault="007B7514" w:rsidP="00A6302C">
            <w:pPr>
              <w:ind w:left="260" w:hanging="260"/>
            </w:pPr>
            <w:r w:rsidRPr="31FF9146">
              <w:rPr>
                <w:rFonts w:eastAsia="Arial" w:cs="Arial"/>
                <w:sz w:val="12"/>
                <w:szCs w:val="12"/>
              </w:rPr>
              <w:t>11.</w:t>
            </w:r>
            <w:r w:rsidRPr="31FF9146">
              <w:rPr>
                <w:rFonts w:ascii="Times New Roman" w:hAnsi="Times New Roman"/>
                <w:sz w:val="14"/>
                <w:szCs w:val="14"/>
              </w:rPr>
              <w:t xml:space="preserve">   </w:t>
            </w:r>
            <w:r w:rsidRPr="31FF9146">
              <w:rPr>
                <w:rFonts w:eastAsia="Arial" w:cs="Arial"/>
                <w:sz w:val="12"/>
                <w:szCs w:val="12"/>
              </w:rPr>
              <w:t>La plata</w:t>
            </w:r>
          </w:p>
          <w:p w14:paraId="0AF1132D" w14:textId="77777777" w:rsidR="007B7514" w:rsidRDefault="007B7514" w:rsidP="00A6302C">
            <w:pPr>
              <w:ind w:left="260" w:hanging="260"/>
            </w:pPr>
            <w:r w:rsidRPr="31FF9146">
              <w:rPr>
                <w:rFonts w:eastAsia="Arial" w:cs="Arial"/>
                <w:sz w:val="12"/>
                <w:szCs w:val="12"/>
              </w:rPr>
              <w:t>12.</w:t>
            </w:r>
            <w:r w:rsidRPr="31FF9146">
              <w:rPr>
                <w:rFonts w:ascii="Times New Roman" w:hAnsi="Times New Roman"/>
                <w:sz w:val="14"/>
                <w:szCs w:val="14"/>
              </w:rPr>
              <w:t xml:space="preserve">   </w:t>
            </w:r>
            <w:r w:rsidRPr="31FF9146">
              <w:rPr>
                <w:rFonts w:eastAsia="Arial" w:cs="Arial"/>
                <w:sz w:val="12"/>
                <w:szCs w:val="12"/>
              </w:rPr>
              <w:t>Guática</w:t>
            </w:r>
          </w:p>
          <w:p w14:paraId="5D7955E6" w14:textId="77777777" w:rsidR="007B7514" w:rsidRDefault="007B7514" w:rsidP="00A6302C">
            <w:pPr>
              <w:ind w:left="260" w:hanging="260"/>
            </w:pPr>
            <w:r w:rsidRPr="31FF9146">
              <w:rPr>
                <w:rFonts w:eastAsia="Arial" w:cs="Arial"/>
                <w:sz w:val="12"/>
                <w:szCs w:val="12"/>
              </w:rPr>
              <w:t>13.</w:t>
            </w:r>
            <w:r w:rsidRPr="31FF9146">
              <w:rPr>
                <w:rFonts w:ascii="Times New Roman" w:hAnsi="Times New Roman"/>
                <w:sz w:val="14"/>
                <w:szCs w:val="14"/>
              </w:rPr>
              <w:t xml:space="preserve">   </w:t>
            </w:r>
            <w:r w:rsidRPr="31FF9146">
              <w:rPr>
                <w:rFonts w:eastAsia="Arial" w:cs="Arial"/>
                <w:sz w:val="12"/>
                <w:szCs w:val="12"/>
              </w:rPr>
              <w:t>Morales</w:t>
            </w:r>
          </w:p>
          <w:p w14:paraId="12E14D5F" w14:textId="77777777" w:rsidR="007B7514" w:rsidRDefault="007B7514" w:rsidP="00A6302C">
            <w:pPr>
              <w:ind w:left="260" w:hanging="260"/>
            </w:pPr>
            <w:r w:rsidRPr="31FF9146">
              <w:rPr>
                <w:rFonts w:eastAsia="Arial" w:cs="Arial"/>
                <w:sz w:val="12"/>
                <w:szCs w:val="12"/>
              </w:rPr>
              <w:t>14.</w:t>
            </w:r>
            <w:r w:rsidRPr="31FF9146">
              <w:rPr>
                <w:rFonts w:ascii="Times New Roman" w:hAnsi="Times New Roman"/>
                <w:sz w:val="14"/>
                <w:szCs w:val="14"/>
              </w:rPr>
              <w:t xml:space="preserve">   </w:t>
            </w:r>
            <w:r w:rsidRPr="31FF9146">
              <w:rPr>
                <w:rFonts w:eastAsia="Arial" w:cs="Arial"/>
                <w:sz w:val="12"/>
                <w:szCs w:val="12"/>
              </w:rPr>
              <w:t>Pueblo Rico</w:t>
            </w:r>
          </w:p>
          <w:p w14:paraId="6861EFCE" w14:textId="77777777" w:rsidR="007B7514" w:rsidRDefault="007B7514" w:rsidP="00A6302C">
            <w:pPr>
              <w:ind w:left="260" w:hanging="260"/>
            </w:pPr>
            <w:r w:rsidRPr="31FF9146">
              <w:rPr>
                <w:rFonts w:eastAsia="Arial" w:cs="Arial"/>
                <w:sz w:val="12"/>
                <w:szCs w:val="12"/>
              </w:rPr>
              <w:t>15.</w:t>
            </w:r>
            <w:r w:rsidRPr="31FF9146">
              <w:rPr>
                <w:rFonts w:ascii="Times New Roman" w:hAnsi="Times New Roman"/>
                <w:sz w:val="14"/>
                <w:szCs w:val="14"/>
              </w:rPr>
              <w:t xml:space="preserve">   </w:t>
            </w:r>
            <w:r w:rsidRPr="31FF9146">
              <w:rPr>
                <w:rFonts w:eastAsia="Arial" w:cs="Arial"/>
                <w:sz w:val="12"/>
                <w:szCs w:val="12"/>
              </w:rPr>
              <w:t>Belén de Umbría</w:t>
            </w:r>
          </w:p>
          <w:p w14:paraId="103997D1" w14:textId="77777777" w:rsidR="007B7514" w:rsidRDefault="007B7514" w:rsidP="00A6302C">
            <w:pPr>
              <w:ind w:left="260" w:hanging="260"/>
            </w:pPr>
            <w:r w:rsidRPr="31FF9146">
              <w:rPr>
                <w:rFonts w:eastAsia="Arial" w:cs="Arial"/>
                <w:sz w:val="12"/>
                <w:szCs w:val="12"/>
              </w:rPr>
              <w:t>16.</w:t>
            </w:r>
            <w:r w:rsidRPr="31FF9146">
              <w:rPr>
                <w:rFonts w:ascii="Times New Roman" w:hAnsi="Times New Roman"/>
                <w:sz w:val="14"/>
                <w:szCs w:val="14"/>
              </w:rPr>
              <w:t xml:space="preserve">   </w:t>
            </w:r>
            <w:r w:rsidRPr="31FF9146">
              <w:rPr>
                <w:rFonts w:eastAsia="Arial" w:cs="Arial"/>
                <w:sz w:val="12"/>
                <w:szCs w:val="12"/>
              </w:rPr>
              <w:t>Ataco</w:t>
            </w:r>
          </w:p>
          <w:p w14:paraId="0C81E892" w14:textId="77777777" w:rsidR="007B7514" w:rsidRDefault="007B7514" w:rsidP="00A6302C">
            <w:pPr>
              <w:ind w:left="260" w:hanging="260"/>
            </w:pPr>
            <w:r w:rsidRPr="31FF9146">
              <w:rPr>
                <w:rFonts w:eastAsia="Arial" w:cs="Arial"/>
                <w:sz w:val="12"/>
                <w:szCs w:val="12"/>
              </w:rPr>
              <w:t>17.</w:t>
            </w:r>
            <w:r w:rsidRPr="31FF9146">
              <w:rPr>
                <w:rFonts w:ascii="Times New Roman" w:hAnsi="Times New Roman"/>
                <w:sz w:val="14"/>
                <w:szCs w:val="14"/>
              </w:rPr>
              <w:t xml:space="preserve">   </w:t>
            </w:r>
            <w:r w:rsidRPr="31FF9146">
              <w:rPr>
                <w:rFonts w:eastAsia="Arial" w:cs="Arial"/>
                <w:sz w:val="12"/>
                <w:szCs w:val="12"/>
              </w:rPr>
              <w:t>La Celia</w:t>
            </w:r>
          </w:p>
          <w:p w14:paraId="6EC3F2FE" w14:textId="77777777" w:rsidR="007B7514" w:rsidRDefault="007B7514" w:rsidP="00A6302C">
            <w:pPr>
              <w:ind w:left="260" w:hanging="260"/>
            </w:pPr>
            <w:r w:rsidRPr="31FF9146">
              <w:rPr>
                <w:rFonts w:eastAsia="Arial" w:cs="Arial"/>
                <w:sz w:val="12"/>
                <w:szCs w:val="12"/>
              </w:rPr>
              <w:t>18.</w:t>
            </w:r>
            <w:r w:rsidRPr="31FF9146">
              <w:rPr>
                <w:rFonts w:ascii="Times New Roman" w:hAnsi="Times New Roman"/>
                <w:sz w:val="14"/>
                <w:szCs w:val="14"/>
              </w:rPr>
              <w:t xml:space="preserve">   </w:t>
            </w:r>
            <w:r w:rsidRPr="31FF9146">
              <w:rPr>
                <w:rFonts w:eastAsia="Arial" w:cs="Arial"/>
                <w:sz w:val="12"/>
                <w:szCs w:val="12"/>
              </w:rPr>
              <w:t>Puerto Lleras</w:t>
            </w:r>
          </w:p>
          <w:p w14:paraId="6E4DDED3" w14:textId="77777777" w:rsidR="007B7514" w:rsidRDefault="007B7514" w:rsidP="00A6302C">
            <w:pPr>
              <w:ind w:left="260" w:hanging="260"/>
            </w:pPr>
            <w:r w:rsidRPr="31FF9146">
              <w:rPr>
                <w:rFonts w:eastAsia="Arial" w:cs="Arial"/>
                <w:sz w:val="12"/>
                <w:szCs w:val="12"/>
              </w:rPr>
              <w:t>19.</w:t>
            </w:r>
            <w:r w:rsidRPr="31FF9146">
              <w:rPr>
                <w:rFonts w:ascii="Times New Roman" w:hAnsi="Times New Roman"/>
                <w:sz w:val="14"/>
                <w:szCs w:val="14"/>
              </w:rPr>
              <w:t xml:space="preserve">   </w:t>
            </w:r>
            <w:r w:rsidRPr="31FF9146">
              <w:rPr>
                <w:rFonts w:eastAsia="Arial" w:cs="Arial"/>
                <w:sz w:val="12"/>
                <w:szCs w:val="12"/>
              </w:rPr>
              <w:t>Ricaurte</w:t>
            </w:r>
          </w:p>
          <w:p w14:paraId="3C6A3BDD" w14:textId="77777777" w:rsidR="007B7514" w:rsidRDefault="007B7514" w:rsidP="00A6302C">
            <w:pPr>
              <w:ind w:left="260" w:hanging="260"/>
            </w:pPr>
            <w:r w:rsidRPr="31FF9146">
              <w:rPr>
                <w:rFonts w:eastAsia="Arial" w:cs="Arial"/>
                <w:sz w:val="12"/>
                <w:szCs w:val="12"/>
              </w:rPr>
              <w:t>20.</w:t>
            </w:r>
            <w:r w:rsidRPr="31FF9146">
              <w:rPr>
                <w:rFonts w:ascii="Times New Roman" w:hAnsi="Times New Roman"/>
                <w:sz w:val="14"/>
                <w:szCs w:val="14"/>
              </w:rPr>
              <w:t xml:space="preserve">   </w:t>
            </w:r>
            <w:r w:rsidRPr="31FF9146">
              <w:rPr>
                <w:rFonts w:eastAsia="Arial" w:cs="Arial"/>
                <w:sz w:val="12"/>
                <w:szCs w:val="12"/>
              </w:rPr>
              <w:t>Rioblanco</w:t>
            </w:r>
          </w:p>
          <w:p w14:paraId="528766D3" w14:textId="77777777" w:rsidR="007B7514" w:rsidRDefault="007B7514" w:rsidP="00A6302C">
            <w:pPr>
              <w:ind w:left="260" w:hanging="260"/>
            </w:pPr>
            <w:r w:rsidRPr="31FF9146">
              <w:rPr>
                <w:rFonts w:eastAsia="Arial" w:cs="Arial"/>
                <w:sz w:val="12"/>
                <w:szCs w:val="12"/>
              </w:rPr>
              <w:t>21.</w:t>
            </w:r>
            <w:r w:rsidRPr="31FF9146">
              <w:rPr>
                <w:rFonts w:ascii="Times New Roman" w:hAnsi="Times New Roman"/>
                <w:sz w:val="14"/>
                <w:szCs w:val="14"/>
              </w:rPr>
              <w:t xml:space="preserve">   </w:t>
            </w:r>
            <w:r w:rsidRPr="31FF9146">
              <w:rPr>
                <w:rFonts w:eastAsia="Arial" w:cs="Arial"/>
                <w:sz w:val="12"/>
                <w:szCs w:val="12"/>
              </w:rPr>
              <w:t>San Antonio</w:t>
            </w:r>
          </w:p>
          <w:p w14:paraId="2F8088D1" w14:textId="77777777" w:rsidR="007B7514" w:rsidRDefault="007B7514" w:rsidP="00A6302C">
            <w:pPr>
              <w:ind w:left="260" w:hanging="260"/>
            </w:pPr>
            <w:r w:rsidRPr="31FF9146">
              <w:rPr>
                <w:rFonts w:eastAsia="Arial" w:cs="Arial"/>
                <w:sz w:val="12"/>
                <w:szCs w:val="12"/>
              </w:rPr>
              <w:t>22.</w:t>
            </w:r>
            <w:r w:rsidRPr="31FF9146">
              <w:rPr>
                <w:rFonts w:ascii="Times New Roman" w:hAnsi="Times New Roman"/>
                <w:sz w:val="14"/>
                <w:szCs w:val="14"/>
              </w:rPr>
              <w:t xml:space="preserve">   </w:t>
            </w:r>
            <w:r w:rsidRPr="31FF9146">
              <w:rPr>
                <w:rFonts w:eastAsia="Arial" w:cs="Arial"/>
                <w:sz w:val="12"/>
                <w:szCs w:val="12"/>
              </w:rPr>
              <w:t>Santa Rosalía</w:t>
            </w:r>
          </w:p>
          <w:p w14:paraId="710D7D6F" w14:textId="77777777" w:rsidR="007B7514" w:rsidRDefault="007B7514" w:rsidP="00A6302C">
            <w:pPr>
              <w:ind w:left="260" w:hanging="260"/>
            </w:pPr>
            <w:r w:rsidRPr="31FF9146">
              <w:rPr>
                <w:rFonts w:eastAsia="Arial" w:cs="Arial"/>
                <w:sz w:val="12"/>
                <w:szCs w:val="12"/>
              </w:rPr>
              <w:t>23.</w:t>
            </w:r>
            <w:r w:rsidRPr="31FF9146">
              <w:rPr>
                <w:rFonts w:ascii="Times New Roman" w:hAnsi="Times New Roman"/>
                <w:sz w:val="14"/>
                <w:szCs w:val="14"/>
              </w:rPr>
              <w:t xml:space="preserve">   </w:t>
            </w:r>
            <w:r w:rsidRPr="31FF9146">
              <w:rPr>
                <w:rFonts w:eastAsia="Arial" w:cs="Arial"/>
                <w:sz w:val="12"/>
                <w:szCs w:val="12"/>
              </w:rPr>
              <w:t>Santander de Quilichao</w:t>
            </w:r>
          </w:p>
          <w:p w14:paraId="2D91FE6A" w14:textId="77777777" w:rsidR="007B7514" w:rsidRDefault="007B7514" w:rsidP="00A6302C">
            <w:pPr>
              <w:ind w:left="260" w:hanging="260"/>
            </w:pPr>
            <w:r w:rsidRPr="31FF9146">
              <w:rPr>
                <w:rFonts w:eastAsia="Arial" w:cs="Arial"/>
                <w:sz w:val="12"/>
                <w:szCs w:val="12"/>
              </w:rPr>
              <w:t>24.</w:t>
            </w:r>
            <w:r w:rsidRPr="31FF9146">
              <w:rPr>
                <w:rFonts w:ascii="Times New Roman" w:hAnsi="Times New Roman"/>
                <w:sz w:val="14"/>
                <w:szCs w:val="14"/>
              </w:rPr>
              <w:t xml:space="preserve">   </w:t>
            </w:r>
            <w:r w:rsidRPr="31FF9146">
              <w:rPr>
                <w:rFonts w:eastAsia="Arial" w:cs="Arial"/>
                <w:sz w:val="12"/>
                <w:szCs w:val="12"/>
              </w:rPr>
              <w:t>Santuario</w:t>
            </w:r>
          </w:p>
        </w:tc>
        <w:tc>
          <w:tcPr>
            <w:tcW w:w="1455" w:type="dxa"/>
            <w:tc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tcBorders>
          </w:tcPr>
          <w:p w14:paraId="54DA0259" w14:textId="77777777" w:rsidR="007B7514" w:rsidRDefault="007B7514" w:rsidP="00A6302C">
            <w:pPr>
              <w:ind w:left="196" w:hanging="196"/>
            </w:pPr>
            <w:r w:rsidRPr="31FF9146">
              <w:rPr>
                <w:rFonts w:eastAsia="Arial" w:cs="Arial"/>
                <w:sz w:val="12"/>
                <w:szCs w:val="12"/>
              </w:rPr>
              <w:t>1.</w:t>
            </w:r>
            <w:r w:rsidRPr="31FF9146">
              <w:rPr>
                <w:rFonts w:ascii="Times New Roman" w:hAnsi="Times New Roman"/>
                <w:sz w:val="14"/>
                <w:szCs w:val="14"/>
              </w:rPr>
              <w:t xml:space="preserve">   </w:t>
            </w:r>
            <w:r w:rsidRPr="31FF9146">
              <w:rPr>
                <w:rFonts w:eastAsia="Arial" w:cs="Arial"/>
                <w:sz w:val="12"/>
                <w:szCs w:val="12"/>
              </w:rPr>
              <w:t>Páramos</w:t>
            </w:r>
          </w:p>
          <w:p w14:paraId="4A98E201" w14:textId="77777777" w:rsidR="007B7514" w:rsidRDefault="007B7514" w:rsidP="00A6302C">
            <w:pPr>
              <w:ind w:left="196" w:hanging="196"/>
            </w:pPr>
            <w:r w:rsidRPr="31FF9146">
              <w:rPr>
                <w:rFonts w:eastAsia="Arial" w:cs="Arial"/>
                <w:sz w:val="12"/>
                <w:szCs w:val="12"/>
              </w:rPr>
              <w:t>2.</w:t>
            </w:r>
            <w:r w:rsidRPr="31FF9146">
              <w:rPr>
                <w:rFonts w:ascii="Times New Roman" w:hAnsi="Times New Roman"/>
                <w:sz w:val="14"/>
                <w:szCs w:val="14"/>
              </w:rPr>
              <w:t xml:space="preserve">   </w:t>
            </w:r>
            <w:r w:rsidRPr="31FF9146">
              <w:rPr>
                <w:rFonts w:eastAsia="Arial" w:cs="Arial"/>
                <w:sz w:val="12"/>
                <w:szCs w:val="12"/>
              </w:rPr>
              <w:t>Microcuenca Yaguilga</w:t>
            </w:r>
          </w:p>
          <w:p w14:paraId="662319C0" w14:textId="77777777" w:rsidR="007B7514" w:rsidRDefault="007B7514" w:rsidP="00A6302C">
            <w:pPr>
              <w:ind w:left="196" w:hanging="196"/>
            </w:pPr>
            <w:r w:rsidRPr="31FF9146">
              <w:rPr>
                <w:rFonts w:eastAsia="Arial" w:cs="Arial"/>
                <w:sz w:val="12"/>
                <w:szCs w:val="12"/>
              </w:rPr>
              <w:t>3.</w:t>
            </w:r>
            <w:r w:rsidRPr="31FF9146">
              <w:rPr>
                <w:rFonts w:ascii="Times New Roman" w:hAnsi="Times New Roman"/>
                <w:sz w:val="14"/>
                <w:szCs w:val="14"/>
              </w:rPr>
              <w:t xml:space="preserve">   </w:t>
            </w:r>
            <w:r w:rsidRPr="31FF9146">
              <w:rPr>
                <w:rFonts w:eastAsia="Arial" w:cs="Arial"/>
                <w:sz w:val="12"/>
                <w:szCs w:val="12"/>
              </w:rPr>
              <w:t>El tablazo</w:t>
            </w:r>
          </w:p>
        </w:tc>
      </w:tr>
    </w:tbl>
    <w:p w14:paraId="6CE2085B" w14:textId="77777777" w:rsidR="007B7514" w:rsidRPr="0056267A" w:rsidRDefault="007B7514" w:rsidP="007B7514">
      <w:pPr>
        <w:jc w:val="center"/>
        <w:rPr>
          <w:b/>
          <w:bCs/>
        </w:rPr>
      </w:pPr>
      <w:r w:rsidRPr="0056267A">
        <w:rPr>
          <w:rFonts w:eastAsia="Arial" w:cs="Arial"/>
          <w:b/>
          <w:bCs/>
          <w:color w:val="000000" w:themeColor="text1"/>
          <w:sz w:val="16"/>
          <w:szCs w:val="16"/>
          <w:lang w:val="es"/>
        </w:rPr>
        <w:t>Fuente. IGAC. Subdirección Cartográfica y Geodésica. 2020.</w:t>
      </w:r>
    </w:p>
    <w:p w14:paraId="36677D7A" w14:textId="77777777" w:rsidR="007B7514" w:rsidRDefault="007B7514" w:rsidP="007B7514">
      <w:pPr>
        <w:jc w:val="both"/>
      </w:pPr>
      <w:r w:rsidRPr="31FF9146">
        <w:rPr>
          <w:rFonts w:eastAsia="Arial" w:cs="Arial"/>
          <w:color w:val="000000" w:themeColor="text1"/>
          <w:lang w:val="es-MX"/>
        </w:rPr>
        <w:t xml:space="preserve"> </w:t>
      </w:r>
    </w:p>
    <w:p w14:paraId="21FA15D0" w14:textId="21EF88C8" w:rsidR="00581D98" w:rsidRDefault="007B7514" w:rsidP="007B7514">
      <w:pPr>
        <w:jc w:val="both"/>
        <w:rPr>
          <w:rFonts w:eastAsia="Arial" w:cs="Arial"/>
          <w:color w:val="000000" w:themeColor="text1"/>
          <w:sz w:val="22"/>
          <w:szCs w:val="22"/>
          <w:lang w:val="es-MX"/>
        </w:rPr>
      </w:pPr>
      <w:r w:rsidRPr="31FF9146">
        <w:rPr>
          <w:rFonts w:eastAsia="Arial" w:cs="Arial"/>
          <w:color w:val="000000" w:themeColor="text1"/>
          <w:sz w:val="22"/>
          <w:szCs w:val="22"/>
          <w:lang w:val="es-MX"/>
        </w:rPr>
        <w:t>Así mismo, se logró la adquisición de 6.837.558,29 ha de imágenes satelitales de muy alta resolución de 135 municipios del país.</w:t>
      </w:r>
    </w:p>
    <w:p w14:paraId="568359B2" w14:textId="04318D48" w:rsidR="00581D98" w:rsidRDefault="00581D98" w:rsidP="00085FDD">
      <w:pPr>
        <w:rPr>
          <w:rFonts w:cs="Arial"/>
          <w:b/>
          <w:sz w:val="16"/>
        </w:rPr>
      </w:pPr>
    </w:p>
    <w:p w14:paraId="239A5103" w14:textId="2E6F409C" w:rsidR="00581D98" w:rsidRPr="00581D98" w:rsidRDefault="00581D98" w:rsidP="00581D98">
      <w:pPr>
        <w:pStyle w:val="Descripcin"/>
        <w:jc w:val="center"/>
        <w:rPr>
          <w:rFonts w:ascii="Arial" w:hAnsi="Arial" w:cs="Arial"/>
          <w:b/>
          <w:bCs/>
          <w:i w:val="0"/>
          <w:iCs w:val="0"/>
          <w:color w:val="000000" w:themeColor="text1"/>
          <w:sz w:val="16"/>
          <w:szCs w:val="16"/>
        </w:rPr>
      </w:pPr>
      <w:bookmarkStart w:id="93" w:name="_Toc88677177"/>
      <w:r w:rsidRPr="00581D98">
        <w:rPr>
          <w:rFonts w:ascii="Arial" w:hAnsi="Arial" w:cs="Arial"/>
          <w:b/>
          <w:bCs/>
          <w:i w:val="0"/>
          <w:iCs w:val="0"/>
          <w:color w:val="000000" w:themeColor="text1"/>
          <w:sz w:val="16"/>
          <w:szCs w:val="16"/>
        </w:rPr>
        <w:t xml:space="preserve">Ilustración </w:t>
      </w:r>
      <w:r w:rsidRPr="00581D98">
        <w:rPr>
          <w:rFonts w:ascii="Arial" w:hAnsi="Arial" w:cs="Arial"/>
          <w:b/>
          <w:bCs/>
          <w:i w:val="0"/>
          <w:iCs w:val="0"/>
          <w:color w:val="000000" w:themeColor="text1"/>
          <w:sz w:val="16"/>
          <w:szCs w:val="16"/>
        </w:rPr>
        <w:fldChar w:fldCharType="begin"/>
      </w:r>
      <w:r w:rsidRPr="00581D98">
        <w:rPr>
          <w:rFonts w:ascii="Arial" w:hAnsi="Arial" w:cs="Arial"/>
          <w:b/>
          <w:bCs/>
          <w:i w:val="0"/>
          <w:iCs w:val="0"/>
          <w:color w:val="000000" w:themeColor="text1"/>
          <w:sz w:val="16"/>
          <w:szCs w:val="16"/>
        </w:rPr>
        <w:instrText xml:space="preserve"> SEQ Ilustración \* ARABIC </w:instrText>
      </w:r>
      <w:r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21</w:t>
      </w:r>
      <w:r w:rsidRPr="00581D98">
        <w:rPr>
          <w:rFonts w:ascii="Arial" w:hAnsi="Arial" w:cs="Arial"/>
          <w:b/>
          <w:bCs/>
          <w:i w:val="0"/>
          <w:iCs w:val="0"/>
          <w:color w:val="000000" w:themeColor="text1"/>
          <w:sz w:val="16"/>
          <w:szCs w:val="16"/>
        </w:rPr>
        <w:fldChar w:fldCharType="end"/>
      </w:r>
      <w:r w:rsidRPr="00581D98">
        <w:rPr>
          <w:rFonts w:ascii="Arial" w:hAnsi="Arial" w:cs="Arial"/>
          <w:b/>
          <w:bCs/>
          <w:i w:val="0"/>
          <w:iCs w:val="0"/>
          <w:color w:val="000000" w:themeColor="text1"/>
          <w:sz w:val="16"/>
          <w:szCs w:val="16"/>
        </w:rPr>
        <w:t>. Adquisición imágenes satelitales 2021</w:t>
      </w:r>
      <w:bookmarkEnd w:id="93"/>
    </w:p>
    <w:p w14:paraId="457679C8" w14:textId="77777777" w:rsidR="007B7514" w:rsidRDefault="007B7514" w:rsidP="007B7514">
      <w:pPr>
        <w:jc w:val="center"/>
      </w:pPr>
      <w:r>
        <w:rPr>
          <w:noProof/>
          <w:lang w:val="es-CO" w:eastAsia="es-CO"/>
        </w:rPr>
        <w:drawing>
          <wp:inline distT="0" distB="0" distL="0" distR="0" wp14:anchorId="5776C0F6" wp14:editId="01D58931">
            <wp:extent cx="2598821" cy="3439616"/>
            <wp:effectExtent l="0" t="0" r="0" b="8890"/>
            <wp:docPr id="361587073" name="Imagen 361587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extLst>
                        <a:ext uri="{28A0092B-C50C-407E-A947-70E740481C1C}">
                          <a14:useLocalDpi xmlns:a14="http://schemas.microsoft.com/office/drawing/2010/main" val="0"/>
                        </a:ext>
                      </a:extLst>
                    </a:blip>
                    <a:stretch>
                      <a:fillRect/>
                    </a:stretch>
                  </pic:blipFill>
                  <pic:spPr>
                    <a:xfrm>
                      <a:off x="0" y="0"/>
                      <a:ext cx="2618726" cy="3465961"/>
                    </a:xfrm>
                    <a:prstGeom prst="rect">
                      <a:avLst/>
                    </a:prstGeom>
                  </pic:spPr>
                </pic:pic>
              </a:graphicData>
            </a:graphic>
          </wp:inline>
        </w:drawing>
      </w:r>
    </w:p>
    <w:p w14:paraId="6D2AB67C" w14:textId="77777777" w:rsidR="007B7514" w:rsidRPr="0056267A" w:rsidRDefault="007B7514" w:rsidP="007B7514">
      <w:pPr>
        <w:jc w:val="center"/>
        <w:rPr>
          <w:rFonts w:cs="Arial"/>
          <w:b/>
          <w:sz w:val="16"/>
        </w:rPr>
      </w:pPr>
      <w:r w:rsidRPr="0056267A">
        <w:rPr>
          <w:rFonts w:cs="Arial"/>
          <w:b/>
          <w:sz w:val="16"/>
        </w:rPr>
        <w:t>Fuente. IGAC. Dirección de Gestión de la Información Geográfica</w:t>
      </w:r>
    </w:p>
    <w:p w14:paraId="1AA7A22B" w14:textId="77777777" w:rsidR="007B7514" w:rsidRDefault="007B7514" w:rsidP="007B7514">
      <w:pPr>
        <w:jc w:val="both"/>
      </w:pPr>
      <w:r w:rsidRPr="31FF9146">
        <w:rPr>
          <w:rFonts w:eastAsia="Arial" w:cs="Arial"/>
          <w:color w:val="000000" w:themeColor="text1"/>
          <w:lang w:val="es-MX"/>
        </w:rPr>
        <w:lastRenderedPageBreak/>
        <w:t xml:space="preserve"> </w:t>
      </w:r>
    </w:p>
    <w:p w14:paraId="130926F7" w14:textId="79ECDA5B" w:rsidR="00581D98" w:rsidRPr="00085FDD" w:rsidRDefault="007B7514" w:rsidP="00085FDD">
      <w:pPr>
        <w:jc w:val="both"/>
      </w:pPr>
      <w:r w:rsidRPr="31FF9146">
        <w:rPr>
          <w:rFonts w:eastAsia="Arial" w:cs="Arial"/>
          <w:color w:val="000000" w:themeColor="text1"/>
          <w:sz w:val="22"/>
          <w:szCs w:val="22"/>
          <w:lang w:val="es-MX"/>
        </w:rPr>
        <w:t xml:space="preserve">Por otro lado, durante el 2020 y 2021, con la aeronave no tripulada RPAS (dron) se obtuvo un área de 70.557 ha de aerofotografías de cabeceras municipales y centros poblados de 66 municipios del país, correspondiente a los departamentos de Risaralda, Bolívar, Boyacá, Cauca, Huila, Meta y Tolima, así como de áreas rurales de los municipios de María la Baja y Chaparral. </w:t>
      </w:r>
    </w:p>
    <w:p w14:paraId="6D5F7355" w14:textId="77777777" w:rsidR="00581D98" w:rsidRDefault="00581D98" w:rsidP="007B7514">
      <w:pPr>
        <w:pStyle w:val="Lista"/>
        <w:rPr>
          <w:color w:val="000000" w:themeColor="text1"/>
        </w:rPr>
      </w:pPr>
    </w:p>
    <w:p w14:paraId="5202A930" w14:textId="428171A2" w:rsidR="007B7514" w:rsidRPr="00581D98" w:rsidRDefault="007B7514" w:rsidP="00581D98">
      <w:pPr>
        <w:pStyle w:val="Descripcin"/>
        <w:jc w:val="center"/>
        <w:rPr>
          <w:rFonts w:ascii="Arial" w:hAnsi="Arial" w:cs="Arial"/>
          <w:b/>
          <w:i w:val="0"/>
          <w:color w:val="000000" w:themeColor="text1"/>
          <w:sz w:val="16"/>
          <w:szCs w:val="16"/>
        </w:rPr>
      </w:pPr>
      <w:bookmarkStart w:id="94" w:name="_Toc88677178"/>
      <w:r w:rsidRPr="00581D98">
        <w:rPr>
          <w:rFonts w:ascii="Arial" w:hAnsi="Arial" w:cs="Arial"/>
          <w:b/>
          <w:i w:val="0"/>
          <w:color w:val="000000" w:themeColor="text1"/>
          <w:sz w:val="16"/>
          <w:szCs w:val="16"/>
        </w:rPr>
        <w:t xml:space="preserve">Ilustración </w:t>
      </w:r>
      <w:r w:rsidR="00581D98" w:rsidRPr="00581D98">
        <w:rPr>
          <w:rFonts w:ascii="Arial" w:hAnsi="Arial" w:cs="Arial"/>
          <w:b/>
          <w:bCs/>
          <w:i w:val="0"/>
          <w:iCs w:val="0"/>
          <w:color w:val="000000" w:themeColor="text1"/>
          <w:sz w:val="16"/>
          <w:szCs w:val="16"/>
        </w:rPr>
        <w:fldChar w:fldCharType="begin"/>
      </w:r>
      <w:r w:rsidR="00581D98" w:rsidRPr="00581D98">
        <w:rPr>
          <w:rFonts w:ascii="Arial" w:hAnsi="Arial" w:cs="Arial"/>
          <w:b/>
          <w:bCs/>
          <w:i w:val="0"/>
          <w:iCs w:val="0"/>
          <w:color w:val="000000" w:themeColor="text1"/>
          <w:sz w:val="16"/>
          <w:szCs w:val="16"/>
        </w:rPr>
        <w:instrText xml:space="preserve"> SEQ Ilustración \* ARABIC </w:instrText>
      </w:r>
      <w:r w:rsidR="00581D98"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22</w:t>
      </w:r>
      <w:r w:rsidR="00581D98" w:rsidRPr="00581D98">
        <w:rPr>
          <w:rFonts w:ascii="Arial" w:hAnsi="Arial" w:cs="Arial"/>
          <w:b/>
          <w:bCs/>
          <w:i w:val="0"/>
          <w:iCs w:val="0"/>
          <w:color w:val="000000" w:themeColor="text1"/>
          <w:sz w:val="16"/>
          <w:szCs w:val="16"/>
        </w:rPr>
        <w:fldChar w:fldCharType="end"/>
      </w:r>
      <w:r w:rsidR="00581D98" w:rsidRPr="00581D98">
        <w:rPr>
          <w:rFonts w:ascii="Arial" w:hAnsi="Arial" w:cs="Arial"/>
          <w:b/>
          <w:bCs/>
          <w:i w:val="0"/>
          <w:iCs w:val="0"/>
          <w:color w:val="000000" w:themeColor="text1"/>
          <w:sz w:val="16"/>
          <w:szCs w:val="16"/>
        </w:rPr>
        <w:t>.</w:t>
      </w:r>
      <w:r w:rsidRPr="00581D98">
        <w:rPr>
          <w:rFonts w:ascii="Arial" w:hAnsi="Arial" w:cs="Arial"/>
          <w:b/>
          <w:i w:val="0"/>
          <w:color w:val="000000" w:themeColor="text1"/>
          <w:sz w:val="16"/>
          <w:szCs w:val="16"/>
        </w:rPr>
        <w:t xml:space="preserve"> Cobertura aeronave no tripulada RPAS 2021 (dron) aerofotografías</w:t>
      </w:r>
      <w:bookmarkEnd w:id="94"/>
    </w:p>
    <w:p w14:paraId="4B216DBB" w14:textId="77777777" w:rsidR="007B7514" w:rsidRDefault="007B7514" w:rsidP="007B7514">
      <w:pPr>
        <w:jc w:val="center"/>
      </w:pPr>
      <w:r>
        <w:rPr>
          <w:noProof/>
          <w:lang w:val="es-CO" w:eastAsia="es-CO"/>
        </w:rPr>
        <w:drawing>
          <wp:inline distT="0" distB="0" distL="0" distR="0" wp14:anchorId="77FCDEE2" wp14:editId="3AFF8C40">
            <wp:extent cx="2705100" cy="3429000"/>
            <wp:effectExtent l="0" t="0" r="0" b="0"/>
            <wp:docPr id="85174211" name="Imagen 85174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extLst>
                        <a:ext uri="{28A0092B-C50C-407E-A947-70E740481C1C}">
                          <a14:useLocalDpi xmlns:a14="http://schemas.microsoft.com/office/drawing/2010/main" val="0"/>
                        </a:ext>
                      </a:extLst>
                    </a:blip>
                    <a:stretch>
                      <a:fillRect/>
                    </a:stretch>
                  </pic:blipFill>
                  <pic:spPr>
                    <a:xfrm>
                      <a:off x="0" y="0"/>
                      <a:ext cx="2705100" cy="3429000"/>
                    </a:xfrm>
                    <a:prstGeom prst="rect">
                      <a:avLst/>
                    </a:prstGeom>
                  </pic:spPr>
                </pic:pic>
              </a:graphicData>
            </a:graphic>
          </wp:inline>
        </w:drawing>
      </w:r>
    </w:p>
    <w:p w14:paraId="5C7B69DC" w14:textId="77777777" w:rsidR="007B7514" w:rsidRPr="0056267A" w:rsidRDefault="007B7514" w:rsidP="007B7514">
      <w:pPr>
        <w:jc w:val="center"/>
        <w:rPr>
          <w:rFonts w:cs="Arial"/>
          <w:b/>
          <w:sz w:val="16"/>
        </w:rPr>
      </w:pPr>
      <w:r w:rsidRPr="0056267A">
        <w:rPr>
          <w:rFonts w:cs="Arial"/>
          <w:b/>
          <w:sz w:val="16"/>
        </w:rPr>
        <w:t>Fuente. IGAC. Dirección de Gestión de la Información Geográfica</w:t>
      </w:r>
    </w:p>
    <w:p w14:paraId="05990F57" w14:textId="77777777" w:rsidR="007B7514" w:rsidRDefault="007B7514" w:rsidP="007B7514">
      <w:pPr>
        <w:jc w:val="both"/>
      </w:pPr>
      <w:r w:rsidRPr="31FF9146">
        <w:rPr>
          <w:rFonts w:eastAsia="Arial" w:cs="Arial"/>
          <w:color w:val="000000" w:themeColor="text1"/>
        </w:rPr>
        <w:t xml:space="preserve"> </w:t>
      </w:r>
    </w:p>
    <w:p w14:paraId="5BEE3E17" w14:textId="77777777" w:rsidR="007B7514" w:rsidRDefault="007B7514" w:rsidP="007B7514">
      <w:pPr>
        <w:jc w:val="both"/>
      </w:pPr>
      <w:r w:rsidRPr="31FF9146">
        <w:rPr>
          <w:rFonts w:eastAsia="Arial" w:cs="Arial"/>
          <w:color w:val="000000" w:themeColor="text1"/>
          <w:sz w:val="22"/>
          <w:szCs w:val="22"/>
        </w:rPr>
        <w:t xml:space="preserve">Paralelamente, </w:t>
      </w:r>
      <w:r w:rsidRPr="31FF9146">
        <w:rPr>
          <w:rFonts w:eastAsia="Arial" w:cs="Arial"/>
          <w:color w:val="000000" w:themeColor="text1"/>
          <w:sz w:val="22"/>
          <w:szCs w:val="22"/>
          <w:lang w:val="es-MX"/>
        </w:rPr>
        <w:t xml:space="preserve">en el marco de la Directiva Presidencial No.10 de 2019, por la cual se determinan las directrices de articulación institucional e intercambio de información para el diseño e implementación del Sistema de Administración de tierras y el Catastro Multipropósito, buscando simplificar y agilizar los procesos de estructuración y formación. En este sentido, durante 2020 y 2021 se gestionaron 12.775.640,9 ha de imágenes satelitales y fotografías aéreas, principalmente con la Fuerza Aérea Colombia y Policía Nacional, con niveles de detalles y temporalidades óptimas para la producción de cartografía básica con fines de Catastro Multipropósito, las cuales fueron evaluadas, catalogadas e incorporadas al Banco Nacional de Imágenes (BNI). Ver </w:t>
      </w:r>
      <w:hyperlink r:id="rId42">
        <w:r w:rsidRPr="31FF9146">
          <w:rPr>
            <w:rStyle w:val="Hipervnculo"/>
            <w:rFonts w:eastAsia="Arial" w:cs="Arial"/>
            <w:sz w:val="22"/>
            <w:szCs w:val="22"/>
            <w:lang w:val="es-MX"/>
          </w:rPr>
          <w:t>https://tableros.igac.gov.co/gestionimagenes/</w:t>
        </w:r>
      </w:hyperlink>
      <w:r w:rsidRPr="31FF9146">
        <w:rPr>
          <w:rFonts w:eastAsia="Arial" w:cs="Arial"/>
          <w:color w:val="000000" w:themeColor="text1"/>
          <w:sz w:val="22"/>
          <w:szCs w:val="22"/>
          <w:lang w:val="es-MX"/>
        </w:rPr>
        <w:t>.</w:t>
      </w:r>
    </w:p>
    <w:p w14:paraId="337227EB" w14:textId="1A972B0C" w:rsidR="007B7514" w:rsidRDefault="007B7514" w:rsidP="007B7514">
      <w:r w:rsidRPr="31FF9146">
        <w:rPr>
          <w:rFonts w:eastAsia="Arial" w:cs="Arial"/>
          <w:i/>
          <w:iCs/>
          <w:color w:val="2F5496"/>
          <w:sz w:val="22"/>
          <w:szCs w:val="22"/>
          <w:lang w:val="es-MX"/>
        </w:rPr>
        <w:t xml:space="preserve"> </w:t>
      </w:r>
    </w:p>
    <w:p w14:paraId="3D7229EE" w14:textId="77777777" w:rsidR="007B7514" w:rsidRPr="00581D98" w:rsidRDefault="007B7514" w:rsidP="007B7514">
      <w:pPr>
        <w:rPr>
          <w:b/>
          <w:sz w:val="22"/>
          <w:szCs w:val="22"/>
        </w:rPr>
      </w:pPr>
      <w:r w:rsidRPr="00581D98">
        <w:rPr>
          <w:rFonts w:eastAsia="Arial"/>
          <w:b/>
          <w:color w:val="000000" w:themeColor="text1"/>
          <w:sz w:val="22"/>
          <w:szCs w:val="22"/>
          <w:lang w:val="es-MX"/>
        </w:rPr>
        <w:t>VALIDACIÓN Y OFICIALIZACIÓN DE INFORMACIÓN CARTOGRÁFICA PRODUCIDA POR TERCEROS</w:t>
      </w:r>
    </w:p>
    <w:p w14:paraId="5FBF54D8" w14:textId="77777777" w:rsidR="007B7514" w:rsidRDefault="007B7514" w:rsidP="007B7514">
      <w:pPr>
        <w:jc w:val="both"/>
      </w:pPr>
      <w:r w:rsidRPr="31FF9146">
        <w:rPr>
          <w:rFonts w:eastAsia="Arial" w:cs="Arial"/>
          <w:color w:val="000000" w:themeColor="text1"/>
          <w:sz w:val="22"/>
          <w:szCs w:val="22"/>
          <w:lang w:val="es-MX"/>
        </w:rPr>
        <w:t xml:space="preserve"> </w:t>
      </w:r>
    </w:p>
    <w:p w14:paraId="4A26C3F3" w14:textId="77777777" w:rsidR="007B7514" w:rsidRDefault="007B7514" w:rsidP="007B7514">
      <w:pPr>
        <w:jc w:val="both"/>
      </w:pPr>
      <w:r w:rsidRPr="31FF9146">
        <w:rPr>
          <w:rFonts w:eastAsia="Arial" w:cs="Arial"/>
          <w:color w:val="000000" w:themeColor="text1"/>
          <w:sz w:val="22"/>
          <w:szCs w:val="22"/>
          <w:lang w:val="es-MX"/>
        </w:rPr>
        <w:t>Con el propósito de aprovechar la producción de información cartográfica por parte de terceros e incorporarla y disponerla como información oficial, se elaboraron las especificaciones técnicas de referencia que tienen que considerar los productos de la cartografía básica oficial de Colombia, es decir, las ortoimágenes, modelos digitales de terreno y bases de datos cartográficas. Dichas especificaciones fueron adoptadas a través de la Resolución IGAC 471 y 529 de 2020, del IGAC.</w:t>
      </w:r>
    </w:p>
    <w:p w14:paraId="4C38272E" w14:textId="77777777" w:rsidR="007B7514" w:rsidRDefault="007B7514" w:rsidP="007B7514">
      <w:pPr>
        <w:pStyle w:val="Lista"/>
      </w:pPr>
    </w:p>
    <w:p w14:paraId="2143EAC0" w14:textId="77777777" w:rsidR="007B7514" w:rsidRDefault="007B7514" w:rsidP="007B7514">
      <w:pPr>
        <w:jc w:val="both"/>
      </w:pPr>
      <w:r w:rsidRPr="31FF9146">
        <w:rPr>
          <w:rFonts w:eastAsia="Arial" w:cs="Arial"/>
          <w:color w:val="000000" w:themeColor="text1"/>
          <w:sz w:val="22"/>
          <w:szCs w:val="22"/>
          <w:lang w:val="es-MX"/>
        </w:rPr>
        <w:lastRenderedPageBreak/>
        <w:t xml:space="preserve">Los lineamientos de esta resolución están orientados a garantizar que el producto final cumpla con ciertas características específicas, permitiendo el uso de diferentes tecnologías o métodos para llegar a él. Así mismo, establece un sistema de proyección cartográfico con un único origen para Colombia, denominado «origen nacional», con el objetivo de proporcionar una continuidad única y de referencia de la información cartográfica del país, el cual fue ratificado a través de la Resolución IGAC 370 de 16 de junio de 2021 </w:t>
      </w:r>
      <w:r w:rsidRPr="31FF9146">
        <w:rPr>
          <w:rFonts w:eastAsia="Arial" w:cs="Arial"/>
          <w:i/>
          <w:iCs/>
          <w:color w:val="000000" w:themeColor="text1"/>
          <w:sz w:val="22"/>
          <w:szCs w:val="22"/>
          <w:lang w:val="es-MX"/>
        </w:rPr>
        <w:t>“Por medio de la cual se establece el sistema de proyección cartográfica oficial para Colombia”.</w:t>
      </w:r>
    </w:p>
    <w:p w14:paraId="459195D3" w14:textId="77777777" w:rsidR="007B7514" w:rsidRDefault="007B7514" w:rsidP="007B7514">
      <w:pPr>
        <w:jc w:val="both"/>
      </w:pPr>
      <w:r w:rsidRPr="31FF9146">
        <w:rPr>
          <w:rFonts w:eastAsia="Arial" w:cs="Arial"/>
          <w:color w:val="000000" w:themeColor="text1"/>
          <w:sz w:val="22"/>
          <w:szCs w:val="22"/>
        </w:rPr>
        <w:t xml:space="preserve"> </w:t>
      </w:r>
    </w:p>
    <w:p w14:paraId="7D2DA3D4" w14:textId="6859FF27" w:rsidR="007B7514" w:rsidRDefault="007B7514" w:rsidP="007B7514">
      <w:pPr>
        <w:jc w:val="both"/>
      </w:pPr>
      <w:r w:rsidRPr="31FF9146">
        <w:rPr>
          <w:rFonts w:eastAsia="Arial" w:cs="Arial"/>
          <w:color w:val="000000" w:themeColor="text1"/>
          <w:sz w:val="22"/>
          <w:szCs w:val="22"/>
          <w:lang w:val="es-MX"/>
        </w:rPr>
        <w:t xml:space="preserve">Como complemento a lo anterior, durante el segundo semestre de 2021, se expidió la Resolución 1421 de 2021 </w:t>
      </w:r>
      <w:r w:rsidRPr="31FF9146">
        <w:rPr>
          <w:rFonts w:eastAsia="Arial" w:cs="Arial"/>
          <w:i/>
          <w:iCs/>
          <w:color w:val="000000" w:themeColor="text1"/>
          <w:sz w:val="22"/>
          <w:szCs w:val="22"/>
          <w:lang w:val="es-MX"/>
        </w:rPr>
        <w:t>“Por la cual se establecen las condiciones de validación técnica y oficialización de productos cartográficos básicos y se dictan otras disposiciones”</w:t>
      </w:r>
      <w:r w:rsidR="007F5AED">
        <w:rPr>
          <w:rStyle w:val="Refdenotaalpie"/>
          <w:rFonts w:eastAsia="Arial" w:cs="Arial"/>
          <w:i/>
          <w:iCs/>
          <w:color w:val="000000" w:themeColor="text1"/>
          <w:sz w:val="22"/>
          <w:szCs w:val="22"/>
          <w:lang w:val="es-MX"/>
        </w:rPr>
        <w:footnoteReference w:id="4"/>
      </w:r>
      <w:r w:rsidRPr="31FF9146">
        <w:rPr>
          <w:rFonts w:eastAsia="Arial" w:cs="Arial"/>
          <w:i/>
          <w:iCs/>
          <w:color w:val="000000" w:themeColor="text1"/>
          <w:sz w:val="22"/>
          <w:szCs w:val="22"/>
          <w:lang w:val="es-MX"/>
        </w:rPr>
        <w:t xml:space="preserve">. </w:t>
      </w:r>
      <w:r w:rsidRPr="31FF9146">
        <w:rPr>
          <w:rFonts w:eastAsia="Arial" w:cs="Arial"/>
          <w:color w:val="000000" w:themeColor="text1"/>
          <w:sz w:val="22"/>
          <w:szCs w:val="22"/>
          <w:lang w:val="es-MX"/>
        </w:rPr>
        <w:t>De esta manera, se busca tener una cartografía básica del país que represente la co-creación de muchos actores claves que aportan valor con la producción de información. Esta norma, busca atender y acompañar a nuestros usuarios públicos y privados en el cumplimiento de los requerimientos técnicos y procesos de solicitud para la validación y oficialización de sus productos cartográficos. Nuestro objetivo es obtener una cartografía básica de Colombia de mejor calidad técnica, más completa y sincronizada.</w:t>
      </w:r>
    </w:p>
    <w:p w14:paraId="5AF2F699" w14:textId="77777777" w:rsidR="007B7514" w:rsidRDefault="007B7514" w:rsidP="007B7514">
      <w:pPr>
        <w:jc w:val="both"/>
      </w:pPr>
      <w:r w:rsidRPr="31FF9146">
        <w:rPr>
          <w:rFonts w:eastAsia="Arial" w:cs="Arial"/>
          <w:color w:val="000000" w:themeColor="text1"/>
          <w:sz w:val="22"/>
          <w:szCs w:val="22"/>
          <w:lang w:val="es-MX"/>
        </w:rPr>
        <w:t xml:space="preserve"> </w:t>
      </w:r>
    </w:p>
    <w:p w14:paraId="35EB2BB7" w14:textId="77777777" w:rsidR="007B7514" w:rsidRDefault="007B7514" w:rsidP="007B7514">
      <w:pPr>
        <w:jc w:val="both"/>
      </w:pPr>
      <w:r w:rsidRPr="31FF9146">
        <w:rPr>
          <w:rFonts w:eastAsia="Arial" w:cs="Arial"/>
          <w:color w:val="000000" w:themeColor="text1"/>
          <w:sz w:val="22"/>
          <w:szCs w:val="22"/>
          <w:lang w:val="es-MX"/>
        </w:rPr>
        <w:t>Así mismo, desde un contexto práctico, se ha realizado la validación, oficialización e integración de la información cartográfica producida por terceros, de acuerdo con la demanda y previo análisis de viabilidad. Es así como, durante 2020 y 2021 se realizó la validación y oficialización de productos cartográficos de municipios como: Monterrey (Casanare), Arauca (Arauca), Pereira, Dosquebradas y La Virginia (Risaralda), Fonseca (La Guajira) y un área específica del departamento de Cundinamarca, generada por empresas privadas, gestores catastrales y entidades públicas.</w:t>
      </w:r>
    </w:p>
    <w:p w14:paraId="19F8E70C" w14:textId="77777777" w:rsidR="007B7514" w:rsidRDefault="007B7514" w:rsidP="007B7514">
      <w:r w:rsidRPr="31FF9146">
        <w:rPr>
          <w:rFonts w:eastAsia="Arial" w:cs="Arial"/>
          <w:color w:val="000000" w:themeColor="text1"/>
          <w:sz w:val="22"/>
          <w:szCs w:val="22"/>
          <w:lang w:val="es-MX"/>
        </w:rPr>
        <w:t xml:space="preserve"> </w:t>
      </w:r>
    </w:p>
    <w:p w14:paraId="7CC4697C" w14:textId="77777777" w:rsidR="007B7514" w:rsidRDefault="007B7514" w:rsidP="007B7514">
      <w:pPr>
        <w:jc w:val="both"/>
      </w:pPr>
      <w:r w:rsidRPr="31FF9146">
        <w:rPr>
          <w:rFonts w:eastAsia="Arial" w:cs="Arial"/>
          <w:color w:val="000000" w:themeColor="text1"/>
          <w:sz w:val="22"/>
          <w:szCs w:val="22"/>
          <w:lang w:val="es-MX"/>
        </w:rPr>
        <w:t>Por otro lado, en el marco del mejoramiento de los procesos concernientes a la validación de productos cartográficos, se vienen desarrollando e implementando diferentes herramientas y métodos estadísticos para lograr reducir tiempos y mantener altos niveles de confianza en los resultados de la validación de los ortoimágenes, modelos digitales de terreno y de las bases de datos vectoriales.</w:t>
      </w:r>
    </w:p>
    <w:p w14:paraId="160FA7BF" w14:textId="77777777" w:rsidR="007B7514" w:rsidRDefault="007B7514" w:rsidP="007B7514">
      <w:pPr>
        <w:jc w:val="both"/>
      </w:pPr>
      <w:r w:rsidRPr="31FF9146">
        <w:rPr>
          <w:rFonts w:eastAsia="Arial" w:cs="Arial"/>
          <w:color w:val="000000" w:themeColor="text1"/>
          <w:sz w:val="22"/>
          <w:szCs w:val="22"/>
        </w:rPr>
        <w:t xml:space="preserve"> </w:t>
      </w:r>
    </w:p>
    <w:p w14:paraId="71A2FADD" w14:textId="77777777" w:rsidR="007B7514" w:rsidRDefault="007B7514" w:rsidP="007B7514">
      <w:pPr>
        <w:jc w:val="both"/>
      </w:pPr>
      <w:r w:rsidRPr="31FF9146">
        <w:rPr>
          <w:rFonts w:eastAsia="Arial" w:cs="Arial"/>
          <w:color w:val="000000" w:themeColor="text1"/>
          <w:sz w:val="22"/>
          <w:szCs w:val="22"/>
          <w:lang w:val="es-MX"/>
        </w:rPr>
        <w:t>En este sentido, durante el año 2020 y 2021, se logró la revisión y ajuste del procedimiento y los instructivos de validación de los tres productos finales de la cartografía básica. Se replantó la metodología de marcos de control, la cual consiste básicamente en la aprobación de un producto basado en una muestra estadística que permite reducir considerablemente el tiempo de evaluación, para tal fin se realiza una prueba de hipótesis adecuada que permite decidir la no conformidad de un producto con un alto nivel de confianza, para que de esta se ajusten de manera más adecuada a la producción cartográfica de gran escala, considerando las diferencias de áreas y complejidad de los terrenos propios de la topografía colombiana.</w:t>
      </w:r>
    </w:p>
    <w:p w14:paraId="147EDE22" w14:textId="77777777" w:rsidR="007B7514" w:rsidRDefault="007B7514" w:rsidP="007B7514">
      <w:pPr>
        <w:jc w:val="both"/>
      </w:pPr>
      <w:r w:rsidRPr="31FF9146">
        <w:rPr>
          <w:rFonts w:eastAsia="Arial" w:cs="Arial"/>
          <w:color w:val="000000" w:themeColor="text1"/>
          <w:sz w:val="22"/>
          <w:szCs w:val="22"/>
        </w:rPr>
        <w:t xml:space="preserve"> </w:t>
      </w:r>
    </w:p>
    <w:p w14:paraId="621C7CEA" w14:textId="77777777" w:rsidR="007B7514" w:rsidRDefault="007B7514" w:rsidP="007B7514">
      <w:pPr>
        <w:jc w:val="both"/>
      </w:pPr>
      <w:r w:rsidRPr="31FF9146">
        <w:rPr>
          <w:rFonts w:eastAsia="Arial" w:cs="Arial"/>
          <w:color w:val="000000" w:themeColor="text1"/>
          <w:sz w:val="22"/>
          <w:szCs w:val="22"/>
          <w:lang w:val="es-MX"/>
        </w:rPr>
        <w:t>Para la validación de los productos se aplicaron algoritmos que automatizan el 95% de las actividades de verificación de las medidas de calidad, reduciendo los tiempos comúnmente empleados en casi un 50%, para el caso de los Modelos Digitales de Terreno. Adicionalmente, se desarrolló un aplicativo web que, combinado con las herramientas de validación generan automáticamente los reportes de calidad.</w:t>
      </w:r>
    </w:p>
    <w:p w14:paraId="79F1108B" w14:textId="77777777" w:rsidR="007B7514" w:rsidRDefault="007B7514" w:rsidP="007B7514">
      <w:pPr>
        <w:jc w:val="both"/>
      </w:pPr>
      <w:r w:rsidRPr="31FF9146">
        <w:rPr>
          <w:rFonts w:eastAsia="Arial" w:cs="Arial"/>
          <w:color w:val="000000" w:themeColor="text1"/>
          <w:sz w:val="22"/>
          <w:szCs w:val="22"/>
        </w:rPr>
        <w:t xml:space="preserve"> </w:t>
      </w:r>
    </w:p>
    <w:p w14:paraId="3014A825" w14:textId="77777777" w:rsidR="007B7514" w:rsidRDefault="007B7514" w:rsidP="007B7514">
      <w:pPr>
        <w:jc w:val="both"/>
      </w:pPr>
      <w:r w:rsidRPr="31FF9146">
        <w:rPr>
          <w:rFonts w:eastAsia="Arial" w:cs="Arial"/>
          <w:color w:val="000000" w:themeColor="text1"/>
          <w:sz w:val="22"/>
          <w:szCs w:val="22"/>
          <w:lang w:val="es-MX"/>
        </w:rPr>
        <w:lastRenderedPageBreak/>
        <w:t>Cabe mencionar, que los algoritmos y mejoras están siendo implementadas actualmente por el IGAC en los procesos de validación.</w:t>
      </w:r>
    </w:p>
    <w:p w14:paraId="0E57D577" w14:textId="2BCB7540" w:rsidR="001105D4" w:rsidRDefault="007B7514" w:rsidP="007B7514">
      <w:pPr>
        <w:rPr>
          <w:rFonts w:eastAsia="Arial"/>
          <w:i/>
          <w:iCs/>
          <w:lang w:val="es-MX"/>
        </w:rPr>
      </w:pPr>
      <w:r w:rsidRPr="00660449">
        <w:rPr>
          <w:rFonts w:eastAsia="Arial"/>
          <w:i/>
          <w:iCs/>
          <w:lang w:val="es-MX"/>
        </w:rPr>
        <w:t xml:space="preserve">   </w:t>
      </w:r>
    </w:p>
    <w:p w14:paraId="04D8EB43" w14:textId="77777777" w:rsidR="007B7514" w:rsidRPr="00581D98" w:rsidRDefault="007B7514" w:rsidP="007B7514">
      <w:pPr>
        <w:rPr>
          <w:b/>
          <w:sz w:val="22"/>
          <w:szCs w:val="22"/>
        </w:rPr>
      </w:pPr>
      <w:r w:rsidRPr="00581D98">
        <w:rPr>
          <w:rFonts w:eastAsia="Arial"/>
          <w:b/>
          <w:sz w:val="22"/>
          <w:szCs w:val="22"/>
          <w:lang w:val="es-MX"/>
        </w:rPr>
        <w:t>GENERACIÓN INSTRUMENTOS TÉCNICOS SOPORTE PARA LA PRODUCCIÓN DE CARTOGRÁFICA BÁSICA.</w:t>
      </w:r>
    </w:p>
    <w:p w14:paraId="10C61E51" w14:textId="77777777" w:rsidR="007B7514" w:rsidRDefault="007B7514" w:rsidP="007B7514">
      <w:r w:rsidRPr="31FF9146">
        <w:rPr>
          <w:rFonts w:eastAsia="Arial" w:cs="Arial"/>
          <w:color w:val="000000" w:themeColor="text1"/>
          <w:sz w:val="22"/>
          <w:szCs w:val="22"/>
          <w:lang w:val="es-MX"/>
        </w:rPr>
        <w:t xml:space="preserve"> </w:t>
      </w:r>
    </w:p>
    <w:p w14:paraId="1B85CD03" w14:textId="77777777" w:rsidR="007B7514" w:rsidRDefault="007B7514" w:rsidP="007B7514">
      <w:pPr>
        <w:jc w:val="both"/>
        <w:rPr>
          <w:rFonts w:eastAsia="Arial" w:cs="Arial"/>
          <w:color w:val="000000" w:themeColor="text1"/>
          <w:sz w:val="22"/>
          <w:szCs w:val="22"/>
          <w:lang w:val="es-MX"/>
        </w:rPr>
      </w:pPr>
      <w:r w:rsidRPr="31FF9146">
        <w:rPr>
          <w:rFonts w:eastAsia="Arial" w:cs="Arial"/>
          <w:color w:val="000000" w:themeColor="text1"/>
          <w:sz w:val="22"/>
          <w:szCs w:val="22"/>
          <w:lang w:val="es-MX"/>
        </w:rPr>
        <w:t xml:space="preserve">El Plan Nacional de Cartografía Básica Oficial de Colombia es uno de los instrumentos de planeación cuyo propósito es articular, actualizar, disponer y promover la producción, intercambio y uso de la cartografía del país, en donde el IGAC no es el único proveedor, sino que muchas entidades coadyuvan en la generación de información geográfica y cartográfica del territorio nacional. En tal sentido, propende por la articulación interinstitucional hacia el suministro de insumos básicos y útiles para la implementación del sistema de administración de tierras, el ordenamiento territorial y el catastro multipropósito. </w:t>
      </w:r>
    </w:p>
    <w:p w14:paraId="7716BFC8" w14:textId="77777777" w:rsidR="007B7514" w:rsidRDefault="007B7514" w:rsidP="007B7514">
      <w:pPr>
        <w:jc w:val="both"/>
      </w:pPr>
      <w:r w:rsidRPr="31FF9146">
        <w:rPr>
          <w:rFonts w:eastAsia="Arial" w:cs="Arial"/>
          <w:color w:val="000000" w:themeColor="text1"/>
          <w:sz w:val="22"/>
          <w:szCs w:val="22"/>
        </w:rPr>
        <w:t xml:space="preserve"> </w:t>
      </w:r>
    </w:p>
    <w:p w14:paraId="3EC857BD" w14:textId="77777777" w:rsidR="007B7514" w:rsidRDefault="007B7514" w:rsidP="007B7514">
      <w:pPr>
        <w:jc w:val="both"/>
        <w:rPr>
          <w:rFonts w:eastAsia="Arial" w:cs="Arial"/>
          <w:color w:val="000000" w:themeColor="text1"/>
          <w:sz w:val="22"/>
          <w:szCs w:val="22"/>
          <w:lang w:val="es-MX"/>
        </w:rPr>
      </w:pPr>
      <w:r w:rsidRPr="31FF9146">
        <w:rPr>
          <w:rFonts w:eastAsia="Arial" w:cs="Arial"/>
          <w:color w:val="000000" w:themeColor="text1"/>
          <w:sz w:val="22"/>
          <w:szCs w:val="22"/>
          <w:lang w:val="es-MX"/>
        </w:rPr>
        <w:t>Bajo este enfoque, durante el 2020, el IGAC generó una nueva propuesta del plan, que integra los lineamientos del Consejo Superior de la Administración y Ordenamiento del Suelo Rural, en lo que atañe a las escalas de referencia y precisiones planimétricas para los procedimientos catastrales, definiendo una nueva zonificación que involucra diversos criterios orientados a la administración de tierras, observando la distribución de los predios, en suelo urbano y rural, en áreas con prevalencia de minifundios y zonas con cobertura predominante de bosque.</w:t>
      </w:r>
    </w:p>
    <w:p w14:paraId="26DABFB5" w14:textId="77777777" w:rsidR="007B7514" w:rsidRDefault="007B7514" w:rsidP="007B7514">
      <w:pPr>
        <w:jc w:val="both"/>
      </w:pPr>
    </w:p>
    <w:p w14:paraId="30F9589F" w14:textId="1ACC4FC4" w:rsidR="00AF1326" w:rsidRPr="00581D98" w:rsidRDefault="00581D98" w:rsidP="00581D98">
      <w:pPr>
        <w:pStyle w:val="Descripcin"/>
        <w:jc w:val="center"/>
        <w:rPr>
          <w:rFonts w:ascii="Arial" w:eastAsia="Arial" w:hAnsi="Arial" w:cs="Arial"/>
          <w:b/>
          <w:i w:val="0"/>
          <w:color w:val="000000" w:themeColor="text1"/>
          <w:sz w:val="16"/>
          <w:szCs w:val="16"/>
          <w:lang w:val="es-MX"/>
        </w:rPr>
      </w:pPr>
      <w:bookmarkStart w:id="95" w:name="_Toc88677179"/>
      <w:r w:rsidRPr="00581D98">
        <w:rPr>
          <w:rFonts w:ascii="Arial" w:hAnsi="Arial" w:cs="Arial"/>
          <w:b/>
          <w:bCs/>
          <w:i w:val="0"/>
          <w:iCs w:val="0"/>
          <w:color w:val="000000" w:themeColor="text1"/>
          <w:sz w:val="16"/>
          <w:szCs w:val="16"/>
        </w:rPr>
        <w:t xml:space="preserve">Ilustración </w:t>
      </w:r>
      <w:r w:rsidRPr="00581D98">
        <w:rPr>
          <w:rFonts w:ascii="Arial" w:hAnsi="Arial" w:cs="Arial"/>
          <w:b/>
          <w:bCs/>
          <w:i w:val="0"/>
          <w:iCs w:val="0"/>
          <w:color w:val="000000" w:themeColor="text1"/>
          <w:sz w:val="16"/>
          <w:szCs w:val="16"/>
        </w:rPr>
        <w:fldChar w:fldCharType="begin"/>
      </w:r>
      <w:r w:rsidRPr="00581D98">
        <w:rPr>
          <w:rFonts w:ascii="Arial" w:hAnsi="Arial" w:cs="Arial"/>
          <w:b/>
          <w:bCs/>
          <w:i w:val="0"/>
          <w:iCs w:val="0"/>
          <w:color w:val="000000" w:themeColor="text1"/>
          <w:sz w:val="16"/>
          <w:szCs w:val="16"/>
        </w:rPr>
        <w:instrText xml:space="preserve"> SEQ Ilustración \* ARABIC </w:instrText>
      </w:r>
      <w:r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23</w:t>
      </w:r>
      <w:r w:rsidRPr="00581D98">
        <w:rPr>
          <w:rFonts w:ascii="Arial" w:hAnsi="Arial" w:cs="Arial"/>
          <w:b/>
          <w:bCs/>
          <w:i w:val="0"/>
          <w:iCs w:val="0"/>
          <w:color w:val="000000" w:themeColor="text1"/>
          <w:sz w:val="16"/>
          <w:szCs w:val="16"/>
        </w:rPr>
        <w:fldChar w:fldCharType="end"/>
      </w:r>
      <w:r w:rsidRPr="00581D98">
        <w:rPr>
          <w:rFonts w:ascii="Arial" w:hAnsi="Arial" w:cs="Arial"/>
          <w:b/>
          <w:bCs/>
          <w:i w:val="0"/>
          <w:iCs w:val="0"/>
          <w:color w:val="000000" w:themeColor="text1"/>
          <w:sz w:val="16"/>
          <w:szCs w:val="16"/>
        </w:rPr>
        <w:t>.Zonificación Plan Nacional de Cartografía</w:t>
      </w:r>
      <w:bookmarkEnd w:id="95"/>
    </w:p>
    <w:p w14:paraId="5DDE2FD2" w14:textId="77777777" w:rsidR="007B7514" w:rsidRDefault="007B7514" w:rsidP="007B7514">
      <w:pPr>
        <w:jc w:val="center"/>
      </w:pPr>
      <w:r>
        <w:rPr>
          <w:noProof/>
          <w:lang w:val="es-CO" w:eastAsia="es-CO"/>
        </w:rPr>
        <w:drawing>
          <wp:inline distT="0" distB="0" distL="0" distR="0" wp14:anchorId="78B43F4D" wp14:editId="35ED54D3">
            <wp:extent cx="2847975" cy="3693266"/>
            <wp:effectExtent l="0" t="0" r="0" b="2540"/>
            <wp:docPr id="1247645584" name="Imagen 1247645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extLst>
                        <a:ext uri="{28A0092B-C50C-407E-A947-70E740481C1C}">
                          <a14:useLocalDpi xmlns:a14="http://schemas.microsoft.com/office/drawing/2010/main" val="0"/>
                        </a:ext>
                      </a:extLst>
                    </a:blip>
                    <a:stretch>
                      <a:fillRect/>
                    </a:stretch>
                  </pic:blipFill>
                  <pic:spPr>
                    <a:xfrm>
                      <a:off x="0" y="0"/>
                      <a:ext cx="2851747" cy="3698157"/>
                    </a:xfrm>
                    <a:prstGeom prst="rect">
                      <a:avLst/>
                    </a:prstGeom>
                  </pic:spPr>
                </pic:pic>
              </a:graphicData>
            </a:graphic>
          </wp:inline>
        </w:drawing>
      </w:r>
    </w:p>
    <w:p w14:paraId="2FDD783C" w14:textId="77777777" w:rsidR="007B7514" w:rsidRPr="00720513" w:rsidRDefault="007B7514" w:rsidP="007B7514">
      <w:pPr>
        <w:jc w:val="center"/>
        <w:rPr>
          <w:rFonts w:cs="Arial"/>
          <w:b/>
          <w:sz w:val="16"/>
        </w:rPr>
      </w:pPr>
      <w:r w:rsidRPr="00720513">
        <w:rPr>
          <w:rFonts w:cs="Arial"/>
          <w:b/>
          <w:sz w:val="16"/>
        </w:rPr>
        <w:t>Fuente: IGAC. Dirección de Gestión de Información Geográfica. 2021.</w:t>
      </w:r>
    </w:p>
    <w:p w14:paraId="5E5A73AE" w14:textId="77777777" w:rsidR="007B7514" w:rsidRDefault="007B7514" w:rsidP="007B7514">
      <w:pPr>
        <w:jc w:val="both"/>
      </w:pPr>
      <w:r w:rsidRPr="31FF9146">
        <w:rPr>
          <w:rFonts w:eastAsia="Arial" w:cs="Arial"/>
          <w:color w:val="000000" w:themeColor="text1"/>
          <w:lang w:val="es-MX"/>
        </w:rPr>
        <w:t xml:space="preserve"> </w:t>
      </w:r>
    </w:p>
    <w:p w14:paraId="4F14CAE7" w14:textId="77777777" w:rsidR="007B7514" w:rsidRDefault="007B7514" w:rsidP="007B7514">
      <w:pPr>
        <w:jc w:val="both"/>
        <w:rPr>
          <w:rFonts w:eastAsia="Arial" w:cs="Arial"/>
          <w:color w:val="000000" w:themeColor="text1"/>
          <w:sz w:val="22"/>
          <w:szCs w:val="22"/>
          <w:lang w:val="es-MX"/>
        </w:rPr>
      </w:pPr>
    </w:p>
    <w:p w14:paraId="6BB8E0F3" w14:textId="77777777" w:rsidR="007B7514" w:rsidRDefault="007B7514" w:rsidP="007B7514">
      <w:pPr>
        <w:jc w:val="both"/>
        <w:rPr>
          <w:rFonts w:eastAsia="Arial" w:cs="Arial"/>
          <w:color w:val="000000" w:themeColor="text1"/>
          <w:sz w:val="22"/>
          <w:szCs w:val="22"/>
          <w:lang w:val="es-MX"/>
        </w:rPr>
      </w:pPr>
    </w:p>
    <w:p w14:paraId="2E9AACBC" w14:textId="77777777" w:rsidR="007B7514" w:rsidRDefault="007B7514" w:rsidP="007B7514">
      <w:pPr>
        <w:jc w:val="both"/>
      </w:pPr>
      <w:r w:rsidRPr="31FF9146">
        <w:rPr>
          <w:rFonts w:eastAsia="Arial" w:cs="Arial"/>
          <w:color w:val="000000" w:themeColor="text1"/>
          <w:sz w:val="22"/>
          <w:szCs w:val="22"/>
          <w:lang w:val="es-MX"/>
        </w:rPr>
        <w:lastRenderedPageBreak/>
        <w:t>Durante el 2021, se está avanzado en la actualización del instrumento normativo con el cual se formalizará la adopción del documento técnico del Plan.</w:t>
      </w:r>
    </w:p>
    <w:p w14:paraId="13F8BB70" w14:textId="5ECABF78" w:rsidR="007B7514" w:rsidRDefault="007B7514" w:rsidP="007B7514">
      <w:pPr>
        <w:pStyle w:val="Lista"/>
      </w:pPr>
    </w:p>
    <w:p w14:paraId="483B7CC5" w14:textId="77777777" w:rsidR="007B7514" w:rsidRDefault="007B7514" w:rsidP="007B7514">
      <w:pPr>
        <w:jc w:val="both"/>
      </w:pPr>
      <w:r w:rsidRPr="31FF9146">
        <w:rPr>
          <w:rFonts w:eastAsia="Arial" w:cs="Arial"/>
          <w:color w:val="000000" w:themeColor="text1"/>
          <w:sz w:val="22"/>
          <w:szCs w:val="22"/>
          <w:lang w:val="es-MX"/>
        </w:rPr>
        <w:t>Por otro lado, se realizó la actualización del proyecto tipo para la producción o actualización de la cartografía básica oficial</w:t>
      </w:r>
      <w:hyperlink r:id="rId44" w:anchor="_ftn1">
        <w:r w:rsidRPr="31FF9146">
          <w:rPr>
            <w:rStyle w:val="Hipervnculo"/>
            <w:rFonts w:eastAsia="Arial" w:cs="Arial"/>
            <w:sz w:val="22"/>
            <w:szCs w:val="22"/>
            <w:vertAlign w:val="superscript"/>
            <w:lang w:val="es-MX"/>
          </w:rPr>
          <w:t>[1]</w:t>
        </w:r>
      </w:hyperlink>
      <w:r w:rsidRPr="31FF9146">
        <w:rPr>
          <w:rFonts w:eastAsia="Arial" w:cs="Arial"/>
          <w:color w:val="000000" w:themeColor="text1"/>
          <w:sz w:val="22"/>
          <w:szCs w:val="22"/>
          <w:lang w:val="es-MX"/>
        </w:rPr>
        <w:t xml:space="preserve">. Este documento presenta un modelo que guía y facilita la formulación de proyectos de producción o actualización de cartografía básica oficial por parte de las entidades territoriales y sus esquemas asociativos con el fin generar o actualizar la información geográfica básica de los territorios a los niveles de detalle requeridos, tanto de áreas urbanas y rurales, con fines de planificación y administración del territorio, formación o actualización catastral, estratificación socioeconómica, ordenamiento territorial y ambiental, entre otros aspectos de importancia para la gestión eficiente de los territorios. </w:t>
      </w:r>
    </w:p>
    <w:p w14:paraId="2D2E7D8A" w14:textId="77777777" w:rsidR="007B7514" w:rsidRDefault="007B7514" w:rsidP="007B7514">
      <w:pPr>
        <w:jc w:val="both"/>
      </w:pPr>
      <w:r w:rsidRPr="31FF9146">
        <w:rPr>
          <w:rFonts w:eastAsia="Arial" w:cs="Arial"/>
          <w:color w:val="000000" w:themeColor="text1"/>
          <w:sz w:val="22"/>
          <w:szCs w:val="22"/>
        </w:rPr>
        <w:t xml:space="preserve"> </w:t>
      </w:r>
    </w:p>
    <w:p w14:paraId="6B92E727" w14:textId="77777777" w:rsidR="007B7514" w:rsidRDefault="007B7514" w:rsidP="007B7514">
      <w:pPr>
        <w:jc w:val="both"/>
      </w:pPr>
      <w:r w:rsidRPr="31FF9146">
        <w:rPr>
          <w:rFonts w:eastAsia="Arial" w:cs="Arial"/>
          <w:color w:val="000000" w:themeColor="text1"/>
          <w:sz w:val="22"/>
          <w:szCs w:val="22"/>
          <w:lang w:val="es-MX"/>
        </w:rPr>
        <w:t>Así mismo, incluyó la densificación de la red geodésica como componente fundamental para la generación de la cartografía básica y se incorporaron mayores detalles sobre el proceso validación y oficialización de los productos cartográficos y geodésicos, así como sus respectivos valores de referencia basados en los diferentes estudios de mercado.</w:t>
      </w:r>
    </w:p>
    <w:p w14:paraId="7DBAC311" w14:textId="77777777" w:rsidR="007B7514" w:rsidRDefault="007B7514" w:rsidP="007B7514">
      <w:r w:rsidRPr="31FF9146">
        <w:rPr>
          <w:rFonts w:eastAsia="Arial" w:cs="Arial"/>
          <w:color w:val="000000" w:themeColor="text1"/>
          <w:sz w:val="22"/>
          <w:szCs w:val="22"/>
          <w:lang w:val="es-MX"/>
        </w:rPr>
        <w:t xml:space="preserve"> </w:t>
      </w:r>
    </w:p>
    <w:p w14:paraId="00DA65C8" w14:textId="77777777" w:rsidR="007B7514" w:rsidRPr="005F3C74" w:rsidRDefault="007B7514" w:rsidP="005F3C74">
      <w:pPr>
        <w:jc w:val="both"/>
        <w:rPr>
          <w:rFonts w:eastAsia="Arial" w:cs="Arial"/>
          <w:b/>
          <w:color w:val="000000" w:themeColor="text1"/>
          <w:sz w:val="22"/>
          <w:szCs w:val="22"/>
          <w:lang w:val="es-MX"/>
        </w:rPr>
      </w:pPr>
      <w:r w:rsidRPr="005F3C74">
        <w:rPr>
          <w:rFonts w:eastAsia="Arial"/>
          <w:sz w:val="22"/>
          <w:szCs w:val="22"/>
          <w:lang w:val="es-MX"/>
        </w:rPr>
        <w:t xml:space="preserve">Por último, en alianza con la Agencia Nacional de Contratación Pública - Colombia Compra Eficiente y el Ministerio de Tecnologías de la Información y Comunicación se </w:t>
      </w:r>
      <w:r w:rsidRPr="005F3C74">
        <w:rPr>
          <w:rFonts w:eastAsia="Arial" w:cs="Arial"/>
          <w:color w:val="000000" w:themeColor="text1"/>
          <w:sz w:val="22"/>
          <w:szCs w:val="22"/>
          <w:lang w:val="es-MX"/>
        </w:rPr>
        <w:t>realizó la definición técnica para la implementación mecanismos de agregación de demanda que faciliten la adquisición de imágenes por plataformas satelitales y aerotransportadas. Este proceso fue adjudicado en el mes de septiembre de 2021 y se espera que al final de la vigencia se encuentre publicado dentro del catálogo de Colombia Compra Eficiente.</w:t>
      </w:r>
    </w:p>
    <w:p w14:paraId="0FDA4D69" w14:textId="2320386F" w:rsidR="007B7514" w:rsidRPr="002511F1" w:rsidRDefault="002511F1" w:rsidP="002511F1">
      <w:pPr>
        <w:jc w:val="both"/>
        <w:rPr>
          <w:rFonts w:eastAsia="Arial" w:cs="Arial"/>
          <w:color w:val="000000" w:themeColor="text1"/>
          <w:sz w:val="22"/>
          <w:szCs w:val="22"/>
          <w:lang w:val="es-MX"/>
        </w:rPr>
      </w:pPr>
      <w:r>
        <w:rPr>
          <w:rFonts w:eastAsia="Arial" w:cs="Arial"/>
          <w:color w:val="000000" w:themeColor="text1"/>
          <w:sz w:val="22"/>
          <w:szCs w:val="22"/>
          <w:lang w:val="es-MX"/>
        </w:rPr>
        <w:t xml:space="preserve"> </w:t>
      </w:r>
    </w:p>
    <w:p w14:paraId="44D87057" w14:textId="77777777" w:rsidR="007B7514" w:rsidRPr="00581D98" w:rsidRDefault="007B7514" w:rsidP="007B7514">
      <w:pPr>
        <w:rPr>
          <w:b/>
          <w:sz w:val="22"/>
          <w:szCs w:val="22"/>
        </w:rPr>
      </w:pPr>
      <w:r w:rsidRPr="00581D98">
        <w:rPr>
          <w:rFonts w:eastAsia="Arial"/>
          <w:b/>
          <w:sz w:val="22"/>
          <w:szCs w:val="22"/>
        </w:rPr>
        <w:t>PRINCIPALES LOGROS DE LA GESTIÓN CARTOGRÁFICA 2020-2021</w:t>
      </w:r>
    </w:p>
    <w:p w14:paraId="3E5A801D" w14:textId="77777777" w:rsidR="007B7514" w:rsidRPr="006F4DC2" w:rsidRDefault="007B7514" w:rsidP="007B7514">
      <w:pPr>
        <w:rPr>
          <w:rFonts w:cs="Arial"/>
          <w:sz w:val="22"/>
          <w:szCs w:val="22"/>
        </w:rPr>
      </w:pPr>
      <w:r w:rsidRPr="31FF9146">
        <w:rPr>
          <w:rFonts w:eastAsia="Arial" w:cs="Arial"/>
          <w:color w:val="000000" w:themeColor="text1"/>
          <w:sz w:val="22"/>
          <w:szCs w:val="22"/>
        </w:rPr>
        <w:t xml:space="preserve"> </w:t>
      </w:r>
    </w:p>
    <w:p w14:paraId="30F1AF74" w14:textId="346346D7" w:rsidR="007B7514" w:rsidRDefault="007B7514" w:rsidP="000F5B14">
      <w:pPr>
        <w:pStyle w:val="Prrafodelista"/>
        <w:numPr>
          <w:ilvl w:val="0"/>
          <w:numId w:val="274"/>
        </w:numPr>
        <w:rPr>
          <w:rFonts w:eastAsia="Arial" w:cs="Arial"/>
          <w:sz w:val="22"/>
          <w:szCs w:val="22"/>
        </w:rPr>
      </w:pPr>
      <w:r w:rsidRPr="31FF9146">
        <w:rPr>
          <w:rFonts w:eastAsia="Arial" w:cs="Arial"/>
          <w:sz w:val="22"/>
          <w:szCs w:val="22"/>
        </w:rPr>
        <w:t>Se logró la expedición de:</w:t>
      </w:r>
    </w:p>
    <w:p w14:paraId="42E4C397" w14:textId="77777777" w:rsidR="007B7514" w:rsidRPr="006F4DC2" w:rsidRDefault="007B7514" w:rsidP="007B7514">
      <w:pPr>
        <w:ind w:left="360" w:hanging="360"/>
        <w:jc w:val="both"/>
        <w:rPr>
          <w:rFonts w:cs="Arial"/>
          <w:sz w:val="22"/>
          <w:szCs w:val="22"/>
        </w:rPr>
      </w:pPr>
    </w:p>
    <w:p w14:paraId="5D305883" w14:textId="47B6FC5F" w:rsidR="007B7514" w:rsidRPr="006F4DC2" w:rsidRDefault="007B7514" w:rsidP="000F5B14">
      <w:pPr>
        <w:pStyle w:val="Prrafodelista"/>
        <w:numPr>
          <w:ilvl w:val="0"/>
          <w:numId w:val="271"/>
        </w:numPr>
        <w:tabs>
          <w:tab w:val="left" w:pos="993"/>
        </w:tabs>
        <w:ind w:left="993" w:hanging="142"/>
        <w:rPr>
          <w:rFonts w:cs="Arial"/>
          <w:sz w:val="22"/>
          <w:szCs w:val="22"/>
        </w:rPr>
      </w:pPr>
      <w:r w:rsidRPr="31FF9146">
        <w:rPr>
          <w:rFonts w:eastAsia="Arial" w:cs="Arial"/>
          <w:sz w:val="22"/>
          <w:szCs w:val="22"/>
        </w:rPr>
        <w:t xml:space="preserve">Resolución 471 y 529 de 2020 </w:t>
      </w:r>
      <w:r w:rsidRPr="31FF9146">
        <w:rPr>
          <w:rFonts w:eastAsia="Arial" w:cs="Arial"/>
          <w:i/>
          <w:iCs/>
          <w:sz w:val="22"/>
          <w:szCs w:val="22"/>
        </w:rPr>
        <w:t>“</w:t>
      </w:r>
      <w:r w:rsidRPr="31FF9146">
        <w:rPr>
          <w:rFonts w:eastAsia="Arial" w:cs="Arial"/>
          <w:i/>
          <w:iCs/>
          <w:sz w:val="22"/>
          <w:szCs w:val="22"/>
          <w:lang w:val="es-MX"/>
        </w:rPr>
        <w:t xml:space="preserve">Por medio de la cual se establecen las especificaciones técnicas mínimas que deben tener los productos de la cartografía básica oficial de Colombia”, </w:t>
      </w:r>
      <w:r w:rsidRPr="31FF9146">
        <w:rPr>
          <w:rFonts w:eastAsia="Arial" w:cs="Arial"/>
          <w:sz w:val="22"/>
          <w:szCs w:val="22"/>
          <w:lang w:val="es-MX"/>
        </w:rPr>
        <w:t>con sus respectivos documentos técnicos (</w:t>
      </w:r>
      <w:hyperlink r:id="rId45">
        <w:r w:rsidRPr="31FF9146">
          <w:rPr>
            <w:rStyle w:val="Hipervnculo"/>
            <w:rFonts w:eastAsia="Arial" w:cs="Arial"/>
            <w:sz w:val="22"/>
            <w:szCs w:val="22"/>
          </w:rPr>
          <w:t>https://bit.ly/3pfbIdi</w:t>
        </w:r>
      </w:hyperlink>
      <w:r w:rsidRPr="31FF9146">
        <w:rPr>
          <w:rFonts w:eastAsia="Arial" w:cs="Arial"/>
          <w:color w:val="0563C1"/>
          <w:sz w:val="22"/>
          <w:szCs w:val="22"/>
          <w:u w:val="single"/>
        </w:rPr>
        <w:t>).</w:t>
      </w:r>
    </w:p>
    <w:p w14:paraId="22C07F92" w14:textId="23119760" w:rsidR="007B7514" w:rsidRPr="006F4DC2" w:rsidRDefault="007B7514" w:rsidP="000F5B14">
      <w:pPr>
        <w:pStyle w:val="Prrafodelista"/>
        <w:numPr>
          <w:ilvl w:val="0"/>
          <w:numId w:val="271"/>
        </w:numPr>
        <w:tabs>
          <w:tab w:val="left" w:pos="993"/>
        </w:tabs>
        <w:ind w:left="993" w:hanging="142"/>
        <w:rPr>
          <w:rFonts w:cs="Arial"/>
          <w:sz w:val="22"/>
          <w:szCs w:val="22"/>
        </w:rPr>
      </w:pPr>
      <w:r w:rsidRPr="31FF9146">
        <w:rPr>
          <w:rFonts w:eastAsia="Arial" w:cs="Arial"/>
          <w:sz w:val="22"/>
          <w:szCs w:val="22"/>
        </w:rPr>
        <w:t>Resolución 1421 de 2021 “</w:t>
      </w:r>
      <w:r w:rsidRPr="31FF9146">
        <w:rPr>
          <w:rFonts w:eastAsia="Arial" w:cs="Arial"/>
          <w:i/>
          <w:iCs/>
          <w:sz w:val="22"/>
          <w:szCs w:val="22"/>
        </w:rPr>
        <w:t>Por la cual se establecen las condiciones de validación técnica y oficialización de productos cartográficos básicos y se dictan otras disposiciones”.</w:t>
      </w:r>
    </w:p>
    <w:p w14:paraId="4DEABFAE" w14:textId="77777777" w:rsidR="007B7514" w:rsidRPr="009D67D6" w:rsidRDefault="007B7514" w:rsidP="000F5B14">
      <w:pPr>
        <w:pStyle w:val="Prrafodelista"/>
        <w:numPr>
          <w:ilvl w:val="0"/>
          <w:numId w:val="271"/>
        </w:numPr>
        <w:tabs>
          <w:tab w:val="left" w:pos="993"/>
        </w:tabs>
        <w:ind w:left="993" w:hanging="142"/>
        <w:rPr>
          <w:rFonts w:eastAsia="Arial" w:cs="Arial"/>
          <w:i/>
          <w:iCs/>
          <w:sz w:val="22"/>
          <w:szCs w:val="22"/>
        </w:rPr>
      </w:pPr>
      <w:r w:rsidRPr="009D67D6">
        <w:rPr>
          <w:rFonts w:eastAsia="Arial" w:cs="Arial"/>
          <w:sz w:val="22"/>
          <w:szCs w:val="22"/>
        </w:rPr>
        <w:t>Resolución 370 de 2021 “</w:t>
      </w:r>
      <w:r w:rsidRPr="009D67D6">
        <w:rPr>
          <w:rFonts w:eastAsia="Arial" w:cs="Arial"/>
          <w:i/>
          <w:iCs/>
          <w:sz w:val="22"/>
          <w:szCs w:val="22"/>
        </w:rPr>
        <w:t>Por medio de la cual se establece el sistema de proyección cartográfica oficial para Colombia”.</w:t>
      </w:r>
    </w:p>
    <w:p w14:paraId="41C86687" w14:textId="77777777" w:rsidR="007B7514" w:rsidRPr="006F4DC2" w:rsidRDefault="007B7514" w:rsidP="007B7514">
      <w:pPr>
        <w:pStyle w:val="Prrafodelista"/>
        <w:ind w:left="720"/>
        <w:rPr>
          <w:rFonts w:cs="Arial"/>
          <w:sz w:val="22"/>
          <w:szCs w:val="22"/>
        </w:rPr>
      </w:pPr>
    </w:p>
    <w:p w14:paraId="40122D99" w14:textId="60D85E5B" w:rsidR="007B7514" w:rsidRPr="006F4DC2" w:rsidRDefault="007B7514" w:rsidP="006F4DC2">
      <w:pPr>
        <w:pStyle w:val="Prrafodelista"/>
        <w:numPr>
          <w:ilvl w:val="0"/>
          <w:numId w:val="273"/>
        </w:numPr>
        <w:rPr>
          <w:rFonts w:cs="Arial"/>
          <w:sz w:val="22"/>
          <w:szCs w:val="22"/>
        </w:rPr>
      </w:pPr>
      <w:r w:rsidRPr="31FF9146">
        <w:rPr>
          <w:rFonts w:eastAsia="Arial" w:cs="Arial"/>
          <w:sz w:val="22"/>
          <w:szCs w:val="22"/>
        </w:rPr>
        <w:t xml:space="preserve">Se logró junto con el </w:t>
      </w:r>
      <w:r w:rsidRPr="31FF9146">
        <w:rPr>
          <w:rFonts w:eastAsia="Arial" w:cs="Arial"/>
          <w:color w:val="000000" w:themeColor="text1"/>
          <w:sz w:val="22"/>
          <w:szCs w:val="22"/>
        </w:rPr>
        <w:t xml:space="preserve">DNP </w:t>
      </w:r>
      <w:r w:rsidRPr="31FF9146">
        <w:rPr>
          <w:rFonts w:eastAsia="Arial" w:cs="Arial"/>
          <w:sz w:val="22"/>
          <w:szCs w:val="22"/>
        </w:rPr>
        <w:t>publicar el Proyecto Tipo “Producción de Cartografía Básica Oficial”, con el cual los municipios podrán contratar la producción y/o actualización de la cartografía básica oficial (</w:t>
      </w:r>
      <w:hyperlink r:id="rId46">
        <w:r w:rsidRPr="31FF9146">
          <w:rPr>
            <w:rStyle w:val="Hipervnculo"/>
            <w:rFonts w:eastAsia="Arial" w:cs="Arial"/>
            <w:sz w:val="22"/>
            <w:szCs w:val="22"/>
          </w:rPr>
          <w:t>https://bit.ly/3jeQhV1</w:t>
        </w:r>
      </w:hyperlink>
      <w:r w:rsidRPr="31FF9146">
        <w:rPr>
          <w:rFonts w:eastAsia="Arial" w:cs="Arial"/>
          <w:sz w:val="22"/>
          <w:szCs w:val="22"/>
        </w:rPr>
        <w:t>).</w:t>
      </w:r>
    </w:p>
    <w:p w14:paraId="146C1748" w14:textId="73708AF8" w:rsidR="007B7514" w:rsidRPr="006F4DC2" w:rsidRDefault="007B7514" w:rsidP="006F4DC2">
      <w:pPr>
        <w:pStyle w:val="Prrafodelista"/>
        <w:numPr>
          <w:ilvl w:val="0"/>
          <w:numId w:val="273"/>
        </w:numPr>
        <w:rPr>
          <w:rFonts w:cs="Arial"/>
          <w:sz w:val="22"/>
          <w:szCs w:val="22"/>
        </w:rPr>
      </w:pPr>
      <w:r w:rsidRPr="31FF9146">
        <w:rPr>
          <w:rFonts w:eastAsia="Arial" w:cs="Arial"/>
          <w:sz w:val="22"/>
          <w:szCs w:val="22"/>
        </w:rPr>
        <w:t xml:space="preserve">Se logró el Acuerdo Marco de Precios para la adquisición de imágenes por plataformas satelitales. </w:t>
      </w:r>
    </w:p>
    <w:p w14:paraId="11C5F0B0" w14:textId="0ADEFEA3" w:rsidR="007B7514" w:rsidRPr="006F4DC2" w:rsidRDefault="007B7514" w:rsidP="006F4DC2">
      <w:pPr>
        <w:pStyle w:val="Prrafodelista"/>
        <w:numPr>
          <w:ilvl w:val="0"/>
          <w:numId w:val="273"/>
        </w:numPr>
        <w:rPr>
          <w:rFonts w:cs="Arial"/>
          <w:sz w:val="22"/>
          <w:szCs w:val="22"/>
        </w:rPr>
      </w:pPr>
      <w:r w:rsidRPr="31FF9146">
        <w:rPr>
          <w:rFonts w:eastAsia="Arial" w:cs="Arial"/>
          <w:sz w:val="22"/>
          <w:szCs w:val="22"/>
        </w:rPr>
        <w:t>Se logró el desarrollo e implementación de herramientas y métod</w:t>
      </w:r>
      <w:r w:rsidRPr="006F4DC2">
        <w:rPr>
          <w:rFonts w:eastAsia="Arial" w:cs="Arial"/>
          <w:sz w:val="22"/>
          <w:szCs w:val="22"/>
        </w:rPr>
        <w:t>os estadísticos para reducir los tiempos y mantener altos niveles de confianza en los resultados de la validación de los productos de cartografía básica, logrando un 153,98% de efectividad en el proceso.</w:t>
      </w:r>
    </w:p>
    <w:p w14:paraId="71AF4702" w14:textId="7374BD58" w:rsidR="007B7514" w:rsidRPr="006F4DC2" w:rsidRDefault="007B7514" w:rsidP="006F4DC2">
      <w:pPr>
        <w:pStyle w:val="Prrafodelista"/>
        <w:numPr>
          <w:ilvl w:val="0"/>
          <w:numId w:val="273"/>
        </w:numPr>
        <w:rPr>
          <w:rFonts w:cs="Arial"/>
          <w:sz w:val="22"/>
          <w:szCs w:val="22"/>
        </w:rPr>
      </w:pPr>
      <w:r w:rsidRPr="31FF9146">
        <w:rPr>
          <w:rFonts w:eastAsia="Arial" w:cs="Arial"/>
          <w:color w:val="000000" w:themeColor="text1"/>
          <w:sz w:val="22"/>
          <w:szCs w:val="22"/>
        </w:rPr>
        <w:t>Se logró la producción de 13.814.211,82 ha en 2020 y 18.024.663 ha con corte a octubre de 2021 del país con ortoimágenes, modelos digitales y/o base de datos vectoriales, a partir de la generación cartográfica por parte del IGAC, la validación y oficialización de cartografía producida por terceros.</w:t>
      </w:r>
    </w:p>
    <w:p w14:paraId="6C4404F8" w14:textId="272801EB" w:rsidR="007B7514" w:rsidRDefault="007B7514" w:rsidP="006F4DC2">
      <w:pPr>
        <w:pStyle w:val="Prrafodelista"/>
        <w:numPr>
          <w:ilvl w:val="0"/>
          <w:numId w:val="273"/>
        </w:numPr>
      </w:pPr>
      <w:r w:rsidRPr="31FF9146">
        <w:rPr>
          <w:rFonts w:eastAsia="Arial" w:cs="Arial"/>
          <w:color w:val="000000" w:themeColor="text1"/>
          <w:sz w:val="22"/>
          <w:szCs w:val="22"/>
        </w:rPr>
        <w:lastRenderedPageBreak/>
        <w:t>Se logró a</w:t>
      </w:r>
      <w:r w:rsidRPr="31FF9146">
        <w:rPr>
          <w:rFonts w:eastAsia="Arial" w:cs="Arial"/>
          <w:sz w:val="22"/>
          <w:szCs w:val="22"/>
        </w:rPr>
        <w:t>umentar la producción de la cartografía básica urbana y rural en un 112,27% en 2020 con relación a 2019, y en 2021 de 130,48% con relación a 2020.</w:t>
      </w:r>
    </w:p>
    <w:p w14:paraId="087F9801" w14:textId="50461D21" w:rsidR="007B7514" w:rsidRDefault="007B7514" w:rsidP="006F4DC2">
      <w:pPr>
        <w:pStyle w:val="Prrafodelista"/>
        <w:numPr>
          <w:ilvl w:val="0"/>
          <w:numId w:val="271"/>
        </w:numPr>
      </w:pPr>
      <w:r w:rsidRPr="31FF9146">
        <w:rPr>
          <w:rFonts w:eastAsia="Arial" w:cs="Arial"/>
          <w:sz w:val="22"/>
          <w:szCs w:val="22"/>
        </w:rPr>
        <w:t xml:space="preserve">Se logró la captura </w:t>
      </w:r>
      <w:r w:rsidRPr="31FF9146">
        <w:rPr>
          <w:rFonts w:eastAsia="Arial" w:cs="Arial"/>
          <w:sz w:val="22"/>
          <w:szCs w:val="22"/>
          <w:lang w:val="es"/>
        </w:rPr>
        <w:t>y procesamiento de 1.208 puntos con coordenadas de precisión para la generación y validación de cartografía, logrando aumentar en más del 150% en 2020 con relación a 2019, y en 2021 de 193,2% con relación a 2020.</w:t>
      </w:r>
    </w:p>
    <w:p w14:paraId="21F72639" w14:textId="4DD17C95" w:rsidR="007B7514" w:rsidRDefault="007B7514" w:rsidP="006F4DC2">
      <w:pPr>
        <w:pStyle w:val="Prrafodelista"/>
        <w:numPr>
          <w:ilvl w:val="0"/>
          <w:numId w:val="271"/>
        </w:numPr>
      </w:pPr>
      <w:r w:rsidRPr="31FF9146">
        <w:rPr>
          <w:rFonts w:eastAsia="Arial" w:cs="Arial"/>
          <w:sz w:val="22"/>
          <w:szCs w:val="22"/>
        </w:rPr>
        <w:t>Se logró la gestión, captura y/o adquisición de 15.485.451 ha de imágenes y fotografías aéreas de alta resolución, con nuestros sensores y con terceros.</w:t>
      </w:r>
    </w:p>
    <w:p w14:paraId="2182139A" w14:textId="0B968460" w:rsidR="007B7514" w:rsidRDefault="007B7514" w:rsidP="006F4DC2">
      <w:pPr>
        <w:pStyle w:val="Prrafodelista"/>
        <w:numPr>
          <w:ilvl w:val="0"/>
          <w:numId w:val="271"/>
        </w:numPr>
      </w:pPr>
      <w:r w:rsidRPr="31FF9146">
        <w:rPr>
          <w:rFonts w:eastAsia="Arial" w:cs="Arial"/>
          <w:sz w:val="22"/>
          <w:szCs w:val="22"/>
        </w:rPr>
        <w:t xml:space="preserve">Se logró la gestión </w:t>
      </w:r>
      <w:r w:rsidRPr="31FF9146">
        <w:rPr>
          <w:rFonts w:eastAsia="Arial" w:cs="Arial"/>
          <w:sz w:val="22"/>
          <w:szCs w:val="22"/>
          <w:lang w:val="es"/>
        </w:rPr>
        <w:t>y actualización de datos vectoriales, a escala 1:50.000, de 2.460.000 ha de los municipios priorizados en el marco del Convenio Interadministrativo suscrito entre National Geospatial Intelligence Agency (NGA) y el IGAC, aumentando en un 23% la producción con respecto al 2019.</w:t>
      </w:r>
    </w:p>
    <w:p w14:paraId="1636CBF2" w14:textId="3CA1E748" w:rsidR="007B7514" w:rsidRPr="00814982" w:rsidRDefault="007B7514" w:rsidP="006F4DC2">
      <w:pPr>
        <w:pStyle w:val="Prrafodelista"/>
        <w:numPr>
          <w:ilvl w:val="0"/>
          <w:numId w:val="213"/>
        </w:numPr>
        <w:rPr>
          <w:rFonts w:eastAsia="Arial" w:cs="Arial"/>
          <w:sz w:val="22"/>
          <w:szCs w:val="22"/>
        </w:rPr>
      </w:pPr>
      <w:r w:rsidRPr="31FF9146">
        <w:rPr>
          <w:rFonts w:eastAsia="Arial" w:cs="Arial"/>
          <w:sz w:val="22"/>
          <w:szCs w:val="22"/>
        </w:rPr>
        <w:t>Se logró la captura de más de 70.577 ha de imágenes con nuestros drones de cabeceras de aproximadamente 82 municipios del país, en los dos últimos años.</w:t>
      </w:r>
    </w:p>
    <w:p w14:paraId="4F3AC3F4" w14:textId="77777777" w:rsidR="007B7514" w:rsidRPr="00814982" w:rsidRDefault="007B7514" w:rsidP="006F4DC2">
      <w:pPr>
        <w:pStyle w:val="Prrafodelista"/>
        <w:numPr>
          <w:ilvl w:val="0"/>
          <w:numId w:val="272"/>
        </w:numPr>
        <w:rPr>
          <w:rFonts w:eastAsia="Arial" w:cs="Arial"/>
          <w:sz w:val="22"/>
          <w:szCs w:val="22"/>
        </w:rPr>
      </w:pPr>
      <w:r w:rsidRPr="00814982">
        <w:rPr>
          <w:rFonts w:eastAsia="Arial" w:cs="Arial"/>
          <w:sz w:val="22"/>
          <w:szCs w:val="22"/>
        </w:rPr>
        <w:t>Se logró la generación de los modelos digitales de superficie para un área de 32.852.314 ha en el marco del Programa Multinacional de Intercambio de Datos (TREx), logrando cubrir en 28,9% del territorio.</w:t>
      </w:r>
    </w:p>
    <w:p w14:paraId="63FA7399" w14:textId="69620DC4" w:rsidR="007B7514" w:rsidRPr="002511F1" w:rsidRDefault="002511F1" w:rsidP="007B7514">
      <w:pPr>
        <w:jc w:val="both"/>
        <w:rPr>
          <w:rFonts w:eastAsia="Arial" w:cs="Arial"/>
          <w:sz w:val="22"/>
          <w:szCs w:val="22"/>
        </w:rPr>
      </w:pPr>
      <w:r>
        <w:rPr>
          <w:rFonts w:eastAsia="Arial" w:cs="Arial"/>
          <w:sz w:val="22"/>
          <w:szCs w:val="22"/>
        </w:rPr>
        <w:t xml:space="preserve"> </w:t>
      </w:r>
    </w:p>
    <w:p w14:paraId="1A31A042" w14:textId="77777777" w:rsidR="007B7514" w:rsidRPr="0021527F" w:rsidRDefault="007B7514" w:rsidP="0021527F">
      <w:pPr>
        <w:rPr>
          <w:b/>
          <w:sz w:val="22"/>
        </w:rPr>
      </w:pPr>
      <w:r w:rsidRPr="0021527F">
        <w:rPr>
          <w:rFonts w:ascii="Symbol" w:eastAsia="Symbol" w:hAnsi="Symbol" w:cs="Symbol"/>
          <w:b/>
          <w:sz w:val="22"/>
          <w:lang w:val="es-MX"/>
        </w:rPr>
        <w:t></w:t>
      </w:r>
      <w:r w:rsidRPr="0021527F">
        <w:rPr>
          <w:rFonts w:ascii="Times New Roman" w:hAnsi="Times New Roman"/>
          <w:b/>
          <w:sz w:val="12"/>
          <w:szCs w:val="14"/>
          <w:lang w:val="es-MX"/>
        </w:rPr>
        <w:t xml:space="preserve">        </w:t>
      </w:r>
      <w:r w:rsidRPr="0021527F">
        <w:rPr>
          <w:rFonts w:eastAsia="Arial"/>
          <w:b/>
          <w:sz w:val="22"/>
          <w:lang w:val="es-MX"/>
        </w:rPr>
        <w:t>SERVICIOS DE INFORMACIÓN GEODÉSICA ACTUALIZADA</w:t>
      </w:r>
    </w:p>
    <w:p w14:paraId="7CDDB820" w14:textId="6F54B630" w:rsidR="007B7514" w:rsidRPr="0021527F" w:rsidRDefault="007B7514" w:rsidP="0021527F">
      <w:pPr>
        <w:rPr>
          <w:b/>
          <w:sz w:val="22"/>
        </w:rPr>
      </w:pPr>
    </w:p>
    <w:p w14:paraId="60ED8DA6" w14:textId="77777777" w:rsidR="007B7514" w:rsidRPr="0021527F" w:rsidRDefault="007B7514" w:rsidP="0021527F">
      <w:pPr>
        <w:rPr>
          <w:b/>
          <w:iCs/>
          <w:sz w:val="22"/>
        </w:rPr>
      </w:pPr>
      <w:r w:rsidRPr="0021527F">
        <w:rPr>
          <w:rFonts w:eastAsia="Arial"/>
          <w:b/>
          <w:iCs/>
          <w:sz w:val="22"/>
          <w:lang w:val="es-MX"/>
        </w:rPr>
        <w:t>DENSIFICACIÓN DEL MARCO DE REFERENCIA TERRESTRE</w:t>
      </w:r>
    </w:p>
    <w:p w14:paraId="145FF40C" w14:textId="77777777" w:rsidR="007B7514" w:rsidRDefault="007B7514" w:rsidP="007B7514">
      <w:r w:rsidRPr="31FF9146">
        <w:rPr>
          <w:rFonts w:eastAsia="Arial" w:cs="Arial"/>
          <w:color w:val="000000" w:themeColor="text1"/>
          <w:sz w:val="22"/>
          <w:szCs w:val="22"/>
          <w:lang w:val="es-MX"/>
        </w:rPr>
        <w:t xml:space="preserve"> </w:t>
      </w:r>
    </w:p>
    <w:p w14:paraId="40222290" w14:textId="77777777" w:rsidR="007B7514" w:rsidRDefault="007B7514" w:rsidP="007B7514">
      <w:pPr>
        <w:jc w:val="both"/>
      </w:pPr>
      <w:r w:rsidRPr="31FF9146">
        <w:rPr>
          <w:rFonts w:eastAsia="Arial" w:cs="Arial"/>
          <w:color w:val="000000" w:themeColor="text1"/>
          <w:sz w:val="22"/>
          <w:szCs w:val="22"/>
          <w:lang w:val="es"/>
        </w:rPr>
        <w:t xml:space="preserve">En el marco de las metas establecidas por el Gobierno Nacional a través del Plan Nacional de Desarrollo 2018-2022 </w:t>
      </w:r>
      <w:r w:rsidRPr="31FF9146">
        <w:rPr>
          <w:rFonts w:eastAsia="Arial" w:cs="Arial"/>
          <w:i/>
          <w:iCs/>
          <w:color w:val="000000" w:themeColor="text1"/>
          <w:sz w:val="22"/>
          <w:szCs w:val="22"/>
          <w:lang w:val="es"/>
        </w:rPr>
        <w:t>“Pacto por Colombia, Pacto por la equidad”</w:t>
      </w:r>
      <w:r w:rsidRPr="31FF9146">
        <w:rPr>
          <w:rFonts w:eastAsia="Arial" w:cs="Arial"/>
          <w:color w:val="000000" w:themeColor="text1"/>
          <w:sz w:val="22"/>
          <w:szCs w:val="22"/>
          <w:lang w:val="es"/>
        </w:rPr>
        <w:t xml:space="preserve"> y con el objetivo de fortalecer la gestión de datos e información geodésica nacional, se efectuaron reuniones técnicas de articulación con el Servicio Geológico Colombiano (SGC), con el fin de consolidar una alianza interinstitucional que permita aunar esfuerzos y recursos tecnológicos, físicos, humanos y administrativos entre la dos entidades con el fin de fortalecer la Red Geodésica Nacional para diferentes propósitos y satisfacer las necesidades de infraestructura e información geodésica requerida por el país, en virtud de las respectivas competencias y misiones institucionales, resultado de ello se firmó el Convenio Específico No. 2 al Convenio Marco No. 4965 de 2018 con el SGC.</w:t>
      </w:r>
    </w:p>
    <w:p w14:paraId="7894BC9C" w14:textId="77777777" w:rsidR="007B7514" w:rsidRDefault="007B7514" w:rsidP="007B7514">
      <w:pPr>
        <w:jc w:val="both"/>
      </w:pPr>
      <w:r w:rsidRPr="31FF9146">
        <w:rPr>
          <w:rFonts w:eastAsia="Arial" w:cs="Arial"/>
          <w:color w:val="000000" w:themeColor="text1"/>
          <w:sz w:val="22"/>
          <w:szCs w:val="22"/>
          <w:lang w:val="es"/>
        </w:rPr>
        <w:t xml:space="preserve"> </w:t>
      </w:r>
    </w:p>
    <w:p w14:paraId="7D14A5C1"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Bajo esta alianza, se logró la integración de 105 estaciones administradas por el Servicio Geológico Colombiano a la Red Geodésica Nacional, facilitando el acceso a los datos geodésicos, a través de la plataforma Colombia en Mapas (Ver </w:t>
      </w:r>
      <w:hyperlink r:id="rId47" w:history="1">
        <w:r w:rsidRPr="003132D9">
          <w:rPr>
            <w:rStyle w:val="Hipervnculo"/>
            <w:rFonts w:eastAsia="Arial" w:cs="Arial"/>
            <w:sz w:val="22"/>
            <w:szCs w:val="22"/>
            <w:lang w:val="es"/>
          </w:rPr>
          <w:t>https://bit.ly/3BYomA9</w:t>
        </w:r>
      </w:hyperlink>
      <w:r w:rsidRPr="31FF9146">
        <w:rPr>
          <w:rFonts w:eastAsia="Arial" w:cs="Arial"/>
          <w:color w:val="000000" w:themeColor="text1"/>
          <w:sz w:val="22"/>
          <w:szCs w:val="22"/>
          <w:lang w:val="es"/>
        </w:rPr>
        <w:t>)</w:t>
      </w:r>
    </w:p>
    <w:p w14:paraId="1C27CB56" w14:textId="77777777" w:rsidR="007B7514" w:rsidRDefault="007B7514" w:rsidP="007B7514">
      <w:pPr>
        <w:jc w:val="both"/>
        <w:rPr>
          <w:rFonts w:eastAsia="Arial" w:cs="Arial"/>
          <w:color w:val="000000" w:themeColor="text1"/>
          <w:sz w:val="22"/>
          <w:szCs w:val="22"/>
          <w:lang w:val="es"/>
        </w:rPr>
      </w:pPr>
    </w:p>
    <w:p w14:paraId="3DB05D36" w14:textId="77777777" w:rsidR="007B7514" w:rsidRDefault="007B7514" w:rsidP="007B7514">
      <w:pPr>
        <w:jc w:val="both"/>
        <w:rPr>
          <w:rFonts w:eastAsia="Arial" w:cs="Arial"/>
          <w:color w:val="000000" w:themeColor="text1"/>
          <w:sz w:val="22"/>
          <w:szCs w:val="22"/>
          <w:lang w:val="es"/>
        </w:rPr>
      </w:pPr>
    </w:p>
    <w:p w14:paraId="31F4B896" w14:textId="77777777" w:rsidR="007B7514" w:rsidRDefault="007B7514" w:rsidP="007B7514">
      <w:pPr>
        <w:jc w:val="both"/>
        <w:rPr>
          <w:rFonts w:eastAsia="Arial" w:cs="Arial"/>
          <w:color w:val="000000" w:themeColor="text1"/>
          <w:sz w:val="22"/>
          <w:szCs w:val="22"/>
          <w:lang w:val="es"/>
        </w:rPr>
      </w:pPr>
    </w:p>
    <w:p w14:paraId="145A0F69" w14:textId="77777777" w:rsidR="007B7514" w:rsidRDefault="007B7514" w:rsidP="007B7514">
      <w:pPr>
        <w:jc w:val="both"/>
        <w:rPr>
          <w:rFonts w:eastAsia="Arial" w:cs="Arial"/>
          <w:color w:val="000000" w:themeColor="text1"/>
          <w:sz w:val="22"/>
          <w:szCs w:val="22"/>
          <w:lang w:val="es"/>
        </w:rPr>
      </w:pPr>
    </w:p>
    <w:p w14:paraId="5E0DFC78" w14:textId="77777777" w:rsidR="007B7514" w:rsidRDefault="007B7514" w:rsidP="007B7514">
      <w:pPr>
        <w:jc w:val="both"/>
        <w:rPr>
          <w:rFonts w:eastAsia="Arial" w:cs="Arial"/>
          <w:color w:val="000000" w:themeColor="text1"/>
          <w:sz w:val="22"/>
          <w:szCs w:val="22"/>
          <w:lang w:val="es"/>
        </w:rPr>
      </w:pPr>
    </w:p>
    <w:p w14:paraId="599B72D1" w14:textId="77777777" w:rsidR="007B7514" w:rsidRDefault="007B7514" w:rsidP="007B7514">
      <w:pPr>
        <w:jc w:val="both"/>
        <w:rPr>
          <w:rFonts w:eastAsia="Arial" w:cs="Arial"/>
          <w:color w:val="000000" w:themeColor="text1"/>
          <w:sz w:val="22"/>
          <w:szCs w:val="22"/>
          <w:lang w:val="es"/>
        </w:rPr>
      </w:pPr>
    </w:p>
    <w:p w14:paraId="3B9092FE" w14:textId="77777777" w:rsidR="007B7514" w:rsidRDefault="007B7514" w:rsidP="007B7514">
      <w:pPr>
        <w:jc w:val="both"/>
        <w:rPr>
          <w:rFonts w:eastAsia="Arial" w:cs="Arial"/>
          <w:color w:val="000000" w:themeColor="text1"/>
          <w:sz w:val="22"/>
          <w:szCs w:val="22"/>
          <w:lang w:val="es"/>
        </w:rPr>
      </w:pPr>
    </w:p>
    <w:p w14:paraId="3463F6A9" w14:textId="77777777" w:rsidR="007B7514" w:rsidRDefault="007B7514" w:rsidP="007B7514">
      <w:pPr>
        <w:jc w:val="both"/>
        <w:rPr>
          <w:rFonts w:eastAsia="Arial" w:cs="Arial"/>
          <w:color w:val="000000" w:themeColor="text1"/>
          <w:sz w:val="22"/>
          <w:szCs w:val="22"/>
          <w:lang w:val="es"/>
        </w:rPr>
      </w:pPr>
    </w:p>
    <w:p w14:paraId="46DA6A07" w14:textId="77777777" w:rsidR="00581D98" w:rsidRDefault="00581D98" w:rsidP="007B7514">
      <w:pPr>
        <w:jc w:val="both"/>
        <w:rPr>
          <w:rFonts w:eastAsia="Arial" w:cs="Arial"/>
          <w:color w:val="000000" w:themeColor="text1"/>
          <w:sz w:val="22"/>
          <w:szCs w:val="22"/>
          <w:lang w:val="es"/>
        </w:rPr>
      </w:pPr>
    </w:p>
    <w:p w14:paraId="747BE6C2" w14:textId="77777777" w:rsidR="00581D98" w:rsidRDefault="00581D98" w:rsidP="007B7514">
      <w:pPr>
        <w:jc w:val="both"/>
        <w:rPr>
          <w:rFonts w:eastAsia="Arial" w:cs="Arial"/>
          <w:color w:val="000000" w:themeColor="text1"/>
          <w:sz w:val="22"/>
          <w:szCs w:val="22"/>
          <w:lang w:val="es"/>
        </w:rPr>
      </w:pPr>
    </w:p>
    <w:p w14:paraId="79FA89CF" w14:textId="77777777" w:rsidR="007B7514" w:rsidRDefault="007B7514" w:rsidP="007B7514">
      <w:pPr>
        <w:jc w:val="both"/>
        <w:rPr>
          <w:rFonts w:eastAsia="Arial" w:cs="Arial"/>
          <w:color w:val="000000" w:themeColor="text1"/>
          <w:sz w:val="22"/>
          <w:szCs w:val="22"/>
          <w:lang w:val="es"/>
        </w:rPr>
      </w:pPr>
    </w:p>
    <w:p w14:paraId="1B85B0EE" w14:textId="77777777" w:rsidR="007B7514" w:rsidRDefault="007B7514" w:rsidP="007B7514">
      <w:pPr>
        <w:jc w:val="both"/>
        <w:rPr>
          <w:rFonts w:eastAsia="Arial" w:cs="Arial"/>
          <w:color w:val="000000" w:themeColor="text1"/>
          <w:sz w:val="22"/>
          <w:szCs w:val="22"/>
          <w:lang w:val="es"/>
        </w:rPr>
      </w:pPr>
    </w:p>
    <w:p w14:paraId="1D99C423"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761CA491" w14:textId="77777777" w:rsidR="00832FD5" w:rsidRDefault="00832FD5" w:rsidP="007B7514">
      <w:pPr>
        <w:jc w:val="both"/>
        <w:rPr>
          <w:rFonts w:eastAsia="Arial" w:cs="Arial"/>
          <w:color w:val="000000" w:themeColor="text1"/>
          <w:sz w:val="22"/>
          <w:szCs w:val="22"/>
          <w:lang w:val="es"/>
        </w:rPr>
      </w:pPr>
    </w:p>
    <w:p w14:paraId="5A9FEF01" w14:textId="77777777" w:rsidR="00832FD5" w:rsidRDefault="00832FD5" w:rsidP="007B7514">
      <w:pPr>
        <w:jc w:val="both"/>
      </w:pPr>
    </w:p>
    <w:p w14:paraId="73E41719" w14:textId="77777777" w:rsidR="0022514C" w:rsidRDefault="0022514C" w:rsidP="007B7514">
      <w:pPr>
        <w:jc w:val="center"/>
        <w:rPr>
          <w:rFonts w:eastAsia="Arial" w:cs="Arial"/>
          <w:color w:val="000000" w:themeColor="text1"/>
          <w:lang w:val="es"/>
        </w:rPr>
      </w:pPr>
    </w:p>
    <w:p w14:paraId="750EBCED" w14:textId="77777777" w:rsidR="0022514C" w:rsidRDefault="0022514C" w:rsidP="007B7514">
      <w:pPr>
        <w:jc w:val="center"/>
        <w:rPr>
          <w:rFonts w:eastAsia="Arial" w:cs="Arial"/>
          <w:color w:val="000000" w:themeColor="text1"/>
          <w:lang w:val="es"/>
        </w:rPr>
      </w:pPr>
    </w:p>
    <w:p w14:paraId="7DAD62F3" w14:textId="32A63701" w:rsidR="00581D98" w:rsidRPr="00581D98" w:rsidRDefault="00581D98" w:rsidP="00581D98">
      <w:pPr>
        <w:pStyle w:val="Descripcin"/>
        <w:jc w:val="center"/>
        <w:rPr>
          <w:rFonts w:ascii="Arial" w:eastAsia="Arial" w:hAnsi="Arial" w:cs="Arial"/>
          <w:b/>
          <w:bCs/>
          <w:i w:val="0"/>
          <w:iCs w:val="0"/>
          <w:color w:val="000000" w:themeColor="text1"/>
          <w:sz w:val="16"/>
          <w:szCs w:val="16"/>
          <w:lang w:val="es"/>
        </w:rPr>
      </w:pPr>
      <w:bookmarkStart w:id="96" w:name="_Toc88677180"/>
      <w:r w:rsidRPr="00581D98">
        <w:rPr>
          <w:rFonts w:ascii="Arial" w:hAnsi="Arial" w:cs="Arial"/>
          <w:b/>
          <w:bCs/>
          <w:i w:val="0"/>
          <w:iCs w:val="0"/>
          <w:color w:val="000000" w:themeColor="text1"/>
          <w:sz w:val="16"/>
          <w:szCs w:val="16"/>
        </w:rPr>
        <w:t xml:space="preserve">Ilustración </w:t>
      </w:r>
      <w:r w:rsidRPr="00581D98">
        <w:rPr>
          <w:rFonts w:ascii="Arial" w:hAnsi="Arial" w:cs="Arial"/>
          <w:b/>
          <w:bCs/>
          <w:i w:val="0"/>
          <w:iCs w:val="0"/>
          <w:color w:val="000000" w:themeColor="text1"/>
          <w:sz w:val="16"/>
          <w:szCs w:val="16"/>
        </w:rPr>
        <w:fldChar w:fldCharType="begin"/>
      </w:r>
      <w:r w:rsidRPr="00581D98">
        <w:rPr>
          <w:rFonts w:ascii="Arial" w:hAnsi="Arial" w:cs="Arial"/>
          <w:b/>
          <w:bCs/>
          <w:i w:val="0"/>
          <w:iCs w:val="0"/>
          <w:color w:val="000000" w:themeColor="text1"/>
          <w:sz w:val="16"/>
          <w:szCs w:val="16"/>
        </w:rPr>
        <w:instrText xml:space="preserve"> SEQ Ilustración \* ARABIC </w:instrText>
      </w:r>
      <w:r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24</w:t>
      </w:r>
      <w:r w:rsidRPr="00581D98">
        <w:rPr>
          <w:rFonts w:ascii="Arial" w:hAnsi="Arial" w:cs="Arial"/>
          <w:b/>
          <w:bCs/>
          <w:i w:val="0"/>
          <w:iCs w:val="0"/>
          <w:color w:val="000000" w:themeColor="text1"/>
          <w:sz w:val="16"/>
          <w:szCs w:val="16"/>
        </w:rPr>
        <w:fldChar w:fldCharType="end"/>
      </w:r>
      <w:r w:rsidRPr="00581D98">
        <w:rPr>
          <w:rFonts w:ascii="Arial" w:hAnsi="Arial" w:cs="Arial"/>
          <w:b/>
          <w:bCs/>
          <w:i w:val="0"/>
          <w:iCs w:val="0"/>
          <w:color w:val="000000" w:themeColor="text1"/>
          <w:sz w:val="16"/>
          <w:szCs w:val="16"/>
        </w:rPr>
        <w:t>. Integración de estaciones IGAC-SGC</w:t>
      </w:r>
      <w:bookmarkEnd w:id="96"/>
    </w:p>
    <w:p w14:paraId="19477F3C" w14:textId="77777777" w:rsidR="007B7514" w:rsidRDefault="007B7514" w:rsidP="007B7514">
      <w:pPr>
        <w:jc w:val="center"/>
      </w:pPr>
      <w:r>
        <w:rPr>
          <w:noProof/>
          <w:lang w:val="es-CO" w:eastAsia="es-CO"/>
        </w:rPr>
        <w:drawing>
          <wp:inline distT="0" distB="0" distL="0" distR="0" wp14:anchorId="6CDBF333" wp14:editId="2AA85BC1">
            <wp:extent cx="2688609" cy="3279098"/>
            <wp:effectExtent l="0" t="0" r="0" b="0"/>
            <wp:docPr id="1894286108" name="Imagen 1894286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extLst>
                        <a:ext uri="{28A0092B-C50C-407E-A947-70E740481C1C}">
                          <a14:useLocalDpi xmlns:a14="http://schemas.microsoft.com/office/drawing/2010/main" val="0"/>
                        </a:ext>
                      </a:extLst>
                    </a:blip>
                    <a:stretch>
                      <a:fillRect/>
                    </a:stretch>
                  </pic:blipFill>
                  <pic:spPr>
                    <a:xfrm>
                      <a:off x="0" y="0"/>
                      <a:ext cx="2690968" cy="3281975"/>
                    </a:xfrm>
                    <a:prstGeom prst="rect">
                      <a:avLst/>
                    </a:prstGeom>
                  </pic:spPr>
                </pic:pic>
              </a:graphicData>
            </a:graphic>
          </wp:inline>
        </w:drawing>
      </w:r>
    </w:p>
    <w:p w14:paraId="66E8E4E8" w14:textId="77777777" w:rsidR="007B7514" w:rsidRPr="00646725" w:rsidRDefault="007B7514" w:rsidP="007B7514">
      <w:pPr>
        <w:jc w:val="center"/>
        <w:rPr>
          <w:rFonts w:eastAsia="Arial" w:cs="Arial"/>
          <w:b/>
          <w:bCs/>
          <w:color w:val="000000" w:themeColor="text1"/>
          <w:sz w:val="16"/>
          <w:szCs w:val="16"/>
          <w:lang w:val="es"/>
        </w:rPr>
      </w:pPr>
      <w:r w:rsidRPr="00646725">
        <w:rPr>
          <w:rFonts w:eastAsia="Arial" w:cs="Arial"/>
          <w:b/>
          <w:bCs/>
          <w:color w:val="000000" w:themeColor="text1"/>
          <w:sz w:val="16"/>
          <w:szCs w:val="16"/>
          <w:lang w:val="es"/>
        </w:rPr>
        <w:t>Fuente: IGAC. Dirección de Gestión de la Información Geográfica. 2021</w:t>
      </w:r>
    </w:p>
    <w:p w14:paraId="0FA27665" w14:textId="77777777" w:rsidR="007B7514" w:rsidRDefault="007B7514" w:rsidP="007B7514">
      <w:pPr>
        <w:jc w:val="center"/>
      </w:pPr>
      <w:r w:rsidRPr="31FF9146">
        <w:rPr>
          <w:rFonts w:eastAsia="Arial" w:cs="Arial"/>
          <w:color w:val="000000" w:themeColor="text1"/>
          <w:lang w:val="es"/>
        </w:rPr>
        <w:t xml:space="preserve"> </w:t>
      </w:r>
    </w:p>
    <w:p w14:paraId="66A4B98F" w14:textId="0DB6D5D5" w:rsidR="007B7514" w:rsidRDefault="007B7514" w:rsidP="007B7514">
      <w:pPr>
        <w:jc w:val="both"/>
      </w:pPr>
      <w:r w:rsidRPr="31FF9146">
        <w:rPr>
          <w:rFonts w:eastAsia="Arial" w:cs="Arial"/>
          <w:color w:val="000000" w:themeColor="text1"/>
          <w:sz w:val="22"/>
          <w:szCs w:val="22"/>
          <w:lang w:val="es"/>
        </w:rPr>
        <w:t xml:space="preserve">Adicionalmente, durante el 2020 y 2021, se realizó la exploración, materialización y puesta en operación de 18 estaciones, logrando proveer cobertura de red geodésica a 153 municipios adicionales a los que se cubrían en 2019. </w:t>
      </w:r>
    </w:p>
    <w:p w14:paraId="586F9DFB" w14:textId="77777777" w:rsidR="007B7514"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4D0C89C3" w14:textId="77777777" w:rsidR="007B7514" w:rsidRDefault="007B7514" w:rsidP="007B7514">
      <w:pPr>
        <w:jc w:val="both"/>
        <w:rPr>
          <w:rFonts w:eastAsia="Arial" w:cs="Arial"/>
          <w:color w:val="000000" w:themeColor="text1"/>
          <w:lang w:val="es"/>
        </w:rPr>
      </w:pPr>
    </w:p>
    <w:p w14:paraId="48E95EEA" w14:textId="2BD512FE" w:rsidR="00581D98" w:rsidRPr="00581D98" w:rsidRDefault="00581D98" w:rsidP="00581D98">
      <w:pPr>
        <w:pStyle w:val="Descripcin"/>
        <w:jc w:val="center"/>
        <w:rPr>
          <w:rFonts w:ascii="Arial" w:eastAsia="Arial" w:hAnsi="Arial" w:cs="Arial"/>
          <w:b/>
          <w:bCs/>
          <w:i w:val="0"/>
          <w:iCs w:val="0"/>
          <w:color w:val="000000" w:themeColor="text1"/>
          <w:sz w:val="16"/>
          <w:szCs w:val="16"/>
          <w:lang w:val="es"/>
        </w:rPr>
      </w:pPr>
      <w:bookmarkStart w:id="97" w:name="_Toc88677181"/>
      <w:r w:rsidRPr="00581D98">
        <w:rPr>
          <w:rFonts w:ascii="Arial" w:hAnsi="Arial" w:cs="Arial"/>
          <w:b/>
          <w:bCs/>
          <w:i w:val="0"/>
          <w:iCs w:val="0"/>
          <w:color w:val="000000" w:themeColor="text1"/>
          <w:sz w:val="16"/>
          <w:szCs w:val="16"/>
        </w:rPr>
        <w:t xml:space="preserve">Ilustración </w:t>
      </w:r>
      <w:r w:rsidRPr="00581D98">
        <w:rPr>
          <w:rFonts w:ascii="Arial" w:hAnsi="Arial" w:cs="Arial"/>
          <w:b/>
          <w:bCs/>
          <w:i w:val="0"/>
          <w:iCs w:val="0"/>
          <w:color w:val="000000" w:themeColor="text1"/>
          <w:sz w:val="16"/>
          <w:szCs w:val="16"/>
        </w:rPr>
        <w:fldChar w:fldCharType="begin"/>
      </w:r>
      <w:r w:rsidRPr="00581D98">
        <w:rPr>
          <w:rFonts w:ascii="Arial" w:hAnsi="Arial" w:cs="Arial"/>
          <w:b/>
          <w:bCs/>
          <w:i w:val="0"/>
          <w:iCs w:val="0"/>
          <w:color w:val="000000" w:themeColor="text1"/>
          <w:sz w:val="16"/>
          <w:szCs w:val="16"/>
        </w:rPr>
        <w:instrText xml:space="preserve"> SEQ Ilustración \* ARABIC </w:instrText>
      </w:r>
      <w:r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25</w:t>
      </w:r>
      <w:r w:rsidRPr="00581D98">
        <w:rPr>
          <w:rFonts w:ascii="Arial" w:hAnsi="Arial" w:cs="Arial"/>
          <w:b/>
          <w:bCs/>
          <w:i w:val="0"/>
          <w:iCs w:val="0"/>
          <w:color w:val="000000" w:themeColor="text1"/>
          <w:sz w:val="16"/>
          <w:szCs w:val="16"/>
        </w:rPr>
        <w:fldChar w:fldCharType="end"/>
      </w:r>
      <w:r w:rsidRPr="00581D98">
        <w:rPr>
          <w:rFonts w:ascii="Arial" w:hAnsi="Arial" w:cs="Arial"/>
          <w:b/>
          <w:bCs/>
          <w:i w:val="0"/>
          <w:iCs w:val="0"/>
          <w:color w:val="000000" w:themeColor="text1"/>
          <w:sz w:val="16"/>
          <w:szCs w:val="16"/>
        </w:rPr>
        <w:t>. Densificación de la red geodésica nacional</w:t>
      </w:r>
      <w:bookmarkEnd w:id="97"/>
    </w:p>
    <w:p w14:paraId="15232628" w14:textId="77777777" w:rsidR="007B7514" w:rsidRDefault="007B7514" w:rsidP="007B7514">
      <w:pPr>
        <w:jc w:val="center"/>
      </w:pPr>
      <w:r>
        <w:rPr>
          <w:noProof/>
          <w:lang w:val="es-CO" w:eastAsia="es-CO"/>
        </w:rPr>
        <w:drawing>
          <wp:inline distT="0" distB="0" distL="0" distR="0" wp14:anchorId="25DD8783" wp14:editId="3EA480A9">
            <wp:extent cx="2915729" cy="1442424"/>
            <wp:effectExtent l="0" t="0" r="0" b="5715"/>
            <wp:docPr id="291697634" name="Imagen 291697634" descr="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Escala de tiempo&#10;&#10;Descripción generada automáticamente"/>
                    <pic:cNvPicPr>
                      <a:picLocks noChangeAspect="1"/>
                    </pic:cNvPicPr>
                  </pic:nvPicPr>
                  <pic:blipFill rotWithShape="1">
                    <a:blip r:embed="rId49"/>
                    <a:srcRect l="-1" t="4957" r="958" b="5404"/>
                    <a:stretch/>
                  </pic:blipFill>
                  <pic:spPr bwMode="auto">
                    <a:xfrm>
                      <a:off x="0" y="0"/>
                      <a:ext cx="2935891" cy="1452398"/>
                    </a:xfrm>
                    <a:prstGeom prst="rect">
                      <a:avLst/>
                    </a:prstGeom>
                    <a:ln>
                      <a:noFill/>
                    </a:ln>
                    <a:extLst>
                      <a:ext uri="{53640926-AAD7-44D8-BBD7-CCE9431645EC}">
                        <a14:shadowObscured xmlns:a14="http://schemas.microsoft.com/office/drawing/2010/main"/>
                      </a:ext>
                    </a:extLst>
                  </pic:spPr>
                </pic:pic>
              </a:graphicData>
            </a:graphic>
          </wp:inline>
        </w:drawing>
      </w:r>
    </w:p>
    <w:p w14:paraId="007B7B71" w14:textId="77777777" w:rsidR="007B7514" w:rsidRPr="00613104" w:rsidRDefault="007B7514" w:rsidP="007B7514">
      <w:pPr>
        <w:jc w:val="center"/>
        <w:rPr>
          <w:rFonts w:eastAsia="Arial" w:cs="Arial"/>
          <w:b/>
          <w:bCs/>
          <w:color w:val="000000" w:themeColor="text1"/>
          <w:sz w:val="16"/>
          <w:szCs w:val="16"/>
          <w:lang w:val="es"/>
        </w:rPr>
      </w:pPr>
      <w:r w:rsidRPr="00613104">
        <w:rPr>
          <w:rFonts w:eastAsia="Arial" w:cs="Arial"/>
          <w:b/>
          <w:bCs/>
          <w:color w:val="000000" w:themeColor="text1"/>
          <w:sz w:val="16"/>
          <w:szCs w:val="16"/>
          <w:lang w:val="es"/>
        </w:rPr>
        <w:t>Fuente: IGAC. Dirección de Gestión de la Información Geográfica. 2021</w:t>
      </w:r>
    </w:p>
    <w:p w14:paraId="1C3B464A" w14:textId="77777777" w:rsidR="007B7514" w:rsidRDefault="007B7514" w:rsidP="007B7514">
      <w:pPr>
        <w:jc w:val="center"/>
      </w:pPr>
      <w:r w:rsidRPr="31FF9146">
        <w:rPr>
          <w:rFonts w:eastAsia="Arial" w:cs="Arial"/>
          <w:color w:val="000000" w:themeColor="text1"/>
          <w:sz w:val="14"/>
          <w:szCs w:val="14"/>
          <w:lang w:val="es"/>
        </w:rPr>
        <w:t xml:space="preserve"> </w:t>
      </w:r>
    </w:p>
    <w:p w14:paraId="29044D1E" w14:textId="77777777" w:rsidR="007B7514" w:rsidRDefault="007B7514" w:rsidP="007B7514">
      <w:pPr>
        <w:jc w:val="both"/>
      </w:pPr>
      <w:r w:rsidRPr="31FF9146">
        <w:rPr>
          <w:rFonts w:eastAsia="Arial" w:cs="Arial"/>
          <w:color w:val="000000" w:themeColor="text1"/>
          <w:sz w:val="22"/>
          <w:szCs w:val="22"/>
          <w:lang w:val="es"/>
        </w:rPr>
        <w:t>Cabe mencionar que, durante esta administración, se consiguió adquirir y disponer la primera estación geodésica con comunicación satelital, garantizando con ello acceso permanente a los datos geodésicos en sitios del país en donde el internet es deficiente. A octubre de 2021, se han instalado cinco (5) estaciones con este tipo de comunicación.</w:t>
      </w:r>
    </w:p>
    <w:p w14:paraId="250F3AC6" w14:textId="77777777" w:rsidR="007B7514" w:rsidRDefault="007B7514" w:rsidP="007B7514">
      <w:pPr>
        <w:jc w:val="both"/>
      </w:pPr>
      <w:r w:rsidRPr="31FF9146">
        <w:rPr>
          <w:rFonts w:eastAsia="Arial" w:cs="Arial"/>
          <w:color w:val="000000" w:themeColor="text1"/>
          <w:sz w:val="22"/>
          <w:szCs w:val="22"/>
          <w:lang w:val="es"/>
        </w:rPr>
        <w:t xml:space="preserve"> </w:t>
      </w:r>
    </w:p>
    <w:p w14:paraId="544E88F8" w14:textId="77777777" w:rsidR="007B7514" w:rsidRDefault="007B7514" w:rsidP="007B7514">
      <w:pPr>
        <w:jc w:val="both"/>
      </w:pPr>
      <w:r w:rsidRPr="31FF9146">
        <w:rPr>
          <w:rFonts w:eastAsia="Arial" w:cs="Arial"/>
          <w:color w:val="000000" w:themeColor="text1"/>
          <w:sz w:val="22"/>
          <w:szCs w:val="22"/>
          <w:lang w:val="es"/>
        </w:rPr>
        <w:lastRenderedPageBreak/>
        <w:t>De acuerdo con lo anterior, Colombia hoy cuenta con una red geodésica integrada y densificada con 173 estaciones de operación continua, que proveen un cubrimiento mayor al 75% de 512 municipios del país.</w:t>
      </w:r>
    </w:p>
    <w:p w14:paraId="63E97BC7" w14:textId="77777777" w:rsidR="007B7514"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290B7D10" w14:textId="2FFC70FA" w:rsidR="00581D98" w:rsidRPr="00581D98" w:rsidRDefault="00581D98" w:rsidP="00581D98">
      <w:pPr>
        <w:pStyle w:val="Descripcin"/>
        <w:jc w:val="center"/>
        <w:rPr>
          <w:rFonts w:ascii="Arial" w:hAnsi="Arial" w:cs="Arial"/>
          <w:b/>
          <w:bCs/>
          <w:i w:val="0"/>
          <w:iCs w:val="0"/>
          <w:color w:val="000000" w:themeColor="text1"/>
          <w:sz w:val="16"/>
          <w:szCs w:val="16"/>
        </w:rPr>
      </w:pPr>
      <w:bookmarkStart w:id="98" w:name="_Toc88677182"/>
      <w:r w:rsidRPr="00581D98">
        <w:rPr>
          <w:rFonts w:ascii="Arial" w:hAnsi="Arial" w:cs="Arial"/>
          <w:b/>
          <w:bCs/>
          <w:i w:val="0"/>
          <w:iCs w:val="0"/>
          <w:color w:val="000000" w:themeColor="text1"/>
          <w:sz w:val="16"/>
          <w:szCs w:val="16"/>
        </w:rPr>
        <w:t xml:space="preserve">Ilustración </w:t>
      </w:r>
      <w:r w:rsidRPr="00581D98">
        <w:rPr>
          <w:rFonts w:ascii="Arial" w:hAnsi="Arial" w:cs="Arial"/>
          <w:b/>
          <w:bCs/>
          <w:i w:val="0"/>
          <w:iCs w:val="0"/>
          <w:color w:val="000000" w:themeColor="text1"/>
          <w:sz w:val="16"/>
          <w:szCs w:val="16"/>
        </w:rPr>
        <w:fldChar w:fldCharType="begin"/>
      </w:r>
      <w:r w:rsidRPr="00581D98">
        <w:rPr>
          <w:rFonts w:ascii="Arial" w:hAnsi="Arial" w:cs="Arial"/>
          <w:b/>
          <w:bCs/>
          <w:i w:val="0"/>
          <w:iCs w:val="0"/>
          <w:color w:val="000000" w:themeColor="text1"/>
          <w:sz w:val="16"/>
          <w:szCs w:val="16"/>
        </w:rPr>
        <w:instrText xml:space="preserve"> SEQ Ilustración \* ARABIC </w:instrText>
      </w:r>
      <w:r w:rsidRPr="00581D9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26</w:t>
      </w:r>
      <w:r w:rsidRPr="00581D98">
        <w:rPr>
          <w:rFonts w:ascii="Arial" w:hAnsi="Arial" w:cs="Arial"/>
          <w:b/>
          <w:bCs/>
          <w:i w:val="0"/>
          <w:iCs w:val="0"/>
          <w:color w:val="000000" w:themeColor="text1"/>
          <w:sz w:val="16"/>
          <w:szCs w:val="16"/>
        </w:rPr>
        <w:fldChar w:fldCharType="end"/>
      </w:r>
      <w:r w:rsidRPr="00581D98">
        <w:rPr>
          <w:rFonts w:ascii="Arial" w:hAnsi="Arial" w:cs="Arial"/>
          <w:b/>
          <w:bCs/>
          <w:i w:val="0"/>
          <w:iCs w:val="0"/>
          <w:color w:val="000000" w:themeColor="text1"/>
          <w:sz w:val="16"/>
          <w:szCs w:val="16"/>
        </w:rPr>
        <w:t>. Densificación y cubrimiento de la Red Geodésica Nacional</w:t>
      </w:r>
      <w:bookmarkEnd w:id="98"/>
    </w:p>
    <w:p w14:paraId="033C58E3" w14:textId="77777777" w:rsidR="007B7514" w:rsidRDefault="007B7514" w:rsidP="007B7514">
      <w:pPr>
        <w:jc w:val="center"/>
      </w:pPr>
      <w:r>
        <w:rPr>
          <w:noProof/>
          <w:lang w:val="es-CO" w:eastAsia="es-CO"/>
        </w:rPr>
        <w:drawing>
          <wp:inline distT="0" distB="0" distL="0" distR="0" wp14:anchorId="47E8A597" wp14:editId="432575A9">
            <wp:extent cx="2609850" cy="3374807"/>
            <wp:effectExtent l="0" t="0" r="0" b="0"/>
            <wp:docPr id="190795744" name="Imagen 190795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extLst>
                        <a:ext uri="{28A0092B-C50C-407E-A947-70E740481C1C}">
                          <a14:useLocalDpi xmlns:a14="http://schemas.microsoft.com/office/drawing/2010/main" val="0"/>
                        </a:ext>
                      </a:extLst>
                    </a:blip>
                    <a:stretch>
                      <a:fillRect/>
                    </a:stretch>
                  </pic:blipFill>
                  <pic:spPr>
                    <a:xfrm>
                      <a:off x="0" y="0"/>
                      <a:ext cx="2611429" cy="3376848"/>
                    </a:xfrm>
                    <a:prstGeom prst="rect">
                      <a:avLst/>
                    </a:prstGeom>
                  </pic:spPr>
                </pic:pic>
              </a:graphicData>
            </a:graphic>
          </wp:inline>
        </w:drawing>
      </w:r>
    </w:p>
    <w:p w14:paraId="3D2AB3FD" w14:textId="77777777" w:rsidR="007B7514" w:rsidRPr="00116318" w:rsidRDefault="007B7514" w:rsidP="007B7514">
      <w:pPr>
        <w:jc w:val="center"/>
        <w:rPr>
          <w:rFonts w:eastAsia="Arial" w:cs="Arial"/>
          <w:b/>
          <w:bCs/>
          <w:color w:val="000000" w:themeColor="text1"/>
          <w:sz w:val="16"/>
          <w:szCs w:val="16"/>
          <w:lang w:val="es"/>
        </w:rPr>
      </w:pPr>
      <w:r w:rsidRPr="00116318">
        <w:rPr>
          <w:rFonts w:eastAsia="Arial" w:cs="Arial"/>
          <w:b/>
          <w:bCs/>
          <w:color w:val="000000" w:themeColor="text1"/>
          <w:sz w:val="16"/>
          <w:szCs w:val="16"/>
          <w:lang w:val="es"/>
        </w:rPr>
        <w:t>Fuente: IGAC. Dirección de Gestión de la Información Geográfica</w:t>
      </w:r>
    </w:p>
    <w:p w14:paraId="2A47BB3E" w14:textId="77777777" w:rsidR="007B7514" w:rsidRDefault="007B7514" w:rsidP="007B7514">
      <w:pPr>
        <w:jc w:val="both"/>
        <w:rPr>
          <w:rFonts w:eastAsia="Arial" w:cs="Arial"/>
          <w:b/>
          <w:bCs/>
          <w:color w:val="000000" w:themeColor="text1"/>
          <w:sz w:val="16"/>
          <w:szCs w:val="16"/>
          <w:lang w:val="es"/>
        </w:rPr>
      </w:pPr>
      <w:r w:rsidRPr="00116318">
        <w:rPr>
          <w:rFonts w:eastAsia="Arial" w:cs="Arial"/>
          <w:b/>
          <w:bCs/>
          <w:color w:val="000000" w:themeColor="text1"/>
          <w:sz w:val="16"/>
          <w:szCs w:val="16"/>
          <w:lang w:val="es"/>
        </w:rPr>
        <w:t xml:space="preserve"> </w:t>
      </w:r>
    </w:p>
    <w:p w14:paraId="1CE70B33" w14:textId="77777777" w:rsidR="007B7514" w:rsidRPr="00116318" w:rsidRDefault="007B7514" w:rsidP="007B7514">
      <w:pPr>
        <w:jc w:val="both"/>
        <w:rPr>
          <w:rFonts w:eastAsia="Arial" w:cs="Arial"/>
          <w:b/>
          <w:bCs/>
          <w:color w:val="000000" w:themeColor="text1"/>
          <w:sz w:val="16"/>
          <w:szCs w:val="16"/>
          <w:lang w:val="es"/>
        </w:rPr>
      </w:pPr>
    </w:p>
    <w:p w14:paraId="66A5568D" w14:textId="77777777" w:rsidR="007B7514" w:rsidRDefault="007B7514" w:rsidP="007B7514">
      <w:pPr>
        <w:jc w:val="both"/>
      </w:pPr>
      <w:r w:rsidRPr="31FF9146">
        <w:rPr>
          <w:rFonts w:eastAsia="Arial" w:cs="Arial"/>
          <w:color w:val="000000" w:themeColor="text1"/>
          <w:sz w:val="22"/>
          <w:szCs w:val="22"/>
          <w:lang w:val="es"/>
        </w:rPr>
        <w:t>Adicionalmente, y como complemento a la densificación de la red geodésica, se han materializado 29 vértices geodésicos en 11 municipios</w:t>
      </w:r>
      <w:r>
        <w:rPr>
          <w:rFonts w:eastAsia="Arial" w:cs="Arial"/>
          <w:color w:val="000000" w:themeColor="text1"/>
          <w:sz w:val="22"/>
          <w:szCs w:val="22"/>
          <w:lang w:val="es"/>
        </w:rPr>
        <w:t>.</w:t>
      </w:r>
    </w:p>
    <w:p w14:paraId="6FF653CF" w14:textId="77777777" w:rsidR="005F7670" w:rsidRDefault="007B7514" w:rsidP="007B7514">
      <w:pPr>
        <w:jc w:val="both"/>
      </w:pPr>
      <w:r w:rsidRPr="31FF9146">
        <w:rPr>
          <w:rFonts w:eastAsia="Arial" w:cs="Arial"/>
          <w:color w:val="000000" w:themeColor="text1"/>
          <w:lang w:val="es"/>
        </w:rPr>
        <w:t xml:space="preserve"> </w:t>
      </w:r>
    </w:p>
    <w:p w14:paraId="1AF5D804" w14:textId="11E03026" w:rsidR="005F7670" w:rsidRPr="005F7670" w:rsidRDefault="005F7670" w:rsidP="005F7670">
      <w:pPr>
        <w:pStyle w:val="Descripcin"/>
        <w:keepNext/>
        <w:jc w:val="center"/>
        <w:rPr>
          <w:rFonts w:ascii="Arial" w:hAnsi="Arial" w:cs="Arial"/>
          <w:b/>
          <w:bCs/>
          <w:i w:val="0"/>
          <w:iCs w:val="0"/>
          <w:color w:val="auto"/>
          <w:sz w:val="16"/>
          <w:szCs w:val="16"/>
        </w:rPr>
      </w:pPr>
      <w:bookmarkStart w:id="99" w:name="_Toc88677104"/>
      <w:r w:rsidRPr="005F7670">
        <w:rPr>
          <w:rFonts w:ascii="Arial" w:hAnsi="Arial" w:cs="Arial"/>
          <w:b/>
          <w:bCs/>
          <w:i w:val="0"/>
          <w:iCs w:val="0"/>
          <w:color w:val="auto"/>
          <w:sz w:val="16"/>
          <w:szCs w:val="16"/>
        </w:rPr>
        <w:t xml:space="preserve">Tabla </w:t>
      </w:r>
      <w:r w:rsidRPr="005F7670">
        <w:rPr>
          <w:rFonts w:ascii="Arial" w:hAnsi="Arial" w:cs="Arial"/>
          <w:b/>
          <w:bCs/>
          <w:i w:val="0"/>
          <w:iCs w:val="0"/>
          <w:color w:val="auto"/>
          <w:sz w:val="16"/>
          <w:szCs w:val="16"/>
        </w:rPr>
        <w:fldChar w:fldCharType="begin"/>
      </w:r>
      <w:r w:rsidRPr="005F7670">
        <w:rPr>
          <w:rFonts w:ascii="Arial" w:hAnsi="Arial" w:cs="Arial"/>
          <w:b/>
          <w:bCs/>
          <w:i w:val="0"/>
          <w:iCs w:val="0"/>
          <w:color w:val="auto"/>
          <w:sz w:val="16"/>
          <w:szCs w:val="16"/>
        </w:rPr>
        <w:instrText xml:space="preserve"> SEQ Tabla \* ARABIC </w:instrText>
      </w:r>
      <w:r w:rsidRPr="005F7670">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32</w:t>
      </w:r>
      <w:r w:rsidRPr="005F7670">
        <w:rPr>
          <w:rFonts w:ascii="Arial" w:hAnsi="Arial" w:cs="Arial"/>
          <w:b/>
          <w:bCs/>
          <w:i w:val="0"/>
          <w:iCs w:val="0"/>
          <w:color w:val="auto"/>
          <w:sz w:val="16"/>
          <w:szCs w:val="16"/>
        </w:rPr>
        <w:fldChar w:fldCharType="end"/>
      </w:r>
      <w:r w:rsidRPr="005F7670">
        <w:rPr>
          <w:rFonts w:ascii="Arial" w:hAnsi="Arial" w:cs="Arial"/>
          <w:b/>
          <w:bCs/>
          <w:i w:val="0"/>
          <w:iCs w:val="0"/>
          <w:color w:val="auto"/>
          <w:sz w:val="16"/>
          <w:szCs w:val="16"/>
        </w:rPr>
        <w:t>. Vértices geodésicos densificados 2021</w:t>
      </w:r>
      <w:bookmarkEnd w:id="99"/>
    </w:p>
    <w:tbl>
      <w:tblPr>
        <w:tblStyle w:val="Tabladelista4-nfasis1"/>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3675"/>
        <w:gridCol w:w="2130"/>
      </w:tblGrid>
      <w:tr w:rsidR="007B7514" w14:paraId="6FE11561" w14:textId="77777777" w:rsidTr="00A6302C">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675" w:type="dxa"/>
            <w:tcBorders>
              <w:top w:val="none" w:sz="0" w:space="0" w:color="auto"/>
              <w:left w:val="none" w:sz="0" w:space="0" w:color="auto"/>
              <w:bottom w:val="none" w:sz="0" w:space="0" w:color="auto"/>
            </w:tcBorders>
          </w:tcPr>
          <w:p w14:paraId="3169D57B" w14:textId="77777777" w:rsidR="007B7514" w:rsidRDefault="007B7514" w:rsidP="00A6302C">
            <w:pPr>
              <w:jc w:val="center"/>
            </w:pPr>
            <w:r w:rsidRPr="31FF9146">
              <w:rPr>
                <w:rFonts w:eastAsia="Arial" w:cs="Arial"/>
                <w:sz w:val="18"/>
                <w:szCs w:val="18"/>
                <w:lang w:val="en-US"/>
              </w:rPr>
              <w:t>Municipio</w:t>
            </w:r>
          </w:p>
        </w:tc>
        <w:tc>
          <w:tcPr>
            <w:tcW w:w="2130" w:type="dxa"/>
            <w:tcBorders>
              <w:top w:val="none" w:sz="0" w:space="0" w:color="auto"/>
              <w:bottom w:val="none" w:sz="0" w:space="0" w:color="auto"/>
              <w:right w:val="none" w:sz="0" w:space="0" w:color="auto"/>
            </w:tcBorders>
          </w:tcPr>
          <w:p w14:paraId="442F912C"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n-US"/>
              </w:rPr>
              <w:t>Vértices densificados</w:t>
            </w:r>
          </w:p>
        </w:tc>
      </w:tr>
      <w:tr w:rsidR="007B7514" w14:paraId="1201342D"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28FE269F" w14:textId="77777777" w:rsidR="007B7514" w:rsidRDefault="007B7514" w:rsidP="00A6302C">
            <w:pPr>
              <w:jc w:val="center"/>
            </w:pPr>
            <w:r w:rsidRPr="31FF9146">
              <w:rPr>
                <w:rFonts w:eastAsia="Arial" w:cs="Arial"/>
                <w:sz w:val="18"/>
                <w:szCs w:val="18"/>
                <w:lang w:val="en-US"/>
              </w:rPr>
              <w:t>Arauquita (Arauca)</w:t>
            </w:r>
          </w:p>
        </w:tc>
        <w:tc>
          <w:tcPr>
            <w:tcW w:w="2130" w:type="dxa"/>
          </w:tcPr>
          <w:p w14:paraId="391C695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10</w:t>
            </w:r>
          </w:p>
        </w:tc>
      </w:tr>
      <w:tr w:rsidR="007B7514" w14:paraId="1542E764"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533B5D77" w14:textId="77777777" w:rsidR="007B7514" w:rsidRDefault="007B7514" w:rsidP="00A6302C">
            <w:pPr>
              <w:jc w:val="center"/>
            </w:pPr>
            <w:r w:rsidRPr="31FF9146">
              <w:rPr>
                <w:rFonts w:eastAsia="Arial" w:cs="Arial"/>
                <w:sz w:val="18"/>
                <w:szCs w:val="18"/>
                <w:lang w:val="en-US"/>
              </w:rPr>
              <w:t>Cabuyaro (Meta)</w:t>
            </w:r>
          </w:p>
        </w:tc>
        <w:tc>
          <w:tcPr>
            <w:tcW w:w="2130" w:type="dxa"/>
          </w:tcPr>
          <w:p w14:paraId="277D842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3F7A05CD"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42B3B567" w14:textId="77777777" w:rsidR="007B7514" w:rsidRDefault="007B7514" w:rsidP="00A6302C">
            <w:pPr>
              <w:jc w:val="center"/>
            </w:pPr>
            <w:r w:rsidRPr="31FF9146">
              <w:rPr>
                <w:rFonts w:eastAsia="Arial" w:cs="Arial"/>
                <w:sz w:val="18"/>
                <w:szCs w:val="18"/>
                <w:lang w:val="en-US"/>
              </w:rPr>
              <w:t>Covarachia (Boyacá)</w:t>
            </w:r>
          </w:p>
        </w:tc>
        <w:tc>
          <w:tcPr>
            <w:tcW w:w="2130" w:type="dxa"/>
          </w:tcPr>
          <w:p w14:paraId="0343149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7296CDCC"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473D699C" w14:textId="77777777" w:rsidR="007B7514" w:rsidRDefault="007B7514" w:rsidP="00A6302C">
            <w:pPr>
              <w:jc w:val="center"/>
            </w:pPr>
            <w:r w:rsidRPr="31FF9146">
              <w:rPr>
                <w:rFonts w:eastAsia="Arial" w:cs="Arial"/>
                <w:sz w:val="18"/>
                <w:szCs w:val="18"/>
                <w:lang w:val="en-US"/>
              </w:rPr>
              <w:t>Topaga (Boyacá)</w:t>
            </w:r>
          </w:p>
        </w:tc>
        <w:tc>
          <w:tcPr>
            <w:tcW w:w="2130" w:type="dxa"/>
          </w:tcPr>
          <w:p w14:paraId="1A0951E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6AF2C05C"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1E61F9A2" w14:textId="77777777" w:rsidR="007B7514" w:rsidRDefault="007B7514" w:rsidP="00A6302C">
            <w:pPr>
              <w:jc w:val="center"/>
            </w:pPr>
            <w:r w:rsidRPr="31FF9146">
              <w:rPr>
                <w:rFonts w:eastAsia="Arial" w:cs="Arial"/>
                <w:sz w:val="18"/>
                <w:szCs w:val="18"/>
                <w:lang w:val="en-US"/>
              </w:rPr>
              <w:t>Gameza (Boyacá)</w:t>
            </w:r>
          </w:p>
        </w:tc>
        <w:tc>
          <w:tcPr>
            <w:tcW w:w="2130" w:type="dxa"/>
          </w:tcPr>
          <w:p w14:paraId="2FB26C5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472D3776"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7DCA6E32" w14:textId="77777777" w:rsidR="007B7514" w:rsidRDefault="007B7514" w:rsidP="00A6302C">
            <w:pPr>
              <w:jc w:val="center"/>
            </w:pPr>
            <w:r w:rsidRPr="31FF9146">
              <w:rPr>
                <w:rFonts w:eastAsia="Arial" w:cs="Arial"/>
                <w:sz w:val="18"/>
                <w:szCs w:val="18"/>
                <w:lang w:val="en-US"/>
              </w:rPr>
              <w:t>Topaipi (Cundinamarca)</w:t>
            </w:r>
          </w:p>
        </w:tc>
        <w:tc>
          <w:tcPr>
            <w:tcW w:w="2130" w:type="dxa"/>
          </w:tcPr>
          <w:p w14:paraId="59F2803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41685DF2"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2CB58B47" w14:textId="77777777" w:rsidR="007B7514" w:rsidRDefault="007B7514" w:rsidP="00A6302C">
            <w:pPr>
              <w:jc w:val="center"/>
            </w:pPr>
            <w:r w:rsidRPr="31FF9146">
              <w:rPr>
                <w:rFonts w:eastAsia="Arial" w:cs="Arial"/>
                <w:sz w:val="18"/>
                <w:szCs w:val="18"/>
                <w:lang w:val="en-US"/>
              </w:rPr>
              <w:t>Popayán (Cauca)</w:t>
            </w:r>
          </w:p>
        </w:tc>
        <w:tc>
          <w:tcPr>
            <w:tcW w:w="2130" w:type="dxa"/>
          </w:tcPr>
          <w:p w14:paraId="4BACDB5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187E3520"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5BE8DA9D" w14:textId="77777777" w:rsidR="007B7514" w:rsidRDefault="007B7514" w:rsidP="00A6302C">
            <w:pPr>
              <w:jc w:val="center"/>
            </w:pPr>
            <w:r w:rsidRPr="31FF9146">
              <w:rPr>
                <w:rFonts w:eastAsia="Arial" w:cs="Arial"/>
                <w:sz w:val="18"/>
                <w:szCs w:val="18"/>
                <w:lang w:val="en-US"/>
              </w:rPr>
              <w:t>Urumita (La Guajira)</w:t>
            </w:r>
          </w:p>
        </w:tc>
        <w:tc>
          <w:tcPr>
            <w:tcW w:w="2130" w:type="dxa"/>
          </w:tcPr>
          <w:p w14:paraId="0F17A0B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1</w:t>
            </w:r>
          </w:p>
        </w:tc>
      </w:tr>
      <w:tr w:rsidR="007B7514" w14:paraId="04E6FAD7"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3CC8C486" w14:textId="77777777" w:rsidR="007B7514" w:rsidRDefault="007B7514" w:rsidP="00A6302C">
            <w:pPr>
              <w:jc w:val="center"/>
            </w:pPr>
            <w:r w:rsidRPr="31FF9146">
              <w:rPr>
                <w:rFonts w:eastAsia="Arial" w:cs="Arial"/>
                <w:sz w:val="18"/>
                <w:szCs w:val="18"/>
                <w:lang w:val="en-US"/>
              </w:rPr>
              <w:t>El Banco  (Magdalena)</w:t>
            </w:r>
          </w:p>
        </w:tc>
        <w:tc>
          <w:tcPr>
            <w:tcW w:w="2130" w:type="dxa"/>
          </w:tcPr>
          <w:p w14:paraId="7D280F7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6B86508D"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2C31C813" w14:textId="77777777" w:rsidR="007B7514" w:rsidRDefault="007B7514" w:rsidP="00A6302C">
            <w:pPr>
              <w:jc w:val="center"/>
            </w:pPr>
            <w:r w:rsidRPr="31FF9146">
              <w:rPr>
                <w:rFonts w:eastAsia="Arial" w:cs="Arial"/>
                <w:sz w:val="18"/>
                <w:szCs w:val="18"/>
                <w:lang w:val="es"/>
              </w:rPr>
              <w:t>Toluviejo (Sucre)</w:t>
            </w:r>
          </w:p>
        </w:tc>
        <w:tc>
          <w:tcPr>
            <w:tcW w:w="2130" w:type="dxa"/>
          </w:tcPr>
          <w:p w14:paraId="0CD53CB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16D47ADA"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1ACD33E6" w14:textId="77777777" w:rsidR="007B7514" w:rsidRDefault="007B7514" w:rsidP="00A6302C">
            <w:pPr>
              <w:jc w:val="center"/>
            </w:pPr>
            <w:r w:rsidRPr="31FF9146">
              <w:rPr>
                <w:rFonts w:eastAsia="Arial" w:cs="Arial"/>
                <w:sz w:val="18"/>
                <w:szCs w:val="18"/>
                <w:lang w:val="es"/>
              </w:rPr>
              <w:t>San Estanislao (Bolívar)</w:t>
            </w:r>
          </w:p>
        </w:tc>
        <w:tc>
          <w:tcPr>
            <w:tcW w:w="2130" w:type="dxa"/>
          </w:tcPr>
          <w:p w14:paraId="4D4CD00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w:t>
            </w:r>
          </w:p>
        </w:tc>
      </w:tr>
      <w:tr w:rsidR="007B7514" w14:paraId="77E362D3"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675" w:type="dxa"/>
          </w:tcPr>
          <w:p w14:paraId="7079B16B" w14:textId="77777777" w:rsidR="007B7514" w:rsidRDefault="007B7514" w:rsidP="00A6302C">
            <w:pPr>
              <w:jc w:val="center"/>
            </w:pPr>
            <w:r w:rsidRPr="31FF9146">
              <w:rPr>
                <w:rFonts w:eastAsia="Arial" w:cs="Arial"/>
                <w:sz w:val="18"/>
                <w:szCs w:val="18"/>
                <w:lang w:val="en-US"/>
              </w:rPr>
              <w:t>Total</w:t>
            </w:r>
          </w:p>
        </w:tc>
        <w:tc>
          <w:tcPr>
            <w:tcW w:w="2130" w:type="dxa"/>
          </w:tcPr>
          <w:p w14:paraId="079846DE" w14:textId="77777777" w:rsidR="007B7514"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sz w:val="18"/>
                <w:szCs w:val="18"/>
                <w:lang w:val="en-US"/>
              </w:rPr>
              <w:t>29</w:t>
            </w:r>
          </w:p>
        </w:tc>
      </w:tr>
    </w:tbl>
    <w:p w14:paraId="695330FC" w14:textId="77777777" w:rsidR="007B7514" w:rsidRPr="00116318" w:rsidRDefault="007B7514" w:rsidP="007B7514">
      <w:pPr>
        <w:jc w:val="center"/>
        <w:rPr>
          <w:rFonts w:eastAsia="Arial" w:cs="Arial"/>
          <w:b/>
          <w:bCs/>
          <w:color w:val="000000" w:themeColor="text1"/>
          <w:sz w:val="16"/>
          <w:szCs w:val="16"/>
          <w:lang w:val="es"/>
        </w:rPr>
      </w:pPr>
      <w:r w:rsidRPr="00116318">
        <w:rPr>
          <w:rFonts w:eastAsia="Arial" w:cs="Arial"/>
          <w:b/>
          <w:bCs/>
          <w:color w:val="000000" w:themeColor="text1"/>
          <w:sz w:val="16"/>
          <w:szCs w:val="16"/>
          <w:lang w:val="es"/>
        </w:rPr>
        <w:t>Fuente: IGAC. Dirección de Gestión de la Información Geográfica</w:t>
      </w:r>
    </w:p>
    <w:p w14:paraId="378B28F6" w14:textId="77777777" w:rsidR="007B7514" w:rsidRDefault="007B7514" w:rsidP="007B7514">
      <w:pPr>
        <w:jc w:val="center"/>
      </w:pPr>
    </w:p>
    <w:p w14:paraId="70AF310B" w14:textId="77777777" w:rsidR="007B7514" w:rsidRDefault="007B7514" w:rsidP="007B7514">
      <w:pPr>
        <w:jc w:val="both"/>
      </w:pPr>
      <w:r w:rsidRPr="31FF9146">
        <w:rPr>
          <w:rFonts w:eastAsia="Arial" w:cs="Arial"/>
          <w:color w:val="000000" w:themeColor="text1"/>
          <w:sz w:val="22"/>
          <w:szCs w:val="22"/>
          <w:lang w:val="es"/>
        </w:rPr>
        <w:lastRenderedPageBreak/>
        <w:t xml:space="preserve">Así mismo, se llevó a cabo en el 2020 el mantenimiento de veintiocho (28) estaciones de operación continua, ubicadas en los municipios de: Socha (Boyacá), Planadas y Chaparral (Tolima), Arauca (Arauca), Yopal (Casanare), Becerril, Bosconia y Aguachica (César), Cúcuta, Pamplona (Norte de Santander), Fúquene (Cundinamarca), Guaymaral (Bogotá), Taraza (Antioquia), Bucaramanga (Santander), Villavicencio y Puerto Lleras (Meta), Tumaco (Tumaco), Tuquerres (Nariño), Silvia y Suarez (Cauca), Garagoa (Boyacá), Santa Rosalía (Vichada), Buenaventura (Valle del Cauca), Apartadó, El Bagre (Antioquia) y  Ovejas (Sucre), Puerto Carreño (Vichada), Rubiales - Puerto Gaitán (Meta) y 22 estaciones reactivadas en el 2020.  Relacionado con lo anterior, se ha logrado disponer más de 25.852 archivos RINEX a partir del 2020 a la fecha. </w:t>
      </w:r>
    </w:p>
    <w:p w14:paraId="0BF95E5F" w14:textId="77777777" w:rsidR="007B7514" w:rsidRDefault="007B7514" w:rsidP="007B7514">
      <w:pPr>
        <w:jc w:val="both"/>
      </w:pPr>
      <w:r w:rsidRPr="31FF9146">
        <w:rPr>
          <w:rFonts w:eastAsia="Arial" w:cs="Arial"/>
          <w:color w:val="000000" w:themeColor="text1"/>
          <w:lang w:val="es"/>
        </w:rPr>
        <w:t xml:space="preserve"> </w:t>
      </w:r>
    </w:p>
    <w:p w14:paraId="78A62139" w14:textId="26045920" w:rsidR="007B7514" w:rsidRPr="005F7670" w:rsidRDefault="005F7670" w:rsidP="005F7670">
      <w:pPr>
        <w:pStyle w:val="Descripcin"/>
        <w:jc w:val="center"/>
        <w:rPr>
          <w:rFonts w:ascii="Arial" w:hAnsi="Arial" w:cs="Arial"/>
          <w:b/>
          <w:bCs/>
          <w:i w:val="0"/>
          <w:iCs w:val="0"/>
          <w:color w:val="auto"/>
          <w:sz w:val="16"/>
          <w:szCs w:val="16"/>
        </w:rPr>
      </w:pPr>
      <w:bookmarkStart w:id="100" w:name="_Toc88677105"/>
      <w:r w:rsidRPr="005F7670">
        <w:rPr>
          <w:rFonts w:ascii="Arial" w:hAnsi="Arial" w:cs="Arial"/>
          <w:b/>
          <w:bCs/>
          <w:i w:val="0"/>
          <w:iCs w:val="0"/>
          <w:color w:val="auto"/>
          <w:sz w:val="16"/>
          <w:szCs w:val="16"/>
        </w:rPr>
        <w:t xml:space="preserve">Tabla </w:t>
      </w:r>
      <w:r w:rsidRPr="005F7670">
        <w:rPr>
          <w:rFonts w:ascii="Arial" w:hAnsi="Arial" w:cs="Arial"/>
          <w:b/>
          <w:bCs/>
          <w:i w:val="0"/>
          <w:iCs w:val="0"/>
          <w:color w:val="auto"/>
          <w:sz w:val="16"/>
          <w:szCs w:val="16"/>
        </w:rPr>
        <w:fldChar w:fldCharType="begin"/>
      </w:r>
      <w:r w:rsidRPr="005F7670">
        <w:rPr>
          <w:rFonts w:ascii="Arial" w:hAnsi="Arial" w:cs="Arial"/>
          <w:b/>
          <w:bCs/>
          <w:i w:val="0"/>
          <w:iCs w:val="0"/>
          <w:color w:val="auto"/>
          <w:sz w:val="16"/>
          <w:szCs w:val="16"/>
        </w:rPr>
        <w:instrText xml:space="preserve"> SEQ Tabla \* ARABIC </w:instrText>
      </w:r>
      <w:r w:rsidRPr="005F7670">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33</w:t>
      </w:r>
      <w:r w:rsidRPr="005F7670">
        <w:rPr>
          <w:rFonts w:ascii="Arial" w:hAnsi="Arial" w:cs="Arial"/>
          <w:b/>
          <w:bCs/>
          <w:i w:val="0"/>
          <w:iCs w:val="0"/>
          <w:color w:val="auto"/>
          <w:sz w:val="16"/>
          <w:szCs w:val="16"/>
        </w:rPr>
        <w:fldChar w:fldCharType="end"/>
      </w:r>
      <w:r w:rsidRPr="005F7670">
        <w:rPr>
          <w:rFonts w:ascii="Arial" w:hAnsi="Arial" w:cs="Arial"/>
          <w:b/>
          <w:bCs/>
          <w:i w:val="0"/>
          <w:iCs w:val="0"/>
          <w:color w:val="auto"/>
          <w:sz w:val="16"/>
          <w:szCs w:val="16"/>
        </w:rPr>
        <w:t>. Nombre de las estaciones reactivadas 2020 – 2021</w:t>
      </w:r>
      <w:bookmarkEnd w:id="100"/>
    </w:p>
    <w:p w14:paraId="18558930" w14:textId="77777777" w:rsidR="007B7514" w:rsidRPr="00E93016" w:rsidRDefault="007B7514" w:rsidP="007B7514">
      <w:pPr>
        <w:jc w:val="center"/>
        <w:rPr>
          <w:b/>
          <w:bCs/>
          <w:color w:val="000000" w:themeColor="text1"/>
          <w:sz w:val="16"/>
          <w:szCs w:val="16"/>
        </w:rPr>
      </w:pPr>
    </w:p>
    <w:tbl>
      <w:tblPr>
        <w:tblStyle w:val="Tabladelista4-nfasis1"/>
        <w:tblW w:w="0" w:type="auto"/>
        <w:jc w:val="center"/>
        <w:tblLayout w:type="fixed"/>
        <w:tblLook w:val="06A0" w:firstRow="1" w:lastRow="0" w:firstColumn="1" w:lastColumn="0" w:noHBand="1" w:noVBand="1"/>
      </w:tblPr>
      <w:tblGrid>
        <w:gridCol w:w="1969"/>
        <w:gridCol w:w="725"/>
        <w:gridCol w:w="2110"/>
        <w:gridCol w:w="780"/>
        <w:gridCol w:w="1365"/>
        <w:gridCol w:w="990"/>
      </w:tblGrid>
      <w:tr w:rsidR="007B7514" w14:paraId="22255032" w14:textId="77777777" w:rsidTr="0071295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94" w:type="dxa"/>
            <w:gridSpan w:val="2"/>
            <w:tcBorders>
              <w:top w:val="single" w:sz="4" w:space="0" w:color="auto"/>
              <w:left w:val="single" w:sz="4" w:space="0" w:color="auto"/>
              <w:bottom w:val="single" w:sz="4" w:space="0" w:color="auto"/>
              <w:right w:val="single" w:sz="4" w:space="0" w:color="auto"/>
            </w:tcBorders>
          </w:tcPr>
          <w:p w14:paraId="247CA51F" w14:textId="77777777" w:rsidR="007B7514" w:rsidRDefault="007B7514" w:rsidP="00A6302C">
            <w:pPr>
              <w:jc w:val="center"/>
            </w:pPr>
            <w:r w:rsidRPr="31FF9146">
              <w:rPr>
                <w:rFonts w:eastAsia="Arial" w:cs="Arial"/>
                <w:sz w:val="14"/>
                <w:szCs w:val="14"/>
                <w:lang w:val="es"/>
              </w:rPr>
              <w:t>2020</w:t>
            </w:r>
          </w:p>
        </w:tc>
        <w:tc>
          <w:tcPr>
            <w:tcW w:w="2890" w:type="dxa"/>
            <w:gridSpan w:val="2"/>
            <w:tcBorders>
              <w:top w:val="single" w:sz="4" w:space="0" w:color="auto"/>
              <w:left w:val="single" w:sz="4" w:space="0" w:color="auto"/>
              <w:bottom w:val="single" w:sz="4" w:space="0" w:color="auto"/>
              <w:right w:val="single" w:sz="4" w:space="0" w:color="auto"/>
            </w:tcBorders>
          </w:tcPr>
          <w:p w14:paraId="5CD74FF4"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4"/>
                <w:szCs w:val="14"/>
                <w:lang w:val="es"/>
              </w:rPr>
              <w:t>2021</w:t>
            </w:r>
          </w:p>
        </w:tc>
        <w:tc>
          <w:tcPr>
            <w:tcW w:w="2355" w:type="dxa"/>
            <w:gridSpan w:val="2"/>
            <w:tcBorders>
              <w:left w:val="single" w:sz="4" w:space="0" w:color="auto"/>
            </w:tcBorders>
          </w:tcPr>
          <w:p w14:paraId="4B233E99"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4"/>
                <w:szCs w:val="14"/>
                <w:lang w:val="es"/>
              </w:rPr>
              <w:t>2021-2022</w:t>
            </w:r>
          </w:p>
        </w:tc>
      </w:tr>
      <w:tr w:rsidR="007B7514" w14:paraId="76BD7362"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tcBorders>
              <w:top w:val="single" w:sz="4" w:space="0" w:color="auto"/>
              <w:left w:val="single" w:sz="4" w:space="0" w:color="auto"/>
              <w:bottom w:val="single" w:sz="4" w:space="0" w:color="auto"/>
              <w:right w:val="single" w:sz="4" w:space="0" w:color="auto"/>
            </w:tcBorders>
          </w:tcPr>
          <w:p w14:paraId="0C825520" w14:textId="77777777" w:rsidR="007B7514" w:rsidRPr="003E2C6C" w:rsidRDefault="007B7514" w:rsidP="00A6302C">
            <w:pPr>
              <w:jc w:val="center"/>
              <w:rPr>
                <w:rFonts w:cs="Arial"/>
                <w:sz w:val="16"/>
                <w:szCs w:val="16"/>
              </w:rPr>
            </w:pPr>
            <w:r w:rsidRPr="003E2C6C">
              <w:rPr>
                <w:rFonts w:eastAsia="Arial" w:cs="Arial"/>
                <w:sz w:val="16"/>
                <w:szCs w:val="16"/>
                <w:lang w:val="es"/>
              </w:rPr>
              <w:t>22</w:t>
            </w:r>
          </w:p>
          <w:p w14:paraId="7F08609F" w14:textId="77777777" w:rsidR="007B7514" w:rsidRPr="003E2C6C" w:rsidRDefault="007B7514" w:rsidP="00A6302C">
            <w:pPr>
              <w:jc w:val="center"/>
              <w:rPr>
                <w:rFonts w:cs="Arial"/>
                <w:sz w:val="16"/>
                <w:szCs w:val="16"/>
              </w:rPr>
            </w:pPr>
            <w:r w:rsidRPr="003E2C6C">
              <w:rPr>
                <w:rFonts w:eastAsia="Arial" w:cs="Arial"/>
                <w:sz w:val="16"/>
                <w:szCs w:val="16"/>
                <w:lang w:val="es"/>
              </w:rPr>
              <w:t>estaciones reactivadas</w:t>
            </w:r>
          </w:p>
        </w:tc>
        <w:tc>
          <w:tcPr>
            <w:tcW w:w="2890" w:type="dxa"/>
            <w:gridSpan w:val="2"/>
            <w:tcBorders>
              <w:top w:val="single" w:sz="4" w:space="0" w:color="auto"/>
              <w:left w:val="single" w:sz="4" w:space="0" w:color="auto"/>
              <w:bottom w:val="single" w:sz="4" w:space="0" w:color="auto"/>
              <w:right w:val="single" w:sz="4" w:space="0" w:color="auto"/>
            </w:tcBorders>
          </w:tcPr>
          <w:p w14:paraId="7F6FB635"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b/>
                <w:bCs/>
                <w:sz w:val="16"/>
                <w:szCs w:val="16"/>
              </w:rPr>
            </w:pPr>
            <w:r w:rsidRPr="003E2C6C">
              <w:rPr>
                <w:rFonts w:eastAsia="Arial" w:cs="Arial"/>
                <w:b/>
                <w:bCs/>
                <w:sz w:val="16"/>
                <w:szCs w:val="16"/>
                <w:lang w:val="es"/>
              </w:rPr>
              <w:t>28</w:t>
            </w:r>
          </w:p>
          <w:p w14:paraId="7BAE1898"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b/>
                <w:bCs/>
                <w:sz w:val="16"/>
                <w:szCs w:val="16"/>
              </w:rPr>
            </w:pPr>
            <w:r w:rsidRPr="003E2C6C">
              <w:rPr>
                <w:rFonts w:eastAsia="Arial" w:cs="Arial"/>
                <w:b/>
                <w:bCs/>
                <w:sz w:val="16"/>
                <w:szCs w:val="16"/>
                <w:lang w:val="es"/>
              </w:rPr>
              <w:t>estaciones reactivadas</w:t>
            </w:r>
          </w:p>
        </w:tc>
        <w:tc>
          <w:tcPr>
            <w:tcW w:w="2355" w:type="dxa"/>
            <w:gridSpan w:val="2"/>
            <w:tcBorders>
              <w:left w:val="single" w:sz="4" w:space="0" w:color="auto"/>
            </w:tcBorders>
          </w:tcPr>
          <w:p w14:paraId="60F27D79" w14:textId="77777777" w:rsidR="007B7514" w:rsidRPr="00E93016" w:rsidRDefault="007B7514" w:rsidP="00A6302C">
            <w:pPr>
              <w:jc w:val="center"/>
              <w:cnfStyle w:val="000000000000" w:firstRow="0" w:lastRow="0" w:firstColumn="0" w:lastColumn="0" w:oddVBand="0" w:evenVBand="0" w:oddHBand="0" w:evenHBand="0" w:firstRowFirstColumn="0" w:firstRowLastColumn="0" w:lastRowFirstColumn="0" w:lastRowLastColumn="0"/>
              <w:rPr>
                <w:b/>
                <w:bCs/>
              </w:rPr>
            </w:pPr>
            <w:r w:rsidRPr="00E93016">
              <w:rPr>
                <w:rFonts w:eastAsia="Arial" w:cs="Arial"/>
                <w:b/>
                <w:bCs/>
                <w:sz w:val="14"/>
                <w:szCs w:val="14"/>
                <w:lang w:val="es"/>
              </w:rPr>
              <w:t>7</w:t>
            </w:r>
          </w:p>
          <w:p w14:paraId="51C46758" w14:textId="77777777" w:rsidR="007B7514" w:rsidRPr="00E93016" w:rsidRDefault="007B7514" w:rsidP="00A6302C">
            <w:pPr>
              <w:jc w:val="center"/>
              <w:cnfStyle w:val="000000000000" w:firstRow="0" w:lastRow="0" w:firstColumn="0" w:lastColumn="0" w:oddVBand="0" w:evenVBand="0" w:oddHBand="0" w:evenHBand="0" w:firstRowFirstColumn="0" w:firstRowLastColumn="0" w:lastRowFirstColumn="0" w:lastRowLastColumn="0"/>
              <w:rPr>
                <w:b/>
                <w:bCs/>
              </w:rPr>
            </w:pPr>
            <w:r w:rsidRPr="00E93016">
              <w:rPr>
                <w:rFonts w:eastAsia="Arial" w:cs="Arial"/>
                <w:b/>
                <w:bCs/>
                <w:sz w:val="14"/>
                <w:szCs w:val="14"/>
                <w:lang w:val="es"/>
              </w:rPr>
              <w:t>Por estaciones reactivar</w:t>
            </w:r>
          </w:p>
        </w:tc>
      </w:tr>
      <w:tr w:rsidR="007B7514" w14:paraId="59DBB128"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5D005D54"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Arauca, Arauca</w:t>
            </w:r>
          </w:p>
        </w:tc>
        <w:tc>
          <w:tcPr>
            <w:tcW w:w="725" w:type="dxa"/>
            <w:tcBorders>
              <w:top w:val="single" w:sz="4" w:space="0" w:color="auto"/>
              <w:left w:val="single" w:sz="4" w:space="0" w:color="auto"/>
              <w:bottom w:val="single" w:sz="4" w:space="0" w:color="auto"/>
              <w:right w:val="single" w:sz="4" w:space="0" w:color="auto"/>
            </w:tcBorders>
          </w:tcPr>
          <w:p w14:paraId="72093A8D"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ARCA</w:t>
            </w:r>
          </w:p>
        </w:tc>
        <w:tc>
          <w:tcPr>
            <w:tcW w:w="2110" w:type="dxa"/>
            <w:tcBorders>
              <w:top w:val="single" w:sz="4" w:space="0" w:color="auto"/>
              <w:left w:val="single" w:sz="4" w:space="0" w:color="auto"/>
              <w:bottom w:val="single" w:sz="4" w:space="0" w:color="auto"/>
              <w:right w:val="single" w:sz="4" w:space="0" w:color="auto"/>
            </w:tcBorders>
          </w:tcPr>
          <w:p w14:paraId="671827A9"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Chaparral, Tolima</w:t>
            </w:r>
          </w:p>
        </w:tc>
        <w:tc>
          <w:tcPr>
            <w:tcW w:w="780" w:type="dxa"/>
            <w:tcBorders>
              <w:top w:val="single" w:sz="4" w:space="0" w:color="auto"/>
              <w:left w:val="single" w:sz="4" w:space="0" w:color="auto"/>
              <w:bottom w:val="single" w:sz="4" w:space="0" w:color="auto"/>
              <w:right w:val="single" w:sz="4" w:space="0" w:color="auto"/>
            </w:tcBorders>
          </w:tcPr>
          <w:p w14:paraId="24B662BA"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AECH</w:t>
            </w:r>
          </w:p>
        </w:tc>
        <w:tc>
          <w:tcPr>
            <w:tcW w:w="1365" w:type="dxa"/>
            <w:tcBorders>
              <w:left w:val="single" w:sz="4" w:space="0" w:color="auto"/>
            </w:tcBorders>
          </w:tcPr>
          <w:p w14:paraId="03F6355E"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Leticia</w:t>
            </w:r>
          </w:p>
        </w:tc>
        <w:tc>
          <w:tcPr>
            <w:tcW w:w="990" w:type="dxa"/>
          </w:tcPr>
          <w:p w14:paraId="176A08AE"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 xml:space="preserve">LETA </w:t>
            </w:r>
          </w:p>
        </w:tc>
      </w:tr>
      <w:tr w:rsidR="007B7514" w14:paraId="38E31C4E" w14:textId="77777777" w:rsidTr="00712950">
        <w:trPr>
          <w:trHeight w:val="60"/>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5C284357"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Puerto Berrio, Antioquia</w:t>
            </w:r>
          </w:p>
        </w:tc>
        <w:tc>
          <w:tcPr>
            <w:tcW w:w="725" w:type="dxa"/>
            <w:tcBorders>
              <w:top w:val="single" w:sz="4" w:space="0" w:color="auto"/>
              <w:left w:val="single" w:sz="4" w:space="0" w:color="auto"/>
              <w:bottom w:val="single" w:sz="4" w:space="0" w:color="auto"/>
              <w:right w:val="single" w:sz="4" w:space="0" w:color="auto"/>
            </w:tcBorders>
          </w:tcPr>
          <w:p w14:paraId="0FAC4B75"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BERR</w:t>
            </w:r>
          </w:p>
        </w:tc>
        <w:tc>
          <w:tcPr>
            <w:tcW w:w="2110" w:type="dxa"/>
            <w:tcBorders>
              <w:top w:val="single" w:sz="4" w:space="0" w:color="auto"/>
              <w:left w:val="single" w:sz="4" w:space="0" w:color="auto"/>
              <w:bottom w:val="single" w:sz="4" w:space="0" w:color="auto"/>
              <w:right w:val="single" w:sz="4" w:space="0" w:color="auto"/>
            </w:tcBorders>
          </w:tcPr>
          <w:p w14:paraId="5FD77BBA"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Guaymaral, Bogotá, D.C.</w:t>
            </w:r>
          </w:p>
        </w:tc>
        <w:tc>
          <w:tcPr>
            <w:tcW w:w="780" w:type="dxa"/>
            <w:tcBorders>
              <w:top w:val="single" w:sz="4" w:space="0" w:color="auto"/>
              <w:left w:val="single" w:sz="4" w:space="0" w:color="auto"/>
              <w:bottom w:val="single" w:sz="4" w:space="0" w:color="auto"/>
              <w:right w:val="single" w:sz="4" w:space="0" w:color="auto"/>
            </w:tcBorders>
          </w:tcPr>
          <w:p w14:paraId="68B27F8F"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AEGU</w:t>
            </w:r>
          </w:p>
        </w:tc>
        <w:tc>
          <w:tcPr>
            <w:tcW w:w="1365" w:type="dxa"/>
            <w:tcBorders>
              <w:left w:val="single" w:sz="4" w:space="0" w:color="auto"/>
            </w:tcBorders>
          </w:tcPr>
          <w:p w14:paraId="22D48DDB"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Inírida</w:t>
            </w:r>
          </w:p>
        </w:tc>
        <w:tc>
          <w:tcPr>
            <w:tcW w:w="990" w:type="dxa"/>
          </w:tcPr>
          <w:p w14:paraId="4F52DC88"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INRI</w:t>
            </w:r>
          </w:p>
        </w:tc>
      </w:tr>
      <w:tr w:rsidR="007B7514" w14:paraId="0BDF0F2C"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7BC1C070"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Caucasia, Antioquia</w:t>
            </w:r>
          </w:p>
        </w:tc>
        <w:tc>
          <w:tcPr>
            <w:tcW w:w="725" w:type="dxa"/>
            <w:tcBorders>
              <w:top w:val="single" w:sz="4" w:space="0" w:color="auto"/>
              <w:left w:val="single" w:sz="4" w:space="0" w:color="auto"/>
              <w:bottom w:val="single" w:sz="4" w:space="0" w:color="auto"/>
              <w:right w:val="single" w:sz="4" w:space="0" w:color="auto"/>
            </w:tcBorders>
          </w:tcPr>
          <w:p w14:paraId="53007C4D"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CASI</w:t>
            </w:r>
          </w:p>
        </w:tc>
        <w:tc>
          <w:tcPr>
            <w:tcW w:w="2110" w:type="dxa"/>
            <w:tcBorders>
              <w:top w:val="single" w:sz="4" w:space="0" w:color="auto"/>
              <w:left w:val="single" w:sz="4" w:space="0" w:color="auto"/>
              <w:bottom w:val="single" w:sz="4" w:space="0" w:color="auto"/>
              <w:right w:val="single" w:sz="4" w:space="0" w:color="auto"/>
            </w:tcBorders>
          </w:tcPr>
          <w:p w14:paraId="54AD7A4D"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Planadas, Tolima</w:t>
            </w:r>
          </w:p>
        </w:tc>
        <w:tc>
          <w:tcPr>
            <w:tcW w:w="780" w:type="dxa"/>
            <w:tcBorders>
              <w:top w:val="single" w:sz="4" w:space="0" w:color="auto"/>
              <w:left w:val="single" w:sz="4" w:space="0" w:color="auto"/>
              <w:bottom w:val="single" w:sz="4" w:space="0" w:color="auto"/>
              <w:right w:val="single" w:sz="4" w:space="0" w:color="auto"/>
            </w:tcBorders>
          </w:tcPr>
          <w:p w14:paraId="1E39BE22"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AEPL</w:t>
            </w:r>
          </w:p>
        </w:tc>
        <w:tc>
          <w:tcPr>
            <w:tcW w:w="1365" w:type="dxa"/>
            <w:tcBorders>
              <w:left w:val="single" w:sz="4" w:space="0" w:color="auto"/>
            </w:tcBorders>
          </w:tcPr>
          <w:p w14:paraId="283FCFE2"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Florencia</w:t>
            </w:r>
          </w:p>
        </w:tc>
        <w:tc>
          <w:tcPr>
            <w:tcW w:w="990" w:type="dxa"/>
          </w:tcPr>
          <w:p w14:paraId="3316C70D"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AEFO</w:t>
            </w:r>
          </w:p>
        </w:tc>
      </w:tr>
      <w:tr w:rsidR="007B7514" w14:paraId="6B17E143"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0755CF79"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Sonson, Antioquia</w:t>
            </w:r>
          </w:p>
        </w:tc>
        <w:tc>
          <w:tcPr>
            <w:tcW w:w="725" w:type="dxa"/>
            <w:tcBorders>
              <w:top w:val="single" w:sz="4" w:space="0" w:color="auto"/>
              <w:left w:val="single" w:sz="4" w:space="0" w:color="auto"/>
              <w:bottom w:val="single" w:sz="4" w:space="0" w:color="auto"/>
              <w:right w:val="single" w:sz="4" w:space="0" w:color="auto"/>
            </w:tcBorders>
          </w:tcPr>
          <w:p w14:paraId="02050930"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SNSN</w:t>
            </w:r>
          </w:p>
        </w:tc>
        <w:tc>
          <w:tcPr>
            <w:tcW w:w="2110" w:type="dxa"/>
            <w:tcBorders>
              <w:top w:val="single" w:sz="4" w:space="0" w:color="auto"/>
              <w:left w:val="single" w:sz="4" w:space="0" w:color="auto"/>
              <w:bottom w:val="single" w:sz="4" w:space="0" w:color="auto"/>
              <w:right w:val="single" w:sz="4" w:space="0" w:color="auto"/>
            </w:tcBorders>
          </w:tcPr>
          <w:p w14:paraId="163E1AB5"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Aguachica, Cesar</w:t>
            </w:r>
          </w:p>
        </w:tc>
        <w:tc>
          <w:tcPr>
            <w:tcW w:w="780" w:type="dxa"/>
            <w:tcBorders>
              <w:top w:val="single" w:sz="4" w:space="0" w:color="auto"/>
              <w:left w:val="single" w:sz="4" w:space="0" w:color="auto"/>
              <w:bottom w:val="single" w:sz="4" w:space="0" w:color="auto"/>
              <w:right w:val="single" w:sz="4" w:space="0" w:color="auto"/>
            </w:tcBorders>
          </w:tcPr>
          <w:p w14:paraId="679341EF"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AGCA</w:t>
            </w:r>
          </w:p>
        </w:tc>
        <w:tc>
          <w:tcPr>
            <w:tcW w:w="1365" w:type="dxa"/>
            <w:tcBorders>
              <w:left w:val="single" w:sz="4" w:space="0" w:color="auto"/>
            </w:tcBorders>
          </w:tcPr>
          <w:p w14:paraId="175556CD"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Quibdó</w:t>
            </w:r>
          </w:p>
        </w:tc>
        <w:tc>
          <w:tcPr>
            <w:tcW w:w="990" w:type="dxa"/>
          </w:tcPr>
          <w:p w14:paraId="3FEFBC4E"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QUIB</w:t>
            </w:r>
          </w:p>
        </w:tc>
      </w:tr>
      <w:tr w:rsidR="007B7514" w14:paraId="45F780AD"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0E29BAE2"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Caucasia, Antioquia</w:t>
            </w:r>
          </w:p>
        </w:tc>
        <w:tc>
          <w:tcPr>
            <w:tcW w:w="725" w:type="dxa"/>
            <w:tcBorders>
              <w:top w:val="single" w:sz="4" w:space="0" w:color="auto"/>
              <w:left w:val="single" w:sz="4" w:space="0" w:color="auto"/>
              <w:bottom w:val="single" w:sz="4" w:space="0" w:color="auto"/>
              <w:right w:val="single" w:sz="4" w:space="0" w:color="auto"/>
            </w:tcBorders>
          </w:tcPr>
          <w:p w14:paraId="71F3272C"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CASI</w:t>
            </w:r>
          </w:p>
        </w:tc>
        <w:tc>
          <w:tcPr>
            <w:tcW w:w="2110" w:type="dxa"/>
            <w:tcBorders>
              <w:top w:val="single" w:sz="4" w:space="0" w:color="auto"/>
              <w:left w:val="single" w:sz="4" w:space="0" w:color="auto"/>
              <w:bottom w:val="single" w:sz="4" w:space="0" w:color="auto"/>
              <w:right w:val="single" w:sz="4" w:space="0" w:color="auto"/>
            </w:tcBorders>
          </w:tcPr>
          <w:p w14:paraId="1832B03C"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Apartadó, Antioquia</w:t>
            </w:r>
          </w:p>
        </w:tc>
        <w:tc>
          <w:tcPr>
            <w:tcW w:w="780" w:type="dxa"/>
            <w:tcBorders>
              <w:top w:val="single" w:sz="4" w:space="0" w:color="auto"/>
              <w:left w:val="single" w:sz="4" w:space="0" w:color="auto"/>
              <w:bottom w:val="single" w:sz="4" w:space="0" w:color="auto"/>
              <w:right w:val="single" w:sz="4" w:space="0" w:color="auto"/>
            </w:tcBorders>
          </w:tcPr>
          <w:p w14:paraId="6B9F9AFA"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APTO</w:t>
            </w:r>
          </w:p>
        </w:tc>
        <w:tc>
          <w:tcPr>
            <w:tcW w:w="1365" w:type="dxa"/>
            <w:tcBorders>
              <w:left w:val="single" w:sz="4" w:space="0" w:color="auto"/>
            </w:tcBorders>
          </w:tcPr>
          <w:p w14:paraId="650956F7"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 xml:space="preserve">Magangué </w:t>
            </w:r>
          </w:p>
        </w:tc>
        <w:tc>
          <w:tcPr>
            <w:tcW w:w="990" w:type="dxa"/>
          </w:tcPr>
          <w:p w14:paraId="325A1C2C"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GGUE</w:t>
            </w:r>
          </w:p>
        </w:tc>
      </w:tr>
      <w:tr w:rsidR="007B7514" w14:paraId="26A279A1"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43104BA2"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Barranquilla, Atlántico</w:t>
            </w:r>
          </w:p>
        </w:tc>
        <w:tc>
          <w:tcPr>
            <w:tcW w:w="725" w:type="dxa"/>
            <w:tcBorders>
              <w:top w:val="single" w:sz="4" w:space="0" w:color="auto"/>
              <w:left w:val="single" w:sz="4" w:space="0" w:color="auto"/>
              <w:bottom w:val="single" w:sz="4" w:space="0" w:color="auto"/>
              <w:right w:val="single" w:sz="4" w:space="0" w:color="auto"/>
            </w:tcBorders>
          </w:tcPr>
          <w:p w14:paraId="63325712"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BQLA</w:t>
            </w:r>
          </w:p>
        </w:tc>
        <w:tc>
          <w:tcPr>
            <w:tcW w:w="2110" w:type="dxa"/>
            <w:tcBorders>
              <w:top w:val="single" w:sz="4" w:space="0" w:color="auto"/>
              <w:left w:val="single" w:sz="4" w:space="0" w:color="auto"/>
              <w:bottom w:val="single" w:sz="4" w:space="0" w:color="auto"/>
              <w:right w:val="single" w:sz="4" w:space="0" w:color="auto"/>
            </w:tcBorders>
          </w:tcPr>
          <w:p w14:paraId="1D4349D9"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Arauca, Arauca</w:t>
            </w:r>
          </w:p>
        </w:tc>
        <w:tc>
          <w:tcPr>
            <w:tcW w:w="780" w:type="dxa"/>
            <w:tcBorders>
              <w:top w:val="single" w:sz="4" w:space="0" w:color="auto"/>
              <w:left w:val="single" w:sz="4" w:space="0" w:color="auto"/>
              <w:bottom w:val="single" w:sz="4" w:space="0" w:color="auto"/>
              <w:right w:val="single" w:sz="4" w:space="0" w:color="auto"/>
            </w:tcBorders>
          </w:tcPr>
          <w:p w14:paraId="3974CA6C"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ARCA</w:t>
            </w:r>
          </w:p>
        </w:tc>
        <w:tc>
          <w:tcPr>
            <w:tcW w:w="1365" w:type="dxa"/>
            <w:tcBorders>
              <w:left w:val="single" w:sz="4" w:space="0" w:color="auto"/>
            </w:tcBorders>
          </w:tcPr>
          <w:p w14:paraId="50865ABD"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 xml:space="preserve">Riohacha </w:t>
            </w:r>
          </w:p>
        </w:tc>
        <w:tc>
          <w:tcPr>
            <w:tcW w:w="990" w:type="dxa"/>
          </w:tcPr>
          <w:p w14:paraId="4D53E5C4"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RIOH</w:t>
            </w:r>
          </w:p>
        </w:tc>
      </w:tr>
      <w:tr w:rsidR="007B7514" w14:paraId="27A9C1C0"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4220DEC5"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Cartagena, Bolívar</w:t>
            </w:r>
          </w:p>
        </w:tc>
        <w:tc>
          <w:tcPr>
            <w:tcW w:w="725" w:type="dxa"/>
            <w:tcBorders>
              <w:top w:val="single" w:sz="4" w:space="0" w:color="auto"/>
              <w:left w:val="single" w:sz="4" w:space="0" w:color="auto"/>
              <w:bottom w:val="single" w:sz="4" w:space="0" w:color="auto"/>
              <w:right w:val="single" w:sz="4" w:space="0" w:color="auto"/>
            </w:tcBorders>
          </w:tcPr>
          <w:p w14:paraId="020EF7C6"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CART</w:t>
            </w:r>
          </w:p>
        </w:tc>
        <w:tc>
          <w:tcPr>
            <w:tcW w:w="2110" w:type="dxa"/>
            <w:tcBorders>
              <w:top w:val="single" w:sz="4" w:space="0" w:color="auto"/>
              <w:left w:val="single" w:sz="4" w:space="0" w:color="auto"/>
              <w:bottom w:val="single" w:sz="4" w:space="0" w:color="auto"/>
              <w:right w:val="single" w:sz="4" w:space="0" w:color="auto"/>
            </w:tcBorders>
          </w:tcPr>
          <w:p w14:paraId="13440FFE"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Becerril, Cesar</w:t>
            </w:r>
          </w:p>
        </w:tc>
        <w:tc>
          <w:tcPr>
            <w:tcW w:w="780" w:type="dxa"/>
            <w:tcBorders>
              <w:top w:val="single" w:sz="4" w:space="0" w:color="auto"/>
              <w:left w:val="single" w:sz="4" w:space="0" w:color="auto"/>
              <w:bottom w:val="single" w:sz="4" w:space="0" w:color="auto"/>
              <w:right w:val="single" w:sz="4" w:space="0" w:color="auto"/>
            </w:tcBorders>
          </w:tcPr>
          <w:p w14:paraId="35264B6F"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BECE</w:t>
            </w:r>
          </w:p>
        </w:tc>
        <w:tc>
          <w:tcPr>
            <w:tcW w:w="1365" w:type="dxa"/>
            <w:tcBorders>
              <w:left w:val="single" w:sz="4" w:space="0" w:color="auto"/>
            </w:tcBorders>
          </w:tcPr>
          <w:p w14:paraId="1928A8BC" w14:textId="77777777" w:rsidR="007B7514" w:rsidRPr="003E2C6C" w:rsidRDefault="007B7514" w:rsidP="000A20EE">
            <w:pPr>
              <w:pStyle w:val="Prrafodelista"/>
              <w:numPr>
                <w:ilvl w:val="0"/>
                <w:numId w:val="210"/>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San Andrés</w:t>
            </w:r>
          </w:p>
        </w:tc>
        <w:tc>
          <w:tcPr>
            <w:tcW w:w="990" w:type="dxa"/>
          </w:tcPr>
          <w:p w14:paraId="47DDEBBE"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3E2C6C">
              <w:rPr>
                <w:rFonts w:eastAsia="Arial" w:cs="Arial"/>
                <w:sz w:val="16"/>
                <w:szCs w:val="16"/>
                <w:lang w:val="es"/>
              </w:rPr>
              <w:t>ANDS</w:t>
            </w:r>
          </w:p>
        </w:tc>
      </w:tr>
      <w:tr w:rsidR="007B7514" w14:paraId="5CE91792"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367AA18A"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Popayán, Cauca</w:t>
            </w:r>
          </w:p>
        </w:tc>
        <w:tc>
          <w:tcPr>
            <w:tcW w:w="725" w:type="dxa"/>
            <w:tcBorders>
              <w:top w:val="single" w:sz="4" w:space="0" w:color="auto"/>
              <w:left w:val="single" w:sz="4" w:space="0" w:color="auto"/>
              <w:bottom w:val="single" w:sz="4" w:space="0" w:color="auto"/>
              <w:right w:val="single" w:sz="4" w:space="0" w:color="auto"/>
            </w:tcBorders>
          </w:tcPr>
          <w:p w14:paraId="19940D37"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POPA</w:t>
            </w:r>
          </w:p>
        </w:tc>
        <w:tc>
          <w:tcPr>
            <w:tcW w:w="2110" w:type="dxa"/>
            <w:tcBorders>
              <w:top w:val="single" w:sz="4" w:space="0" w:color="auto"/>
              <w:left w:val="single" w:sz="4" w:space="0" w:color="auto"/>
              <w:bottom w:val="single" w:sz="4" w:space="0" w:color="auto"/>
              <w:right w:val="single" w:sz="4" w:space="0" w:color="auto"/>
            </w:tcBorders>
          </w:tcPr>
          <w:p w14:paraId="5FCBC7E7"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Bucaramanga, Santander</w:t>
            </w:r>
          </w:p>
        </w:tc>
        <w:tc>
          <w:tcPr>
            <w:tcW w:w="780" w:type="dxa"/>
            <w:tcBorders>
              <w:top w:val="single" w:sz="4" w:space="0" w:color="auto"/>
              <w:left w:val="single" w:sz="4" w:space="0" w:color="auto"/>
              <w:bottom w:val="single" w:sz="4" w:space="0" w:color="auto"/>
              <w:right w:val="single" w:sz="4" w:space="0" w:color="auto"/>
            </w:tcBorders>
          </w:tcPr>
          <w:p w14:paraId="27C0C95A"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BNGA</w:t>
            </w:r>
          </w:p>
        </w:tc>
        <w:tc>
          <w:tcPr>
            <w:tcW w:w="2355" w:type="dxa"/>
            <w:gridSpan w:val="2"/>
            <w:vMerge w:val="restart"/>
            <w:tcBorders>
              <w:left w:val="single" w:sz="4" w:space="0" w:color="auto"/>
            </w:tcBorders>
          </w:tcPr>
          <w:p w14:paraId="29F952C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sz w:val="14"/>
                <w:szCs w:val="14"/>
                <w:lang w:val="es"/>
              </w:rPr>
              <w:t xml:space="preserve"> </w:t>
            </w:r>
          </w:p>
        </w:tc>
      </w:tr>
      <w:tr w:rsidR="007B7514" w14:paraId="29463ED8"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753A2B3B"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Aguachica, Cesar</w:t>
            </w:r>
          </w:p>
        </w:tc>
        <w:tc>
          <w:tcPr>
            <w:tcW w:w="725" w:type="dxa"/>
            <w:tcBorders>
              <w:top w:val="single" w:sz="4" w:space="0" w:color="auto"/>
              <w:left w:val="single" w:sz="4" w:space="0" w:color="auto"/>
              <w:bottom w:val="single" w:sz="4" w:space="0" w:color="auto"/>
              <w:right w:val="single" w:sz="4" w:space="0" w:color="auto"/>
            </w:tcBorders>
          </w:tcPr>
          <w:p w14:paraId="5399658D"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AGCA</w:t>
            </w:r>
          </w:p>
        </w:tc>
        <w:tc>
          <w:tcPr>
            <w:tcW w:w="2110" w:type="dxa"/>
            <w:tcBorders>
              <w:top w:val="single" w:sz="4" w:space="0" w:color="auto"/>
              <w:left w:val="single" w:sz="4" w:space="0" w:color="auto"/>
              <w:bottom w:val="single" w:sz="4" w:space="0" w:color="auto"/>
              <w:right w:val="single" w:sz="4" w:space="0" w:color="auto"/>
            </w:tcBorders>
          </w:tcPr>
          <w:p w14:paraId="3ED9BA73"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Bosconia, Cesar</w:t>
            </w:r>
          </w:p>
        </w:tc>
        <w:tc>
          <w:tcPr>
            <w:tcW w:w="780" w:type="dxa"/>
            <w:tcBorders>
              <w:top w:val="single" w:sz="4" w:space="0" w:color="auto"/>
              <w:left w:val="single" w:sz="4" w:space="0" w:color="auto"/>
              <w:bottom w:val="single" w:sz="4" w:space="0" w:color="auto"/>
              <w:right w:val="single" w:sz="4" w:space="0" w:color="auto"/>
            </w:tcBorders>
          </w:tcPr>
          <w:p w14:paraId="41D29AA7"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BOSC</w:t>
            </w:r>
          </w:p>
        </w:tc>
        <w:tc>
          <w:tcPr>
            <w:tcW w:w="2355" w:type="dxa"/>
            <w:gridSpan w:val="2"/>
            <w:vMerge/>
            <w:tcBorders>
              <w:left w:val="single" w:sz="4" w:space="0" w:color="auto"/>
            </w:tcBorders>
          </w:tcPr>
          <w:p w14:paraId="4783E07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21A33C5"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06E5BE9C"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Becerril, Cesar</w:t>
            </w:r>
          </w:p>
        </w:tc>
        <w:tc>
          <w:tcPr>
            <w:tcW w:w="725" w:type="dxa"/>
            <w:tcBorders>
              <w:top w:val="single" w:sz="4" w:space="0" w:color="auto"/>
              <w:left w:val="single" w:sz="4" w:space="0" w:color="auto"/>
              <w:bottom w:val="single" w:sz="4" w:space="0" w:color="auto"/>
              <w:right w:val="single" w:sz="4" w:space="0" w:color="auto"/>
            </w:tcBorders>
          </w:tcPr>
          <w:p w14:paraId="36CE2DDB"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BECE</w:t>
            </w:r>
          </w:p>
        </w:tc>
        <w:tc>
          <w:tcPr>
            <w:tcW w:w="2110" w:type="dxa"/>
            <w:tcBorders>
              <w:top w:val="single" w:sz="4" w:space="0" w:color="auto"/>
              <w:left w:val="single" w:sz="4" w:space="0" w:color="auto"/>
              <w:bottom w:val="single" w:sz="4" w:space="0" w:color="auto"/>
              <w:right w:val="single" w:sz="4" w:space="0" w:color="auto"/>
            </w:tcBorders>
          </w:tcPr>
          <w:p w14:paraId="1EC1F377"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Buenaventura, Valle del Cauca</w:t>
            </w:r>
          </w:p>
        </w:tc>
        <w:tc>
          <w:tcPr>
            <w:tcW w:w="780" w:type="dxa"/>
            <w:tcBorders>
              <w:top w:val="single" w:sz="4" w:space="0" w:color="auto"/>
              <w:left w:val="single" w:sz="4" w:space="0" w:color="auto"/>
              <w:bottom w:val="single" w:sz="4" w:space="0" w:color="auto"/>
              <w:right w:val="single" w:sz="4" w:space="0" w:color="auto"/>
            </w:tcBorders>
          </w:tcPr>
          <w:p w14:paraId="11A5EBF5"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BUEN</w:t>
            </w:r>
          </w:p>
        </w:tc>
        <w:tc>
          <w:tcPr>
            <w:tcW w:w="2355" w:type="dxa"/>
            <w:gridSpan w:val="2"/>
            <w:vMerge/>
            <w:tcBorders>
              <w:left w:val="single" w:sz="4" w:space="0" w:color="auto"/>
            </w:tcBorders>
          </w:tcPr>
          <w:p w14:paraId="2559D3A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64D2B549"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4240CE94"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Valledupar, César</w:t>
            </w:r>
          </w:p>
        </w:tc>
        <w:tc>
          <w:tcPr>
            <w:tcW w:w="725" w:type="dxa"/>
            <w:tcBorders>
              <w:top w:val="single" w:sz="4" w:space="0" w:color="auto"/>
              <w:left w:val="single" w:sz="4" w:space="0" w:color="auto"/>
              <w:bottom w:val="single" w:sz="4" w:space="0" w:color="auto"/>
              <w:right w:val="single" w:sz="4" w:space="0" w:color="auto"/>
            </w:tcBorders>
          </w:tcPr>
          <w:p w14:paraId="4B41DE95"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VALL</w:t>
            </w:r>
          </w:p>
        </w:tc>
        <w:tc>
          <w:tcPr>
            <w:tcW w:w="2110" w:type="dxa"/>
            <w:tcBorders>
              <w:top w:val="single" w:sz="4" w:space="0" w:color="auto"/>
              <w:left w:val="single" w:sz="4" w:space="0" w:color="auto"/>
              <w:bottom w:val="single" w:sz="4" w:space="0" w:color="auto"/>
              <w:right w:val="single" w:sz="4" w:space="0" w:color="auto"/>
            </w:tcBorders>
          </w:tcPr>
          <w:p w14:paraId="3904CA4E"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Puerto Carreño, Vichada</w:t>
            </w:r>
          </w:p>
        </w:tc>
        <w:tc>
          <w:tcPr>
            <w:tcW w:w="780" w:type="dxa"/>
            <w:tcBorders>
              <w:top w:val="single" w:sz="4" w:space="0" w:color="auto"/>
              <w:left w:val="single" w:sz="4" w:space="0" w:color="auto"/>
              <w:bottom w:val="single" w:sz="4" w:space="0" w:color="auto"/>
              <w:right w:val="single" w:sz="4" w:space="0" w:color="auto"/>
            </w:tcBorders>
          </w:tcPr>
          <w:p w14:paraId="07D1D374"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CANO</w:t>
            </w:r>
          </w:p>
        </w:tc>
        <w:tc>
          <w:tcPr>
            <w:tcW w:w="2355" w:type="dxa"/>
            <w:gridSpan w:val="2"/>
            <w:vMerge/>
            <w:tcBorders>
              <w:left w:val="single" w:sz="4" w:space="0" w:color="auto"/>
            </w:tcBorders>
          </w:tcPr>
          <w:p w14:paraId="17A9B6B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5DAC07E0"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02819D92"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San Alberto, César</w:t>
            </w:r>
          </w:p>
        </w:tc>
        <w:tc>
          <w:tcPr>
            <w:tcW w:w="725" w:type="dxa"/>
            <w:tcBorders>
              <w:top w:val="single" w:sz="4" w:space="0" w:color="auto"/>
              <w:left w:val="single" w:sz="4" w:space="0" w:color="auto"/>
              <w:bottom w:val="single" w:sz="4" w:space="0" w:color="auto"/>
              <w:right w:val="single" w:sz="4" w:space="0" w:color="auto"/>
            </w:tcBorders>
          </w:tcPr>
          <w:p w14:paraId="41869AAB"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ALBE</w:t>
            </w:r>
          </w:p>
        </w:tc>
        <w:tc>
          <w:tcPr>
            <w:tcW w:w="2110" w:type="dxa"/>
            <w:tcBorders>
              <w:top w:val="single" w:sz="4" w:space="0" w:color="auto"/>
              <w:left w:val="single" w:sz="4" w:space="0" w:color="auto"/>
              <w:bottom w:val="single" w:sz="4" w:space="0" w:color="auto"/>
              <w:right w:val="single" w:sz="4" w:space="0" w:color="auto"/>
            </w:tcBorders>
          </w:tcPr>
          <w:p w14:paraId="63E8678A"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Cúcuta, Norte de Santander</w:t>
            </w:r>
          </w:p>
        </w:tc>
        <w:tc>
          <w:tcPr>
            <w:tcW w:w="780" w:type="dxa"/>
            <w:tcBorders>
              <w:top w:val="single" w:sz="4" w:space="0" w:color="auto"/>
              <w:left w:val="single" w:sz="4" w:space="0" w:color="auto"/>
              <w:bottom w:val="single" w:sz="4" w:space="0" w:color="auto"/>
              <w:right w:val="single" w:sz="4" w:space="0" w:color="auto"/>
            </w:tcBorders>
          </w:tcPr>
          <w:p w14:paraId="65D90CAC"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CUCU</w:t>
            </w:r>
          </w:p>
        </w:tc>
        <w:tc>
          <w:tcPr>
            <w:tcW w:w="2355" w:type="dxa"/>
            <w:gridSpan w:val="2"/>
            <w:vMerge/>
            <w:tcBorders>
              <w:left w:val="single" w:sz="4" w:space="0" w:color="auto"/>
            </w:tcBorders>
          </w:tcPr>
          <w:p w14:paraId="52C7FFC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C868FC0"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2BB6F804"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Bosconia, César</w:t>
            </w:r>
          </w:p>
        </w:tc>
        <w:tc>
          <w:tcPr>
            <w:tcW w:w="725" w:type="dxa"/>
            <w:tcBorders>
              <w:top w:val="single" w:sz="4" w:space="0" w:color="auto"/>
              <w:left w:val="single" w:sz="4" w:space="0" w:color="auto"/>
              <w:bottom w:val="single" w:sz="4" w:space="0" w:color="auto"/>
              <w:right w:val="single" w:sz="4" w:space="0" w:color="auto"/>
            </w:tcBorders>
          </w:tcPr>
          <w:p w14:paraId="25556A8D"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BOSC</w:t>
            </w:r>
          </w:p>
        </w:tc>
        <w:tc>
          <w:tcPr>
            <w:tcW w:w="2110" w:type="dxa"/>
            <w:tcBorders>
              <w:top w:val="single" w:sz="4" w:space="0" w:color="auto"/>
              <w:left w:val="single" w:sz="4" w:space="0" w:color="auto"/>
              <w:bottom w:val="single" w:sz="4" w:space="0" w:color="auto"/>
              <w:right w:val="single" w:sz="4" w:space="0" w:color="auto"/>
            </w:tcBorders>
          </w:tcPr>
          <w:p w14:paraId="58E5666F"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El Bagre, Antioquia</w:t>
            </w:r>
          </w:p>
        </w:tc>
        <w:tc>
          <w:tcPr>
            <w:tcW w:w="780" w:type="dxa"/>
            <w:tcBorders>
              <w:top w:val="single" w:sz="4" w:space="0" w:color="auto"/>
              <w:left w:val="single" w:sz="4" w:space="0" w:color="auto"/>
              <w:bottom w:val="single" w:sz="4" w:space="0" w:color="auto"/>
              <w:right w:val="single" w:sz="4" w:space="0" w:color="auto"/>
            </w:tcBorders>
          </w:tcPr>
          <w:p w14:paraId="7397878A"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EBPT</w:t>
            </w:r>
          </w:p>
        </w:tc>
        <w:tc>
          <w:tcPr>
            <w:tcW w:w="2355" w:type="dxa"/>
            <w:gridSpan w:val="2"/>
            <w:vMerge/>
            <w:tcBorders>
              <w:left w:val="single" w:sz="4" w:space="0" w:color="auto"/>
            </w:tcBorders>
          </w:tcPr>
          <w:p w14:paraId="1737A37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1E76E12"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6145A731"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Neiva, Huila</w:t>
            </w:r>
          </w:p>
        </w:tc>
        <w:tc>
          <w:tcPr>
            <w:tcW w:w="725" w:type="dxa"/>
            <w:tcBorders>
              <w:top w:val="single" w:sz="4" w:space="0" w:color="auto"/>
              <w:left w:val="single" w:sz="4" w:space="0" w:color="auto"/>
              <w:bottom w:val="single" w:sz="4" w:space="0" w:color="auto"/>
              <w:right w:val="single" w:sz="4" w:space="0" w:color="auto"/>
            </w:tcBorders>
          </w:tcPr>
          <w:p w14:paraId="482BF8F6"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NEVA</w:t>
            </w:r>
          </w:p>
        </w:tc>
        <w:tc>
          <w:tcPr>
            <w:tcW w:w="2110" w:type="dxa"/>
            <w:tcBorders>
              <w:top w:val="single" w:sz="4" w:space="0" w:color="auto"/>
              <w:left w:val="single" w:sz="4" w:space="0" w:color="auto"/>
              <w:bottom w:val="single" w:sz="4" w:space="0" w:color="auto"/>
              <w:right w:val="single" w:sz="4" w:space="0" w:color="auto"/>
            </w:tcBorders>
          </w:tcPr>
          <w:p w14:paraId="59FAE05D"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Fúquene, Cundinamarca</w:t>
            </w:r>
          </w:p>
        </w:tc>
        <w:tc>
          <w:tcPr>
            <w:tcW w:w="780" w:type="dxa"/>
            <w:tcBorders>
              <w:top w:val="single" w:sz="4" w:space="0" w:color="auto"/>
              <w:left w:val="single" w:sz="4" w:space="0" w:color="auto"/>
              <w:bottom w:val="single" w:sz="4" w:space="0" w:color="auto"/>
              <w:right w:val="single" w:sz="4" w:space="0" w:color="auto"/>
            </w:tcBorders>
          </w:tcPr>
          <w:p w14:paraId="087E3850"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FQNE</w:t>
            </w:r>
          </w:p>
        </w:tc>
        <w:tc>
          <w:tcPr>
            <w:tcW w:w="2355" w:type="dxa"/>
            <w:gridSpan w:val="2"/>
            <w:vMerge/>
            <w:tcBorders>
              <w:left w:val="single" w:sz="4" w:space="0" w:color="auto"/>
            </w:tcBorders>
          </w:tcPr>
          <w:p w14:paraId="6D43177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0A82556"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6676738A" w14:textId="77777777" w:rsidR="007B7514" w:rsidRPr="003E2C6C" w:rsidRDefault="007B7514" w:rsidP="000A20EE">
            <w:pPr>
              <w:pStyle w:val="Prrafodelista"/>
              <w:numPr>
                <w:ilvl w:val="0"/>
                <w:numId w:val="212"/>
              </w:numPr>
              <w:spacing w:line="240" w:lineRule="exact"/>
              <w:rPr>
                <w:rFonts w:eastAsia="Arial" w:cs="Arial"/>
                <w:sz w:val="16"/>
                <w:szCs w:val="16"/>
              </w:rPr>
            </w:pPr>
            <w:r w:rsidRPr="003E2C6C">
              <w:rPr>
                <w:rFonts w:eastAsia="Arial" w:cs="Arial"/>
                <w:sz w:val="16"/>
                <w:szCs w:val="16"/>
              </w:rPr>
              <w:t>Cúcuta, Norte de Santander</w:t>
            </w:r>
          </w:p>
        </w:tc>
        <w:tc>
          <w:tcPr>
            <w:tcW w:w="725" w:type="dxa"/>
            <w:tcBorders>
              <w:top w:val="single" w:sz="4" w:space="0" w:color="auto"/>
              <w:left w:val="single" w:sz="4" w:space="0" w:color="auto"/>
              <w:bottom w:val="single" w:sz="4" w:space="0" w:color="auto"/>
              <w:right w:val="single" w:sz="4" w:space="0" w:color="auto"/>
            </w:tcBorders>
          </w:tcPr>
          <w:p w14:paraId="693B6E84"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CUCU</w:t>
            </w:r>
          </w:p>
        </w:tc>
        <w:tc>
          <w:tcPr>
            <w:tcW w:w="2110" w:type="dxa"/>
            <w:tcBorders>
              <w:top w:val="single" w:sz="4" w:space="0" w:color="auto"/>
              <w:left w:val="single" w:sz="4" w:space="0" w:color="auto"/>
              <w:bottom w:val="single" w:sz="4" w:space="0" w:color="auto"/>
              <w:right w:val="single" w:sz="4" w:space="0" w:color="auto"/>
            </w:tcBorders>
          </w:tcPr>
          <w:p w14:paraId="280BA1AF" w14:textId="77777777" w:rsidR="007B7514" w:rsidRPr="003E2C6C"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3E2C6C">
              <w:rPr>
                <w:rFonts w:eastAsia="Arial" w:cs="Arial"/>
                <w:sz w:val="16"/>
                <w:szCs w:val="16"/>
              </w:rPr>
              <w:t>Garagoa, Boyacá</w:t>
            </w:r>
          </w:p>
        </w:tc>
        <w:tc>
          <w:tcPr>
            <w:tcW w:w="780" w:type="dxa"/>
            <w:tcBorders>
              <w:top w:val="single" w:sz="4" w:space="0" w:color="auto"/>
              <w:left w:val="single" w:sz="4" w:space="0" w:color="auto"/>
              <w:bottom w:val="single" w:sz="4" w:space="0" w:color="auto"/>
              <w:right w:val="single" w:sz="4" w:space="0" w:color="auto"/>
            </w:tcBorders>
          </w:tcPr>
          <w:p w14:paraId="61468758" w14:textId="77777777" w:rsidR="007B7514" w:rsidRPr="003E2C6C"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3E2C6C">
              <w:rPr>
                <w:rFonts w:eastAsia="Arial" w:cs="Arial"/>
                <w:sz w:val="16"/>
                <w:szCs w:val="16"/>
                <w:lang w:val="es"/>
              </w:rPr>
              <w:t>GARA</w:t>
            </w:r>
          </w:p>
        </w:tc>
        <w:tc>
          <w:tcPr>
            <w:tcW w:w="2355" w:type="dxa"/>
            <w:gridSpan w:val="2"/>
            <w:vMerge/>
            <w:tcBorders>
              <w:left w:val="single" w:sz="4" w:space="0" w:color="auto"/>
            </w:tcBorders>
          </w:tcPr>
          <w:p w14:paraId="69C333D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15F2C5C"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4DACF523"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t>Barrancabermeja, Santander</w:t>
            </w:r>
          </w:p>
        </w:tc>
        <w:tc>
          <w:tcPr>
            <w:tcW w:w="725" w:type="dxa"/>
            <w:tcBorders>
              <w:top w:val="single" w:sz="4" w:space="0" w:color="auto"/>
              <w:left w:val="single" w:sz="4" w:space="0" w:color="auto"/>
              <w:bottom w:val="single" w:sz="4" w:space="0" w:color="auto"/>
              <w:right w:val="single" w:sz="4" w:space="0" w:color="auto"/>
            </w:tcBorders>
          </w:tcPr>
          <w:p w14:paraId="7F450F96"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9E3BFF">
              <w:rPr>
                <w:rFonts w:eastAsia="Arial" w:cs="Arial"/>
                <w:sz w:val="16"/>
                <w:szCs w:val="16"/>
                <w:lang w:val="es"/>
              </w:rPr>
              <w:t>BEJA</w:t>
            </w:r>
          </w:p>
        </w:tc>
        <w:tc>
          <w:tcPr>
            <w:tcW w:w="2110" w:type="dxa"/>
            <w:tcBorders>
              <w:top w:val="single" w:sz="4" w:space="0" w:color="auto"/>
              <w:left w:val="single" w:sz="4" w:space="0" w:color="auto"/>
              <w:bottom w:val="single" w:sz="4" w:space="0" w:color="auto"/>
              <w:right w:val="single" w:sz="4" w:space="0" w:color="auto"/>
            </w:tcBorders>
          </w:tcPr>
          <w:p w14:paraId="1773EAED"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Ovejas, Sucre</w:t>
            </w:r>
          </w:p>
        </w:tc>
        <w:tc>
          <w:tcPr>
            <w:tcW w:w="780" w:type="dxa"/>
            <w:tcBorders>
              <w:top w:val="single" w:sz="4" w:space="0" w:color="auto"/>
              <w:left w:val="single" w:sz="4" w:space="0" w:color="auto"/>
              <w:bottom w:val="single" w:sz="4" w:space="0" w:color="auto"/>
              <w:right w:val="single" w:sz="4" w:space="0" w:color="auto"/>
            </w:tcBorders>
          </w:tcPr>
          <w:p w14:paraId="55083C45"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rFonts w:cs="Arial"/>
                <w:sz w:val="16"/>
                <w:szCs w:val="16"/>
              </w:rPr>
            </w:pPr>
            <w:r w:rsidRPr="009E3BFF">
              <w:rPr>
                <w:rFonts w:eastAsia="Arial" w:cs="Arial"/>
                <w:sz w:val="16"/>
                <w:szCs w:val="16"/>
                <w:lang w:val="es"/>
              </w:rPr>
              <w:t>OVEJ</w:t>
            </w:r>
          </w:p>
        </w:tc>
        <w:tc>
          <w:tcPr>
            <w:tcW w:w="2355" w:type="dxa"/>
            <w:gridSpan w:val="2"/>
            <w:vMerge/>
            <w:tcBorders>
              <w:left w:val="single" w:sz="4" w:space="0" w:color="auto"/>
            </w:tcBorders>
          </w:tcPr>
          <w:p w14:paraId="37FD096B"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F92419F"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3B357AC5"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lastRenderedPageBreak/>
              <w:t>Ovejas, Sucre</w:t>
            </w:r>
          </w:p>
        </w:tc>
        <w:tc>
          <w:tcPr>
            <w:tcW w:w="725" w:type="dxa"/>
            <w:tcBorders>
              <w:top w:val="single" w:sz="4" w:space="0" w:color="auto"/>
              <w:left w:val="single" w:sz="4" w:space="0" w:color="auto"/>
              <w:bottom w:val="single" w:sz="4" w:space="0" w:color="auto"/>
              <w:right w:val="single" w:sz="4" w:space="0" w:color="auto"/>
            </w:tcBorders>
          </w:tcPr>
          <w:p w14:paraId="0DB3BDFF"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OVEJ</w:t>
            </w:r>
          </w:p>
        </w:tc>
        <w:tc>
          <w:tcPr>
            <w:tcW w:w="2110" w:type="dxa"/>
            <w:tcBorders>
              <w:top w:val="single" w:sz="4" w:space="0" w:color="auto"/>
              <w:left w:val="single" w:sz="4" w:space="0" w:color="auto"/>
              <w:bottom w:val="single" w:sz="4" w:space="0" w:color="auto"/>
              <w:right w:val="single" w:sz="4" w:space="0" w:color="auto"/>
            </w:tcBorders>
          </w:tcPr>
          <w:p w14:paraId="438CAA31"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Pamplona, Norte de Santander</w:t>
            </w:r>
          </w:p>
        </w:tc>
        <w:tc>
          <w:tcPr>
            <w:tcW w:w="780" w:type="dxa"/>
            <w:tcBorders>
              <w:top w:val="single" w:sz="4" w:space="0" w:color="auto"/>
              <w:left w:val="single" w:sz="4" w:space="0" w:color="auto"/>
              <w:bottom w:val="single" w:sz="4" w:space="0" w:color="auto"/>
              <w:right w:val="single" w:sz="4" w:space="0" w:color="auto"/>
            </w:tcBorders>
          </w:tcPr>
          <w:p w14:paraId="0669E961"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PAMP</w:t>
            </w:r>
          </w:p>
        </w:tc>
        <w:tc>
          <w:tcPr>
            <w:tcW w:w="2355" w:type="dxa"/>
            <w:gridSpan w:val="2"/>
            <w:vMerge/>
            <w:tcBorders>
              <w:left w:val="single" w:sz="4" w:space="0" w:color="auto"/>
            </w:tcBorders>
          </w:tcPr>
          <w:p w14:paraId="282ADDF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692504AA"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78EC3205"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lastRenderedPageBreak/>
              <w:t>Sincelejo, Sucre</w:t>
            </w:r>
          </w:p>
        </w:tc>
        <w:tc>
          <w:tcPr>
            <w:tcW w:w="725" w:type="dxa"/>
            <w:tcBorders>
              <w:top w:val="single" w:sz="4" w:space="0" w:color="auto"/>
              <w:left w:val="single" w:sz="4" w:space="0" w:color="auto"/>
              <w:bottom w:val="single" w:sz="4" w:space="0" w:color="auto"/>
              <w:right w:val="single" w:sz="4" w:space="0" w:color="auto"/>
            </w:tcBorders>
          </w:tcPr>
          <w:p w14:paraId="1847F20A"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SINC</w:t>
            </w:r>
          </w:p>
        </w:tc>
        <w:tc>
          <w:tcPr>
            <w:tcW w:w="2110" w:type="dxa"/>
            <w:tcBorders>
              <w:top w:val="single" w:sz="4" w:space="0" w:color="auto"/>
              <w:left w:val="single" w:sz="4" w:space="0" w:color="auto"/>
              <w:bottom w:val="single" w:sz="4" w:space="0" w:color="auto"/>
              <w:right w:val="single" w:sz="4" w:space="0" w:color="auto"/>
            </w:tcBorders>
          </w:tcPr>
          <w:p w14:paraId="1B1D25CE"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Puerto Lleras, Meta</w:t>
            </w:r>
          </w:p>
        </w:tc>
        <w:tc>
          <w:tcPr>
            <w:tcW w:w="780" w:type="dxa"/>
            <w:tcBorders>
              <w:top w:val="single" w:sz="4" w:space="0" w:color="auto"/>
              <w:left w:val="single" w:sz="4" w:space="0" w:color="auto"/>
              <w:bottom w:val="single" w:sz="4" w:space="0" w:color="auto"/>
              <w:right w:val="single" w:sz="4" w:space="0" w:color="auto"/>
            </w:tcBorders>
          </w:tcPr>
          <w:p w14:paraId="483FFDD7"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PULE</w:t>
            </w:r>
          </w:p>
        </w:tc>
        <w:tc>
          <w:tcPr>
            <w:tcW w:w="2355" w:type="dxa"/>
            <w:gridSpan w:val="2"/>
            <w:vMerge/>
            <w:tcBorders>
              <w:left w:val="single" w:sz="4" w:space="0" w:color="auto"/>
            </w:tcBorders>
          </w:tcPr>
          <w:p w14:paraId="59FA0F2D"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56AD27F"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4C30ED5C"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t>Chaparral  Tolima</w:t>
            </w:r>
          </w:p>
        </w:tc>
        <w:tc>
          <w:tcPr>
            <w:tcW w:w="725" w:type="dxa"/>
            <w:tcBorders>
              <w:top w:val="single" w:sz="4" w:space="0" w:color="auto"/>
              <w:left w:val="single" w:sz="4" w:space="0" w:color="auto"/>
              <w:bottom w:val="single" w:sz="4" w:space="0" w:color="auto"/>
              <w:right w:val="single" w:sz="4" w:space="0" w:color="auto"/>
            </w:tcBorders>
          </w:tcPr>
          <w:p w14:paraId="0C0EC914"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AECH</w:t>
            </w:r>
          </w:p>
        </w:tc>
        <w:tc>
          <w:tcPr>
            <w:tcW w:w="2110" w:type="dxa"/>
            <w:tcBorders>
              <w:top w:val="single" w:sz="4" w:space="0" w:color="auto"/>
              <w:left w:val="single" w:sz="4" w:space="0" w:color="auto"/>
              <w:bottom w:val="single" w:sz="4" w:space="0" w:color="auto"/>
              <w:right w:val="single" w:sz="4" w:space="0" w:color="auto"/>
            </w:tcBorders>
          </w:tcPr>
          <w:p w14:paraId="2E44B1E6"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Santa Rosalía, Vichada</w:t>
            </w:r>
          </w:p>
        </w:tc>
        <w:tc>
          <w:tcPr>
            <w:tcW w:w="780" w:type="dxa"/>
            <w:tcBorders>
              <w:top w:val="single" w:sz="4" w:space="0" w:color="auto"/>
              <w:left w:val="single" w:sz="4" w:space="0" w:color="auto"/>
              <w:bottom w:val="single" w:sz="4" w:space="0" w:color="auto"/>
              <w:right w:val="single" w:sz="4" w:space="0" w:color="auto"/>
            </w:tcBorders>
          </w:tcPr>
          <w:p w14:paraId="1C698FC9"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RSLA</w:t>
            </w:r>
          </w:p>
        </w:tc>
        <w:tc>
          <w:tcPr>
            <w:tcW w:w="2355" w:type="dxa"/>
            <w:gridSpan w:val="2"/>
            <w:vMerge/>
            <w:tcBorders>
              <w:left w:val="single" w:sz="4" w:space="0" w:color="auto"/>
            </w:tcBorders>
          </w:tcPr>
          <w:p w14:paraId="18BDD396"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27768F5E"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2E1A2409"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t>Ibagué, Tolima</w:t>
            </w:r>
          </w:p>
        </w:tc>
        <w:tc>
          <w:tcPr>
            <w:tcW w:w="725" w:type="dxa"/>
            <w:tcBorders>
              <w:top w:val="single" w:sz="4" w:space="0" w:color="auto"/>
              <w:left w:val="single" w:sz="4" w:space="0" w:color="auto"/>
              <w:bottom w:val="single" w:sz="4" w:space="0" w:color="auto"/>
              <w:right w:val="single" w:sz="4" w:space="0" w:color="auto"/>
            </w:tcBorders>
          </w:tcPr>
          <w:p w14:paraId="3BE53534"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IBAG</w:t>
            </w:r>
          </w:p>
        </w:tc>
        <w:tc>
          <w:tcPr>
            <w:tcW w:w="2110" w:type="dxa"/>
            <w:tcBorders>
              <w:top w:val="single" w:sz="4" w:space="0" w:color="auto"/>
              <w:left w:val="single" w:sz="4" w:space="0" w:color="auto"/>
              <w:bottom w:val="single" w:sz="4" w:space="0" w:color="auto"/>
              <w:right w:val="single" w:sz="4" w:space="0" w:color="auto"/>
            </w:tcBorders>
          </w:tcPr>
          <w:p w14:paraId="6336CDC0"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Puerto Gaitán, Meta</w:t>
            </w:r>
          </w:p>
        </w:tc>
        <w:tc>
          <w:tcPr>
            <w:tcW w:w="780" w:type="dxa"/>
            <w:tcBorders>
              <w:top w:val="single" w:sz="4" w:space="0" w:color="auto"/>
              <w:left w:val="single" w:sz="4" w:space="0" w:color="auto"/>
              <w:bottom w:val="single" w:sz="4" w:space="0" w:color="auto"/>
              <w:right w:val="single" w:sz="4" w:space="0" w:color="auto"/>
            </w:tcBorders>
          </w:tcPr>
          <w:p w14:paraId="488031FD"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RUBI</w:t>
            </w:r>
          </w:p>
        </w:tc>
        <w:tc>
          <w:tcPr>
            <w:tcW w:w="2355" w:type="dxa"/>
            <w:gridSpan w:val="2"/>
            <w:vMerge/>
            <w:tcBorders>
              <w:left w:val="single" w:sz="4" w:space="0" w:color="auto"/>
            </w:tcBorders>
          </w:tcPr>
          <w:p w14:paraId="790A9EAF"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33DCF0EE"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0A66E34A"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t>Cali, Valle del Cauca</w:t>
            </w:r>
          </w:p>
        </w:tc>
        <w:tc>
          <w:tcPr>
            <w:tcW w:w="725" w:type="dxa"/>
            <w:tcBorders>
              <w:top w:val="single" w:sz="4" w:space="0" w:color="auto"/>
              <w:left w:val="single" w:sz="4" w:space="0" w:color="auto"/>
              <w:bottom w:val="single" w:sz="4" w:space="0" w:color="auto"/>
              <w:right w:val="single" w:sz="4" w:space="0" w:color="auto"/>
            </w:tcBorders>
          </w:tcPr>
          <w:p w14:paraId="282A5511"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CALI</w:t>
            </w:r>
          </w:p>
        </w:tc>
        <w:tc>
          <w:tcPr>
            <w:tcW w:w="2110" w:type="dxa"/>
            <w:tcBorders>
              <w:top w:val="single" w:sz="4" w:space="0" w:color="auto"/>
              <w:left w:val="single" w:sz="4" w:space="0" w:color="auto"/>
              <w:bottom w:val="single" w:sz="4" w:space="0" w:color="auto"/>
              <w:right w:val="single" w:sz="4" w:space="0" w:color="auto"/>
            </w:tcBorders>
          </w:tcPr>
          <w:p w14:paraId="7B0E3614"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Silvia, Cauca</w:t>
            </w:r>
          </w:p>
        </w:tc>
        <w:tc>
          <w:tcPr>
            <w:tcW w:w="780" w:type="dxa"/>
            <w:tcBorders>
              <w:top w:val="single" w:sz="4" w:space="0" w:color="auto"/>
              <w:left w:val="single" w:sz="4" w:space="0" w:color="auto"/>
              <w:bottom w:val="single" w:sz="4" w:space="0" w:color="auto"/>
              <w:right w:val="single" w:sz="4" w:space="0" w:color="auto"/>
            </w:tcBorders>
          </w:tcPr>
          <w:p w14:paraId="6B3D935A"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SILP</w:t>
            </w:r>
          </w:p>
        </w:tc>
        <w:tc>
          <w:tcPr>
            <w:tcW w:w="2355" w:type="dxa"/>
            <w:gridSpan w:val="2"/>
            <w:vMerge/>
            <w:tcBorders>
              <w:left w:val="single" w:sz="4" w:space="0" w:color="auto"/>
            </w:tcBorders>
          </w:tcPr>
          <w:p w14:paraId="344AC7B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5779E57"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1969" w:type="dxa"/>
            <w:tcBorders>
              <w:top w:val="single" w:sz="4" w:space="0" w:color="auto"/>
              <w:left w:val="single" w:sz="4" w:space="0" w:color="auto"/>
              <w:bottom w:val="single" w:sz="4" w:space="0" w:color="auto"/>
              <w:right w:val="single" w:sz="4" w:space="0" w:color="auto"/>
            </w:tcBorders>
          </w:tcPr>
          <w:p w14:paraId="3E13A371" w14:textId="77777777" w:rsidR="007B7514" w:rsidRPr="009E3BFF" w:rsidRDefault="007B7514" w:rsidP="000A20EE">
            <w:pPr>
              <w:pStyle w:val="Prrafodelista"/>
              <w:numPr>
                <w:ilvl w:val="0"/>
                <w:numId w:val="212"/>
              </w:numPr>
              <w:spacing w:line="240" w:lineRule="exact"/>
              <w:rPr>
                <w:rFonts w:eastAsia="Arial" w:cs="Arial"/>
                <w:sz w:val="16"/>
                <w:szCs w:val="16"/>
              </w:rPr>
            </w:pPr>
            <w:r w:rsidRPr="009E3BFF">
              <w:rPr>
                <w:rFonts w:eastAsia="Arial" w:cs="Arial"/>
                <w:sz w:val="16"/>
                <w:szCs w:val="16"/>
              </w:rPr>
              <w:t>Puerto Carreno, Vichada</w:t>
            </w:r>
          </w:p>
        </w:tc>
        <w:tc>
          <w:tcPr>
            <w:tcW w:w="725" w:type="dxa"/>
            <w:tcBorders>
              <w:top w:val="single" w:sz="4" w:space="0" w:color="auto"/>
              <w:left w:val="single" w:sz="4" w:space="0" w:color="auto"/>
              <w:bottom w:val="single" w:sz="4" w:space="0" w:color="auto"/>
              <w:right w:val="single" w:sz="4" w:space="0" w:color="auto"/>
            </w:tcBorders>
          </w:tcPr>
          <w:p w14:paraId="1271FCBF"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CANO</w:t>
            </w:r>
          </w:p>
        </w:tc>
        <w:tc>
          <w:tcPr>
            <w:tcW w:w="2110" w:type="dxa"/>
            <w:tcBorders>
              <w:top w:val="single" w:sz="4" w:space="0" w:color="auto"/>
              <w:left w:val="single" w:sz="4" w:space="0" w:color="auto"/>
              <w:bottom w:val="single" w:sz="4" w:space="0" w:color="auto"/>
              <w:right w:val="single" w:sz="4" w:space="0" w:color="auto"/>
            </w:tcBorders>
          </w:tcPr>
          <w:p w14:paraId="39F9E4EF"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Socha, Boyacá</w:t>
            </w:r>
          </w:p>
        </w:tc>
        <w:tc>
          <w:tcPr>
            <w:tcW w:w="780" w:type="dxa"/>
            <w:tcBorders>
              <w:top w:val="single" w:sz="4" w:space="0" w:color="auto"/>
              <w:left w:val="single" w:sz="4" w:space="0" w:color="auto"/>
              <w:bottom w:val="single" w:sz="4" w:space="0" w:color="auto"/>
              <w:right w:val="single" w:sz="4" w:space="0" w:color="auto"/>
            </w:tcBorders>
          </w:tcPr>
          <w:p w14:paraId="42D06B7B"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SOCB</w:t>
            </w:r>
          </w:p>
        </w:tc>
        <w:tc>
          <w:tcPr>
            <w:tcW w:w="2355" w:type="dxa"/>
            <w:gridSpan w:val="2"/>
            <w:vMerge/>
            <w:tcBorders>
              <w:left w:val="single" w:sz="4" w:space="0" w:color="auto"/>
            </w:tcBorders>
          </w:tcPr>
          <w:p w14:paraId="50B8328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2B741B0A"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val="restart"/>
            <w:tcBorders>
              <w:top w:val="single" w:sz="4" w:space="0" w:color="auto"/>
              <w:left w:val="single" w:sz="4" w:space="0" w:color="auto"/>
              <w:bottom w:val="single" w:sz="4" w:space="0" w:color="auto"/>
              <w:right w:val="single" w:sz="4" w:space="0" w:color="auto"/>
            </w:tcBorders>
          </w:tcPr>
          <w:p w14:paraId="19025104" w14:textId="77777777" w:rsidR="007B7514" w:rsidRPr="009E3BFF" w:rsidRDefault="007B7514" w:rsidP="00A6302C">
            <w:pPr>
              <w:jc w:val="center"/>
              <w:rPr>
                <w:sz w:val="16"/>
                <w:szCs w:val="16"/>
              </w:rPr>
            </w:pPr>
            <w:r w:rsidRPr="009E3BFF">
              <w:rPr>
                <w:rFonts w:eastAsia="Arial" w:cs="Arial"/>
                <w:sz w:val="16"/>
                <w:szCs w:val="16"/>
                <w:lang w:val="es"/>
              </w:rPr>
              <w:t xml:space="preserve"> </w:t>
            </w:r>
          </w:p>
        </w:tc>
        <w:tc>
          <w:tcPr>
            <w:tcW w:w="2110" w:type="dxa"/>
            <w:tcBorders>
              <w:top w:val="single" w:sz="4" w:space="0" w:color="auto"/>
              <w:left w:val="single" w:sz="4" w:space="0" w:color="auto"/>
              <w:bottom w:val="single" w:sz="4" w:space="0" w:color="auto"/>
              <w:right w:val="single" w:sz="4" w:space="0" w:color="auto"/>
            </w:tcBorders>
          </w:tcPr>
          <w:p w14:paraId="08EABF07"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Suárez, Cauca</w:t>
            </w:r>
          </w:p>
        </w:tc>
        <w:tc>
          <w:tcPr>
            <w:tcW w:w="780" w:type="dxa"/>
            <w:tcBorders>
              <w:top w:val="single" w:sz="4" w:space="0" w:color="auto"/>
              <w:left w:val="single" w:sz="4" w:space="0" w:color="auto"/>
              <w:bottom w:val="single" w:sz="4" w:space="0" w:color="auto"/>
              <w:right w:val="single" w:sz="4" w:space="0" w:color="auto"/>
            </w:tcBorders>
          </w:tcPr>
          <w:p w14:paraId="30AF2857"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SUES</w:t>
            </w:r>
          </w:p>
        </w:tc>
        <w:tc>
          <w:tcPr>
            <w:tcW w:w="2355" w:type="dxa"/>
            <w:gridSpan w:val="2"/>
            <w:vMerge/>
            <w:tcBorders>
              <w:left w:val="single" w:sz="4" w:space="0" w:color="auto"/>
            </w:tcBorders>
          </w:tcPr>
          <w:p w14:paraId="4AAB5F4E"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4F58D5C"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tcBorders>
              <w:top w:val="single" w:sz="4" w:space="0" w:color="auto"/>
              <w:left w:val="single" w:sz="4" w:space="0" w:color="auto"/>
              <w:bottom w:val="single" w:sz="4" w:space="0" w:color="auto"/>
              <w:right w:val="single" w:sz="4" w:space="0" w:color="auto"/>
            </w:tcBorders>
          </w:tcPr>
          <w:p w14:paraId="203E1119" w14:textId="77777777" w:rsidR="007B7514" w:rsidRPr="009E3BFF" w:rsidRDefault="007B7514" w:rsidP="00A6302C">
            <w:pPr>
              <w:rPr>
                <w:sz w:val="16"/>
                <w:szCs w:val="16"/>
              </w:rPr>
            </w:pPr>
          </w:p>
        </w:tc>
        <w:tc>
          <w:tcPr>
            <w:tcW w:w="2110" w:type="dxa"/>
            <w:tcBorders>
              <w:top w:val="single" w:sz="4" w:space="0" w:color="auto"/>
              <w:left w:val="single" w:sz="4" w:space="0" w:color="auto"/>
              <w:bottom w:val="single" w:sz="4" w:space="0" w:color="auto"/>
              <w:right w:val="single" w:sz="4" w:space="0" w:color="auto"/>
            </w:tcBorders>
          </w:tcPr>
          <w:p w14:paraId="0822A3FB"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Tarazá, Antioquia</w:t>
            </w:r>
          </w:p>
        </w:tc>
        <w:tc>
          <w:tcPr>
            <w:tcW w:w="780" w:type="dxa"/>
            <w:tcBorders>
              <w:top w:val="single" w:sz="4" w:space="0" w:color="auto"/>
              <w:left w:val="single" w:sz="4" w:space="0" w:color="auto"/>
              <w:bottom w:val="single" w:sz="4" w:space="0" w:color="auto"/>
              <w:right w:val="single" w:sz="4" w:space="0" w:color="auto"/>
            </w:tcBorders>
          </w:tcPr>
          <w:p w14:paraId="33F99AFE"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TARZ</w:t>
            </w:r>
          </w:p>
        </w:tc>
        <w:tc>
          <w:tcPr>
            <w:tcW w:w="2355" w:type="dxa"/>
            <w:gridSpan w:val="2"/>
            <w:vMerge/>
            <w:tcBorders>
              <w:left w:val="single" w:sz="4" w:space="0" w:color="auto"/>
            </w:tcBorders>
          </w:tcPr>
          <w:p w14:paraId="09BBCEB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2991BB6E"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tcBorders>
              <w:top w:val="single" w:sz="4" w:space="0" w:color="auto"/>
              <w:left w:val="single" w:sz="4" w:space="0" w:color="auto"/>
              <w:bottom w:val="single" w:sz="4" w:space="0" w:color="auto"/>
              <w:right w:val="single" w:sz="4" w:space="0" w:color="auto"/>
            </w:tcBorders>
          </w:tcPr>
          <w:p w14:paraId="5B3CBE37" w14:textId="77777777" w:rsidR="007B7514" w:rsidRPr="009E3BFF" w:rsidRDefault="007B7514" w:rsidP="00A6302C">
            <w:pPr>
              <w:rPr>
                <w:sz w:val="16"/>
                <w:szCs w:val="16"/>
              </w:rPr>
            </w:pPr>
          </w:p>
        </w:tc>
        <w:tc>
          <w:tcPr>
            <w:tcW w:w="2110" w:type="dxa"/>
            <w:tcBorders>
              <w:top w:val="single" w:sz="4" w:space="0" w:color="auto"/>
              <w:left w:val="single" w:sz="4" w:space="0" w:color="auto"/>
              <w:bottom w:val="single" w:sz="4" w:space="0" w:color="auto"/>
              <w:right w:val="single" w:sz="4" w:space="0" w:color="auto"/>
            </w:tcBorders>
          </w:tcPr>
          <w:p w14:paraId="445A1BDF"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Tumaco, Nariño</w:t>
            </w:r>
          </w:p>
        </w:tc>
        <w:tc>
          <w:tcPr>
            <w:tcW w:w="780" w:type="dxa"/>
            <w:tcBorders>
              <w:top w:val="single" w:sz="4" w:space="0" w:color="auto"/>
              <w:left w:val="single" w:sz="4" w:space="0" w:color="auto"/>
              <w:bottom w:val="single" w:sz="4" w:space="0" w:color="auto"/>
              <w:right w:val="single" w:sz="4" w:space="0" w:color="auto"/>
            </w:tcBorders>
          </w:tcPr>
          <w:p w14:paraId="4FEC1653"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TUMA</w:t>
            </w:r>
          </w:p>
        </w:tc>
        <w:tc>
          <w:tcPr>
            <w:tcW w:w="2355" w:type="dxa"/>
            <w:gridSpan w:val="2"/>
            <w:vMerge/>
            <w:tcBorders>
              <w:left w:val="single" w:sz="4" w:space="0" w:color="auto"/>
            </w:tcBorders>
          </w:tcPr>
          <w:p w14:paraId="2F213F9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6735EC0"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tcBorders>
              <w:top w:val="single" w:sz="4" w:space="0" w:color="auto"/>
              <w:left w:val="single" w:sz="4" w:space="0" w:color="auto"/>
              <w:bottom w:val="single" w:sz="4" w:space="0" w:color="auto"/>
              <w:right w:val="single" w:sz="4" w:space="0" w:color="auto"/>
            </w:tcBorders>
          </w:tcPr>
          <w:p w14:paraId="56D0458C" w14:textId="77777777" w:rsidR="007B7514" w:rsidRPr="009E3BFF" w:rsidRDefault="007B7514" w:rsidP="00A6302C">
            <w:pPr>
              <w:rPr>
                <w:sz w:val="16"/>
                <w:szCs w:val="16"/>
              </w:rPr>
            </w:pPr>
          </w:p>
        </w:tc>
        <w:tc>
          <w:tcPr>
            <w:tcW w:w="2110" w:type="dxa"/>
            <w:tcBorders>
              <w:top w:val="single" w:sz="4" w:space="0" w:color="auto"/>
              <w:left w:val="single" w:sz="4" w:space="0" w:color="auto"/>
              <w:bottom w:val="single" w:sz="4" w:space="0" w:color="auto"/>
              <w:right w:val="single" w:sz="4" w:space="0" w:color="auto"/>
            </w:tcBorders>
          </w:tcPr>
          <w:p w14:paraId="0F08FCDB"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Túquerres, Nariño</w:t>
            </w:r>
          </w:p>
        </w:tc>
        <w:tc>
          <w:tcPr>
            <w:tcW w:w="780" w:type="dxa"/>
            <w:tcBorders>
              <w:top w:val="single" w:sz="4" w:space="0" w:color="auto"/>
              <w:left w:val="single" w:sz="4" w:space="0" w:color="auto"/>
              <w:bottom w:val="single" w:sz="4" w:space="0" w:color="auto"/>
              <w:right w:val="single" w:sz="4" w:space="0" w:color="auto"/>
            </w:tcBorders>
          </w:tcPr>
          <w:p w14:paraId="66D90DBC"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TUQU</w:t>
            </w:r>
          </w:p>
        </w:tc>
        <w:tc>
          <w:tcPr>
            <w:tcW w:w="2355" w:type="dxa"/>
            <w:gridSpan w:val="2"/>
            <w:vMerge/>
            <w:tcBorders>
              <w:left w:val="single" w:sz="4" w:space="0" w:color="auto"/>
            </w:tcBorders>
          </w:tcPr>
          <w:p w14:paraId="2FF0DDA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54CEA187"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tcBorders>
              <w:top w:val="single" w:sz="4" w:space="0" w:color="auto"/>
              <w:left w:val="single" w:sz="4" w:space="0" w:color="auto"/>
              <w:bottom w:val="single" w:sz="4" w:space="0" w:color="auto"/>
              <w:right w:val="single" w:sz="4" w:space="0" w:color="auto"/>
            </w:tcBorders>
          </w:tcPr>
          <w:p w14:paraId="5306CFDA" w14:textId="77777777" w:rsidR="007B7514" w:rsidRPr="009E3BFF" w:rsidRDefault="007B7514" w:rsidP="00A6302C">
            <w:pPr>
              <w:rPr>
                <w:sz w:val="16"/>
                <w:szCs w:val="16"/>
              </w:rPr>
            </w:pPr>
          </w:p>
        </w:tc>
        <w:tc>
          <w:tcPr>
            <w:tcW w:w="2110" w:type="dxa"/>
            <w:tcBorders>
              <w:top w:val="single" w:sz="4" w:space="0" w:color="auto"/>
              <w:left w:val="single" w:sz="4" w:space="0" w:color="auto"/>
              <w:bottom w:val="single" w:sz="4" w:space="0" w:color="auto"/>
              <w:right w:val="single" w:sz="4" w:space="0" w:color="auto"/>
            </w:tcBorders>
          </w:tcPr>
          <w:p w14:paraId="4760D1CF"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Villavicencio, Meta</w:t>
            </w:r>
          </w:p>
        </w:tc>
        <w:tc>
          <w:tcPr>
            <w:tcW w:w="780" w:type="dxa"/>
            <w:tcBorders>
              <w:top w:val="single" w:sz="4" w:space="0" w:color="auto"/>
              <w:left w:val="single" w:sz="4" w:space="0" w:color="auto"/>
              <w:bottom w:val="single" w:sz="4" w:space="0" w:color="auto"/>
              <w:right w:val="single" w:sz="4" w:space="0" w:color="auto"/>
            </w:tcBorders>
          </w:tcPr>
          <w:p w14:paraId="685DD673"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VIVI</w:t>
            </w:r>
          </w:p>
        </w:tc>
        <w:tc>
          <w:tcPr>
            <w:tcW w:w="2355" w:type="dxa"/>
            <w:gridSpan w:val="2"/>
            <w:vMerge/>
            <w:tcBorders>
              <w:left w:val="single" w:sz="4" w:space="0" w:color="auto"/>
            </w:tcBorders>
          </w:tcPr>
          <w:p w14:paraId="72F8FB5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3C1BE48A" w14:textId="77777777" w:rsidTr="00712950">
        <w:trPr>
          <w:jc w:val="center"/>
        </w:trPr>
        <w:tc>
          <w:tcPr>
            <w:cnfStyle w:val="001000000000" w:firstRow="0" w:lastRow="0" w:firstColumn="1" w:lastColumn="0" w:oddVBand="0" w:evenVBand="0" w:oddHBand="0" w:evenHBand="0" w:firstRowFirstColumn="0" w:firstRowLastColumn="0" w:lastRowFirstColumn="0" w:lastRowLastColumn="0"/>
            <w:tcW w:w="2694" w:type="dxa"/>
            <w:gridSpan w:val="2"/>
            <w:vMerge/>
            <w:tcBorders>
              <w:top w:val="single" w:sz="4" w:space="0" w:color="auto"/>
              <w:left w:val="single" w:sz="4" w:space="0" w:color="auto"/>
              <w:bottom w:val="single" w:sz="4" w:space="0" w:color="auto"/>
              <w:right w:val="single" w:sz="4" w:space="0" w:color="auto"/>
            </w:tcBorders>
          </w:tcPr>
          <w:p w14:paraId="161793FC" w14:textId="77777777" w:rsidR="007B7514" w:rsidRPr="009E3BFF" w:rsidRDefault="007B7514" w:rsidP="00A6302C">
            <w:pPr>
              <w:rPr>
                <w:sz w:val="16"/>
                <w:szCs w:val="16"/>
              </w:rPr>
            </w:pPr>
          </w:p>
        </w:tc>
        <w:tc>
          <w:tcPr>
            <w:tcW w:w="2110" w:type="dxa"/>
            <w:tcBorders>
              <w:top w:val="single" w:sz="4" w:space="0" w:color="auto"/>
              <w:left w:val="single" w:sz="4" w:space="0" w:color="auto"/>
              <w:bottom w:val="single" w:sz="4" w:space="0" w:color="auto"/>
              <w:right w:val="single" w:sz="4" w:space="0" w:color="auto"/>
            </w:tcBorders>
          </w:tcPr>
          <w:p w14:paraId="2194D928" w14:textId="77777777" w:rsidR="007B7514" w:rsidRPr="009E3BFF" w:rsidRDefault="007B7514" w:rsidP="000A20EE">
            <w:pPr>
              <w:pStyle w:val="Prrafodelista"/>
              <w:numPr>
                <w:ilvl w:val="0"/>
                <w:numId w:val="211"/>
              </w:numPr>
              <w:spacing w:line="240" w:lineRule="exact"/>
              <w:cnfStyle w:val="000000000000" w:firstRow="0" w:lastRow="0" w:firstColumn="0" w:lastColumn="0" w:oddVBand="0" w:evenVBand="0" w:oddHBand="0" w:evenHBand="0" w:firstRowFirstColumn="0" w:firstRowLastColumn="0" w:lastRowFirstColumn="0" w:lastRowLastColumn="0"/>
              <w:rPr>
                <w:rFonts w:eastAsia="Arial" w:cs="Arial"/>
                <w:sz w:val="16"/>
                <w:szCs w:val="16"/>
              </w:rPr>
            </w:pPr>
            <w:r w:rsidRPr="009E3BFF">
              <w:rPr>
                <w:rFonts w:eastAsia="Arial" w:cs="Arial"/>
                <w:sz w:val="16"/>
                <w:szCs w:val="16"/>
              </w:rPr>
              <w:t>Yopal, Casanare</w:t>
            </w:r>
          </w:p>
        </w:tc>
        <w:tc>
          <w:tcPr>
            <w:tcW w:w="780" w:type="dxa"/>
            <w:tcBorders>
              <w:top w:val="single" w:sz="4" w:space="0" w:color="auto"/>
              <w:left w:val="single" w:sz="4" w:space="0" w:color="auto"/>
              <w:bottom w:val="single" w:sz="4" w:space="0" w:color="auto"/>
              <w:right w:val="single" w:sz="4" w:space="0" w:color="auto"/>
            </w:tcBorders>
          </w:tcPr>
          <w:p w14:paraId="665B8641" w14:textId="77777777" w:rsidR="007B7514" w:rsidRPr="009E3BFF" w:rsidRDefault="007B7514" w:rsidP="00A6302C">
            <w:pPr>
              <w:jc w:val="center"/>
              <w:cnfStyle w:val="000000000000" w:firstRow="0" w:lastRow="0" w:firstColumn="0" w:lastColumn="0" w:oddVBand="0" w:evenVBand="0" w:oddHBand="0" w:evenHBand="0" w:firstRowFirstColumn="0" w:firstRowLastColumn="0" w:lastRowFirstColumn="0" w:lastRowLastColumn="0"/>
              <w:rPr>
                <w:sz w:val="16"/>
                <w:szCs w:val="16"/>
              </w:rPr>
            </w:pPr>
            <w:r w:rsidRPr="009E3BFF">
              <w:rPr>
                <w:rFonts w:eastAsia="Arial" w:cs="Arial"/>
                <w:sz w:val="16"/>
                <w:szCs w:val="16"/>
                <w:lang w:val="es"/>
              </w:rPr>
              <w:t>YOPA</w:t>
            </w:r>
          </w:p>
        </w:tc>
        <w:tc>
          <w:tcPr>
            <w:tcW w:w="2355" w:type="dxa"/>
            <w:gridSpan w:val="2"/>
            <w:vMerge/>
            <w:tcBorders>
              <w:left w:val="single" w:sz="4" w:space="0" w:color="auto"/>
            </w:tcBorders>
          </w:tcPr>
          <w:p w14:paraId="603A6AB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bl>
    <w:p w14:paraId="151B4C9D" w14:textId="77777777" w:rsidR="007B7514" w:rsidRDefault="007B7514" w:rsidP="007B7514">
      <w:pPr>
        <w:jc w:val="center"/>
        <w:rPr>
          <w:rFonts w:eastAsia="Arial" w:cs="Arial"/>
          <w:b/>
          <w:bCs/>
          <w:color w:val="000000" w:themeColor="text1"/>
          <w:sz w:val="16"/>
          <w:szCs w:val="16"/>
          <w:lang w:val="es"/>
        </w:rPr>
      </w:pPr>
    </w:p>
    <w:p w14:paraId="5356EBA4" w14:textId="77777777" w:rsidR="007B7514" w:rsidRPr="00C27EB1" w:rsidRDefault="007B7514" w:rsidP="007B7514">
      <w:pPr>
        <w:jc w:val="center"/>
        <w:rPr>
          <w:rFonts w:eastAsia="Arial" w:cs="Arial"/>
          <w:b/>
          <w:bCs/>
          <w:color w:val="000000" w:themeColor="text1"/>
          <w:sz w:val="16"/>
          <w:szCs w:val="16"/>
          <w:lang w:val="es"/>
        </w:rPr>
      </w:pPr>
      <w:r w:rsidRPr="00C27EB1">
        <w:rPr>
          <w:rFonts w:eastAsia="Arial" w:cs="Arial"/>
          <w:b/>
          <w:bCs/>
          <w:color w:val="000000" w:themeColor="text1"/>
          <w:sz w:val="16"/>
          <w:szCs w:val="16"/>
          <w:lang w:val="es"/>
        </w:rPr>
        <w:t>Fuente: IGAC. Dirección de Gestión de la Información Geográfica</w:t>
      </w:r>
    </w:p>
    <w:p w14:paraId="489ACCCB" w14:textId="77777777" w:rsidR="007B7514" w:rsidRPr="00C27EB1" w:rsidRDefault="007B7514" w:rsidP="007B7514">
      <w:pPr>
        <w:jc w:val="both"/>
        <w:rPr>
          <w:rFonts w:eastAsia="Arial" w:cs="Arial"/>
          <w:b/>
          <w:bCs/>
          <w:color w:val="000000" w:themeColor="text1"/>
          <w:sz w:val="16"/>
          <w:szCs w:val="16"/>
          <w:lang w:val="es"/>
        </w:rPr>
      </w:pPr>
      <w:r w:rsidRPr="00C27EB1">
        <w:rPr>
          <w:rFonts w:eastAsia="Arial" w:cs="Arial"/>
          <w:b/>
          <w:bCs/>
          <w:color w:val="000000" w:themeColor="text1"/>
          <w:sz w:val="16"/>
          <w:szCs w:val="16"/>
          <w:lang w:val="es"/>
        </w:rPr>
        <w:t xml:space="preserve"> </w:t>
      </w:r>
    </w:p>
    <w:p w14:paraId="75AF55E5" w14:textId="77777777" w:rsidR="007B7514" w:rsidRDefault="007B7514" w:rsidP="007B7514">
      <w:pPr>
        <w:jc w:val="center"/>
        <w:rPr>
          <w:rFonts w:eastAsia="Arial" w:cs="Arial"/>
          <w:i/>
          <w:iCs/>
          <w:color w:val="445369"/>
          <w:sz w:val="14"/>
          <w:szCs w:val="14"/>
          <w:lang w:val="es"/>
        </w:rPr>
      </w:pPr>
    </w:p>
    <w:p w14:paraId="627F1D56" w14:textId="77777777" w:rsidR="007B7514" w:rsidRDefault="007B7514" w:rsidP="007B7514">
      <w:pPr>
        <w:jc w:val="center"/>
        <w:rPr>
          <w:rFonts w:eastAsia="Arial" w:cs="Arial"/>
          <w:i/>
          <w:iCs/>
          <w:color w:val="445369"/>
          <w:sz w:val="14"/>
          <w:szCs w:val="14"/>
          <w:lang w:val="es"/>
        </w:rPr>
      </w:pPr>
    </w:p>
    <w:p w14:paraId="419562DB" w14:textId="77777777" w:rsidR="007B7514" w:rsidRDefault="007B7514" w:rsidP="007B7514">
      <w:pPr>
        <w:jc w:val="center"/>
        <w:rPr>
          <w:rFonts w:eastAsia="Arial" w:cs="Arial"/>
          <w:i/>
          <w:iCs/>
          <w:color w:val="445369"/>
          <w:sz w:val="14"/>
          <w:szCs w:val="14"/>
          <w:lang w:val="es"/>
        </w:rPr>
      </w:pPr>
    </w:p>
    <w:p w14:paraId="1AFE33A4" w14:textId="77777777" w:rsidR="007B7514" w:rsidRDefault="007B7514" w:rsidP="007B7514">
      <w:pPr>
        <w:jc w:val="center"/>
        <w:rPr>
          <w:rFonts w:eastAsia="Arial" w:cs="Arial"/>
          <w:i/>
          <w:iCs/>
          <w:color w:val="445369"/>
          <w:sz w:val="14"/>
          <w:szCs w:val="14"/>
          <w:lang w:val="es"/>
        </w:rPr>
      </w:pPr>
    </w:p>
    <w:p w14:paraId="250FEA61" w14:textId="77777777" w:rsidR="007B7514" w:rsidRDefault="007B7514" w:rsidP="007B7514">
      <w:pPr>
        <w:jc w:val="center"/>
        <w:rPr>
          <w:rFonts w:eastAsia="Arial" w:cs="Arial"/>
          <w:i/>
          <w:iCs/>
          <w:color w:val="445369"/>
          <w:sz w:val="14"/>
          <w:szCs w:val="14"/>
          <w:lang w:val="es"/>
        </w:rPr>
      </w:pPr>
    </w:p>
    <w:p w14:paraId="6E9F4FDF" w14:textId="77777777" w:rsidR="007B7514" w:rsidRDefault="007B7514" w:rsidP="007B7514">
      <w:pPr>
        <w:jc w:val="center"/>
        <w:rPr>
          <w:rFonts w:eastAsia="Arial" w:cs="Arial"/>
          <w:i/>
          <w:iCs/>
          <w:color w:val="445369"/>
          <w:sz w:val="14"/>
          <w:szCs w:val="14"/>
          <w:lang w:val="es"/>
        </w:rPr>
      </w:pPr>
    </w:p>
    <w:p w14:paraId="70C80689" w14:textId="77777777" w:rsidR="007B7514" w:rsidRDefault="007B7514" w:rsidP="007B7514">
      <w:pPr>
        <w:jc w:val="center"/>
        <w:rPr>
          <w:rFonts w:eastAsia="Arial" w:cs="Arial"/>
          <w:i/>
          <w:iCs/>
          <w:color w:val="445369"/>
          <w:sz w:val="14"/>
          <w:szCs w:val="14"/>
          <w:lang w:val="es"/>
        </w:rPr>
      </w:pPr>
    </w:p>
    <w:p w14:paraId="44AF9E98" w14:textId="77777777" w:rsidR="007B7514" w:rsidRDefault="007B7514" w:rsidP="007B7514">
      <w:pPr>
        <w:jc w:val="center"/>
        <w:rPr>
          <w:rFonts w:eastAsia="Arial" w:cs="Arial"/>
          <w:i/>
          <w:iCs/>
          <w:color w:val="445369"/>
          <w:sz w:val="14"/>
          <w:szCs w:val="14"/>
          <w:lang w:val="es"/>
        </w:rPr>
      </w:pPr>
    </w:p>
    <w:p w14:paraId="20640B8E" w14:textId="77777777" w:rsidR="007B7514" w:rsidRDefault="007B7514" w:rsidP="007B7514">
      <w:pPr>
        <w:jc w:val="center"/>
        <w:rPr>
          <w:rFonts w:eastAsia="Arial" w:cs="Arial"/>
          <w:i/>
          <w:iCs/>
          <w:color w:val="445369"/>
          <w:sz w:val="14"/>
          <w:szCs w:val="14"/>
          <w:lang w:val="es"/>
        </w:rPr>
      </w:pPr>
    </w:p>
    <w:p w14:paraId="391C145D" w14:textId="77777777" w:rsidR="007B7514" w:rsidRDefault="007B7514" w:rsidP="007B7514">
      <w:pPr>
        <w:jc w:val="center"/>
        <w:rPr>
          <w:rFonts w:eastAsia="Arial" w:cs="Arial"/>
          <w:i/>
          <w:iCs/>
          <w:color w:val="445369"/>
          <w:sz w:val="14"/>
          <w:szCs w:val="14"/>
          <w:lang w:val="es"/>
        </w:rPr>
      </w:pPr>
    </w:p>
    <w:p w14:paraId="0545FC18" w14:textId="77777777" w:rsidR="007B7514" w:rsidRDefault="007B7514" w:rsidP="007B7514">
      <w:pPr>
        <w:jc w:val="center"/>
        <w:rPr>
          <w:rFonts w:eastAsia="Arial" w:cs="Arial"/>
          <w:i/>
          <w:iCs/>
          <w:color w:val="445369"/>
          <w:sz w:val="14"/>
          <w:szCs w:val="14"/>
          <w:lang w:val="es"/>
        </w:rPr>
      </w:pPr>
    </w:p>
    <w:p w14:paraId="68E4E30F" w14:textId="77777777" w:rsidR="007B7514" w:rsidRDefault="007B7514" w:rsidP="007B7514">
      <w:pPr>
        <w:jc w:val="center"/>
        <w:rPr>
          <w:rFonts w:eastAsia="Arial" w:cs="Arial"/>
          <w:i/>
          <w:iCs/>
          <w:color w:val="445369"/>
          <w:sz w:val="14"/>
          <w:szCs w:val="14"/>
          <w:lang w:val="es"/>
        </w:rPr>
      </w:pPr>
    </w:p>
    <w:p w14:paraId="2FE79516" w14:textId="77777777" w:rsidR="007B7514" w:rsidRDefault="007B7514" w:rsidP="007B7514">
      <w:pPr>
        <w:jc w:val="center"/>
        <w:rPr>
          <w:rFonts w:eastAsia="Arial" w:cs="Arial"/>
          <w:i/>
          <w:iCs/>
          <w:color w:val="445369"/>
          <w:sz w:val="14"/>
          <w:szCs w:val="14"/>
          <w:lang w:val="es"/>
        </w:rPr>
      </w:pPr>
    </w:p>
    <w:p w14:paraId="624F3047" w14:textId="77777777" w:rsidR="007B7514" w:rsidRDefault="007B7514" w:rsidP="007B7514">
      <w:pPr>
        <w:jc w:val="center"/>
        <w:rPr>
          <w:rFonts w:eastAsia="Arial" w:cs="Arial"/>
          <w:i/>
          <w:iCs/>
          <w:color w:val="445369"/>
          <w:sz w:val="14"/>
          <w:szCs w:val="14"/>
          <w:lang w:val="es"/>
        </w:rPr>
      </w:pPr>
    </w:p>
    <w:p w14:paraId="12FBF1FB" w14:textId="77777777" w:rsidR="007B7514" w:rsidRDefault="007B7514" w:rsidP="007B7514">
      <w:pPr>
        <w:jc w:val="center"/>
        <w:rPr>
          <w:rFonts w:eastAsia="Arial" w:cs="Arial"/>
          <w:i/>
          <w:iCs/>
          <w:color w:val="445369"/>
          <w:sz w:val="14"/>
          <w:szCs w:val="14"/>
          <w:lang w:val="es"/>
        </w:rPr>
      </w:pPr>
    </w:p>
    <w:p w14:paraId="667EEA05" w14:textId="77777777" w:rsidR="007B7514" w:rsidRDefault="007B7514" w:rsidP="007B7514">
      <w:pPr>
        <w:jc w:val="center"/>
        <w:rPr>
          <w:rFonts w:eastAsia="Arial" w:cs="Arial"/>
          <w:i/>
          <w:iCs/>
          <w:color w:val="445369"/>
          <w:sz w:val="14"/>
          <w:szCs w:val="14"/>
          <w:lang w:val="es"/>
        </w:rPr>
      </w:pPr>
    </w:p>
    <w:p w14:paraId="2DE4B8BB" w14:textId="77777777" w:rsidR="007B7514" w:rsidRDefault="007B7514" w:rsidP="007B7514">
      <w:pPr>
        <w:jc w:val="center"/>
        <w:rPr>
          <w:rFonts w:eastAsia="Arial" w:cs="Arial"/>
          <w:i/>
          <w:iCs/>
          <w:color w:val="445369"/>
          <w:sz w:val="14"/>
          <w:szCs w:val="14"/>
          <w:lang w:val="es"/>
        </w:rPr>
      </w:pPr>
    </w:p>
    <w:p w14:paraId="3A8F9B86" w14:textId="77777777" w:rsidR="007B7514" w:rsidRDefault="007B7514" w:rsidP="007B7514">
      <w:pPr>
        <w:jc w:val="center"/>
        <w:rPr>
          <w:rFonts w:eastAsia="Arial" w:cs="Arial"/>
          <w:i/>
          <w:iCs/>
          <w:color w:val="445369"/>
          <w:sz w:val="14"/>
          <w:szCs w:val="14"/>
          <w:lang w:val="es"/>
        </w:rPr>
      </w:pPr>
    </w:p>
    <w:p w14:paraId="5E79CCFB" w14:textId="77777777" w:rsidR="005400C6" w:rsidRDefault="005400C6" w:rsidP="007B7514">
      <w:pPr>
        <w:jc w:val="center"/>
        <w:rPr>
          <w:rFonts w:eastAsia="Arial" w:cs="Arial"/>
          <w:i/>
          <w:iCs/>
          <w:color w:val="445369"/>
          <w:sz w:val="14"/>
          <w:szCs w:val="14"/>
          <w:lang w:val="es"/>
        </w:rPr>
      </w:pPr>
    </w:p>
    <w:p w14:paraId="4977C5C3" w14:textId="77777777" w:rsidR="005400C6" w:rsidRDefault="005400C6" w:rsidP="007B7514">
      <w:pPr>
        <w:jc w:val="center"/>
        <w:rPr>
          <w:rFonts w:eastAsia="Arial" w:cs="Arial"/>
          <w:i/>
          <w:iCs/>
          <w:color w:val="445369"/>
          <w:sz w:val="14"/>
          <w:szCs w:val="14"/>
          <w:lang w:val="es"/>
        </w:rPr>
      </w:pPr>
    </w:p>
    <w:p w14:paraId="4F70A90E" w14:textId="77777777" w:rsidR="005400C6" w:rsidRDefault="005400C6" w:rsidP="007B7514">
      <w:pPr>
        <w:jc w:val="center"/>
        <w:rPr>
          <w:rFonts w:eastAsia="Arial" w:cs="Arial"/>
          <w:i/>
          <w:iCs/>
          <w:color w:val="445369"/>
          <w:sz w:val="14"/>
          <w:szCs w:val="14"/>
          <w:lang w:val="es"/>
        </w:rPr>
      </w:pPr>
    </w:p>
    <w:p w14:paraId="4E2529D8" w14:textId="77777777" w:rsidR="005400C6" w:rsidRDefault="005400C6" w:rsidP="007B7514">
      <w:pPr>
        <w:jc w:val="center"/>
        <w:rPr>
          <w:rFonts w:eastAsia="Arial" w:cs="Arial"/>
          <w:i/>
          <w:iCs/>
          <w:color w:val="445369"/>
          <w:sz w:val="14"/>
          <w:szCs w:val="14"/>
          <w:lang w:val="es"/>
        </w:rPr>
      </w:pPr>
    </w:p>
    <w:p w14:paraId="104B6844" w14:textId="77777777" w:rsidR="005400C6" w:rsidRDefault="005400C6" w:rsidP="007B7514">
      <w:pPr>
        <w:jc w:val="center"/>
        <w:rPr>
          <w:rFonts w:eastAsia="Arial" w:cs="Arial"/>
          <w:i/>
          <w:iCs/>
          <w:color w:val="445369"/>
          <w:sz w:val="14"/>
          <w:szCs w:val="14"/>
          <w:lang w:val="es"/>
        </w:rPr>
      </w:pPr>
    </w:p>
    <w:p w14:paraId="673C2941" w14:textId="77777777" w:rsidR="005400C6" w:rsidRDefault="005400C6" w:rsidP="007B7514">
      <w:pPr>
        <w:jc w:val="center"/>
        <w:rPr>
          <w:rFonts w:eastAsia="Arial" w:cs="Arial"/>
          <w:i/>
          <w:iCs/>
          <w:color w:val="445369"/>
          <w:sz w:val="14"/>
          <w:szCs w:val="14"/>
          <w:lang w:val="es"/>
        </w:rPr>
      </w:pPr>
    </w:p>
    <w:p w14:paraId="5FF2D522" w14:textId="77777777" w:rsidR="005400C6" w:rsidRDefault="005400C6" w:rsidP="007B7514">
      <w:pPr>
        <w:jc w:val="center"/>
        <w:rPr>
          <w:rFonts w:eastAsia="Arial" w:cs="Arial"/>
          <w:i/>
          <w:iCs/>
          <w:color w:val="445369"/>
          <w:sz w:val="14"/>
          <w:szCs w:val="14"/>
          <w:lang w:val="es"/>
        </w:rPr>
      </w:pPr>
    </w:p>
    <w:p w14:paraId="2588ACC8" w14:textId="655EECCB" w:rsidR="005400C6" w:rsidRDefault="005400C6" w:rsidP="007B7514">
      <w:pPr>
        <w:jc w:val="center"/>
        <w:rPr>
          <w:rFonts w:eastAsia="Arial" w:cs="Arial"/>
          <w:i/>
          <w:iCs/>
          <w:color w:val="445369"/>
          <w:sz w:val="14"/>
          <w:szCs w:val="14"/>
          <w:lang w:val="es"/>
        </w:rPr>
      </w:pPr>
    </w:p>
    <w:p w14:paraId="05AF1811" w14:textId="293B025E" w:rsidR="00712950" w:rsidRDefault="00712950" w:rsidP="007B7514">
      <w:pPr>
        <w:jc w:val="center"/>
        <w:rPr>
          <w:rFonts w:eastAsia="Arial" w:cs="Arial"/>
          <w:i/>
          <w:iCs/>
          <w:color w:val="445369"/>
          <w:sz w:val="14"/>
          <w:szCs w:val="14"/>
          <w:lang w:val="es"/>
        </w:rPr>
      </w:pPr>
    </w:p>
    <w:p w14:paraId="57D6A0D8" w14:textId="5FE5705C" w:rsidR="00712950" w:rsidRDefault="00712950" w:rsidP="007B7514">
      <w:pPr>
        <w:jc w:val="center"/>
        <w:rPr>
          <w:rFonts w:eastAsia="Arial" w:cs="Arial"/>
          <w:i/>
          <w:iCs/>
          <w:color w:val="445369"/>
          <w:sz w:val="14"/>
          <w:szCs w:val="14"/>
          <w:lang w:val="es"/>
        </w:rPr>
      </w:pPr>
    </w:p>
    <w:p w14:paraId="001456DD" w14:textId="2754FCCE" w:rsidR="00712950" w:rsidRDefault="00712950" w:rsidP="007B7514">
      <w:pPr>
        <w:jc w:val="center"/>
        <w:rPr>
          <w:rFonts w:eastAsia="Arial" w:cs="Arial"/>
          <w:i/>
          <w:iCs/>
          <w:color w:val="445369"/>
          <w:sz w:val="14"/>
          <w:szCs w:val="14"/>
          <w:lang w:val="es"/>
        </w:rPr>
      </w:pPr>
    </w:p>
    <w:p w14:paraId="02733E3D" w14:textId="77777777" w:rsidR="00712950" w:rsidRDefault="00712950" w:rsidP="007B7514">
      <w:pPr>
        <w:jc w:val="center"/>
        <w:rPr>
          <w:rFonts w:eastAsia="Arial" w:cs="Arial"/>
          <w:i/>
          <w:iCs/>
          <w:color w:val="445369"/>
          <w:sz w:val="14"/>
          <w:szCs w:val="14"/>
          <w:lang w:val="es"/>
        </w:rPr>
      </w:pPr>
    </w:p>
    <w:p w14:paraId="0459B287" w14:textId="77777777" w:rsidR="005400C6" w:rsidRDefault="005400C6" w:rsidP="007B7514">
      <w:pPr>
        <w:jc w:val="center"/>
        <w:rPr>
          <w:rFonts w:eastAsia="Arial" w:cs="Arial"/>
          <w:i/>
          <w:iCs/>
          <w:color w:val="445369"/>
          <w:sz w:val="14"/>
          <w:szCs w:val="14"/>
          <w:lang w:val="es"/>
        </w:rPr>
      </w:pPr>
    </w:p>
    <w:p w14:paraId="324E495C" w14:textId="77777777" w:rsidR="007B7514" w:rsidRDefault="007B7514" w:rsidP="007B7514">
      <w:pPr>
        <w:jc w:val="center"/>
        <w:rPr>
          <w:rFonts w:eastAsia="Arial" w:cs="Arial"/>
          <w:i/>
          <w:iCs/>
          <w:color w:val="445369"/>
          <w:sz w:val="14"/>
          <w:szCs w:val="14"/>
          <w:lang w:val="es"/>
        </w:rPr>
      </w:pPr>
    </w:p>
    <w:p w14:paraId="0061148F" w14:textId="77777777" w:rsidR="007B7514" w:rsidRDefault="007B7514" w:rsidP="007B7514">
      <w:pPr>
        <w:jc w:val="center"/>
        <w:rPr>
          <w:rFonts w:eastAsia="Arial" w:cs="Arial"/>
          <w:i/>
          <w:iCs/>
          <w:color w:val="445369"/>
          <w:sz w:val="14"/>
          <w:szCs w:val="14"/>
          <w:lang w:val="es"/>
        </w:rPr>
      </w:pPr>
    </w:p>
    <w:p w14:paraId="275E6607" w14:textId="77777777" w:rsidR="007B7514" w:rsidRDefault="007B7514" w:rsidP="007B7514">
      <w:pPr>
        <w:jc w:val="center"/>
        <w:rPr>
          <w:rFonts w:eastAsia="Arial" w:cs="Arial"/>
          <w:i/>
          <w:iCs/>
          <w:color w:val="445369"/>
          <w:sz w:val="14"/>
          <w:szCs w:val="14"/>
          <w:lang w:val="es"/>
        </w:rPr>
      </w:pPr>
    </w:p>
    <w:p w14:paraId="6B7CD73C" w14:textId="77777777" w:rsidR="007B7514" w:rsidRDefault="007B7514" w:rsidP="007B7514">
      <w:pPr>
        <w:jc w:val="center"/>
        <w:rPr>
          <w:rFonts w:eastAsia="Arial" w:cs="Arial"/>
          <w:i/>
          <w:iCs/>
          <w:color w:val="445369"/>
          <w:sz w:val="14"/>
          <w:szCs w:val="14"/>
          <w:lang w:val="es"/>
        </w:rPr>
      </w:pPr>
    </w:p>
    <w:p w14:paraId="2F5A05F8" w14:textId="77777777" w:rsidR="007B7514" w:rsidRDefault="007B7514" w:rsidP="007B7514">
      <w:pPr>
        <w:jc w:val="center"/>
        <w:rPr>
          <w:rFonts w:eastAsia="Arial" w:cs="Arial"/>
          <w:i/>
          <w:iCs/>
          <w:color w:val="445369"/>
          <w:sz w:val="14"/>
          <w:szCs w:val="14"/>
          <w:lang w:val="es"/>
        </w:rPr>
      </w:pPr>
    </w:p>
    <w:p w14:paraId="2BA3C799" w14:textId="77777777" w:rsidR="007B7514" w:rsidRDefault="007B7514" w:rsidP="007B7514">
      <w:pPr>
        <w:jc w:val="center"/>
        <w:rPr>
          <w:rFonts w:eastAsia="Arial" w:cs="Arial"/>
          <w:i/>
          <w:iCs/>
          <w:color w:val="445369"/>
          <w:sz w:val="14"/>
          <w:szCs w:val="14"/>
          <w:lang w:val="es"/>
        </w:rPr>
      </w:pPr>
    </w:p>
    <w:p w14:paraId="2251F955" w14:textId="77777777" w:rsidR="00832FD5" w:rsidRDefault="00832FD5" w:rsidP="007B7514">
      <w:pPr>
        <w:jc w:val="center"/>
        <w:rPr>
          <w:rFonts w:eastAsia="Arial" w:cs="Arial"/>
          <w:i/>
          <w:iCs/>
          <w:color w:val="445369"/>
          <w:sz w:val="14"/>
          <w:szCs w:val="14"/>
          <w:lang w:val="es"/>
        </w:rPr>
      </w:pPr>
    </w:p>
    <w:p w14:paraId="0297CFB9" w14:textId="2B84CF41" w:rsidR="00832FD5" w:rsidRDefault="00832FD5" w:rsidP="002511F1">
      <w:pPr>
        <w:rPr>
          <w:rFonts w:eastAsia="Arial" w:cs="Arial"/>
          <w:i/>
          <w:iCs/>
          <w:color w:val="445369"/>
          <w:sz w:val="14"/>
          <w:szCs w:val="14"/>
          <w:lang w:val="es"/>
        </w:rPr>
      </w:pPr>
    </w:p>
    <w:p w14:paraId="0689B243" w14:textId="77777777" w:rsidR="00832FD5" w:rsidRDefault="00832FD5" w:rsidP="007B7514">
      <w:pPr>
        <w:jc w:val="center"/>
        <w:rPr>
          <w:rFonts w:eastAsia="Arial" w:cs="Arial"/>
          <w:i/>
          <w:iCs/>
          <w:color w:val="445369"/>
          <w:sz w:val="14"/>
          <w:szCs w:val="14"/>
          <w:lang w:val="es"/>
        </w:rPr>
      </w:pPr>
    </w:p>
    <w:p w14:paraId="6A8AD407" w14:textId="77777777" w:rsidR="00832FD5" w:rsidRDefault="00832FD5" w:rsidP="007B7514">
      <w:pPr>
        <w:jc w:val="center"/>
        <w:rPr>
          <w:rFonts w:eastAsia="Arial" w:cs="Arial"/>
          <w:i/>
          <w:iCs/>
          <w:color w:val="445369"/>
          <w:sz w:val="14"/>
          <w:szCs w:val="14"/>
          <w:lang w:val="es"/>
        </w:rPr>
      </w:pPr>
    </w:p>
    <w:p w14:paraId="6A068EFC" w14:textId="0B50E943" w:rsidR="007B7514" w:rsidRPr="00712950" w:rsidRDefault="00C34EB2" w:rsidP="00712950">
      <w:pPr>
        <w:pStyle w:val="Descripcin"/>
        <w:jc w:val="center"/>
        <w:rPr>
          <w:rFonts w:ascii="Arial" w:eastAsia="Arial" w:hAnsi="Arial" w:cs="Arial"/>
          <w:b/>
          <w:i w:val="0"/>
          <w:color w:val="000000" w:themeColor="text1"/>
          <w:sz w:val="16"/>
          <w:szCs w:val="16"/>
          <w:lang w:val="es"/>
        </w:rPr>
      </w:pPr>
      <w:bookmarkStart w:id="101" w:name="_Toc88677183"/>
      <w:r w:rsidRPr="0066437A">
        <w:rPr>
          <w:rFonts w:ascii="Arial" w:hAnsi="Arial" w:cs="Arial"/>
          <w:b/>
          <w:bCs/>
          <w:i w:val="0"/>
          <w:iCs w:val="0"/>
          <w:color w:val="000000" w:themeColor="text1"/>
          <w:sz w:val="16"/>
          <w:szCs w:val="16"/>
        </w:rPr>
        <w:t xml:space="preserve">Ilustración </w:t>
      </w:r>
      <w:r w:rsidRPr="0066437A">
        <w:rPr>
          <w:rFonts w:ascii="Arial" w:hAnsi="Arial" w:cs="Arial"/>
          <w:b/>
          <w:bCs/>
          <w:i w:val="0"/>
          <w:iCs w:val="0"/>
          <w:color w:val="000000" w:themeColor="text1"/>
          <w:sz w:val="16"/>
          <w:szCs w:val="16"/>
        </w:rPr>
        <w:fldChar w:fldCharType="begin"/>
      </w:r>
      <w:r w:rsidRPr="0066437A">
        <w:rPr>
          <w:rFonts w:ascii="Arial" w:hAnsi="Arial" w:cs="Arial"/>
          <w:b/>
          <w:bCs/>
          <w:i w:val="0"/>
          <w:iCs w:val="0"/>
          <w:color w:val="000000" w:themeColor="text1"/>
          <w:sz w:val="16"/>
          <w:szCs w:val="16"/>
        </w:rPr>
        <w:instrText xml:space="preserve"> SEQ Ilustración \* ARABIC </w:instrText>
      </w:r>
      <w:r w:rsidRPr="0066437A">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27</w:t>
      </w:r>
      <w:r w:rsidRPr="0066437A">
        <w:rPr>
          <w:rFonts w:ascii="Arial" w:hAnsi="Arial" w:cs="Arial"/>
          <w:b/>
          <w:bCs/>
          <w:i w:val="0"/>
          <w:iCs w:val="0"/>
          <w:color w:val="000000" w:themeColor="text1"/>
          <w:sz w:val="16"/>
          <w:szCs w:val="16"/>
        </w:rPr>
        <w:fldChar w:fldCharType="end"/>
      </w:r>
      <w:r w:rsidRPr="0066437A">
        <w:rPr>
          <w:rFonts w:ascii="Arial" w:hAnsi="Arial" w:cs="Arial"/>
          <w:b/>
          <w:bCs/>
          <w:i w:val="0"/>
          <w:iCs w:val="0"/>
          <w:color w:val="000000" w:themeColor="text1"/>
          <w:sz w:val="16"/>
          <w:szCs w:val="16"/>
        </w:rPr>
        <w:t>. Estaciones reactivadas</w:t>
      </w:r>
      <w:bookmarkEnd w:id="101"/>
    </w:p>
    <w:p w14:paraId="18A8582E" w14:textId="77777777" w:rsidR="007B7514" w:rsidRDefault="007B7514" w:rsidP="007B7514">
      <w:pPr>
        <w:jc w:val="center"/>
        <w:rPr>
          <w:rFonts w:eastAsia="Arial" w:cs="Arial"/>
          <w:i/>
          <w:iCs/>
          <w:color w:val="445369"/>
          <w:sz w:val="14"/>
          <w:szCs w:val="14"/>
          <w:lang w:val="es"/>
        </w:rPr>
      </w:pPr>
    </w:p>
    <w:p w14:paraId="26BF14EC" w14:textId="0A2B4C1C" w:rsidR="007B7514" w:rsidRDefault="007B7514" w:rsidP="007B7514">
      <w:pPr>
        <w:jc w:val="center"/>
      </w:pPr>
      <w:r w:rsidRPr="31FF9146">
        <w:rPr>
          <w:rFonts w:eastAsia="Arial" w:cs="Arial"/>
          <w:b/>
          <w:bCs/>
          <w:i/>
          <w:iCs/>
          <w:color w:val="445369"/>
          <w:sz w:val="14"/>
          <w:szCs w:val="14"/>
          <w:lang w:val="es"/>
        </w:rPr>
        <w:t>2020                                                                                                   2021</w:t>
      </w:r>
    </w:p>
    <w:p w14:paraId="0B926818" w14:textId="77777777" w:rsidR="007B7514" w:rsidRDefault="007B7514" w:rsidP="007B7514">
      <w:pPr>
        <w:jc w:val="center"/>
      </w:pPr>
      <w:r w:rsidRPr="31FF9146">
        <w:rPr>
          <w:rFonts w:eastAsia="Arial" w:cs="Arial"/>
          <w:color w:val="000000" w:themeColor="text1"/>
          <w:lang w:val="es"/>
        </w:rPr>
        <w:t xml:space="preserve"> </w:t>
      </w:r>
      <w:r>
        <w:rPr>
          <w:noProof/>
          <w:lang w:val="es-CO" w:eastAsia="es-CO"/>
        </w:rPr>
        <w:drawing>
          <wp:inline distT="0" distB="0" distL="0" distR="0" wp14:anchorId="0F1FAC24" wp14:editId="4D1B8917">
            <wp:extent cx="4505484" cy="2676525"/>
            <wp:effectExtent l="0" t="0" r="0" b="0"/>
            <wp:docPr id="2140936149" name="Imagen 2140936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extLst>
                        <a:ext uri="{28A0092B-C50C-407E-A947-70E740481C1C}">
                          <a14:useLocalDpi xmlns:a14="http://schemas.microsoft.com/office/drawing/2010/main" val="0"/>
                        </a:ext>
                      </a:extLst>
                    </a:blip>
                    <a:stretch>
                      <a:fillRect/>
                    </a:stretch>
                  </pic:blipFill>
                  <pic:spPr>
                    <a:xfrm>
                      <a:off x="0" y="0"/>
                      <a:ext cx="4505484" cy="2676525"/>
                    </a:xfrm>
                    <a:prstGeom prst="rect">
                      <a:avLst/>
                    </a:prstGeom>
                  </pic:spPr>
                </pic:pic>
              </a:graphicData>
            </a:graphic>
          </wp:inline>
        </w:drawing>
      </w:r>
    </w:p>
    <w:p w14:paraId="0AB029B4" w14:textId="77777777" w:rsidR="007B7514" w:rsidRPr="00C27EB1" w:rsidRDefault="007B7514" w:rsidP="007B7514">
      <w:pPr>
        <w:jc w:val="center"/>
        <w:rPr>
          <w:b/>
          <w:bCs/>
          <w:sz w:val="16"/>
          <w:szCs w:val="16"/>
        </w:rPr>
      </w:pPr>
      <w:r w:rsidRPr="31FF9146">
        <w:rPr>
          <w:rFonts w:eastAsia="Arial" w:cs="Arial"/>
          <w:color w:val="000000" w:themeColor="text1"/>
          <w:lang w:val="es"/>
        </w:rPr>
        <w:t xml:space="preserve"> </w:t>
      </w:r>
      <w:r w:rsidRPr="00C27EB1">
        <w:rPr>
          <w:b/>
          <w:bCs/>
          <w:sz w:val="16"/>
          <w:szCs w:val="16"/>
        </w:rPr>
        <w:t>Fuente: IGAC. Dirección de Gestión de la Información Geográfica</w:t>
      </w:r>
    </w:p>
    <w:p w14:paraId="7BC6CE47" w14:textId="77777777" w:rsidR="002511F1" w:rsidRDefault="002511F1" w:rsidP="007B7514">
      <w:pPr>
        <w:jc w:val="both"/>
        <w:rPr>
          <w:rFonts w:eastAsia="Arial" w:cs="Arial"/>
          <w:color w:val="000000" w:themeColor="text1"/>
          <w:lang w:val="es"/>
        </w:rPr>
      </w:pPr>
    </w:p>
    <w:p w14:paraId="653C08C0" w14:textId="42957C1A" w:rsidR="007B7514" w:rsidRDefault="007B7514" w:rsidP="007B7514">
      <w:pPr>
        <w:jc w:val="both"/>
      </w:pPr>
      <w:r w:rsidRPr="31FF9146">
        <w:rPr>
          <w:rFonts w:eastAsia="Arial" w:cs="Arial"/>
          <w:color w:val="000000" w:themeColor="text1"/>
          <w:sz w:val="22"/>
          <w:szCs w:val="22"/>
          <w:lang w:val="es"/>
        </w:rPr>
        <w:t>Paralelamente, como parte de la estrategia para el fortalecimiento de la infraestructura geodésica, se realizó la identificación de entidades que tienen estaciones materializadas en el país, con el fin de integrar estaciones (activas y pasivas) de otras instituciones públicas y privadas a la Red Geodésica Nacional. En el marco de esto, se ha realizado la gestión para la integración de estaciones GNSS-CORS de operación continua a la Red Geodésica Nacional con la Universidad Distrital Francisco José de Caldas, Servicio Nacional de Aprendizaje (SENA) y Empresas Municipales de Cali (EMCALI), Alcaldía de Cali, Empresa de Acueducto, Alcantarillado y Aseo de Bogotá-EAAB, y con la empresa Galileo.</w:t>
      </w:r>
    </w:p>
    <w:p w14:paraId="4B289AC5" w14:textId="77777777" w:rsidR="007B7514" w:rsidRDefault="007B7514" w:rsidP="007B7514">
      <w:pPr>
        <w:jc w:val="both"/>
      </w:pPr>
      <w:r w:rsidRPr="31FF9146">
        <w:rPr>
          <w:rFonts w:eastAsia="Arial" w:cs="Arial"/>
          <w:color w:val="000000" w:themeColor="text1"/>
          <w:sz w:val="22"/>
          <w:szCs w:val="22"/>
          <w:lang w:val="es"/>
        </w:rPr>
        <w:t xml:space="preserve"> </w:t>
      </w:r>
    </w:p>
    <w:p w14:paraId="6FC65C6B" w14:textId="77777777" w:rsidR="007B7514" w:rsidRDefault="007B7514" w:rsidP="007B7514">
      <w:pPr>
        <w:jc w:val="both"/>
      </w:pPr>
      <w:r w:rsidRPr="31FF9146">
        <w:rPr>
          <w:rFonts w:eastAsia="Arial" w:cs="Arial"/>
          <w:color w:val="000000" w:themeColor="text1"/>
          <w:sz w:val="22"/>
          <w:szCs w:val="22"/>
          <w:lang w:val="es"/>
        </w:rPr>
        <w:t>Por otro lado, es preciso mencionar que se han registrado e integrado a la Red SIRGAS de operación continua, 10 de las nuevas estaciones y, asimismo, se han procesado y publicado datos de las estaciones activas del centro IGA del Sistema de Referencia Geocéntrico para las Américas (SIRGAS) de 93 semanas.</w:t>
      </w:r>
    </w:p>
    <w:p w14:paraId="27D46172" w14:textId="77777777" w:rsidR="007B7514" w:rsidRDefault="007B7514" w:rsidP="007B7514">
      <w:pPr>
        <w:jc w:val="both"/>
      </w:pPr>
      <w:r w:rsidRPr="31FF9146">
        <w:rPr>
          <w:rFonts w:eastAsia="Arial" w:cs="Arial"/>
          <w:color w:val="000000" w:themeColor="text1"/>
          <w:sz w:val="22"/>
          <w:szCs w:val="22"/>
          <w:lang w:val="es"/>
        </w:rPr>
        <w:t xml:space="preserve"> </w:t>
      </w:r>
    </w:p>
    <w:p w14:paraId="19AB0D89" w14:textId="77777777" w:rsidR="007B7514" w:rsidRDefault="007B7514" w:rsidP="007B7514">
      <w:pPr>
        <w:jc w:val="both"/>
      </w:pPr>
      <w:r w:rsidRPr="31FF9146">
        <w:rPr>
          <w:rFonts w:eastAsia="Arial" w:cs="Arial"/>
          <w:color w:val="000000" w:themeColor="text1"/>
          <w:sz w:val="22"/>
          <w:szCs w:val="22"/>
          <w:lang w:val="es"/>
        </w:rPr>
        <w:t xml:space="preserve">A la fecha, se han consolidado 8.817 vértices geodésicos con coordenadas en el origen nacional distribuidos por todo el territorio nacional, actualizando y disponiendo las descripciones de los mismos. Además, se ha estructurado y calculado la información de 25.249 vértices de nivelación geodésica medidos en campo generando así alturas en metros sobre el nivel medio del mar (ver </w:t>
      </w:r>
      <w:hyperlink r:id="rId52">
        <w:r w:rsidRPr="31FF9146">
          <w:rPr>
            <w:rStyle w:val="Hipervnculo"/>
            <w:rFonts w:eastAsia="Arial" w:cs="Arial"/>
            <w:sz w:val="22"/>
            <w:szCs w:val="22"/>
            <w:lang w:val="es"/>
          </w:rPr>
          <w:t>www.colombiaenmapa.gov.co</w:t>
        </w:r>
      </w:hyperlink>
      <w:r w:rsidRPr="31FF9146">
        <w:rPr>
          <w:rFonts w:eastAsia="Arial" w:cs="Arial"/>
          <w:color w:val="000000" w:themeColor="text1"/>
          <w:sz w:val="22"/>
          <w:szCs w:val="22"/>
          <w:lang w:val="es"/>
        </w:rPr>
        <w:t xml:space="preserve"> en Red de Control vertical de precisión).</w:t>
      </w:r>
    </w:p>
    <w:p w14:paraId="5233004F" w14:textId="77777777" w:rsidR="007B7514"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099FB1BE" w14:textId="77777777" w:rsidR="007B7514" w:rsidRDefault="007B7514" w:rsidP="007B7514">
      <w:pPr>
        <w:jc w:val="both"/>
        <w:rPr>
          <w:rFonts w:eastAsia="Arial" w:cs="Arial"/>
          <w:color w:val="000000" w:themeColor="text1"/>
          <w:lang w:val="es"/>
        </w:rPr>
      </w:pPr>
    </w:p>
    <w:p w14:paraId="4E726DBC" w14:textId="77777777" w:rsidR="007B7514" w:rsidRDefault="007B7514" w:rsidP="007B7514">
      <w:pPr>
        <w:jc w:val="both"/>
        <w:rPr>
          <w:rFonts w:eastAsia="Arial" w:cs="Arial"/>
          <w:color w:val="000000" w:themeColor="text1"/>
          <w:lang w:val="es"/>
        </w:rPr>
      </w:pPr>
    </w:p>
    <w:p w14:paraId="16E8A97B" w14:textId="77777777" w:rsidR="006318BA" w:rsidRPr="006318BA" w:rsidRDefault="006318BA" w:rsidP="006318BA">
      <w:pPr>
        <w:jc w:val="both"/>
        <w:rPr>
          <w:rFonts w:eastAsia="Arial" w:cs="Arial"/>
          <w:color w:val="000000" w:themeColor="text1"/>
          <w:lang w:val="es"/>
        </w:rPr>
      </w:pPr>
    </w:p>
    <w:p w14:paraId="5E609CA0" w14:textId="77777777" w:rsidR="00D7661A" w:rsidRDefault="00D7661A" w:rsidP="007B7514">
      <w:pPr>
        <w:jc w:val="both"/>
        <w:rPr>
          <w:rFonts w:eastAsia="Arial" w:cs="Arial"/>
          <w:color w:val="000000" w:themeColor="text1"/>
          <w:lang w:val="es"/>
        </w:rPr>
      </w:pPr>
    </w:p>
    <w:p w14:paraId="418605E9" w14:textId="77777777" w:rsidR="00D7661A" w:rsidRDefault="00D7661A" w:rsidP="007B7514">
      <w:pPr>
        <w:jc w:val="both"/>
        <w:rPr>
          <w:rFonts w:eastAsia="Arial" w:cs="Arial"/>
          <w:color w:val="000000" w:themeColor="text1"/>
          <w:lang w:val="es"/>
        </w:rPr>
      </w:pPr>
    </w:p>
    <w:p w14:paraId="76BA8189" w14:textId="2E6DF731" w:rsidR="007B7514" w:rsidRDefault="007B7514" w:rsidP="007B7514">
      <w:pPr>
        <w:jc w:val="both"/>
        <w:rPr>
          <w:rFonts w:eastAsia="Arial" w:cs="Arial"/>
          <w:color w:val="000000" w:themeColor="text1"/>
          <w:lang w:val="es"/>
        </w:rPr>
      </w:pPr>
    </w:p>
    <w:p w14:paraId="4BB0D569" w14:textId="59F80957" w:rsidR="00712950" w:rsidRDefault="00712950" w:rsidP="007B7514">
      <w:pPr>
        <w:jc w:val="both"/>
        <w:rPr>
          <w:rFonts w:eastAsia="Arial" w:cs="Arial"/>
          <w:color w:val="000000" w:themeColor="text1"/>
          <w:lang w:val="es"/>
        </w:rPr>
      </w:pPr>
    </w:p>
    <w:p w14:paraId="1B8B3389" w14:textId="77777777" w:rsidR="00712950" w:rsidRDefault="00712950" w:rsidP="007B7514">
      <w:pPr>
        <w:jc w:val="both"/>
        <w:rPr>
          <w:rFonts w:eastAsia="Arial" w:cs="Arial"/>
          <w:color w:val="000000" w:themeColor="text1"/>
          <w:lang w:val="es"/>
        </w:rPr>
      </w:pPr>
    </w:p>
    <w:p w14:paraId="45C85212" w14:textId="7C077C3E" w:rsidR="007B7514" w:rsidRPr="0066437A" w:rsidRDefault="0066437A" w:rsidP="0066437A">
      <w:pPr>
        <w:pStyle w:val="Descripcin"/>
        <w:jc w:val="center"/>
        <w:rPr>
          <w:rFonts w:ascii="Arial" w:hAnsi="Arial" w:cs="Arial"/>
          <w:b/>
          <w:i w:val="0"/>
          <w:color w:val="000000" w:themeColor="text1"/>
          <w:sz w:val="16"/>
          <w:szCs w:val="16"/>
        </w:rPr>
      </w:pPr>
      <w:bookmarkStart w:id="102" w:name="_Toc88677184"/>
      <w:r w:rsidRPr="0066437A">
        <w:rPr>
          <w:rFonts w:ascii="Arial" w:hAnsi="Arial" w:cs="Arial"/>
          <w:b/>
          <w:bCs/>
          <w:i w:val="0"/>
          <w:iCs w:val="0"/>
          <w:color w:val="000000" w:themeColor="text1"/>
          <w:sz w:val="16"/>
          <w:szCs w:val="16"/>
        </w:rPr>
        <w:lastRenderedPageBreak/>
        <w:t xml:space="preserve">Ilustración </w:t>
      </w:r>
      <w:r w:rsidRPr="0066437A">
        <w:rPr>
          <w:rFonts w:ascii="Arial" w:hAnsi="Arial" w:cs="Arial"/>
          <w:b/>
          <w:bCs/>
          <w:i w:val="0"/>
          <w:iCs w:val="0"/>
          <w:color w:val="000000" w:themeColor="text1"/>
          <w:sz w:val="16"/>
          <w:szCs w:val="16"/>
        </w:rPr>
        <w:fldChar w:fldCharType="begin"/>
      </w:r>
      <w:r w:rsidRPr="0066437A">
        <w:rPr>
          <w:rFonts w:ascii="Arial" w:hAnsi="Arial" w:cs="Arial"/>
          <w:b/>
          <w:bCs/>
          <w:i w:val="0"/>
          <w:iCs w:val="0"/>
          <w:color w:val="000000" w:themeColor="text1"/>
          <w:sz w:val="16"/>
          <w:szCs w:val="16"/>
        </w:rPr>
        <w:instrText xml:space="preserve"> SEQ Ilustración \* ARABIC </w:instrText>
      </w:r>
      <w:r w:rsidRPr="0066437A">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28</w:t>
      </w:r>
      <w:r w:rsidRPr="0066437A">
        <w:rPr>
          <w:rFonts w:ascii="Arial" w:hAnsi="Arial" w:cs="Arial"/>
          <w:b/>
          <w:bCs/>
          <w:i w:val="0"/>
          <w:iCs w:val="0"/>
          <w:color w:val="000000" w:themeColor="text1"/>
          <w:sz w:val="16"/>
          <w:szCs w:val="16"/>
        </w:rPr>
        <w:fldChar w:fldCharType="end"/>
      </w:r>
      <w:r w:rsidRPr="0066437A">
        <w:rPr>
          <w:rFonts w:ascii="Arial" w:hAnsi="Arial" w:cs="Arial"/>
          <w:b/>
          <w:bCs/>
          <w:i w:val="0"/>
          <w:iCs w:val="0"/>
          <w:color w:val="000000" w:themeColor="text1"/>
          <w:sz w:val="16"/>
          <w:szCs w:val="16"/>
        </w:rPr>
        <w:t>. Red de Control Vertical de precisión -CeM</w:t>
      </w:r>
      <w:bookmarkEnd w:id="102"/>
    </w:p>
    <w:p w14:paraId="1DE25BD0" w14:textId="77777777" w:rsidR="007B7514" w:rsidRPr="006F60EE" w:rsidRDefault="007B7514" w:rsidP="007B7514">
      <w:pPr>
        <w:jc w:val="center"/>
        <w:rPr>
          <w:b/>
          <w:bCs/>
          <w:color w:val="000000" w:themeColor="text1"/>
          <w:sz w:val="16"/>
          <w:szCs w:val="16"/>
        </w:rPr>
      </w:pPr>
    </w:p>
    <w:p w14:paraId="0FE90D70" w14:textId="77777777" w:rsidR="007B7514" w:rsidRDefault="007B7514" w:rsidP="007B7514">
      <w:pPr>
        <w:jc w:val="center"/>
      </w:pPr>
      <w:r>
        <w:rPr>
          <w:noProof/>
          <w:lang w:val="es-CO" w:eastAsia="es-CO"/>
        </w:rPr>
        <w:drawing>
          <wp:inline distT="0" distB="0" distL="0" distR="0" wp14:anchorId="3467110C" wp14:editId="7105BD18">
            <wp:extent cx="4486695" cy="2605178"/>
            <wp:effectExtent l="0" t="0" r="0" b="5080"/>
            <wp:docPr id="1251245422" name="Imagen 1251245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extLst>
                        <a:ext uri="{28A0092B-C50C-407E-A947-70E740481C1C}">
                          <a14:useLocalDpi xmlns:a14="http://schemas.microsoft.com/office/drawing/2010/main" val="0"/>
                        </a:ext>
                      </a:extLst>
                    </a:blip>
                    <a:stretch>
                      <a:fillRect/>
                    </a:stretch>
                  </pic:blipFill>
                  <pic:spPr>
                    <a:xfrm>
                      <a:off x="0" y="0"/>
                      <a:ext cx="4494587" cy="2609761"/>
                    </a:xfrm>
                    <a:prstGeom prst="rect">
                      <a:avLst/>
                    </a:prstGeom>
                  </pic:spPr>
                </pic:pic>
              </a:graphicData>
            </a:graphic>
          </wp:inline>
        </w:drawing>
      </w:r>
    </w:p>
    <w:p w14:paraId="7AB5311D" w14:textId="77777777" w:rsidR="007B7514" w:rsidRPr="006F60EE" w:rsidRDefault="007B7514" w:rsidP="007B7514">
      <w:pPr>
        <w:jc w:val="center"/>
        <w:rPr>
          <w:rFonts w:eastAsia="Arial" w:cs="Arial"/>
          <w:b/>
          <w:bCs/>
          <w:color w:val="000000" w:themeColor="text1"/>
          <w:sz w:val="16"/>
          <w:szCs w:val="16"/>
          <w:lang w:val="es"/>
        </w:rPr>
      </w:pPr>
      <w:r w:rsidRPr="006F60EE">
        <w:rPr>
          <w:rFonts w:eastAsia="Arial" w:cs="Arial"/>
          <w:b/>
          <w:bCs/>
          <w:color w:val="000000" w:themeColor="text1"/>
          <w:sz w:val="16"/>
          <w:szCs w:val="16"/>
          <w:lang w:val="es"/>
        </w:rPr>
        <w:t>Fuente: IGAC. Dirección de Gestión de la Información</w:t>
      </w:r>
      <w:r w:rsidRPr="31FF9146">
        <w:rPr>
          <w:rFonts w:eastAsia="Arial" w:cs="Arial"/>
          <w:color w:val="000000" w:themeColor="text1"/>
          <w:sz w:val="14"/>
          <w:szCs w:val="14"/>
          <w:lang w:val="es"/>
        </w:rPr>
        <w:t xml:space="preserve"> </w:t>
      </w:r>
      <w:r w:rsidRPr="006F60EE">
        <w:rPr>
          <w:rFonts w:eastAsia="Arial" w:cs="Arial"/>
          <w:b/>
          <w:bCs/>
          <w:color w:val="000000" w:themeColor="text1"/>
          <w:sz w:val="16"/>
          <w:szCs w:val="16"/>
          <w:lang w:val="es"/>
        </w:rPr>
        <w:t>Geográfica</w:t>
      </w:r>
    </w:p>
    <w:p w14:paraId="142A24EB" w14:textId="77777777" w:rsidR="007B7514" w:rsidRPr="006F60EE" w:rsidRDefault="007B7514" w:rsidP="007B7514">
      <w:pPr>
        <w:jc w:val="center"/>
        <w:rPr>
          <w:rFonts w:eastAsia="Arial" w:cs="Arial"/>
          <w:b/>
          <w:bCs/>
          <w:color w:val="000000" w:themeColor="text1"/>
          <w:sz w:val="16"/>
          <w:szCs w:val="16"/>
          <w:lang w:val="es"/>
        </w:rPr>
      </w:pPr>
      <w:r w:rsidRPr="006F60EE">
        <w:rPr>
          <w:rFonts w:eastAsia="Arial" w:cs="Arial"/>
          <w:b/>
          <w:bCs/>
          <w:color w:val="000000" w:themeColor="text1"/>
          <w:sz w:val="16"/>
          <w:szCs w:val="16"/>
          <w:lang w:val="es"/>
        </w:rPr>
        <w:t xml:space="preserve"> </w:t>
      </w:r>
    </w:p>
    <w:p w14:paraId="2FD6F6C2" w14:textId="77777777" w:rsidR="007B7514" w:rsidRDefault="007B7514" w:rsidP="007B7514">
      <w:pPr>
        <w:jc w:val="both"/>
      </w:pPr>
      <w:r w:rsidRPr="31FF9146">
        <w:rPr>
          <w:rFonts w:eastAsia="Arial" w:cs="Arial"/>
          <w:color w:val="000000" w:themeColor="text1"/>
          <w:lang w:val="es"/>
        </w:rPr>
        <w:t xml:space="preserve"> </w:t>
      </w:r>
    </w:p>
    <w:p w14:paraId="64C52A78" w14:textId="77777777" w:rsidR="007B7514" w:rsidRDefault="007B7514" w:rsidP="007B7514">
      <w:pPr>
        <w:jc w:val="both"/>
      </w:pPr>
      <w:r w:rsidRPr="31FF9146">
        <w:rPr>
          <w:rFonts w:eastAsia="Arial" w:cs="Arial"/>
          <w:color w:val="000000" w:themeColor="text1"/>
          <w:sz w:val="22"/>
          <w:szCs w:val="22"/>
          <w:lang w:val="es"/>
        </w:rPr>
        <w:t>Así mismo, se realizó la actualización del plan de fortalecimiento de la infraestructura geodésica nacional dentro del cual se incluyó la red pasiva del país, así como el plan nacional de geodesia 2021 – 2025.</w:t>
      </w:r>
    </w:p>
    <w:p w14:paraId="1122E7F1" w14:textId="1C7699F8" w:rsidR="007B7514" w:rsidRPr="002511F1" w:rsidRDefault="007B7514" w:rsidP="002511F1">
      <w:pPr>
        <w:jc w:val="both"/>
      </w:pPr>
      <w:r w:rsidRPr="31FF9146">
        <w:rPr>
          <w:rFonts w:eastAsia="Arial" w:cs="Arial"/>
          <w:color w:val="000000" w:themeColor="text1"/>
          <w:sz w:val="22"/>
          <w:szCs w:val="22"/>
          <w:lang w:val="es"/>
        </w:rPr>
        <w:t xml:space="preserve"> </w:t>
      </w:r>
    </w:p>
    <w:p w14:paraId="0328D103" w14:textId="77777777" w:rsidR="007B7514" w:rsidRPr="00581D98" w:rsidRDefault="007B7514" w:rsidP="007B7514">
      <w:pPr>
        <w:rPr>
          <w:b/>
          <w:sz w:val="22"/>
          <w:szCs w:val="22"/>
        </w:rPr>
      </w:pPr>
      <w:r w:rsidRPr="00581D98">
        <w:rPr>
          <w:rFonts w:eastAsia="Arial"/>
          <w:b/>
          <w:sz w:val="22"/>
          <w:szCs w:val="22"/>
          <w:lang w:val="es-MX"/>
        </w:rPr>
        <w:t>DENSIFICACIÓN DEL MARCO DE REFERENCIA GEOMAGNÉTICO</w:t>
      </w:r>
    </w:p>
    <w:p w14:paraId="4FE70601" w14:textId="77777777" w:rsidR="007B7514" w:rsidRDefault="007B7514" w:rsidP="007B7514">
      <w:r w:rsidRPr="31FF9146">
        <w:rPr>
          <w:rFonts w:ascii="Times New Roman" w:hAnsi="Times New Roman"/>
          <w:color w:val="000000" w:themeColor="text1"/>
          <w:sz w:val="22"/>
          <w:szCs w:val="22"/>
          <w:lang w:val="es-MX"/>
        </w:rPr>
        <w:t xml:space="preserve"> </w:t>
      </w:r>
    </w:p>
    <w:p w14:paraId="6CDE2AC1" w14:textId="77777777" w:rsidR="007B7514" w:rsidRDefault="007B7514" w:rsidP="007B7514">
      <w:pPr>
        <w:jc w:val="both"/>
      </w:pPr>
      <w:r w:rsidRPr="31FF9146">
        <w:rPr>
          <w:rFonts w:eastAsia="Arial" w:cs="Arial"/>
          <w:color w:val="000000" w:themeColor="text1"/>
          <w:sz w:val="22"/>
          <w:szCs w:val="22"/>
          <w:lang w:val="es"/>
        </w:rPr>
        <w:t xml:space="preserve">La obtención de las observaciones de los componentes del campo magnético de la tierra se lleva a cabo, a través de los equipos análogos instalados en el Observatorio Geomagnético Nacional, ubicado en la Isla Santuario de Fúquene, y siguiendo las normas Internacionales establecidas y aprobadas por la </w:t>
      </w:r>
      <w:r w:rsidRPr="31FF9146">
        <w:rPr>
          <w:rFonts w:eastAsia="Arial" w:cs="Arial"/>
          <w:i/>
          <w:iCs/>
          <w:color w:val="000000" w:themeColor="text1"/>
          <w:sz w:val="22"/>
          <w:szCs w:val="22"/>
          <w:lang w:val="es"/>
        </w:rPr>
        <w:t>International Association of Geomagnetism and Aeronomy (IAGA)</w:t>
      </w:r>
      <w:r w:rsidRPr="31FF9146">
        <w:rPr>
          <w:rFonts w:eastAsia="Arial" w:cs="Arial"/>
          <w:color w:val="000000" w:themeColor="text1"/>
          <w:sz w:val="22"/>
          <w:szCs w:val="22"/>
          <w:lang w:val="es"/>
        </w:rPr>
        <w:t>.</w:t>
      </w:r>
    </w:p>
    <w:p w14:paraId="221B2F84" w14:textId="77777777" w:rsidR="007B7514" w:rsidRDefault="007B7514" w:rsidP="007B7514">
      <w:pPr>
        <w:jc w:val="both"/>
      </w:pPr>
      <w:r w:rsidRPr="31FF9146">
        <w:rPr>
          <w:rFonts w:eastAsia="Arial" w:cs="Arial"/>
          <w:color w:val="000000" w:themeColor="text1"/>
          <w:sz w:val="22"/>
          <w:szCs w:val="22"/>
          <w:lang w:val="es"/>
        </w:rPr>
        <w:t xml:space="preserve"> </w:t>
      </w:r>
    </w:p>
    <w:p w14:paraId="07FAA91B" w14:textId="77777777" w:rsidR="007B7514" w:rsidRDefault="007B7514" w:rsidP="007B7514">
      <w:pPr>
        <w:jc w:val="both"/>
      </w:pPr>
      <w:r w:rsidRPr="31FF9146">
        <w:rPr>
          <w:rFonts w:eastAsia="Arial" w:cs="Arial"/>
          <w:color w:val="000000" w:themeColor="text1"/>
          <w:sz w:val="22"/>
          <w:szCs w:val="22"/>
          <w:lang w:val="es"/>
        </w:rPr>
        <w:t>Es así como durante el 2020 y 2021, además de lograr 770 mediciones absolutas capturadas a través del Observatorio de Fúquene, se consolidó y realizó el control de calidad y validación de la base de datos geomagnéticos capturados de 1986 a 2015 y 2016 al 2019, lo que permitirá a los usuarios obtener la actividad magnética del país y realizar el análisis temporal de cada una de las componentes geomagnéticas, útiles en diferentes estudios de prospección de recursos naturales, estudios geológicos, geofísicos, corrección de rumbos magnéticos en topografía y en navegación marítima y aérea, entre otros.</w:t>
      </w:r>
    </w:p>
    <w:p w14:paraId="36363598" w14:textId="77777777" w:rsidR="007B7514" w:rsidRDefault="007B7514" w:rsidP="007B7514">
      <w:pPr>
        <w:jc w:val="both"/>
      </w:pPr>
      <w:r w:rsidRPr="31FF9146">
        <w:rPr>
          <w:rFonts w:eastAsia="Arial" w:cs="Arial"/>
          <w:color w:val="000000" w:themeColor="text1"/>
          <w:sz w:val="22"/>
          <w:szCs w:val="22"/>
          <w:lang w:val="es"/>
        </w:rPr>
        <w:t xml:space="preserve"> </w:t>
      </w:r>
    </w:p>
    <w:p w14:paraId="58B2D851" w14:textId="77777777" w:rsidR="007B7514" w:rsidRDefault="007B7514" w:rsidP="007B7514">
      <w:pPr>
        <w:jc w:val="both"/>
      </w:pPr>
      <w:r w:rsidRPr="31FF9146">
        <w:rPr>
          <w:rFonts w:eastAsia="Arial" w:cs="Arial"/>
          <w:color w:val="000000" w:themeColor="text1"/>
          <w:sz w:val="22"/>
          <w:szCs w:val="22"/>
          <w:lang w:val="es"/>
        </w:rPr>
        <w:t xml:space="preserve">Adicionalmente, y con el ánimo de que los diferentes usuarios puedan hacer uso de esta información, se elaboró un sitio web con los datos geomagnéticos disponibles desde 1955 para su visualización y descarga </w:t>
      </w:r>
      <w:hyperlink r:id="rId54">
        <w:r w:rsidRPr="31FF9146">
          <w:rPr>
            <w:rStyle w:val="Hipervnculo"/>
            <w:rFonts w:eastAsia="Arial" w:cs="Arial"/>
            <w:sz w:val="22"/>
            <w:szCs w:val="22"/>
            <w:lang w:val="es"/>
          </w:rPr>
          <w:t>https://tableros.igac.gov.co/datosgeomagneticos/</w:t>
        </w:r>
      </w:hyperlink>
      <w:r w:rsidRPr="31FF9146">
        <w:rPr>
          <w:rFonts w:eastAsia="Arial" w:cs="Arial"/>
          <w:color w:val="000000" w:themeColor="text1"/>
          <w:sz w:val="22"/>
          <w:szCs w:val="22"/>
          <w:lang w:val="es"/>
        </w:rPr>
        <w:t>.</w:t>
      </w:r>
    </w:p>
    <w:p w14:paraId="60217BEF" w14:textId="77777777" w:rsidR="007B7514" w:rsidRDefault="007B7514" w:rsidP="007B7514">
      <w:pPr>
        <w:jc w:val="both"/>
      </w:pPr>
      <w:r w:rsidRPr="31FF9146">
        <w:rPr>
          <w:rFonts w:eastAsia="Arial" w:cs="Arial"/>
          <w:color w:val="000000" w:themeColor="text1"/>
          <w:sz w:val="22"/>
          <w:szCs w:val="22"/>
          <w:lang w:val="es"/>
        </w:rPr>
        <w:t xml:space="preserve"> </w:t>
      </w:r>
    </w:p>
    <w:p w14:paraId="7F9C57DD" w14:textId="77777777" w:rsidR="007B7514" w:rsidRDefault="007B7514" w:rsidP="007B7514">
      <w:pPr>
        <w:jc w:val="both"/>
      </w:pPr>
      <w:r w:rsidRPr="31FF9146">
        <w:rPr>
          <w:rFonts w:eastAsia="Arial" w:cs="Arial"/>
          <w:color w:val="000000" w:themeColor="text1"/>
          <w:sz w:val="22"/>
          <w:szCs w:val="22"/>
          <w:lang w:val="es"/>
        </w:rPr>
        <w:t>Por otro lado, con el objetivo de establecer las condiciones necesarias para incorporar a Colombia dentro de la red global digital y satelital de observatorios geomagnéticos, conocida como INTERMAGNET, y de esta forma, contribuir al conocimiento del campo magnético terrestre en el territorio nacional y en el mundo, durante la vigencia 2020, se elaboró la propuesta de modernización del Observatorio Ge Geomagnético de Fúquene, la cual fue socializada en el segundo trimestre de 2021.</w:t>
      </w:r>
    </w:p>
    <w:p w14:paraId="2BE3A389" w14:textId="77777777" w:rsidR="007B7514" w:rsidRDefault="007B7514" w:rsidP="007B7514">
      <w:pPr>
        <w:rPr>
          <w:color w:val="000000" w:themeColor="text1"/>
          <w:lang w:val="es"/>
        </w:rPr>
      </w:pPr>
    </w:p>
    <w:p w14:paraId="57058820" w14:textId="77777777" w:rsidR="007B7514" w:rsidRDefault="007B7514" w:rsidP="007B7514">
      <w:pPr>
        <w:rPr>
          <w:color w:val="000000" w:themeColor="text1"/>
          <w:lang w:val="es"/>
        </w:rPr>
      </w:pPr>
    </w:p>
    <w:p w14:paraId="0A4406CD" w14:textId="77777777" w:rsidR="007B7514" w:rsidRDefault="00A6302C" w:rsidP="007B7514">
      <w:hyperlink r:id="rId55" w:anchor="_ftnref1">
        <w:r w:rsidR="007B7514" w:rsidRPr="31FF9146">
          <w:rPr>
            <w:rStyle w:val="Hipervnculo"/>
            <w:rFonts w:eastAsia="Arial" w:cs="Arial"/>
            <w:sz w:val="20"/>
            <w:szCs w:val="20"/>
            <w:vertAlign w:val="superscript"/>
            <w:lang w:val="es"/>
          </w:rPr>
          <w:t>[1]</w:t>
        </w:r>
      </w:hyperlink>
      <w:r w:rsidR="007B7514" w:rsidRPr="31FF9146">
        <w:rPr>
          <w:rFonts w:eastAsia="Arial" w:cs="Arial"/>
          <w:color w:val="000000" w:themeColor="text1"/>
          <w:sz w:val="20"/>
          <w:szCs w:val="20"/>
          <w:lang w:val="es"/>
        </w:rPr>
        <w:t xml:space="preserve"> </w:t>
      </w:r>
      <w:hyperlink r:id="rId56">
        <w:r w:rsidR="007B7514" w:rsidRPr="31FF9146">
          <w:rPr>
            <w:rStyle w:val="Hipervnculo"/>
            <w:rFonts w:eastAsia="Arial" w:cs="Arial"/>
            <w:sz w:val="20"/>
            <w:szCs w:val="20"/>
            <w:lang w:val="es-MX"/>
          </w:rPr>
          <w:t>https://proyectostipo.dnp.gov.co/index.php?option=com_k2&amp;view=item&amp;layout=item&amp;id=247&amp;Itemid=315</w:t>
        </w:r>
      </w:hyperlink>
    </w:p>
    <w:p w14:paraId="6EC58B69" w14:textId="77777777" w:rsidR="007B7514" w:rsidRDefault="00A6302C" w:rsidP="007B7514">
      <w:hyperlink r:id="rId57" w:anchor="_ftnref2">
        <w:r w:rsidR="007B7514" w:rsidRPr="31FF9146">
          <w:rPr>
            <w:rStyle w:val="Hipervnculo"/>
            <w:rFonts w:eastAsia="Arial" w:cs="Arial"/>
            <w:sz w:val="20"/>
            <w:szCs w:val="20"/>
            <w:vertAlign w:val="superscript"/>
            <w:lang w:val="es"/>
          </w:rPr>
          <w:t>[2]</w:t>
        </w:r>
      </w:hyperlink>
      <w:r w:rsidR="007B7514" w:rsidRPr="31FF9146">
        <w:rPr>
          <w:rFonts w:eastAsia="Arial" w:cs="Arial"/>
          <w:color w:val="000000" w:themeColor="text1"/>
          <w:sz w:val="20"/>
          <w:szCs w:val="20"/>
          <w:lang w:val="es"/>
        </w:rPr>
        <w:t xml:space="preserve"> </w:t>
      </w:r>
      <w:hyperlink r:id="rId58">
        <w:r w:rsidR="007B7514" w:rsidRPr="31FF9146">
          <w:rPr>
            <w:rStyle w:val="Hipervnculo"/>
            <w:rFonts w:eastAsia="Arial" w:cs="Arial"/>
            <w:sz w:val="20"/>
            <w:szCs w:val="20"/>
            <w:lang w:val="es"/>
          </w:rPr>
          <w:t>https://bit.ly/3ryNqdx</w:t>
        </w:r>
      </w:hyperlink>
    </w:p>
    <w:p w14:paraId="2B822A0A" w14:textId="77777777" w:rsidR="007B7514" w:rsidRDefault="007B7514" w:rsidP="007B7514">
      <w:pPr>
        <w:jc w:val="both"/>
      </w:pPr>
      <w:r w:rsidRPr="31FF9146">
        <w:rPr>
          <w:rFonts w:eastAsia="Arial" w:cs="Arial"/>
          <w:color w:val="000000" w:themeColor="text1"/>
          <w:sz w:val="22"/>
          <w:szCs w:val="22"/>
          <w:lang w:val="es"/>
        </w:rPr>
        <w:t>Adicionalmente, durante la vigencia 2021, se llevaron a cabo actividades para lograr la consecución de convenios interinstitucionales, en especial con la Universidad Nacional de Colombia y Universidad Sergio Arboleda. Es así como, se llevó a cabo la visita, con la UNAL, a la Isla El Santuario de La Laguna de Fúquene con el fin de establecer la viabilidad para la instalación de un Observatorio Solar (SAMco) en el marco del proyecto SAMNet correspondiente a la Red Internacional de Monitoreo de Actividad Solar que servirá para la detección de eventos y generación de alertas tempranas para la mitigación de impactos de clima espacial. Lo anterior, con el fin de fortalecimiento y modernización del observatorio geomagnético (uso y equipos).</w:t>
      </w:r>
    </w:p>
    <w:p w14:paraId="3B9394E1" w14:textId="77777777" w:rsidR="007B7514" w:rsidRDefault="007B7514" w:rsidP="007B7514">
      <w:pPr>
        <w:jc w:val="both"/>
      </w:pPr>
      <w:r w:rsidRPr="31FF9146">
        <w:rPr>
          <w:rFonts w:eastAsia="Arial" w:cs="Arial"/>
          <w:color w:val="000000" w:themeColor="text1"/>
          <w:sz w:val="22"/>
          <w:szCs w:val="22"/>
          <w:lang w:val="es"/>
        </w:rPr>
        <w:t xml:space="preserve"> </w:t>
      </w:r>
    </w:p>
    <w:p w14:paraId="0A948D81" w14:textId="34214DAA" w:rsidR="007B7514" w:rsidRPr="00581D98" w:rsidRDefault="007B7514" w:rsidP="007B7514">
      <w:pPr>
        <w:rPr>
          <w:b/>
          <w:color w:val="000000" w:themeColor="text1"/>
        </w:rPr>
      </w:pPr>
      <w:r w:rsidRPr="00581D98">
        <w:rPr>
          <w:rFonts w:eastAsia="Arial"/>
          <w:b/>
          <w:color w:val="000000" w:themeColor="text1"/>
          <w:lang w:val="es-MX"/>
        </w:rPr>
        <w:t>DENSIFICACIÓN DEL MARCO DE REFERENCIA GRAVIMÉTRICO</w:t>
      </w:r>
    </w:p>
    <w:p w14:paraId="00053B20" w14:textId="77777777" w:rsidR="007B7514" w:rsidRDefault="007B7514" w:rsidP="007B7514">
      <w:r w:rsidRPr="31FF9146">
        <w:rPr>
          <w:rFonts w:ascii="Times New Roman" w:hAnsi="Times New Roman"/>
          <w:color w:val="000000" w:themeColor="text1"/>
          <w:sz w:val="22"/>
          <w:szCs w:val="22"/>
          <w:lang w:val="es-MX"/>
        </w:rPr>
        <w:t xml:space="preserve"> </w:t>
      </w:r>
    </w:p>
    <w:p w14:paraId="63B9E302" w14:textId="77777777" w:rsidR="007B7514" w:rsidRDefault="007B7514" w:rsidP="007B7514">
      <w:pPr>
        <w:jc w:val="both"/>
      </w:pPr>
      <w:r w:rsidRPr="31FF9146">
        <w:rPr>
          <w:rFonts w:eastAsia="Arial" w:cs="Arial"/>
          <w:color w:val="000000" w:themeColor="text1"/>
          <w:sz w:val="22"/>
          <w:szCs w:val="22"/>
          <w:lang w:val="es"/>
        </w:rPr>
        <w:t>El IGAC, tiene como objetivo proporcionar un punto de partida de alta calidad que satisfaga los niveles de los puntos de gravedad de precisión y desempeño exigidos por los usuarios, además, de estar a cargo de Administrar el Sistema Nacional de Referencia Gravimétrico, así como desarrollar los planes y proyectos para la producción, actualización, mantenimiento y difusión de los datos gravimétricos.</w:t>
      </w:r>
    </w:p>
    <w:p w14:paraId="6D46C042" w14:textId="77777777" w:rsidR="007B7514" w:rsidRDefault="007B7514" w:rsidP="007B7514">
      <w:pPr>
        <w:jc w:val="both"/>
      </w:pPr>
      <w:r w:rsidRPr="31FF9146">
        <w:rPr>
          <w:rFonts w:eastAsia="Arial" w:cs="Arial"/>
          <w:color w:val="000000" w:themeColor="text1"/>
          <w:sz w:val="22"/>
          <w:szCs w:val="22"/>
          <w:lang w:val="es"/>
        </w:rPr>
        <w:t xml:space="preserve"> </w:t>
      </w:r>
    </w:p>
    <w:p w14:paraId="4E4A8755" w14:textId="77777777" w:rsidR="007B7514" w:rsidRDefault="007B7514" w:rsidP="007B7514">
      <w:pPr>
        <w:jc w:val="both"/>
      </w:pPr>
      <w:r w:rsidRPr="31FF9146">
        <w:rPr>
          <w:rFonts w:eastAsia="Arial" w:cs="Arial"/>
          <w:color w:val="000000" w:themeColor="text1"/>
          <w:sz w:val="22"/>
          <w:szCs w:val="22"/>
          <w:lang w:val="es"/>
        </w:rPr>
        <w:t>En este sentido, durante el 2020 se revisó, ajustó y calculó la base de datos gravimétricos capturados por el IGAC durante 2003 al 2019, que culminó con la información de 4.279 estaciones disponibles en Colombia en Mapas, lo que apoya al país en el estudio de diferentes fenómenos asociados al campo de gravedad terrestre. Así mismo, se reactivó el campo, dando prioridad al Marco de Referencia Vertical (IHRF) y su implementación en Colombia, midiendo 114 estaciones distribuidos en 12 sectores del anillo de Guaymaral, lo cual permitirá unificar nuestro Sistema Vertical de Referencia con otros países, contribuyendo al conocimiento y determinación de alturas físicas del país y la determinación del Modelo Geoidal colombiano.</w:t>
      </w:r>
    </w:p>
    <w:p w14:paraId="1C369C53" w14:textId="77777777" w:rsidR="007B7514" w:rsidRDefault="007B7514" w:rsidP="007B7514">
      <w:pPr>
        <w:jc w:val="both"/>
      </w:pPr>
      <w:r w:rsidRPr="31FF9146">
        <w:rPr>
          <w:rFonts w:eastAsia="Arial" w:cs="Arial"/>
          <w:color w:val="000000" w:themeColor="text1"/>
          <w:sz w:val="22"/>
          <w:szCs w:val="22"/>
          <w:lang w:val="es"/>
        </w:rPr>
        <w:t xml:space="preserve"> </w:t>
      </w:r>
    </w:p>
    <w:p w14:paraId="7617EAD3" w14:textId="77777777" w:rsidR="007B7514" w:rsidRDefault="007B7514" w:rsidP="007B7514">
      <w:pPr>
        <w:jc w:val="both"/>
      </w:pPr>
      <w:r w:rsidRPr="31FF9146">
        <w:rPr>
          <w:rFonts w:eastAsia="Arial" w:cs="Arial"/>
          <w:color w:val="000000" w:themeColor="text1"/>
          <w:sz w:val="22"/>
          <w:szCs w:val="22"/>
          <w:lang w:val="es"/>
        </w:rPr>
        <w:t>Adicionalmente, se realizó un proyecto piloto con el Instituto Geográfico Militar de Bolivia que consistió en la medición de un circuito de 19 estaciones, con el fin de comparar metodologías usadas para la toma de datos en campo y los cálculos realizados por las dos entidades, y de esta forma, mejorar los protocolos e implementar buenas prácticas en la adquisición y procesamiento de la información gravimétrica.</w:t>
      </w:r>
    </w:p>
    <w:p w14:paraId="0E989638" w14:textId="77777777" w:rsidR="007B7514" w:rsidRDefault="007B7514" w:rsidP="007B7514">
      <w:pPr>
        <w:jc w:val="both"/>
      </w:pPr>
      <w:r w:rsidRPr="31FF9146">
        <w:rPr>
          <w:rFonts w:eastAsia="Arial" w:cs="Arial"/>
          <w:color w:val="000000" w:themeColor="text1"/>
          <w:sz w:val="22"/>
          <w:szCs w:val="22"/>
          <w:lang w:val="es"/>
        </w:rPr>
        <w:t xml:space="preserve"> </w:t>
      </w:r>
    </w:p>
    <w:p w14:paraId="0EC795AC" w14:textId="77777777" w:rsidR="007B7514" w:rsidRDefault="007B7514" w:rsidP="007B7514">
      <w:pPr>
        <w:jc w:val="both"/>
      </w:pPr>
      <w:r w:rsidRPr="31FF9146">
        <w:rPr>
          <w:rFonts w:eastAsia="Arial" w:cs="Arial"/>
          <w:color w:val="000000" w:themeColor="text1"/>
          <w:sz w:val="22"/>
          <w:szCs w:val="22"/>
          <w:lang w:val="es"/>
        </w:rPr>
        <w:t>Igualmente, durante el primer semestre del año 2021 se suscribió un convenio de cooperación con la Universidad del Estado de Ohio (Estados Unidos) con el objetivo de fortalecer la Red Colombiana de Gravimetría, transferencia de tecnología, asesoramiento técnico, trabajo de campo y protocolos técnicos para su realización e implementación de información gravimétrica en el nuevo modelo geoidal global, dentro del cual se ha realizado la exploración de 160 estaciones  en el trayecto Bogotá - Maicao y Yamural.  Asimismo, se han procesado y calculado 179 vértices de primer orden de la Red Gravimétrica Nacional seleccionados en el territorio colombiano.</w:t>
      </w:r>
    </w:p>
    <w:p w14:paraId="19C5AB39" w14:textId="77777777" w:rsidR="00EE1484" w:rsidRPr="00EE1484" w:rsidRDefault="007B7514" w:rsidP="00EE148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4F4664FA" w14:textId="37699DFE" w:rsidR="007B7514" w:rsidRPr="002511F1" w:rsidRDefault="007B7514" w:rsidP="007B7514">
      <w:pPr>
        <w:rPr>
          <w:b/>
          <w:color w:val="000000" w:themeColor="text1"/>
          <w:sz w:val="22"/>
        </w:rPr>
      </w:pPr>
      <w:r w:rsidRPr="002511F1">
        <w:rPr>
          <w:rFonts w:eastAsia="Arial"/>
          <w:b/>
          <w:color w:val="000000" w:themeColor="text1"/>
          <w:sz w:val="22"/>
          <w:lang w:val="es-MX"/>
        </w:rPr>
        <w:t>REGULACIÓN EN MATERIA GEODÉSICA</w:t>
      </w:r>
    </w:p>
    <w:p w14:paraId="5A9C984B" w14:textId="77777777" w:rsidR="007B7514" w:rsidRPr="002511F1" w:rsidRDefault="007B7514" w:rsidP="007B7514">
      <w:pPr>
        <w:rPr>
          <w:sz w:val="22"/>
        </w:rPr>
      </w:pPr>
      <w:r w:rsidRPr="002511F1">
        <w:rPr>
          <w:rFonts w:ascii="Times New Roman" w:hAnsi="Times New Roman"/>
          <w:color w:val="000000" w:themeColor="text1"/>
          <w:sz w:val="20"/>
          <w:szCs w:val="22"/>
          <w:lang w:val="es-MX"/>
        </w:rPr>
        <w:t xml:space="preserve"> </w:t>
      </w:r>
    </w:p>
    <w:p w14:paraId="448B6E68" w14:textId="77777777" w:rsidR="007B7514" w:rsidRDefault="007B7514" w:rsidP="007B7514">
      <w:pPr>
        <w:jc w:val="both"/>
      </w:pPr>
      <w:r w:rsidRPr="31FF9146">
        <w:rPr>
          <w:rFonts w:eastAsia="Arial" w:cs="Arial"/>
          <w:color w:val="000000" w:themeColor="text1"/>
          <w:sz w:val="22"/>
          <w:szCs w:val="22"/>
          <w:lang w:val="es"/>
        </w:rPr>
        <w:t>Durante la presente vigencia, se publicaron las siguientes resoluciones, las cuales brindan los lineamientos en materia geodésica:</w:t>
      </w:r>
    </w:p>
    <w:p w14:paraId="34175A9B" w14:textId="77777777" w:rsidR="007B7514" w:rsidRDefault="007B7514" w:rsidP="007B7514">
      <w:pPr>
        <w:jc w:val="both"/>
      </w:pPr>
      <w:r w:rsidRPr="31FF9146">
        <w:rPr>
          <w:rFonts w:eastAsia="Arial" w:cs="Arial"/>
          <w:color w:val="000000" w:themeColor="text1"/>
          <w:sz w:val="22"/>
          <w:szCs w:val="22"/>
          <w:lang w:val="es"/>
        </w:rPr>
        <w:lastRenderedPageBreak/>
        <w:t xml:space="preserve"> </w:t>
      </w:r>
    </w:p>
    <w:p w14:paraId="7EFBC971" w14:textId="77777777" w:rsidR="007B7514" w:rsidRDefault="007B7514" w:rsidP="000A20EE">
      <w:pPr>
        <w:pStyle w:val="Prrafodelista"/>
        <w:numPr>
          <w:ilvl w:val="0"/>
          <w:numId w:val="267"/>
        </w:numPr>
        <w:rPr>
          <w:rFonts w:eastAsia="Arial" w:cs="Arial"/>
          <w:color w:val="000000" w:themeColor="text1"/>
        </w:rPr>
      </w:pPr>
      <w:r w:rsidRPr="31FF9146">
        <w:rPr>
          <w:rFonts w:eastAsia="Arial" w:cs="Arial"/>
          <w:color w:val="000000" w:themeColor="text1"/>
          <w:lang w:val="es"/>
        </w:rPr>
        <w:t xml:space="preserve">Resolución No. 370 del 16 de junio de 2021 </w:t>
      </w:r>
      <w:r w:rsidRPr="31FF9146">
        <w:rPr>
          <w:rFonts w:eastAsia="Arial" w:cs="Arial"/>
          <w:i/>
          <w:iCs/>
          <w:color w:val="000000" w:themeColor="text1"/>
          <w:lang w:val="es"/>
        </w:rPr>
        <w:t>“Por medio de la cual se establece el sistema de proyección cartográfica oficial para Colombia.”</w:t>
      </w:r>
      <w:r w:rsidRPr="31FF9146">
        <w:rPr>
          <w:rFonts w:eastAsia="Arial" w:cs="Arial"/>
          <w:color w:val="000000" w:themeColor="text1"/>
          <w:lang w:val="es"/>
        </w:rPr>
        <w:t>, derogando la Resolución 399 de 2011.</w:t>
      </w:r>
    </w:p>
    <w:p w14:paraId="1C6BEBCA" w14:textId="77777777" w:rsidR="007B7514" w:rsidRDefault="007B7514" w:rsidP="000A20EE">
      <w:pPr>
        <w:pStyle w:val="Prrafodelista"/>
        <w:numPr>
          <w:ilvl w:val="0"/>
          <w:numId w:val="267"/>
        </w:numPr>
        <w:rPr>
          <w:rFonts w:eastAsia="Arial" w:cs="Arial"/>
          <w:color w:val="000000" w:themeColor="text1"/>
        </w:rPr>
      </w:pPr>
      <w:r w:rsidRPr="31FF9146">
        <w:rPr>
          <w:rFonts w:eastAsia="Arial" w:cs="Arial"/>
          <w:color w:val="000000" w:themeColor="text1"/>
          <w:lang w:val="es"/>
        </w:rPr>
        <w:t xml:space="preserve">Resolución No. 1468 del 29 de septiembre de 2021, </w:t>
      </w:r>
      <w:r w:rsidRPr="31FF9146">
        <w:rPr>
          <w:rFonts w:eastAsia="Arial" w:cs="Arial"/>
          <w:i/>
          <w:iCs/>
          <w:color w:val="000000" w:themeColor="text1"/>
          <w:lang w:val="es"/>
        </w:rPr>
        <w:t xml:space="preserve">“Por medio de la cual se establecen los lineamientos técnicos mínimos requeridos en la materialización, medición y administración de vértices geodésicos para su integración a la Red Geodésica Nacional de la República de Colombia.”, </w:t>
      </w:r>
      <w:r w:rsidRPr="31FF9146">
        <w:rPr>
          <w:rFonts w:eastAsia="Arial" w:cs="Arial"/>
          <w:color w:val="000000" w:themeColor="text1"/>
          <w:lang w:val="es"/>
        </w:rPr>
        <w:t>derogando la</w:t>
      </w:r>
      <w:r w:rsidRPr="31FF9146">
        <w:rPr>
          <w:rFonts w:eastAsia="Arial" w:cs="Arial"/>
          <w:i/>
          <w:iCs/>
          <w:color w:val="000000" w:themeColor="text1"/>
          <w:lang w:val="es"/>
        </w:rPr>
        <w:t xml:space="preserve"> </w:t>
      </w:r>
      <w:r w:rsidRPr="31FF9146">
        <w:rPr>
          <w:rFonts w:eastAsia="Arial" w:cs="Arial"/>
          <w:color w:val="000000" w:themeColor="text1"/>
          <w:lang w:val="es"/>
        </w:rPr>
        <w:t>Resolución 1562 de 2018.</w:t>
      </w:r>
    </w:p>
    <w:p w14:paraId="53BAE456" w14:textId="26A06E0C" w:rsidR="00E60845" w:rsidRPr="002511F1" w:rsidRDefault="007B7514" w:rsidP="007B7514">
      <w:r w:rsidRPr="000B7E64">
        <w:rPr>
          <w:rFonts w:eastAsia="Arial"/>
          <w:lang w:val="es"/>
        </w:rPr>
        <w:t xml:space="preserve"> </w:t>
      </w:r>
    </w:p>
    <w:p w14:paraId="2E5B5302" w14:textId="77777777" w:rsidR="007B7514" w:rsidRPr="00581D98" w:rsidRDefault="007B7514" w:rsidP="007B7514">
      <w:pPr>
        <w:rPr>
          <w:sz w:val="22"/>
          <w:szCs w:val="22"/>
        </w:rPr>
      </w:pPr>
      <w:r w:rsidRPr="00581D98">
        <w:rPr>
          <w:rFonts w:eastAsia="Arial"/>
          <w:b/>
          <w:sz w:val="22"/>
          <w:szCs w:val="22"/>
        </w:rPr>
        <w:t>PRINCIPALES LOGROS EN LA GESTIÓN GEODÉSICA 2020-2021</w:t>
      </w:r>
    </w:p>
    <w:p w14:paraId="008C35E4" w14:textId="77777777" w:rsidR="007B7514" w:rsidRDefault="007B7514" w:rsidP="007B7514">
      <w:pPr>
        <w:jc w:val="both"/>
      </w:pPr>
      <w:r w:rsidRPr="31FF9146">
        <w:rPr>
          <w:rFonts w:eastAsia="Arial" w:cs="Arial"/>
          <w:b/>
          <w:bCs/>
          <w:i/>
          <w:iCs/>
          <w:color w:val="2F5496"/>
          <w:sz w:val="22"/>
          <w:szCs w:val="22"/>
        </w:rPr>
        <w:t xml:space="preserve"> </w:t>
      </w:r>
    </w:p>
    <w:p w14:paraId="1DFC2E38"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lang w:val="es"/>
        </w:rPr>
        <w:t>Se logró la elaboración del Plan Nacional de Geodesia y el Plan de Fortalecimiento de la Infraestructura Geodésica Nacional.</w:t>
      </w:r>
    </w:p>
    <w:p w14:paraId="6E85CB45"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Se logró la estandarización sobre el uso de coordenadas a través de un único origen y se dispusieron servicios y herramientas para facilitar su implementación (</w:t>
      </w:r>
      <w:hyperlink r:id="rId59">
        <w:r w:rsidRPr="31FF9146">
          <w:rPr>
            <w:rStyle w:val="Hipervnculo"/>
            <w:rFonts w:eastAsia="Arial" w:cs="Arial"/>
            <w:sz w:val="22"/>
            <w:szCs w:val="22"/>
          </w:rPr>
          <w:t>https://origen.igac.gov.co/</w:t>
        </w:r>
      </w:hyperlink>
      <w:r w:rsidRPr="31FF9146">
        <w:rPr>
          <w:rFonts w:eastAsia="Arial" w:cs="Arial"/>
          <w:color w:val="0000FF"/>
          <w:sz w:val="22"/>
          <w:szCs w:val="22"/>
          <w:u w:val="single"/>
        </w:rPr>
        <w:t>)</w:t>
      </w:r>
      <w:r w:rsidRPr="31FF9146">
        <w:rPr>
          <w:rFonts w:eastAsia="Arial" w:cs="Arial"/>
          <w:color w:val="000000" w:themeColor="text1"/>
          <w:sz w:val="22"/>
          <w:szCs w:val="22"/>
        </w:rPr>
        <w:t>.</w:t>
      </w:r>
    </w:p>
    <w:p w14:paraId="1DD412DD"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 xml:space="preserve">Se logró en conjunto con el Servicio Geológico Colombiano - SGC la materialización de 18 nuevas estaciones </w:t>
      </w:r>
      <w:r>
        <w:rPr>
          <w:rFonts w:eastAsia="Arial" w:cs="Arial"/>
          <w:sz w:val="22"/>
          <w:szCs w:val="22"/>
        </w:rPr>
        <w:t>CORS</w:t>
      </w:r>
      <w:r w:rsidRPr="31FF9146">
        <w:rPr>
          <w:rFonts w:eastAsia="Arial" w:cs="Arial"/>
          <w:sz w:val="22"/>
          <w:szCs w:val="22"/>
        </w:rPr>
        <w:t xml:space="preserve"> como parte de la Red Geodésica Nacional y se continúa con la exploración de sitios adicionales para  la densificación de la red en 2022.</w:t>
      </w:r>
    </w:p>
    <w:p w14:paraId="6BE45CA8" w14:textId="77777777" w:rsidR="007B7514" w:rsidRPr="00BB6771" w:rsidRDefault="007B7514" w:rsidP="007B7514">
      <w:pPr>
        <w:ind w:left="360" w:hanging="360"/>
        <w:jc w:val="both"/>
        <w:rPr>
          <w:color w:val="000000" w:themeColor="text1"/>
        </w:rPr>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la integración tecnológica de 105 estaciones del Servicio Geológico Colombiano, facilitando el acceso por un único canal y consolidando la Red Geodésica Nacional como única en el país.</w:t>
      </w:r>
    </w:p>
    <w:p w14:paraId="32C397F6" w14:textId="77777777" w:rsidR="007B7514" w:rsidRDefault="007B7514" w:rsidP="007B7514">
      <w:pPr>
        <w:ind w:left="360" w:hanging="360"/>
        <w:jc w:val="both"/>
      </w:pPr>
      <w:r w:rsidRPr="00BB6771">
        <w:rPr>
          <w:rFonts w:ascii="Symbol" w:eastAsia="Symbol" w:hAnsi="Symbol" w:cs="Symbol"/>
          <w:color w:val="000000" w:themeColor="text1"/>
          <w:sz w:val="22"/>
          <w:szCs w:val="22"/>
        </w:rPr>
        <w:t></w:t>
      </w:r>
      <w:r w:rsidRPr="00BB6771">
        <w:rPr>
          <w:rFonts w:ascii="Times New Roman" w:hAnsi="Times New Roman"/>
          <w:color w:val="000000" w:themeColor="text1"/>
          <w:sz w:val="14"/>
          <w:szCs w:val="14"/>
        </w:rPr>
        <w:t xml:space="preserve">    </w:t>
      </w:r>
      <w:r w:rsidRPr="00BB6771">
        <w:rPr>
          <w:rFonts w:eastAsia="Arial" w:cs="Arial"/>
          <w:color w:val="000000" w:themeColor="text1"/>
          <w:sz w:val="22"/>
          <w:szCs w:val="22"/>
        </w:rPr>
        <w:t>Se logró la realización del mantenimiento de 28 es</w:t>
      </w:r>
      <w:r w:rsidRPr="31FF9146">
        <w:rPr>
          <w:rFonts w:eastAsia="Arial" w:cs="Arial"/>
          <w:sz w:val="22"/>
          <w:szCs w:val="22"/>
        </w:rPr>
        <w:t>taciones disponiendo más de 25.000 ARCHIVOS RINEX</w:t>
      </w:r>
    </w:p>
    <w:p w14:paraId="14A986D2"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iniciar el diseño e implementación del centro de control para disponer los servicios en tiempo real de datos GNSS</w:t>
      </w:r>
    </w:p>
    <w:p w14:paraId="46A5E095"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la materialización de 29 vértices geodésicos densificando la red geodésica pasiva, en 11 municipios.</w:t>
      </w:r>
    </w:p>
    <w:p w14:paraId="64A59A1B"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 xml:space="preserve">Se logró la publicación de 25.249 alturas niveladas de precisión del territorio nacional y se continúa con la nivelación de diferentes sectores del país. </w:t>
      </w:r>
    </w:p>
    <w:p w14:paraId="4015DFD1"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Se logró la medición de 114 estaciones distribuidas en 12 sectores del anillo de Guaymaral del Marco de Referencia Vertical (IHRF).</w:t>
      </w:r>
    </w:p>
    <w:p w14:paraId="22381EE2"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el procesamiento y disposición de datos de las estaciones activas del centro IGA del Sistema de Referencia Geocéntrico para las Américas (SIRGAS) durante los dos últimos años.</w:t>
      </w:r>
    </w:p>
    <w:p w14:paraId="5E05824A"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el registro e integración a la Red SIRGAS de operación continua, de 10 nuevas estaciones.</w:t>
      </w:r>
    </w:p>
    <w:p w14:paraId="146447F2"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Se logró durante el 2020 la revisión, ajuste y calculó de la base de datos gravimétricos capturados por el IGAC durante 2003 al 2019, que culminó con la información de 4279 estaciones disponibles para su publicación, lo que apoya al país en el estudio de diferentes fenómenos asociados al campo de gravedad terrestre.</w:t>
      </w:r>
    </w:p>
    <w:p w14:paraId="6628DA71"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sz w:val="22"/>
          <w:szCs w:val="22"/>
        </w:rPr>
        <w:t>Se elaboró y socializó la propuesta de modernización del Observatorio Geomagnético de Fúquene</w:t>
      </w:r>
    </w:p>
    <w:p w14:paraId="4850FE7C" w14:textId="77777777" w:rsidR="007B7514" w:rsidRDefault="007B7514" w:rsidP="007B7514">
      <w:pPr>
        <w:ind w:left="360" w:hanging="360"/>
        <w:jc w:val="both"/>
        <w:rPr>
          <w:rFonts w:eastAsia="Arial" w:cs="Arial"/>
          <w:color w:val="000000" w:themeColor="text1"/>
          <w:sz w:val="22"/>
          <w:szCs w:val="22"/>
        </w:rPr>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sz w:val="22"/>
          <w:szCs w:val="22"/>
        </w:rPr>
        <w:t xml:space="preserve">Se logró la consolidación de la base de datos con la información obtenida por el Observatorio de Fúquene </w:t>
      </w:r>
      <w:r w:rsidRPr="31FF9146">
        <w:rPr>
          <w:rFonts w:eastAsia="Arial" w:cs="Arial"/>
          <w:color w:val="000000" w:themeColor="text1"/>
          <w:sz w:val="22"/>
          <w:szCs w:val="22"/>
        </w:rPr>
        <w:t>de 1986 a 2015 y 2016 al 2019, para permitir a los usuarios realizar el análisis temporal de cada una de las componentes geomagnéticas</w:t>
      </w:r>
    </w:p>
    <w:p w14:paraId="663FC84A" w14:textId="77777777" w:rsidR="007B7514" w:rsidRDefault="007B7514" w:rsidP="007B7514">
      <w:pPr>
        <w:ind w:left="360" w:hanging="360"/>
        <w:jc w:val="both"/>
        <w:rPr>
          <w:rFonts w:eastAsia="Arial" w:cs="Arial"/>
          <w:i/>
          <w:iCs/>
          <w:sz w:val="22"/>
          <w:szCs w:val="22"/>
        </w:rPr>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sz w:val="22"/>
          <w:szCs w:val="22"/>
        </w:rPr>
        <w:t xml:space="preserve">Se logró la emisión de la resolución 1468 de 2021 </w:t>
      </w:r>
      <w:r w:rsidRPr="31FF9146">
        <w:rPr>
          <w:rFonts w:eastAsia="Arial" w:cs="Arial"/>
          <w:i/>
          <w:iCs/>
          <w:sz w:val="22"/>
          <w:szCs w:val="22"/>
        </w:rPr>
        <w:t>por medio de la cual se establecen los lineamientos técnicos mínimos requeridos en la materialización, medición y administración de vértices geodésicos para su integración a la Red Geodésica Nacional de la República de Colombia</w:t>
      </w:r>
    </w:p>
    <w:p w14:paraId="37F3B8A4" w14:textId="77777777" w:rsidR="007B7514" w:rsidRPr="00B0458F" w:rsidRDefault="007B7514" w:rsidP="000A20EE">
      <w:pPr>
        <w:pStyle w:val="Prrafodelista"/>
        <w:numPr>
          <w:ilvl w:val="0"/>
          <w:numId w:val="213"/>
        </w:numPr>
        <w:ind w:left="284" w:hanging="284"/>
        <w:rPr>
          <w:rFonts w:eastAsia="Arial" w:cs="Arial"/>
          <w:sz w:val="22"/>
          <w:szCs w:val="22"/>
        </w:rPr>
      </w:pPr>
      <w:r w:rsidRPr="00B0458F">
        <w:rPr>
          <w:rFonts w:eastAsia="Arial" w:cs="Arial"/>
          <w:sz w:val="22"/>
          <w:szCs w:val="22"/>
        </w:rPr>
        <w:lastRenderedPageBreak/>
        <w:t>Se logró la actualización y publicación en el aplicativo MAGNA SIRGAS PRO articulado con la Resolución 370 de 2021</w:t>
      </w:r>
    </w:p>
    <w:p w14:paraId="46B83598" w14:textId="72E3C5F2" w:rsidR="007B7514" w:rsidRPr="00B0458F" w:rsidRDefault="007B7514" w:rsidP="007B7514">
      <w:pPr>
        <w:rPr>
          <w:b/>
          <w:bCs/>
          <w:sz w:val="22"/>
          <w:szCs w:val="22"/>
        </w:rPr>
      </w:pPr>
    </w:p>
    <w:p w14:paraId="23ECCFED" w14:textId="77777777" w:rsidR="007B7514" w:rsidRPr="00B0458F" w:rsidRDefault="007B7514" w:rsidP="000A20EE">
      <w:pPr>
        <w:pStyle w:val="Prrafodelista"/>
        <w:numPr>
          <w:ilvl w:val="0"/>
          <w:numId w:val="213"/>
        </w:numPr>
        <w:rPr>
          <w:b/>
          <w:bCs/>
          <w:sz w:val="22"/>
          <w:szCs w:val="22"/>
        </w:rPr>
      </w:pPr>
      <w:r w:rsidRPr="00B0458F">
        <w:rPr>
          <w:rFonts w:eastAsia="Arial" w:cs="Arial"/>
          <w:b/>
          <w:bCs/>
          <w:sz w:val="22"/>
          <w:szCs w:val="22"/>
          <w:lang w:val="es-MX"/>
        </w:rPr>
        <w:t>SERVICIOS DE INFORMACIÓN CARTOGRÁFICA, GEOGRÁFICA Y GEODÉSICA</w:t>
      </w:r>
    </w:p>
    <w:p w14:paraId="4EF18A6B" w14:textId="77777777" w:rsidR="007B7514" w:rsidRDefault="007B7514" w:rsidP="007B7514">
      <w:r w:rsidRPr="31FF9146">
        <w:rPr>
          <w:rFonts w:ascii="Times New Roman" w:hAnsi="Times New Roman"/>
          <w:color w:val="000000" w:themeColor="text1"/>
          <w:sz w:val="22"/>
          <w:szCs w:val="22"/>
          <w:lang w:val="es-MX"/>
        </w:rPr>
        <w:t xml:space="preserve"> </w:t>
      </w:r>
    </w:p>
    <w:p w14:paraId="2358041D" w14:textId="77777777" w:rsidR="007B7514" w:rsidRDefault="007B7514" w:rsidP="007B7514">
      <w:pPr>
        <w:jc w:val="both"/>
      </w:pPr>
      <w:r w:rsidRPr="31FF9146">
        <w:rPr>
          <w:rFonts w:eastAsia="Arial" w:cs="Arial"/>
          <w:color w:val="000000" w:themeColor="text1"/>
          <w:sz w:val="22"/>
          <w:szCs w:val="22"/>
          <w:lang w:val="es-MX"/>
        </w:rPr>
        <w:t>Con la finalidad de mejorar la disposición de la información geográfica, cartográfica y geodésica para asegurar su descubrimiento, acceso y uso, a continuación, se describen los logros adelantados durante la vigencia 2020 y lo transcurrido de 2021:</w:t>
      </w:r>
    </w:p>
    <w:p w14:paraId="02A28CD4" w14:textId="77777777" w:rsidR="007B7514" w:rsidRDefault="007B7514" w:rsidP="007B7514">
      <w:pPr>
        <w:jc w:val="both"/>
      </w:pPr>
      <w:r w:rsidRPr="31FF9146">
        <w:rPr>
          <w:rFonts w:eastAsia="Arial" w:cs="Arial"/>
          <w:color w:val="000000" w:themeColor="text1"/>
          <w:sz w:val="22"/>
          <w:szCs w:val="22"/>
        </w:rPr>
        <w:t xml:space="preserve"> </w:t>
      </w:r>
    </w:p>
    <w:p w14:paraId="31014EA6" w14:textId="77777777" w:rsidR="007B7514" w:rsidRPr="00B0458F" w:rsidRDefault="007B7514" w:rsidP="000A20EE">
      <w:pPr>
        <w:pStyle w:val="Prrafodelista"/>
        <w:numPr>
          <w:ilvl w:val="0"/>
          <w:numId w:val="209"/>
        </w:numPr>
        <w:rPr>
          <w:rFonts w:eastAsia="Arial" w:cs="Arial"/>
          <w:color w:val="000000" w:themeColor="text1"/>
          <w:sz w:val="22"/>
          <w:szCs w:val="22"/>
        </w:rPr>
      </w:pPr>
      <w:r w:rsidRPr="00B0458F">
        <w:rPr>
          <w:rFonts w:eastAsia="Arial" w:cs="Arial"/>
          <w:color w:val="000000" w:themeColor="text1"/>
          <w:sz w:val="22"/>
          <w:szCs w:val="22"/>
          <w:lang w:val="es-MX"/>
        </w:rPr>
        <w:t xml:space="preserve">Con el fin de garantizar la homogeneidad y continuidad en la representación de los elementos del territorio, así como facilitar los trabajos relacionados con la gestión de coordenadas en el país, se logró la disposición del servicio web de conversión y transformación de coordenadas al origen nacional, establecido mediante la Resolución IGAC 471 y 529 de 2020, el cual se encuentra disponible en la siguiente URL: </w:t>
      </w:r>
      <w:hyperlink r:id="rId60">
        <w:r w:rsidRPr="00B0458F">
          <w:rPr>
            <w:rStyle w:val="Hipervnculo"/>
            <w:rFonts w:eastAsia="Arial" w:cs="Arial"/>
            <w:sz w:val="22"/>
            <w:szCs w:val="22"/>
            <w:lang w:val="es-MX"/>
          </w:rPr>
          <w:t>https://origen.igac.gov.co/</w:t>
        </w:r>
      </w:hyperlink>
      <w:r w:rsidRPr="00B0458F">
        <w:rPr>
          <w:rFonts w:eastAsia="Arial" w:cs="Arial"/>
          <w:color w:val="000000" w:themeColor="text1"/>
          <w:sz w:val="22"/>
          <w:szCs w:val="22"/>
          <w:lang w:val="es-MX"/>
        </w:rPr>
        <w:t>. Desde su lanzamiento, realizado en julio de 2020, este servicio ha alcanzado más de 187.000 visitas, en donde aproximadamente el 64% de las interacciones han sido realizar conversiones de coordenadas al origen nacional.</w:t>
      </w:r>
    </w:p>
    <w:p w14:paraId="1A33018A" w14:textId="77777777" w:rsidR="007B7514" w:rsidRPr="00B0458F" w:rsidRDefault="007B7514" w:rsidP="007B7514">
      <w:pPr>
        <w:spacing w:line="240" w:lineRule="exact"/>
        <w:jc w:val="both"/>
        <w:rPr>
          <w:sz w:val="22"/>
          <w:szCs w:val="22"/>
        </w:rPr>
      </w:pPr>
      <w:r w:rsidRPr="00B0458F">
        <w:rPr>
          <w:rFonts w:eastAsia="Arial" w:cs="Arial"/>
          <w:color w:val="000000" w:themeColor="text1"/>
          <w:sz w:val="22"/>
          <w:szCs w:val="22"/>
        </w:rPr>
        <w:t xml:space="preserve"> </w:t>
      </w:r>
    </w:p>
    <w:p w14:paraId="31CEBD56" w14:textId="77777777" w:rsidR="007B7514" w:rsidRPr="00B0458F" w:rsidRDefault="007B7514" w:rsidP="000A20EE">
      <w:pPr>
        <w:pStyle w:val="Prrafodelista"/>
        <w:numPr>
          <w:ilvl w:val="0"/>
          <w:numId w:val="209"/>
        </w:numPr>
        <w:rPr>
          <w:rFonts w:eastAsia="Arial" w:cs="Arial"/>
          <w:color w:val="000000" w:themeColor="text1"/>
          <w:sz w:val="22"/>
          <w:szCs w:val="22"/>
        </w:rPr>
      </w:pPr>
      <w:r w:rsidRPr="00B0458F">
        <w:rPr>
          <w:rFonts w:eastAsia="Arial" w:cs="Arial"/>
          <w:color w:val="000000" w:themeColor="text1"/>
          <w:sz w:val="22"/>
          <w:szCs w:val="22"/>
          <w:lang w:val="es-MX"/>
        </w:rPr>
        <w:t>De acuerdo con lo dispuesto en la Resolución IGAC 370 de 2021, se logró la disposición de la distribución y nomenclatura de las hojas cartográficas, para las escalas desde 1:500 a 1:500.000, ofreciendo un servicio para consulta y descarga de grillas (</w:t>
      </w:r>
      <w:hyperlink r:id="rId61">
        <w:r w:rsidRPr="00B0458F">
          <w:rPr>
            <w:rStyle w:val="Hipervnculo"/>
            <w:rFonts w:eastAsia="Arial" w:cs="Arial"/>
            <w:sz w:val="22"/>
            <w:szCs w:val="22"/>
            <w:lang w:val="es-MX"/>
          </w:rPr>
          <w:t>https://origen.igac.gov.co/hojascartograficas.html</w:t>
        </w:r>
      </w:hyperlink>
      <w:r w:rsidRPr="00B0458F">
        <w:rPr>
          <w:rFonts w:eastAsia="Arial" w:cs="Arial"/>
          <w:color w:val="000000" w:themeColor="text1"/>
          <w:sz w:val="22"/>
          <w:szCs w:val="22"/>
          <w:lang w:val="es-MX"/>
        </w:rPr>
        <w:t>).</w:t>
      </w:r>
    </w:p>
    <w:p w14:paraId="63425A8A" w14:textId="77777777" w:rsidR="007B7514" w:rsidRPr="00B0458F" w:rsidRDefault="007B7514" w:rsidP="007B7514">
      <w:pPr>
        <w:spacing w:line="240" w:lineRule="exact"/>
        <w:jc w:val="both"/>
        <w:rPr>
          <w:sz w:val="22"/>
          <w:szCs w:val="22"/>
        </w:rPr>
      </w:pPr>
      <w:r w:rsidRPr="00B0458F">
        <w:rPr>
          <w:rFonts w:eastAsia="Arial" w:cs="Arial"/>
          <w:color w:val="000000" w:themeColor="text1"/>
          <w:sz w:val="22"/>
          <w:szCs w:val="22"/>
        </w:rPr>
        <w:t xml:space="preserve"> </w:t>
      </w:r>
    </w:p>
    <w:p w14:paraId="03985939" w14:textId="77777777" w:rsidR="007B7514" w:rsidRPr="00B0458F" w:rsidRDefault="007B7514" w:rsidP="000A20EE">
      <w:pPr>
        <w:pStyle w:val="Prrafodelista"/>
        <w:numPr>
          <w:ilvl w:val="0"/>
          <w:numId w:val="209"/>
        </w:numPr>
        <w:rPr>
          <w:rFonts w:eastAsia="Arial" w:cs="Arial"/>
          <w:color w:val="000000" w:themeColor="text1"/>
          <w:sz w:val="22"/>
          <w:szCs w:val="22"/>
        </w:rPr>
      </w:pPr>
      <w:r w:rsidRPr="00B0458F">
        <w:rPr>
          <w:rFonts w:eastAsia="Arial" w:cs="Arial"/>
          <w:color w:val="000000" w:themeColor="text1"/>
          <w:sz w:val="22"/>
          <w:szCs w:val="22"/>
          <w:lang w:val="es-MX"/>
        </w:rPr>
        <w:t>Con el objetivo de facilitar el manejo estandarizado de coordenadas y mantener actualizados a los usuarios sobre los parámetros que se utilizan globalmente, se logró la disposición del aplicativo desktop MAGNA SIRGAS (</w:t>
      </w:r>
      <w:hyperlink r:id="rId62">
        <w:r w:rsidRPr="00B0458F">
          <w:rPr>
            <w:rStyle w:val="Hipervnculo"/>
            <w:rFonts w:eastAsia="Arial" w:cs="Arial"/>
            <w:sz w:val="22"/>
            <w:szCs w:val="22"/>
            <w:lang w:val="es-MX"/>
          </w:rPr>
          <w:t>https://origen.igac.gov.co/herramientas.html</w:t>
        </w:r>
      </w:hyperlink>
      <w:r w:rsidRPr="00B0458F">
        <w:rPr>
          <w:rFonts w:eastAsia="Arial" w:cs="Arial"/>
          <w:color w:val="000000" w:themeColor="text1"/>
          <w:sz w:val="22"/>
          <w:szCs w:val="22"/>
          <w:lang w:val="es-MX"/>
        </w:rPr>
        <w:t xml:space="preserve">). Esta nueva versión tiene una interfaz más moderna, gracias al rediseño de varios módulos, facilitando los cálculos de la ondulación geoidal, de la nivelación de sistemas de posicionamiento global, de los problemas geodésicos directo e inverso, de las velocidades de desplazamiento y del cambio de época para un conjunto de coordenadas. </w:t>
      </w:r>
      <w:r w:rsidRPr="00B0458F">
        <w:rPr>
          <w:rFonts w:eastAsia="Arial" w:cs="Arial"/>
          <w:color w:val="000000" w:themeColor="text1"/>
          <w:sz w:val="22"/>
          <w:szCs w:val="22"/>
        </w:rPr>
        <w:t>Esta versión ha logrado más de 4.000 descargas durante el 2021.</w:t>
      </w:r>
    </w:p>
    <w:p w14:paraId="06A38134" w14:textId="77777777" w:rsidR="007B7514" w:rsidRPr="00B0458F" w:rsidRDefault="007B7514" w:rsidP="007B7514">
      <w:pPr>
        <w:spacing w:line="240" w:lineRule="exact"/>
        <w:rPr>
          <w:sz w:val="22"/>
          <w:szCs w:val="22"/>
        </w:rPr>
      </w:pPr>
      <w:r w:rsidRPr="00B0458F">
        <w:rPr>
          <w:rFonts w:eastAsia="Arial" w:cs="Arial"/>
          <w:color w:val="000000" w:themeColor="text1"/>
          <w:sz w:val="22"/>
          <w:szCs w:val="22"/>
        </w:rPr>
        <w:t xml:space="preserve"> </w:t>
      </w:r>
    </w:p>
    <w:p w14:paraId="49A062C9" w14:textId="77777777" w:rsidR="007B7514" w:rsidRDefault="007B7514" w:rsidP="000A20EE">
      <w:pPr>
        <w:pStyle w:val="Prrafodelista"/>
        <w:numPr>
          <w:ilvl w:val="0"/>
          <w:numId w:val="209"/>
        </w:numPr>
        <w:rPr>
          <w:rFonts w:eastAsia="Arial" w:cs="Arial"/>
          <w:color w:val="000000" w:themeColor="text1"/>
          <w:sz w:val="22"/>
          <w:szCs w:val="22"/>
          <w:lang w:val="es-MX"/>
        </w:rPr>
      </w:pPr>
      <w:r w:rsidRPr="00B0458F">
        <w:rPr>
          <w:rFonts w:eastAsia="Arial" w:cs="Arial"/>
          <w:color w:val="000000" w:themeColor="text1"/>
          <w:sz w:val="22"/>
          <w:szCs w:val="22"/>
          <w:lang w:val="es-MX"/>
        </w:rPr>
        <w:t>Se logró la disposición de la plataforma “Colombia en Mapas” (CeM) una herramienta en constante evolución que fue construida para integrar y disponer la información geográfica producida por el IGAC y por todas las entidades nacionales, regionales y locales que generan datos del territorio, con el fin de promover la toma de decisiones efectivas del gobierno, las industrias y el ciudadano (</w:t>
      </w:r>
      <w:hyperlink r:id="rId63">
        <w:r w:rsidRPr="00B0458F">
          <w:rPr>
            <w:rStyle w:val="Hipervnculo"/>
            <w:rFonts w:eastAsia="Arial" w:cs="Arial"/>
            <w:sz w:val="22"/>
            <w:szCs w:val="22"/>
            <w:lang w:val="es-MX"/>
          </w:rPr>
          <w:t>https://www.colombiaenmapas.gov.co/</w:t>
        </w:r>
      </w:hyperlink>
      <w:r w:rsidRPr="00B0458F">
        <w:rPr>
          <w:rFonts w:eastAsia="Arial" w:cs="Arial"/>
          <w:color w:val="000000" w:themeColor="text1"/>
          <w:sz w:val="22"/>
          <w:szCs w:val="22"/>
          <w:lang w:val="es-MX"/>
        </w:rPr>
        <w:t xml:space="preserve">). </w:t>
      </w:r>
    </w:p>
    <w:p w14:paraId="134FE3C2" w14:textId="14832A7E" w:rsidR="0022514C" w:rsidRDefault="0022514C" w:rsidP="00833937">
      <w:pPr>
        <w:spacing w:line="240" w:lineRule="exact"/>
        <w:rPr>
          <w:rFonts w:eastAsia="Arial" w:cs="Tahoma"/>
          <w:sz w:val="20"/>
          <w:szCs w:val="20"/>
          <w:lang w:val="es-MX"/>
        </w:rPr>
      </w:pPr>
    </w:p>
    <w:p w14:paraId="0701F154" w14:textId="7093D6EA" w:rsidR="00833937" w:rsidRDefault="00833937" w:rsidP="00833937">
      <w:pPr>
        <w:spacing w:line="240" w:lineRule="exact"/>
        <w:rPr>
          <w:rFonts w:eastAsia="Arial" w:cs="Tahoma"/>
          <w:sz w:val="20"/>
          <w:szCs w:val="20"/>
          <w:lang w:val="es-MX"/>
        </w:rPr>
      </w:pPr>
    </w:p>
    <w:p w14:paraId="72A8C012" w14:textId="4EDD767D" w:rsidR="00833937" w:rsidRDefault="00833937" w:rsidP="00833937">
      <w:pPr>
        <w:spacing w:line="240" w:lineRule="exact"/>
        <w:rPr>
          <w:rFonts w:eastAsia="Arial" w:cs="Tahoma"/>
          <w:sz w:val="20"/>
          <w:szCs w:val="20"/>
          <w:lang w:val="es-MX"/>
        </w:rPr>
      </w:pPr>
    </w:p>
    <w:p w14:paraId="21176E4E" w14:textId="1AEF7876" w:rsidR="00833937" w:rsidRDefault="00833937" w:rsidP="00833937">
      <w:pPr>
        <w:spacing w:line="240" w:lineRule="exact"/>
        <w:rPr>
          <w:rFonts w:eastAsia="Arial" w:cs="Tahoma"/>
          <w:sz w:val="20"/>
          <w:szCs w:val="20"/>
          <w:lang w:val="es-MX"/>
        </w:rPr>
      </w:pPr>
    </w:p>
    <w:p w14:paraId="6FECFD56" w14:textId="71BFCE77" w:rsidR="00833937" w:rsidRDefault="00833937" w:rsidP="00833937">
      <w:pPr>
        <w:spacing w:line="240" w:lineRule="exact"/>
        <w:rPr>
          <w:rFonts w:eastAsia="Arial" w:cs="Tahoma"/>
          <w:sz w:val="20"/>
          <w:szCs w:val="20"/>
          <w:lang w:val="es-MX"/>
        </w:rPr>
      </w:pPr>
    </w:p>
    <w:p w14:paraId="66609FBE" w14:textId="23DD273F" w:rsidR="00833937" w:rsidRDefault="00833937" w:rsidP="00833937">
      <w:pPr>
        <w:spacing w:line="240" w:lineRule="exact"/>
        <w:rPr>
          <w:rFonts w:eastAsia="Arial" w:cs="Tahoma"/>
          <w:sz w:val="20"/>
          <w:szCs w:val="20"/>
          <w:lang w:val="es-MX"/>
        </w:rPr>
      </w:pPr>
    </w:p>
    <w:p w14:paraId="763772F3" w14:textId="4841D707" w:rsidR="00833937" w:rsidRDefault="00833937" w:rsidP="00833937">
      <w:pPr>
        <w:spacing w:line="240" w:lineRule="exact"/>
        <w:rPr>
          <w:rFonts w:eastAsia="Arial" w:cs="Tahoma"/>
          <w:sz w:val="20"/>
          <w:szCs w:val="20"/>
          <w:lang w:val="es-MX"/>
        </w:rPr>
      </w:pPr>
    </w:p>
    <w:p w14:paraId="20E30009" w14:textId="3F85209A" w:rsidR="00833937" w:rsidRDefault="00833937" w:rsidP="00833937">
      <w:pPr>
        <w:spacing w:line="240" w:lineRule="exact"/>
        <w:rPr>
          <w:rFonts w:eastAsia="Arial" w:cs="Tahoma"/>
          <w:sz w:val="20"/>
          <w:szCs w:val="20"/>
          <w:lang w:val="es-MX"/>
        </w:rPr>
      </w:pPr>
    </w:p>
    <w:p w14:paraId="71408AC9" w14:textId="54192EDD" w:rsidR="00833937" w:rsidRDefault="00833937" w:rsidP="00833937">
      <w:pPr>
        <w:spacing w:line="240" w:lineRule="exact"/>
        <w:rPr>
          <w:rFonts w:eastAsia="Arial" w:cs="Tahoma"/>
          <w:sz w:val="20"/>
          <w:szCs w:val="20"/>
          <w:lang w:val="es-MX"/>
        </w:rPr>
      </w:pPr>
    </w:p>
    <w:p w14:paraId="6527B936" w14:textId="3FF94028" w:rsidR="00833937" w:rsidRDefault="00833937" w:rsidP="00833937">
      <w:pPr>
        <w:spacing w:line="240" w:lineRule="exact"/>
        <w:rPr>
          <w:rFonts w:eastAsia="Arial" w:cs="Tahoma"/>
          <w:sz w:val="20"/>
          <w:szCs w:val="20"/>
          <w:lang w:val="es-MX"/>
        </w:rPr>
      </w:pPr>
    </w:p>
    <w:p w14:paraId="581F1BD1" w14:textId="3C7B003C" w:rsidR="00833937" w:rsidRDefault="00833937" w:rsidP="00833937">
      <w:pPr>
        <w:spacing w:line="240" w:lineRule="exact"/>
        <w:rPr>
          <w:rFonts w:eastAsia="Arial" w:cs="Tahoma"/>
          <w:sz w:val="20"/>
          <w:szCs w:val="20"/>
          <w:lang w:val="es-MX"/>
        </w:rPr>
      </w:pPr>
    </w:p>
    <w:p w14:paraId="55C4D96F" w14:textId="7BD656C8" w:rsidR="00833937" w:rsidRDefault="00833937" w:rsidP="00833937">
      <w:pPr>
        <w:spacing w:line="240" w:lineRule="exact"/>
        <w:rPr>
          <w:rFonts w:eastAsia="Arial" w:cs="Tahoma"/>
          <w:sz w:val="20"/>
          <w:szCs w:val="20"/>
          <w:lang w:val="es-MX"/>
        </w:rPr>
      </w:pPr>
    </w:p>
    <w:p w14:paraId="68CC203A" w14:textId="79FD4EB9" w:rsidR="00833937" w:rsidRDefault="00833937" w:rsidP="00833937">
      <w:pPr>
        <w:spacing w:line="240" w:lineRule="exact"/>
        <w:rPr>
          <w:rFonts w:eastAsia="Arial" w:cs="Tahoma"/>
          <w:sz w:val="20"/>
          <w:szCs w:val="20"/>
          <w:lang w:val="es-MX"/>
        </w:rPr>
      </w:pPr>
    </w:p>
    <w:p w14:paraId="05C20081" w14:textId="7E99FA8C" w:rsidR="00833937" w:rsidRDefault="00833937" w:rsidP="00833937">
      <w:pPr>
        <w:spacing w:line="240" w:lineRule="exact"/>
        <w:rPr>
          <w:rFonts w:eastAsia="Arial" w:cs="Tahoma"/>
          <w:sz w:val="20"/>
          <w:szCs w:val="20"/>
          <w:lang w:val="es-MX"/>
        </w:rPr>
      </w:pPr>
    </w:p>
    <w:p w14:paraId="742DDB12" w14:textId="1E3A3874" w:rsidR="00833937" w:rsidRDefault="00833937" w:rsidP="00833937">
      <w:pPr>
        <w:spacing w:line="240" w:lineRule="exact"/>
        <w:rPr>
          <w:rFonts w:eastAsia="Arial" w:cs="Tahoma"/>
          <w:sz w:val="20"/>
          <w:szCs w:val="20"/>
          <w:lang w:val="es-MX"/>
        </w:rPr>
      </w:pPr>
    </w:p>
    <w:p w14:paraId="03D1A8C0" w14:textId="3ECA81E2" w:rsidR="00833937" w:rsidRDefault="00833937" w:rsidP="00833937">
      <w:pPr>
        <w:spacing w:line="240" w:lineRule="exact"/>
        <w:rPr>
          <w:rFonts w:eastAsia="Arial" w:cs="Arial"/>
          <w:b/>
          <w:bCs/>
          <w:color w:val="445369"/>
          <w:sz w:val="16"/>
          <w:szCs w:val="16"/>
          <w:lang w:val="es"/>
        </w:rPr>
      </w:pPr>
    </w:p>
    <w:p w14:paraId="2FAF7A02" w14:textId="7A30AF7B" w:rsidR="0022514C" w:rsidRDefault="00E45BF8" w:rsidP="00E45BF8">
      <w:pPr>
        <w:pStyle w:val="Descripcin"/>
        <w:jc w:val="center"/>
        <w:rPr>
          <w:rFonts w:ascii="Arial" w:eastAsia="Arial" w:hAnsi="Arial" w:cs="Arial"/>
          <w:b/>
          <w:i w:val="0"/>
          <w:color w:val="000000" w:themeColor="text1"/>
          <w:sz w:val="16"/>
          <w:szCs w:val="16"/>
          <w:lang w:val="es"/>
        </w:rPr>
      </w:pPr>
      <w:bookmarkStart w:id="103" w:name="_Toc88677185"/>
      <w:r>
        <w:rPr>
          <w:rFonts w:ascii="Arial" w:hAnsi="Arial" w:cs="Arial"/>
          <w:b/>
          <w:bCs/>
          <w:i w:val="0"/>
          <w:iCs w:val="0"/>
          <w:color w:val="000000" w:themeColor="text1"/>
          <w:sz w:val="16"/>
          <w:szCs w:val="16"/>
        </w:rPr>
        <w:t xml:space="preserve">Ilustración </w:t>
      </w:r>
      <w:r>
        <w:rPr>
          <w:rFonts w:ascii="Arial" w:hAnsi="Arial" w:cs="Arial"/>
          <w:b/>
          <w:bCs/>
          <w:i w:val="0"/>
          <w:iCs w:val="0"/>
          <w:color w:val="000000" w:themeColor="text1"/>
          <w:sz w:val="16"/>
          <w:szCs w:val="16"/>
        </w:rPr>
        <w:fldChar w:fldCharType="begin"/>
      </w:r>
      <w:r>
        <w:rPr>
          <w:rFonts w:ascii="Arial" w:hAnsi="Arial" w:cs="Arial"/>
          <w:b/>
          <w:bCs/>
          <w:i w:val="0"/>
          <w:iCs w:val="0"/>
          <w:color w:val="000000" w:themeColor="text1"/>
          <w:sz w:val="16"/>
          <w:szCs w:val="16"/>
        </w:rPr>
        <w:instrText xml:space="preserve"> SEQ Ilustración \* ARABIC </w:instrText>
      </w:r>
      <w:r>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29</w:t>
      </w:r>
      <w:r>
        <w:rPr>
          <w:rFonts w:ascii="Arial" w:hAnsi="Arial" w:cs="Arial"/>
          <w:b/>
          <w:bCs/>
          <w:i w:val="0"/>
          <w:iCs w:val="0"/>
          <w:color w:val="000000" w:themeColor="text1"/>
          <w:sz w:val="16"/>
          <w:szCs w:val="16"/>
        </w:rPr>
        <w:fldChar w:fldCharType="end"/>
      </w:r>
      <w:r>
        <w:rPr>
          <w:rFonts w:ascii="Arial" w:hAnsi="Arial" w:cs="Arial"/>
          <w:b/>
          <w:bCs/>
          <w:i w:val="0"/>
          <w:iCs w:val="0"/>
          <w:color w:val="000000" w:themeColor="text1"/>
          <w:sz w:val="16"/>
          <w:szCs w:val="16"/>
        </w:rPr>
        <w:t xml:space="preserve">. </w:t>
      </w:r>
      <w:r w:rsidRPr="00824244">
        <w:rPr>
          <w:rFonts w:ascii="Arial" w:hAnsi="Arial" w:cs="Arial"/>
          <w:b/>
          <w:bCs/>
          <w:i w:val="0"/>
          <w:iCs w:val="0"/>
          <w:color w:val="000000" w:themeColor="text1"/>
          <w:sz w:val="16"/>
          <w:szCs w:val="16"/>
        </w:rPr>
        <w:t>Colombia en Mapas</w:t>
      </w:r>
      <w:bookmarkEnd w:id="103"/>
    </w:p>
    <w:p w14:paraId="1F94A3B8" w14:textId="77777777" w:rsidR="007B7514" w:rsidRDefault="007B7514" w:rsidP="007B7514">
      <w:pPr>
        <w:pStyle w:val="Lista"/>
        <w:jc w:val="center"/>
        <w:rPr>
          <w:rFonts w:eastAsia="Arial"/>
          <w:lang w:val="es-MX"/>
        </w:rPr>
      </w:pPr>
      <w:r>
        <w:rPr>
          <w:noProof/>
          <w:lang w:val="es-CO" w:eastAsia="es-CO"/>
        </w:rPr>
        <w:drawing>
          <wp:inline distT="0" distB="0" distL="0" distR="0" wp14:anchorId="0434235B" wp14:editId="5F3D013F">
            <wp:extent cx="5316279" cy="2687675"/>
            <wp:effectExtent l="0" t="0" r="0" b="0"/>
            <wp:docPr id="2024306646" name="Imagen 2024306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4">
                      <a:extLst>
                        <a:ext uri="{28A0092B-C50C-407E-A947-70E740481C1C}">
                          <a14:useLocalDpi xmlns:a14="http://schemas.microsoft.com/office/drawing/2010/main" val="0"/>
                        </a:ext>
                      </a:extLst>
                    </a:blip>
                    <a:stretch>
                      <a:fillRect/>
                    </a:stretch>
                  </pic:blipFill>
                  <pic:spPr>
                    <a:xfrm>
                      <a:off x="0" y="0"/>
                      <a:ext cx="5333160" cy="2696209"/>
                    </a:xfrm>
                    <a:prstGeom prst="rect">
                      <a:avLst/>
                    </a:prstGeom>
                  </pic:spPr>
                </pic:pic>
              </a:graphicData>
            </a:graphic>
          </wp:inline>
        </w:drawing>
      </w:r>
    </w:p>
    <w:p w14:paraId="24598D82" w14:textId="77777777" w:rsidR="007B7514" w:rsidRPr="00F74A1A" w:rsidRDefault="007B7514" w:rsidP="007B7514">
      <w:pPr>
        <w:spacing w:line="240" w:lineRule="exact"/>
        <w:jc w:val="center"/>
        <w:rPr>
          <w:rFonts w:eastAsia="Arial" w:cs="Arial"/>
          <w:b/>
          <w:bCs/>
          <w:color w:val="000000" w:themeColor="text1"/>
          <w:sz w:val="16"/>
          <w:szCs w:val="16"/>
          <w:lang w:val="es"/>
        </w:rPr>
      </w:pPr>
      <w:r w:rsidRPr="00F74A1A">
        <w:rPr>
          <w:rFonts w:eastAsia="Arial" w:cs="Arial"/>
          <w:b/>
          <w:bCs/>
          <w:color w:val="000000" w:themeColor="text1"/>
          <w:sz w:val="16"/>
          <w:szCs w:val="16"/>
          <w:lang w:val="es"/>
        </w:rPr>
        <w:t>Fuente: IGAC. Dirección de Gestión de la Información Geográfica</w:t>
      </w:r>
    </w:p>
    <w:p w14:paraId="60CE69FF" w14:textId="798F5C33" w:rsidR="007B7514" w:rsidRPr="00833937" w:rsidRDefault="00833937" w:rsidP="00833937">
      <w:pPr>
        <w:spacing w:line="240" w:lineRule="exact"/>
        <w:jc w:val="center"/>
        <w:rPr>
          <w:rFonts w:eastAsia="Arial" w:cs="Arial"/>
          <w:b/>
          <w:bCs/>
          <w:color w:val="000000" w:themeColor="text1"/>
          <w:sz w:val="16"/>
          <w:szCs w:val="16"/>
          <w:lang w:val="es"/>
        </w:rPr>
      </w:pPr>
      <w:r>
        <w:rPr>
          <w:rFonts w:eastAsia="Arial" w:cs="Arial"/>
          <w:b/>
          <w:bCs/>
          <w:color w:val="000000" w:themeColor="text1"/>
          <w:sz w:val="16"/>
          <w:szCs w:val="16"/>
          <w:lang w:val="es"/>
        </w:rPr>
        <w:t xml:space="preserve"> </w:t>
      </w:r>
    </w:p>
    <w:p w14:paraId="69C55458" w14:textId="77777777" w:rsidR="007B7514" w:rsidRDefault="007B7514" w:rsidP="007B7514">
      <w:pPr>
        <w:spacing w:line="240" w:lineRule="exact"/>
        <w:jc w:val="both"/>
      </w:pPr>
      <w:r w:rsidRPr="31FF9146">
        <w:rPr>
          <w:rFonts w:eastAsia="Arial" w:cs="Arial"/>
          <w:color w:val="000000" w:themeColor="text1"/>
          <w:sz w:val="22"/>
          <w:szCs w:val="22"/>
          <w:lang w:val="es-MX"/>
        </w:rPr>
        <w:t>Esta plataforma se caracteriza por su arquitectura orientada a servicios, lo cual facilita el acceso, interoperabilidad y uso de los datos que a través de ella se dispongan, por tanto, toda la información cartográfica, geográfica y geodésica fue organizada, catalogada y publicada a través de servicios web geográficos estándar.</w:t>
      </w:r>
    </w:p>
    <w:p w14:paraId="5241A5B6" w14:textId="77777777" w:rsidR="007B7514" w:rsidRDefault="007B7514" w:rsidP="007B7514">
      <w:pPr>
        <w:spacing w:line="240" w:lineRule="exact"/>
        <w:jc w:val="both"/>
      </w:pPr>
      <w:r w:rsidRPr="31FF9146">
        <w:rPr>
          <w:rFonts w:eastAsia="Arial" w:cs="Arial"/>
          <w:color w:val="000000" w:themeColor="text1"/>
          <w:sz w:val="22"/>
          <w:szCs w:val="22"/>
        </w:rPr>
        <w:t xml:space="preserve"> </w:t>
      </w:r>
    </w:p>
    <w:p w14:paraId="3B7F069E" w14:textId="77777777" w:rsidR="007B7514" w:rsidRPr="0081674E" w:rsidRDefault="007B7514" w:rsidP="0081674E">
      <w:pPr>
        <w:spacing w:line="240" w:lineRule="exact"/>
        <w:jc w:val="both"/>
        <w:rPr>
          <w:rFonts w:eastAsia="Arial" w:cs="Arial"/>
          <w:color w:val="000000" w:themeColor="text1"/>
          <w:sz w:val="22"/>
          <w:szCs w:val="22"/>
          <w:lang w:val="es-MX"/>
        </w:rPr>
      </w:pPr>
      <w:r w:rsidRPr="31FF9146">
        <w:rPr>
          <w:rFonts w:eastAsia="Arial" w:cs="Arial"/>
          <w:color w:val="000000" w:themeColor="text1"/>
          <w:sz w:val="22"/>
          <w:szCs w:val="22"/>
          <w:lang w:val="es-MX"/>
        </w:rPr>
        <w:t xml:space="preserve">La plataforma ofrece más de 29 temáticas asociadas a los sectores del Gobierno Nacional, así como la posibilidad de consultar y descargar más de 600 datos geográficos relacionados con el sector salud, ambiente, agricultura, minas, comercio, transporte, catastro, ordenamiento territorial, estadísticas, entre otros, con cubrimiento nacional, regional y local, ya que dispone información tanto a nivel de Ministerios, como de Corporaciones Autónomas y Alcaldías. </w:t>
      </w:r>
    </w:p>
    <w:p w14:paraId="077E5246" w14:textId="77777777" w:rsidR="0081674E" w:rsidRDefault="0081674E" w:rsidP="0081674E">
      <w:pPr>
        <w:jc w:val="both"/>
        <w:rPr>
          <w:rFonts w:eastAsia="Arial" w:cs="Arial"/>
          <w:color w:val="000000" w:themeColor="text1"/>
          <w:sz w:val="22"/>
          <w:szCs w:val="22"/>
          <w:lang w:val="es-MX"/>
        </w:rPr>
      </w:pPr>
    </w:p>
    <w:p w14:paraId="132DAA87" w14:textId="4E3FFA9E" w:rsidR="007B7514" w:rsidRDefault="007B7514" w:rsidP="0081674E">
      <w:pPr>
        <w:jc w:val="both"/>
      </w:pPr>
      <w:r w:rsidRPr="0081674E">
        <w:rPr>
          <w:rFonts w:eastAsia="Arial" w:cs="Arial"/>
          <w:color w:val="000000" w:themeColor="text1"/>
          <w:sz w:val="22"/>
          <w:szCs w:val="22"/>
          <w:lang w:val="es-MX"/>
        </w:rPr>
        <w:t>Esta plataforma es un insumo importante para la implementación de la política de Catastro Multipropósito, ya que permitirá acceder a información insumo para el levantamiento catastral, reducir los costos y tiempos, y una vez actualizado planificar y diseñar políticas públicas más acertada para sus territorios</w:t>
      </w:r>
      <w:r w:rsidRPr="31FF9146">
        <w:rPr>
          <w:rFonts w:eastAsia="Arial" w:cs="Arial"/>
          <w:color w:val="000000" w:themeColor="text1"/>
          <w:sz w:val="22"/>
          <w:szCs w:val="22"/>
          <w:lang w:val="es-MX"/>
        </w:rPr>
        <w:t>.</w:t>
      </w:r>
    </w:p>
    <w:p w14:paraId="59F3A953" w14:textId="77777777" w:rsidR="007B7514" w:rsidRDefault="007B7514" w:rsidP="007B7514">
      <w:r w:rsidRPr="31FF9146">
        <w:rPr>
          <w:rFonts w:ascii="Times New Roman" w:hAnsi="Times New Roman"/>
          <w:color w:val="000000" w:themeColor="text1"/>
          <w:sz w:val="22"/>
          <w:szCs w:val="22"/>
          <w:lang w:val="es-MX"/>
        </w:rPr>
        <w:t xml:space="preserve"> </w:t>
      </w:r>
    </w:p>
    <w:p w14:paraId="73B3BC67" w14:textId="77777777" w:rsidR="007B7514" w:rsidRDefault="007B7514" w:rsidP="007B7514">
      <w:pPr>
        <w:spacing w:line="240" w:lineRule="exact"/>
        <w:jc w:val="both"/>
      </w:pPr>
      <w:r w:rsidRPr="31FF9146">
        <w:rPr>
          <w:rFonts w:eastAsia="Arial" w:cs="Arial"/>
          <w:color w:val="000000" w:themeColor="text1"/>
          <w:sz w:val="22"/>
          <w:szCs w:val="22"/>
          <w:lang w:val="es-MX"/>
        </w:rPr>
        <w:t>Desde su lanzamiento, realizado en febrero de 2021, Colombia en Mapas ha logrado más de 236.000 visitas, en donde se observa una alta demanda sobre la información catastral, cartográfica, y de entidades territoriales.</w:t>
      </w:r>
    </w:p>
    <w:p w14:paraId="514FA0CC" w14:textId="77777777" w:rsidR="007B7514" w:rsidRDefault="007B7514" w:rsidP="007B7514">
      <w:pPr>
        <w:spacing w:line="240" w:lineRule="exact"/>
        <w:jc w:val="both"/>
      </w:pPr>
      <w:r w:rsidRPr="31FF9146">
        <w:rPr>
          <w:rFonts w:eastAsia="Arial" w:cs="Arial"/>
          <w:color w:val="000000" w:themeColor="text1"/>
          <w:sz w:val="22"/>
          <w:szCs w:val="22"/>
          <w:lang w:val="es-MX"/>
        </w:rPr>
        <w:t xml:space="preserve"> </w:t>
      </w:r>
    </w:p>
    <w:p w14:paraId="76D882CE" w14:textId="77777777" w:rsidR="007B7514" w:rsidRDefault="007B7514" w:rsidP="007B7514">
      <w:pPr>
        <w:spacing w:line="240" w:lineRule="exact"/>
        <w:jc w:val="both"/>
        <w:rPr>
          <w:rFonts w:eastAsia="Arial" w:cs="Arial"/>
          <w:color w:val="000000" w:themeColor="text1"/>
          <w:sz w:val="22"/>
          <w:szCs w:val="22"/>
          <w:lang w:val="es-MX"/>
        </w:rPr>
      </w:pPr>
      <w:r w:rsidRPr="31FF9146">
        <w:rPr>
          <w:rFonts w:eastAsia="Arial" w:cs="Arial"/>
          <w:color w:val="000000" w:themeColor="text1"/>
          <w:sz w:val="22"/>
          <w:szCs w:val="22"/>
          <w:lang w:val="es-MX"/>
        </w:rPr>
        <w:t xml:space="preserve"> </w:t>
      </w:r>
    </w:p>
    <w:p w14:paraId="6B1F0ABA" w14:textId="77777777" w:rsidR="007B7514" w:rsidRDefault="007B7514" w:rsidP="007B7514">
      <w:pPr>
        <w:spacing w:line="240" w:lineRule="exact"/>
        <w:jc w:val="both"/>
        <w:rPr>
          <w:rFonts w:eastAsia="Arial" w:cs="Arial"/>
          <w:color w:val="000000" w:themeColor="text1"/>
          <w:sz w:val="22"/>
          <w:szCs w:val="22"/>
          <w:lang w:val="es-MX"/>
        </w:rPr>
      </w:pPr>
    </w:p>
    <w:p w14:paraId="20EB5F02" w14:textId="77777777" w:rsidR="007B7514" w:rsidRDefault="007B7514" w:rsidP="007B7514">
      <w:pPr>
        <w:spacing w:line="240" w:lineRule="exact"/>
        <w:jc w:val="both"/>
        <w:rPr>
          <w:rFonts w:eastAsia="Arial" w:cs="Arial"/>
          <w:color w:val="000000" w:themeColor="text1"/>
          <w:sz w:val="22"/>
          <w:szCs w:val="22"/>
          <w:lang w:val="es-MX"/>
        </w:rPr>
      </w:pPr>
    </w:p>
    <w:p w14:paraId="00A896B0" w14:textId="77777777" w:rsidR="007B7514" w:rsidRDefault="007B7514" w:rsidP="007B7514">
      <w:pPr>
        <w:spacing w:line="240" w:lineRule="exact"/>
        <w:jc w:val="both"/>
        <w:rPr>
          <w:rFonts w:eastAsia="Arial" w:cs="Arial"/>
          <w:color w:val="000000" w:themeColor="text1"/>
          <w:sz w:val="22"/>
          <w:szCs w:val="22"/>
          <w:lang w:val="es-MX"/>
        </w:rPr>
      </w:pPr>
    </w:p>
    <w:p w14:paraId="4A9B13FB" w14:textId="77777777" w:rsidR="005400C6" w:rsidRDefault="005400C6" w:rsidP="007B7514">
      <w:pPr>
        <w:spacing w:line="240" w:lineRule="exact"/>
        <w:jc w:val="both"/>
        <w:rPr>
          <w:rFonts w:eastAsia="Arial" w:cs="Arial"/>
          <w:color w:val="000000" w:themeColor="text1"/>
          <w:sz w:val="22"/>
          <w:szCs w:val="22"/>
          <w:lang w:val="es-MX"/>
        </w:rPr>
      </w:pPr>
    </w:p>
    <w:p w14:paraId="35DEE2DF" w14:textId="77777777" w:rsidR="005400C6" w:rsidRDefault="005400C6" w:rsidP="007B7514">
      <w:pPr>
        <w:spacing w:line="240" w:lineRule="exact"/>
        <w:jc w:val="both"/>
        <w:rPr>
          <w:rFonts w:eastAsia="Arial" w:cs="Arial"/>
          <w:color w:val="000000" w:themeColor="text1"/>
          <w:sz w:val="22"/>
          <w:szCs w:val="22"/>
          <w:lang w:val="es-MX"/>
        </w:rPr>
      </w:pPr>
    </w:p>
    <w:p w14:paraId="5EA991F0" w14:textId="77777777" w:rsidR="007B7514" w:rsidRDefault="007B7514" w:rsidP="007B7514">
      <w:pPr>
        <w:spacing w:line="240" w:lineRule="exact"/>
        <w:jc w:val="both"/>
        <w:rPr>
          <w:rFonts w:eastAsia="Arial" w:cs="Arial"/>
          <w:color w:val="000000" w:themeColor="text1"/>
          <w:sz w:val="22"/>
          <w:szCs w:val="22"/>
          <w:lang w:val="es-MX"/>
        </w:rPr>
      </w:pPr>
    </w:p>
    <w:p w14:paraId="49F8E981" w14:textId="77777777" w:rsidR="00AA2E70" w:rsidRDefault="00AA2E70" w:rsidP="005F3C74">
      <w:pPr>
        <w:jc w:val="both"/>
        <w:rPr>
          <w:rFonts w:eastAsia="Arial"/>
          <w:b/>
          <w:bCs/>
          <w:sz w:val="22"/>
          <w:szCs w:val="22"/>
          <w:lang w:val="es-MX"/>
        </w:rPr>
      </w:pPr>
    </w:p>
    <w:p w14:paraId="6DCF9EA9" w14:textId="77777777" w:rsidR="00AA2E70" w:rsidRDefault="00AA2E70" w:rsidP="005F3C74">
      <w:pPr>
        <w:jc w:val="both"/>
        <w:rPr>
          <w:rFonts w:eastAsia="Arial"/>
          <w:b/>
          <w:bCs/>
          <w:sz w:val="22"/>
          <w:szCs w:val="22"/>
          <w:lang w:val="es-MX"/>
        </w:rPr>
      </w:pPr>
    </w:p>
    <w:p w14:paraId="2A508047" w14:textId="77777777" w:rsidR="007B7514" w:rsidRPr="005F3C74" w:rsidRDefault="007B7514" w:rsidP="005F3C74">
      <w:pPr>
        <w:jc w:val="both"/>
        <w:rPr>
          <w:b/>
          <w:bCs/>
          <w:sz w:val="22"/>
          <w:szCs w:val="22"/>
        </w:rPr>
      </w:pPr>
      <w:r w:rsidRPr="005F3C74">
        <w:rPr>
          <w:rFonts w:eastAsia="Arial"/>
          <w:b/>
          <w:bCs/>
          <w:sz w:val="22"/>
          <w:szCs w:val="22"/>
          <w:lang w:val="es-MX"/>
        </w:rPr>
        <w:lastRenderedPageBreak/>
        <w:t>PROYECTO DE INVERSIÓN: GENERACIÓN DE ESTUDIOS GEOGRÁFICOS E INVESTIGACIONES PARA LA CARACTERIZACIÓN, ANÁLISIS Y DELIMITACIÓN GEOGRÁFICA DEL TERRITORIO NACIONAL</w:t>
      </w:r>
    </w:p>
    <w:p w14:paraId="6D55EBCC" w14:textId="77777777" w:rsidR="007B7514" w:rsidRDefault="007B7514" w:rsidP="007B7514"/>
    <w:p w14:paraId="1443E04E" w14:textId="77777777" w:rsidR="007B7514" w:rsidRPr="00581D98" w:rsidRDefault="007B7514" w:rsidP="007B7514">
      <w:pPr>
        <w:jc w:val="both"/>
        <w:rPr>
          <w:b/>
          <w:sz w:val="22"/>
          <w:szCs w:val="22"/>
        </w:rPr>
      </w:pPr>
      <w:r w:rsidRPr="00581D98">
        <w:rPr>
          <w:rFonts w:eastAsia="Arial"/>
          <w:b/>
          <w:sz w:val="22"/>
          <w:szCs w:val="22"/>
          <w:lang w:val="es-MX"/>
        </w:rPr>
        <w:t>DOCUMENTOS DE CARACTERIZACIÓN TERRITORIAL Y DEMÁS ESTUDIOS GEOGRÁFICOS</w:t>
      </w:r>
    </w:p>
    <w:p w14:paraId="0B00D918" w14:textId="77777777" w:rsidR="007B7514" w:rsidRDefault="007B7514" w:rsidP="007B7514">
      <w:r w:rsidRPr="31FF9146">
        <w:rPr>
          <w:rFonts w:ascii="Times New Roman" w:hAnsi="Times New Roman"/>
          <w:color w:val="000000" w:themeColor="text1"/>
          <w:sz w:val="22"/>
          <w:szCs w:val="22"/>
          <w:lang w:val="es-MX"/>
        </w:rPr>
        <w:t xml:space="preserve"> </w:t>
      </w:r>
    </w:p>
    <w:p w14:paraId="3A952F82" w14:textId="77777777" w:rsidR="007B7514" w:rsidRDefault="007B7514" w:rsidP="007B7514">
      <w:pPr>
        <w:jc w:val="both"/>
      </w:pPr>
      <w:r w:rsidRPr="31FF9146">
        <w:rPr>
          <w:rFonts w:eastAsia="Arial" w:cs="Arial"/>
          <w:color w:val="000000" w:themeColor="text1"/>
          <w:sz w:val="22"/>
          <w:szCs w:val="22"/>
          <w:lang w:val="es"/>
        </w:rPr>
        <w:t>Los informes de caracterización territorial constituyen una herramienta para apoyar la gestión del desarrollo territorial con enfoque integral, así como para proyectos tales como el catastro multipropósito, describiendo las relaciones existentes entre la ocupación y apropiación del territorio, las dinámicas de organización y funcionamiento espacial, las condiciones naturales y de oferta ambiental, y las condiciones de accesibilidad y dinámica económica.</w:t>
      </w:r>
    </w:p>
    <w:p w14:paraId="084C5423" w14:textId="77777777" w:rsidR="007B7514" w:rsidRDefault="007B7514" w:rsidP="007B7514">
      <w:pPr>
        <w:jc w:val="both"/>
      </w:pPr>
      <w:r w:rsidRPr="31FF9146">
        <w:rPr>
          <w:rFonts w:eastAsia="Arial" w:cs="Arial"/>
          <w:color w:val="000000" w:themeColor="text1"/>
          <w:sz w:val="22"/>
          <w:szCs w:val="22"/>
          <w:lang w:val="es"/>
        </w:rPr>
        <w:t xml:space="preserve"> </w:t>
      </w:r>
    </w:p>
    <w:p w14:paraId="7344883F" w14:textId="77777777" w:rsidR="007B7514" w:rsidRDefault="007B7514" w:rsidP="007B7514">
      <w:pPr>
        <w:jc w:val="both"/>
      </w:pPr>
      <w:r w:rsidRPr="31FF9146">
        <w:rPr>
          <w:rFonts w:eastAsia="Arial" w:cs="Arial"/>
          <w:color w:val="000000" w:themeColor="text1"/>
          <w:sz w:val="22"/>
          <w:szCs w:val="22"/>
          <w:lang w:val="es"/>
        </w:rPr>
        <w:t xml:space="preserve">Durante el  2020 y a octubre del 2021, se realizó la caracterización con fines de catastro multipropósito de 124 municipios, a partir de la gestión, análisis, procesamiento y consolidación de información relacionada con contexto geográfico, planes de ordenamiento territorial (vigencia, clasificación y zonificación), contexto legal (determinantes y condicionantes), procesos biofísicos y relaciones ambientales, procesos de ocupación y apropiación y procesos socioeconómicos, las cuales han sido dispuestas con el propósito de identificar la situación actual de los municipios requeridos para el cumplimiento de las metas del Catastro Multipropósito. Es así como, al mes de octubre de 2021 se ha logrado un cubrimiento de 30.245.459,24 ha del territorio del país con caracterizaciones territoriales (Ver </w:t>
      </w:r>
      <w:hyperlink r:id="rId65">
        <w:r w:rsidRPr="31FF9146">
          <w:rPr>
            <w:rStyle w:val="Hipervnculo"/>
            <w:rFonts w:eastAsia="Arial" w:cs="Arial"/>
            <w:sz w:val="22"/>
            <w:szCs w:val="22"/>
            <w:lang w:val="es"/>
          </w:rPr>
          <w:t>https://bit.ly/3H8zOwL</w:t>
        </w:r>
      </w:hyperlink>
      <w:r w:rsidRPr="31FF9146">
        <w:rPr>
          <w:rFonts w:eastAsia="Arial" w:cs="Arial"/>
          <w:color w:val="000000" w:themeColor="text1"/>
          <w:sz w:val="22"/>
          <w:szCs w:val="22"/>
          <w:lang w:val="es"/>
        </w:rPr>
        <w:t xml:space="preserve">). </w:t>
      </w:r>
    </w:p>
    <w:p w14:paraId="272BC84F" w14:textId="77777777" w:rsidR="007B7514" w:rsidRDefault="007B7514" w:rsidP="007B7514">
      <w:pPr>
        <w:jc w:val="both"/>
      </w:pPr>
      <w:r w:rsidRPr="31FF9146">
        <w:rPr>
          <w:rFonts w:ascii="Calibri" w:eastAsia="Calibri" w:hAnsi="Calibri" w:cs="Calibri"/>
          <w:color w:val="000000" w:themeColor="text1"/>
          <w:sz w:val="22"/>
          <w:szCs w:val="22"/>
          <w:lang w:val="es"/>
        </w:rPr>
        <w:t xml:space="preserve"> </w:t>
      </w:r>
    </w:p>
    <w:p w14:paraId="55B03612" w14:textId="77777777" w:rsidR="007B7514" w:rsidRDefault="007B7514" w:rsidP="007B7514">
      <w:pPr>
        <w:jc w:val="both"/>
      </w:pPr>
      <w:r w:rsidRPr="31FF9146">
        <w:rPr>
          <w:rFonts w:eastAsia="Arial" w:cs="Arial"/>
          <w:color w:val="000000" w:themeColor="text1"/>
          <w:sz w:val="22"/>
          <w:szCs w:val="22"/>
          <w:lang w:val="es"/>
        </w:rPr>
        <w:t xml:space="preserve">Así mismo, como apoyo a los gestores catastrales, se generó una nueva versión de los </w:t>
      </w:r>
      <w:r w:rsidRPr="31FF9146">
        <w:rPr>
          <w:rFonts w:eastAsia="Arial" w:cs="Arial"/>
          <w:i/>
          <w:iCs/>
          <w:color w:val="000000" w:themeColor="text1"/>
          <w:sz w:val="22"/>
          <w:szCs w:val="22"/>
          <w:lang w:val="es"/>
        </w:rPr>
        <w:t>“Lineamientos metodológicos para la caracterización territorial municipal con fines de catastro multipropósito”,</w:t>
      </w:r>
      <w:r w:rsidRPr="31FF9146">
        <w:rPr>
          <w:rFonts w:eastAsia="Arial" w:cs="Arial"/>
          <w:color w:val="000000" w:themeColor="text1"/>
          <w:sz w:val="22"/>
          <w:szCs w:val="22"/>
          <w:lang w:val="es"/>
        </w:rPr>
        <w:t xml:space="preserve"> la cual incluye una nueva fase que contempla la caracterización territorial del municipio, teniendo en cuenta su localización, estado de los límites municipales y división político-administrativa, así como un análisis desde la perspectiva de su contexto legal y tres procesos geográficos: biofísico y relaciones ambientales, de ocupación y apropiación del territorio y socioeconómico.  </w:t>
      </w:r>
    </w:p>
    <w:p w14:paraId="6417334B" w14:textId="77777777" w:rsidR="007B7514" w:rsidRDefault="007B7514" w:rsidP="007B7514">
      <w:pPr>
        <w:jc w:val="both"/>
      </w:pPr>
      <w:r w:rsidRPr="31FF9146">
        <w:rPr>
          <w:rFonts w:eastAsia="Arial" w:cs="Arial"/>
          <w:color w:val="000000" w:themeColor="text1"/>
          <w:sz w:val="22"/>
          <w:szCs w:val="22"/>
          <w:lang w:val="es"/>
        </w:rPr>
        <w:t xml:space="preserve"> </w:t>
      </w:r>
    </w:p>
    <w:p w14:paraId="6917AD85" w14:textId="77777777" w:rsidR="007B7514" w:rsidRDefault="007B7514" w:rsidP="007B7514">
      <w:pPr>
        <w:jc w:val="both"/>
      </w:pPr>
      <w:r w:rsidRPr="31FF9146">
        <w:rPr>
          <w:rFonts w:eastAsia="Arial" w:cs="Arial"/>
          <w:color w:val="000000" w:themeColor="text1"/>
          <w:sz w:val="22"/>
          <w:szCs w:val="22"/>
          <w:lang w:val="es"/>
        </w:rPr>
        <w:t>De igual forma, delimita la caracterización catastral, cuyo propósito será la identificación de las condiciones prediales generales del municipio a intervenir, en lo relacionado con el aspecto físico, jurídico y económico de los inmuebles, como punto de partida para dimensionar y planear la estrategia de operación para la gestión catastral. Finalmente, se plantea una síntesis del territorio basada en los análisis de los procesos geográficos presentes en cada municipio. Para ello se propone la elaboración de dos mapas: uno de síntesis territorial, el cual pretende mostrar un panorama integral del municipio, y otro, en el que se representan unidades de intervención para diversos procesos de planificación.</w:t>
      </w:r>
    </w:p>
    <w:p w14:paraId="4C68A906" w14:textId="77777777" w:rsidR="007B7514" w:rsidRDefault="007B7514" w:rsidP="007B7514">
      <w:pPr>
        <w:jc w:val="both"/>
      </w:pPr>
      <w:r w:rsidRPr="31FF9146">
        <w:rPr>
          <w:rFonts w:eastAsia="Arial" w:cs="Arial"/>
          <w:i/>
          <w:iCs/>
          <w:color w:val="2F5496"/>
          <w:sz w:val="22"/>
          <w:szCs w:val="22"/>
          <w:lang w:val="es"/>
        </w:rPr>
        <w:t xml:space="preserve"> </w:t>
      </w:r>
    </w:p>
    <w:p w14:paraId="66291F9F" w14:textId="77777777" w:rsidR="007B7514" w:rsidRDefault="007B7514" w:rsidP="007B7514">
      <w:pPr>
        <w:jc w:val="both"/>
      </w:pPr>
      <w:r w:rsidRPr="31FF9146">
        <w:rPr>
          <w:rFonts w:eastAsia="Arial" w:cs="Arial"/>
          <w:color w:val="000000" w:themeColor="text1"/>
          <w:sz w:val="22"/>
          <w:szCs w:val="22"/>
          <w:lang w:val="es"/>
        </w:rPr>
        <w:t xml:space="preserve">Por otro lado, con el propósito de servir para la toma de decisiones de los procesos y las dinámicas requeridas para la articulación del funcionamiento espacial del territorio, más allá de la tradicional visión de la jerarquía urbano-regional y para la proyección de escenarios y políticas que orienten la integración del país con el fin de alcanzar una mejor calidad de vida y garantizar el bienestar de toda la población, la Subdirección de Geografía lideró durante la vigencia 2020, la elaboración del </w:t>
      </w:r>
      <w:r w:rsidRPr="31FF9146">
        <w:rPr>
          <w:rFonts w:eastAsia="Arial" w:cs="Arial"/>
          <w:b/>
          <w:bCs/>
          <w:color w:val="000000" w:themeColor="text1"/>
          <w:sz w:val="22"/>
          <w:szCs w:val="22"/>
          <w:lang w:val="es"/>
        </w:rPr>
        <w:t>Atlas Colombia – Funcionamiento Espacial del Territorio</w:t>
      </w:r>
      <w:r w:rsidRPr="31FF9146">
        <w:rPr>
          <w:rFonts w:eastAsia="Arial" w:cs="Arial"/>
          <w:color w:val="000000" w:themeColor="text1"/>
          <w:sz w:val="22"/>
          <w:szCs w:val="22"/>
          <w:lang w:val="es"/>
        </w:rPr>
        <w:t>, el cual al cierre de la vigencia cuenta con el desarrollo del funcionamiento espacial: perspectiva geográfica, Colombia en el contexto global y nacional, así como el funcionamiento espacial en la escala regional y local.</w:t>
      </w:r>
    </w:p>
    <w:p w14:paraId="52AF0BCD" w14:textId="77777777" w:rsidR="007B7514" w:rsidRDefault="007B7514" w:rsidP="007B7514">
      <w:pPr>
        <w:jc w:val="both"/>
      </w:pPr>
      <w:r w:rsidRPr="31FF9146">
        <w:rPr>
          <w:rFonts w:eastAsia="Arial" w:cs="Arial"/>
          <w:color w:val="000000" w:themeColor="text1"/>
          <w:sz w:val="22"/>
          <w:szCs w:val="22"/>
          <w:lang w:val="es"/>
        </w:rPr>
        <w:t xml:space="preserve"> </w:t>
      </w:r>
    </w:p>
    <w:p w14:paraId="206486AD" w14:textId="77777777" w:rsidR="007B7514" w:rsidRDefault="007B7514" w:rsidP="007B7514">
      <w:pPr>
        <w:jc w:val="both"/>
      </w:pPr>
      <w:r w:rsidRPr="31FF9146">
        <w:rPr>
          <w:rFonts w:eastAsia="Arial" w:cs="Arial"/>
          <w:color w:val="000000" w:themeColor="text1"/>
          <w:sz w:val="22"/>
          <w:szCs w:val="22"/>
          <w:lang w:val="es"/>
        </w:rPr>
        <w:lastRenderedPageBreak/>
        <w:t>Así mismo, durante el 2020 se elaboró el documento sobre la Geografía del departamento del Casanare, lo que lo convierte en un instrumento de toma de decisiones para el Gobierno Nacional, en lo correspondiente a los componentes, tales como: procesos biofísicos y relaciones ambientales de la vertiente Andino-Orinoquense de Casanare, distribución de la población y procesos socioeconómicos.</w:t>
      </w:r>
    </w:p>
    <w:p w14:paraId="4B8F4E19" w14:textId="77777777" w:rsidR="007B7514" w:rsidRDefault="007B7514" w:rsidP="007B7514">
      <w:pPr>
        <w:jc w:val="both"/>
      </w:pPr>
      <w:r w:rsidRPr="31FF9146">
        <w:rPr>
          <w:rFonts w:eastAsia="Arial" w:cs="Arial"/>
          <w:color w:val="000000" w:themeColor="text1"/>
          <w:sz w:val="22"/>
          <w:szCs w:val="22"/>
          <w:lang w:val="es"/>
        </w:rPr>
        <w:t xml:space="preserve"> </w:t>
      </w:r>
    </w:p>
    <w:p w14:paraId="53B3F836" w14:textId="77777777" w:rsidR="007B7514" w:rsidRDefault="007B7514" w:rsidP="007B7514">
      <w:pPr>
        <w:spacing w:line="240" w:lineRule="exact"/>
        <w:jc w:val="both"/>
      </w:pPr>
      <w:r w:rsidRPr="31FF9146">
        <w:rPr>
          <w:rFonts w:eastAsia="Arial" w:cs="Arial"/>
          <w:color w:val="000000" w:themeColor="text1"/>
          <w:sz w:val="22"/>
          <w:szCs w:val="22"/>
          <w:lang w:val="es-MX"/>
        </w:rPr>
        <w:t>Con respecto al reto para la vigencia 2021, el cual consiste en actualizar y disponer el Atlas de Colombia, se cuenta con los tres (3) primeros capítulos finalizados y actualmente se avanza en el cuarto capítulo</w:t>
      </w:r>
      <w:r>
        <w:rPr>
          <w:rFonts w:eastAsia="Arial" w:cs="Arial"/>
          <w:color w:val="000000" w:themeColor="text1"/>
          <w:sz w:val="22"/>
          <w:szCs w:val="22"/>
          <w:lang w:val="es-MX"/>
        </w:rPr>
        <w:t xml:space="preserve">. </w:t>
      </w:r>
      <w:r w:rsidRPr="31FF9146">
        <w:rPr>
          <w:rFonts w:eastAsia="Arial" w:cs="Arial"/>
          <w:color w:val="000000" w:themeColor="text1"/>
          <w:sz w:val="22"/>
          <w:szCs w:val="22"/>
          <w:lang w:val="es-MX"/>
        </w:rPr>
        <w:t>Los capítulos describen lo siguiente:</w:t>
      </w:r>
    </w:p>
    <w:p w14:paraId="3A46155F" w14:textId="77777777" w:rsidR="007B7514" w:rsidRDefault="007B7514" w:rsidP="007B7514">
      <w:pPr>
        <w:spacing w:line="240" w:lineRule="exact"/>
        <w:jc w:val="both"/>
      </w:pPr>
      <w:r w:rsidRPr="31FF9146">
        <w:rPr>
          <w:rFonts w:eastAsia="Arial" w:cs="Arial"/>
          <w:color w:val="000000" w:themeColor="text1"/>
          <w:sz w:val="22"/>
          <w:szCs w:val="22"/>
          <w:lang w:val="es-MX"/>
        </w:rPr>
        <w:t xml:space="preserve"> </w:t>
      </w:r>
    </w:p>
    <w:p w14:paraId="2DAEAA9D" w14:textId="77777777" w:rsidR="007B7514" w:rsidRPr="00BB6771" w:rsidRDefault="007B7514" w:rsidP="000A20EE">
      <w:pPr>
        <w:pStyle w:val="Prrafodelista"/>
        <w:numPr>
          <w:ilvl w:val="0"/>
          <w:numId w:val="208"/>
        </w:numPr>
        <w:rPr>
          <w:rFonts w:eastAsia="Arial" w:cs="Arial"/>
          <w:sz w:val="22"/>
          <w:szCs w:val="22"/>
        </w:rPr>
      </w:pPr>
      <w:r w:rsidRPr="00BB6771">
        <w:rPr>
          <w:rFonts w:eastAsia="Arial" w:cs="Arial"/>
          <w:sz w:val="22"/>
          <w:szCs w:val="22"/>
          <w:lang w:val="es"/>
        </w:rPr>
        <w:t>Representación cartográfica del territorio en diferentes escalas y el levantamiento de la toponimia para la estructuración de la base nacional de nombres geográficos</w:t>
      </w:r>
    </w:p>
    <w:p w14:paraId="20D41F5B" w14:textId="77777777" w:rsidR="007B7514" w:rsidRPr="00BB6771" w:rsidRDefault="007B7514" w:rsidP="000A20EE">
      <w:pPr>
        <w:pStyle w:val="Prrafodelista"/>
        <w:numPr>
          <w:ilvl w:val="0"/>
          <w:numId w:val="208"/>
        </w:numPr>
        <w:rPr>
          <w:rFonts w:eastAsia="Arial" w:cs="Arial"/>
          <w:sz w:val="22"/>
          <w:szCs w:val="22"/>
        </w:rPr>
      </w:pPr>
      <w:r w:rsidRPr="00BB6771">
        <w:rPr>
          <w:rFonts w:eastAsia="Arial" w:cs="Arial"/>
          <w:sz w:val="22"/>
          <w:szCs w:val="22"/>
          <w:lang w:val="es"/>
        </w:rPr>
        <w:t>Contexto sobre la soberanía del territorio, la cronología de la configuración del Estado colombiano y los símbolos e emblemas patrios</w:t>
      </w:r>
    </w:p>
    <w:p w14:paraId="04C3A321" w14:textId="77777777" w:rsidR="00954BB1" w:rsidRPr="00954BB1" w:rsidRDefault="007B7514" w:rsidP="000A20EE">
      <w:pPr>
        <w:pStyle w:val="Prrafodelista"/>
        <w:numPr>
          <w:ilvl w:val="0"/>
          <w:numId w:val="208"/>
        </w:numPr>
        <w:rPr>
          <w:rFonts w:eastAsia="Arial" w:cs="Arial"/>
          <w:sz w:val="22"/>
          <w:szCs w:val="22"/>
          <w:lang w:val="es"/>
        </w:rPr>
      </w:pPr>
      <w:r w:rsidRPr="009D73B5">
        <w:rPr>
          <w:rFonts w:eastAsia="Arial" w:cs="Arial"/>
          <w:sz w:val="22"/>
          <w:szCs w:val="22"/>
          <w:lang w:val="es"/>
        </w:rPr>
        <w:t>Territorio y ordenamiento territorial en Colombia</w:t>
      </w:r>
    </w:p>
    <w:p w14:paraId="566C0FFD" w14:textId="77777777" w:rsidR="00E45BF8" w:rsidRPr="00E45BF8" w:rsidRDefault="00E45BF8" w:rsidP="00E45BF8">
      <w:pPr>
        <w:pStyle w:val="Lista"/>
        <w:rPr>
          <w:rFonts w:eastAsia="Arial"/>
          <w:lang w:val="es"/>
        </w:rPr>
      </w:pPr>
    </w:p>
    <w:p w14:paraId="6055DDE3" w14:textId="77777777" w:rsidR="00E722D8" w:rsidRPr="00E722D8" w:rsidRDefault="00E722D8" w:rsidP="00E722D8">
      <w:pPr>
        <w:pStyle w:val="Lista"/>
        <w:rPr>
          <w:rFonts w:eastAsia="Arial"/>
          <w:lang w:val="es"/>
        </w:rPr>
      </w:pPr>
    </w:p>
    <w:p w14:paraId="034F4779" w14:textId="44F6DC8F" w:rsidR="00E45BF8" w:rsidRPr="00E45BF8" w:rsidRDefault="00E45BF8" w:rsidP="00E45BF8">
      <w:pPr>
        <w:pStyle w:val="Descripcin"/>
        <w:jc w:val="center"/>
        <w:rPr>
          <w:rFonts w:ascii="Arial" w:eastAsia="Arial" w:hAnsi="Arial" w:cs="Arial"/>
          <w:b/>
          <w:bCs/>
          <w:i w:val="0"/>
          <w:iCs w:val="0"/>
          <w:color w:val="000000" w:themeColor="text1"/>
          <w:sz w:val="16"/>
          <w:szCs w:val="16"/>
          <w:lang w:val="es"/>
        </w:rPr>
      </w:pPr>
      <w:bookmarkStart w:id="104" w:name="_Toc88677186"/>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30</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Atlas de Colombia</w:t>
      </w:r>
      <w:bookmarkEnd w:id="104"/>
    </w:p>
    <w:p w14:paraId="54D675C7" w14:textId="77777777" w:rsidR="007B7514" w:rsidRDefault="007B7514" w:rsidP="007B7514">
      <w:pPr>
        <w:pStyle w:val="Lista"/>
        <w:jc w:val="center"/>
        <w:rPr>
          <w:rFonts w:eastAsia="Arial"/>
          <w:lang w:val="es"/>
        </w:rPr>
      </w:pPr>
      <w:r>
        <w:rPr>
          <w:noProof/>
          <w:lang w:val="es-CO" w:eastAsia="es-CO"/>
        </w:rPr>
        <w:drawing>
          <wp:inline distT="0" distB="0" distL="0" distR="0" wp14:anchorId="4265A7A7" wp14:editId="50DD7C5F">
            <wp:extent cx="2398144" cy="3425918"/>
            <wp:effectExtent l="0" t="0" r="2540" b="3175"/>
            <wp:docPr id="1057670109" name="Imagen 1057670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6">
                      <a:extLst>
                        <a:ext uri="{28A0092B-C50C-407E-A947-70E740481C1C}">
                          <a14:useLocalDpi xmlns:a14="http://schemas.microsoft.com/office/drawing/2010/main" val="0"/>
                        </a:ext>
                      </a:extLst>
                    </a:blip>
                    <a:stretch>
                      <a:fillRect/>
                    </a:stretch>
                  </pic:blipFill>
                  <pic:spPr>
                    <a:xfrm>
                      <a:off x="0" y="0"/>
                      <a:ext cx="2422041" cy="3460056"/>
                    </a:xfrm>
                    <a:prstGeom prst="rect">
                      <a:avLst/>
                    </a:prstGeom>
                  </pic:spPr>
                </pic:pic>
              </a:graphicData>
            </a:graphic>
          </wp:inline>
        </w:drawing>
      </w:r>
    </w:p>
    <w:p w14:paraId="427128DC" w14:textId="77777777" w:rsidR="007B7514" w:rsidRPr="009D73B5" w:rsidRDefault="007B7514" w:rsidP="007B7514">
      <w:pPr>
        <w:spacing w:line="240" w:lineRule="exact"/>
        <w:jc w:val="center"/>
        <w:rPr>
          <w:rFonts w:eastAsia="Arial" w:cs="Arial"/>
          <w:b/>
          <w:bCs/>
          <w:color w:val="000000" w:themeColor="text1"/>
          <w:sz w:val="16"/>
          <w:szCs w:val="16"/>
          <w:lang w:val="es"/>
        </w:rPr>
      </w:pPr>
      <w:r w:rsidRPr="009D73B5">
        <w:rPr>
          <w:rFonts w:eastAsia="Arial" w:cs="Arial"/>
          <w:b/>
          <w:bCs/>
          <w:color w:val="000000" w:themeColor="text1"/>
          <w:sz w:val="16"/>
          <w:szCs w:val="16"/>
          <w:lang w:val="es"/>
        </w:rPr>
        <w:t>Fuente: IGAC. Dirección de Gestión de la Información Geográfica</w:t>
      </w:r>
    </w:p>
    <w:p w14:paraId="0A396A66" w14:textId="77777777" w:rsidR="007B7514" w:rsidRPr="009D73B5" w:rsidRDefault="007B7514" w:rsidP="007B7514">
      <w:pPr>
        <w:jc w:val="both"/>
        <w:rPr>
          <w:rFonts w:eastAsia="Arial" w:cs="Arial"/>
          <w:b/>
          <w:bCs/>
          <w:color w:val="000000" w:themeColor="text1"/>
          <w:sz w:val="16"/>
          <w:szCs w:val="16"/>
          <w:lang w:val="es"/>
        </w:rPr>
      </w:pPr>
      <w:r w:rsidRPr="009D73B5">
        <w:rPr>
          <w:rFonts w:eastAsia="Arial" w:cs="Arial"/>
          <w:b/>
          <w:bCs/>
          <w:color w:val="000000" w:themeColor="text1"/>
          <w:sz w:val="16"/>
          <w:szCs w:val="16"/>
          <w:lang w:val="es"/>
        </w:rPr>
        <w:t xml:space="preserve"> </w:t>
      </w:r>
    </w:p>
    <w:p w14:paraId="57B382CD" w14:textId="77777777" w:rsidR="007B7514" w:rsidRDefault="007B7514" w:rsidP="007B7514">
      <w:pPr>
        <w:jc w:val="both"/>
      </w:pPr>
    </w:p>
    <w:p w14:paraId="1CADD1B6" w14:textId="77777777" w:rsidR="007B7514" w:rsidRDefault="007B7514" w:rsidP="007B7514">
      <w:pPr>
        <w:jc w:val="both"/>
      </w:pPr>
      <w:r w:rsidRPr="31FF9146">
        <w:rPr>
          <w:rFonts w:eastAsia="Arial" w:cs="Arial"/>
          <w:color w:val="000000" w:themeColor="text1"/>
          <w:sz w:val="22"/>
          <w:szCs w:val="22"/>
        </w:rPr>
        <w:t>Durante el tercer trimestre, se finalizó el capítulo 3 de la actualización del Atlas de Colombia y se avanzó en el capítulo 4. Se realizó la solicitud al Instituto Colombiano de Antropología e Historia - ICANH, sobre el listado de los sitios arqueológicos del país actualizados al año 2021 en formato geográfico.</w:t>
      </w:r>
    </w:p>
    <w:p w14:paraId="5352E16C" w14:textId="77777777" w:rsidR="007B7514" w:rsidRDefault="007B7514" w:rsidP="007B7514">
      <w:pPr>
        <w:jc w:val="both"/>
        <w:rPr>
          <w:rFonts w:eastAsia="Arial" w:cs="Arial"/>
          <w:i/>
          <w:iCs/>
          <w:color w:val="2F5496"/>
          <w:sz w:val="22"/>
          <w:szCs w:val="22"/>
          <w:lang w:val="es"/>
        </w:rPr>
      </w:pPr>
      <w:r w:rsidRPr="31FF9146">
        <w:rPr>
          <w:rFonts w:eastAsia="Arial" w:cs="Arial"/>
          <w:i/>
          <w:iCs/>
          <w:color w:val="2F5496"/>
          <w:sz w:val="22"/>
          <w:szCs w:val="22"/>
          <w:lang w:val="es"/>
        </w:rPr>
        <w:t xml:space="preserve"> </w:t>
      </w:r>
    </w:p>
    <w:p w14:paraId="4FF46853" w14:textId="77777777" w:rsidR="00E60845" w:rsidRDefault="00E60845" w:rsidP="007B7514">
      <w:pPr>
        <w:jc w:val="both"/>
        <w:rPr>
          <w:rFonts w:eastAsia="Arial" w:cs="Arial"/>
          <w:i/>
          <w:iCs/>
          <w:color w:val="2F5496"/>
          <w:sz w:val="22"/>
          <w:szCs w:val="22"/>
          <w:lang w:val="es"/>
        </w:rPr>
      </w:pPr>
    </w:p>
    <w:p w14:paraId="0492592F" w14:textId="77777777" w:rsidR="00EE1484" w:rsidRPr="00EE1484" w:rsidRDefault="00EE1484" w:rsidP="00EE1484">
      <w:pPr>
        <w:jc w:val="both"/>
      </w:pPr>
    </w:p>
    <w:p w14:paraId="6412AD4B" w14:textId="77777777" w:rsidR="00581D98" w:rsidRDefault="00581D98" w:rsidP="007B7514">
      <w:pPr>
        <w:jc w:val="both"/>
      </w:pPr>
    </w:p>
    <w:p w14:paraId="2D9ECFD1" w14:textId="77777777" w:rsidR="007B7514" w:rsidRDefault="007B7514" w:rsidP="007B7514">
      <w:pPr>
        <w:rPr>
          <w:rFonts w:eastAsia="Arial"/>
          <w:i/>
          <w:iCs/>
          <w:lang w:val="es-MX"/>
        </w:rPr>
      </w:pPr>
    </w:p>
    <w:p w14:paraId="409747C3" w14:textId="77777777" w:rsidR="007B7514" w:rsidRPr="00581D98" w:rsidRDefault="007B7514" w:rsidP="007B7514">
      <w:pPr>
        <w:rPr>
          <w:b/>
          <w:sz w:val="22"/>
          <w:szCs w:val="22"/>
        </w:rPr>
      </w:pPr>
      <w:r w:rsidRPr="00581D98">
        <w:rPr>
          <w:rFonts w:eastAsia="Arial"/>
          <w:b/>
          <w:sz w:val="22"/>
          <w:szCs w:val="22"/>
          <w:lang w:val="es-MX"/>
        </w:rPr>
        <w:t>APOYO AL ORDENAMIENTO TERRITORIAL DEL PAÍS.</w:t>
      </w:r>
    </w:p>
    <w:p w14:paraId="06A8DE95" w14:textId="77777777" w:rsidR="007B7514" w:rsidRDefault="007B7514" w:rsidP="007B7514">
      <w:pPr>
        <w:jc w:val="both"/>
      </w:pPr>
      <w:r w:rsidRPr="31FF9146">
        <w:rPr>
          <w:rFonts w:eastAsia="Arial" w:cs="Arial"/>
          <w:color w:val="000000" w:themeColor="text1"/>
          <w:sz w:val="22"/>
          <w:szCs w:val="22"/>
        </w:rPr>
        <w:t xml:space="preserve"> </w:t>
      </w:r>
    </w:p>
    <w:p w14:paraId="176FAC55" w14:textId="77777777" w:rsidR="007B7514" w:rsidRDefault="007B7514" w:rsidP="007B7514">
      <w:pPr>
        <w:jc w:val="both"/>
      </w:pPr>
      <w:r w:rsidRPr="31FF9146">
        <w:rPr>
          <w:rFonts w:eastAsia="Arial" w:cs="Arial"/>
          <w:color w:val="000000" w:themeColor="text1"/>
          <w:sz w:val="22"/>
          <w:szCs w:val="22"/>
        </w:rPr>
        <w:t>Ante la importancia que reviste el ordenamiento territorial en el país y teniendo en cuenta las labores misionales de la dirección general y la dirección de gestión de información geográfica en la materia, que se resumen en generación de lineamientos metodológicos, asistencia técnica a los entes territoriales y participación en las Comisiones de ordenamiento Territorial de acuerdo con lo dispuesto en la Ley 1454 de 2011.</w:t>
      </w:r>
    </w:p>
    <w:p w14:paraId="3233072E" w14:textId="77777777" w:rsidR="007B7514" w:rsidRDefault="007B7514" w:rsidP="007B7514">
      <w:pPr>
        <w:jc w:val="both"/>
      </w:pPr>
      <w:r w:rsidRPr="31FF9146">
        <w:rPr>
          <w:rFonts w:eastAsia="Arial" w:cs="Arial"/>
          <w:color w:val="000000" w:themeColor="text1"/>
          <w:sz w:val="22"/>
          <w:szCs w:val="22"/>
        </w:rPr>
        <w:t xml:space="preserve"> </w:t>
      </w:r>
    </w:p>
    <w:p w14:paraId="6AA7426E" w14:textId="77777777" w:rsidR="007B7514" w:rsidRDefault="007B7514" w:rsidP="007B7514">
      <w:pPr>
        <w:jc w:val="both"/>
      </w:pPr>
      <w:r w:rsidRPr="31FF9146">
        <w:rPr>
          <w:rFonts w:eastAsia="Arial" w:cs="Arial"/>
          <w:color w:val="000000" w:themeColor="text1"/>
          <w:sz w:val="22"/>
          <w:szCs w:val="22"/>
        </w:rPr>
        <w:t>En este marco, como primer gran eje de trabajo, en materia de Planes de Ordenamiento Territorial (POT), desde el IGAC durante el año 2020 y en lo corrido del año 2021, se ha logrado establecer:</w:t>
      </w:r>
    </w:p>
    <w:p w14:paraId="2DAC642F" w14:textId="77777777" w:rsidR="007B7514" w:rsidRDefault="007B7514" w:rsidP="007B7514">
      <w:pPr>
        <w:jc w:val="both"/>
      </w:pPr>
      <w:r w:rsidRPr="31FF9146">
        <w:rPr>
          <w:rFonts w:eastAsia="Arial" w:cs="Arial"/>
          <w:color w:val="000000" w:themeColor="text1"/>
          <w:sz w:val="22"/>
          <w:szCs w:val="22"/>
        </w:rPr>
        <w:t xml:space="preserve"> </w:t>
      </w:r>
    </w:p>
    <w:p w14:paraId="498C19F8"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
        </w:rPr>
        <w:t>Lineamientos para el uso de la información geográfica en el desarrollo del componente rural de los planes de ordenamiento territorial - POT</w:t>
      </w:r>
    </w:p>
    <w:p w14:paraId="1ECD1018"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
        </w:rPr>
        <w:t>Lineamientos de uso de la información geográfica para formulación de Plan de Ordenamiento Departamental</w:t>
      </w:r>
    </w:p>
    <w:p w14:paraId="3BEF29C2"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
        </w:rPr>
        <w:t>Lineamientos técnicos para la caracterización territorial municipal.</w:t>
      </w:r>
    </w:p>
    <w:p w14:paraId="6121C46D" w14:textId="77777777" w:rsidR="007B7514" w:rsidRDefault="007B7514" w:rsidP="000A20EE">
      <w:pPr>
        <w:pStyle w:val="Prrafodelista"/>
        <w:numPr>
          <w:ilvl w:val="0"/>
          <w:numId w:val="207"/>
        </w:numPr>
        <w:rPr>
          <w:rFonts w:eastAsia="Arial" w:cs="Arial"/>
          <w:color w:val="000000" w:themeColor="text1"/>
        </w:rPr>
      </w:pPr>
      <w:r w:rsidRPr="31FF9146">
        <w:rPr>
          <w:rFonts w:eastAsia="Arial" w:cs="Arial"/>
          <w:color w:val="000000" w:themeColor="text1"/>
          <w:lang w:val="es"/>
        </w:rPr>
        <w:t>Recomendaciones para el proceso de revisión y ajuste de los POT</w:t>
      </w:r>
    </w:p>
    <w:p w14:paraId="67797857" w14:textId="77777777" w:rsidR="007B7514" w:rsidRDefault="007B7514" w:rsidP="007B7514">
      <w:pPr>
        <w:jc w:val="both"/>
      </w:pPr>
      <w:r w:rsidRPr="31FF9146">
        <w:rPr>
          <w:rFonts w:ascii="Calibri" w:eastAsia="Calibri" w:hAnsi="Calibri" w:cs="Calibri"/>
          <w:color w:val="000000" w:themeColor="text1"/>
          <w:sz w:val="22"/>
          <w:szCs w:val="22"/>
          <w:lang w:val="es"/>
        </w:rPr>
        <w:t xml:space="preserve"> </w:t>
      </w:r>
    </w:p>
    <w:p w14:paraId="3A0A8D47" w14:textId="77777777" w:rsidR="007B7514" w:rsidRDefault="007B7514" w:rsidP="007B7514">
      <w:pPr>
        <w:jc w:val="both"/>
      </w:pPr>
      <w:r w:rsidRPr="31FF9146">
        <w:rPr>
          <w:rFonts w:eastAsia="Arial" w:cs="Arial"/>
          <w:color w:val="000000" w:themeColor="text1"/>
          <w:sz w:val="22"/>
          <w:szCs w:val="22"/>
        </w:rPr>
        <w:t>En cuanto a lineamientos técnicos durante el año 2021, se realizó la construcción del documento de Especificaciones Técnicas - ET para la cartografía de los instrumentos de ordenamiento territorial, teniendo en cuenta el objeto y alcance, las fuentes de información y responsables y los lineamientos técnicos como nivel de detalle, tipo de representación, parámetros de calidad, entre otros.  Adicionalmente, se avanzó en la elaboración de la primera versión general del documento de carácter normativo, que entregará la ET, el cual se complementa con la identificación del catálogo de objetos y catálogo de representación.</w:t>
      </w:r>
    </w:p>
    <w:p w14:paraId="41DAB74E" w14:textId="77777777" w:rsidR="007B7514" w:rsidRDefault="007B7514" w:rsidP="007B7514">
      <w:pPr>
        <w:jc w:val="both"/>
      </w:pPr>
    </w:p>
    <w:p w14:paraId="7EB7155B" w14:textId="77777777" w:rsidR="007B7514" w:rsidRDefault="007B7514" w:rsidP="007B7514">
      <w:pPr>
        <w:jc w:val="both"/>
      </w:pPr>
      <w:r w:rsidRPr="31FF9146">
        <w:rPr>
          <w:rFonts w:eastAsia="Arial" w:cs="Arial"/>
          <w:color w:val="000000" w:themeColor="text1"/>
          <w:sz w:val="22"/>
          <w:szCs w:val="22"/>
          <w:lang w:val="es"/>
        </w:rPr>
        <w:t>En el mismo marco de lo anterior, se ha participado en las mesas de trabajo del módulo de POT del modelo LADM, realizando aportes al diseño del modelo en la definición de unidades espaciales e implementando como casos piloto los municipios de Valencia Córdoba y Villavicencio en el departamento del Meta y la identificación de Derechos, Restricciones y Responsabilidades.</w:t>
      </w:r>
    </w:p>
    <w:p w14:paraId="50BB4516" w14:textId="77777777" w:rsidR="007B7514" w:rsidRDefault="007B7514" w:rsidP="007B7514">
      <w:pPr>
        <w:jc w:val="both"/>
      </w:pPr>
    </w:p>
    <w:p w14:paraId="3B562EBD" w14:textId="77777777" w:rsidR="007B7514" w:rsidRDefault="007B7514" w:rsidP="007B7514">
      <w:pPr>
        <w:jc w:val="both"/>
      </w:pPr>
      <w:r w:rsidRPr="31FF9146">
        <w:rPr>
          <w:rFonts w:eastAsia="Arial" w:cs="Arial"/>
          <w:color w:val="000000" w:themeColor="text1"/>
          <w:sz w:val="22"/>
          <w:szCs w:val="22"/>
          <w:lang w:val="es"/>
        </w:rPr>
        <w:t>Por su lado, en articulación con el proyecto de caracterizaciones territoriales y ante la importancia que revierte la información producto de los análisis de POT para lo diferentes usuarios, se han consolidado y publicado en CeM los siguientes servicios:</w:t>
      </w:r>
    </w:p>
    <w:p w14:paraId="744BE904" w14:textId="77777777" w:rsidR="007B7514" w:rsidRDefault="007B7514" w:rsidP="007B7514">
      <w:pPr>
        <w:jc w:val="both"/>
      </w:pPr>
      <w:r w:rsidRPr="31FF9146">
        <w:rPr>
          <w:rFonts w:eastAsia="Arial" w:cs="Arial"/>
          <w:color w:val="000000" w:themeColor="text1"/>
          <w:sz w:val="22"/>
          <w:szCs w:val="22"/>
          <w:lang w:val="es"/>
        </w:rPr>
        <w:t xml:space="preserve"> </w:t>
      </w:r>
    </w:p>
    <w:p w14:paraId="1F372EEC" w14:textId="77777777" w:rsidR="007B7514" w:rsidRDefault="007B7514" w:rsidP="007B7514">
      <w:pPr>
        <w:ind w:left="360" w:hanging="360"/>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 xml:space="preserve">Estado actual de los Planes de ordenamiento territorial: </w:t>
      </w:r>
      <w:hyperlink r:id="rId67">
        <w:r w:rsidRPr="31FF9146">
          <w:rPr>
            <w:rStyle w:val="Hipervnculo"/>
            <w:rFonts w:ascii="Calibri" w:eastAsia="Calibri" w:hAnsi="Calibri" w:cs="Calibri"/>
            <w:sz w:val="22"/>
            <w:szCs w:val="22"/>
          </w:rPr>
          <w:t>https://bit.ly/3F6cNsu</w:t>
        </w:r>
      </w:hyperlink>
      <w:r w:rsidRPr="31FF9146">
        <w:rPr>
          <w:rFonts w:ascii="Calibri" w:eastAsia="Calibri" w:hAnsi="Calibri" w:cs="Calibri"/>
          <w:color w:val="0000FF"/>
          <w:sz w:val="22"/>
          <w:szCs w:val="22"/>
          <w:u w:val="single"/>
        </w:rPr>
        <w:t>.</w:t>
      </w:r>
    </w:p>
    <w:p w14:paraId="230FDFF0" w14:textId="77777777" w:rsidR="007B7514" w:rsidRDefault="007B7514" w:rsidP="007B7514">
      <w:pPr>
        <w:ind w:left="360" w:hanging="360"/>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Estado actual de los Planes de ordenamiento departamental:</w:t>
      </w:r>
      <w:r w:rsidRPr="31FF9146">
        <w:rPr>
          <w:rFonts w:ascii="Calibri" w:eastAsia="Calibri" w:hAnsi="Calibri" w:cs="Calibri"/>
          <w:color w:val="000000" w:themeColor="text1"/>
          <w:sz w:val="22"/>
          <w:szCs w:val="22"/>
        </w:rPr>
        <w:t xml:space="preserve"> </w:t>
      </w:r>
      <w:hyperlink r:id="rId68">
        <w:r w:rsidRPr="31FF9146">
          <w:rPr>
            <w:rStyle w:val="Hipervnculo"/>
            <w:rFonts w:ascii="Calibri" w:eastAsia="Calibri" w:hAnsi="Calibri" w:cs="Calibri"/>
            <w:sz w:val="22"/>
            <w:szCs w:val="22"/>
          </w:rPr>
          <w:t>https://bit.ly/3wyIEzc</w:t>
        </w:r>
      </w:hyperlink>
    </w:p>
    <w:p w14:paraId="330EC99D" w14:textId="77777777" w:rsidR="007B7514" w:rsidRDefault="007B7514" w:rsidP="007B7514">
      <w:pPr>
        <w:ind w:left="360" w:hanging="360"/>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ascii="Calibri" w:eastAsia="Calibri" w:hAnsi="Calibri" w:cs="Calibri"/>
          <w:color w:val="000000" w:themeColor="text1"/>
          <w:sz w:val="22"/>
          <w:szCs w:val="22"/>
        </w:rPr>
        <w:t>Cl</w:t>
      </w:r>
      <w:r w:rsidRPr="31FF9146">
        <w:rPr>
          <w:rFonts w:eastAsia="Arial" w:cs="Arial"/>
          <w:color w:val="000000" w:themeColor="text1"/>
          <w:sz w:val="22"/>
          <w:szCs w:val="22"/>
        </w:rPr>
        <w:t xml:space="preserve">asificación del suelo: </w:t>
      </w:r>
      <w:hyperlink r:id="rId69">
        <w:r w:rsidRPr="31FF9146">
          <w:rPr>
            <w:rStyle w:val="Hipervnculo"/>
            <w:rFonts w:eastAsia="Arial" w:cs="Arial"/>
            <w:sz w:val="22"/>
            <w:szCs w:val="22"/>
          </w:rPr>
          <w:t>https://bit.ly/3n0ibHr</w:t>
        </w:r>
      </w:hyperlink>
    </w:p>
    <w:p w14:paraId="59595431" w14:textId="77777777" w:rsidR="007B7514" w:rsidRDefault="007B7514" w:rsidP="007B7514">
      <w:pPr>
        <w:ind w:left="360" w:hanging="360"/>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 xml:space="preserve">Zonificación de usos urbanos y rurales: </w:t>
      </w:r>
      <w:hyperlink r:id="rId70">
        <w:r w:rsidRPr="31FF9146">
          <w:rPr>
            <w:rStyle w:val="Hipervnculo"/>
            <w:rFonts w:eastAsia="Arial" w:cs="Arial"/>
            <w:sz w:val="22"/>
            <w:szCs w:val="22"/>
          </w:rPr>
          <w:t>https://bit.ly/3n0iCBz</w:t>
        </w:r>
      </w:hyperlink>
      <w:r w:rsidRPr="31FF9146">
        <w:rPr>
          <w:rFonts w:eastAsia="Arial" w:cs="Arial"/>
          <w:color w:val="000000" w:themeColor="text1"/>
          <w:sz w:val="22"/>
          <w:szCs w:val="22"/>
        </w:rPr>
        <w:t xml:space="preserve"> y </w:t>
      </w:r>
      <w:hyperlink r:id="rId71">
        <w:r w:rsidRPr="31FF9146">
          <w:rPr>
            <w:rStyle w:val="Hipervnculo"/>
            <w:rFonts w:eastAsia="Arial" w:cs="Arial"/>
            <w:sz w:val="22"/>
            <w:szCs w:val="22"/>
          </w:rPr>
          <w:t>https://bit.ly/2YysnxH</w:t>
        </w:r>
      </w:hyperlink>
      <w:r w:rsidRPr="31FF9146">
        <w:rPr>
          <w:rFonts w:eastAsia="Arial" w:cs="Arial"/>
          <w:color w:val="000000" w:themeColor="text1"/>
          <w:sz w:val="22"/>
          <w:szCs w:val="22"/>
        </w:rPr>
        <w:t>.</w:t>
      </w:r>
    </w:p>
    <w:p w14:paraId="52FFB291" w14:textId="77777777" w:rsidR="007B7514" w:rsidRPr="00B93C20" w:rsidRDefault="007B7514" w:rsidP="000A20EE">
      <w:pPr>
        <w:pStyle w:val="Prrafodelista"/>
        <w:numPr>
          <w:ilvl w:val="0"/>
          <w:numId w:val="213"/>
        </w:numPr>
        <w:ind w:left="284" w:hanging="284"/>
        <w:rPr>
          <w:rFonts w:eastAsia="Arial" w:cs="Arial"/>
          <w:color w:val="000000" w:themeColor="text1"/>
        </w:rPr>
      </w:pPr>
      <w:r w:rsidRPr="00B93C20">
        <w:rPr>
          <w:rFonts w:eastAsia="Arial" w:cs="Arial"/>
          <w:color w:val="000000" w:themeColor="text1"/>
        </w:rPr>
        <w:t xml:space="preserve">Unidades de intervención: </w:t>
      </w:r>
      <w:hyperlink r:id="rId72">
        <w:r w:rsidRPr="00B93C20">
          <w:rPr>
            <w:rStyle w:val="Hipervnculo"/>
            <w:rFonts w:eastAsia="Arial" w:cs="Arial"/>
          </w:rPr>
          <w:t>https://bit.ly/3ojeMmy</w:t>
        </w:r>
      </w:hyperlink>
    </w:p>
    <w:p w14:paraId="36724B8E" w14:textId="77777777" w:rsidR="007B7514" w:rsidRDefault="007B7514" w:rsidP="007B7514">
      <w:pPr>
        <w:jc w:val="both"/>
      </w:pPr>
    </w:p>
    <w:p w14:paraId="59C9491F" w14:textId="77777777" w:rsidR="007B7514" w:rsidRDefault="007B7514" w:rsidP="007B7514">
      <w:pPr>
        <w:spacing w:line="240" w:lineRule="exact"/>
        <w:jc w:val="both"/>
      </w:pPr>
      <w:r w:rsidRPr="31FF9146">
        <w:rPr>
          <w:rFonts w:eastAsia="Arial" w:cs="Arial"/>
          <w:color w:val="000000" w:themeColor="text1"/>
          <w:sz w:val="22"/>
          <w:szCs w:val="22"/>
        </w:rPr>
        <w:t>Como segundo eje de trabajo el IGAC participa activamente, a través de la Dirección de gestión de información Geográfica en la Comisión de Ordenamiento Territorial nacional y su plan de acción anual que para los años 2020 y 2021 tiene como ejes centrales la formulación de la Política General de ordenamiento territorial – PGOT y la creación y diseño del Observatorio de ordenamiento territorial.</w:t>
      </w:r>
    </w:p>
    <w:p w14:paraId="1A070F7E" w14:textId="77777777" w:rsidR="007B7514" w:rsidRDefault="007B7514" w:rsidP="007B7514">
      <w:pPr>
        <w:spacing w:line="240" w:lineRule="exact"/>
        <w:jc w:val="both"/>
      </w:pPr>
      <w:r w:rsidRPr="31FF9146">
        <w:rPr>
          <w:rFonts w:ascii="Calibri" w:eastAsia="Calibri" w:hAnsi="Calibri" w:cs="Calibri"/>
          <w:color w:val="000000" w:themeColor="text1"/>
          <w:sz w:val="22"/>
          <w:szCs w:val="22"/>
        </w:rPr>
        <w:t xml:space="preserve"> </w:t>
      </w:r>
    </w:p>
    <w:p w14:paraId="1BEA1776" w14:textId="77777777" w:rsidR="007B7514" w:rsidRDefault="007B7514" w:rsidP="007B7514">
      <w:pPr>
        <w:spacing w:line="240" w:lineRule="exact"/>
        <w:jc w:val="both"/>
      </w:pPr>
      <w:r w:rsidRPr="31FF9146">
        <w:rPr>
          <w:rFonts w:eastAsia="Arial" w:cs="Arial"/>
          <w:color w:val="000000" w:themeColor="text1"/>
          <w:sz w:val="22"/>
          <w:szCs w:val="22"/>
        </w:rPr>
        <w:lastRenderedPageBreak/>
        <w:t>En materia del Observatorio de Ordenamiento Territorial - OOT, se ha participado en el Decreto reglamentario del artículo 38 de la Ley 2079 de 2021, Ley de vivienda, el cual insta al gobierno nacional a crear el OOT y plantea que la base geográfica, así como la plataforma tecnología estará a cargo del IGAC. En la actualidad existe una versión del documento normativo en donde se definen las diferentes instancias y funciones de las entidades y en donde el IGAC, se plantea como Gerente técnico del OOT.</w:t>
      </w:r>
    </w:p>
    <w:p w14:paraId="7E92D6AA" w14:textId="77777777" w:rsidR="007B7514" w:rsidRDefault="007B7514" w:rsidP="007B7514">
      <w:pPr>
        <w:spacing w:line="240" w:lineRule="exact"/>
        <w:jc w:val="both"/>
      </w:pPr>
      <w:r w:rsidRPr="31FF9146">
        <w:rPr>
          <w:rFonts w:eastAsia="Arial" w:cs="Arial"/>
          <w:color w:val="000000" w:themeColor="text1"/>
          <w:sz w:val="22"/>
          <w:szCs w:val="22"/>
        </w:rPr>
        <w:t xml:space="preserve"> </w:t>
      </w:r>
    </w:p>
    <w:p w14:paraId="62423EED" w14:textId="77777777" w:rsidR="007B7514" w:rsidRDefault="007B7514" w:rsidP="007B7514">
      <w:pPr>
        <w:spacing w:line="240" w:lineRule="exact"/>
        <w:jc w:val="both"/>
        <w:rPr>
          <w:rFonts w:cs="Tahoma"/>
          <w:color w:val="000000" w:themeColor="text1"/>
          <w:sz w:val="20"/>
          <w:szCs w:val="20"/>
        </w:rPr>
      </w:pPr>
      <w:r w:rsidRPr="31FF9146">
        <w:rPr>
          <w:rFonts w:eastAsia="Arial" w:cs="Arial"/>
          <w:color w:val="000000" w:themeColor="text1"/>
          <w:sz w:val="22"/>
          <w:szCs w:val="22"/>
        </w:rPr>
        <w:t>En línea con lo anterior, y teniendo en cuenta el artículo 37 de la Ley 2079 de 2021 y como complemento a la labor iniciada en el año 2019, durante la vigencia 2020 y 2021, se logró la consolidación de documentos de planes de ordenamiento territorial de 1050 entidades territoriales, incluyendo territorios sin definición oficial y se ha estructurado una base de datos con los registros de cada uno de los documentos y cartografía que componen dichos instrumentos, parametrizando y depurando la información para que pueda ser publicada.</w:t>
      </w:r>
    </w:p>
    <w:p w14:paraId="2274FE04" w14:textId="77777777" w:rsidR="007B7514" w:rsidRDefault="007B7514" w:rsidP="007B7514">
      <w:pPr>
        <w:spacing w:line="240" w:lineRule="exact"/>
        <w:jc w:val="both"/>
      </w:pPr>
      <w:r w:rsidRPr="31FF9146">
        <w:rPr>
          <w:rFonts w:eastAsia="Arial" w:cs="Arial"/>
          <w:color w:val="000000" w:themeColor="text1"/>
          <w:sz w:val="22"/>
          <w:szCs w:val="22"/>
        </w:rPr>
        <w:t xml:space="preserve"> </w:t>
      </w:r>
    </w:p>
    <w:p w14:paraId="7D4192DA" w14:textId="77777777" w:rsidR="007B7514" w:rsidRDefault="007B7514" w:rsidP="007B7514">
      <w:pPr>
        <w:spacing w:line="240" w:lineRule="exact"/>
        <w:jc w:val="both"/>
      </w:pPr>
      <w:r w:rsidRPr="31FF9146">
        <w:rPr>
          <w:rFonts w:eastAsia="Arial" w:cs="Arial"/>
          <w:color w:val="000000" w:themeColor="text1"/>
          <w:sz w:val="22"/>
          <w:szCs w:val="22"/>
        </w:rPr>
        <w:t>Asimismo, durante el segundo semestre del 2021 se ha generado una alianza estratégica con la Gobernación de Antioquia y la Corporación Autónoma regional de Antioquia – Corantioquia, que permita mejorar y optimizar la gestión de información de 80 municipios del departamento de Antioquia, a través de eventos de capacitación y fortalecimiento institucional de las secretarias de planeación municipales.</w:t>
      </w:r>
    </w:p>
    <w:p w14:paraId="57ABA643" w14:textId="77777777" w:rsidR="007B7514" w:rsidRDefault="007B7514" w:rsidP="007B7514">
      <w:pPr>
        <w:jc w:val="both"/>
      </w:pPr>
      <w:r w:rsidRPr="31FF9146">
        <w:rPr>
          <w:rFonts w:eastAsia="Arial" w:cs="Arial"/>
          <w:color w:val="000000" w:themeColor="text1"/>
          <w:sz w:val="22"/>
          <w:szCs w:val="22"/>
        </w:rPr>
        <w:t xml:space="preserve"> </w:t>
      </w:r>
    </w:p>
    <w:p w14:paraId="6F1635EC" w14:textId="77777777" w:rsidR="007B7514" w:rsidRDefault="007B7514" w:rsidP="007B7514">
      <w:pPr>
        <w:jc w:val="both"/>
      </w:pPr>
      <w:r w:rsidRPr="31FF9146">
        <w:rPr>
          <w:rFonts w:eastAsia="Arial" w:cs="Arial"/>
          <w:color w:val="000000" w:themeColor="text1"/>
          <w:sz w:val="22"/>
          <w:szCs w:val="22"/>
        </w:rPr>
        <w:t xml:space="preserve">Adicionalmente, se realizó el diseño y desarrollo de la versión 1.0 de Colombia OT, dispuesta en la URL: </w:t>
      </w:r>
      <w:hyperlink r:id="rId73">
        <w:r w:rsidRPr="31FF9146">
          <w:rPr>
            <w:rStyle w:val="Hipervnculo"/>
            <w:rFonts w:eastAsia="Arial" w:cs="Arial"/>
            <w:sz w:val="22"/>
            <w:szCs w:val="22"/>
            <w:lang w:val="es"/>
          </w:rPr>
          <w:t>www.colombiaot.gov.co</w:t>
        </w:r>
      </w:hyperlink>
      <w:r w:rsidRPr="31FF9146">
        <w:rPr>
          <w:rFonts w:eastAsia="Arial" w:cs="Arial"/>
          <w:color w:val="0000FF"/>
          <w:sz w:val="22"/>
          <w:szCs w:val="22"/>
          <w:u w:val="single"/>
        </w:rPr>
        <w:t xml:space="preserve">. </w:t>
      </w:r>
      <w:r w:rsidRPr="31FF9146">
        <w:rPr>
          <w:rFonts w:eastAsia="Arial" w:cs="Arial"/>
          <w:color w:val="000000" w:themeColor="text1"/>
          <w:sz w:val="22"/>
          <w:szCs w:val="22"/>
        </w:rPr>
        <w:t>, la cual es una plataforma que busca mejorar tres aspectos fundamentales del proceso de construcción y disposición de instrumentos de ordenamiento territorial: 1) El proceso de carga de información OT del país 2) La experiencia de navegación y consulta de los datos disponibles y 3) La claridad y experiencia de usuario de los municipios con las herramientas dispuestas para desarrollar sus POT. (ver Figura 11)</w:t>
      </w:r>
    </w:p>
    <w:p w14:paraId="421F99EB" w14:textId="77777777" w:rsidR="00954BB1" w:rsidRPr="00954BB1" w:rsidRDefault="007B7514" w:rsidP="00954BB1">
      <w:pPr>
        <w:jc w:val="both"/>
        <w:rPr>
          <w:rFonts w:eastAsia="Arial" w:cs="Arial"/>
          <w:color w:val="000000" w:themeColor="text1"/>
        </w:rPr>
      </w:pPr>
      <w:r w:rsidRPr="31FF9146">
        <w:rPr>
          <w:rFonts w:eastAsia="Arial" w:cs="Arial"/>
          <w:color w:val="000000" w:themeColor="text1"/>
        </w:rPr>
        <w:t xml:space="preserve"> </w:t>
      </w:r>
    </w:p>
    <w:p w14:paraId="5D282CE9" w14:textId="2462B2F4" w:rsidR="0022514C" w:rsidRPr="00C14AB4" w:rsidRDefault="007B7514" w:rsidP="00E45BF8">
      <w:pPr>
        <w:pStyle w:val="Descripcin"/>
        <w:jc w:val="center"/>
        <w:rPr>
          <w:b/>
          <w:bCs/>
          <w:color w:val="000000" w:themeColor="text1"/>
          <w:sz w:val="16"/>
          <w:szCs w:val="16"/>
        </w:rPr>
      </w:pPr>
      <w:bookmarkStart w:id="105" w:name="_Toc88677187"/>
      <w:r w:rsidRPr="00E45BF8">
        <w:rPr>
          <w:rFonts w:ascii="Arial" w:hAnsi="Arial" w:cs="Arial"/>
          <w:b/>
          <w:i w:val="0"/>
          <w:color w:val="000000" w:themeColor="text1"/>
          <w:sz w:val="16"/>
          <w:szCs w:val="16"/>
        </w:rPr>
        <w:t xml:space="preserve">Ilustración </w:t>
      </w:r>
      <w:r w:rsidR="00E45BF8" w:rsidRPr="00E45BF8">
        <w:rPr>
          <w:rFonts w:ascii="Arial" w:hAnsi="Arial" w:cs="Arial"/>
          <w:b/>
          <w:bCs/>
          <w:i w:val="0"/>
          <w:iCs w:val="0"/>
          <w:color w:val="000000" w:themeColor="text1"/>
          <w:sz w:val="16"/>
          <w:szCs w:val="16"/>
        </w:rPr>
        <w:fldChar w:fldCharType="begin"/>
      </w:r>
      <w:r w:rsidR="00E45BF8" w:rsidRPr="00E45BF8">
        <w:rPr>
          <w:rFonts w:ascii="Arial" w:hAnsi="Arial" w:cs="Arial"/>
          <w:b/>
          <w:bCs/>
          <w:i w:val="0"/>
          <w:iCs w:val="0"/>
          <w:color w:val="000000" w:themeColor="text1"/>
          <w:sz w:val="16"/>
          <w:szCs w:val="16"/>
        </w:rPr>
        <w:instrText xml:space="preserve"> SEQ Ilustración \* ARABIC </w:instrText>
      </w:r>
      <w:r w:rsidR="00E45BF8"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31</w:t>
      </w:r>
      <w:r w:rsidR="00E45BF8" w:rsidRPr="00E45BF8">
        <w:rPr>
          <w:rFonts w:ascii="Arial" w:hAnsi="Arial" w:cs="Arial"/>
          <w:b/>
          <w:bCs/>
          <w:i w:val="0"/>
          <w:iCs w:val="0"/>
          <w:color w:val="000000" w:themeColor="text1"/>
          <w:sz w:val="16"/>
          <w:szCs w:val="16"/>
        </w:rPr>
        <w:fldChar w:fldCharType="end"/>
      </w:r>
      <w:r w:rsidR="00E45BF8" w:rsidRPr="00E45BF8">
        <w:rPr>
          <w:rFonts w:ascii="Arial" w:hAnsi="Arial" w:cs="Arial"/>
          <w:b/>
          <w:bCs/>
          <w:i w:val="0"/>
          <w:iCs w:val="0"/>
          <w:color w:val="000000" w:themeColor="text1"/>
          <w:sz w:val="16"/>
          <w:szCs w:val="16"/>
        </w:rPr>
        <w:t>.</w:t>
      </w:r>
      <w:r w:rsidRPr="00E45BF8">
        <w:rPr>
          <w:rFonts w:ascii="Arial" w:hAnsi="Arial" w:cs="Arial"/>
          <w:b/>
          <w:i w:val="0"/>
          <w:color w:val="000000" w:themeColor="text1"/>
          <w:sz w:val="16"/>
          <w:szCs w:val="16"/>
        </w:rPr>
        <w:t xml:space="preserve"> Plataforma Colombia OT</w:t>
      </w:r>
      <w:bookmarkEnd w:id="105"/>
    </w:p>
    <w:p w14:paraId="01A1D0A4" w14:textId="77777777" w:rsidR="007B7514" w:rsidRDefault="007B7514" w:rsidP="007B7514">
      <w:pPr>
        <w:jc w:val="center"/>
      </w:pPr>
      <w:r>
        <w:rPr>
          <w:noProof/>
          <w:lang w:val="es-CO" w:eastAsia="es-CO"/>
        </w:rPr>
        <w:drawing>
          <wp:inline distT="0" distB="0" distL="0" distR="0" wp14:anchorId="5BF92605" wp14:editId="00348209">
            <wp:extent cx="5075258" cy="2476500"/>
            <wp:effectExtent l="0" t="0" r="0" b="0"/>
            <wp:docPr id="291697635" name="Imagen 291697635" descr="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nterfaz de usuario gráfica&#10;&#10;Descripción generada automáticamente"/>
                    <pic:cNvPicPr>
                      <a:picLocks noChangeAspect="1"/>
                    </pic:cNvPicPr>
                  </pic:nvPicPr>
                  <pic:blipFill>
                    <a:blip r:embed="rId74"/>
                    <a:stretch>
                      <a:fillRect/>
                    </a:stretch>
                  </pic:blipFill>
                  <pic:spPr>
                    <a:xfrm>
                      <a:off x="0" y="0"/>
                      <a:ext cx="5082226" cy="2479900"/>
                    </a:xfrm>
                    <a:prstGeom prst="rect">
                      <a:avLst/>
                    </a:prstGeom>
                  </pic:spPr>
                </pic:pic>
              </a:graphicData>
            </a:graphic>
          </wp:inline>
        </w:drawing>
      </w:r>
    </w:p>
    <w:p w14:paraId="37CDD8B4" w14:textId="77777777" w:rsidR="007B7514" w:rsidRPr="00C14AB4" w:rsidRDefault="007B7514" w:rsidP="007B7514">
      <w:pPr>
        <w:jc w:val="center"/>
        <w:rPr>
          <w:rFonts w:eastAsia="Arial" w:cs="Arial"/>
          <w:b/>
          <w:bCs/>
          <w:color w:val="000000" w:themeColor="text1"/>
          <w:sz w:val="16"/>
          <w:szCs w:val="16"/>
          <w:lang w:val="es-MX"/>
        </w:rPr>
      </w:pPr>
      <w:r w:rsidRPr="00C14AB4">
        <w:rPr>
          <w:rFonts w:eastAsia="Arial" w:cs="Arial"/>
          <w:b/>
          <w:bCs/>
          <w:color w:val="000000" w:themeColor="text1"/>
          <w:sz w:val="16"/>
          <w:szCs w:val="16"/>
          <w:lang w:val="es-MX"/>
        </w:rPr>
        <w:t>Fuente: IGAC. Dirección de Gestión de la Información Geográfica</w:t>
      </w:r>
    </w:p>
    <w:p w14:paraId="6EFF42E9" w14:textId="77777777" w:rsidR="007B7514" w:rsidRPr="00C14AB4" w:rsidRDefault="007B7514" w:rsidP="007B7514">
      <w:pPr>
        <w:jc w:val="center"/>
        <w:rPr>
          <w:rFonts w:eastAsia="Arial" w:cs="Arial"/>
          <w:b/>
          <w:bCs/>
          <w:color w:val="000000" w:themeColor="text1"/>
          <w:sz w:val="16"/>
          <w:szCs w:val="16"/>
          <w:lang w:val="es-MX"/>
        </w:rPr>
      </w:pPr>
      <w:r w:rsidRPr="00C14AB4">
        <w:rPr>
          <w:rFonts w:eastAsia="Arial" w:cs="Arial"/>
          <w:b/>
          <w:bCs/>
          <w:color w:val="000000" w:themeColor="text1"/>
          <w:sz w:val="16"/>
          <w:szCs w:val="16"/>
          <w:lang w:val="es-MX"/>
        </w:rPr>
        <w:t xml:space="preserve"> </w:t>
      </w:r>
    </w:p>
    <w:p w14:paraId="51B6E1ED" w14:textId="77777777" w:rsidR="007B7514" w:rsidRDefault="007B7514" w:rsidP="007B7514">
      <w:pPr>
        <w:jc w:val="both"/>
      </w:pPr>
      <w:r w:rsidRPr="31FF9146">
        <w:rPr>
          <w:rFonts w:eastAsia="Arial" w:cs="Arial"/>
          <w:color w:val="000000" w:themeColor="text1"/>
          <w:sz w:val="22"/>
          <w:szCs w:val="22"/>
        </w:rPr>
        <w:t>Colombia OT es el punto de partida, consulta y llegada de quienes necesitan los instrumentos que orientan el desarrollo, la transformación, la ocupación y vocación, del espacio en donde habitamos. Esta plataforma es el punto de encuentro para empoderar y alinear a los entes territoriales en su tarea político-administrativa de gestionar la planeación física y afianzar la identidad dentro de sus límites competentes. Sólo de esta forma logramos una construcción colectiva de país.</w:t>
      </w:r>
    </w:p>
    <w:p w14:paraId="70060F8C" w14:textId="77777777" w:rsidR="007B7514" w:rsidRDefault="007B7514" w:rsidP="007B7514">
      <w:pPr>
        <w:jc w:val="both"/>
      </w:pPr>
      <w:r w:rsidRPr="31FF9146">
        <w:rPr>
          <w:rFonts w:eastAsia="Arial" w:cs="Arial"/>
          <w:color w:val="000000" w:themeColor="text1"/>
          <w:sz w:val="22"/>
          <w:szCs w:val="22"/>
        </w:rPr>
        <w:lastRenderedPageBreak/>
        <w:t xml:space="preserve"> </w:t>
      </w:r>
    </w:p>
    <w:p w14:paraId="338F4E85" w14:textId="77777777" w:rsidR="007B7514" w:rsidRPr="006F0DB2" w:rsidRDefault="007B7514" w:rsidP="007B7514">
      <w:pPr>
        <w:jc w:val="both"/>
        <w:rPr>
          <w:sz w:val="22"/>
          <w:szCs w:val="22"/>
        </w:rPr>
      </w:pPr>
      <w:r w:rsidRPr="006F0DB2">
        <w:rPr>
          <w:rFonts w:eastAsia="Arial" w:cs="Arial"/>
          <w:color w:val="000000" w:themeColor="text1"/>
          <w:sz w:val="22"/>
          <w:szCs w:val="22"/>
        </w:rPr>
        <w:t>En su primera versión, contempla dos funcionalidades:</w:t>
      </w:r>
    </w:p>
    <w:p w14:paraId="1BC40415" w14:textId="77777777" w:rsidR="007B7514" w:rsidRPr="006F0DB2" w:rsidRDefault="007B7514" w:rsidP="007B7514">
      <w:pPr>
        <w:jc w:val="both"/>
        <w:rPr>
          <w:sz w:val="22"/>
          <w:szCs w:val="22"/>
        </w:rPr>
      </w:pPr>
      <w:r w:rsidRPr="006F0DB2">
        <w:rPr>
          <w:rFonts w:eastAsia="Arial" w:cs="Arial"/>
          <w:color w:val="000000" w:themeColor="text1"/>
          <w:sz w:val="22"/>
          <w:szCs w:val="22"/>
        </w:rPr>
        <w:t xml:space="preserve"> </w:t>
      </w:r>
    </w:p>
    <w:p w14:paraId="49DD6335" w14:textId="77777777" w:rsidR="007B7514" w:rsidRPr="006F0DB2" w:rsidRDefault="007B7514" w:rsidP="000A20EE">
      <w:pPr>
        <w:pStyle w:val="Prrafodelista"/>
        <w:numPr>
          <w:ilvl w:val="1"/>
          <w:numId w:val="206"/>
        </w:numPr>
        <w:rPr>
          <w:rFonts w:eastAsia="Arial" w:cs="Arial"/>
          <w:color w:val="000000" w:themeColor="text1"/>
          <w:sz w:val="22"/>
          <w:szCs w:val="22"/>
        </w:rPr>
      </w:pPr>
      <w:r w:rsidRPr="006F0DB2">
        <w:rPr>
          <w:rFonts w:eastAsia="Arial" w:cs="Arial"/>
          <w:color w:val="000000" w:themeColor="text1"/>
          <w:sz w:val="22"/>
          <w:szCs w:val="22"/>
        </w:rPr>
        <w:t>Un docuvisor en donde los usuarios pueden buscar, explorar y descargar toda la entrega documental y cartográfica que realizan los municipios del país en el proceso de elaboración de sus POT. Los ciudadanos pueden navegar esta información – abierta y disponible para todos – a través de filtros temáticos, etapas del POT, y criterios de búsqueda más detallados que se habilitan a medida que la búsqueda avanza. Nuestra visión es que la cartografía de los POT no se limite a una capa de datos, si no, una experiencia geográfica potenciada por Colombia en Mapas.</w:t>
      </w:r>
    </w:p>
    <w:p w14:paraId="4D33D054" w14:textId="77777777" w:rsidR="007B7514" w:rsidRPr="006F0DB2" w:rsidRDefault="007B7514" w:rsidP="007B7514">
      <w:pPr>
        <w:spacing w:line="240" w:lineRule="exact"/>
        <w:jc w:val="both"/>
        <w:rPr>
          <w:sz w:val="22"/>
          <w:szCs w:val="22"/>
        </w:rPr>
      </w:pPr>
      <w:r w:rsidRPr="006F0DB2">
        <w:rPr>
          <w:rFonts w:eastAsia="Arial" w:cs="Arial"/>
          <w:color w:val="000000" w:themeColor="text1"/>
          <w:sz w:val="22"/>
          <w:szCs w:val="22"/>
        </w:rPr>
        <w:t xml:space="preserve"> </w:t>
      </w:r>
    </w:p>
    <w:p w14:paraId="57CC0BD1" w14:textId="0276C382" w:rsidR="007B7514" w:rsidRDefault="007B7514" w:rsidP="000A20EE">
      <w:pPr>
        <w:pStyle w:val="Prrafodelista"/>
        <w:numPr>
          <w:ilvl w:val="1"/>
          <w:numId w:val="206"/>
        </w:numPr>
        <w:rPr>
          <w:rFonts w:eastAsia="Arial" w:cs="Arial"/>
          <w:color w:val="000000" w:themeColor="text1"/>
        </w:rPr>
      </w:pPr>
      <w:r w:rsidRPr="006F0DB2">
        <w:rPr>
          <w:rFonts w:eastAsia="Arial" w:cs="Arial"/>
          <w:color w:val="000000" w:themeColor="text1"/>
          <w:sz w:val="22"/>
          <w:szCs w:val="22"/>
        </w:rPr>
        <w:t>La Ruta del POT es una guía para tomar la dirección adecuada en el proceso de elaboración de un Plan de Ordenamiento Territorial. Este es espacio para que los municipios reciban un apoyo procedimental en los procesos de revisión, ajuste o elaboración de su POT. La Ruta es el resultado de un proceso minucioso que busca dar respuestas a los municipios sobre los posibles obstáculos y dificultades que se encontrarán en el proceso. Siendo así, esta ruta es una forma escalable de dar la información y el acompañamiento necesario – en el momento oportuno – para que los municipios puedan sortear los retos que se presentan en las diferentes etapas del POT. La Ruta contiene, descripciones, definiciones, recursos y ayudas sobre los procesos técnicos y administrativos que debe hacer una administración municipal en el marco del ordenamiento territorial. También incluye los servicios que ofrece la Federación Colombiana de Municipios para contribuir en los procesos de revisión y ajuste.</w:t>
      </w:r>
      <w:r w:rsidRPr="31FF9146">
        <w:rPr>
          <w:rFonts w:eastAsia="Arial" w:cs="Arial"/>
          <w:color w:val="000000" w:themeColor="text1"/>
        </w:rPr>
        <w:t xml:space="preserve"> </w:t>
      </w:r>
    </w:p>
    <w:p w14:paraId="49EE40F1" w14:textId="77777777" w:rsidR="007B7514" w:rsidRDefault="007B7514" w:rsidP="007B7514">
      <w:pPr>
        <w:spacing w:line="240" w:lineRule="exact"/>
        <w:jc w:val="both"/>
      </w:pPr>
      <w:r w:rsidRPr="31FF9146">
        <w:rPr>
          <w:rFonts w:eastAsia="Arial" w:cs="Arial"/>
          <w:color w:val="000000" w:themeColor="text1"/>
          <w:sz w:val="22"/>
          <w:szCs w:val="22"/>
        </w:rPr>
        <w:t xml:space="preserve"> </w:t>
      </w:r>
    </w:p>
    <w:p w14:paraId="543E4C98" w14:textId="77777777" w:rsidR="007B7514" w:rsidRPr="00581D98" w:rsidRDefault="007B7514" w:rsidP="007B7514">
      <w:pPr>
        <w:rPr>
          <w:b/>
          <w:sz w:val="22"/>
          <w:szCs w:val="22"/>
        </w:rPr>
      </w:pPr>
      <w:r w:rsidRPr="00581D98">
        <w:rPr>
          <w:rFonts w:eastAsia="Arial"/>
          <w:b/>
          <w:sz w:val="22"/>
          <w:szCs w:val="22"/>
          <w:lang w:val="es-MX"/>
        </w:rPr>
        <w:t>DICCIONARIO GEOGRÁFICO Y BASE NACIONAL DE NOMBRES GEOGRÁFICOS</w:t>
      </w:r>
    </w:p>
    <w:p w14:paraId="750D4466" w14:textId="77777777" w:rsidR="007B7514" w:rsidRDefault="007B7514" w:rsidP="007B7514">
      <w:pPr>
        <w:jc w:val="both"/>
      </w:pPr>
      <w:r w:rsidRPr="31FF9146">
        <w:rPr>
          <w:rFonts w:eastAsia="Arial" w:cs="Arial"/>
          <w:color w:val="000000" w:themeColor="text1"/>
          <w:sz w:val="22"/>
          <w:szCs w:val="22"/>
        </w:rPr>
        <w:t xml:space="preserve"> </w:t>
      </w:r>
    </w:p>
    <w:p w14:paraId="1905ED73" w14:textId="77777777" w:rsidR="007B7514" w:rsidRDefault="007B7514" w:rsidP="007B7514">
      <w:pPr>
        <w:jc w:val="both"/>
      </w:pPr>
      <w:r w:rsidRPr="31FF9146">
        <w:rPr>
          <w:rFonts w:eastAsia="Arial" w:cs="Arial"/>
          <w:color w:val="000000" w:themeColor="text1"/>
          <w:sz w:val="22"/>
          <w:szCs w:val="22"/>
        </w:rPr>
        <w:t>El IGAC es la autoridad encargada de establecer, mantener y administrar la base de datos de los nombres geográficos o topónimos oficiales del país, los cuales son de utilidad para identificar y localizar los lugares en que se desarrolla cualquier actividad, siendo la base fundamental para los buscadores geográficos.</w:t>
      </w:r>
    </w:p>
    <w:p w14:paraId="137319F0" w14:textId="77777777" w:rsidR="007B7514" w:rsidRDefault="007B7514" w:rsidP="007B7514">
      <w:pPr>
        <w:jc w:val="both"/>
      </w:pPr>
      <w:r w:rsidRPr="31FF9146">
        <w:rPr>
          <w:rFonts w:eastAsia="Arial" w:cs="Arial"/>
          <w:color w:val="000000" w:themeColor="text1"/>
          <w:sz w:val="22"/>
          <w:szCs w:val="22"/>
          <w:lang w:val="es"/>
        </w:rPr>
        <w:t xml:space="preserve"> </w:t>
      </w:r>
    </w:p>
    <w:p w14:paraId="41B6D8C4" w14:textId="77777777" w:rsidR="007B7514" w:rsidRDefault="007B7514" w:rsidP="007B7514">
      <w:pPr>
        <w:jc w:val="both"/>
      </w:pPr>
      <w:r w:rsidRPr="31FF9146">
        <w:rPr>
          <w:rFonts w:eastAsia="Arial" w:cs="Arial"/>
          <w:color w:val="000000" w:themeColor="text1"/>
          <w:sz w:val="22"/>
          <w:szCs w:val="22"/>
        </w:rPr>
        <w:t>Por esta razón, durante el año 2020 se definió e implementó el modelo de la Base Nacional de Nombres Geográficos y se establecieron pautas para integrar los registros asociados al diccionario geográfico y toponimia. Así mismo, se actualizaron 60.000 topónimos correspondientes a reservas naturales de la sociedad civil, equipamientos e infraestructura de todo el país. Además, a octubre de 2021, se consolidó e integró la información de 41.980 registros de nombres geográficos.</w:t>
      </w:r>
    </w:p>
    <w:p w14:paraId="1EA6A31C" w14:textId="77777777" w:rsidR="007B7514" w:rsidRDefault="007B7514" w:rsidP="007B7514">
      <w:pPr>
        <w:jc w:val="both"/>
      </w:pPr>
      <w:r w:rsidRPr="31FF9146">
        <w:rPr>
          <w:rFonts w:eastAsia="Arial" w:cs="Arial"/>
          <w:color w:val="000000" w:themeColor="text1"/>
          <w:sz w:val="22"/>
          <w:szCs w:val="22"/>
        </w:rPr>
        <w:t xml:space="preserve"> </w:t>
      </w:r>
    </w:p>
    <w:p w14:paraId="79CC1CB8" w14:textId="77777777" w:rsidR="007B7514" w:rsidRDefault="007B7514" w:rsidP="007B7514">
      <w:pPr>
        <w:jc w:val="both"/>
      </w:pPr>
      <w:r w:rsidRPr="31FF9146">
        <w:rPr>
          <w:rFonts w:eastAsia="Arial" w:cs="Arial"/>
          <w:color w:val="000000" w:themeColor="text1"/>
          <w:sz w:val="22"/>
          <w:szCs w:val="22"/>
        </w:rPr>
        <w:t>Adicionalmente, y como estrategia para el levantamiento y actualización de topónimos de forma colaborativa y voluntaria, se desarrolló durante la vigencia 2020 y primer semestre de 2021, la aplicación móvil “Colombia en Mapas: El mapa de todos”. Con esta herramienta, el IGAC por primera vez se introduce en el concepto de colaboración y participación para el mantenimiento de sus bases de datos geográficas oficiales.</w:t>
      </w:r>
    </w:p>
    <w:p w14:paraId="2676BDD9" w14:textId="77777777" w:rsidR="007B7514" w:rsidRDefault="007B7514" w:rsidP="007B7514">
      <w:pPr>
        <w:jc w:val="both"/>
      </w:pPr>
      <w:r w:rsidRPr="31FF9146">
        <w:rPr>
          <w:rFonts w:eastAsia="Arial" w:cs="Arial"/>
          <w:color w:val="000000" w:themeColor="text1"/>
          <w:sz w:val="22"/>
          <w:szCs w:val="22"/>
          <w:lang w:val="es"/>
        </w:rPr>
        <w:t xml:space="preserve"> </w:t>
      </w:r>
    </w:p>
    <w:p w14:paraId="345E032D" w14:textId="77777777" w:rsidR="007B7514" w:rsidRDefault="007B7514" w:rsidP="007B7514">
      <w:pPr>
        <w:jc w:val="both"/>
      </w:pPr>
      <w:r w:rsidRPr="31FF9146">
        <w:rPr>
          <w:rFonts w:eastAsia="Arial" w:cs="Arial"/>
          <w:color w:val="000000" w:themeColor="text1"/>
          <w:sz w:val="22"/>
          <w:szCs w:val="22"/>
        </w:rPr>
        <w:t xml:space="preserve">Por otro lado, si bien en los últimos años las acciones se han orientado a la consolidación e incorporación de nombres geográficos en la base oficial, se ha hecho evidente la necesidad de ir trascendiendo progresivamente de una visión cuantitativa de recopilación de nombres geográficos, a una política basada en la interoperabilidad, la disposición y el uso de la </w:t>
      </w:r>
      <w:r w:rsidRPr="31FF9146">
        <w:rPr>
          <w:rFonts w:eastAsia="Arial" w:cs="Arial"/>
          <w:color w:val="000000" w:themeColor="text1"/>
          <w:sz w:val="22"/>
          <w:szCs w:val="22"/>
        </w:rPr>
        <w:lastRenderedPageBreak/>
        <w:t>información. Por tal motivo, se ha venido trabajando en la definición, integración y estructuración de componentes tecnológicos y organizacionales que permitan tener una única base y poblarla conforme a los principios de la Infraestructura Colombiana de Datos Espaciales, permitiendo además su mantenimiento continuo con la colaboración de actores públicos, privados y ciudadanos.</w:t>
      </w:r>
    </w:p>
    <w:p w14:paraId="15ACAAEB" w14:textId="77777777" w:rsidR="007B7514" w:rsidRDefault="007B7514" w:rsidP="007B7514">
      <w:pPr>
        <w:jc w:val="both"/>
      </w:pPr>
      <w:r w:rsidRPr="31FF9146">
        <w:rPr>
          <w:rFonts w:eastAsia="Arial" w:cs="Arial"/>
          <w:color w:val="000000" w:themeColor="text1"/>
          <w:sz w:val="22"/>
          <w:szCs w:val="22"/>
          <w:lang w:val="es"/>
        </w:rPr>
        <w:t xml:space="preserve"> </w:t>
      </w:r>
    </w:p>
    <w:p w14:paraId="7D6E6EE4" w14:textId="584FABA4" w:rsidR="00E45BF8" w:rsidRPr="00833937"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rPr>
        <w:t xml:space="preserve">Adicionalmente, se conceptualizó, diseño y se puso a disposición la nueva versión del Diccionario Geográfico de Colombia (DGC) en </w:t>
      </w:r>
      <w:hyperlink r:id="rId75">
        <w:r w:rsidRPr="31FF9146">
          <w:rPr>
            <w:rStyle w:val="Hipervnculo"/>
            <w:rFonts w:eastAsia="Arial" w:cs="Arial"/>
            <w:sz w:val="22"/>
            <w:szCs w:val="22"/>
            <w:lang w:val="es"/>
          </w:rPr>
          <w:t>https://diccionario.igac.gov.co/</w:t>
        </w:r>
      </w:hyperlink>
      <w:r w:rsidRPr="31FF9146">
        <w:rPr>
          <w:rFonts w:eastAsia="Arial" w:cs="Arial"/>
          <w:color w:val="000000" w:themeColor="text1"/>
          <w:sz w:val="22"/>
          <w:szCs w:val="22"/>
        </w:rPr>
        <w:t xml:space="preserve">, la cual tiene como propósito </w:t>
      </w:r>
      <w:r w:rsidRPr="31FF9146">
        <w:rPr>
          <w:rFonts w:eastAsia="Arial" w:cs="Arial"/>
          <w:color w:val="000000" w:themeColor="text1"/>
          <w:sz w:val="22"/>
          <w:szCs w:val="22"/>
          <w:lang w:val="es"/>
        </w:rPr>
        <w:t xml:space="preserve">llevar la búsqueda de la toponimia del país hacia una experiencia digital. Cientos de páginas de términos y nombres geográficos que hasta hoy estuvieron limitados a volúmenes impresos, ahora están en-línea a un clic de distancia. Más de 200.000 topónimos y términos geográficos expanden los límites de lo que percibimos de nuestro territorio. Conocer la realidad geográfica del país permite entenderlo de una manera más cercana y dimensionar sus riquezas. También, nos da una noción de su historia, de las sociedades que viven en sus regiones, y los significados que se construyen entorno a su paisaje geográfico. </w:t>
      </w:r>
    </w:p>
    <w:p w14:paraId="6EE2F5CA" w14:textId="77777777" w:rsidR="00B36644" w:rsidRPr="00E45BF8" w:rsidRDefault="00B36644" w:rsidP="00B36644">
      <w:pPr>
        <w:jc w:val="both"/>
        <w:rPr>
          <w:rFonts w:cs="Arial"/>
          <w:b/>
          <w:color w:val="000000" w:themeColor="text1"/>
          <w:sz w:val="16"/>
          <w:szCs w:val="16"/>
        </w:rPr>
      </w:pPr>
    </w:p>
    <w:p w14:paraId="01109003" w14:textId="01A06862" w:rsidR="00E45BF8" w:rsidRPr="00E45BF8" w:rsidRDefault="00E45BF8" w:rsidP="00E45BF8">
      <w:pPr>
        <w:pStyle w:val="Descripcin"/>
        <w:jc w:val="center"/>
        <w:rPr>
          <w:rFonts w:ascii="Arial" w:hAnsi="Arial" w:cs="Arial"/>
          <w:b/>
          <w:bCs/>
          <w:i w:val="0"/>
          <w:iCs w:val="0"/>
          <w:color w:val="000000" w:themeColor="text1"/>
          <w:sz w:val="16"/>
          <w:szCs w:val="16"/>
        </w:rPr>
      </w:pPr>
      <w:bookmarkStart w:id="106" w:name="_Toc88677188"/>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32</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Plataforma Diccionario Geográfico</w:t>
      </w:r>
      <w:bookmarkEnd w:id="106"/>
    </w:p>
    <w:p w14:paraId="62BF5EA5" w14:textId="77777777" w:rsidR="007B7514" w:rsidRDefault="007B7514" w:rsidP="007B7514">
      <w:pPr>
        <w:jc w:val="center"/>
      </w:pPr>
      <w:r>
        <w:rPr>
          <w:noProof/>
          <w:lang w:val="es-CO" w:eastAsia="es-CO"/>
        </w:rPr>
        <w:drawing>
          <wp:inline distT="0" distB="0" distL="0" distR="0" wp14:anchorId="796D3C2D" wp14:editId="6EAA914B">
            <wp:extent cx="4933950" cy="3505093"/>
            <wp:effectExtent l="0" t="0" r="0" b="635"/>
            <wp:docPr id="291697636" name="Imagen 291697636" descr="Interfaz de usuario gráfica, Sitio web&#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nterfaz de usuario gráfica, Sitio web&#10;&#10;Descripción generada automáticamente"/>
                    <pic:cNvPicPr>
                      <a:picLocks noChangeAspect="1"/>
                    </pic:cNvPicPr>
                  </pic:nvPicPr>
                  <pic:blipFill>
                    <a:blip r:embed="rId76"/>
                    <a:stretch>
                      <a:fillRect/>
                    </a:stretch>
                  </pic:blipFill>
                  <pic:spPr>
                    <a:xfrm>
                      <a:off x="0" y="0"/>
                      <a:ext cx="4938107" cy="3508046"/>
                    </a:xfrm>
                    <a:prstGeom prst="rect">
                      <a:avLst/>
                    </a:prstGeom>
                  </pic:spPr>
                </pic:pic>
              </a:graphicData>
            </a:graphic>
          </wp:inline>
        </w:drawing>
      </w:r>
    </w:p>
    <w:p w14:paraId="629EC505" w14:textId="77777777" w:rsidR="007B7514" w:rsidRDefault="007B7514" w:rsidP="007B7514">
      <w:pPr>
        <w:jc w:val="center"/>
      </w:pPr>
    </w:p>
    <w:p w14:paraId="7FF92BED" w14:textId="77777777" w:rsidR="007B7514" w:rsidRPr="00516954" w:rsidRDefault="007B7514" w:rsidP="007B7514">
      <w:pPr>
        <w:jc w:val="center"/>
        <w:rPr>
          <w:rFonts w:eastAsia="Arial" w:cs="Arial"/>
          <w:b/>
          <w:bCs/>
          <w:color w:val="000000" w:themeColor="text1"/>
          <w:sz w:val="16"/>
          <w:szCs w:val="16"/>
          <w:lang w:val="es-MX"/>
        </w:rPr>
      </w:pPr>
      <w:r w:rsidRPr="00516954">
        <w:rPr>
          <w:rFonts w:eastAsia="Arial" w:cs="Arial"/>
          <w:b/>
          <w:bCs/>
          <w:color w:val="000000" w:themeColor="text1"/>
          <w:sz w:val="16"/>
          <w:szCs w:val="16"/>
          <w:lang w:val="es-MX"/>
        </w:rPr>
        <w:t>Fuente: IGAC. Dirección de Gestión de la Información Geográfica</w:t>
      </w:r>
    </w:p>
    <w:p w14:paraId="4AA29426" w14:textId="078670BA" w:rsidR="007B7514" w:rsidRPr="00833937"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5A1A4CA5" w14:textId="77777777" w:rsidR="007B7514" w:rsidRPr="00347DC0" w:rsidRDefault="007B7514" w:rsidP="007B7514">
      <w:pPr>
        <w:jc w:val="both"/>
        <w:rPr>
          <w:sz w:val="22"/>
          <w:szCs w:val="22"/>
        </w:rPr>
      </w:pPr>
      <w:r w:rsidRPr="00347DC0">
        <w:rPr>
          <w:rFonts w:eastAsia="Arial" w:cs="Arial"/>
          <w:color w:val="000000" w:themeColor="text1"/>
          <w:sz w:val="22"/>
          <w:szCs w:val="22"/>
          <w:lang w:val="es"/>
        </w:rPr>
        <w:t>Esta nueva versión permite:</w:t>
      </w:r>
    </w:p>
    <w:p w14:paraId="3DFB43C9" w14:textId="77777777" w:rsidR="007B7514" w:rsidRPr="00347DC0" w:rsidRDefault="007B7514" w:rsidP="007B7514">
      <w:pPr>
        <w:jc w:val="both"/>
        <w:rPr>
          <w:sz w:val="22"/>
          <w:szCs w:val="22"/>
        </w:rPr>
      </w:pPr>
      <w:r w:rsidRPr="00347DC0">
        <w:rPr>
          <w:rFonts w:eastAsia="Arial" w:cs="Arial"/>
          <w:color w:val="000000" w:themeColor="text1"/>
          <w:sz w:val="22"/>
          <w:szCs w:val="22"/>
          <w:lang w:val="es"/>
        </w:rPr>
        <w:t xml:space="preserve"> </w:t>
      </w:r>
    </w:p>
    <w:p w14:paraId="6B645ACC" w14:textId="77777777" w:rsidR="007B7514" w:rsidRPr="00347DC0" w:rsidRDefault="007B7514" w:rsidP="000A20EE">
      <w:pPr>
        <w:pStyle w:val="Prrafodelista"/>
        <w:numPr>
          <w:ilvl w:val="0"/>
          <w:numId w:val="206"/>
        </w:numPr>
        <w:rPr>
          <w:rFonts w:eastAsia="Arial" w:cs="Arial"/>
          <w:color w:val="000000" w:themeColor="text1"/>
          <w:sz w:val="22"/>
          <w:szCs w:val="22"/>
        </w:rPr>
      </w:pPr>
      <w:r w:rsidRPr="00347DC0">
        <w:rPr>
          <w:rFonts w:eastAsia="Arial" w:cs="Arial"/>
          <w:color w:val="000000" w:themeColor="text1"/>
          <w:sz w:val="22"/>
          <w:szCs w:val="22"/>
        </w:rPr>
        <w:t>Consulta de topónimos: Los topónimos son los nombres propios de los lugares y/o elementos geográficos usados por las personas – especialmente quienes habitan en el lugar cercano a ellas – para describir lo que está a su alrededor. Permiten identificar lugares donde estuvieron, están y planean estar. En la cartografía, los topónimos les dan identidad cultural, natural y política a las entidades geográficas naturales o artificiales que existen en el terreno. La toponimia es el estudio de los nombres geográficos. El DGC permite consultar la definición de 231.691 topónimos.</w:t>
      </w:r>
    </w:p>
    <w:p w14:paraId="03FC29B7" w14:textId="77777777" w:rsidR="007B7514" w:rsidRPr="00347DC0" w:rsidRDefault="007B7514" w:rsidP="000A20EE">
      <w:pPr>
        <w:pStyle w:val="Prrafodelista"/>
        <w:numPr>
          <w:ilvl w:val="0"/>
          <w:numId w:val="206"/>
        </w:numPr>
        <w:rPr>
          <w:rFonts w:eastAsia="Arial" w:cs="Arial"/>
          <w:color w:val="000000" w:themeColor="text1"/>
          <w:sz w:val="22"/>
          <w:szCs w:val="22"/>
        </w:rPr>
      </w:pPr>
      <w:r w:rsidRPr="00347DC0">
        <w:rPr>
          <w:rFonts w:eastAsia="Arial" w:cs="Arial"/>
          <w:color w:val="000000" w:themeColor="text1"/>
          <w:sz w:val="22"/>
          <w:szCs w:val="22"/>
        </w:rPr>
        <w:lastRenderedPageBreak/>
        <w:t>Consulta de términos geográficos: Los términos geográficos describen e identifican la dimensión espacial, las ubicaciones geográficas, las características topográficas, los recursos naturales, entre otros. Siendo así, se podría decir que los términos geográficos nos ayudan a agrupar las entidades geográficas en categorías. El DGC permite consultar la definición de 152 términos geográficos.</w:t>
      </w:r>
    </w:p>
    <w:p w14:paraId="51606880" w14:textId="00CE1AF6" w:rsidR="007B7514" w:rsidRPr="00833937" w:rsidRDefault="007B7514" w:rsidP="007B7514">
      <w:pPr>
        <w:pStyle w:val="Prrafodelista"/>
        <w:numPr>
          <w:ilvl w:val="0"/>
          <w:numId w:val="206"/>
        </w:numPr>
        <w:rPr>
          <w:rFonts w:eastAsia="Arial" w:cs="Arial"/>
          <w:color w:val="000000" w:themeColor="text1"/>
          <w:sz w:val="22"/>
          <w:szCs w:val="22"/>
        </w:rPr>
      </w:pPr>
      <w:r w:rsidRPr="00347DC0">
        <w:rPr>
          <w:rFonts w:eastAsia="Arial" w:cs="Arial"/>
          <w:color w:val="000000" w:themeColor="text1"/>
          <w:sz w:val="22"/>
          <w:szCs w:val="22"/>
        </w:rPr>
        <w:t>Conexión nativa con Colombia en Mapas: Cada entrada del diccionario tiene un módulo de conexión con Colombia en Mapas que permite consultar información complementaria. Nuestros usuarios pueden profundizar en su búsqueda y descubrir toda la información disponible sobre el topónimo. A medida que complementamos la información disponible en CeM la información disponible para el topónimo se fortalece. CeM es la dimensión cartográfica del topónimo. En ella se visualiza el topónimo sobre el mapa. Juega un papel clave en la profundización del término, ubicándolo en un plano geoespacial que le permite al usuario entender el contexto y la relación del elemento con su espacio.</w:t>
      </w:r>
    </w:p>
    <w:p w14:paraId="7A95D954" w14:textId="77777777" w:rsidR="007B7514" w:rsidRDefault="007B7514" w:rsidP="007B7514">
      <w:pPr>
        <w:pStyle w:val="Lista"/>
        <w:rPr>
          <w:color w:val="000000" w:themeColor="text1"/>
        </w:rPr>
      </w:pPr>
    </w:p>
    <w:p w14:paraId="61BF5BC2" w14:textId="77777777" w:rsidR="007B7514" w:rsidRPr="00581D98" w:rsidRDefault="007B7514" w:rsidP="007B7514">
      <w:pPr>
        <w:rPr>
          <w:b/>
          <w:color w:val="000000" w:themeColor="text1"/>
          <w:sz w:val="22"/>
          <w:szCs w:val="22"/>
        </w:rPr>
      </w:pPr>
      <w:r w:rsidRPr="00581D98">
        <w:rPr>
          <w:rFonts w:eastAsia="Arial"/>
          <w:b/>
          <w:color w:val="000000" w:themeColor="text1"/>
          <w:sz w:val="22"/>
          <w:szCs w:val="22"/>
          <w:lang w:val="es-MX"/>
        </w:rPr>
        <w:t>ESTUDIOS TÉCNICOS DE DESLINDES Y DE TERRITORIOS INDÍGENAS</w:t>
      </w:r>
    </w:p>
    <w:p w14:paraId="052FFF37" w14:textId="77777777" w:rsidR="007B7514" w:rsidRDefault="007B7514" w:rsidP="007B7514">
      <w:pPr>
        <w:jc w:val="both"/>
      </w:pPr>
      <w:r w:rsidRPr="31FF9146">
        <w:rPr>
          <w:rFonts w:eastAsia="Arial" w:cs="Arial"/>
          <w:color w:val="000000" w:themeColor="text1"/>
          <w:sz w:val="22"/>
          <w:szCs w:val="22"/>
          <w:lang w:val="es"/>
        </w:rPr>
        <w:t xml:space="preserve"> </w:t>
      </w:r>
    </w:p>
    <w:p w14:paraId="1D5E9D60"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Al iniciar la vigencia 2020, el IGAC tenía aperturados y en operación, once (11) procesos de deslindes: cuatro (4) correspondientes a límites departamentales y siete (7) a límites municipales </w:t>
      </w:r>
    </w:p>
    <w:p w14:paraId="51C82EC9" w14:textId="77777777" w:rsidR="007B7514" w:rsidRDefault="007B7514" w:rsidP="007B7514">
      <w:pPr>
        <w:jc w:val="both"/>
      </w:pPr>
    </w:p>
    <w:p w14:paraId="07B7B6BB" w14:textId="0EC72300" w:rsidR="007B7514" w:rsidRPr="005F7670" w:rsidRDefault="007B7514" w:rsidP="005F7670">
      <w:pPr>
        <w:jc w:val="center"/>
        <w:rPr>
          <w:b/>
          <w:bCs/>
          <w:sz w:val="16"/>
          <w:szCs w:val="16"/>
        </w:rPr>
      </w:pPr>
    </w:p>
    <w:p w14:paraId="7E2AB220" w14:textId="0F7679DD" w:rsidR="007B7514" w:rsidRPr="00833937" w:rsidRDefault="005F7670" w:rsidP="00833937">
      <w:pPr>
        <w:pStyle w:val="Descripcin"/>
        <w:keepNext/>
        <w:jc w:val="center"/>
        <w:rPr>
          <w:rFonts w:ascii="Arial" w:hAnsi="Arial" w:cs="Arial"/>
          <w:b/>
          <w:bCs/>
          <w:i w:val="0"/>
          <w:iCs w:val="0"/>
          <w:color w:val="auto"/>
          <w:sz w:val="16"/>
          <w:szCs w:val="16"/>
        </w:rPr>
      </w:pPr>
      <w:bookmarkStart w:id="107" w:name="_Toc88677106"/>
      <w:r w:rsidRPr="005F7670">
        <w:rPr>
          <w:rFonts w:ascii="Arial" w:hAnsi="Arial" w:cs="Arial"/>
          <w:b/>
          <w:bCs/>
          <w:i w:val="0"/>
          <w:iCs w:val="0"/>
          <w:color w:val="auto"/>
          <w:sz w:val="16"/>
          <w:szCs w:val="16"/>
        </w:rPr>
        <w:t xml:space="preserve">Tabla </w:t>
      </w:r>
      <w:r w:rsidRPr="005F7670">
        <w:rPr>
          <w:rFonts w:ascii="Arial" w:hAnsi="Arial" w:cs="Arial"/>
          <w:b/>
          <w:bCs/>
          <w:i w:val="0"/>
          <w:iCs w:val="0"/>
          <w:color w:val="auto"/>
          <w:sz w:val="16"/>
          <w:szCs w:val="16"/>
        </w:rPr>
        <w:fldChar w:fldCharType="begin"/>
      </w:r>
      <w:r w:rsidRPr="005F7670">
        <w:rPr>
          <w:rFonts w:ascii="Arial" w:hAnsi="Arial" w:cs="Arial"/>
          <w:b/>
          <w:bCs/>
          <w:i w:val="0"/>
          <w:iCs w:val="0"/>
          <w:color w:val="auto"/>
          <w:sz w:val="16"/>
          <w:szCs w:val="16"/>
        </w:rPr>
        <w:instrText xml:space="preserve"> SEQ Tabla \* ARABIC </w:instrText>
      </w:r>
      <w:r w:rsidRPr="005F7670">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34</w:t>
      </w:r>
      <w:r w:rsidRPr="005F7670">
        <w:rPr>
          <w:rFonts w:ascii="Arial" w:hAnsi="Arial" w:cs="Arial"/>
          <w:b/>
          <w:bCs/>
          <w:i w:val="0"/>
          <w:iCs w:val="0"/>
          <w:color w:val="auto"/>
          <w:sz w:val="16"/>
          <w:szCs w:val="16"/>
        </w:rPr>
        <w:fldChar w:fldCharType="end"/>
      </w:r>
      <w:r w:rsidRPr="005F7670">
        <w:rPr>
          <w:rFonts w:ascii="Arial" w:hAnsi="Arial" w:cs="Arial"/>
          <w:b/>
          <w:bCs/>
          <w:i w:val="0"/>
          <w:iCs w:val="0"/>
          <w:color w:val="auto"/>
          <w:sz w:val="16"/>
          <w:szCs w:val="16"/>
        </w:rPr>
        <w:t>. Líneas limítrofes con procesos de deslindes aperturados 2018-2019</w:t>
      </w:r>
      <w:bookmarkEnd w:id="107"/>
    </w:p>
    <w:tbl>
      <w:tblPr>
        <w:tblStyle w:val="Tabladecuadrcula4-nfasis1"/>
        <w:tblW w:w="0" w:type="auto"/>
        <w:jc w:val="center"/>
        <w:tblLayout w:type="fixed"/>
        <w:tblLook w:val="06A0" w:firstRow="1" w:lastRow="0" w:firstColumn="1" w:lastColumn="0" w:noHBand="1" w:noVBand="1"/>
      </w:tblPr>
      <w:tblGrid>
        <w:gridCol w:w="1845"/>
        <w:gridCol w:w="465"/>
        <w:gridCol w:w="2655"/>
        <w:gridCol w:w="1500"/>
        <w:gridCol w:w="1500"/>
      </w:tblGrid>
      <w:tr w:rsidR="007B7514" w14:paraId="21B1A695" w14:textId="77777777" w:rsidTr="00A6302C">
        <w:trPr>
          <w:cnfStyle w:val="100000000000" w:firstRow="1" w:lastRow="0" w:firstColumn="0" w:lastColumn="0" w:oddVBand="0" w:evenVBand="0" w:oddHBand="0" w:evenHBand="0" w:firstRowFirstColumn="0" w:firstRowLastColumn="0" w:lastRowFirstColumn="0" w:lastRowLastColumn="0"/>
          <w:trHeight w:val="75"/>
          <w:jc w:val="center"/>
        </w:trPr>
        <w:tc>
          <w:tcPr>
            <w:cnfStyle w:val="001000000000" w:firstRow="0" w:lastRow="0" w:firstColumn="1" w:lastColumn="0" w:oddVBand="0" w:evenVBand="0" w:oddHBand="0" w:evenHBand="0" w:firstRowFirstColumn="0" w:firstRowLastColumn="0" w:lastRowFirstColumn="0" w:lastRowLastColumn="0"/>
            <w:tcW w:w="1845" w:type="dxa"/>
          </w:tcPr>
          <w:p w14:paraId="47006B30" w14:textId="77777777" w:rsidR="007B7514" w:rsidRDefault="007B7514" w:rsidP="00A6302C">
            <w:pPr>
              <w:jc w:val="center"/>
            </w:pPr>
          </w:p>
        </w:tc>
        <w:tc>
          <w:tcPr>
            <w:tcW w:w="3120" w:type="dxa"/>
            <w:gridSpan w:val="2"/>
          </w:tcPr>
          <w:p w14:paraId="761CEA20" w14:textId="77777777" w:rsidR="007B7514" w:rsidRPr="00881FA0" w:rsidRDefault="007B7514" w:rsidP="00A6302C">
            <w:pPr>
              <w:jc w:val="center"/>
              <w:cnfStyle w:val="100000000000" w:firstRow="1" w:lastRow="0" w:firstColumn="0" w:lastColumn="0" w:oddVBand="0" w:evenVBand="0" w:oddHBand="0" w:evenHBand="0" w:firstRowFirstColumn="0" w:firstRowLastColumn="0" w:lastRowFirstColumn="0" w:lastRowLastColumn="0"/>
              <w:rPr>
                <w:sz w:val="16"/>
                <w:szCs w:val="16"/>
              </w:rPr>
            </w:pPr>
            <w:r w:rsidRPr="00881FA0">
              <w:rPr>
                <w:rFonts w:eastAsia="Arial" w:cs="Arial"/>
                <w:sz w:val="16"/>
                <w:szCs w:val="16"/>
                <w:lang w:val="es"/>
              </w:rPr>
              <w:t>Línea limítrofe</w:t>
            </w:r>
          </w:p>
        </w:tc>
        <w:tc>
          <w:tcPr>
            <w:tcW w:w="1500" w:type="dxa"/>
          </w:tcPr>
          <w:p w14:paraId="4E4EB7B9" w14:textId="77777777" w:rsidR="007B7514" w:rsidRPr="00881FA0" w:rsidRDefault="007B7514" w:rsidP="00A6302C">
            <w:pPr>
              <w:jc w:val="center"/>
              <w:cnfStyle w:val="100000000000" w:firstRow="1" w:lastRow="0" w:firstColumn="0" w:lastColumn="0" w:oddVBand="0" w:evenVBand="0" w:oddHBand="0" w:evenHBand="0" w:firstRowFirstColumn="0" w:firstRowLastColumn="0" w:lastRowFirstColumn="0" w:lastRowLastColumn="0"/>
              <w:rPr>
                <w:sz w:val="16"/>
                <w:szCs w:val="16"/>
              </w:rPr>
            </w:pPr>
            <w:r w:rsidRPr="00881FA0">
              <w:rPr>
                <w:rFonts w:eastAsia="Arial" w:cs="Arial"/>
                <w:sz w:val="16"/>
                <w:szCs w:val="16"/>
                <w:lang w:val="es"/>
              </w:rPr>
              <w:t>Año de apertura</w:t>
            </w:r>
          </w:p>
        </w:tc>
        <w:tc>
          <w:tcPr>
            <w:tcW w:w="1500" w:type="dxa"/>
          </w:tcPr>
          <w:p w14:paraId="3CEB15D7" w14:textId="77777777" w:rsidR="007B7514" w:rsidRPr="00881FA0" w:rsidRDefault="007B7514" w:rsidP="00A6302C">
            <w:pPr>
              <w:jc w:val="center"/>
              <w:cnfStyle w:val="100000000000" w:firstRow="1" w:lastRow="0" w:firstColumn="0" w:lastColumn="0" w:oddVBand="0" w:evenVBand="0" w:oddHBand="0" w:evenHBand="0" w:firstRowFirstColumn="0" w:firstRowLastColumn="0" w:lastRowFirstColumn="0" w:lastRowLastColumn="0"/>
              <w:rPr>
                <w:sz w:val="16"/>
                <w:szCs w:val="16"/>
              </w:rPr>
            </w:pPr>
            <w:r w:rsidRPr="00881FA0">
              <w:rPr>
                <w:rFonts w:eastAsia="Arial" w:cs="Arial"/>
                <w:sz w:val="16"/>
                <w:szCs w:val="16"/>
                <w:lang w:val="es"/>
              </w:rPr>
              <w:t>Aperturado por</w:t>
            </w:r>
          </w:p>
        </w:tc>
      </w:tr>
      <w:tr w:rsidR="007B7514" w14:paraId="5E0A61FA"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restart"/>
          </w:tcPr>
          <w:p w14:paraId="5945DB03" w14:textId="77777777" w:rsidR="006A386F" w:rsidRDefault="006A386F" w:rsidP="00A6302C">
            <w:pPr>
              <w:jc w:val="center"/>
              <w:rPr>
                <w:rFonts w:eastAsia="Arial" w:cs="Arial"/>
                <w:b w:val="0"/>
                <w:bCs w:val="0"/>
                <w:sz w:val="28"/>
                <w:szCs w:val="28"/>
                <w:lang w:val="es"/>
              </w:rPr>
            </w:pPr>
          </w:p>
          <w:p w14:paraId="375074ED" w14:textId="1EDE829F" w:rsidR="007B7514" w:rsidRDefault="007B7514" w:rsidP="00A6302C">
            <w:pPr>
              <w:jc w:val="center"/>
            </w:pPr>
            <w:r w:rsidRPr="31FF9146">
              <w:rPr>
                <w:rFonts w:eastAsia="Arial" w:cs="Arial"/>
                <w:sz w:val="28"/>
                <w:szCs w:val="28"/>
                <w:lang w:val="es"/>
              </w:rPr>
              <w:t>4</w:t>
            </w:r>
          </w:p>
          <w:p w14:paraId="24A276ED" w14:textId="77777777" w:rsidR="007B7514" w:rsidRDefault="007B7514" w:rsidP="00A6302C">
            <w:pPr>
              <w:jc w:val="center"/>
            </w:pPr>
            <w:r w:rsidRPr="31FF9146">
              <w:rPr>
                <w:rFonts w:eastAsia="Arial" w:cs="Arial"/>
                <w:sz w:val="16"/>
                <w:szCs w:val="16"/>
                <w:lang w:val="es"/>
              </w:rPr>
              <w:t>procesos de deslindes</w:t>
            </w:r>
          </w:p>
          <w:p w14:paraId="07B918E0" w14:textId="77777777" w:rsidR="007B7514" w:rsidRDefault="007B7514" w:rsidP="00A6302C">
            <w:pPr>
              <w:jc w:val="center"/>
            </w:pPr>
            <w:r w:rsidRPr="31FF9146">
              <w:rPr>
                <w:rFonts w:eastAsia="Arial" w:cs="Arial"/>
                <w:sz w:val="16"/>
                <w:szCs w:val="16"/>
                <w:lang w:val="es"/>
              </w:rPr>
              <w:t>departamentales</w:t>
            </w:r>
          </w:p>
        </w:tc>
        <w:tc>
          <w:tcPr>
            <w:tcW w:w="465" w:type="dxa"/>
          </w:tcPr>
          <w:p w14:paraId="62FBF46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1.</w:t>
            </w:r>
          </w:p>
        </w:tc>
        <w:tc>
          <w:tcPr>
            <w:tcW w:w="2655" w:type="dxa"/>
          </w:tcPr>
          <w:p w14:paraId="76DB377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Boyacá - Cundinamarca</w:t>
            </w:r>
          </w:p>
        </w:tc>
        <w:tc>
          <w:tcPr>
            <w:tcW w:w="1500" w:type="dxa"/>
          </w:tcPr>
          <w:p w14:paraId="52EC486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4DA214F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IGAC</w:t>
            </w:r>
          </w:p>
        </w:tc>
      </w:tr>
      <w:tr w:rsidR="007B7514" w14:paraId="50CC644C"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4F5D9A66" w14:textId="77777777" w:rsidR="007B7514" w:rsidRDefault="007B7514" w:rsidP="00A6302C">
            <w:pPr>
              <w:jc w:val="center"/>
            </w:pPr>
          </w:p>
        </w:tc>
        <w:tc>
          <w:tcPr>
            <w:tcW w:w="465" w:type="dxa"/>
          </w:tcPr>
          <w:p w14:paraId="54F9081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w:t>
            </w:r>
          </w:p>
        </w:tc>
        <w:tc>
          <w:tcPr>
            <w:tcW w:w="2655" w:type="dxa"/>
          </w:tcPr>
          <w:p w14:paraId="70B7DCF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Norte de Santander - Santander</w:t>
            </w:r>
          </w:p>
        </w:tc>
        <w:tc>
          <w:tcPr>
            <w:tcW w:w="1500" w:type="dxa"/>
          </w:tcPr>
          <w:p w14:paraId="58A54A5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2018</w:t>
            </w:r>
          </w:p>
        </w:tc>
        <w:tc>
          <w:tcPr>
            <w:tcW w:w="1500" w:type="dxa"/>
          </w:tcPr>
          <w:p w14:paraId="5822F98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Gobernador Norte de Santander</w:t>
            </w:r>
          </w:p>
        </w:tc>
      </w:tr>
      <w:tr w:rsidR="007B7514" w14:paraId="15B38B74"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4C309BCA" w14:textId="77777777" w:rsidR="007B7514" w:rsidRDefault="007B7514" w:rsidP="00A6302C">
            <w:pPr>
              <w:jc w:val="center"/>
            </w:pPr>
          </w:p>
        </w:tc>
        <w:tc>
          <w:tcPr>
            <w:tcW w:w="465" w:type="dxa"/>
          </w:tcPr>
          <w:p w14:paraId="7FD5689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3.</w:t>
            </w:r>
          </w:p>
        </w:tc>
        <w:tc>
          <w:tcPr>
            <w:tcW w:w="2655" w:type="dxa"/>
          </w:tcPr>
          <w:p w14:paraId="391ABC1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Boyacá - Norte de Santander</w:t>
            </w:r>
          </w:p>
        </w:tc>
        <w:tc>
          <w:tcPr>
            <w:tcW w:w="1500" w:type="dxa"/>
          </w:tcPr>
          <w:p w14:paraId="51AE26E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2018</w:t>
            </w:r>
          </w:p>
        </w:tc>
        <w:tc>
          <w:tcPr>
            <w:tcW w:w="1500" w:type="dxa"/>
          </w:tcPr>
          <w:p w14:paraId="21174B6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Gobernador Norte de Santander</w:t>
            </w:r>
          </w:p>
        </w:tc>
      </w:tr>
      <w:tr w:rsidR="007B7514" w14:paraId="2FF76D8E"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23F991FF" w14:textId="77777777" w:rsidR="007B7514" w:rsidRDefault="007B7514" w:rsidP="00A6302C">
            <w:pPr>
              <w:jc w:val="center"/>
            </w:pPr>
          </w:p>
        </w:tc>
        <w:tc>
          <w:tcPr>
            <w:tcW w:w="465" w:type="dxa"/>
          </w:tcPr>
          <w:p w14:paraId="3862A79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4.</w:t>
            </w:r>
          </w:p>
        </w:tc>
        <w:tc>
          <w:tcPr>
            <w:tcW w:w="2655" w:type="dxa"/>
          </w:tcPr>
          <w:p w14:paraId="3BC468C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Atlántico - Bolívar</w:t>
            </w:r>
          </w:p>
        </w:tc>
        <w:tc>
          <w:tcPr>
            <w:tcW w:w="1500" w:type="dxa"/>
          </w:tcPr>
          <w:p w14:paraId="78F39B9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2016</w:t>
            </w:r>
          </w:p>
        </w:tc>
        <w:tc>
          <w:tcPr>
            <w:tcW w:w="1500" w:type="dxa"/>
          </w:tcPr>
          <w:p w14:paraId="34A4C3C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IGAC</w:t>
            </w:r>
          </w:p>
        </w:tc>
      </w:tr>
      <w:tr w:rsidR="007B7514" w14:paraId="4685835C"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restart"/>
          </w:tcPr>
          <w:p w14:paraId="79649927" w14:textId="77777777" w:rsidR="006A386F" w:rsidRDefault="006A386F" w:rsidP="00A6302C">
            <w:pPr>
              <w:jc w:val="center"/>
              <w:rPr>
                <w:rFonts w:eastAsia="Arial" w:cs="Arial"/>
                <w:b w:val="0"/>
                <w:bCs w:val="0"/>
                <w:sz w:val="28"/>
                <w:szCs w:val="28"/>
                <w:lang w:val="es"/>
              </w:rPr>
            </w:pPr>
          </w:p>
          <w:p w14:paraId="7948036E" w14:textId="77777777" w:rsidR="006A386F" w:rsidRDefault="006A386F" w:rsidP="00A6302C">
            <w:pPr>
              <w:jc w:val="center"/>
              <w:rPr>
                <w:rFonts w:eastAsia="Arial" w:cs="Arial"/>
                <w:b w:val="0"/>
                <w:bCs w:val="0"/>
                <w:sz w:val="28"/>
                <w:szCs w:val="28"/>
                <w:lang w:val="es"/>
              </w:rPr>
            </w:pPr>
          </w:p>
          <w:p w14:paraId="7537AC7C" w14:textId="77777777" w:rsidR="006A386F" w:rsidRDefault="006A386F" w:rsidP="00A6302C">
            <w:pPr>
              <w:jc w:val="center"/>
              <w:rPr>
                <w:rFonts w:eastAsia="Arial" w:cs="Arial"/>
                <w:b w:val="0"/>
                <w:bCs w:val="0"/>
                <w:sz w:val="28"/>
                <w:szCs w:val="28"/>
                <w:lang w:val="es"/>
              </w:rPr>
            </w:pPr>
          </w:p>
          <w:p w14:paraId="4232A645" w14:textId="5AB88E4B" w:rsidR="007B7514" w:rsidRDefault="007B7514" w:rsidP="00A6302C">
            <w:pPr>
              <w:jc w:val="center"/>
            </w:pPr>
            <w:r w:rsidRPr="31FF9146">
              <w:rPr>
                <w:rFonts w:eastAsia="Arial" w:cs="Arial"/>
                <w:sz w:val="28"/>
                <w:szCs w:val="28"/>
                <w:lang w:val="es"/>
              </w:rPr>
              <w:t>7</w:t>
            </w:r>
          </w:p>
          <w:p w14:paraId="2C217C0F" w14:textId="77777777" w:rsidR="007B7514" w:rsidRDefault="007B7514" w:rsidP="00A6302C">
            <w:pPr>
              <w:jc w:val="center"/>
            </w:pPr>
            <w:r w:rsidRPr="31FF9146">
              <w:rPr>
                <w:rFonts w:eastAsia="Arial" w:cs="Arial"/>
                <w:sz w:val="16"/>
                <w:szCs w:val="16"/>
                <w:lang w:val="es"/>
              </w:rPr>
              <w:t>procesos de deslindes</w:t>
            </w:r>
          </w:p>
          <w:p w14:paraId="1BA120DF" w14:textId="77777777" w:rsidR="007B7514" w:rsidRDefault="007B7514" w:rsidP="00A6302C">
            <w:pPr>
              <w:jc w:val="center"/>
            </w:pPr>
            <w:r w:rsidRPr="31FF9146">
              <w:rPr>
                <w:rFonts w:eastAsia="Arial" w:cs="Arial"/>
                <w:sz w:val="16"/>
                <w:szCs w:val="16"/>
                <w:lang w:val="es"/>
              </w:rPr>
              <w:t>municipales</w:t>
            </w:r>
          </w:p>
        </w:tc>
        <w:tc>
          <w:tcPr>
            <w:tcW w:w="465" w:type="dxa"/>
          </w:tcPr>
          <w:p w14:paraId="0F76C13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1.</w:t>
            </w:r>
          </w:p>
        </w:tc>
        <w:tc>
          <w:tcPr>
            <w:tcW w:w="2655" w:type="dxa"/>
          </w:tcPr>
          <w:p w14:paraId="59DE0E6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Fredonia - Venecia (Antioquia)</w:t>
            </w:r>
          </w:p>
        </w:tc>
        <w:tc>
          <w:tcPr>
            <w:tcW w:w="1500" w:type="dxa"/>
          </w:tcPr>
          <w:p w14:paraId="36DC4A1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3C12E35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3BA8670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Fredonia y Venecia</w:t>
            </w:r>
          </w:p>
        </w:tc>
      </w:tr>
      <w:tr w:rsidR="007B7514" w14:paraId="3BD4A428"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0B0D3804" w14:textId="77777777" w:rsidR="007B7514" w:rsidRDefault="007B7514" w:rsidP="00A6302C">
            <w:pPr>
              <w:jc w:val="center"/>
            </w:pPr>
          </w:p>
        </w:tc>
        <w:tc>
          <w:tcPr>
            <w:tcW w:w="465" w:type="dxa"/>
          </w:tcPr>
          <w:p w14:paraId="152AB1E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w:t>
            </w:r>
          </w:p>
        </w:tc>
        <w:tc>
          <w:tcPr>
            <w:tcW w:w="2655" w:type="dxa"/>
          </w:tcPr>
          <w:p w14:paraId="21F759C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Segovia - Remedios (Antioquia)</w:t>
            </w:r>
          </w:p>
        </w:tc>
        <w:tc>
          <w:tcPr>
            <w:tcW w:w="1500" w:type="dxa"/>
          </w:tcPr>
          <w:p w14:paraId="293B50D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6398975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6FF241D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Remedios</w:t>
            </w:r>
          </w:p>
        </w:tc>
      </w:tr>
      <w:tr w:rsidR="007B7514" w14:paraId="61A2B07C"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67AA5E48" w14:textId="77777777" w:rsidR="007B7514" w:rsidRDefault="007B7514" w:rsidP="00A6302C">
            <w:pPr>
              <w:jc w:val="center"/>
            </w:pPr>
          </w:p>
        </w:tc>
        <w:tc>
          <w:tcPr>
            <w:tcW w:w="465" w:type="dxa"/>
          </w:tcPr>
          <w:p w14:paraId="0DEFE28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3.</w:t>
            </w:r>
          </w:p>
        </w:tc>
        <w:tc>
          <w:tcPr>
            <w:tcW w:w="2655" w:type="dxa"/>
          </w:tcPr>
          <w:p w14:paraId="46D1030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Cocorná - San Francisco (Antioquia)</w:t>
            </w:r>
          </w:p>
        </w:tc>
        <w:tc>
          <w:tcPr>
            <w:tcW w:w="1500" w:type="dxa"/>
          </w:tcPr>
          <w:p w14:paraId="5B6DAB5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1952D7E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1A30EA8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Cocorná</w:t>
            </w:r>
          </w:p>
        </w:tc>
      </w:tr>
      <w:tr w:rsidR="007B7514" w14:paraId="17D28862"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395964A8" w14:textId="77777777" w:rsidR="007B7514" w:rsidRDefault="007B7514" w:rsidP="00A6302C">
            <w:pPr>
              <w:jc w:val="center"/>
            </w:pPr>
          </w:p>
        </w:tc>
        <w:tc>
          <w:tcPr>
            <w:tcW w:w="465" w:type="dxa"/>
          </w:tcPr>
          <w:p w14:paraId="3577522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4.</w:t>
            </w:r>
          </w:p>
        </w:tc>
        <w:tc>
          <w:tcPr>
            <w:tcW w:w="2655" w:type="dxa"/>
          </w:tcPr>
          <w:p w14:paraId="3D987DB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Cocorná - Carmen de Viboral (Antioquia)</w:t>
            </w:r>
          </w:p>
        </w:tc>
        <w:tc>
          <w:tcPr>
            <w:tcW w:w="1500" w:type="dxa"/>
          </w:tcPr>
          <w:p w14:paraId="1E1A8DA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7BB8E26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7ED3A0F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Cocorná</w:t>
            </w:r>
          </w:p>
        </w:tc>
      </w:tr>
      <w:tr w:rsidR="007B7514" w14:paraId="7153830D"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02C6E60E" w14:textId="77777777" w:rsidR="007B7514" w:rsidRDefault="007B7514" w:rsidP="00A6302C">
            <w:pPr>
              <w:jc w:val="center"/>
            </w:pPr>
          </w:p>
        </w:tc>
        <w:tc>
          <w:tcPr>
            <w:tcW w:w="465" w:type="dxa"/>
          </w:tcPr>
          <w:p w14:paraId="2374616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5.</w:t>
            </w:r>
          </w:p>
        </w:tc>
        <w:tc>
          <w:tcPr>
            <w:tcW w:w="2655" w:type="dxa"/>
          </w:tcPr>
          <w:p w14:paraId="42C8AC3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Cocorná - Santuario (Antioquia)</w:t>
            </w:r>
          </w:p>
        </w:tc>
        <w:tc>
          <w:tcPr>
            <w:tcW w:w="1500" w:type="dxa"/>
          </w:tcPr>
          <w:p w14:paraId="2783B2F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02767B2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165FB94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Cocorná</w:t>
            </w:r>
          </w:p>
        </w:tc>
      </w:tr>
      <w:tr w:rsidR="007B7514" w14:paraId="37BAD9C2"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2BD78BA6" w14:textId="77777777" w:rsidR="007B7514" w:rsidRDefault="007B7514" w:rsidP="00A6302C">
            <w:pPr>
              <w:jc w:val="center"/>
            </w:pPr>
          </w:p>
        </w:tc>
        <w:tc>
          <w:tcPr>
            <w:tcW w:w="465" w:type="dxa"/>
          </w:tcPr>
          <w:p w14:paraId="071537F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6.</w:t>
            </w:r>
          </w:p>
        </w:tc>
        <w:tc>
          <w:tcPr>
            <w:tcW w:w="2655" w:type="dxa"/>
          </w:tcPr>
          <w:p w14:paraId="5410142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Campamento - Yarumal (Antioquia)</w:t>
            </w:r>
          </w:p>
        </w:tc>
        <w:tc>
          <w:tcPr>
            <w:tcW w:w="1500" w:type="dxa"/>
          </w:tcPr>
          <w:p w14:paraId="07E31DA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2019</w:t>
            </w:r>
          </w:p>
        </w:tc>
        <w:tc>
          <w:tcPr>
            <w:tcW w:w="1500" w:type="dxa"/>
          </w:tcPr>
          <w:p w14:paraId="2EF63E1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37B8630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Campamento</w:t>
            </w:r>
          </w:p>
        </w:tc>
      </w:tr>
      <w:tr w:rsidR="007B7514" w14:paraId="517F09E4"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1640AA64" w14:textId="77777777" w:rsidR="007B7514" w:rsidRDefault="007B7514" w:rsidP="00A6302C">
            <w:pPr>
              <w:jc w:val="center"/>
            </w:pPr>
          </w:p>
        </w:tc>
        <w:tc>
          <w:tcPr>
            <w:tcW w:w="465" w:type="dxa"/>
          </w:tcPr>
          <w:p w14:paraId="49D579A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7.</w:t>
            </w:r>
          </w:p>
        </w:tc>
        <w:tc>
          <w:tcPr>
            <w:tcW w:w="2655" w:type="dxa"/>
          </w:tcPr>
          <w:p w14:paraId="1DA98FE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El Retiro - Envigado (Antioquia)</w:t>
            </w:r>
          </w:p>
        </w:tc>
        <w:tc>
          <w:tcPr>
            <w:tcW w:w="1500" w:type="dxa"/>
          </w:tcPr>
          <w:p w14:paraId="0D036C2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2018</w:t>
            </w:r>
          </w:p>
        </w:tc>
        <w:tc>
          <w:tcPr>
            <w:tcW w:w="1500" w:type="dxa"/>
          </w:tcPr>
          <w:p w14:paraId="575849E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Alcalde</w:t>
            </w:r>
          </w:p>
          <w:p w14:paraId="71186F9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n-US"/>
              </w:rPr>
              <w:t>El Retiro</w:t>
            </w:r>
          </w:p>
        </w:tc>
      </w:tr>
    </w:tbl>
    <w:p w14:paraId="11AB55A9" w14:textId="77777777" w:rsidR="007B7514" w:rsidRPr="00A8414F" w:rsidRDefault="007B7514" w:rsidP="007B7514">
      <w:pPr>
        <w:jc w:val="center"/>
        <w:rPr>
          <w:b/>
          <w:bCs/>
          <w:color w:val="000000" w:themeColor="text1"/>
          <w:sz w:val="16"/>
          <w:szCs w:val="16"/>
        </w:rPr>
      </w:pPr>
      <w:r w:rsidRPr="00A8414F">
        <w:rPr>
          <w:b/>
          <w:bCs/>
          <w:color w:val="000000" w:themeColor="text1"/>
          <w:sz w:val="16"/>
          <w:szCs w:val="16"/>
        </w:rPr>
        <w:t>Fuente: IGAC. Subdirección de Geografía. 2021</w:t>
      </w:r>
    </w:p>
    <w:p w14:paraId="7501E219" w14:textId="77777777" w:rsidR="007B7514" w:rsidRDefault="007B7514" w:rsidP="007B7514">
      <w:pPr>
        <w:jc w:val="both"/>
      </w:pPr>
      <w:r w:rsidRPr="31FF9146">
        <w:rPr>
          <w:rFonts w:eastAsia="Arial" w:cs="Arial"/>
          <w:color w:val="000000" w:themeColor="text1"/>
          <w:lang w:val="es"/>
        </w:rPr>
        <w:t xml:space="preserve"> </w:t>
      </w:r>
    </w:p>
    <w:p w14:paraId="644BD1A4" w14:textId="77777777" w:rsidR="007B7514" w:rsidRDefault="007B7514" w:rsidP="007B7514">
      <w:pPr>
        <w:jc w:val="both"/>
      </w:pPr>
      <w:r w:rsidRPr="31FF9146">
        <w:rPr>
          <w:rFonts w:eastAsia="Arial" w:cs="Arial"/>
          <w:color w:val="000000" w:themeColor="text1"/>
          <w:sz w:val="22"/>
          <w:szCs w:val="22"/>
          <w:lang w:val="es"/>
        </w:rPr>
        <w:t>Como parte de la gestión y con el ánimo de dinamizar la definición de las líneas limítrofes en el país, el IGAC durante 2020 y 2021 aperturó veintiún (21) procesos de deslindes (13 municipales, 1 distrital y 7 departamentales)</w:t>
      </w:r>
      <w:r>
        <w:rPr>
          <w:rFonts w:eastAsia="Arial" w:cs="Arial"/>
          <w:color w:val="000000" w:themeColor="text1"/>
          <w:sz w:val="22"/>
          <w:szCs w:val="22"/>
          <w:lang w:val="es"/>
        </w:rPr>
        <w:t>,</w:t>
      </w:r>
      <w:r w:rsidRPr="31FF9146">
        <w:rPr>
          <w:rFonts w:eastAsia="Arial" w:cs="Arial"/>
          <w:color w:val="000000" w:themeColor="text1"/>
          <w:sz w:val="22"/>
          <w:szCs w:val="22"/>
          <w:lang w:val="es"/>
        </w:rPr>
        <w:t>en el marco de lo establecido en la Ley 1447 de 2011, logrando finalizar once (11)</w:t>
      </w:r>
      <w:r>
        <w:rPr>
          <w:rFonts w:eastAsia="Arial" w:cs="Arial"/>
          <w:color w:val="000000" w:themeColor="text1"/>
          <w:sz w:val="22"/>
          <w:szCs w:val="22"/>
          <w:lang w:val="es"/>
        </w:rPr>
        <w:t>.</w:t>
      </w:r>
    </w:p>
    <w:p w14:paraId="4BB66475" w14:textId="77777777" w:rsidR="007B7514" w:rsidRDefault="007B7514" w:rsidP="007B7514">
      <w:pPr>
        <w:jc w:val="both"/>
      </w:pPr>
      <w:r w:rsidRPr="31FF9146">
        <w:rPr>
          <w:rFonts w:eastAsia="Arial" w:cs="Arial"/>
          <w:color w:val="000000" w:themeColor="text1"/>
          <w:lang w:val="es"/>
        </w:rPr>
        <w:t xml:space="preserve"> </w:t>
      </w:r>
    </w:p>
    <w:p w14:paraId="2F38BB37" w14:textId="77777777" w:rsidR="007B7514"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576A60D2" w14:textId="2B76E9D6" w:rsidR="006A386F" w:rsidRPr="00833937" w:rsidRDefault="005F7670" w:rsidP="00833937">
      <w:pPr>
        <w:pStyle w:val="Descripcin"/>
        <w:keepNext/>
        <w:jc w:val="center"/>
        <w:rPr>
          <w:rFonts w:ascii="Arial" w:hAnsi="Arial" w:cs="Arial"/>
          <w:b/>
          <w:bCs/>
          <w:i w:val="0"/>
          <w:iCs w:val="0"/>
          <w:color w:val="auto"/>
          <w:sz w:val="16"/>
          <w:szCs w:val="16"/>
        </w:rPr>
      </w:pPr>
      <w:bookmarkStart w:id="108" w:name="_Toc88677107"/>
      <w:r w:rsidRPr="005F7670">
        <w:rPr>
          <w:rFonts w:ascii="Arial" w:hAnsi="Arial" w:cs="Arial"/>
          <w:b/>
          <w:bCs/>
          <w:i w:val="0"/>
          <w:iCs w:val="0"/>
          <w:color w:val="auto"/>
          <w:sz w:val="16"/>
          <w:szCs w:val="16"/>
        </w:rPr>
        <w:lastRenderedPageBreak/>
        <w:t xml:space="preserve">Tabla </w:t>
      </w:r>
      <w:r w:rsidRPr="005F7670">
        <w:rPr>
          <w:rFonts w:ascii="Arial" w:hAnsi="Arial" w:cs="Arial"/>
          <w:b/>
          <w:bCs/>
          <w:i w:val="0"/>
          <w:iCs w:val="0"/>
          <w:color w:val="auto"/>
          <w:sz w:val="16"/>
          <w:szCs w:val="16"/>
        </w:rPr>
        <w:fldChar w:fldCharType="begin"/>
      </w:r>
      <w:r w:rsidRPr="005F7670">
        <w:rPr>
          <w:rFonts w:ascii="Arial" w:hAnsi="Arial" w:cs="Arial"/>
          <w:b/>
          <w:bCs/>
          <w:i w:val="0"/>
          <w:iCs w:val="0"/>
          <w:color w:val="auto"/>
          <w:sz w:val="16"/>
          <w:szCs w:val="16"/>
        </w:rPr>
        <w:instrText xml:space="preserve"> SEQ Tabla \* ARABIC </w:instrText>
      </w:r>
      <w:r w:rsidRPr="005F7670">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35</w:t>
      </w:r>
      <w:r w:rsidRPr="005F7670">
        <w:rPr>
          <w:rFonts w:ascii="Arial" w:hAnsi="Arial" w:cs="Arial"/>
          <w:b/>
          <w:bCs/>
          <w:i w:val="0"/>
          <w:iCs w:val="0"/>
          <w:color w:val="auto"/>
          <w:sz w:val="16"/>
          <w:szCs w:val="16"/>
        </w:rPr>
        <w:fldChar w:fldCharType="end"/>
      </w:r>
      <w:r w:rsidRPr="005F7670">
        <w:rPr>
          <w:rFonts w:ascii="Arial" w:hAnsi="Arial" w:cs="Arial"/>
          <w:b/>
          <w:bCs/>
          <w:i w:val="0"/>
          <w:iCs w:val="0"/>
          <w:color w:val="auto"/>
          <w:sz w:val="16"/>
          <w:szCs w:val="16"/>
        </w:rPr>
        <w:t>. Líneas limítrofes de con procesos de deslindes aperturados 2020- 2021</w:t>
      </w:r>
      <w:bookmarkEnd w:id="108"/>
    </w:p>
    <w:tbl>
      <w:tblPr>
        <w:tblStyle w:val="Tabladecuadrcula4-nfasis1"/>
        <w:tblW w:w="0" w:type="auto"/>
        <w:jc w:val="center"/>
        <w:tblLayout w:type="fixed"/>
        <w:tblLook w:val="06A0" w:firstRow="1" w:lastRow="0" w:firstColumn="1" w:lastColumn="0" w:noHBand="1" w:noVBand="1"/>
      </w:tblPr>
      <w:tblGrid>
        <w:gridCol w:w="1845"/>
        <w:gridCol w:w="465"/>
        <w:gridCol w:w="2655"/>
        <w:gridCol w:w="1500"/>
        <w:gridCol w:w="1635"/>
      </w:tblGrid>
      <w:tr w:rsidR="007B7514" w14:paraId="0CD732A1" w14:textId="77777777" w:rsidTr="00A6302C">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845" w:type="dxa"/>
          </w:tcPr>
          <w:p w14:paraId="51A5E87F" w14:textId="54BE88D6" w:rsidR="007B7514" w:rsidRDefault="007B7514" w:rsidP="00A6302C">
            <w:pPr>
              <w:jc w:val="center"/>
            </w:pPr>
          </w:p>
        </w:tc>
        <w:tc>
          <w:tcPr>
            <w:tcW w:w="3120" w:type="dxa"/>
            <w:gridSpan w:val="2"/>
          </w:tcPr>
          <w:p w14:paraId="64D54386"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Línea limítrofe  </w:t>
            </w:r>
          </w:p>
        </w:tc>
        <w:tc>
          <w:tcPr>
            <w:tcW w:w="1500" w:type="dxa"/>
          </w:tcPr>
          <w:p w14:paraId="648C6164"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Año de apertura</w:t>
            </w:r>
          </w:p>
        </w:tc>
        <w:tc>
          <w:tcPr>
            <w:tcW w:w="1635" w:type="dxa"/>
          </w:tcPr>
          <w:p w14:paraId="788120E0"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Aperturado por</w:t>
            </w:r>
          </w:p>
        </w:tc>
      </w:tr>
      <w:tr w:rsidR="007B7514" w14:paraId="0EABCE9A"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restart"/>
            <w:vAlign w:val="center"/>
          </w:tcPr>
          <w:p w14:paraId="36BE0AB4" w14:textId="77777777" w:rsidR="007B7514" w:rsidRDefault="007B7514" w:rsidP="00A6302C">
            <w:pPr>
              <w:jc w:val="center"/>
            </w:pPr>
            <w:r w:rsidRPr="31FF9146">
              <w:rPr>
                <w:rFonts w:eastAsia="Arial" w:cs="Arial"/>
                <w:sz w:val="28"/>
                <w:szCs w:val="28"/>
                <w:lang w:val="es"/>
              </w:rPr>
              <w:t xml:space="preserve">13 </w:t>
            </w:r>
          </w:p>
          <w:p w14:paraId="33AD686B" w14:textId="77777777" w:rsidR="007B7514" w:rsidRDefault="007B7514" w:rsidP="00A6302C">
            <w:pPr>
              <w:jc w:val="center"/>
            </w:pPr>
            <w:r w:rsidRPr="31FF9146">
              <w:rPr>
                <w:rFonts w:eastAsia="Arial" w:cs="Arial"/>
                <w:sz w:val="16"/>
                <w:szCs w:val="16"/>
                <w:lang w:val="es"/>
              </w:rPr>
              <w:t>procesos de deslindes</w:t>
            </w:r>
          </w:p>
          <w:p w14:paraId="1E8BA039" w14:textId="77777777" w:rsidR="007B7514" w:rsidRDefault="007B7514" w:rsidP="00A6302C">
            <w:pPr>
              <w:jc w:val="center"/>
            </w:pPr>
            <w:r w:rsidRPr="31FF9146">
              <w:rPr>
                <w:rFonts w:eastAsia="Arial" w:cs="Arial"/>
                <w:sz w:val="16"/>
                <w:szCs w:val="16"/>
                <w:lang w:val="es"/>
              </w:rPr>
              <w:t>municipales</w:t>
            </w:r>
          </w:p>
        </w:tc>
        <w:tc>
          <w:tcPr>
            <w:tcW w:w="465" w:type="dxa"/>
          </w:tcPr>
          <w:p w14:paraId="6D8E6BE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1.</w:t>
            </w:r>
          </w:p>
        </w:tc>
        <w:tc>
          <w:tcPr>
            <w:tcW w:w="2655" w:type="dxa"/>
          </w:tcPr>
          <w:p w14:paraId="0BCE0B1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San Luis - San Francisco </w:t>
            </w:r>
          </w:p>
        </w:tc>
        <w:tc>
          <w:tcPr>
            <w:tcW w:w="1500" w:type="dxa"/>
          </w:tcPr>
          <w:p w14:paraId="7A8BE4D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2021 </w:t>
            </w:r>
          </w:p>
        </w:tc>
        <w:tc>
          <w:tcPr>
            <w:tcW w:w="1635" w:type="dxa"/>
          </w:tcPr>
          <w:p w14:paraId="63D6FF7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Alcalde </w:t>
            </w:r>
          </w:p>
          <w:p w14:paraId="4A147A7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San Luis</w:t>
            </w:r>
          </w:p>
        </w:tc>
      </w:tr>
      <w:tr w:rsidR="007B7514" w14:paraId="0341A9F5"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70219E78" w14:textId="77777777" w:rsidR="007B7514" w:rsidRDefault="007B7514" w:rsidP="00A6302C"/>
        </w:tc>
        <w:tc>
          <w:tcPr>
            <w:tcW w:w="465" w:type="dxa"/>
          </w:tcPr>
          <w:p w14:paraId="54C9481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w:t>
            </w:r>
          </w:p>
        </w:tc>
        <w:tc>
          <w:tcPr>
            <w:tcW w:w="2655" w:type="dxa"/>
          </w:tcPr>
          <w:p w14:paraId="48DFAD2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 – Puerto Nare</w:t>
            </w:r>
          </w:p>
        </w:tc>
        <w:tc>
          <w:tcPr>
            <w:tcW w:w="1500" w:type="dxa"/>
          </w:tcPr>
          <w:p w14:paraId="4802118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2021 </w:t>
            </w:r>
          </w:p>
        </w:tc>
        <w:tc>
          <w:tcPr>
            <w:tcW w:w="1635" w:type="dxa"/>
          </w:tcPr>
          <w:p w14:paraId="12680F0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Alcalde </w:t>
            </w:r>
          </w:p>
          <w:p w14:paraId="3D15AAA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San Luis</w:t>
            </w:r>
          </w:p>
        </w:tc>
      </w:tr>
      <w:tr w:rsidR="007B7514" w14:paraId="32CC7B31"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0921E031" w14:textId="77777777" w:rsidR="007B7514" w:rsidRDefault="007B7514" w:rsidP="00A6302C"/>
        </w:tc>
        <w:tc>
          <w:tcPr>
            <w:tcW w:w="465" w:type="dxa"/>
          </w:tcPr>
          <w:p w14:paraId="73A2768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3.</w:t>
            </w:r>
          </w:p>
        </w:tc>
        <w:tc>
          <w:tcPr>
            <w:tcW w:w="2655" w:type="dxa"/>
          </w:tcPr>
          <w:p w14:paraId="3AA9980F"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 – Puerto Triunfo</w:t>
            </w:r>
          </w:p>
        </w:tc>
        <w:tc>
          <w:tcPr>
            <w:tcW w:w="1500" w:type="dxa"/>
          </w:tcPr>
          <w:p w14:paraId="173B5A9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2021 </w:t>
            </w:r>
          </w:p>
        </w:tc>
        <w:tc>
          <w:tcPr>
            <w:tcW w:w="1635" w:type="dxa"/>
          </w:tcPr>
          <w:p w14:paraId="5B0EC58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 xml:space="preserve">Alcalde </w:t>
            </w:r>
          </w:p>
          <w:p w14:paraId="60BC4C6A"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San Luis</w:t>
            </w:r>
          </w:p>
        </w:tc>
      </w:tr>
      <w:tr w:rsidR="007B7514" w14:paraId="58EFFCF3"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699EC3DD" w14:textId="77777777" w:rsidR="007B7514" w:rsidRDefault="007B7514" w:rsidP="00A6302C"/>
        </w:tc>
        <w:tc>
          <w:tcPr>
            <w:tcW w:w="465" w:type="dxa"/>
          </w:tcPr>
          <w:p w14:paraId="0ACCF6E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4.</w:t>
            </w:r>
          </w:p>
        </w:tc>
        <w:tc>
          <w:tcPr>
            <w:tcW w:w="2655" w:type="dxa"/>
          </w:tcPr>
          <w:p w14:paraId="74292B9F"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 – San Carlos</w:t>
            </w:r>
          </w:p>
        </w:tc>
        <w:tc>
          <w:tcPr>
            <w:tcW w:w="1500" w:type="dxa"/>
          </w:tcPr>
          <w:p w14:paraId="6A7B70F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2021 </w:t>
            </w:r>
          </w:p>
        </w:tc>
        <w:tc>
          <w:tcPr>
            <w:tcW w:w="1635" w:type="dxa"/>
          </w:tcPr>
          <w:p w14:paraId="1CA8A2E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Alcalde </w:t>
            </w:r>
          </w:p>
          <w:p w14:paraId="0C7E00C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w:t>
            </w:r>
          </w:p>
        </w:tc>
      </w:tr>
      <w:tr w:rsidR="007B7514" w14:paraId="56E9EDDE"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09C7D464" w14:textId="77777777" w:rsidR="007B7514" w:rsidRDefault="007B7514" w:rsidP="00A6302C"/>
        </w:tc>
        <w:tc>
          <w:tcPr>
            <w:tcW w:w="465" w:type="dxa"/>
          </w:tcPr>
          <w:p w14:paraId="522BB93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5.</w:t>
            </w:r>
          </w:p>
        </w:tc>
        <w:tc>
          <w:tcPr>
            <w:tcW w:w="2655" w:type="dxa"/>
          </w:tcPr>
          <w:p w14:paraId="726CAE3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Campamento - Guadalupe</w:t>
            </w:r>
          </w:p>
        </w:tc>
        <w:tc>
          <w:tcPr>
            <w:tcW w:w="1500" w:type="dxa"/>
          </w:tcPr>
          <w:p w14:paraId="4E6397B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2021 </w:t>
            </w:r>
          </w:p>
        </w:tc>
        <w:tc>
          <w:tcPr>
            <w:tcW w:w="1635" w:type="dxa"/>
          </w:tcPr>
          <w:p w14:paraId="5DC13D4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Alcalde </w:t>
            </w:r>
          </w:p>
          <w:p w14:paraId="59596E5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Campamento - Guadalupe</w:t>
            </w:r>
          </w:p>
        </w:tc>
      </w:tr>
      <w:tr w:rsidR="007B7514" w14:paraId="16CA7B86"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675752AF" w14:textId="77777777" w:rsidR="007B7514" w:rsidRDefault="007B7514" w:rsidP="00A6302C"/>
        </w:tc>
        <w:tc>
          <w:tcPr>
            <w:tcW w:w="465" w:type="dxa"/>
          </w:tcPr>
          <w:p w14:paraId="1C0BF92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6.</w:t>
            </w:r>
          </w:p>
        </w:tc>
        <w:tc>
          <w:tcPr>
            <w:tcW w:w="2655" w:type="dxa"/>
          </w:tcPr>
          <w:p w14:paraId="12618D5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Santa Rosalía – La Primavera </w:t>
            </w:r>
          </w:p>
        </w:tc>
        <w:tc>
          <w:tcPr>
            <w:tcW w:w="1500" w:type="dxa"/>
          </w:tcPr>
          <w:p w14:paraId="4377B2A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2021 </w:t>
            </w:r>
          </w:p>
        </w:tc>
        <w:tc>
          <w:tcPr>
            <w:tcW w:w="1635" w:type="dxa"/>
          </w:tcPr>
          <w:p w14:paraId="620D49B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Alcalde </w:t>
            </w:r>
          </w:p>
          <w:p w14:paraId="32D0FEC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Santa Rosalía </w:t>
            </w:r>
          </w:p>
        </w:tc>
      </w:tr>
      <w:tr w:rsidR="007B7514" w14:paraId="46F3FD9B"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70F180BE" w14:textId="77777777" w:rsidR="007B7514" w:rsidRDefault="007B7514" w:rsidP="00A6302C"/>
        </w:tc>
        <w:tc>
          <w:tcPr>
            <w:tcW w:w="465" w:type="dxa"/>
          </w:tcPr>
          <w:p w14:paraId="7BE4FAA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7.</w:t>
            </w:r>
          </w:p>
        </w:tc>
        <w:tc>
          <w:tcPr>
            <w:tcW w:w="2655" w:type="dxa"/>
          </w:tcPr>
          <w:p w14:paraId="1A709570"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 - Granada (Antioquia)</w:t>
            </w:r>
          </w:p>
        </w:tc>
        <w:tc>
          <w:tcPr>
            <w:tcW w:w="1500" w:type="dxa"/>
          </w:tcPr>
          <w:p w14:paraId="6C21A92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6263113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Alcalde</w:t>
            </w:r>
          </w:p>
          <w:p w14:paraId="0D99238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San Luis</w:t>
            </w:r>
          </w:p>
        </w:tc>
      </w:tr>
      <w:tr w:rsidR="007B7514" w14:paraId="29A95BD9"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1954F2CF" w14:textId="77777777" w:rsidR="007B7514" w:rsidRDefault="007B7514" w:rsidP="00A6302C"/>
        </w:tc>
        <w:tc>
          <w:tcPr>
            <w:tcW w:w="465" w:type="dxa"/>
          </w:tcPr>
          <w:p w14:paraId="6AF3BE5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8.</w:t>
            </w:r>
          </w:p>
        </w:tc>
        <w:tc>
          <w:tcPr>
            <w:tcW w:w="2655" w:type="dxa"/>
          </w:tcPr>
          <w:p w14:paraId="23D948CD"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Toledo - San Andrés de Cuerquía</w:t>
            </w:r>
          </w:p>
        </w:tc>
        <w:tc>
          <w:tcPr>
            <w:tcW w:w="1500" w:type="dxa"/>
          </w:tcPr>
          <w:p w14:paraId="61CAA16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35A00BA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Alcalde </w:t>
            </w:r>
          </w:p>
          <w:p w14:paraId="57EC91F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 Toledo y San Andrés de Cuerquía</w:t>
            </w:r>
          </w:p>
        </w:tc>
      </w:tr>
      <w:tr w:rsidR="007B7514" w14:paraId="591D9FE7"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61354B81" w14:textId="77777777" w:rsidR="007B7514" w:rsidRDefault="007B7514" w:rsidP="00A6302C"/>
        </w:tc>
        <w:tc>
          <w:tcPr>
            <w:tcW w:w="465" w:type="dxa"/>
          </w:tcPr>
          <w:p w14:paraId="549E6C2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9.</w:t>
            </w:r>
          </w:p>
        </w:tc>
        <w:tc>
          <w:tcPr>
            <w:tcW w:w="2655" w:type="dxa"/>
          </w:tcPr>
          <w:p w14:paraId="5CA706C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Vijes - Yumbo (Valle del Cauca)</w:t>
            </w:r>
          </w:p>
        </w:tc>
        <w:tc>
          <w:tcPr>
            <w:tcW w:w="1500" w:type="dxa"/>
          </w:tcPr>
          <w:p w14:paraId="0EBBE38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59136BDB"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79B0426C"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608C379C" w14:textId="77777777" w:rsidR="007B7514" w:rsidRDefault="007B7514" w:rsidP="00A6302C"/>
        </w:tc>
        <w:tc>
          <w:tcPr>
            <w:tcW w:w="465" w:type="dxa"/>
          </w:tcPr>
          <w:p w14:paraId="7E3E3B9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10.</w:t>
            </w:r>
          </w:p>
        </w:tc>
        <w:tc>
          <w:tcPr>
            <w:tcW w:w="2655" w:type="dxa"/>
          </w:tcPr>
          <w:p w14:paraId="348089C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Vijes - La Cumbre (Valle del Cauca)</w:t>
            </w:r>
          </w:p>
        </w:tc>
        <w:tc>
          <w:tcPr>
            <w:tcW w:w="1500" w:type="dxa"/>
          </w:tcPr>
          <w:p w14:paraId="4232C8F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3153DF7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1EA2F624"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79F12EE7" w14:textId="77777777" w:rsidR="007B7514" w:rsidRDefault="007B7514" w:rsidP="00A6302C"/>
        </w:tc>
        <w:tc>
          <w:tcPr>
            <w:tcW w:w="465" w:type="dxa"/>
          </w:tcPr>
          <w:p w14:paraId="34A155EB"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11</w:t>
            </w:r>
          </w:p>
        </w:tc>
        <w:tc>
          <w:tcPr>
            <w:tcW w:w="2655" w:type="dxa"/>
          </w:tcPr>
          <w:p w14:paraId="2C69F7E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Vijes - Restrepo (Valle del Cauca)</w:t>
            </w:r>
          </w:p>
        </w:tc>
        <w:tc>
          <w:tcPr>
            <w:tcW w:w="1500" w:type="dxa"/>
          </w:tcPr>
          <w:p w14:paraId="7858497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6E0706F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453D1FFA"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6CC996C5" w14:textId="77777777" w:rsidR="007B7514" w:rsidRDefault="007B7514" w:rsidP="00A6302C"/>
        </w:tc>
        <w:tc>
          <w:tcPr>
            <w:tcW w:w="465" w:type="dxa"/>
          </w:tcPr>
          <w:p w14:paraId="0CA9FFA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12</w:t>
            </w:r>
          </w:p>
        </w:tc>
        <w:tc>
          <w:tcPr>
            <w:tcW w:w="2655" w:type="dxa"/>
          </w:tcPr>
          <w:p w14:paraId="70C1555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Vijes - Yotoco (Valle del Cauca)</w:t>
            </w:r>
          </w:p>
        </w:tc>
        <w:tc>
          <w:tcPr>
            <w:tcW w:w="1500" w:type="dxa"/>
          </w:tcPr>
          <w:p w14:paraId="43F4339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0A6AFB7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2A021026"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ign w:val="center"/>
          </w:tcPr>
          <w:p w14:paraId="5500924F" w14:textId="77777777" w:rsidR="007B7514" w:rsidRDefault="007B7514" w:rsidP="00A6302C"/>
        </w:tc>
        <w:tc>
          <w:tcPr>
            <w:tcW w:w="465" w:type="dxa"/>
          </w:tcPr>
          <w:p w14:paraId="11F9CE66" w14:textId="77777777" w:rsidR="007B7514" w:rsidRDefault="007B7514" w:rsidP="00A6302C">
            <w:pPr>
              <w:spacing w:line="240" w:lineRule="exact"/>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13.</w:t>
            </w:r>
          </w:p>
        </w:tc>
        <w:tc>
          <w:tcPr>
            <w:tcW w:w="2655" w:type="dxa"/>
          </w:tcPr>
          <w:p w14:paraId="376FCF8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Barrancominas – Inírida (Guainía)</w:t>
            </w:r>
          </w:p>
        </w:tc>
        <w:tc>
          <w:tcPr>
            <w:tcW w:w="1500" w:type="dxa"/>
          </w:tcPr>
          <w:p w14:paraId="5779824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6B86B60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6212E40E"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Align w:val="center"/>
          </w:tcPr>
          <w:p w14:paraId="2C3240F9" w14:textId="77777777" w:rsidR="007B7514" w:rsidRDefault="007B7514" w:rsidP="00A6302C">
            <w:pPr>
              <w:jc w:val="center"/>
            </w:pPr>
            <w:r w:rsidRPr="31FF9146">
              <w:rPr>
                <w:rFonts w:eastAsia="Arial" w:cs="Arial"/>
                <w:sz w:val="28"/>
                <w:szCs w:val="28"/>
                <w:lang w:val="es"/>
              </w:rPr>
              <w:t xml:space="preserve">1 </w:t>
            </w:r>
          </w:p>
          <w:p w14:paraId="1EF348A8" w14:textId="77777777" w:rsidR="007B7514" w:rsidRDefault="007B7514" w:rsidP="00A6302C">
            <w:pPr>
              <w:jc w:val="center"/>
            </w:pPr>
            <w:r w:rsidRPr="31FF9146">
              <w:rPr>
                <w:rFonts w:eastAsia="Arial" w:cs="Arial"/>
                <w:sz w:val="16"/>
                <w:szCs w:val="16"/>
                <w:lang w:val="es"/>
              </w:rPr>
              <w:t>proceso de deslinde</w:t>
            </w:r>
          </w:p>
          <w:p w14:paraId="76371158" w14:textId="77777777" w:rsidR="007B7514" w:rsidRDefault="007B7514" w:rsidP="00A6302C">
            <w:pPr>
              <w:jc w:val="center"/>
            </w:pPr>
            <w:r w:rsidRPr="31FF9146">
              <w:rPr>
                <w:rFonts w:eastAsia="Arial" w:cs="Arial"/>
                <w:sz w:val="16"/>
                <w:szCs w:val="16"/>
                <w:lang w:val="es"/>
              </w:rPr>
              <w:t>distrital</w:t>
            </w:r>
          </w:p>
        </w:tc>
        <w:tc>
          <w:tcPr>
            <w:tcW w:w="465" w:type="dxa"/>
          </w:tcPr>
          <w:p w14:paraId="39A165A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w:t>
            </w:r>
          </w:p>
        </w:tc>
        <w:tc>
          <w:tcPr>
            <w:tcW w:w="2655" w:type="dxa"/>
          </w:tcPr>
          <w:p w14:paraId="7FC5040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Bogotá D.C. – La Calera</w:t>
            </w:r>
          </w:p>
        </w:tc>
        <w:tc>
          <w:tcPr>
            <w:tcW w:w="1500" w:type="dxa"/>
          </w:tcPr>
          <w:p w14:paraId="4438EE1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2021 </w:t>
            </w:r>
          </w:p>
        </w:tc>
        <w:tc>
          <w:tcPr>
            <w:tcW w:w="1635" w:type="dxa"/>
          </w:tcPr>
          <w:p w14:paraId="5711D48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351F8FDD"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val="restart"/>
            <w:vAlign w:val="center"/>
          </w:tcPr>
          <w:p w14:paraId="09C3E2F4" w14:textId="77777777" w:rsidR="007B7514" w:rsidRDefault="007B7514" w:rsidP="00A6302C">
            <w:pPr>
              <w:jc w:val="center"/>
            </w:pPr>
            <w:r w:rsidRPr="31FF9146">
              <w:rPr>
                <w:rFonts w:eastAsia="Arial" w:cs="Arial"/>
                <w:sz w:val="28"/>
                <w:szCs w:val="28"/>
                <w:lang w:val="es"/>
              </w:rPr>
              <w:t xml:space="preserve">7 </w:t>
            </w:r>
          </w:p>
          <w:p w14:paraId="3AE65367" w14:textId="77777777" w:rsidR="007B7514" w:rsidRDefault="007B7514" w:rsidP="00A6302C">
            <w:pPr>
              <w:jc w:val="center"/>
            </w:pPr>
            <w:r w:rsidRPr="31FF9146">
              <w:rPr>
                <w:rFonts w:eastAsia="Arial" w:cs="Arial"/>
                <w:sz w:val="16"/>
                <w:szCs w:val="16"/>
                <w:lang w:val="es"/>
              </w:rPr>
              <w:t>procesos de deslindes</w:t>
            </w:r>
          </w:p>
          <w:p w14:paraId="311A6911" w14:textId="77777777" w:rsidR="007B7514" w:rsidRDefault="007B7514" w:rsidP="00A6302C">
            <w:pPr>
              <w:jc w:val="center"/>
            </w:pPr>
            <w:r w:rsidRPr="31FF9146">
              <w:rPr>
                <w:rFonts w:eastAsia="Arial" w:cs="Arial"/>
                <w:sz w:val="16"/>
                <w:szCs w:val="16"/>
                <w:lang w:val="es"/>
              </w:rPr>
              <w:t>departamentales</w:t>
            </w:r>
          </w:p>
          <w:p w14:paraId="5D3D7210" w14:textId="77777777" w:rsidR="007B7514" w:rsidRDefault="007B7514" w:rsidP="00A6302C">
            <w:pPr>
              <w:jc w:val="center"/>
            </w:pPr>
            <w:r w:rsidRPr="31FF9146">
              <w:rPr>
                <w:rFonts w:eastAsia="Arial" w:cs="Arial"/>
                <w:lang w:val="es"/>
              </w:rPr>
              <w:t xml:space="preserve"> </w:t>
            </w:r>
          </w:p>
        </w:tc>
        <w:tc>
          <w:tcPr>
            <w:tcW w:w="465" w:type="dxa"/>
          </w:tcPr>
          <w:p w14:paraId="194DB53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1.</w:t>
            </w:r>
          </w:p>
        </w:tc>
        <w:tc>
          <w:tcPr>
            <w:tcW w:w="2655" w:type="dxa"/>
          </w:tcPr>
          <w:p w14:paraId="552CE96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Antioquia - Córdoba: Tramo No.1</w:t>
            </w:r>
          </w:p>
        </w:tc>
        <w:tc>
          <w:tcPr>
            <w:tcW w:w="1500" w:type="dxa"/>
          </w:tcPr>
          <w:p w14:paraId="3703BF2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25C9431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284C2C64"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16DEE834" w14:textId="77777777" w:rsidR="007B7514" w:rsidRDefault="007B7514" w:rsidP="00A6302C"/>
        </w:tc>
        <w:tc>
          <w:tcPr>
            <w:tcW w:w="465" w:type="dxa"/>
          </w:tcPr>
          <w:p w14:paraId="007EE15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2.</w:t>
            </w:r>
          </w:p>
        </w:tc>
        <w:tc>
          <w:tcPr>
            <w:tcW w:w="2655" w:type="dxa"/>
          </w:tcPr>
          <w:p w14:paraId="1E97A74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Antioquia - Córdoba: Tramo No.2</w:t>
            </w:r>
          </w:p>
        </w:tc>
        <w:tc>
          <w:tcPr>
            <w:tcW w:w="1500" w:type="dxa"/>
          </w:tcPr>
          <w:p w14:paraId="3AF89B5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6E6B5FE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161B610A"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0D4FC6C8" w14:textId="77777777" w:rsidR="007B7514" w:rsidRDefault="007B7514" w:rsidP="00A6302C"/>
        </w:tc>
        <w:tc>
          <w:tcPr>
            <w:tcW w:w="465" w:type="dxa"/>
          </w:tcPr>
          <w:p w14:paraId="4889A0F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3.</w:t>
            </w:r>
          </w:p>
        </w:tc>
        <w:tc>
          <w:tcPr>
            <w:tcW w:w="2655" w:type="dxa"/>
          </w:tcPr>
          <w:p w14:paraId="62F0704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Antioquia - Córdoba: Tramo No.3</w:t>
            </w:r>
          </w:p>
        </w:tc>
        <w:tc>
          <w:tcPr>
            <w:tcW w:w="1500" w:type="dxa"/>
          </w:tcPr>
          <w:p w14:paraId="3D0F4F9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0F6E50B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6A1BB61A"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336666F8" w14:textId="77777777" w:rsidR="007B7514" w:rsidRDefault="007B7514" w:rsidP="00A6302C"/>
        </w:tc>
        <w:tc>
          <w:tcPr>
            <w:tcW w:w="465" w:type="dxa"/>
          </w:tcPr>
          <w:p w14:paraId="7A89039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4.</w:t>
            </w:r>
          </w:p>
        </w:tc>
        <w:tc>
          <w:tcPr>
            <w:tcW w:w="2655" w:type="dxa"/>
          </w:tcPr>
          <w:p w14:paraId="755CC83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Antioquia - Córdoba: Tramo No.4</w:t>
            </w:r>
          </w:p>
        </w:tc>
        <w:tc>
          <w:tcPr>
            <w:tcW w:w="1500" w:type="dxa"/>
          </w:tcPr>
          <w:p w14:paraId="0379137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56ED567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4C2D174D"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4425E23B" w14:textId="77777777" w:rsidR="007B7514" w:rsidRDefault="007B7514" w:rsidP="00A6302C"/>
        </w:tc>
        <w:tc>
          <w:tcPr>
            <w:tcW w:w="465" w:type="dxa"/>
          </w:tcPr>
          <w:p w14:paraId="7C64C2A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5.</w:t>
            </w:r>
          </w:p>
        </w:tc>
        <w:tc>
          <w:tcPr>
            <w:tcW w:w="2655" w:type="dxa"/>
          </w:tcPr>
          <w:p w14:paraId="408C7CF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 xml:space="preserve">Guainía - Guaviare   </w:t>
            </w:r>
          </w:p>
        </w:tc>
        <w:tc>
          <w:tcPr>
            <w:tcW w:w="1500" w:type="dxa"/>
          </w:tcPr>
          <w:p w14:paraId="68A3437B"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5A60BC8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4A1656D7"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78E3CEC5" w14:textId="77777777" w:rsidR="007B7514" w:rsidRDefault="007B7514" w:rsidP="00A6302C"/>
        </w:tc>
        <w:tc>
          <w:tcPr>
            <w:tcW w:w="465" w:type="dxa"/>
          </w:tcPr>
          <w:p w14:paraId="568047B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6.</w:t>
            </w:r>
          </w:p>
        </w:tc>
        <w:tc>
          <w:tcPr>
            <w:tcW w:w="2655" w:type="dxa"/>
          </w:tcPr>
          <w:p w14:paraId="124B08F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Guainía - Vichada</w:t>
            </w:r>
          </w:p>
        </w:tc>
        <w:tc>
          <w:tcPr>
            <w:tcW w:w="1500" w:type="dxa"/>
          </w:tcPr>
          <w:p w14:paraId="63A410B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2822620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r w:rsidR="007B7514" w14:paraId="1A2F58AF" w14:textId="77777777" w:rsidTr="00A6302C">
        <w:trPr>
          <w:trHeight w:val="330"/>
          <w:jc w:val="center"/>
        </w:trPr>
        <w:tc>
          <w:tcPr>
            <w:cnfStyle w:val="001000000000" w:firstRow="0" w:lastRow="0" w:firstColumn="1" w:lastColumn="0" w:oddVBand="0" w:evenVBand="0" w:oddHBand="0" w:evenHBand="0" w:firstRowFirstColumn="0" w:firstRowLastColumn="0" w:lastRowFirstColumn="0" w:lastRowLastColumn="0"/>
            <w:tcW w:w="1845" w:type="dxa"/>
            <w:vMerge/>
          </w:tcPr>
          <w:p w14:paraId="560E62D3" w14:textId="77777777" w:rsidR="007B7514" w:rsidRDefault="007B7514" w:rsidP="00A6302C"/>
        </w:tc>
        <w:tc>
          <w:tcPr>
            <w:tcW w:w="465" w:type="dxa"/>
          </w:tcPr>
          <w:p w14:paraId="00F2280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7.</w:t>
            </w:r>
          </w:p>
        </w:tc>
        <w:tc>
          <w:tcPr>
            <w:tcW w:w="2655" w:type="dxa"/>
          </w:tcPr>
          <w:p w14:paraId="64F5385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Norte de Santander - César</w:t>
            </w:r>
          </w:p>
        </w:tc>
        <w:tc>
          <w:tcPr>
            <w:tcW w:w="1500" w:type="dxa"/>
          </w:tcPr>
          <w:p w14:paraId="2E7ECE6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2020</w:t>
            </w:r>
          </w:p>
        </w:tc>
        <w:tc>
          <w:tcPr>
            <w:tcW w:w="1635" w:type="dxa"/>
          </w:tcPr>
          <w:p w14:paraId="51C1FDB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6"/>
                <w:szCs w:val="16"/>
                <w:lang w:val="es"/>
              </w:rPr>
              <w:t>IGAC</w:t>
            </w:r>
          </w:p>
        </w:tc>
      </w:tr>
    </w:tbl>
    <w:p w14:paraId="2569E713" w14:textId="77777777" w:rsidR="007B7514" w:rsidRPr="00D43F9E" w:rsidRDefault="007B7514" w:rsidP="007B7514">
      <w:pPr>
        <w:jc w:val="center"/>
        <w:rPr>
          <w:b/>
          <w:bCs/>
          <w:sz w:val="16"/>
          <w:szCs w:val="16"/>
        </w:rPr>
      </w:pPr>
      <w:r w:rsidRPr="00D43F9E">
        <w:rPr>
          <w:rFonts w:eastAsia="Arial" w:cs="Arial"/>
          <w:b/>
          <w:bCs/>
          <w:color w:val="000000" w:themeColor="text1"/>
          <w:sz w:val="16"/>
          <w:szCs w:val="16"/>
          <w:lang w:val="es"/>
        </w:rPr>
        <w:t>Fuente: IGAC. Subdirección de Geografía. 2021</w:t>
      </w:r>
    </w:p>
    <w:p w14:paraId="0E2A3841" w14:textId="6DE5A560" w:rsidR="006A386F" w:rsidRDefault="007B7514" w:rsidP="00712950">
      <w:pPr>
        <w:jc w:val="center"/>
        <w:rPr>
          <w:rFonts w:eastAsia="Arial" w:cs="Arial"/>
          <w:color w:val="000000" w:themeColor="text1"/>
          <w:lang w:val="es"/>
        </w:rPr>
      </w:pPr>
      <w:r w:rsidRPr="31FF9146">
        <w:rPr>
          <w:rFonts w:eastAsia="Arial" w:cs="Arial"/>
          <w:color w:val="000000" w:themeColor="text1"/>
          <w:lang w:val="es"/>
        </w:rPr>
        <w:t xml:space="preserve"> </w:t>
      </w:r>
    </w:p>
    <w:p w14:paraId="4A489645" w14:textId="2F2181C1" w:rsidR="00350BFA" w:rsidRPr="00350BFA" w:rsidRDefault="00350BFA" w:rsidP="00350BFA">
      <w:pPr>
        <w:pStyle w:val="Descripcin"/>
        <w:keepNext/>
        <w:jc w:val="center"/>
        <w:rPr>
          <w:rFonts w:ascii="Arial" w:hAnsi="Arial" w:cs="Arial"/>
          <w:b/>
          <w:bCs/>
          <w:i w:val="0"/>
          <w:iCs w:val="0"/>
          <w:color w:val="auto"/>
          <w:sz w:val="16"/>
          <w:szCs w:val="16"/>
        </w:rPr>
      </w:pPr>
      <w:bookmarkStart w:id="109" w:name="_Toc88677108"/>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36</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Líneas limítrofes con procesos de deslindes finalizados.</w:t>
      </w:r>
      <w:bookmarkEnd w:id="109"/>
    </w:p>
    <w:tbl>
      <w:tblPr>
        <w:tblStyle w:val="Tabladecuadrcula4-nfasis1"/>
        <w:tblW w:w="0" w:type="auto"/>
        <w:tblLayout w:type="fixed"/>
        <w:tblLook w:val="06A0" w:firstRow="1" w:lastRow="0" w:firstColumn="1" w:lastColumn="0" w:noHBand="1" w:noVBand="1"/>
      </w:tblPr>
      <w:tblGrid>
        <w:gridCol w:w="1170"/>
        <w:gridCol w:w="1235"/>
        <w:gridCol w:w="1418"/>
        <w:gridCol w:w="2117"/>
        <w:gridCol w:w="3180"/>
      </w:tblGrid>
      <w:tr w:rsidR="007B7514" w14:paraId="215074DD" w14:textId="77777777" w:rsidTr="00A630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3399C83" w14:textId="77777777" w:rsidR="007B7514" w:rsidRDefault="007B7514" w:rsidP="00A6302C">
            <w:pPr>
              <w:jc w:val="center"/>
            </w:pPr>
            <w:r w:rsidRPr="31FF9146">
              <w:rPr>
                <w:rFonts w:eastAsia="Arial" w:cs="Arial"/>
                <w:sz w:val="18"/>
                <w:szCs w:val="18"/>
                <w:lang w:val="es"/>
              </w:rPr>
              <w:t>Vigencia</w:t>
            </w:r>
          </w:p>
        </w:tc>
        <w:tc>
          <w:tcPr>
            <w:tcW w:w="12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4363AB0"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Procesos finalizados</w:t>
            </w:r>
          </w:p>
        </w:tc>
        <w:tc>
          <w:tcPr>
            <w:tcW w:w="353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F763766"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Líneas Limítrofes</w:t>
            </w:r>
          </w:p>
        </w:tc>
        <w:tc>
          <w:tcPr>
            <w:tcW w:w="31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5380625"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Salida gráfica</w:t>
            </w:r>
          </w:p>
        </w:tc>
      </w:tr>
      <w:tr w:rsidR="007B7514" w14:paraId="0269A56D" w14:textId="77777777" w:rsidTr="00A6302C">
        <w:trPr>
          <w:trHeight w:val="480"/>
        </w:trPr>
        <w:tc>
          <w:tcPr>
            <w:cnfStyle w:val="001000000000" w:firstRow="0" w:lastRow="0" w:firstColumn="1" w:lastColumn="0" w:oddVBand="0" w:evenVBand="0" w:oddHBand="0" w:evenHBand="0" w:firstRowFirstColumn="0" w:firstRowLastColumn="0" w:lastRowFirstColumn="0" w:lastRowLastColumn="0"/>
            <w:tcW w:w="1170" w:type="dxa"/>
            <w:vMerge w:val="restart"/>
            <w:tcBorders>
              <w:top w:val="single" w:sz="4" w:space="0" w:color="FFFFFF" w:themeColor="background1"/>
            </w:tcBorders>
            <w:vAlign w:val="center"/>
          </w:tcPr>
          <w:p w14:paraId="269FF756" w14:textId="77777777" w:rsidR="007B7514" w:rsidRDefault="007B7514" w:rsidP="00A6302C">
            <w:pPr>
              <w:jc w:val="center"/>
            </w:pPr>
            <w:r w:rsidRPr="31FF9146">
              <w:rPr>
                <w:rFonts w:eastAsia="Arial" w:cs="Arial"/>
                <w:lang w:val="es"/>
              </w:rPr>
              <w:t>2020</w:t>
            </w:r>
          </w:p>
        </w:tc>
        <w:tc>
          <w:tcPr>
            <w:tcW w:w="1235" w:type="dxa"/>
            <w:vMerge w:val="restart"/>
            <w:tcBorders>
              <w:top w:val="single" w:sz="4" w:space="0" w:color="FFFFFF" w:themeColor="background1"/>
            </w:tcBorders>
            <w:vAlign w:val="center"/>
          </w:tcPr>
          <w:p w14:paraId="61E068CB"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sz w:val="28"/>
                <w:szCs w:val="28"/>
                <w:lang w:val="es"/>
              </w:rPr>
              <w:t>5</w:t>
            </w:r>
          </w:p>
          <w:p w14:paraId="792129A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procesos de deslindes finalizados</w:t>
            </w:r>
          </w:p>
        </w:tc>
        <w:tc>
          <w:tcPr>
            <w:tcW w:w="1418" w:type="dxa"/>
            <w:vMerge w:val="restart"/>
            <w:tcBorders>
              <w:top w:val="single" w:sz="4" w:space="0" w:color="FFFFFF" w:themeColor="background1"/>
            </w:tcBorders>
          </w:tcPr>
          <w:p w14:paraId="0848F4A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Antioquia</w:t>
            </w:r>
          </w:p>
        </w:tc>
        <w:tc>
          <w:tcPr>
            <w:tcW w:w="2117" w:type="dxa"/>
            <w:tcBorders>
              <w:top w:val="single" w:sz="4" w:space="0" w:color="FFFFFF" w:themeColor="background1"/>
            </w:tcBorders>
          </w:tcPr>
          <w:p w14:paraId="71DF12B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1.Toledo-San Andrés</w:t>
            </w:r>
          </w:p>
        </w:tc>
        <w:tc>
          <w:tcPr>
            <w:tcW w:w="3180" w:type="dxa"/>
            <w:vMerge w:val="restart"/>
            <w:tcBorders>
              <w:top w:val="single" w:sz="4" w:space="0" w:color="FFFFFF" w:themeColor="background1"/>
            </w:tcBorders>
          </w:tcPr>
          <w:p w14:paraId="15DE0B71"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 xml:space="preserve">  </w:t>
            </w:r>
            <w:r>
              <w:rPr>
                <w:noProof/>
                <w:lang w:val="es-CO" w:eastAsia="es-CO"/>
              </w:rPr>
              <w:drawing>
                <wp:inline distT="0" distB="0" distL="0" distR="0" wp14:anchorId="2094D7B8" wp14:editId="09246FDC">
                  <wp:extent cx="1662193" cy="1257876"/>
                  <wp:effectExtent l="0" t="0" r="0" b="0"/>
                  <wp:docPr id="291697637" name="Imagen 291697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
                            <a:extLst>
                              <a:ext uri="{28A0092B-C50C-407E-A947-70E740481C1C}">
                                <a14:useLocalDpi xmlns:a14="http://schemas.microsoft.com/office/drawing/2010/main" val="0"/>
                              </a:ext>
                            </a:extLst>
                          </a:blip>
                          <a:stretch>
                            <a:fillRect/>
                          </a:stretch>
                        </pic:blipFill>
                        <pic:spPr>
                          <a:xfrm>
                            <a:off x="0" y="0"/>
                            <a:ext cx="1662193" cy="1257876"/>
                          </a:xfrm>
                          <a:prstGeom prst="rect">
                            <a:avLst/>
                          </a:prstGeom>
                        </pic:spPr>
                      </pic:pic>
                    </a:graphicData>
                  </a:graphic>
                </wp:inline>
              </w:drawing>
            </w:r>
          </w:p>
        </w:tc>
      </w:tr>
      <w:tr w:rsidR="007B7514" w14:paraId="2F3FB4B6" w14:textId="77777777" w:rsidTr="00A6302C">
        <w:trPr>
          <w:trHeight w:val="480"/>
        </w:trPr>
        <w:tc>
          <w:tcPr>
            <w:cnfStyle w:val="001000000000" w:firstRow="0" w:lastRow="0" w:firstColumn="1" w:lastColumn="0" w:oddVBand="0" w:evenVBand="0" w:oddHBand="0" w:evenHBand="0" w:firstRowFirstColumn="0" w:firstRowLastColumn="0" w:lastRowFirstColumn="0" w:lastRowLastColumn="0"/>
            <w:tcW w:w="1170" w:type="dxa"/>
            <w:vMerge/>
            <w:vAlign w:val="center"/>
          </w:tcPr>
          <w:p w14:paraId="29FC02FE" w14:textId="77777777" w:rsidR="007B7514" w:rsidRDefault="007B7514" w:rsidP="00A6302C"/>
        </w:tc>
        <w:tc>
          <w:tcPr>
            <w:tcW w:w="1235" w:type="dxa"/>
            <w:vMerge/>
            <w:vAlign w:val="center"/>
          </w:tcPr>
          <w:p w14:paraId="440B8D30"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tcPr>
          <w:p w14:paraId="0A343CC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2117" w:type="dxa"/>
          </w:tcPr>
          <w:p w14:paraId="110CB66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2.Campamento-Yarumal</w:t>
            </w:r>
          </w:p>
        </w:tc>
        <w:tc>
          <w:tcPr>
            <w:tcW w:w="3180" w:type="dxa"/>
            <w:vMerge/>
          </w:tcPr>
          <w:p w14:paraId="2FBE368E"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239EF3CF" w14:textId="77777777" w:rsidTr="00A6302C">
        <w:trPr>
          <w:trHeight w:val="480"/>
        </w:trPr>
        <w:tc>
          <w:tcPr>
            <w:cnfStyle w:val="001000000000" w:firstRow="0" w:lastRow="0" w:firstColumn="1" w:lastColumn="0" w:oddVBand="0" w:evenVBand="0" w:oddHBand="0" w:evenHBand="0" w:firstRowFirstColumn="0" w:firstRowLastColumn="0" w:lastRowFirstColumn="0" w:lastRowLastColumn="0"/>
            <w:tcW w:w="1170" w:type="dxa"/>
            <w:vMerge/>
            <w:vAlign w:val="center"/>
          </w:tcPr>
          <w:p w14:paraId="3A047CC4" w14:textId="77777777" w:rsidR="007B7514" w:rsidRDefault="007B7514" w:rsidP="00A6302C"/>
        </w:tc>
        <w:tc>
          <w:tcPr>
            <w:tcW w:w="1235" w:type="dxa"/>
            <w:vMerge/>
            <w:vAlign w:val="center"/>
          </w:tcPr>
          <w:p w14:paraId="59332C1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val="restart"/>
          </w:tcPr>
          <w:p w14:paraId="1B2F53B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Valle del Cauca</w:t>
            </w:r>
          </w:p>
        </w:tc>
        <w:tc>
          <w:tcPr>
            <w:tcW w:w="2117" w:type="dxa"/>
          </w:tcPr>
          <w:p w14:paraId="01AC23ED"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3.Vijes-La Cumbre</w:t>
            </w:r>
          </w:p>
        </w:tc>
        <w:tc>
          <w:tcPr>
            <w:tcW w:w="3180" w:type="dxa"/>
            <w:vMerge/>
          </w:tcPr>
          <w:p w14:paraId="43EAD94B"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D938294" w14:textId="77777777" w:rsidTr="00A6302C">
        <w:trPr>
          <w:trHeight w:val="480"/>
        </w:trPr>
        <w:tc>
          <w:tcPr>
            <w:cnfStyle w:val="001000000000" w:firstRow="0" w:lastRow="0" w:firstColumn="1" w:lastColumn="0" w:oddVBand="0" w:evenVBand="0" w:oddHBand="0" w:evenHBand="0" w:firstRowFirstColumn="0" w:firstRowLastColumn="0" w:lastRowFirstColumn="0" w:lastRowLastColumn="0"/>
            <w:tcW w:w="1170" w:type="dxa"/>
            <w:vMerge/>
            <w:vAlign w:val="center"/>
          </w:tcPr>
          <w:p w14:paraId="23FC0359" w14:textId="77777777" w:rsidR="007B7514" w:rsidRDefault="007B7514" w:rsidP="00A6302C"/>
        </w:tc>
        <w:tc>
          <w:tcPr>
            <w:tcW w:w="1235" w:type="dxa"/>
            <w:vMerge/>
            <w:vAlign w:val="center"/>
          </w:tcPr>
          <w:p w14:paraId="16193B2F"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tcPr>
          <w:p w14:paraId="6100495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2117" w:type="dxa"/>
          </w:tcPr>
          <w:p w14:paraId="630ABBE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4.Vijes-Yocoto</w:t>
            </w:r>
          </w:p>
        </w:tc>
        <w:tc>
          <w:tcPr>
            <w:tcW w:w="3180" w:type="dxa"/>
            <w:vMerge/>
          </w:tcPr>
          <w:p w14:paraId="2DD7DF0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21989EE8" w14:textId="77777777" w:rsidTr="00A6302C">
        <w:trPr>
          <w:trHeight w:val="480"/>
        </w:trPr>
        <w:tc>
          <w:tcPr>
            <w:cnfStyle w:val="001000000000" w:firstRow="0" w:lastRow="0" w:firstColumn="1" w:lastColumn="0" w:oddVBand="0" w:evenVBand="0" w:oddHBand="0" w:evenHBand="0" w:firstRowFirstColumn="0" w:firstRowLastColumn="0" w:lastRowFirstColumn="0" w:lastRowLastColumn="0"/>
            <w:tcW w:w="1170" w:type="dxa"/>
            <w:vMerge/>
            <w:vAlign w:val="center"/>
          </w:tcPr>
          <w:p w14:paraId="2F0557B6" w14:textId="77777777" w:rsidR="007B7514" w:rsidRDefault="007B7514" w:rsidP="00A6302C"/>
        </w:tc>
        <w:tc>
          <w:tcPr>
            <w:tcW w:w="1235" w:type="dxa"/>
            <w:vMerge/>
            <w:vAlign w:val="center"/>
          </w:tcPr>
          <w:p w14:paraId="7B02A2D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tcPr>
          <w:p w14:paraId="2F2D845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2117" w:type="dxa"/>
          </w:tcPr>
          <w:p w14:paraId="003A077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5.Vijes-Restrepo</w:t>
            </w:r>
          </w:p>
        </w:tc>
        <w:tc>
          <w:tcPr>
            <w:tcW w:w="3180" w:type="dxa"/>
            <w:vMerge/>
          </w:tcPr>
          <w:p w14:paraId="4D3C691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66972A2B"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val="restart"/>
            <w:vAlign w:val="center"/>
          </w:tcPr>
          <w:p w14:paraId="7714DC55" w14:textId="77777777" w:rsidR="007B7514" w:rsidRDefault="007B7514" w:rsidP="00A6302C">
            <w:pPr>
              <w:jc w:val="center"/>
            </w:pPr>
            <w:r w:rsidRPr="31FF9146">
              <w:rPr>
                <w:rFonts w:eastAsia="Arial" w:cs="Arial"/>
                <w:lang w:val="es"/>
              </w:rPr>
              <w:lastRenderedPageBreak/>
              <w:t>2021</w:t>
            </w:r>
          </w:p>
        </w:tc>
        <w:tc>
          <w:tcPr>
            <w:tcW w:w="1235" w:type="dxa"/>
            <w:vMerge w:val="restart"/>
            <w:vAlign w:val="center"/>
          </w:tcPr>
          <w:p w14:paraId="76558F9A" w14:textId="77777777" w:rsidR="007B7514" w:rsidRDefault="007B7514" w:rsidP="00A6302C">
            <w:pPr>
              <w:spacing w:line="300" w:lineRule="exact"/>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sz w:val="28"/>
                <w:szCs w:val="28"/>
                <w:lang w:val="es"/>
              </w:rPr>
              <w:t>6</w:t>
            </w:r>
          </w:p>
          <w:p w14:paraId="4B73085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procesos de</w:t>
            </w:r>
            <w:r>
              <w:rPr>
                <w:rFonts w:eastAsia="Arial" w:cs="Arial"/>
                <w:sz w:val="18"/>
                <w:szCs w:val="18"/>
                <w:lang w:val="es"/>
              </w:rPr>
              <w:t>s</w:t>
            </w:r>
            <w:r w:rsidRPr="31FF9146">
              <w:rPr>
                <w:rFonts w:eastAsia="Arial" w:cs="Arial"/>
                <w:sz w:val="18"/>
                <w:szCs w:val="18"/>
                <w:lang w:val="es"/>
              </w:rPr>
              <w:t>lindes finalizados</w:t>
            </w:r>
          </w:p>
        </w:tc>
        <w:tc>
          <w:tcPr>
            <w:tcW w:w="1418" w:type="dxa"/>
            <w:vMerge w:val="restart"/>
          </w:tcPr>
          <w:p w14:paraId="17140C7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Antioquia</w:t>
            </w:r>
          </w:p>
        </w:tc>
        <w:tc>
          <w:tcPr>
            <w:tcW w:w="2117" w:type="dxa"/>
          </w:tcPr>
          <w:p w14:paraId="772FB5D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1.Fredonia-Venecia</w:t>
            </w:r>
          </w:p>
        </w:tc>
        <w:tc>
          <w:tcPr>
            <w:tcW w:w="3180" w:type="dxa"/>
            <w:vMerge w:val="restart"/>
          </w:tcPr>
          <w:p w14:paraId="7C5F7C7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 xml:space="preserve"> </w:t>
            </w:r>
            <w:r>
              <w:rPr>
                <w:noProof/>
                <w:lang w:val="es-CO" w:eastAsia="es-CO"/>
              </w:rPr>
              <w:drawing>
                <wp:inline distT="0" distB="0" distL="0" distR="0" wp14:anchorId="55E3FF5F" wp14:editId="26C8BF0C">
                  <wp:extent cx="1788873" cy="1270716"/>
                  <wp:effectExtent l="0" t="0" r="0" b="0"/>
                  <wp:docPr id="815030241" name="Imagen 815030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8">
                            <a:extLst>
                              <a:ext uri="{28A0092B-C50C-407E-A947-70E740481C1C}">
                                <a14:useLocalDpi xmlns:a14="http://schemas.microsoft.com/office/drawing/2010/main" val="0"/>
                              </a:ext>
                            </a:extLst>
                          </a:blip>
                          <a:stretch>
                            <a:fillRect/>
                          </a:stretch>
                        </pic:blipFill>
                        <pic:spPr>
                          <a:xfrm>
                            <a:off x="0" y="0"/>
                            <a:ext cx="1788873" cy="1270716"/>
                          </a:xfrm>
                          <a:prstGeom prst="rect">
                            <a:avLst/>
                          </a:prstGeom>
                        </pic:spPr>
                      </pic:pic>
                    </a:graphicData>
                  </a:graphic>
                </wp:inline>
              </w:drawing>
            </w:r>
          </w:p>
          <w:p w14:paraId="763734E6"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rPr>
              <w:t xml:space="preserve"> </w:t>
            </w:r>
          </w:p>
          <w:p w14:paraId="3EF5610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4"/>
                <w:szCs w:val="14"/>
                <w:lang w:val="es"/>
              </w:rPr>
              <w:t xml:space="preserve"> </w:t>
            </w:r>
          </w:p>
        </w:tc>
      </w:tr>
      <w:tr w:rsidR="007B7514" w14:paraId="2FBF9B18"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tcPr>
          <w:p w14:paraId="5039A669" w14:textId="77777777" w:rsidR="007B7514" w:rsidRDefault="007B7514" w:rsidP="00A6302C"/>
        </w:tc>
        <w:tc>
          <w:tcPr>
            <w:tcW w:w="1235" w:type="dxa"/>
            <w:vMerge/>
          </w:tcPr>
          <w:p w14:paraId="4EB1EE7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tcPr>
          <w:p w14:paraId="1B167A1E"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2117" w:type="dxa"/>
          </w:tcPr>
          <w:p w14:paraId="4857826D"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2.El Retiro-Envigado</w:t>
            </w:r>
          </w:p>
        </w:tc>
        <w:tc>
          <w:tcPr>
            <w:tcW w:w="3180" w:type="dxa"/>
            <w:vMerge/>
          </w:tcPr>
          <w:p w14:paraId="60336BE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70B6AE0E"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tcPr>
          <w:p w14:paraId="64ADAC34" w14:textId="77777777" w:rsidR="007B7514" w:rsidRDefault="007B7514" w:rsidP="00A6302C"/>
        </w:tc>
        <w:tc>
          <w:tcPr>
            <w:tcW w:w="1235" w:type="dxa"/>
            <w:vMerge/>
          </w:tcPr>
          <w:p w14:paraId="75B4217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tcPr>
          <w:p w14:paraId="1A75365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Valle del Cauca</w:t>
            </w:r>
          </w:p>
        </w:tc>
        <w:tc>
          <w:tcPr>
            <w:tcW w:w="2117" w:type="dxa"/>
          </w:tcPr>
          <w:p w14:paraId="1DB1719B"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3.Vijes-Yumbo</w:t>
            </w:r>
          </w:p>
        </w:tc>
        <w:tc>
          <w:tcPr>
            <w:tcW w:w="3180" w:type="dxa"/>
            <w:vMerge/>
          </w:tcPr>
          <w:p w14:paraId="3B601948"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429FB299"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tcPr>
          <w:p w14:paraId="2B403331" w14:textId="77777777" w:rsidR="007B7514" w:rsidRDefault="007B7514" w:rsidP="00A6302C"/>
        </w:tc>
        <w:tc>
          <w:tcPr>
            <w:tcW w:w="1235" w:type="dxa"/>
            <w:vMerge/>
          </w:tcPr>
          <w:p w14:paraId="58F8AC0D"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val="restart"/>
          </w:tcPr>
          <w:p w14:paraId="56ED52F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Barrancominas</w:t>
            </w:r>
          </w:p>
        </w:tc>
        <w:tc>
          <w:tcPr>
            <w:tcW w:w="2117" w:type="dxa"/>
          </w:tcPr>
          <w:p w14:paraId="69951C0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4.Guanía-Vichada</w:t>
            </w:r>
          </w:p>
        </w:tc>
        <w:tc>
          <w:tcPr>
            <w:tcW w:w="3180" w:type="dxa"/>
            <w:vMerge/>
          </w:tcPr>
          <w:p w14:paraId="186054BE"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15984913"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tcPr>
          <w:p w14:paraId="03936C8E" w14:textId="77777777" w:rsidR="007B7514" w:rsidRDefault="007B7514" w:rsidP="00A6302C"/>
        </w:tc>
        <w:tc>
          <w:tcPr>
            <w:tcW w:w="1235" w:type="dxa"/>
            <w:vMerge/>
          </w:tcPr>
          <w:p w14:paraId="49B83650"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vMerge/>
          </w:tcPr>
          <w:p w14:paraId="3B0873C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2117" w:type="dxa"/>
          </w:tcPr>
          <w:p w14:paraId="4E4E758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5.Guainía-Guaviare</w:t>
            </w:r>
          </w:p>
        </w:tc>
        <w:tc>
          <w:tcPr>
            <w:tcW w:w="3180" w:type="dxa"/>
            <w:vMerge/>
          </w:tcPr>
          <w:p w14:paraId="32FFACE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r w:rsidR="007B7514" w14:paraId="0EF49657" w14:textId="77777777" w:rsidTr="00A6302C">
        <w:trPr>
          <w:trHeight w:val="390"/>
        </w:trPr>
        <w:tc>
          <w:tcPr>
            <w:cnfStyle w:val="001000000000" w:firstRow="0" w:lastRow="0" w:firstColumn="1" w:lastColumn="0" w:oddVBand="0" w:evenVBand="0" w:oddHBand="0" w:evenHBand="0" w:firstRowFirstColumn="0" w:firstRowLastColumn="0" w:lastRowFirstColumn="0" w:lastRowLastColumn="0"/>
            <w:tcW w:w="1170" w:type="dxa"/>
            <w:vMerge/>
          </w:tcPr>
          <w:p w14:paraId="0E3811C2" w14:textId="77777777" w:rsidR="007B7514" w:rsidRDefault="007B7514" w:rsidP="00A6302C"/>
        </w:tc>
        <w:tc>
          <w:tcPr>
            <w:tcW w:w="1235" w:type="dxa"/>
            <w:vMerge/>
          </w:tcPr>
          <w:p w14:paraId="180DE744"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c>
          <w:tcPr>
            <w:tcW w:w="1418" w:type="dxa"/>
          </w:tcPr>
          <w:p w14:paraId="686DE07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Guainía</w:t>
            </w:r>
          </w:p>
        </w:tc>
        <w:tc>
          <w:tcPr>
            <w:tcW w:w="2117" w:type="dxa"/>
          </w:tcPr>
          <w:p w14:paraId="5A49EB82"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sz w:val="18"/>
                <w:szCs w:val="18"/>
                <w:lang w:val="es"/>
              </w:rPr>
              <w:t>6.Barrancominas – Inírida</w:t>
            </w:r>
          </w:p>
        </w:tc>
        <w:tc>
          <w:tcPr>
            <w:tcW w:w="3180" w:type="dxa"/>
            <w:vMerge/>
          </w:tcPr>
          <w:p w14:paraId="60DCBAB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p>
        </w:tc>
      </w:tr>
    </w:tbl>
    <w:p w14:paraId="58384B7D" w14:textId="77777777" w:rsidR="007B7514" w:rsidRPr="00C804D8" w:rsidRDefault="007B7514" w:rsidP="007B7514">
      <w:pPr>
        <w:jc w:val="center"/>
        <w:rPr>
          <w:b/>
          <w:bCs/>
          <w:sz w:val="16"/>
          <w:szCs w:val="16"/>
        </w:rPr>
      </w:pPr>
      <w:r w:rsidRPr="00C804D8">
        <w:rPr>
          <w:b/>
          <w:bCs/>
          <w:sz w:val="16"/>
          <w:szCs w:val="16"/>
        </w:rPr>
        <w:t>Fuente: IGAC. Subdirección de Geografía. 2021</w:t>
      </w:r>
    </w:p>
    <w:p w14:paraId="02B4E9FC" w14:textId="77777777" w:rsidR="007B7514" w:rsidRDefault="007B7514" w:rsidP="007B7514">
      <w:pPr>
        <w:jc w:val="center"/>
      </w:pPr>
      <w:r w:rsidRPr="00C804D8">
        <w:t xml:space="preserve"> </w:t>
      </w:r>
    </w:p>
    <w:p w14:paraId="7181076A" w14:textId="77777777" w:rsidR="007B7514" w:rsidRDefault="007B7514" w:rsidP="007B7514">
      <w:pPr>
        <w:jc w:val="both"/>
      </w:pPr>
      <w:r w:rsidRPr="31FF9146">
        <w:rPr>
          <w:rFonts w:eastAsia="Arial" w:cs="Arial"/>
          <w:color w:val="000000" w:themeColor="text1"/>
          <w:sz w:val="22"/>
          <w:szCs w:val="22"/>
          <w:lang w:val="es"/>
        </w:rPr>
        <w:t>Cabe resaltar que, desde el año 2017, el IGAC no había conseguido finalizar en acuerdo procesos de deslindes, por lo que los logros alcanzados en estos últimos años, se atribuyen al trabajo y disposición de todas las partes (representantes legales y delegados de las entidades territoriales) para realizar las sesiones de deslinde virtuales y de campo en el menor tiempo posible.</w:t>
      </w:r>
    </w:p>
    <w:p w14:paraId="7E06676A" w14:textId="77777777" w:rsidR="007B7514" w:rsidRDefault="007B7514" w:rsidP="007B7514">
      <w:pPr>
        <w:jc w:val="center"/>
      </w:pPr>
      <w:r w:rsidRPr="31FF9146">
        <w:rPr>
          <w:rFonts w:eastAsia="Arial" w:cs="Arial"/>
          <w:color w:val="000000" w:themeColor="text1"/>
          <w:sz w:val="22"/>
          <w:szCs w:val="22"/>
          <w:lang w:val="es"/>
        </w:rPr>
        <w:t xml:space="preserve"> </w:t>
      </w:r>
    </w:p>
    <w:p w14:paraId="7E812675" w14:textId="665F2E81" w:rsidR="007B7514" w:rsidRDefault="007B7514" w:rsidP="007B7514">
      <w:pPr>
        <w:jc w:val="both"/>
      </w:pPr>
      <w:r w:rsidRPr="31FF9146">
        <w:rPr>
          <w:rFonts w:eastAsia="Arial" w:cs="Arial"/>
          <w:color w:val="000000" w:themeColor="text1"/>
          <w:sz w:val="22"/>
          <w:szCs w:val="22"/>
          <w:lang w:val="es"/>
        </w:rPr>
        <w:t xml:space="preserve">Los demás procesos lograron avanzar en promedio durante el 2020: 21,46% los departamentales y 21,63% los municipales; y durante el 2021 se avanzó en promedio 9,81% los departamentales y 17,35% los municipales durante 2021. </w:t>
      </w:r>
    </w:p>
    <w:p w14:paraId="3BAD6013" w14:textId="77777777" w:rsidR="007B7514" w:rsidRDefault="007B7514" w:rsidP="007B7514">
      <w:pPr>
        <w:jc w:val="both"/>
      </w:pPr>
    </w:p>
    <w:p w14:paraId="5E127BBD" w14:textId="77777777" w:rsidR="006A386F" w:rsidRDefault="006A386F" w:rsidP="007B7514">
      <w:pPr>
        <w:jc w:val="both"/>
      </w:pPr>
    </w:p>
    <w:p w14:paraId="5EF0EC83" w14:textId="77777777" w:rsidR="006A386F" w:rsidRDefault="006A386F" w:rsidP="007B7514">
      <w:pPr>
        <w:jc w:val="both"/>
      </w:pPr>
    </w:p>
    <w:p w14:paraId="46B67B71" w14:textId="77777777" w:rsidR="006A386F" w:rsidRDefault="006A386F" w:rsidP="007B7514">
      <w:pPr>
        <w:jc w:val="both"/>
      </w:pPr>
    </w:p>
    <w:p w14:paraId="63F4356E" w14:textId="77777777" w:rsidR="006A386F" w:rsidRDefault="006A386F" w:rsidP="007B7514">
      <w:pPr>
        <w:jc w:val="both"/>
      </w:pPr>
    </w:p>
    <w:p w14:paraId="21DCB64D" w14:textId="77777777" w:rsidR="006A386F" w:rsidRDefault="006A386F" w:rsidP="007B7514">
      <w:pPr>
        <w:jc w:val="both"/>
      </w:pPr>
    </w:p>
    <w:p w14:paraId="5F949196" w14:textId="77777777" w:rsidR="006A386F" w:rsidRDefault="006A386F" w:rsidP="007B7514">
      <w:pPr>
        <w:jc w:val="both"/>
      </w:pPr>
    </w:p>
    <w:p w14:paraId="1EE62DE2" w14:textId="77777777" w:rsidR="006A386F" w:rsidRDefault="006A386F" w:rsidP="007B7514">
      <w:pPr>
        <w:jc w:val="both"/>
      </w:pPr>
    </w:p>
    <w:p w14:paraId="2913069D" w14:textId="05200360" w:rsidR="006A386F" w:rsidRDefault="006A386F" w:rsidP="007B7514">
      <w:pPr>
        <w:jc w:val="both"/>
      </w:pPr>
    </w:p>
    <w:p w14:paraId="382E1EE4" w14:textId="5C63E053" w:rsidR="00833937" w:rsidRDefault="00833937" w:rsidP="007B7514">
      <w:pPr>
        <w:jc w:val="both"/>
      </w:pPr>
    </w:p>
    <w:p w14:paraId="7EA1C5A3" w14:textId="1F27F73A" w:rsidR="00833937" w:rsidRDefault="00833937" w:rsidP="007B7514">
      <w:pPr>
        <w:jc w:val="both"/>
      </w:pPr>
    </w:p>
    <w:p w14:paraId="5B442D08" w14:textId="61807840" w:rsidR="00833937" w:rsidRDefault="00833937" w:rsidP="007B7514">
      <w:pPr>
        <w:jc w:val="both"/>
      </w:pPr>
    </w:p>
    <w:p w14:paraId="1892221E" w14:textId="39339DD5" w:rsidR="00833937" w:rsidRDefault="00833937" w:rsidP="007B7514">
      <w:pPr>
        <w:jc w:val="both"/>
      </w:pPr>
    </w:p>
    <w:p w14:paraId="0C3AD26B" w14:textId="47A704C6" w:rsidR="00833937" w:rsidRDefault="00833937" w:rsidP="007B7514">
      <w:pPr>
        <w:jc w:val="both"/>
      </w:pPr>
    </w:p>
    <w:p w14:paraId="6D6EF8B8" w14:textId="55488E0C" w:rsidR="00833937" w:rsidRDefault="00833937" w:rsidP="007B7514">
      <w:pPr>
        <w:jc w:val="both"/>
      </w:pPr>
    </w:p>
    <w:p w14:paraId="5B7E4F14" w14:textId="17ACA19D" w:rsidR="00833937" w:rsidRDefault="00833937" w:rsidP="007B7514">
      <w:pPr>
        <w:jc w:val="both"/>
      </w:pPr>
    </w:p>
    <w:p w14:paraId="54C0B45D" w14:textId="77777777" w:rsidR="00833937" w:rsidRDefault="00833937" w:rsidP="007B7514">
      <w:pPr>
        <w:jc w:val="both"/>
      </w:pPr>
    </w:p>
    <w:p w14:paraId="1EECA820" w14:textId="77777777" w:rsidR="006A386F" w:rsidRDefault="006A386F" w:rsidP="007B7514">
      <w:pPr>
        <w:jc w:val="both"/>
      </w:pPr>
    </w:p>
    <w:p w14:paraId="61A1FC2B" w14:textId="77777777" w:rsidR="006A386F" w:rsidRDefault="006A386F" w:rsidP="007B7514">
      <w:pPr>
        <w:jc w:val="both"/>
      </w:pPr>
    </w:p>
    <w:p w14:paraId="11C29870" w14:textId="77777777" w:rsidR="006A386F" w:rsidRDefault="006A386F" w:rsidP="007B7514">
      <w:pPr>
        <w:jc w:val="both"/>
      </w:pPr>
    </w:p>
    <w:p w14:paraId="5B8E25C5" w14:textId="64F40A6C" w:rsidR="006A386F" w:rsidRPr="00E45BF8" w:rsidRDefault="00E45BF8" w:rsidP="00E45BF8">
      <w:pPr>
        <w:pStyle w:val="Descripcin"/>
        <w:jc w:val="center"/>
        <w:rPr>
          <w:rFonts w:ascii="Arial" w:hAnsi="Arial" w:cs="Arial"/>
          <w:b/>
          <w:i w:val="0"/>
          <w:sz w:val="16"/>
          <w:szCs w:val="16"/>
        </w:rPr>
      </w:pPr>
      <w:bookmarkStart w:id="110" w:name="_Toc88677189"/>
      <w:r w:rsidRPr="00E45BF8">
        <w:rPr>
          <w:rFonts w:ascii="Arial" w:hAnsi="Arial" w:cs="Arial"/>
          <w:b/>
          <w:bCs/>
          <w:i w:val="0"/>
          <w:iCs w:val="0"/>
          <w:color w:val="000000" w:themeColor="text1"/>
          <w:sz w:val="16"/>
          <w:szCs w:val="16"/>
        </w:rPr>
        <w:lastRenderedPageBreak/>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33</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w:t>
      </w:r>
      <w:r>
        <w:rPr>
          <w:rFonts w:ascii="Arial" w:hAnsi="Arial" w:cs="Arial"/>
          <w:b/>
          <w:bCs/>
          <w:i w:val="0"/>
          <w:iCs w:val="0"/>
          <w:color w:val="000000" w:themeColor="text1"/>
          <w:sz w:val="16"/>
          <w:szCs w:val="16"/>
        </w:rPr>
        <w:t xml:space="preserve"> </w:t>
      </w:r>
      <w:r w:rsidRPr="00E45BF8">
        <w:rPr>
          <w:rFonts w:ascii="Arial" w:hAnsi="Arial" w:cs="Arial"/>
          <w:b/>
          <w:bCs/>
          <w:i w:val="0"/>
          <w:iCs w:val="0"/>
          <w:color w:val="000000" w:themeColor="text1"/>
          <w:sz w:val="16"/>
          <w:szCs w:val="16"/>
        </w:rPr>
        <w:t>Avances procesos de deslindes 2020 y 2021</w:t>
      </w:r>
      <w:bookmarkEnd w:id="110"/>
    </w:p>
    <w:p w14:paraId="28C2D9E0" w14:textId="77777777" w:rsidR="006A386F" w:rsidRDefault="006A386F" w:rsidP="007B7514">
      <w:pPr>
        <w:jc w:val="center"/>
        <w:rPr>
          <w:rFonts w:eastAsia="Arial" w:cs="Arial"/>
          <w:b/>
          <w:bCs/>
          <w:color w:val="000000" w:themeColor="text1"/>
          <w:sz w:val="16"/>
          <w:szCs w:val="16"/>
          <w:lang w:val="es"/>
        </w:rPr>
      </w:pPr>
    </w:p>
    <w:p w14:paraId="7524C676" w14:textId="77777777" w:rsidR="006A386F" w:rsidRDefault="006A386F" w:rsidP="007B7514">
      <w:pPr>
        <w:jc w:val="center"/>
        <w:rPr>
          <w:rFonts w:eastAsia="Arial" w:cs="Arial"/>
          <w:b/>
          <w:bCs/>
          <w:color w:val="000000" w:themeColor="text1"/>
          <w:sz w:val="16"/>
          <w:szCs w:val="16"/>
          <w:lang w:val="es"/>
        </w:rPr>
      </w:pPr>
    </w:p>
    <w:p w14:paraId="7C641497" w14:textId="77777777" w:rsidR="007B7514" w:rsidRDefault="007B7514" w:rsidP="007B7514">
      <w:pPr>
        <w:jc w:val="center"/>
      </w:pPr>
      <w:r>
        <w:rPr>
          <w:noProof/>
          <w:lang w:val="es-CO" w:eastAsia="es-CO"/>
        </w:rPr>
        <w:drawing>
          <wp:inline distT="0" distB="0" distL="0" distR="0" wp14:anchorId="7E55F989" wp14:editId="4B280374">
            <wp:extent cx="6043625" cy="3439236"/>
            <wp:effectExtent l="0" t="0" r="0" b="8890"/>
            <wp:docPr id="291697638" name="Imagen 291697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6062058" cy="3449726"/>
                    </a:xfrm>
                    <a:prstGeom prst="rect">
                      <a:avLst/>
                    </a:prstGeom>
                    <a:noFill/>
                    <a:ln>
                      <a:noFill/>
                    </a:ln>
                  </pic:spPr>
                </pic:pic>
              </a:graphicData>
            </a:graphic>
          </wp:inline>
        </w:drawing>
      </w:r>
    </w:p>
    <w:p w14:paraId="2676D1E1" w14:textId="77777777" w:rsidR="007B7514" w:rsidRDefault="007B7514" w:rsidP="007B7514">
      <w:pPr>
        <w:jc w:val="center"/>
        <w:rPr>
          <w:rFonts w:eastAsia="Arial" w:cs="Arial"/>
          <w:b/>
          <w:bCs/>
          <w:color w:val="000000" w:themeColor="text1"/>
          <w:sz w:val="16"/>
          <w:szCs w:val="16"/>
          <w:lang w:val="es"/>
        </w:rPr>
      </w:pPr>
    </w:p>
    <w:p w14:paraId="375E634E" w14:textId="77777777" w:rsidR="007B7514" w:rsidRPr="00EF7223" w:rsidRDefault="007B7514" w:rsidP="007B7514">
      <w:pPr>
        <w:jc w:val="center"/>
        <w:rPr>
          <w:rFonts w:eastAsia="Arial" w:cs="Arial"/>
          <w:b/>
          <w:bCs/>
          <w:color w:val="000000" w:themeColor="text1"/>
          <w:sz w:val="16"/>
          <w:szCs w:val="16"/>
          <w:lang w:val="es"/>
        </w:rPr>
      </w:pPr>
      <w:r w:rsidRPr="00EF7223">
        <w:rPr>
          <w:rFonts w:eastAsia="Arial" w:cs="Arial"/>
          <w:b/>
          <w:bCs/>
          <w:color w:val="000000" w:themeColor="text1"/>
          <w:sz w:val="16"/>
          <w:szCs w:val="16"/>
          <w:lang w:val="es"/>
        </w:rPr>
        <w:t>Fuente: IGAC. Subdirección de Geografía. 2021</w:t>
      </w:r>
    </w:p>
    <w:p w14:paraId="3B147483" w14:textId="77777777" w:rsidR="007B7514" w:rsidRDefault="007B7514" w:rsidP="007B7514">
      <w:pPr>
        <w:jc w:val="both"/>
      </w:pPr>
      <w:r w:rsidRPr="31FF9146">
        <w:rPr>
          <w:rFonts w:eastAsia="Arial" w:cs="Arial"/>
          <w:color w:val="000000" w:themeColor="text1"/>
          <w:lang w:val="es"/>
        </w:rPr>
        <w:t xml:space="preserve"> </w:t>
      </w:r>
    </w:p>
    <w:p w14:paraId="6934F736" w14:textId="48C84535" w:rsidR="007B7514" w:rsidRDefault="007B7514" w:rsidP="007B7514">
      <w:pPr>
        <w:jc w:val="both"/>
      </w:pPr>
      <w:r w:rsidRPr="31FF9146">
        <w:rPr>
          <w:rFonts w:eastAsia="Arial" w:cs="Arial"/>
          <w:color w:val="000000" w:themeColor="text1"/>
          <w:sz w:val="22"/>
          <w:szCs w:val="22"/>
        </w:rPr>
        <w:t>Por último, y con el propósito de estandarizar y lograr un mayor nivel de detalle en la delimitación de las líneas limítrofes del país, se estructuró y elaboró un documento que presenta los lineamientos técnicos para el uso de información cartográfica a escala 1:10.000 en la representación de objetos o elementos geográficos descritos en ordenanzas o leyes.</w:t>
      </w:r>
    </w:p>
    <w:p w14:paraId="2FFCB214" w14:textId="77777777" w:rsidR="007B7514" w:rsidRDefault="007B7514" w:rsidP="007B7514">
      <w:pPr>
        <w:jc w:val="both"/>
      </w:pPr>
      <w:r w:rsidRPr="31FF9146">
        <w:rPr>
          <w:rFonts w:eastAsia="Arial" w:cs="Arial"/>
          <w:color w:val="000000" w:themeColor="text1"/>
          <w:sz w:val="22"/>
          <w:szCs w:val="22"/>
          <w:lang w:val="es"/>
        </w:rPr>
        <w:t xml:space="preserve"> </w:t>
      </w:r>
    </w:p>
    <w:p w14:paraId="0C486C7B"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Paralelamente, y con el propósito de conocer el estado actual de los límites de las entidades territoriales del país y determinar acciones que permitan definirlos oficialmente, durante el 2020 y 2021 se realizó el diagnóstico de 770 líneas limítrofes correspondientes 219 municipios, a partir del análisis normativo y cartográfico existente, los cuales adicionalmente se convierten en un insumo indispensable para la caracterización territorial, los procesos de deslindes y el levantamiento catastral del país. </w:t>
      </w:r>
    </w:p>
    <w:p w14:paraId="51765B89" w14:textId="77777777" w:rsidR="007B7514" w:rsidRDefault="007B7514" w:rsidP="007B7514">
      <w:pPr>
        <w:jc w:val="both"/>
        <w:rPr>
          <w:rFonts w:eastAsia="Arial" w:cs="Arial"/>
          <w:color w:val="000000" w:themeColor="text1"/>
          <w:sz w:val="22"/>
          <w:szCs w:val="22"/>
          <w:lang w:val="es"/>
        </w:rPr>
      </w:pPr>
    </w:p>
    <w:p w14:paraId="44A28118" w14:textId="77777777" w:rsidR="007B7514" w:rsidRDefault="007B7514" w:rsidP="007B7514">
      <w:pPr>
        <w:jc w:val="both"/>
        <w:rPr>
          <w:rFonts w:eastAsia="Arial" w:cs="Arial"/>
          <w:color w:val="000000" w:themeColor="text1"/>
          <w:sz w:val="22"/>
          <w:szCs w:val="22"/>
          <w:lang w:val="es"/>
        </w:rPr>
      </w:pPr>
    </w:p>
    <w:p w14:paraId="293F45E5" w14:textId="77777777" w:rsidR="007B7514" w:rsidRDefault="007B7514" w:rsidP="007B7514">
      <w:pPr>
        <w:jc w:val="both"/>
        <w:rPr>
          <w:rFonts w:eastAsia="Arial" w:cs="Arial"/>
          <w:color w:val="000000" w:themeColor="text1"/>
          <w:sz w:val="22"/>
          <w:szCs w:val="22"/>
          <w:lang w:val="es"/>
        </w:rPr>
      </w:pPr>
    </w:p>
    <w:p w14:paraId="677C2949" w14:textId="571AB5DC" w:rsidR="007B7514" w:rsidRDefault="007B7514" w:rsidP="007B7514">
      <w:pPr>
        <w:jc w:val="both"/>
        <w:rPr>
          <w:rFonts w:eastAsia="Arial" w:cs="Arial"/>
          <w:color w:val="000000" w:themeColor="text1"/>
          <w:sz w:val="22"/>
          <w:szCs w:val="22"/>
          <w:lang w:val="es"/>
        </w:rPr>
      </w:pPr>
    </w:p>
    <w:p w14:paraId="36BF9E4D" w14:textId="7028C098" w:rsidR="00712950" w:rsidRDefault="00712950" w:rsidP="007B7514">
      <w:pPr>
        <w:jc w:val="both"/>
        <w:rPr>
          <w:rFonts w:eastAsia="Arial" w:cs="Arial"/>
          <w:color w:val="000000" w:themeColor="text1"/>
          <w:sz w:val="22"/>
          <w:szCs w:val="22"/>
          <w:lang w:val="es"/>
        </w:rPr>
      </w:pPr>
    </w:p>
    <w:p w14:paraId="66717224" w14:textId="2934B0B6" w:rsidR="00712950" w:rsidRDefault="00712950" w:rsidP="007B7514">
      <w:pPr>
        <w:jc w:val="both"/>
        <w:rPr>
          <w:rFonts w:eastAsia="Arial" w:cs="Arial"/>
          <w:color w:val="000000" w:themeColor="text1"/>
          <w:sz w:val="22"/>
          <w:szCs w:val="22"/>
          <w:lang w:val="es"/>
        </w:rPr>
      </w:pPr>
    </w:p>
    <w:p w14:paraId="656C0397" w14:textId="7BD2B103" w:rsidR="00712950" w:rsidRDefault="00712950" w:rsidP="007B7514">
      <w:pPr>
        <w:jc w:val="both"/>
        <w:rPr>
          <w:rFonts w:eastAsia="Arial" w:cs="Arial"/>
          <w:color w:val="000000" w:themeColor="text1"/>
          <w:sz w:val="22"/>
          <w:szCs w:val="22"/>
          <w:lang w:val="es"/>
        </w:rPr>
      </w:pPr>
    </w:p>
    <w:p w14:paraId="5CDDB547" w14:textId="408041EE" w:rsidR="00712950" w:rsidRDefault="00712950" w:rsidP="007B7514">
      <w:pPr>
        <w:jc w:val="both"/>
        <w:rPr>
          <w:rFonts w:eastAsia="Arial" w:cs="Arial"/>
          <w:color w:val="000000" w:themeColor="text1"/>
          <w:sz w:val="22"/>
          <w:szCs w:val="22"/>
          <w:lang w:val="es"/>
        </w:rPr>
      </w:pPr>
    </w:p>
    <w:p w14:paraId="136E18D6" w14:textId="01BB8743" w:rsidR="00712950" w:rsidRDefault="00712950" w:rsidP="007B7514">
      <w:pPr>
        <w:jc w:val="both"/>
        <w:rPr>
          <w:rFonts w:eastAsia="Arial" w:cs="Arial"/>
          <w:color w:val="000000" w:themeColor="text1"/>
          <w:sz w:val="22"/>
          <w:szCs w:val="22"/>
          <w:lang w:val="es"/>
        </w:rPr>
      </w:pPr>
    </w:p>
    <w:p w14:paraId="1240CDB0" w14:textId="5B1FA331" w:rsidR="00712950" w:rsidRDefault="00712950" w:rsidP="007B7514">
      <w:pPr>
        <w:jc w:val="both"/>
        <w:rPr>
          <w:rFonts w:eastAsia="Arial" w:cs="Arial"/>
          <w:color w:val="000000" w:themeColor="text1"/>
          <w:sz w:val="22"/>
          <w:szCs w:val="22"/>
          <w:lang w:val="es"/>
        </w:rPr>
      </w:pPr>
    </w:p>
    <w:p w14:paraId="67C47FDE" w14:textId="77777777" w:rsidR="00712950" w:rsidRDefault="00712950" w:rsidP="007B7514">
      <w:pPr>
        <w:jc w:val="both"/>
        <w:rPr>
          <w:rFonts w:eastAsia="Arial" w:cs="Arial"/>
          <w:color w:val="000000" w:themeColor="text1"/>
          <w:sz w:val="22"/>
          <w:szCs w:val="22"/>
          <w:lang w:val="es"/>
        </w:rPr>
      </w:pPr>
    </w:p>
    <w:p w14:paraId="2148B20F" w14:textId="77777777" w:rsidR="007B7514" w:rsidRDefault="007B7514" w:rsidP="007B7514">
      <w:pPr>
        <w:jc w:val="both"/>
        <w:rPr>
          <w:rFonts w:eastAsia="Arial" w:cs="Arial"/>
          <w:color w:val="000000" w:themeColor="text1"/>
          <w:sz w:val="22"/>
          <w:szCs w:val="22"/>
          <w:lang w:val="es"/>
        </w:rPr>
      </w:pPr>
    </w:p>
    <w:p w14:paraId="7CE3A96F" w14:textId="77777777" w:rsidR="007B7514" w:rsidRDefault="007B7514" w:rsidP="007B7514">
      <w:pPr>
        <w:jc w:val="both"/>
        <w:rPr>
          <w:rFonts w:eastAsia="Arial" w:cs="Arial"/>
          <w:color w:val="000000" w:themeColor="text1"/>
          <w:sz w:val="22"/>
          <w:szCs w:val="22"/>
          <w:lang w:val="es"/>
        </w:rPr>
      </w:pPr>
    </w:p>
    <w:p w14:paraId="44E80C2C" w14:textId="2AF24C60" w:rsidR="007B7514" w:rsidRPr="00E45BF8" w:rsidRDefault="00E45BF8" w:rsidP="00E45BF8">
      <w:pPr>
        <w:pStyle w:val="Descripcin"/>
        <w:jc w:val="center"/>
        <w:rPr>
          <w:rFonts w:ascii="Arial" w:eastAsia="Arial" w:hAnsi="Arial" w:cs="Arial"/>
          <w:b/>
          <w:i w:val="0"/>
          <w:color w:val="000000" w:themeColor="text1"/>
          <w:sz w:val="16"/>
          <w:szCs w:val="16"/>
          <w:lang w:val="es"/>
        </w:rPr>
      </w:pPr>
      <w:bookmarkStart w:id="111" w:name="_Toc88677190"/>
      <w:r w:rsidRPr="00E45BF8">
        <w:rPr>
          <w:rFonts w:ascii="Arial" w:hAnsi="Arial" w:cs="Arial"/>
          <w:b/>
          <w:bCs/>
          <w:i w:val="0"/>
          <w:iCs w:val="0"/>
          <w:color w:val="000000" w:themeColor="text1"/>
          <w:sz w:val="16"/>
          <w:szCs w:val="16"/>
        </w:rPr>
        <w:lastRenderedPageBreak/>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34</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Municipios con diagnósticos de límites de entidades territoriales</w:t>
      </w:r>
      <w:bookmarkEnd w:id="111"/>
    </w:p>
    <w:p w14:paraId="012940EB" w14:textId="77777777" w:rsidR="007B7514" w:rsidRPr="00EF7223" w:rsidRDefault="007B7514" w:rsidP="007B7514">
      <w:pPr>
        <w:jc w:val="center"/>
        <w:rPr>
          <w:rFonts w:eastAsia="Arial" w:cs="Arial"/>
          <w:b/>
          <w:bCs/>
          <w:color w:val="000000" w:themeColor="text1"/>
          <w:sz w:val="16"/>
          <w:szCs w:val="16"/>
        </w:rPr>
      </w:pPr>
      <w:r>
        <w:rPr>
          <w:noProof/>
          <w:lang w:val="es-CO" w:eastAsia="es-CO"/>
        </w:rPr>
        <w:drawing>
          <wp:anchor distT="0" distB="0" distL="114300" distR="114300" simplePos="0" relativeHeight="251658267" behindDoc="0" locked="0" layoutInCell="1" allowOverlap="1" wp14:anchorId="60BCF9D7" wp14:editId="4CC9A717">
            <wp:simplePos x="0" y="0"/>
            <wp:positionH relativeFrom="margin">
              <wp:align>center</wp:align>
            </wp:positionH>
            <wp:positionV relativeFrom="paragraph">
              <wp:posOffset>95250</wp:posOffset>
            </wp:positionV>
            <wp:extent cx="3030432" cy="3924300"/>
            <wp:effectExtent l="0" t="0" r="0" b="0"/>
            <wp:wrapSquare wrapText="bothSides"/>
            <wp:docPr id="1848559770" name="Imagen 1848559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0">
                      <a:extLst>
                        <a:ext uri="{28A0092B-C50C-407E-A947-70E740481C1C}">
                          <a14:useLocalDpi xmlns:a14="http://schemas.microsoft.com/office/drawing/2010/main" val="0"/>
                        </a:ext>
                      </a:extLst>
                    </a:blip>
                    <a:stretch>
                      <a:fillRect/>
                    </a:stretch>
                  </pic:blipFill>
                  <pic:spPr>
                    <a:xfrm>
                      <a:off x="0" y="0"/>
                      <a:ext cx="3030432" cy="3924300"/>
                    </a:xfrm>
                    <a:prstGeom prst="rect">
                      <a:avLst/>
                    </a:prstGeom>
                  </pic:spPr>
                </pic:pic>
              </a:graphicData>
            </a:graphic>
          </wp:anchor>
        </w:drawing>
      </w:r>
      <w:r>
        <w:br w:type="textWrapping" w:clear="all"/>
      </w:r>
      <w:r w:rsidRPr="31FF9146">
        <w:rPr>
          <w:rFonts w:eastAsia="Arial" w:cs="Arial"/>
          <w:b/>
          <w:bCs/>
          <w:color w:val="000000" w:themeColor="text1"/>
          <w:sz w:val="14"/>
          <w:szCs w:val="14"/>
          <w:lang w:val="es-MX"/>
        </w:rPr>
        <w:t xml:space="preserve"> </w:t>
      </w:r>
      <w:r w:rsidRPr="00EF7223">
        <w:rPr>
          <w:rFonts w:eastAsia="Arial" w:cs="Arial"/>
          <w:b/>
          <w:bCs/>
          <w:color w:val="000000" w:themeColor="text1"/>
          <w:sz w:val="16"/>
          <w:szCs w:val="16"/>
        </w:rPr>
        <w:t>Fuente: IGAC. Dirección de Gestión de la Información Geográfica</w:t>
      </w:r>
    </w:p>
    <w:p w14:paraId="3039B0C2" w14:textId="2E154144" w:rsidR="007B7514" w:rsidRPr="00833937" w:rsidRDefault="00833937" w:rsidP="00833937">
      <w:pPr>
        <w:jc w:val="center"/>
        <w:rPr>
          <w:rFonts w:eastAsia="Arial" w:cs="Arial"/>
          <w:b/>
          <w:bCs/>
          <w:color w:val="000000" w:themeColor="text1"/>
          <w:sz w:val="16"/>
          <w:szCs w:val="16"/>
        </w:rPr>
      </w:pPr>
      <w:r>
        <w:rPr>
          <w:rFonts w:eastAsia="Arial" w:cs="Arial"/>
          <w:b/>
          <w:bCs/>
          <w:color w:val="000000" w:themeColor="text1"/>
          <w:sz w:val="16"/>
          <w:szCs w:val="16"/>
        </w:rPr>
        <w:t xml:space="preserve"> </w:t>
      </w:r>
      <w:r w:rsidR="007B7514" w:rsidRPr="31FF9146">
        <w:rPr>
          <w:rFonts w:eastAsia="Arial" w:cs="Arial"/>
          <w:color w:val="000000" w:themeColor="text1"/>
          <w:sz w:val="14"/>
          <w:szCs w:val="14"/>
          <w:lang w:val="es"/>
        </w:rPr>
        <w:t xml:space="preserve"> </w:t>
      </w:r>
      <w:r w:rsidR="007B7514" w:rsidRPr="31FF9146">
        <w:rPr>
          <w:rFonts w:eastAsia="Arial" w:cs="Arial"/>
          <w:color w:val="000000" w:themeColor="text1"/>
          <w:lang w:val="es"/>
        </w:rPr>
        <w:t xml:space="preserve"> </w:t>
      </w:r>
    </w:p>
    <w:p w14:paraId="303EC0AB" w14:textId="77777777" w:rsidR="007B7514" w:rsidRPr="00581D98" w:rsidRDefault="007B7514" w:rsidP="007B7514">
      <w:pPr>
        <w:spacing w:line="257" w:lineRule="exact"/>
        <w:jc w:val="both"/>
        <w:rPr>
          <w:rFonts w:eastAsia="Arial" w:cs="Arial"/>
          <w:b/>
          <w:color w:val="365F91" w:themeColor="accent1" w:themeShade="BF"/>
          <w:sz w:val="22"/>
          <w:szCs w:val="22"/>
          <w:lang w:val="es-MX"/>
        </w:rPr>
      </w:pPr>
      <w:r w:rsidRPr="00581D98">
        <w:rPr>
          <w:rFonts w:eastAsia="Arial"/>
          <w:b/>
          <w:sz w:val="22"/>
          <w:szCs w:val="22"/>
        </w:rPr>
        <w:t>APOYO TÉCNICO PARA LA EVALUACIÓN DE EXPEDIENTES DE TITULACIÓN Y LA DETERMINACIÓN DE LOS LÍMITES DE RESGUARDOS Y TERRITORIOS COLECTIVOS</w:t>
      </w:r>
      <w:r w:rsidRPr="00581D98">
        <w:rPr>
          <w:rFonts w:eastAsia="Arial" w:cs="Arial"/>
          <w:b/>
          <w:color w:val="365F91" w:themeColor="accent1" w:themeShade="BF"/>
          <w:sz w:val="22"/>
          <w:szCs w:val="22"/>
          <w:lang w:val="es-MX"/>
        </w:rPr>
        <w:t>.</w:t>
      </w:r>
    </w:p>
    <w:p w14:paraId="727230D1" w14:textId="77777777" w:rsidR="007B7514" w:rsidRDefault="007B7514" w:rsidP="007B7514">
      <w:pPr>
        <w:jc w:val="both"/>
        <w:rPr>
          <w:rFonts w:eastAsia="Arial" w:cs="Arial"/>
          <w:i/>
          <w:iCs/>
          <w:color w:val="365F91" w:themeColor="accent1" w:themeShade="BF"/>
          <w:sz w:val="22"/>
          <w:szCs w:val="22"/>
          <w:lang w:val="es-MX"/>
        </w:rPr>
      </w:pPr>
      <w:r w:rsidRPr="31FF9146">
        <w:rPr>
          <w:rFonts w:eastAsia="Arial" w:cs="Arial"/>
          <w:i/>
          <w:iCs/>
          <w:color w:val="365F91" w:themeColor="accent1" w:themeShade="BF"/>
          <w:sz w:val="22"/>
          <w:szCs w:val="22"/>
          <w:lang w:val="es-MX"/>
        </w:rPr>
        <w:t xml:space="preserve"> </w:t>
      </w:r>
    </w:p>
    <w:p w14:paraId="21C7B3D2"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En cuanto al apoyo técnico en territorios colectivos, el IGAC participó en reuniones institucionales y con autoridades indígenas en el marco de la Mesa Permanente de Concertación con el fin de revisar los avances en algunos indicadores de asuntos étnicos. Asimismo, atendió las solicitudes de información y requerimientos relacionados con el quehacer misional del Instituto en cuanto a grupos étnicos, tanto por parte del Congreso de la República como de otras entidades del Gobierno Nacional.</w:t>
      </w:r>
    </w:p>
    <w:p w14:paraId="054A365E"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0B1454AC"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De igual forma, con el propósito de fortalecer la gestión de información cartográfica de territorios colectivos, para la vigencia 2020 se elaboró el documento sobre las especificaciones técnicas información cartografía territorios colectivos. Adicionalmente, se elaboró el instructivo de asesoría técnica a los procedimientos de legalización de Resguardos Indígenas y titulación de Consejos Comunitarios a Comunidades Negras liderados por la Agencia Nacional de Tierras (ANT), cuyo objetivo radica en contar con los lineamientos para llevar a cabo la revisión de información cartográfica de los procesos de saneamiento realizados por dicha entidad y en los que el Instituto participa.</w:t>
      </w:r>
    </w:p>
    <w:p w14:paraId="2600F785"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0E24632A"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A octubre de 2021, se atendieron requerimientos sobre información geográfica, jurídica y/o social de resguardos indígenas y límites de comunidades indígenas. Se ha participado en espacios sobre procesos de restitución de tierras en las Mesas de trabajo Interinstitucionales, procesos de legalización de tierras de Resguardos Indígenas al IGAC para evaluación.</w:t>
      </w:r>
    </w:p>
    <w:p w14:paraId="24FCFE6D"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lastRenderedPageBreak/>
        <w:t xml:space="preserve"> </w:t>
      </w:r>
    </w:p>
    <w:p w14:paraId="18B96FF8"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A partir de la información cartográfica de territorios colectivos remitida por la Agencia Nacional de Tierras (ANT), el IGAC en su función de autoridad cartográfica, y en especial la Dirección de Gestión de la Información Geográfica, realiza la recepción y custodia de esta información, verificación conforme a los parámetros de calidad definidos en las especificaciones técnicas, e integración a las herramientas de difusión de información geográfica como el atlas digital Colombia en Mapas, por lo cual se construyó el documento técnico sobre la revisión e integración de la información cartográfica de territorios colectivos.</w:t>
      </w:r>
    </w:p>
    <w:p w14:paraId="1D0944CD"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07A13FCC"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Frente al cumplimiento del artículo 5 del Decreto 1500 de 2018, el cual establece que </w:t>
      </w:r>
      <w:r w:rsidRPr="31FF9146">
        <w:rPr>
          <w:rFonts w:eastAsia="Arial" w:cs="Arial"/>
          <w:i/>
          <w:iCs/>
          <w:color w:val="000000" w:themeColor="text1"/>
          <w:sz w:val="22"/>
          <w:szCs w:val="22"/>
          <w:lang w:val="es"/>
        </w:rPr>
        <w:t xml:space="preserve">“El territorio tradicional y ancestral de los cuatro pueblos indígenas de la SNSM, es el espacio delimitado en la cartografía oficial adoptada por el IGAC, una vez suscrito el presente decreto, el cual es anexo y parte integral del mismo”, </w:t>
      </w:r>
      <w:r w:rsidRPr="31FF9146">
        <w:rPr>
          <w:rFonts w:eastAsia="Arial" w:cs="Arial"/>
          <w:color w:val="000000" w:themeColor="text1"/>
          <w:sz w:val="22"/>
          <w:szCs w:val="22"/>
          <w:lang w:val="es"/>
        </w:rPr>
        <w:t>se encontró que el IGAC había manifestado de manera oficial en diferentes oportunidades frente a autoridades judiciales, entidades públicas, empresas privadas y organizaciones indígenas, la necesidad de contar con los insumos necesarios por parte de entidades competentes en la materia para poder realizar tal delimitación, pues la misionalidad del IGAC se orienta a desarrollar e implementar políticas en materia de cartografía, agrología, catastro y geografía, pero los asuntos temáticos de orden cultural, ancestral y de espacios sagrados exceden las competencias.</w:t>
      </w:r>
    </w:p>
    <w:p w14:paraId="501927FC"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701FD532"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Adicionalmente, en dichos planteamientos se ha advertido que desde el IGAC se desconoce el anexo mencionado en el Decreto, por lo que independiente de las competencias, sin ese anexo técnico no es posible plasmar la citada delimitación geográfica.</w:t>
      </w:r>
    </w:p>
    <w:p w14:paraId="1042D986"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6F9FB4FB"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Dado que el cumplimiento de este decreto también se incluyó en el actual Plan Nacional de Desarrollo a través del indicador G23, periódicamente es necesario presentar reportes de implementación tanto al Departamento Nacional de Planeación (DNP) como a las autoridades indígenas a través de instancias como la Mesa Permanente de Concertación (MPC). Con el contexto dado, es evidente que los reportes entregados son de no cumplimiento a lo establecido por el Decreto 1500.</w:t>
      </w:r>
    </w:p>
    <w:p w14:paraId="5CEEF013" w14:textId="77777777" w:rsidR="007B7514" w:rsidRDefault="007B7514" w:rsidP="007B7514">
      <w:pPr>
        <w:jc w:val="both"/>
        <w:rPr>
          <w:rFonts w:eastAsia="Arial" w:cs="Arial"/>
          <w:color w:val="000000" w:themeColor="text1"/>
          <w:lang w:val="es"/>
        </w:rPr>
      </w:pPr>
    </w:p>
    <w:p w14:paraId="557D0283" w14:textId="77777777" w:rsidR="007B7514" w:rsidRDefault="007B7514" w:rsidP="007B7514">
      <w:pPr>
        <w:jc w:val="both"/>
      </w:pPr>
      <w:r w:rsidRPr="31FF9146">
        <w:rPr>
          <w:rFonts w:eastAsia="Arial" w:cs="Arial"/>
          <w:color w:val="000000" w:themeColor="text1"/>
          <w:sz w:val="22"/>
          <w:szCs w:val="22"/>
          <w:lang w:val="es"/>
        </w:rPr>
        <w:t>Bajo este contexto, desde el IGAC se realizó la siguiente gestión:</w:t>
      </w:r>
    </w:p>
    <w:p w14:paraId="37D62DDD" w14:textId="77777777" w:rsidR="007B7514" w:rsidRDefault="007B7514" w:rsidP="007B7514">
      <w:pPr>
        <w:jc w:val="both"/>
      </w:pPr>
      <w:r w:rsidRPr="31FF9146">
        <w:rPr>
          <w:rFonts w:eastAsia="Arial" w:cs="Arial"/>
          <w:color w:val="000000" w:themeColor="text1"/>
          <w:sz w:val="22"/>
          <w:szCs w:val="22"/>
          <w:lang w:val="es"/>
        </w:rPr>
        <w:t xml:space="preserve"> </w:t>
      </w:r>
    </w:p>
    <w:p w14:paraId="2EAA3BB2" w14:textId="77777777" w:rsidR="007B7514" w:rsidRDefault="007B7514" w:rsidP="007B7514">
      <w:pPr>
        <w:jc w:val="both"/>
      </w:pPr>
      <w:r w:rsidRPr="31FF9146">
        <w:rPr>
          <w:rFonts w:eastAsia="Arial" w:cs="Arial"/>
          <w:sz w:val="22"/>
          <w:szCs w:val="22"/>
          <w:lang w:val="es"/>
        </w:rPr>
        <w:t>Dado que, por las razones jurídicas y técnicas expuestas no se ha podido implementar el Decreto 1500, fue necesario reiniciar discusiones internas con la Oficina Jurídica para posteriormente propiciar la discusión con las entidades responsables e intervinientes en el decreto.</w:t>
      </w:r>
    </w:p>
    <w:p w14:paraId="53C0EF48" w14:textId="77777777" w:rsidR="007B7514" w:rsidRDefault="007B7514" w:rsidP="007B7514">
      <w:pPr>
        <w:jc w:val="both"/>
      </w:pPr>
      <w:r w:rsidRPr="31FF9146">
        <w:rPr>
          <w:rFonts w:ascii="Calibri" w:eastAsia="Calibri" w:hAnsi="Calibri" w:cs="Calibri"/>
          <w:color w:val="000000" w:themeColor="text1"/>
          <w:sz w:val="22"/>
          <w:szCs w:val="22"/>
        </w:rPr>
        <w:t xml:space="preserve"> </w:t>
      </w:r>
    </w:p>
    <w:p w14:paraId="457DA2BB" w14:textId="77777777" w:rsidR="00B16E42" w:rsidRPr="00B16E42" w:rsidRDefault="00B16E42" w:rsidP="00B16E42">
      <w:pPr>
        <w:suppressAutoHyphens w:val="0"/>
        <w:spacing w:after="160"/>
        <w:contextualSpacing/>
        <w:jc w:val="both"/>
        <w:rPr>
          <w:rFonts w:cs="Arial"/>
          <w:color w:val="000000" w:themeColor="text1"/>
          <w:sz w:val="22"/>
          <w:szCs w:val="22"/>
          <w:lang w:val="es" w:eastAsia="en-US"/>
        </w:rPr>
      </w:pPr>
      <w:r w:rsidRPr="00B16E42">
        <w:rPr>
          <w:rFonts w:cs="Arial"/>
          <w:color w:val="000000" w:themeColor="text1"/>
          <w:sz w:val="22"/>
          <w:szCs w:val="22"/>
          <w:lang w:val="es" w:eastAsia="en-US"/>
        </w:rPr>
        <w:t>Inicialmente se consolidó un informe de gestión con toda la trazabilidad del expediente de Línea Negra, desde la expedición del decreto. A través del memorando interno IE5995 del 26 de noviembre de 2020 se remitió dicho informe a la Oficina Asesora Jurídica para lo pertinente, junto con los siguientes documentos:</w:t>
      </w:r>
    </w:p>
    <w:p w14:paraId="7FD8B439" w14:textId="77777777" w:rsidR="00B16E42" w:rsidRPr="00B16E42" w:rsidRDefault="00B16E42" w:rsidP="00B16E42">
      <w:pPr>
        <w:suppressAutoHyphens w:val="0"/>
        <w:spacing w:after="160"/>
        <w:ind w:left="567"/>
        <w:contextualSpacing/>
        <w:jc w:val="both"/>
        <w:rPr>
          <w:rFonts w:cs="Arial"/>
          <w:color w:val="000000" w:themeColor="text1"/>
          <w:sz w:val="22"/>
          <w:szCs w:val="22"/>
          <w:lang w:val="es" w:eastAsia="en-US"/>
        </w:rPr>
      </w:pPr>
    </w:p>
    <w:p w14:paraId="3786FC2C" w14:textId="1E83886A" w:rsidR="00B16E42" w:rsidRPr="00B16E42" w:rsidRDefault="00B16E42" w:rsidP="00B16E42">
      <w:pPr>
        <w:suppressAutoHyphens w:val="0"/>
        <w:spacing w:after="160"/>
        <w:ind w:left="567"/>
        <w:contextualSpacing/>
        <w:jc w:val="both"/>
        <w:rPr>
          <w:rFonts w:cs="Arial"/>
          <w:color w:val="000000" w:themeColor="text1"/>
          <w:sz w:val="22"/>
          <w:szCs w:val="22"/>
          <w:lang w:val="es" w:eastAsia="en-US"/>
        </w:rPr>
      </w:pPr>
      <w:r w:rsidRPr="00B16E42">
        <w:rPr>
          <w:rFonts w:cs="Arial"/>
          <w:color w:val="000000" w:themeColor="text1"/>
          <w:sz w:val="22"/>
          <w:szCs w:val="22"/>
          <w:lang w:val="es" w:eastAsia="en-US"/>
        </w:rPr>
        <w:t>1. Síntesis y contexto Línea Negra - Mesa Asuntos Étnicos (ppt)</w:t>
      </w:r>
    </w:p>
    <w:p w14:paraId="5084FB6D" w14:textId="77777777" w:rsidR="00B16E42" w:rsidRPr="00B16E42" w:rsidRDefault="00B16E42" w:rsidP="00B16E42">
      <w:pPr>
        <w:suppressAutoHyphens w:val="0"/>
        <w:spacing w:after="160"/>
        <w:ind w:left="567"/>
        <w:contextualSpacing/>
        <w:jc w:val="both"/>
        <w:rPr>
          <w:rFonts w:cs="Arial"/>
          <w:color w:val="000000" w:themeColor="text1"/>
          <w:sz w:val="22"/>
          <w:szCs w:val="22"/>
          <w:lang w:val="es" w:eastAsia="en-US"/>
        </w:rPr>
      </w:pPr>
      <w:r w:rsidRPr="00B16E42">
        <w:rPr>
          <w:rFonts w:cs="Arial"/>
          <w:color w:val="000000" w:themeColor="text1"/>
          <w:sz w:val="22"/>
          <w:szCs w:val="22"/>
          <w:lang w:val="es" w:eastAsia="en-US"/>
        </w:rPr>
        <w:t>2. Antecedentes respuesta a Corte Constitucional (abril2019)</w:t>
      </w:r>
    </w:p>
    <w:p w14:paraId="18AE5D77" w14:textId="77777777" w:rsidR="00B16E42" w:rsidRPr="00B16E42" w:rsidRDefault="00B16E42" w:rsidP="00B16E42">
      <w:pPr>
        <w:suppressAutoHyphens w:val="0"/>
        <w:spacing w:after="160"/>
        <w:ind w:left="567"/>
        <w:contextualSpacing/>
        <w:jc w:val="both"/>
        <w:rPr>
          <w:rFonts w:cs="Arial"/>
          <w:color w:val="000000" w:themeColor="text1"/>
          <w:sz w:val="22"/>
          <w:szCs w:val="22"/>
          <w:lang w:val="es" w:eastAsia="en-US"/>
        </w:rPr>
      </w:pPr>
      <w:r w:rsidRPr="00B16E42">
        <w:rPr>
          <w:rFonts w:cs="Arial"/>
          <w:color w:val="000000" w:themeColor="text1"/>
          <w:sz w:val="22"/>
          <w:szCs w:val="22"/>
          <w:lang w:val="es" w:eastAsia="en-US"/>
        </w:rPr>
        <w:t>3. Antecedentes Secretaría Jurídica Presidencia (sept-oct2019)</w:t>
      </w:r>
    </w:p>
    <w:p w14:paraId="7444620A" w14:textId="77777777" w:rsidR="00B16E42" w:rsidRPr="00B16E42" w:rsidRDefault="00B16E42" w:rsidP="00B16E42">
      <w:pPr>
        <w:suppressAutoHyphens w:val="0"/>
        <w:spacing w:after="160"/>
        <w:ind w:left="567"/>
        <w:contextualSpacing/>
        <w:jc w:val="both"/>
        <w:rPr>
          <w:rFonts w:cs="Arial"/>
          <w:color w:val="000000" w:themeColor="text1"/>
          <w:sz w:val="22"/>
          <w:szCs w:val="22"/>
          <w:lang w:val="es" w:eastAsia="en-US"/>
        </w:rPr>
      </w:pPr>
      <w:r w:rsidRPr="00B16E42">
        <w:rPr>
          <w:rFonts w:cs="Arial"/>
          <w:color w:val="000000" w:themeColor="text1"/>
          <w:sz w:val="22"/>
          <w:szCs w:val="22"/>
          <w:lang w:val="es" w:eastAsia="en-US"/>
        </w:rPr>
        <w:t>4. Antecedentes Ministerio del Interior</w:t>
      </w:r>
    </w:p>
    <w:p w14:paraId="7E72023B" w14:textId="77777777" w:rsidR="00B16E42" w:rsidRPr="00B16E42" w:rsidRDefault="00B16E42" w:rsidP="00B16E42">
      <w:pPr>
        <w:suppressAutoHyphens w:val="0"/>
        <w:spacing w:after="160"/>
        <w:ind w:left="567"/>
        <w:contextualSpacing/>
        <w:jc w:val="both"/>
        <w:rPr>
          <w:rFonts w:cs="Arial"/>
          <w:b/>
          <w:bCs/>
          <w:sz w:val="22"/>
          <w:szCs w:val="22"/>
          <w:lang w:val="es-MX" w:eastAsia="en-US"/>
        </w:rPr>
      </w:pPr>
      <w:r w:rsidRPr="00B16E42">
        <w:rPr>
          <w:rFonts w:cs="Arial"/>
          <w:color w:val="000000" w:themeColor="text1"/>
          <w:sz w:val="22"/>
          <w:szCs w:val="22"/>
          <w:lang w:val="es" w:eastAsia="en-US"/>
        </w:rPr>
        <w:t>5. Modelo respuesta requerimientos Línea Negra</w:t>
      </w:r>
    </w:p>
    <w:p w14:paraId="02E558DB" w14:textId="77777777" w:rsidR="007B7514" w:rsidRPr="00907D39" w:rsidRDefault="007B7514" w:rsidP="007B7514">
      <w:pPr>
        <w:jc w:val="both"/>
        <w:rPr>
          <w:rFonts w:cs="Arial"/>
        </w:rPr>
      </w:pPr>
      <w:r w:rsidRPr="00907D39">
        <w:rPr>
          <w:rFonts w:eastAsia="Arial" w:cs="Arial"/>
          <w:color w:val="000000" w:themeColor="text1"/>
          <w:sz w:val="22"/>
          <w:szCs w:val="22"/>
          <w:lang w:val="es"/>
        </w:rPr>
        <w:t xml:space="preserve"> </w:t>
      </w:r>
    </w:p>
    <w:p w14:paraId="338E83DB" w14:textId="77777777" w:rsidR="007B7514" w:rsidRPr="00907D39" w:rsidRDefault="007B7514" w:rsidP="007B7514">
      <w:pPr>
        <w:jc w:val="both"/>
        <w:rPr>
          <w:rFonts w:eastAsia="Arial" w:cs="Arial"/>
          <w:color w:val="000000" w:themeColor="text1"/>
          <w:sz w:val="22"/>
          <w:szCs w:val="22"/>
          <w:lang w:val="es"/>
        </w:rPr>
      </w:pPr>
      <w:r w:rsidRPr="00907D39">
        <w:rPr>
          <w:rFonts w:eastAsia="Arial" w:cs="Arial"/>
          <w:color w:val="000000" w:themeColor="text1"/>
          <w:sz w:val="22"/>
          <w:szCs w:val="22"/>
          <w:lang w:val="es"/>
        </w:rPr>
        <w:t xml:space="preserve">Posteriormente se procedió a convocar al Ministerio del Interior en varias oportunidades con el fin de retomar las discusiones correspondientes (técnicas y jurídicas) y así alinear la posición que </w:t>
      </w:r>
      <w:r w:rsidRPr="00907D39">
        <w:rPr>
          <w:rFonts w:eastAsia="Arial" w:cs="Arial"/>
          <w:color w:val="000000" w:themeColor="text1"/>
          <w:sz w:val="22"/>
          <w:szCs w:val="22"/>
          <w:lang w:val="es"/>
        </w:rPr>
        <w:lastRenderedPageBreak/>
        <w:t>como Gobierno Nacional amerita el asunto, por las implicaciones que tiene tanto para los cuatro pueblos indígenas de la Sierra Nevada de Santa Marta, como para los diferentes proyectos de desarrollo del país.</w:t>
      </w:r>
    </w:p>
    <w:p w14:paraId="7D65282C" w14:textId="77777777" w:rsidR="007B7514" w:rsidRPr="00907D39" w:rsidRDefault="007B7514" w:rsidP="007B7514">
      <w:pPr>
        <w:pStyle w:val="Lista"/>
        <w:rPr>
          <w:rFonts w:eastAsia="Arial"/>
          <w:lang w:val="es"/>
        </w:rPr>
      </w:pPr>
    </w:p>
    <w:p w14:paraId="2CC318FF" w14:textId="77777777" w:rsidR="007B7514" w:rsidRDefault="007B7514" w:rsidP="007B7514">
      <w:pPr>
        <w:jc w:val="both"/>
      </w:pPr>
      <w:r w:rsidRPr="31FF9146">
        <w:rPr>
          <w:rFonts w:eastAsia="Arial" w:cs="Arial"/>
          <w:color w:val="000000" w:themeColor="text1"/>
          <w:sz w:val="22"/>
          <w:szCs w:val="22"/>
          <w:lang w:val="es"/>
        </w:rPr>
        <w:t>No obstante, luego de dos convocatorias por oficio (abril y septiembre), así como una por correo electrónico (octubre), no ha sido posible que Ministerio del Interior (Dirección de Asuntos Indígenas y Dirección de Consulta Previa) atienda el llamado a coordinar las acciones correspondientes.</w:t>
      </w:r>
    </w:p>
    <w:p w14:paraId="53A2AF99" w14:textId="77777777" w:rsidR="007B7514" w:rsidRPr="00907D39"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23376CEE" w14:textId="77777777" w:rsidR="007B7514" w:rsidRPr="00907D39" w:rsidRDefault="007B7514" w:rsidP="007B7514">
      <w:pPr>
        <w:jc w:val="both"/>
        <w:rPr>
          <w:rFonts w:eastAsia="Arial" w:cs="Arial"/>
          <w:color w:val="000000" w:themeColor="text1"/>
          <w:sz w:val="22"/>
          <w:szCs w:val="22"/>
          <w:lang w:val="es"/>
        </w:rPr>
      </w:pPr>
      <w:r w:rsidRPr="00907D39">
        <w:rPr>
          <w:rFonts w:eastAsia="Arial" w:cs="Arial"/>
          <w:color w:val="000000" w:themeColor="text1"/>
          <w:sz w:val="22"/>
          <w:szCs w:val="22"/>
          <w:lang w:val="es"/>
        </w:rPr>
        <w:t>De manera transversal y en el marco de la potencial coordinación interinstitucional, se hizo un ejercicio de proyectar escenarios para la implementación del decreto. En el primer caso, el escenario se resume en que sea remitida al IGAC la información e insumos necesarios para la demarcación, con coordenadas y lugares sagrados validados por entidad competente (MinInterior, ICANH, MinCultura, según corresponda). Este escenario tendría máximo una duración de una semana y se demarcarían los espacios sagrados del Decreto 1500.</w:t>
      </w:r>
    </w:p>
    <w:p w14:paraId="205AB2F7" w14:textId="77777777" w:rsidR="007B7514" w:rsidRPr="00907D39" w:rsidRDefault="007B7514" w:rsidP="007B7514">
      <w:pPr>
        <w:pStyle w:val="Lista"/>
        <w:rPr>
          <w:rFonts w:eastAsia="Arial"/>
          <w:lang w:val="es"/>
        </w:rPr>
      </w:pPr>
    </w:p>
    <w:p w14:paraId="529072AA" w14:textId="77777777" w:rsidR="007B7514" w:rsidRDefault="007B7514" w:rsidP="007B7514">
      <w:pPr>
        <w:jc w:val="both"/>
      </w:pPr>
      <w:r w:rsidRPr="31FF9146">
        <w:rPr>
          <w:rFonts w:eastAsia="Arial" w:cs="Arial"/>
          <w:color w:val="000000" w:themeColor="text1"/>
          <w:sz w:val="22"/>
          <w:szCs w:val="22"/>
          <w:lang w:val="es"/>
        </w:rPr>
        <w:t>Por su parte, el segundo escenario inicia con la premisa de que las entidades competentes no cuentan con los insumos para enviar a IGAC y, por lo tanto, es necesario realizar trabajo de campo para georreferenciar cada uno de ellos. En este caos, IGAC acompañaría este trabajo de campo desde el punto de vista técnico y georreferenciaría los lugares según las autoridades competentes dispongan. La duración se estima en 9 meses.</w:t>
      </w:r>
    </w:p>
    <w:p w14:paraId="0A8BC1CC" w14:textId="77777777" w:rsidR="007B7514" w:rsidRPr="00605AF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5A1488E1" w14:textId="0155EF4A" w:rsidR="007B7514" w:rsidRPr="00605AF4" w:rsidRDefault="007B7514" w:rsidP="007B7514">
      <w:pPr>
        <w:jc w:val="both"/>
        <w:rPr>
          <w:rFonts w:eastAsia="Arial" w:cs="Arial"/>
          <w:color w:val="000000" w:themeColor="text1"/>
          <w:sz w:val="22"/>
          <w:szCs w:val="22"/>
          <w:lang w:val="es"/>
        </w:rPr>
      </w:pPr>
      <w:r w:rsidRPr="00605AF4">
        <w:rPr>
          <w:rFonts w:eastAsia="Arial" w:cs="Arial"/>
          <w:color w:val="000000" w:themeColor="text1"/>
          <w:sz w:val="22"/>
          <w:szCs w:val="22"/>
          <w:lang w:val="es"/>
        </w:rPr>
        <w:t>Adicional a lo anterior, de manera recurrente ha sido necesario atender requerimientos de diferentes actores (públicos, privados, organizaciones) frente a la implementación del Decreto 1500, frente a lo cual se ha mantenid</w:t>
      </w:r>
      <w:r w:rsidR="00833937">
        <w:rPr>
          <w:rFonts w:eastAsia="Arial" w:cs="Arial"/>
          <w:color w:val="000000" w:themeColor="text1"/>
          <w:sz w:val="22"/>
          <w:szCs w:val="22"/>
          <w:lang w:val="es"/>
        </w:rPr>
        <w:t>o la línea jurídica desde 2019.</w:t>
      </w:r>
    </w:p>
    <w:p w14:paraId="60D402F1" w14:textId="77777777" w:rsidR="007B7514" w:rsidRDefault="007B7514" w:rsidP="007B7514">
      <w:pPr>
        <w:jc w:val="both"/>
        <w:rPr>
          <w:rFonts w:eastAsia="Arial" w:cs="Arial"/>
          <w:i/>
          <w:iCs/>
          <w:color w:val="2F5496"/>
          <w:sz w:val="22"/>
          <w:szCs w:val="22"/>
          <w:lang w:val="es-MX"/>
        </w:rPr>
      </w:pPr>
    </w:p>
    <w:p w14:paraId="4081C446" w14:textId="77777777" w:rsidR="007B7514" w:rsidRPr="003A08CF" w:rsidRDefault="007B7514" w:rsidP="003A08CF">
      <w:pPr>
        <w:rPr>
          <w:b/>
          <w:color w:val="000000" w:themeColor="text1"/>
        </w:rPr>
      </w:pPr>
      <w:r w:rsidRPr="003A08CF">
        <w:rPr>
          <w:rFonts w:eastAsia="Arial" w:cs="Arial"/>
          <w:b/>
          <w:color w:val="000000" w:themeColor="text1"/>
          <w:sz w:val="22"/>
          <w:szCs w:val="22"/>
          <w:lang w:val="es-MX"/>
        </w:rPr>
        <w:t>ACTUALIZACIÓN DE LAS ÁREAS OFICIALES DE LAS ENTIDADES TERRITORIALES</w:t>
      </w:r>
    </w:p>
    <w:p w14:paraId="4D537A69" w14:textId="74892BC8" w:rsidR="007B7514" w:rsidRPr="003A08CF" w:rsidRDefault="007B7514" w:rsidP="003A08CF">
      <w:pPr>
        <w:rPr>
          <w:b/>
        </w:rPr>
      </w:pPr>
    </w:p>
    <w:p w14:paraId="168BE4D7" w14:textId="77777777" w:rsidR="007B7514" w:rsidRDefault="007B7514" w:rsidP="007B7514">
      <w:pPr>
        <w:jc w:val="both"/>
      </w:pPr>
      <w:r w:rsidRPr="31FF9146">
        <w:rPr>
          <w:rFonts w:eastAsia="Arial" w:cs="Arial"/>
          <w:color w:val="000000" w:themeColor="text1"/>
          <w:sz w:val="22"/>
          <w:szCs w:val="22"/>
          <w:lang w:val="es"/>
        </w:rPr>
        <w:t xml:space="preserve">Desde el año 1976, aún con la evolución de los métodos de captura y tecnologías geoespaciales, el país no contaba con las áreas oficiales actualizadas de las entidades territoriales. Por esta razón, durante el año 2020, se avanzó en la revisión y nueva propuesta para la definición de estas áreas, a partir de un estudio histórico, cartográfico y normativo. </w:t>
      </w:r>
    </w:p>
    <w:p w14:paraId="0FD6C5A7" w14:textId="77777777" w:rsidR="007B7514" w:rsidRDefault="007B7514" w:rsidP="007B7514">
      <w:pPr>
        <w:jc w:val="both"/>
      </w:pPr>
      <w:r w:rsidRPr="31FF9146">
        <w:rPr>
          <w:rFonts w:eastAsia="Arial" w:cs="Arial"/>
          <w:color w:val="000000" w:themeColor="text1"/>
          <w:sz w:val="22"/>
          <w:szCs w:val="22"/>
          <w:lang w:val="es"/>
        </w:rPr>
        <w:t xml:space="preserve"> </w:t>
      </w:r>
    </w:p>
    <w:p w14:paraId="3D695E53" w14:textId="77777777" w:rsidR="007B7514" w:rsidRDefault="007B7514" w:rsidP="007B7514">
      <w:pPr>
        <w:jc w:val="both"/>
      </w:pPr>
      <w:r w:rsidRPr="31FF9146">
        <w:rPr>
          <w:rFonts w:eastAsia="Arial" w:cs="Arial"/>
          <w:color w:val="000000" w:themeColor="text1"/>
          <w:sz w:val="22"/>
          <w:szCs w:val="22"/>
          <w:lang w:val="es"/>
        </w:rPr>
        <w:t>Para cumplir este objetivo, se hizo el análisis sobre las extensiones totales de la República de Colombia desde el año 1976 al 2018, a nivel municipal y departamental, evidenciando las entidades territoriales con las diferencias más altas entre la extensión territorial del listado oficial y la base geográfica de límites, justificado en los documentos de diagnóstico de áreas geográficas para cada entidad territorial.</w:t>
      </w:r>
    </w:p>
    <w:p w14:paraId="0E547B02" w14:textId="77777777" w:rsidR="007B7514" w:rsidRDefault="007B7514" w:rsidP="007B7514">
      <w:pPr>
        <w:jc w:val="both"/>
      </w:pPr>
      <w:r w:rsidRPr="31FF9146">
        <w:rPr>
          <w:rFonts w:eastAsia="Arial" w:cs="Arial"/>
          <w:color w:val="000000" w:themeColor="text1"/>
          <w:sz w:val="22"/>
          <w:szCs w:val="22"/>
          <w:lang w:val="es"/>
        </w:rPr>
        <w:t xml:space="preserve"> </w:t>
      </w:r>
    </w:p>
    <w:p w14:paraId="59FFC1EF" w14:textId="77777777" w:rsidR="007B7514" w:rsidRDefault="007B7514" w:rsidP="007B7514">
      <w:pPr>
        <w:jc w:val="both"/>
      </w:pPr>
      <w:r w:rsidRPr="31FF9146">
        <w:rPr>
          <w:rFonts w:eastAsia="Arial" w:cs="Arial"/>
          <w:color w:val="000000" w:themeColor="text1"/>
          <w:sz w:val="22"/>
          <w:szCs w:val="22"/>
          <w:lang w:val="es"/>
        </w:rPr>
        <w:t>Adicionalmente, con el fin de verificar la confiabilidad de la base geográfica de límites actualmente gestionada por el IGAC versus la realidad del territorio, se realizó el levantamiento topográfico de la totalidad de la extensión territorial de los municipios de Gachancipá, Cotorra y Coveñas.</w:t>
      </w:r>
    </w:p>
    <w:p w14:paraId="43BFCF3B" w14:textId="77777777" w:rsidR="007B7514" w:rsidRDefault="007B7514" w:rsidP="007B7514">
      <w:pPr>
        <w:jc w:val="both"/>
      </w:pPr>
      <w:r w:rsidRPr="31FF9146">
        <w:rPr>
          <w:rFonts w:eastAsia="Arial" w:cs="Arial"/>
          <w:color w:val="000000" w:themeColor="text1"/>
          <w:sz w:val="22"/>
          <w:szCs w:val="22"/>
          <w:lang w:val="es"/>
        </w:rPr>
        <w:t xml:space="preserve"> </w:t>
      </w:r>
    </w:p>
    <w:p w14:paraId="307DE95E" w14:textId="77777777" w:rsidR="007B7514" w:rsidRDefault="007B7514" w:rsidP="007B7514">
      <w:pPr>
        <w:jc w:val="both"/>
      </w:pPr>
      <w:r w:rsidRPr="31FF9146">
        <w:rPr>
          <w:rFonts w:eastAsia="Arial" w:cs="Arial"/>
          <w:color w:val="000000" w:themeColor="text1"/>
          <w:sz w:val="22"/>
          <w:szCs w:val="22"/>
          <w:lang w:val="es"/>
        </w:rPr>
        <w:t xml:space="preserve">Una vez culminado este trabajo, se concluye que la información de la capa geográfica de entidades territoriales es confiable, toda vez que evaluados los resultados del cálculo en terreno, la diferencia de las extensiones de terreno es menor al 0,1 km2. </w:t>
      </w:r>
    </w:p>
    <w:p w14:paraId="696E9A4E" w14:textId="77777777" w:rsidR="007B7514" w:rsidRDefault="007B7514" w:rsidP="007B7514">
      <w:pPr>
        <w:jc w:val="both"/>
      </w:pPr>
      <w:r w:rsidRPr="31FF9146">
        <w:rPr>
          <w:rFonts w:eastAsia="Arial" w:cs="Arial"/>
          <w:color w:val="000000" w:themeColor="text1"/>
          <w:sz w:val="22"/>
          <w:szCs w:val="22"/>
          <w:lang w:val="es"/>
        </w:rPr>
        <w:t xml:space="preserve"> </w:t>
      </w:r>
    </w:p>
    <w:p w14:paraId="53229666" w14:textId="77777777" w:rsidR="007B7514" w:rsidRDefault="007B7514" w:rsidP="007B7514">
      <w:pPr>
        <w:jc w:val="both"/>
      </w:pPr>
      <w:r w:rsidRPr="31FF9146">
        <w:rPr>
          <w:rFonts w:eastAsia="Arial" w:cs="Arial"/>
          <w:color w:val="000000" w:themeColor="text1"/>
          <w:sz w:val="22"/>
          <w:szCs w:val="22"/>
          <w:lang w:val="es"/>
        </w:rPr>
        <w:t xml:space="preserve">Como resultado de lo anterior, durante el primer semestre del 2021, y en el marco del Decreto 159 de 2002 y Decreto 1082 de 2015, se realizó mesa de socialización con el Departamento </w:t>
      </w:r>
      <w:r w:rsidRPr="31FF9146">
        <w:rPr>
          <w:rFonts w:eastAsia="Arial" w:cs="Arial"/>
          <w:color w:val="000000" w:themeColor="text1"/>
          <w:sz w:val="22"/>
          <w:szCs w:val="22"/>
          <w:lang w:val="es"/>
        </w:rPr>
        <w:lastRenderedPageBreak/>
        <w:t>Nacional de Planeación y se hizo entrega de la nueva versión del listado de las áreas oficiales de las entidades territoriales del país para la presente vigencia.</w:t>
      </w:r>
    </w:p>
    <w:p w14:paraId="5C6D0AF0" w14:textId="1E25BAA2" w:rsidR="007B7514" w:rsidRPr="00833937" w:rsidRDefault="007B7514" w:rsidP="00833937">
      <w:pPr>
        <w:jc w:val="both"/>
      </w:pPr>
    </w:p>
    <w:p w14:paraId="5E497785" w14:textId="77777777" w:rsidR="007B7514" w:rsidRPr="003A08CF" w:rsidRDefault="007B7514" w:rsidP="007B7514">
      <w:pPr>
        <w:rPr>
          <w:rFonts w:eastAsia="Arial"/>
          <w:b/>
          <w:sz w:val="22"/>
          <w:szCs w:val="22"/>
        </w:rPr>
      </w:pPr>
      <w:r w:rsidRPr="003A08CF">
        <w:rPr>
          <w:rFonts w:eastAsia="Arial"/>
          <w:b/>
          <w:sz w:val="22"/>
          <w:szCs w:val="22"/>
        </w:rPr>
        <w:t>APOYO TÉCNICO EN TEMAS FRONTERIZOS</w:t>
      </w:r>
    </w:p>
    <w:p w14:paraId="437B1D75" w14:textId="77777777" w:rsidR="007B7514" w:rsidRDefault="007B7514" w:rsidP="007B7514">
      <w:pPr>
        <w:jc w:val="both"/>
      </w:pPr>
      <w:r w:rsidRPr="31FF9146">
        <w:rPr>
          <w:rFonts w:eastAsia="Arial" w:cs="Arial"/>
          <w:color w:val="000000" w:themeColor="text1"/>
          <w:sz w:val="22"/>
          <w:szCs w:val="22"/>
          <w:lang w:val="es-MX"/>
        </w:rPr>
        <w:t xml:space="preserve"> </w:t>
      </w:r>
    </w:p>
    <w:p w14:paraId="6525D9CF" w14:textId="77777777" w:rsidR="007B7514" w:rsidRDefault="007B7514" w:rsidP="007B7514">
      <w:pPr>
        <w:jc w:val="both"/>
      </w:pPr>
      <w:r w:rsidRPr="31FF9146">
        <w:rPr>
          <w:rFonts w:eastAsia="Arial" w:cs="Arial"/>
          <w:color w:val="000000" w:themeColor="text1"/>
          <w:sz w:val="22"/>
          <w:szCs w:val="22"/>
          <w:lang w:val="es-MX"/>
        </w:rPr>
        <w:t xml:space="preserve">El IGAC, a través de la Subdirección de Geografía, apoya técnicamente las solicitudes recibidas por la Cancillería en temas fronterizos (demarcación y mantenimiento de fronteras internacionales), es así como en el año 2020 y 2021, se gestionaron 141 requerimientos, entre los cuales los más destacados se relacionan con: </w:t>
      </w:r>
    </w:p>
    <w:p w14:paraId="7821BEE6" w14:textId="77777777" w:rsidR="007B7514" w:rsidRDefault="007B7514" w:rsidP="007B7514">
      <w:pPr>
        <w:jc w:val="both"/>
      </w:pPr>
      <w:r w:rsidRPr="31FF9146">
        <w:rPr>
          <w:rFonts w:eastAsia="Arial" w:cs="Arial"/>
          <w:color w:val="000000" w:themeColor="text1"/>
          <w:sz w:val="22"/>
          <w:szCs w:val="22"/>
          <w:lang w:val="es-MX"/>
        </w:rPr>
        <w:t xml:space="preserve"> </w:t>
      </w:r>
    </w:p>
    <w:p w14:paraId="41A5828D"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MX"/>
        </w:rPr>
        <w:t>El estudio multitemporal del río San Miguel - Sector San Marcelino en la frontera Colombo - Ecuatoriana</w:t>
      </w:r>
    </w:p>
    <w:p w14:paraId="058E44F3"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MX"/>
        </w:rPr>
        <w:t>Comisión Binacional de los trabajos topográficos y geodésicos en el sector de Sapzurro - La Miel en la frontera Colombo - Panameña (fase III)</w:t>
      </w:r>
    </w:p>
    <w:p w14:paraId="3DF7DD11" w14:textId="77777777" w:rsidR="007B7514" w:rsidRDefault="007B7514" w:rsidP="007B7514">
      <w:pPr>
        <w:ind w:left="360" w:hanging="360"/>
        <w:jc w:val="both"/>
      </w:pPr>
      <w:r w:rsidRPr="31FF9146">
        <w:rPr>
          <w:rFonts w:ascii="Symbol" w:eastAsia="Symbol" w:hAnsi="Symbol" w:cs="Symbol"/>
          <w:color w:val="000000" w:themeColor="text1"/>
          <w:sz w:val="22"/>
          <w:szCs w:val="22"/>
          <w:lang w:val="es"/>
        </w:rPr>
        <w:t></w:t>
      </w:r>
      <w:r w:rsidRPr="31FF9146">
        <w:rPr>
          <w:rFonts w:ascii="Times New Roman" w:hAnsi="Times New Roman"/>
          <w:color w:val="000000" w:themeColor="text1"/>
          <w:sz w:val="14"/>
          <w:szCs w:val="14"/>
          <w:lang w:val="es"/>
        </w:rPr>
        <w:t xml:space="preserve">       </w:t>
      </w:r>
      <w:r w:rsidRPr="31FF9146">
        <w:rPr>
          <w:rFonts w:eastAsia="Arial" w:cs="Arial"/>
          <w:color w:val="000000" w:themeColor="text1"/>
          <w:sz w:val="22"/>
          <w:szCs w:val="22"/>
          <w:lang w:val="es-MX"/>
        </w:rPr>
        <w:t>Entrega de información de Cartografía Binacional Colombo – Brasilera</w:t>
      </w:r>
    </w:p>
    <w:p w14:paraId="68E8B741" w14:textId="77777777" w:rsidR="007B7514" w:rsidRDefault="007B7514" w:rsidP="007B7514">
      <w:pPr>
        <w:ind w:left="360" w:hanging="360"/>
        <w:jc w:val="both"/>
      </w:pPr>
      <w:r w:rsidRPr="31FF9146">
        <w:rPr>
          <w:rFonts w:ascii="Symbol" w:eastAsia="Symbol" w:hAnsi="Symbol" w:cs="Symbol"/>
          <w:color w:val="000000" w:themeColor="text1"/>
          <w:sz w:val="22"/>
          <w:szCs w:val="22"/>
          <w:lang w:val="es-MX"/>
        </w:rPr>
        <w:t></w:t>
      </w:r>
      <w:r w:rsidRPr="31FF9146">
        <w:rPr>
          <w:rFonts w:ascii="Times New Roman" w:hAnsi="Times New Roman"/>
          <w:color w:val="000000" w:themeColor="text1"/>
          <w:sz w:val="14"/>
          <w:szCs w:val="14"/>
          <w:lang w:val="es-MX"/>
        </w:rPr>
        <w:t xml:space="preserve">       </w:t>
      </w:r>
      <w:r w:rsidRPr="31FF9146">
        <w:rPr>
          <w:rFonts w:eastAsia="Arial" w:cs="Arial"/>
          <w:color w:val="000000" w:themeColor="text1"/>
          <w:sz w:val="22"/>
          <w:szCs w:val="22"/>
          <w:lang w:val="es-MX"/>
        </w:rPr>
        <w:t>Cartografía binacional</w:t>
      </w:r>
    </w:p>
    <w:p w14:paraId="42CB2FE6" w14:textId="77777777" w:rsidR="007B7514" w:rsidRDefault="007B7514" w:rsidP="007B7514">
      <w:pPr>
        <w:ind w:left="360" w:hanging="360"/>
        <w:jc w:val="both"/>
      </w:pPr>
      <w:r w:rsidRPr="31FF9146">
        <w:rPr>
          <w:rFonts w:ascii="Symbol" w:eastAsia="Symbol" w:hAnsi="Symbol" w:cs="Symbol"/>
          <w:color w:val="000000" w:themeColor="text1"/>
          <w:sz w:val="22"/>
          <w:szCs w:val="22"/>
          <w:lang w:val="es-MX"/>
        </w:rPr>
        <w:t></w:t>
      </w:r>
      <w:r w:rsidRPr="31FF9146">
        <w:rPr>
          <w:rFonts w:ascii="Times New Roman" w:hAnsi="Times New Roman"/>
          <w:color w:val="000000" w:themeColor="text1"/>
          <w:sz w:val="14"/>
          <w:szCs w:val="14"/>
          <w:lang w:val="es-MX"/>
        </w:rPr>
        <w:t xml:space="preserve">       </w:t>
      </w:r>
      <w:r w:rsidRPr="31FF9146">
        <w:rPr>
          <w:rFonts w:eastAsia="Arial" w:cs="Arial"/>
          <w:color w:val="000000" w:themeColor="text1"/>
          <w:sz w:val="22"/>
          <w:szCs w:val="22"/>
          <w:lang w:val="es-MX"/>
        </w:rPr>
        <w:t>Demarcación y asuntos fronterizos marítimos</w:t>
      </w:r>
    </w:p>
    <w:p w14:paraId="07F96AFE" w14:textId="77777777" w:rsidR="007B7514" w:rsidRDefault="007B7514" w:rsidP="007B7514">
      <w:pPr>
        <w:ind w:left="360" w:hanging="360"/>
        <w:jc w:val="both"/>
      </w:pPr>
      <w:r w:rsidRPr="31FF9146">
        <w:rPr>
          <w:rFonts w:ascii="Symbol" w:eastAsia="Symbol" w:hAnsi="Symbol" w:cs="Symbol"/>
          <w:color w:val="000000" w:themeColor="text1"/>
          <w:sz w:val="22"/>
          <w:szCs w:val="22"/>
          <w:lang w:val="es-MX"/>
        </w:rPr>
        <w:t></w:t>
      </w:r>
      <w:r w:rsidRPr="31FF9146">
        <w:rPr>
          <w:rFonts w:ascii="Times New Roman" w:hAnsi="Times New Roman"/>
          <w:color w:val="000000" w:themeColor="text1"/>
          <w:sz w:val="14"/>
          <w:szCs w:val="14"/>
          <w:lang w:val="es-MX"/>
        </w:rPr>
        <w:t xml:space="preserve">       </w:t>
      </w:r>
      <w:r w:rsidRPr="31FF9146">
        <w:rPr>
          <w:rFonts w:eastAsia="Arial" w:cs="Arial"/>
          <w:color w:val="000000" w:themeColor="text1"/>
          <w:sz w:val="22"/>
          <w:szCs w:val="22"/>
          <w:lang w:val="es-MX"/>
        </w:rPr>
        <w:t>Zona de integración fronteriza terrestre</w:t>
      </w:r>
    </w:p>
    <w:p w14:paraId="068A3CFD" w14:textId="77777777" w:rsidR="007B7514" w:rsidRDefault="007B7514" w:rsidP="007B7514">
      <w:pPr>
        <w:ind w:left="360" w:hanging="360"/>
        <w:jc w:val="both"/>
        <w:rPr>
          <w:rFonts w:ascii="Calibri" w:eastAsia="Calibri" w:hAnsi="Calibri" w:cs="Calibri"/>
          <w:sz w:val="22"/>
          <w:szCs w:val="22"/>
        </w:rPr>
      </w:pPr>
      <w:r w:rsidRPr="31FF9146">
        <w:rPr>
          <w:rFonts w:ascii="Symbol" w:eastAsia="Symbol" w:hAnsi="Symbol" w:cs="Symbol"/>
          <w:color w:val="000000" w:themeColor="text1"/>
          <w:sz w:val="22"/>
          <w:szCs w:val="22"/>
          <w:lang w:val="es-MX"/>
        </w:rPr>
        <w:t></w:t>
      </w:r>
      <w:r w:rsidRPr="31FF9146">
        <w:rPr>
          <w:rFonts w:ascii="Times New Roman" w:hAnsi="Times New Roman"/>
          <w:color w:val="000000" w:themeColor="text1"/>
          <w:sz w:val="14"/>
          <w:szCs w:val="14"/>
          <w:lang w:val="es-MX"/>
        </w:rPr>
        <w:t xml:space="preserve">       </w:t>
      </w:r>
      <w:r w:rsidRPr="31FF9146">
        <w:rPr>
          <w:rFonts w:eastAsia="Arial" w:cs="Arial"/>
          <w:color w:val="000000" w:themeColor="text1"/>
          <w:sz w:val="22"/>
          <w:szCs w:val="22"/>
          <w:lang w:val="es-MX"/>
        </w:rPr>
        <w:t>Cuencas hidrográficas internacionales</w:t>
      </w:r>
      <w:r w:rsidRPr="31FF9146">
        <w:rPr>
          <w:rFonts w:ascii="Calibri" w:eastAsia="Calibri" w:hAnsi="Calibri" w:cs="Calibri"/>
          <w:sz w:val="22"/>
          <w:szCs w:val="22"/>
        </w:rPr>
        <w:t xml:space="preserve">  </w:t>
      </w:r>
    </w:p>
    <w:p w14:paraId="0052578F" w14:textId="77777777" w:rsidR="007B7514" w:rsidRPr="00C61D1F" w:rsidRDefault="007B7514" w:rsidP="000A20EE">
      <w:pPr>
        <w:pStyle w:val="Prrafodelista"/>
        <w:numPr>
          <w:ilvl w:val="0"/>
          <w:numId w:val="214"/>
        </w:numPr>
        <w:ind w:left="284" w:hanging="284"/>
        <w:rPr>
          <w:rFonts w:ascii="Calibri" w:eastAsia="Calibri" w:hAnsi="Calibri" w:cs="Calibri"/>
          <w:sz w:val="22"/>
          <w:szCs w:val="22"/>
        </w:rPr>
      </w:pPr>
      <w:r>
        <w:rPr>
          <w:rFonts w:eastAsia="Arial" w:cs="Arial"/>
          <w:color w:val="000000" w:themeColor="text1"/>
          <w:sz w:val="22"/>
          <w:szCs w:val="22"/>
          <w:lang w:val="es-MX"/>
        </w:rPr>
        <w:t xml:space="preserve"> </w:t>
      </w:r>
      <w:r w:rsidRPr="00C61D1F">
        <w:rPr>
          <w:rFonts w:eastAsia="Arial" w:cs="Arial"/>
          <w:color w:val="000000" w:themeColor="text1"/>
          <w:sz w:val="22"/>
          <w:szCs w:val="22"/>
          <w:lang w:val="es-MX"/>
        </w:rPr>
        <w:t>Asuntos étnicos</w:t>
      </w:r>
    </w:p>
    <w:p w14:paraId="71F5AB6A" w14:textId="77777777" w:rsidR="007B7514" w:rsidRDefault="007B7514" w:rsidP="007B7514">
      <w:pPr>
        <w:jc w:val="both"/>
      </w:pPr>
      <w:r w:rsidRPr="31FF9146">
        <w:rPr>
          <w:rFonts w:eastAsia="Arial" w:cs="Arial"/>
          <w:color w:val="000000" w:themeColor="text1"/>
          <w:sz w:val="22"/>
          <w:szCs w:val="22"/>
          <w:lang w:val="es-MX"/>
        </w:rPr>
        <w:t xml:space="preserve"> </w:t>
      </w:r>
    </w:p>
    <w:p w14:paraId="78BDF0A0" w14:textId="77777777" w:rsidR="007B7514" w:rsidRDefault="007B7514" w:rsidP="007B7514">
      <w:pPr>
        <w:jc w:val="both"/>
      </w:pPr>
      <w:r w:rsidRPr="31FF9146">
        <w:rPr>
          <w:rFonts w:eastAsia="Arial" w:cs="Arial"/>
          <w:color w:val="000000" w:themeColor="text1"/>
          <w:sz w:val="22"/>
          <w:szCs w:val="22"/>
        </w:rPr>
        <w:t>Adicionalmente, y como parte del proceso de actualización de la información de límites y fronteras, y teniendo en cuenta que la Cancillería de Colombia es la responsable de la aprobación de los límites fronterizos del país, se realizaron diferentes mesas técnicas con el fin de tener un nivel de información único y oficial de límites, por lo cual en la última mesa de trabajo de IGAC y la Cancillería se propuso disponer la información geográfica de límites fronterizos terrestres de Colombia con las siguientes especificaciones:</w:t>
      </w:r>
    </w:p>
    <w:p w14:paraId="29C520BD" w14:textId="77777777" w:rsidR="007B7514" w:rsidRDefault="007B7514" w:rsidP="007B7514">
      <w:pPr>
        <w:jc w:val="both"/>
      </w:pPr>
      <w:r w:rsidRPr="31FF9146">
        <w:rPr>
          <w:rFonts w:eastAsia="Arial" w:cs="Arial"/>
          <w:color w:val="000000" w:themeColor="text1"/>
          <w:sz w:val="22"/>
          <w:szCs w:val="22"/>
        </w:rPr>
        <w:t xml:space="preserve"> </w:t>
      </w:r>
    </w:p>
    <w:p w14:paraId="0A85BAD2"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Información geográfica de límites fronterizos integrada a la información geográfica de límites</w:t>
      </w:r>
      <w:r>
        <w:rPr>
          <w:rFonts w:eastAsia="Arial" w:cs="Arial"/>
          <w:sz w:val="22"/>
          <w:szCs w:val="22"/>
        </w:rPr>
        <w:t xml:space="preserve"> </w:t>
      </w:r>
      <w:r w:rsidRPr="31FF9146">
        <w:rPr>
          <w:rFonts w:eastAsia="Arial" w:cs="Arial"/>
          <w:sz w:val="22"/>
          <w:szCs w:val="22"/>
        </w:rPr>
        <w:t>de entidades territoriales de Colombia (a la rivera colombiana).</w:t>
      </w:r>
    </w:p>
    <w:p w14:paraId="475CBAB1"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Realizar la entrega de la información geográfica de los ríos fronterizos (totalidad del río (cauce) en cada sector), como parte de la capa fronteriza terrestre nacional.</w:t>
      </w:r>
    </w:p>
    <w:p w14:paraId="1E229996" w14:textId="02B0F821" w:rsidR="007B7514" w:rsidRDefault="007B7514" w:rsidP="00833937">
      <w:pPr>
        <w:ind w:left="360" w:hanging="360"/>
        <w:jc w:val="both"/>
        <w:rPr>
          <w:rFonts w:eastAsia="Arial" w:cs="Arial"/>
          <w:sz w:val="22"/>
          <w:szCs w:val="22"/>
        </w:rPr>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Para los ríos Amazonas, Negro, Atabapo y Orinoco, entregar la información geográfica referente a las islas fluviales, debido a los instrumentos jurídicos binacionales que definen asignación de islas en estos ríos.</w:t>
      </w:r>
    </w:p>
    <w:p w14:paraId="5A2BB286" w14:textId="77777777" w:rsidR="00833937" w:rsidRPr="00833937" w:rsidRDefault="00833937" w:rsidP="00833937">
      <w:pPr>
        <w:ind w:left="360" w:hanging="360"/>
        <w:jc w:val="both"/>
        <w:rPr>
          <w:rFonts w:eastAsia="Arial" w:cs="Arial"/>
          <w:sz w:val="22"/>
          <w:szCs w:val="22"/>
        </w:rPr>
      </w:pPr>
    </w:p>
    <w:p w14:paraId="306ADC4C" w14:textId="77777777" w:rsidR="007B7514" w:rsidRDefault="007B7514" w:rsidP="007B7514">
      <w:pPr>
        <w:jc w:val="both"/>
      </w:pPr>
      <w:r w:rsidRPr="31FF9146">
        <w:rPr>
          <w:rFonts w:eastAsia="Arial" w:cs="Arial"/>
          <w:color w:val="000000" w:themeColor="text1"/>
          <w:sz w:val="22"/>
          <w:szCs w:val="22"/>
          <w:lang w:val="es"/>
        </w:rPr>
        <w:t xml:space="preserve">Teniendo en cuenta esta última propuesta, se ejecutó la estructuración, actualización y disposición de las líneas limítrofes de Colombia en </w:t>
      </w:r>
      <w:hyperlink r:id="rId81">
        <w:r w:rsidRPr="31FF9146">
          <w:rPr>
            <w:rStyle w:val="Hipervnculo"/>
            <w:rFonts w:eastAsia="Arial" w:cs="Arial"/>
            <w:sz w:val="22"/>
            <w:szCs w:val="22"/>
            <w:lang w:val="es"/>
          </w:rPr>
          <w:t>https://www.colombiaenmapas.gov.co/</w:t>
        </w:r>
      </w:hyperlink>
      <w:r w:rsidRPr="31FF9146">
        <w:rPr>
          <w:rFonts w:eastAsia="Arial" w:cs="Arial"/>
          <w:color w:val="000000" w:themeColor="text1"/>
          <w:sz w:val="22"/>
          <w:szCs w:val="22"/>
          <w:lang w:val="es"/>
        </w:rPr>
        <w:t xml:space="preserve">. </w:t>
      </w:r>
    </w:p>
    <w:p w14:paraId="0E920A0F" w14:textId="77777777" w:rsidR="007B7514" w:rsidRDefault="007B7514" w:rsidP="007B7514">
      <w:pPr>
        <w:jc w:val="both"/>
      </w:pPr>
      <w:r w:rsidRPr="31FF9146">
        <w:rPr>
          <w:rFonts w:eastAsia="Arial" w:cs="Arial"/>
          <w:color w:val="000000" w:themeColor="text1"/>
          <w:sz w:val="22"/>
          <w:szCs w:val="22"/>
          <w:lang w:val="es"/>
        </w:rPr>
        <w:t xml:space="preserve"> </w:t>
      </w:r>
    </w:p>
    <w:p w14:paraId="139888A4" w14:textId="77777777" w:rsidR="007B7514" w:rsidRDefault="007B7514" w:rsidP="007B7514">
      <w:pPr>
        <w:jc w:val="both"/>
      </w:pPr>
      <w:r w:rsidRPr="31FF9146">
        <w:rPr>
          <w:rFonts w:eastAsia="Arial" w:cs="Arial"/>
          <w:color w:val="000000" w:themeColor="text1"/>
          <w:sz w:val="22"/>
          <w:szCs w:val="22"/>
        </w:rPr>
        <w:t>Por último, se inició el proceso de definición de la línea costera de Colombia entre el IGAC y la DIMAR, en donde el IGAC revisó y complementó la digitalización de la línea costera de Colombia a escala 1:100.000 con los insumos existentes (imágenes PlanetScope) conforme a la metodología de especialización de líneas de costa de la DIMAR. Adicionalmente, se complementaron las líneas costeras de las islas colombianas en el océano Pacífico y el archipiélago de San Andrés, Providencia y Santa Catalina, con información provista por la DIMAR y de la Dirección de Investigación y Prospectiva (CIAF) respectivamente. Esta línea costera está dispuesta actualmente en la base de datos de límites de entidades territoriales de la Dirección de Gestión de Información Geográfica.</w:t>
      </w:r>
    </w:p>
    <w:p w14:paraId="5DBEAEFA" w14:textId="77777777" w:rsidR="007B7514" w:rsidRDefault="007B7514" w:rsidP="007B7514">
      <w:pPr>
        <w:jc w:val="both"/>
      </w:pPr>
      <w:r w:rsidRPr="31FF9146">
        <w:rPr>
          <w:rFonts w:eastAsia="Arial" w:cs="Arial"/>
          <w:color w:val="000000" w:themeColor="text1"/>
          <w:sz w:val="22"/>
          <w:szCs w:val="22"/>
        </w:rPr>
        <w:lastRenderedPageBreak/>
        <w:t xml:space="preserve">Actualmente, se adelanta la digitalización de la línea costera de Colombia a escala 1:25.000 o superior, la cual se encuentra en la etapa de recopilación de insumos entre las dos entidades para el inicio de la digitalización de la zona piloto entre el hito Castilletes en La Guajira hasta la ciudad de Cartagena. </w:t>
      </w:r>
    </w:p>
    <w:p w14:paraId="2AF4EAFA" w14:textId="37ADDD46" w:rsidR="007B7514" w:rsidRPr="00833937" w:rsidRDefault="007B7514" w:rsidP="00833937">
      <w:pPr>
        <w:jc w:val="both"/>
      </w:pPr>
      <w:r w:rsidRPr="31FF9146">
        <w:rPr>
          <w:rFonts w:eastAsia="Arial" w:cs="Arial"/>
          <w:color w:val="000000" w:themeColor="text1"/>
          <w:sz w:val="22"/>
          <w:szCs w:val="22"/>
          <w:lang w:val="es-MX"/>
        </w:rPr>
        <w:t xml:space="preserve"> </w:t>
      </w:r>
    </w:p>
    <w:p w14:paraId="10E746AD" w14:textId="77777777" w:rsidR="007B7514" w:rsidRPr="003A08CF" w:rsidRDefault="007B7514" w:rsidP="007B7514">
      <w:pPr>
        <w:rPr>
          <w:b/>
          <w:sz w:val="22"/>
          <w:szCs w:val="22"/>
        </w:rPr>
      </w:pPr>
      <w:r w:rsidRPr="003A08CF">
        <w:rPr>
          <w:rFonts w:eastAsia="Arial"/>
          <w:b/>
          <w:sz w:val="22"/>
          <w:szCs w:val="22"/>
        </w:rPr>
        <w:t>PRINCIPALES LOGROS EN LA GESTIÓN GEOGRÁFICA 2020-2021</w:t>
      </w:r>
    </w:p>
    <w:p w14:paraId="138F03C3" w14:textId="77777777" w:rsidR="007B7514" w:rsidRDefault="007B7514" w:rsidP="007B7514">
      <w:pPr>
        <w:jc w:val="both"/>
      </w:pPr>
      <w:r w:rsidRPr="31FF9146">
        <w:rPr>
          <w:rFonts w:eastAsia="Arial" w:cs="Arial"/>
          <w:color w:val="1F3763"/>
          <w:sz w:val="22"/>
          <w:szCs w:val="22"/>
          <w:lang w:val="es"/>
        </w:rPr>
        <w:t xml:space="preserve"> </w:t>
      </w:r>
    </w:p>
    <w:p w14:paraId="70900A0E" w14:textId="77777777" w:rsidR="007B7514" w:rsidRDefault="007B7514" w:rsidP="007B7514">
      <w:pPr>
        <w:ind w:left="360" w:hanging="360"/>
        <w:jc w:val="both"/>
      </w:pPr>
      <w:r w:rsidRPr="31FF9146">
        <w:rPr>
          <w:rFonts w:ascii="Symbol" w:eastAsia="Symbol" w:hAnsi="Symbol" w:cs="Symbol"/>
          <w:sz w:val="22"/>
          <w:szCs w:val="22"/>
          <w:lang w:val="es"/>
        </w:rPr>
        <w:t></w:t>
      </w:r>
      <w:r w:rsidRPr="31FF9146">
        <w:rPr>
          <w:rFonts w:ascii="Times New Roman" w:hAnsi="Times New Roman"/>
          <w:sz w:val="14"/>
          <w:szCs w:val="14"/>
          <w:lang w:val="es"/>
        </w:rPr>
        <w:t xml:space="preserve">       </w:t>
      </w:r>
      <w:r w:rsidRPr="31FF9146">
        <w:rPr>
          <w:rFonts w:eastAsia="Arial" w:cs="Arial"/>
          <w:sz w:val="22"/>
          <w:szCs w:val="22"/>
          <w:lang w:val="es"/>
        </w:rPr>
        <w:t>Durante el 2020 y 2021, se realizó la caracterización con fines de catastro multipropósito de 124 municipios, logrando un c</w:t>
      </w:r>
      <w:r w:rsidRPr="31FF9146">
        <w:rPr>
          <w:rFonts w:eastAsia="Arial" w:cs="Arial"/>
          <w:sz w:val="22"/>
          <w:szCs w:val="22"/>
        </w:rPr>
        <w:t xml:space="preserve">ubrimiento de 30.257.960 </w:t>
      </w:r>
      <w:r w:rsidRPr="31FF9146">
        <w:rPr>
          <w:rFonts w:eastAsia="Arial" w:cs="Arial"/>
          <w:sz w:val="22"/>
          <w:szCs w:val="22"/>
          <w:lang w:val="es"/>
        </w:rPr>
        <w:t>ha</w:t>
      </w:r>
      <w:r w:rsidRPr="31FF9146">
        <w:rPr>
          <w:rFonts w:eastAsia="Arial" w:cs="Arial"/>
          <w:sz w:val="22"/>
          <w:szCs w:val="22"/>
        </w:rPr>
        <w:t xml:space="preserve"> del</w:t>
      </w:r>
      <w:r w:rsidRPr="31FF9146">
        <w:rPr>
          <w:rFonts w:eastAsia="Arial" w:cs="Arial"/>
          <w:sz w:val="22"/>
          <w:szCs w:val="22"/>
          <w:lang w:val="es"/>
        </w:rPr>
        <w:t xml:space="preserve"> territorio del país.</w:t>
      </w:r>
    </w:p>
    <w:p w14:paraId="60DEC075"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lograron generar los mapas de síntesis territorial y unidades de intervención de 124 municipios.</w:t>
      </w:r>
    </w:p>
    <w:p w14:paraId="5C8A2EA1"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lograron estructurar y disponer los mapas de: vigencia del POT, clasificación del suelo y zonificación de uso de 130 municipios del país</w:t>
      </w:r>
    </w:p>
    <w:p w14:paraId="3C2BC66F"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Pr>
          <w:rFonts w:ascii="Times New Roman" w:hAnsi="Times New Roman"/>
          <w:sz w:val="14"/>
          <w:szCs w:val="14"/>
        </w:rPr>
        <w:t xml:space="preserve"> </w:t>
      </w:r>
      <w:r w:rsidRPr="31FF9146">
        <w:rPr>
          <w:rFonts w:eastAsia="Arial" w:cs="Arial"/>
          <w:sz w:val="22"/>
          <w:szCs w:val="22"/>
        </w:rPr>
        <w:t>Se logró avanzar en la construcción del Atlas General de Colombia. Vamos en nuestro capítulo 4 de 5.</w:t>
      </w:r>
    </w:p>
    <w:p w14:paraId="76685209"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participó en el Reto de Ciencias de Datos Mintic desarrollando un aplicativo para la extracción de los nombres geográficos a partir de imágenes.</w:t>
      </w:r>
    </w:p>
    <w:p w14:paraId="1B200893"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obtuvo el Premio "ARCH C. GERLACH" edición 2021 por la obra “Nombres geográficos de Colombia Región Antioquia y Eje Cafetero: datos pertinentes del proceso de apropiación y socialización del territorio”.</w:t>
      </w:r>
    </w:p>
    <w:p w14:paraId="36F5B90F" w14:textId="77777777" w:rsidR="007B7514" w:rsidRPr="0065639F" w:rsidRDefault="007B7514" w:rsidP="007B7514">
      <w:pPr>
        <w:ind w:left="426" w:hanging="426"/>
        <w:jc w:val="both"/>
        <w:rPr>
          <w:rFonts w:ascii="Times New Roman" w:hAnsi="Times New Roman"/>
          <w:sz w:val="14"/>
          <w:szCs w:val="14"/>
        </w:rPr>
      </w:pPr>
      <w:r w:rsidRPr="31FF9146">
        <w:rPr>
          <w:rFonts w:ascii="Symbol" w:eastAsia="Symbol" w:hAnsi="Symbol" w:cs="Symbol"/>
          <w:sz w:val="22"/>
          <w:szCs w:val="22"/>
        </w:rPr>
        <w:t></w:t>
      </w:r>
      <w:r w:rsidRPr="31FF9146">
        <w:rPr>
          <w:rFonts w:ascii="Times New Roman" w:hAnsi="Times New Roman"/>
          <w:sz w:val="14"/>
          <w:szCs w:val="14"/>
        </w:rPr>
        <w:t xml:space="preserve">     </w:t>
      </w:r>
      <w:r>
        <w:rPr>
          <w:rFonts w:ascii="Times New Roman" w:hAnsi="Times New Roman"/>
          <w:sz w:val="14"/>
          <w:szCs w:val="14"/>
        </w:rPr>
        <w:t xml:space="preserve">  </w:t>
      </w:r>
      <w:r w:rsidRPr="31FF9146">
        <w:rPr>
          <w:rFonts w:eastAsia="Arial" w:cs="Arial"/>
          <w:sz w:val="22"/>
          <w:szCs w:val="22"/>
        </w:rPr>
        <w:t>Se han aperturado y finalizado, en menos de un año, dos procesos de deslindes: Santa Rosalía – La Primavera y Campamento – Guadalupe</w:t>
      </w:r>
    </w:p>
    <w:p w14:paraId="0BC93D22"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han realizado el diagnóstico de 771 líneas limítrofes de 216 municipios.</w:t>
      </w:r>
    </w:p>
    <w:p w14:paraId="423AFC2C" w14:textId="77777777" w:rsidR="007B7514" w:rsidRDefault="007B7514" w:rsidP="007B7514">
      <w:pPr>
        <w:ind w:left="284" w:hanging="284"/>
        <w:jc w:val="both"/>
      </w:pPr>
      <w:r w:rsidRPr="31FF9146">
        <w:rPr>
          <w:rFonts w:ascii="Symbol" w:eastAsia="Symbol" w:hAnsi="Symbol" w:cs="Symbol"/>
          <w:sz w:val="22"/>
          <w:szCs w:val="22"/>
        </w:rPr>
        <w:t></w:t>
      </w:r>
      <w:r w:rsidRPr="31FF9146">
        <w:rPr>
          <w:rFonts w:ascii="Times New Roman" w:hAnsi="Times New Roman"/>
          <w:sz w:val="14"/>
          <w:szCs w:val="14"/>
        </w:rPr>
        <w:t xml:space="preserve"> </w:t>
      </w:r>
      <w:r>
        <w:rPr>
          <w:rFonts w:ascii="Times New Roman" w:hAnsi="Times New Roman"/>
          <w:sz w:val="14"/>
          <w:szCs w:val="14"/>
        </w:rPr>
        <w:t xml:space="preserve">  </w:t>
      </w:r>
      <w:r w:rsidRPr="31FF9146">
        <w:rPr>
          <w:rFonts w:ascii="Times New Roman" w:hAnsi="Times New Roman"/>
          <w:sz w:val="14"/>
          <w:szCs w:val="14"/>
        </w:rPr>
        <w:t xml:space="preserve"> </w:t>
      </w:r>
      <w:r>
        <w:rPr>
          <w:rFonts w:ascii="Times New Roman" w:hAnsi="Times New Roman"/>
          <w:sz w:val="14"/>
          <w:szCs w:val="14"/>
        </w:rPr>
        <w:t xml:space="preserve">  </w:t>
      </w:r>
      <w:r w:rsidRPr="31FF9146">
        <w:rPr>
          <w:rFonts w:eastAsia="Arial" w:cs="Arial"/>
          <w:sz w:val="22"/>
          <w:szCs w:val="22"/>
        </w:rPr>
        <w:t>Se lograron reducir de 90 a 45 días el tiempo de obtención del “Certificación sobre el kilometraje de los ductos que atraviesen las jurisdicciones municipales”</w:t>
      </w:r>
    </w:p>
    <w:p w14:paraId="6BE8EE03" w14:textId="77777777" w:rsidR="007B7514" w:rsidRPr="0065639F" w:rsidRDefault="007B7514" w:rsidP="007B7514">
      <w:pPr>
        <w:ind w:left="284" w:hanging="284"/>
        <w:jc w:val="both"/>
        <w:rPr>
          <w:rFonts w:eastAsia="Arial" w:cs="Arial"/>
          <w:sz w:val="22"/>
          <w:szCs w:val="22"/>
        </w:rPr>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han atendido más de 413 solicitudes, sobre asuntos étnicos y fronteras internacionales, cartografía binacional, cuencas hidrográficas internacionales, demarcación y asuntos fronterizos marítimos, zona fronteriza marítima y terrestre</w:t>
      </w:r>
    </w:p>
    <w:p w14:paraId="61FFD49C" w14:textId="77777777" w:rsidR="007B7514" w:rsidRPr="0065639F" w:rsidRDefault="007B7514" w:rsidP="000A20EE">
      <w:pPr>
        <w:pStyle w:val="Prrafodelista"/>
        <w:numPr>
          <w:ilvl w:val="0"/>
          <w:numId w:val="214"/>
        </w:numPr>
        <w:ind w:left="284" w:hanging="284"/>
        <w:rPr>
          <w:rFonts w:eastAsia="Arial" w:cs="Arial"/>
          <w:sz w:val="22"/>
          <w:szCs w:val="22"/>
        </w:rPr>
      </w:pPr>
      <w:r w:rsidRPr="0065639F">
        <w:rPr>
          <w:rFonts w:eastAsia="Arial" w:cs="Arial"/>
          <w:sz w:val="22"/>
          <w:szCs w:val="22"/>
        </w:rPr>
        <w:t>Se avanzó en la revisión y actualización de la resolución 1093 de 2015 por medio de la cual se reglamenta y fijan los aspectos técnicos de la diligencia de deslinde.</w:t>
      </w:r>
    </w:p>
    <w:p w14:paraId="0889BDF8" w14:textId="31917896" w:rsidR="00AA2E70" w:rsidRPr="00833937" w:rsidRDefault="00AA2E70" w:rsidP="00833937"/>
    <w:p w14:paraId="139AC6F0" w14:textId="77777777" w:rsidR="007B7514" w:rsidRPr="008D044C" w:rsidRDefault="007B7514" w:rsidP="007B7514">
      <w:pPr>
        <w:jc w:val="both"/>
        <w:rPr>
          <w:b/>
          <w:bCs/>
          <w:sz w:val="22"/>
          <w:szCs w:val="22"/>
        </w:rPr>
      </w:pPr>
      <w:r w:rsidRPr="008D044C">
        <w:rPr>
          <w:rFonts w:eastAsia="Arial"/>
          <w:b/>
          <w:bCs/>
          <w:sz w:val="22"/>
          <w:szCs w:val="22"/>
          <w:lang w:val="es-MX"/>
        </w:rPr>
        <w:t>PROYECTO DE INVERSIÓN: GENERACIÓN DE ESTUDIOS DE SUELOS, TIERRAS Y APLICACIONES AGROLÓGICAS COMO INSUMO PARA EL ORDENAMIENTO INTEGRAL Y EL MANEJO SOSTENIBLE DEL TERRITORIO A NIVEL NACIONAL.</w:t>
      </w:r>
    </w:p>
    <w:p w14:paraId="1B7538E2" w14:textId="0ADDB118" w:rsidR="007B7514" w:rsidRPr="00833937" w:rsidRDefault="007B7514" w:rsidP="00833937">
      <w:pPr>
        <w:jc w:val="both"/>
      </w:pPr>
      <w:r w:rsidRPr="31FF9146">
        <w:rPr>
          <w:rFonts w:ascii="Calibri" w:eastAsia="Calibri" w:hAnsi="Calibri" w:cs="Calibri"/>
          <w:b/>
          <w:bCs/>
          <w:color w:val="000000" w:themeColor="text1"/>
          <w:sz w:val="22"/>
          <w:szCs w:val="22"/>
          <w:lang w:val="es"/>
        </w:rPr>
        <w:t xml:space="preserve"> </w:t>
      </w:r>
    </w:p>
    <w:p w14:paraId="7B140260" w14:textId="77777777" w:rsidR="007B7514" w:rsidRPr="003A08CF" w:rsidRDefault="007B7514" w:rsidP="007B7514">
      <w:pPr>
        <w:rPr>
          <w:rFonts w:eastAsia="Arial"/>
          <w:b/>
          <w:sz w:val="22"/>
          <w:szCs w:val="22"/>
        </w:rPr>
      </w:pPr>
      <w:r w:rsidRPr="003A08CF">
        <w:rPr>
          <w:rFonts w:eastAsia="Arial"/>
          <w:b/>
          <w:sz w:val="22"/>
          <w:szCs w:val="22"/>
        </w:rPr>
        <w:t>ESTUDIOS DE SUELOS Y APLICACIONES AGROLÓGICAS</w:t>
      </w:r>
    </w:p>
    <w:p w14:paraId="49AC19A1" w14:textId="77777777" w:rsidR="007B7514" w:rsidRDefault="007B7514" w:rsidP="007B7514">
      <w:r w:rsidRPr="31FF9146">
        <w:rPr>
          <w:rFonts w:ascii="Times New Roman" w:hAnsi="Times New Roman"/>
          <w:color w:val="000000" w:themeColor="text1"/>
          <w:sz w:val="22"/>
          <w:szCs w:val="22"/>
        </w:rPr>
        <w:t xml:space="preserve"> </w:t>
      </w:r>
    </w:p>
    <w:p w14:paraId="6A601FF6" w14:textId="77777777" w:rsidR="007B7514" w:rsidRDefault="007B7514" w:rsidP="007B7514">
      <w:r w:rsidRPr="31FF9146">
        <w:rPr>
          <w:rFonts w:eastAsia="Arial" w:cs="Arial"/>
          <w:color w:val="000000" w:themeColor="text1"/>
          <w:sz w:val="22"/>
          <w:szCs w:val="22"/>
        </w:rPr>
        <w:t>Durante la vigencia de 2020 y 2021 se elaboraron los siguientes estudios de suelos y material para aplicación agrológica, lo cual evidencia algunos de los logros principales de la Gestión Agrológica:</w:t>
      </w:r>
    </w:p>
    <w:p w14:paraId="04B6FE7B" w14:textId="77777777" w:rsidR="007B7514" w:rsidRDefault="007B7514" w:rsidP="007B7514">
      <w:r w:rsidRPr="31FF9146">
        <w:rPr>
          <w:rFonts w:eastAsia="Arial" w:cs="Arial"/>
          <w:color w:val="000000" w:themeColor="text1"/>
          <w:sz w:val="22"/>
          <w:szCs w:val="22"/>
        </w:rPr>
        <w:t xml:space="preserve"> </w:t>
      </w:r>
    </w:p>
    <w:p w14:paraId="7B4D6D8D" w14:textId="77777777" w:rsidR="007B7514" w:rsidRPr="008D044C" w:rsidRDefault="007B7514" w:rsidP="000A20EE">
      <w:pPr>
        <w:pStyle w:val="Prrafodelista"/>
        <w:numPr>
          <w:ilvl w:val="0"/>
          <w:numId w:val="244"/>
        </w:numPr>
        <w:rPr>
          <w:rFonts w:eastAsia="Arial" w:cs="Arial"/>
          <w:sz w:val="22"/>
          <w:szCs w:val="22"/>
        </w:rPr>
      </w:pPr>
      <w:r w:rsidRPr="008D044C">
        <w:rPr>
          <w:rFonts w:eastAsia="Arial" w:cs="Arial"/>
          <w:sz w:val="22"/>
          <w:szCs w:val="22"/>
          <w:lang w:val="es"/>
        </w:rPr>
        <w:t>Estudio semidetallado de suelos para las cuencas hidrográficas de los ríos Sumapaz y Negro</w:t>
      </w:r>
    </w:p>
    <w:p w14:paraId="6470B541" w14:textId="77777777" w:rsidR="007B7514" w:rsidRPr="008D044C" w:rsidRDefault="007B7514" w:rsidP="007B7514">
      <w:pPr>
        <w:rPr>
          <w:sz w:val="22"/>
          <w:szCs w:val="22"/>
        </w:rPr>
      </w:pPr>
      <w:r w:rsidRPr="008D044C">
        <w:rPr>
          <w:rFonts w:ascii="Times New Roman" w:hAnsi="Times New Roman"/>
          <w:color w:val="000000" w:themeColor="text1"/>
          <w:sz w:val="22"/>
          <w:szCs w:val="22"/>
        </w:rPr>
        <w:t xml:space="preserve"> </w:t>
      </w:r>
    </w:p>
    <w:p w14:paraId="52E66258" w14:textId="77777777" w:rsidR="007B7514" w:rsidRDefault="007B7514" w:rsidP="007B7514">
      <w:pPr>
        <w:jc w:val="both"/>
      </w:pPr>
      <w:r w:rsidRPr="31FF9146">
        <w:rPr>
          <w:rFonts w:eastAsia="Arial" w:cs="Arial"/>
          <w:color w:val="000000" w:themeColor="text1"/>
          <w:sz w:val="22"/>
          <w:szCs w:val="22"/>
          <w:lang w:val="es-MX"/>
        </w:rPr>
        <w:t xml:space="preserve">En 2019 a través del Convenio cuencas de los ríos Negro y Sumapaz se entregaron los mapas de suelos y capacidad de uso junto con su memoria técnica de 763.000 ha, los cuales fueron recibidos y aprobados por la Corporación Autónoma Regional (CAR). </w:t>
      </w:r>
    </w:p>
    <w:p w14:paraId="6B579ABD" w14:textId="77777777" w:rsidR="007B7514" w:rsidRDefault="007B7514" w:rsidP="007B7514">
      <w:pPr>
        <w:jc w:val="both"/>
      </w:pPr>
      <w:r w:rsidRPr="31FF9146">
        <w:rPr>
          <w:rFonts w:eastAsia="Arial" w:cs="Arial"/>
          <w:color w:val="000000" w:themeColor="text1"/>
          <w:sz w:val="22"/>
          <w:szCs w:val="22"/>
        </w:rPr>
        <w:t xml:space="preserve"> </w:t>
      </w:r>
    </w:p>
    <w:p w14:paraId="1AD83D86" w14:textId="77777777" w:rsidR="007B7514" w:rsidRDefault="007B7514" w:rsidP="007B7514">
      <w:pPr>
        <w:jc w:val="both"/>
      </w:pPr>
      <w:r w:rsidRPr="31FF9146">
        <w:rPr>
          <w:rFonts w:eastAsia="Arial" w:cs="Arial"/>
          <w:color w:val="000000" w:themeColor="text1"/>
          <w:sz w:val="22"/>
          <w:szCs w:val="22"/>
        </w:rPr>
        <w:lastRenderedPageBreak/>
        <w:t>A partir de los estudios de suelos se realizan diversas aplicaciones (capacidad de uso, zonificación biofísica, áreas homogéneas de tierras) que se constituyen en un insumo importante para el catastro multipropósito y también para la gestión del territorio (Planes de Ordenamiento Territorial - POT); Planes de Ordenación y Manejo de Cuencas hidrográficas - POMCA) y esquemas de ordenamiento territorial - EOT).</w:t>
      </w:r>
    </w:p>
    <w:p w14:paraId="74BCF0B4" w14:textId="77777777" w:rsidR="007B7514" w:rsidRDefault="007B7514" w:rsidP="007B7514">
      <w:pPr>
        <w:jc w:val="both"/>
      </w:pPr>
      <w:r w:rsidRPr="31FF9146">
        <w:rPr>
          <w:rFonts w:eastAsia="Arial" w:cs="Arial"/>
          <w:color w:val="000000" w:themeColor="text1"/>
          <w:sz w:val="22"/>
          <w:szCs w:val="22"/>
        </w:rPr>
        <w:t xml:space="preserve"> </w:t>
      </w:r>
    </w:p>
    <w:p w14:paraId="0F6B1DFB" w14:textId="77777777" w:rsidR="007B7514" w:rsidRPr="008D044C" w:rsidRDefault="007B7514" w:rsidP="000A20EE">
      <w:pPr>
        <w:pStyle w:val="Prrafodelista"/>
        <w:numPr>
          <w:ilvl w:val="0"/>
          <w:numId w:val="205"/>
        </w:numPr>
        <w:rPr>
          <w:rFonts w:eastAsia="Arial" w:cs="Arial"/>
          <w:sz w:val="22"/>
          <w:szCs w:val="22"/>
        </w:rPr>
      </w:pPr>
      <w:r w:rsidRPr="008D044C">
        <w:rPr>
          <w:rFonts w:eastAsia="Arial" w:cs="Arial"/>
          <w:sz w:val="22"/>
          <w:szCs w:val="22"/>
          <w:lang w:val="es"/>
        </w:rPr>
        <w:t>Estudio multitemporal de las coberturas y uso de la tierra y el levantamiento de suelos a escala 1: 10.000 en las zonas de páramo de la jurisdicción CAR</w:t>
      </w:r>
    </w:p>
    <w:p w14:paraId="1B69F1F0" w14:textId="77777777" w:rsidR="007B7514" w:rsidRDefault="007B7514" w:rsidP="007B7514">
      <w:pPr>
        <w:jc w:val="both"/>
      </w:pPr>
      <w:r w:rsidRPr="31FF9146">
        <w:rPr>
          <w:rFonts w:eastAsia="Arial" w:cs="Arial"/>
          <w:color w:val="000000" w:themeColor="text1"/>
          <w:sz w:val="22"/>
          <w:szCs w:val="22"/>
        </w:rPr>
        <w:t xml:space="preserve"> </w:t>
      </w:r>
    </w:p>
    <w:p w14:paraId="03CC8F25" w14:textId="00E58EDD" w:rsidR="00E45BF8" w:rsidRDefault="007B7514" w:rsidP="00833937">
      <w:pPr>
        <w:jc w:val="both"/>
        <w:rPr>
          <w:rFonts w:eastAsia="Arial" w:cs="Arial"/>
          <w:color w:val="000000" w:themeColor="text1"/>
          <w:sz w:val="22"/>
          <w:szCs w:val="22"/>
        </w:rPr>
      </w:pPr>
      <w:r w:rsidRPr="31FF9146">
        <w:rPr>
          <w:rFonts w:eastAsia="Arial" w:cs="Arial"/>
          <w:color w:val="000000" w:themeColor="text1"/>
          <w:sz w:val="22"/>
          <w:szCs w:val="22"/>
        </w:rPr>
        <w:t>Por otra parte, en el marco del Contrato Interadministrativo CAR-IGAC 1833/5153 del 2019, se llevó a cabo el levantamiento de suelos en los complejos de páramos jurisdicción de la CAR (180.184 hectáreas), con su respectivo documento técnico</w:t>
      </w:r>
    </w:p>
    <w:p w14:paraId="01A66657" w14:textId="77777777" w:rsidR="00833937" w:rsidRPr="00833937" w:rsidRDefault="00833937" w:rsidP="00833937">
      <w:pPr>
        <w:jc w:val="both"/>
      </w:pPr>
    </w:p>
    <w:p w14:paraId="5B19A78F" w14:textId="219729D7" w:rsidR="007B7514" w:rsidRPr="00E45BF8" w:rsidRDefault="00E45BF8" w:rsidP="00E45BF8">
      <w:pPr>
        <w:pStyle w:val="Descripcin"/>
        <w:jc w:val="center"/>
        <w:rPr>
          <w:rFonts w:ascii="Arial" w:hAnsi="Arial" w:cs="Arial"/>
          <w:b/>
          <w:i w:val="0"/>
          <w:color w:val="000000" w:themeColor="text1"/>
          <w:sz w:val="16"/>
          <w:szCs w:val="16"/>
        </w:rPr>
      </w:pPr>
      <w:bookmarkStart w:id="112" w:name="_Toc88677191"/>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35</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Complejos de páramos - CAR</w:t>
      </w:r>
      <w:bookmarkEnd w:id="112"/>
    </w:p>
    <w:p w14:paraId="023E0F91" w14:textId="4FD212D8" w:rsidR="007B7514" w:rsidRDefault="00E45BF8" w:rsidP="00E45BF8">
      <w:pPr>
        <w:jc w:val="center"/>
      </w:pPr>
      <w:r>
        <w:rPr>
          <w:noProof/>
          <w:lang w:val="es-CO" w:eastAsia="es-CO"/>
        </w:rPr>
        <w:drawing>
          <wp:inline distT="0" distB="0" distL="0" distR="0" wp14:anchorId="19F64EE2" wp14:editId="193CE2B6">
            <wp:extent cx="3037126" cy="3926323"/>
            <wp:effectExtent l="0" t="0" r="0"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2">
                      <a:extLst>
                        <a:ext uri="{28A0092B-C50C-407E-A947-70E740481C1C}">
                          <a14:useLocalDpi xmlns:a14="http://schemas.microsoft.com/office/drawing/2010/main" val="0"/>
                        </a:ext>
                      </a:extLst>
                    </a:blip>
                    <a:stretch>
                      <a:fillRect/>
                    </a:stretch>
                  </pic:blipFill>
                  <pic:spPr>
                    <a:xfrm>
                      <a:off x="0" y="0"/>
                      <a:ext cx="3037126" cy="3926323"/>
                    </a:xfrm>
                    <a:prstGeom prst="rect">
                      <a:avLst/>
                    </a:prstGeom>
                  </pic:spPr>
                </pic:pic>
              </a:graphicData>
            </a:graphic>
          </wp:inline>
        </w:drawing>
      </w:r>
    </w:p>
    <w:p w14:paraId="4E072E69" w14:textId="77777777" w:rsidR="007B7514" w:rsidRDefault="007B7514" w:rsidP="007B7514">
      <w:pPr>
        <w:jc w:val="center"/>
      </w:pPr>
      <w:r w:rsidRPr="008D044C">
        <w:rPr>
          <w:rFonts w:eastAsia="Arial" w:cs="Arial"/>
          <w:b/>
          <w:bCs/>
          <w:color w:val="000000" w:themeColor="text1"/>
          <w:sz w:val="16"/>
          <w:szCs w:val="16"/>
          <w:lang w:val="es-MX"/>
        </w:rPr>
        <w:t>Fuente: IGAC. Subdirección de Agrología.</w:t>
      </w:r>
    </w:p>
    <w:p w14:paraId="048C519B" w14:textId="77777777" w:rsidR="007B7514" w:rsidRDefault="007B7514" w:rsidP="007B7514">
      <w:pPr>
        <w:jc w:val="both"/>
        <w:rPr>
          <w:color w:val="000000" w:themeColor="text1"/>
        </w:rPr>
      </w:pPr>
    </w:p>
    <w:p w14:paraId="16236A86" w14:textId="77777777" w:rsidR="007B7514" w:rsidRDefault="007B7514" w:rsidP="007B7514">
      <w:pPr>
        <w:jc w:val="both"/>
      </w:pPr>
      <w:r w:rsidRPr="31FF9146">
        <w:rPr>
          <w:rFonts w:eastAsia="Arial" w:cs="Arial"/>
          <w:color w:val="000000" w:themeColor="text1"/>
          <w:sz w:val="22"/>
          <w:szCs w:val="22"/>
        </w:rPr>
        <w:t xml:space="preserve"> </w:t>
      </w:r>
      <w:r w:rsidRPr="31FF9146">
        <w:rPr>
          <w:rFonts w:eastAsia="Arial" w:cs="Arial"/>
          <w:color w:val="000000" w:themeColor="text1"/>
          <w:sz w:val="22"/>
          <w:szCs w:val="22"/>
          <w:lang w:val="es"/>
        </w:rPr>
        <w:t xml:space="preserve">Durante el 2020, se revisó y ajustó la información levantada en 2019 relacionada con la cartografía de suelos, perfiles modales, leyendas de suelos y bases de datos de perfiles y observaciones de campo de los páramos Iguaque-Merchán y Altiplano; se recolectaron y entregaron al Laboratorio Nacional de Suelos 3.327 muestras de suelos para ejecutar 1.253 análisis químicos, 2.007 para análisis físicos y 67 análisis mineralógicos. </w:t>
      </w:r>
    </w:p>
    <w:p w14:paraId="67BA4788" w14:textId="77777777" w:rsidR="007B7514" w:rsidRDefault="007B7514" w:rsidP="007B7514">
      <w:pPr>
        <w:jc w:val="both"/>
      </w:pPr>
      <w:r w:rsidRPr="31FF9146">
        <w:rPr>
          <w:rFonts w:eastAsia="Arial" w:cs="Arial"/>
          <w:color w:val="000000" w:themeColor="text1"/>
          <w:sz w:val="22"/>
          <w:szCs w:val="22"/>
          <w:lang w:val="es"/>
        </w:rPr>
        <w:t xml:space="preserve"> </w:t>
      </w:r>
    </w:p>
    <w:p w14:paraId="705716BA" w14:textId="77777777" w:rsidR="007B7514" w:rsidRDefault="007B7514" w:rsidP="007B7514">
      <w:pPr>
        <w:jc w:val="both"/>
      </w:pPr>
      <w:r w:rsidRPr="31FF9146">
        <w:rPr>
          <w:rFonts w:eastAsia="Arial" w:cs="Arial"/>
          <w:color w:val="000000" w:themeColor="text1"/>
          <w:sz w:val="22"/>
          <w:szCs w:val="22"/>
          <w:lang w:val="es"/>
        </w:rPr>
        <w:t>Posteriormente, con los resultados de laboratorio se actualizaron los perfiles levantados y la leyenda de suelos.  Así mismo, se generó la cartografía temática de suelos, capacidad de uso de las tierras y se definieron los sitios de muestreo, también se elaboraron las respectivas leyendas de los complejos de páramos de Altiplano e Iguaque-Merchán.</w:t>
      </w:r>
    </w:p>
    <w:p w14:paraId="580FD41B" w14:textId="77777777" w:rsidR="007B7514" w:rsidRDefault="007B7514" w:rsidP="007B7514">
      <w:pPr>
        <w:jc w:val="both"/>
      </w:pPr>
      <w:r w:rsidRPr="31FF9146">
        <w:rPr>
          <w:rFonts w:eastAsia="Arial" w:cs="Arial"/>
          <w:color w:val="000000" w:themeColor="text1"/>
          <w:sz w:val="22"/>
          <w:szCs w:val="22"/>
          <w:lang w:val="es"/>
        </w:rPr>
        <w:lastRenderedPageBreak/>
        <w:t xml:space="preserve"> </w:t>
      </w:r>
    </w:p>
    <w:p w14:paraId="7248F76F" w14:textId="77777777" w:rsidR="007B7514" w:rsidRDefault="007B7514" w:rsidP="007B7514">
      <w:pPr>
        <w:jc w:val="both"/>
      </w:pPr>
      <w:r w:rsidRPr="31FF9146">
        <w:rPr>
          <w:rFonts w:eastAsia="Arial" w:cs="Arial"/>
          <w:color w:val="000000" w:themeColor="text1"/>
          <w:sz w:val="22"/>
          <w:szCs w:val="22"/>
        </w:rPr>
        <w:t>Se elaboró el Protocolo de Evaluación del Impacto de Cambio de Uso de la Tierra (CUT) en algunas propiedades de los suelos asociados a los ecosistemas de páramo, el cual se constituye en una herramienta de monitoreo acorde con la política Nacional para la Gestión Integral Ambiental del Suelo y permitirá a los usuarios entender cómo los CUT han afectado las propiedades físicas, químicas, biológicas y mineralógicas de los suelos de páramo, con el fin de establecer las medidas de mitigación necesarias para asegurar su sostenibilidad y la conservación.  Relacionado con lo anterior, en el 2021 s</w:t>
      </w:r>
      <w:r w:rsidRPr="31FF9146">
        <w:rPr>
          <w:rFonts w:eastAsia="Arial" w:cs="Arial"/>
          <w:color w:val="000000" w:themeColor="text1"/>
          <w:sz w:val="22"/>
          <w:szCs w:val="22"/>
          <w:lang w:val="es"/>
        </w:rPr>
        <w:t>e entregaron los productos contractuales a la Corporación Autónoma Regional de Cundinamarca – CAR, siendo cartografía básica de suelos, capacidad de uso y protocolo para evaluar el impacto del cambio de uso de la tierra en las propiedades de los suelos.</w:t>
      </w:r>
    </w:p>
    <w:p w14:paraId="74493F2D" w14:textId="77777777" w:rsidR="007B7514" w:rsidRDefault="007B7514" w:rsidP="007B7514">
      <w:pPr>
        <w:jc w:val="both"/>
      </w:pPr>
      <w:r w:rsidRPr="31FF9146">
        <w:rPr>
          <w:rFonts w:eastAsia="Arial" w:cs="Arial"/>
          <w:color w:val="000000" w:themeColor="text1"/>
          <w:sz w:val="22"/>
          <w:szCs w:val="22"/>
          <w:lang w:val="es"/>
        </w:rPr>
        <w:t xml:space="preserve"> </w:t>
      </w:r>
    </w:p>
    <w:p w14:paraId="3909AA3E" w14:textId="77777777" w:rsidR="007B7514" w:rsidRDefault="007B7514" w:rsidP="007B7514">
      <w:pPr>
        <w:jc w:val="both"/>
      </w:pPr>
      <w:r w:rsidRPr="31FF9146">
        <w:rPr>
          <w:rFonts w:eastAsia="Arial" w:cs="Arial"/>
          <w:color w:val="000000" w:themeColor="text1"/>
          <w:sz w:val="22"/>
          <w:szCs w:val="22"/>
          <w:lang w:val="es"/>
        </w:rPr>
        <w:t>Con la finalidad de apoyar la construcción del protocolo de evaluación del impacto del cambio del uso de la tierra en las propiedades de los suelos, se llevaron a cabo dos (2) paneles de expertos.</w:t>
      </w:r>
    </w:p>
    <w:p w14:paraId="42D4E0F8" w14:textId="77777777" w:rsidR="007B7514" w:rsidRDefault="007B7514" w:rsidP="007B7514">
      <w:pPr>
        <w:jc w:val="both"/>
      </w:pPr>
      <w:r w:rsidRPr="31FF9146">
        <w:rPr>
          <w:rFonts w:eastAsia="Arial" w:cs="Arial"/>
          <w:color w:val="000000" w:themeColor="text1"/>
          <w:sz w:val="22"/>
          <w:szCs w:val="22"/>
          <w:lang w:val="es"/>
        </w:rPr>
        <w:t xml:space="preserve"> </w:t>
      </w:r>
    </w:p>
    <w:p w14:paraId="7BC758C4" w14:textId="77777777" w:rsidR="007B7514" w:rsidRDefault="007B7514" w:rsidP="007B7514">
      <w:pPr>
        <w:jc w:val="both"/>
      </w:pPr>
      <w:r w:rsidRPr="31FF9146">
        <w:rPr>
          <w:rFonts w:eastAsia="Arial" w:cs="Arial"/>
          <w:color w:val="000000" w:themeColor="text1"/>
          <w:sz w:val="22"/>
          <w:szCs w:val="22"/>
          <w:lang w:val="es"/>
        </w:rPr>
        <w:t>De acuerdo con lo realizado a través del trabajo en campo en el año 2021, se ejecutaron 873 observaciones, se recolectaron 375 muestras de suelos para análisis de física, química y mineralogía y se realizaron 827 paquetes analíticos.</w:t>
      </w:r>
    </w:p>
    <w:p w14:paraId="29A54CC4" w14:textId="77777777" w:rsidR="007B7514" w:rsidRDefault="007B7514" w:rsidP="007B7514">
      <w:pPr>
        <w:jc w:val="both"/>
      </w:pPr>
      <w:r w:rsidRPr="31FF9146">
        <w:rPr>
          <w:rFonts w:eastAsia="Arial" w:cs="Arial"/>
          <w:color w:val="000000" w:themeColor="text1"/>
          <w:sz w:val="22"/>
          <w:szCs w:val="22"/>
          <w:lang w:val="es"/>
        </w:rPr>
        <w:t xml:space="preserve"> </w:t>
      </w:r>
    </w:p>
    <w:p w14:paraId="457ED4E4" w14:textId="77777777" w:rsidR="007B7514" w:rsidRDefault="007B7514" w:rsidP="000A20EE">
      <w:pPr>
        <w:pStyle w:val="Prrafodelista"/>
        <w:numPr>
          <w:ilvl w:val="0"/>
          <w:numId w:val="204"/>
        </w:numPr>
        <w:rPr>
          <w:rFonts w:eastAsia="Arial" w:cs="Arial"/>
          <w:sz w:val="22"/>
          <w:szCs w:val="22"/>
        </w:rPr>
      </w:pPr>
      <w:r w:rsidRPr="31FF9146">
        <w:rPr>
          <w:rFonts w:eastAsia="Arial" w:cs="Arial"/>
          <w:sz w:val="22"/>
          <w:szCs w:val="22"/>
          <w:lang w:val="es"/>
        </w:rPr>
        <w:t>Estudio o Levantamientos de suelos de los departamentos de Cesar y Magdalena</w:t>
      </w:r>
    </w:p>
    <w:p w14:paraId="2DBA18EE" w14:textId="77777777" w:rsidR="007B7514" w:rsidRDefault="007B7514" w:rsidP="007B7514">
      <w:pPr>
        <w:jc w:val="both"/>
      </w:pPr>
      <w:r w:rsidRPr="31FF9146">
        <w:rPr>
          <w:rFonts w:eastAsia="Arial" w:cs="Arial"/>
          <w:color w:val="000000" w:themeColor="text1"/>
          <w:sz w:val="22"/>
          <w:szCs w:val="22"/>
          <w:lang w:val="es"/>
        </w:rPr>
        <w:t xml:space="preserve"> </w:t>
      </w:r>
    </w:p>
    <w:p w14:paraId="575B1DBA" w14:textId="77777777" w:rsidR="007B7514" w:rsidRDefault="007B7514" w:rsidP="007B7514">
      <w:pPr>
        <w:jc w:val="both"/>
      </w:pPr>
      <w:r w:rsidRPr="31FF9146">
        <w:rPr>
          <w:rFonts w:eastAsia="Arial" w:cs="Arial"/>
          <w:color w:val="000000" w:themeColor="text1"/>
          <w:sz w:val="22"/>
          <w:szCs w:val="22"/>
          <w:lang w:val="es"/>
        </w:rPr>
        <w:t>Durante la vigencia 2020, se avanzó en la realización de la correlación de los estudios de suelos (principalmente 1:25.000) reportados en los dos departamentos según el análisis de marcos pedológicos de la zona de estudio, se determinó la frecuencia de los marcos pedológicos de la zona de estudio del año 2020. Se revisaron alrededor 20 leyendas de los estudios de suelos reportados en los departamentos de Cesar y Magdalena y se procedió a incorporarlas en la leyenda de correlación por cada uno de los 5 paisajes.</w:t>
      </w:r>
    </w:p>
    <w:p w14:paraId="5D905C68" w14:textId="77777777" w:rsidR="007B7514" w:rsidRDefault="007B7514" w:rsidP="007B7514">
      <w:pPr>
        <w:jc w:val="both"/>
      </w:pPr>
      <w:r w:rsidRPr="31FF9146">
        <w:rPr>
          <w:rFonts w:eastAsia="Arial" w:cs="Arial"/>
          <w:color w:val="000000" w:themeColor="text1"/>
          <w:sz w:val="22"/>
          <w:szCs w:val="22"/>
          <w:lang w:val="es"/>
        </w:rPr>
        <w:t xml:space="preserve"> </w:t>
      </w:r>
    </w:p>
    <w:p w14:paraId="0635FAF2" w14:textId="77777777" w:rsidR="007B7514" w:rsidRDefault="007B7514" w:rsidP="007B7514">
      <w:pPr>
        <w:jc w:val="both"/>
      </w:pPr>
      <w:r w:rsidRPr="31FF9146">
        <w:rPr>
          <w:rFonts w:eastAsia="Arial" w:cs="Arial"/>
          <w:color w:val="000000" w:themeColor="text1"/>
          <w:sz w:val="22"/>
          <w:szCs w:val="22"/>
          <w:lang w:val="es"/>
        </w:rPr>
        <w:t xml:space="preserve">Asimismo, se avanzó en la elaboración de la cartografía preliminar de suelos en 421.987 ha que representan el 29 % del área de estudio; se elaboraron mapas digitales de propiedades de los suelos mediante los modelos: </w:t>
      </w:r>
      <w:r w:rsidRPr="31FF9146">
        <w:rPr>
          <w:rFonts w:eastAsia="Arial" w:cs="Arial"/>
          <w:i/>
          <w:iCs/>
          <w:color w:val="000000" w:themeColor="text1"/>
          <w:sz w:val="22"/>
          <w:szCs w:val="22"/>
          <w:lang w:val="es"/>
        </w:rPr>
        <w:t>Artificial Neural Networks, Support Vector Machines, Multinomial Logistic Regression y Random Forest</w:t>
      </w:r>
      <w:r w:rsidRPr="31FF9146">
        <w:rPr>
          <w:rFonts w:eastAsia="Arial" w:cs="Arial"/>
          <w:color w:val="000000" w:themeColor="text1"/>
          <w:sz w:val="22"/>
          <w:szCs w:val="22"/>
          <w:lang w:val="es"/>
        </w:rPr>
        <w:t xml:space="preserve">. Las variables consideradas en el análisis fueron: Orden taxonómico, Suborden, Familia Textural y pH; se realizó la validación de los modelos estadísticos de acuerdo al análisis y conocimiento de los expertos de correlación; se concluyó que los modelos </w:t>
      </w:r>
      <w:r w:rsidRPr="31FF9146">
        <w:rPr>
          <w:rFonts w:eastAsia="Arial" w:cs="Arial"/>
          <w:i/>
          <w:iCs/>
          <w:color w:val="000000" w:themeColor="text1"/>
          <w:sz w:val="22"/>
          <w:szCs w:val="22"/>
          <w:lang w:val="es"/>
        </w:rPr>
        <w:t>Random Forest Ranger y Support Vector Machines</w:t>
      </w:r>
      <w:r w:rsidRPr="31FF9146">
        <w:rPr>
          <w:rFonts w:eastAsia="Arial" w:cs="Arial"/>
          <w:color w:val="000000" w:themeColor="text1"/>
          <w:sz w:val="22"/>
          <w:szCs w:val="22"/>
          <w:lang w:val="es"/>
        </w:rPr>
        <w:t xml:space="preserve"> presentan los resultados más aproximados al entorno natural y se avanzó en la determinación de la capacidad de uso de las unidades cartográficas de suelos (UCS) de los paisajes de Lomerío, Planicie y Valle</w:t>
      </w:r>
      <w:r w:rsidRPr="31FF9146">
        <w:rPr>
          <w:rFonts w:eastAsia="Arial" w:cs="Arial"/>
          <w:color w:val="FF0000"/>
          <w:sz w:val="22"/>
          <w:szCs w:val="22"/>
          <w:lang w:val="es"/>
        </w:rPr>
        <w:t>.</w:t>
      </w:r>
    </w:p>
    <w:p w14:paraId="5FE8BE60" w14:textId="77777777" w:rsidR="007B7514" w:rsidRDefault="007B7514" w:rsidP="007B7514">
      <w:pPr>
        <w:jc w:val="both"/>
      </w:pPr>
      <w:r w:rsidRPr="31FF9146">
        <w:rPr>
          <w:rFonts w:eastAsia="Arial" w:cs="Arial"/>
          <w:color w:val="000000" w:themeColor="text1"/>
          <w:sz w:val="22"/>
          <w:szCs w:val="22"/>
          <w:lang w:val="es"/>
        </w:rPr>
        <w:t xml:space="preserve"> </w:t>
      </w:r>
    </w:p>
    <w:p w14:paraId="7EDC4602" w14:textId="77777777" w:rsidR="007B7514" w:rsidRDefault="007B7514" w:rsidP="007B7514">
      <w:pPr>
        <w:jc w:val="both"/>
      </w:pPr>
      <w:r w:rsidRPr="31FF9146">
        <w:rPr>
          <w:rFonts w:eastAsia="Arial" w:cs="Arial"/>
          <w:color w:val="000000" w:themeColor="text1"/>
          <w:sz w:val="22"/>
          <w:szCs w:val="22"/>
          <w:lang w:val="es"/>
        </w:rPr>
        <w:t>El proyecto se desarrolló en 1.453.055 ha de los departamentos de Cesar y Magdalena y el año 2021 se estableció como objetivo principal realizar la correlación de los estudios de suelos realizados en 12 municipios del departamento de Magdalena (Plato, Nueva Granada, Ariguaní, Sábanas de San Ángel, Chivolo, Zapayán, Tenerife, Pedraza, Concordia, Cerro de San Antonio, Pivijay y Fundación), teniendo en cuenta que cerca del 85% del área de estos municipios fue estudiada por la Subdirección de Agrología en el marco de diversos proyectos, principalmente Política de tierras (mesa de tierras) y Humedales. Adicionalmente, se tuvo como enfoque adicionar la liberación de la información agrológica de los municipios mencionados, que incluye: suelos, capacidad de uso, geomorfología y cobertura de la tierra.</w:t>
      </w:r>
    </w:p>
    <w:p w14:paraId="6376B276" w14:textId="77777777" w:rsidR="007B7514" w:rsidRDefault="007B7514" w:rsidP="007B7514">
      <w:pPr>
        <w:jc w:val="both"/>
      </w:pPr>
      <w:r w:rsidRPr="31FF9146">
        <w:rPr>
          <w:rFonts w:eastAsia="Arial" w:cs="Arial"/>
          <w:color w:val="000000" w:themeColor="text1"/>
          <w:sz w:val="22"/>
          <w:szCs w:val="22"/>
          <w:lang w:val="es"/>
        </w:rPr>
        <w:t xml:space="preserve"> </w:t>
      </w:r>
    </w:p>
    <w:p w14:paraId="5BA93CE5" w14:textId="77777777" w:rsidR="007B7514" w:rsidRDefault="007B7514" w:rsidP="007B7514">
      <w:pPr>
        <w:rPr>
          <w:rFonts w:eastAsia="Arial"/>
          <w:i/>
          <w:iCs/>
          <w:sz w:val="22"/>
          <w:szCs w:val="22"/>
        </w:rPr>
      </w:pPr>
    </w:p>
    <w:p w14:paraId="069209D7" w14:textId="77777777" w:rsidR="007B7514" w:rsidRPr="00225814" w:rsidRDefault="007B7514" w:rsidP="007B7514">
      <w:pPr>
        <w:rPr>
          <w:i/>
          <w:iCs/>
          <w:sz w:val="22"/>
          <w:szCs w:val="22"/>
        </w:rPr>
      </w:pPr>
      <w:r w:rsidRPr="003A08CF">
        <w:rPr>
          <w:rFonts w:eastAsia="Arial"/>
          <w:b/>
          <w:sz w:val="22"/>
          <w:szCs w:val="22"/>
        </w:rPr>
        <w:lastRenderedPageBreak/>
        <w:t>GEOMORFOLOGÍA</w:t>
      </w:r>
    </w:p>
    <w:p w14:paraId="2B903F1E" w14:textId="77777777" w:rsidR="007B7514" w:rsidRDefault="007B7514" w:rsidP="007B7514">
      <w:pPr>
        <w:jc w:val="both"/>
      </w:pPr>
      <w:r w:rsidRPr="31FF9146">
        <w:rPr>
          <w:rFonts w:eastAsia="Arial" w:cs="Arial"/>
          <w:color w:val="000000" w:themeColor="text1"/>
          <w:sz w:val="22"/>
          <w:szCs w:val="22"/>
        </w:rPr>
        <w:t xml:space="preserve"> </w:t>
      </w:r>
    </w:p>
    <w:p w14:paraId="57D23CB6" w14:textId="77777777" w:rsidR="007B7514" w:rsidRDefault="007B7514" w:rsidP="007B7514">
      <w:pPr>
        <w:jc w:val="both"/>
      </w:pPr>
      <w:r w:rsidRPr="31FF9146">
        <w:rPr>
          <w:rFonts w:eastAsia="Arial" w:cs="Arial"/>
          <w:color w:val="000000" w:themeColor="text1"/>
          <w:sz w:val="22"/>
          <w:szCs w:val="22"/>
        </w:rPr>
        <w:t xml:space="preserve">Se recopiló todo el conocimiento de la geomorfología adquirido en más 7 décadas de existencia y se sintetizó en la obra </w:t>
      </w:r>
      <w:r w:rsidRPr="31FF9146">
        <w:rPr>
          <w:rFonts w:eastAsia="Arial" w:cs="Arial"/>
          <w:i/>
          <w:iCs/>
          <w:color w:val="000000" w:themeColor="text1"/>
          <w:sz w:val="22"/>
          <w:szCs w:val="22"/>
        </w:rPr>
        <w:t>“Clasificación Geomorfológica aplicado a los Levantamientos de Suelos”</w:t>
      </w:r>
      <w:r w:rsidRPr="31FF9146">
        <w:rPr>
          <w:rFonts w:eastAsia="Arial" w:cs="Arial"/>
          <w:color w:val="000000" w:themeColor="text1"/>
          <w:sz w:val="22"/>
          <w:szCs w:val="22"/>
        </w:rPr>
        <w:t xml:space="preserve"> que se constituye en un referente técnico para la elaboración de cartografía geomorfológica de manera confiable, precisa, ágil, jerarquizada, uniforme, estandarizada y controlada. Esta información no solo es útil para los estudios de suelos realizados por el IGAC, sino también para otras entidades como el Ministerio de Ambiente y Desarrollo Sostenible (MADS), la Autoridad Nacional de Licencias Ambientales (ANLA) y la Unidad Nacional para la Gestión del Riesgo de Desastres (UNGRD), donde se define la cartografía geomorfológica como capa básica de información para las evaluaciones ambientales, los planes de ordenamiento ambiental y los estudios de riesgo.</w:t>
      </w:r>
    </w:p>
    <w:p w14:paraId="376FF1A7" w14:textId="77777777" w:rsidR="007B7514" w:rsidRDefault="007B7514" w:rsidP="007B7514">
      <w:pPr>
        <w:jc w:val="both"/>
      </w:pPr>
      <w:r w:rsidRPr="31FF9146">
        <w:rPr>
          <w:rFonts w:ascii="Calibri" w:eastAsia="Calibri" w:hAnsi="Calibri" w:cs="Calibri"/>
          <w:color w:val="000000" w:themeColor="text1"/>
          <w:sz w:val="22"/>
          <w:szCs w:val="22"/>
        </w:rPr>
        <w:t xml:space="preserve"> </w:t>
      </w:r>
    </w:p>
    <w:p w14:paraId="5C965DD8" w14:textId="77777777" w:rsidR="007B7514" w:rsidRDefault="007B7514" w:rsidP="007B7514">
      <w:pPr>
        <w:jc w:val="both"/>
      </w:pPr>
      <w:r w:rsidRPr="31FF9146">
        <w:rPr>
          <w:rFonts w:eastAsia="Arial" w:cs="Arial"/>
          <w:color w:val="000000" w:themeColor="text1"/>
          <w:sz w:val="22"/>
          <w:szCs w:val="22"/>
          <w:lang w:val="es"/>
        </w:rPr>
        <w:t>Se finalizó la interpretación geomorfológica escala 1:100.000 del territorio nacional, y se hizo el ajuste de la Leyenda Nacional de Geomorfología para Levantamiento de Suelos (Figura 15). De otra parte, se realizó la entrega del documento explicativo del proceso realizado y los resultados principales de la interpretación de geomorfología para incorporar como parte del capítulo 2 de la memoria técnica del Mapa Nacional de Suelos a nivel nacional.</w:t>
      </w:r>
    </w:p>
    <w:p w14:paraId="6EF7DAB4" w14:textId="4C45CBBD" w:rsidR="00E45BF8" w:rsidRDefault="00E45BF8" w:rsidP="007B7514">
      <w:pPr>
        <w:jc w:val="both"/>
        <w:rPr>
          <w:color w:val="000000" w:themeColor="text1"/>
        </w:rPr>
      </w:pPr>
    </w:p>
    <w:p w14:paraId="4D4B0ECC" w14:textId="7FF94671" w:rsidR="007B7514" w:rsidRDefault="00E45BF8" w:rsidP="00E45BF8">
      <w:pPr>
        <w:pStyle w:val="Descripcin"/>
        <w:jc w:val="center"/>
        <w:rPr>
          <w:color w:val="000000" w:themeColor="text1"/>
        </w:rPr>
      </w:pPr>
      <w:bookmarkStart w:id="113" w:name="_Toc88677192"/>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36</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Relación de Paisajes en el Mapa de Geomorfología a nivel nacional</w:t>
      </w:r>
      <w:r w:rsidRPr="008C266A">
        <w:t>.</w:t>
      </w:r>
      <w:bookmarkEnd w:id="113"/>
    </w:p>
    <w:p w14:paraId="61EA2EE9" w14:textId="77777777" w:rsidR="007B7514" w:rsidRPr="00225814" w:rsidRDefault="007B7514" w:rsidP="007B7514">
      <w:pPr>
        <w:jc w:val="center"/>
        <w:rPr>
          <w:b/>
          <w:bCs/>
          <w:color w:val="000000" w:themeColor="text1"/>
          <w:sz w:val="16"/>
          <w:szCs w:val="16"/>
        </w:rPr>
      </w:pPr>
      <w:r w:rsidRPr="00225814">
        <w:rPr>
          <w:b/>
          <w:bCs/>
          <w:noProof/>
          <w:color w:val="000000" w:themeColor="text1"/>
          <w:sz w:val="16"/>
          <w:szCs w:val="16"/>
          <w:lang w:val="es-CO" w:eastAsia="es-CO"/>
        </w:rPr>
        <w:drawing>
          <wp:inline distT="0" distB="0" distL="0" distR="0" wp14:anchorId="5FE25576" wp14:editId="08F58150">
            <wp:extent cx="2809875" cy="3690809"/>
            <wp:effectExtent l="0" t="0" r="0" b="5080"/>
            <wp:docPr id="694386772" name="Imagen 694386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3">
                      <a:extLst>
                        <a:ext uri="{28A0092B-C50C-407E-A947-70E740481C1C}">
                          <a14:useLocalDpi xmlns:a14="http://schemas.microsoft.com/office/drawing/2010/main" val="0"/>
                        </a:ext>
                      </a:extLst>
                    </a:blip>
                    <a:stretch>
                      <a:fillRect/>
                    </a:stretch>
                  </pic:blipFill>
                  <pic:spPr>
                    <a:xfrm>
                      <a:off x="0" y="0"/>
                      <a:ext cx="2814648" cy="3697078"/>
                    </a:xfrm>
                    <a:prstGeom prst="rect">
                      <a:avLst/>
                    </a:prstGeom>
                  </pic:spPr>
                </pic:pic>
              </a:graphicData>
            </a:graphic>
          </wp:inline>
        </w:drawing>
      </w:r>
    </w:p>
    <w:p w14:paraId="6FAC2153" w14:textId="5EA97CBB" w:rsidR="007B7514" w:rsidRPr="00833937" w:rsidRDefault="007B7514" w:rsidP="00833937">
      <w:pPr>
        <w:jc w:val="center"/>
        <w:rPr>
          <w:b/>
          <w:bCs/>
          <w:color w:val="000000" w:themeColor="text1"/>
          <w:sz w:val="16"/>
          <w:szCs w:val="16"/>
        </w:rPr>
      </w:pPr>
      <w:r w:rsidRPr="00225814">
        <w:rPr>
          <w:rFonts w:eastAsia="Arial" w:cs="Arial"/>
          <w:b/>
          <w:bCs/>
          <w:color w:val="000000" w:themeColor="text1"/>
          <w:sz w:val="16"/>
          <w:szCs w:val="16"/>
          <w:lang w:val="es"/>
        </w:rPr>
        <w:t>Fuente: IGAC. Subdirección de Agrología</w:t>
      </w:r>
    </w:p>
    <w:p w14:paraId="39875DFF" w14:textId="77777777" w:rsidR="007B7514" w:rsidRDefault="007B7514" w:rsidP="007B7514">
      <w:pPr>
        <w:jc w:val="both"/>
        <w:rPr>
          <w:rFonts w:eastAsia="Arial" w:cs="Arial"/>
          <w:color w:val="000000" w:themeColor="text1"/>
          <w:sz w:val="22"/>
          <w:szCs w:val="22"/>
        </w:rPr>
      </w:pPr>
    </w:p>
    <w:p w14:paraId="192DC865" w14:textId="77777777" w:rsidR="007B7514" w:rsidRDefault="007B7514" w:rsidP="007B7514">
      <w:pPr>
        <w:jc w:val="both"/>
      </w:pPr>
      <w:r w:rsidRPr="31FF9146">
        <w:rPr>
          <w:rFonts w:eastAsia="Arial" w:cs="Arial"/>
          <w:color w:val="000000" w:themeColor="text1"/>
          <w:sz w:val="22"/>
          <w:szCs w:val="22"/>
          <w:lang w:val="es"/>
        </w:rPr>
        <w:t>Asimismo, se elaboró y consolidó las bases de datos de perfiles y resultados de laboratorio, se realizó la c</w:t>
      </w:r>
      <w:r w:rsidRPr="31FF9146">
        <w:rPr>
          <w:rFonts w:eastAsia="Arial" w:cs="Arial"/>
          <w:color w:val="000000" w:themeColor="text1"/>
          <w:sz w:val="22"/>
          <w:szCs w:val="22"/>
        </w:rPr>
        <w:t>orrelación de los levantamientos generales de suelos a nivel nacional p</w:t>
      </w:r>
      <w:r w:rsidRPr="31FF9146">
        <w:rPr>
          <w:rFonts w:eastAsia="Arial" w:cs="Arial"/>
          <w:color w:val="000000" w:themeColor="text1"/>
          <w:sz w:val="22"/>
          <w:szCs w:val="22"/>
          <w:lang w:val="es"/>
        </w:rPr>
        <w:t xml:space="preserve">ara las regiones de Orinoquía y Amazonía y, se consolidó y elaboró la cartografía temática de acuerdo con los estándares. </w:t>
      </w:r>
    </w:p>
    <w:p w14:paraId="61B31097" w14:textId="272303FA" w:rsidR="007B7514" w:rsidRPr="003A08CF" w:rsidRDefault="007B7514" w:rsidP="003A08CF">
      <w:pPr>
        <w:rPr>
          <w:rFonts w:eastAsia="Arial"/>
          <w:b/>
          <w:sz w:val="22"/>
          <w:szCs w:val="22"/>
        </w:rPr>
      </w:pPr>
    </w:p>
    <w:p w14:paraId="2D905CC1" w14:textId="77777777" w:rsidR="007B7514" w:rsidRPr="003A08CF" w:rsidRDefault="007B7514" w:rsidP="007B7514">
      <w:pPr>
        <w:rPr>
          <w:rFonts w:eastAsia="Arial"/>
          <w:b/>
          <w:sz w:val="22"/>
          <w:szCs w:val="22"/>
        </w:rPr>
      </w:pPr>
      <w:r w:rsidRPr="003A08CF">
        <w:rPr>
          <w:rFonts w:eastAsia="Arial"/>
          <w:b/>
          <w:sz w:val="22"/>
          <w:szCs w:val="22"/>
        </w:rPr>
        <w:lastRenderedPageBreak/>
        <w:t>ÁREAS HOMOGÉNEAS DE TIERRAS</w:t>
      </w:r>
    </w:p>
    <w:p w14:paraId="1643212C" w14:textId="77777777" w:rsidR="007B7514" w:rsidRDefault="007B7514" w:rsidP="007B7514">
      <w:pPr>
        <w:jc w:val="both"/>
      </w:pPr>
      <w:r w:rsidRPr="31FF9146">
        <w:rPr>
          <w:rFonts w:ascii="Times New Roman" w:hAnsi="Times New Roman"/>
          <w:color w:val="000000" w:themeColor="text1"/>
          <w:sz w:val="22"/>
          <w:szCs w:val="22"/>
        </w:rPr>
        <w:t xml:space="preserve"> </w:t>
      </w:r>
    </w:p>
    <w:p w14:paraId="285C4C49" w14:textId="77777777" w:rsidR="007B7514" w:rsidRDefault="007B7514" w:rsidP="007B7514">
      <w:pPr>
        <w:jc w:val="both"/>
      </w:pPr>
      <w:r w:rsidRPr="31FF9146">
        <w:rPr>
          <w:rFonts w:eastAsia="Arial" w:cs="Arial"/>
          <w:color w:val="000000" w:themeColor="text1"/>
          <w:sz w:val="22"/>
          <w:szCs w:val="22"/>
          <w:lang w:val="es"/>
        </w:rPr>
        <w:t>Las Áreas Homogéneas de Tierras (AHT) con fines múltiples, hacen parte de la cartografía temática producida por la Subdirección de Agrología y son una aplicación de los estudios de suelos y un insumo agrológico para la elaboración del Catastro Multipropósito.</w:t>
      </w:r>
    </w:p>
    <w:p w14:paraId="77E741F1" w14:textId="77777777" w:rsidR="007B7514" w:rsidRDefault="007B7514" w:rsidP="007B7514">
      <w:pPr>
        <w:jc w:val="both"/>
      </w:pPr>
      <w:r w:rsidRPr="31FF9146">
        <w:rPr>
          <w:rFonts w:eastAsia="Arial" w:cs="Arial"/>
          <w:color w:val="000000" w:themeColor="text1"/>
          <w:sz w:val="22"/>
          <w:szCs w:val="22"/>
          <w:lang w:val="es"/>
        </w:rPr>
        <w:t xml:space="preserve"> </w:t>
      </w:r>
    </w:p>
    <w:p w14:paraId="7DD9A7F1" w14:textId="77777777" w:rsidR="007B7514" w:rsidRDefault="007B7514" w:rsidP="007B7514">
      <w:pPr>
        <w:jc w:val="both"/>
      </w:pPr>
      <w:r w:rsidRPr="31FF9146">
        <w:rPr>
          <w:rFonts w:eastAsia="Arial" w:cs="Arial"/>
          <w:color w:val="000000" w:themeColor="text1"/>
          <w:sz w:val="22"/>
          <w:szCs w:val="22"/>
          <w:lang w:val="es"/>
        </w:rPr>
        <w:t>Para la vigencia 2020, se elaboraron las AHT de 35 municipios acorde con lo programado correspondientes a 2.042.072,10ha, y fueron actualizados en el 2021, 7 municipios correspondientes a 641.404 ha. con corte al 30 de octubre, para un total a la fecha de 42 municipios de AHT actualizados. (ver Figura 10)</w:t>
      </w:r>
    </w:p>
    <w:p w14:paraId="220CD040" w14:textId="77777777" w:rsidR="007B7514" w:rsidRDefault="007B7514" w:rsidP="007B7514">
      <w:pPr>
        <w:jc w:val="both"/>
      </w:pPr>
      <w:r w:rsidRPr="31FF9146">
        <w:rPr>
          <w:rFonts w:eastAsia="Arial" w:cs="Arial"/>
          <w:color w:val="000000" w:themeColor="text1"/>
          <w:sz w:val="22"/>
          <w:szCs w:val="22"/>
          <w:lang w:val="es"/>
        </w:rPr>
        <w:t xml:space="preserve"> </w:t>
      </w:r>
    </w:p>
    <w:p w14:paraId="609DD8ED" w14:textId="77777777" w:rsidR="007B7514" w:rsidRDefault="007B7514" w:rsidP="007B7514">
      <w:pPr>
        <w:jc w:val="both"/>
      </w:pPr>
      <w:r w:rsidRPr="31FF9146">
        <w:rPr>
          <w:rFonts w:eastAsia="Arial" w:cs="Arial"/>
          <w:color w:val="000000" w:themeColor="text1"/>
          <w:sz w:val="22"/>
          <w:szCs w:val="22"/>
          <w:lang w:val="es"/>
        </w:rPr>
        <w:t>Asimismo, durante el año 2021, se de</w:t>
      </w:r>
      <w:r w:rsidRPr="31FF9146">
        <w:rPr>
          <w:rFonts w:eastAsia="Arial" w:cs="Arial"/>
          <w:color w:val="000000" w:themeColor="text1"/>
          <w:sz w:val="22"/>
          <w:szCs w:val="22"/>
        </w:rPr>
        <w:t>sarrolló una nueva metodología que optimizó la producción de insumos agrológicos denominada Potencial de uso, y permitió la producción de información de aptitud de tierras para diversas especies vegetales en 116 municipios (25.236.141,20 ha). La cartografía de esta información de insumos agrológicos actualmente se está disponiendo en la plataforma de Colombia en Mapas, haciendo más fácil el acceso para los usuarios interesados</w:t>
      </w:r>
      <w:r w:rsidRPr="31FF9146">
        <w:rPr>
          <w:rFonts w:eastAsia="Arial" w:cs="Arial"/>
          <w:color w:val="000000" w:themeColor="text1"/>
          <w:sz w:val="22"/>
          <w:szCs w:val="22"/>
          <w:lang w:val="es"/>
        </w:rPr>
        <w:t xml:space="preserve"> </w:t>
      </w:r>
    </w:p>
    <w:p w14:paraId="21CF4C5C" w14:textId="055C52D5" w:rsidR="007B7514" w:rsidRDefault="007B7514" w:rsidP="00833937">
      <w:pPr>
        <w:pStyle w:val="Descripcin"/>
        <w:rPr>
          <w:rFonts w:ascii="Arial" w:hAnsi="Arial" w:cs="Arial"/>
          <w:b/>
          <w:i w:val="0"/>
          <w:color w:val="000000" w:themeColor="text1"/>
          <w:sz w:val="16"/>
          <w:szCs w:val="16"/>
        </w:rPr>
      </w:pPr>
    </w:p>
    <w:p w14:paraId="0EADA023" w14:textId="097E009D" w:rsidR="00E45BF8" w:rsidRPr="00E45BF8" w:rsidRDefault="00E45BF8" w:rsidP="00E45BF8">
      <w:pPr>
        <w:pStyle w:val="Descripcin"/>
        <w:jc w:val="center"/>
        <w:rPr>
          <w:rFonts w:ascii="Arial" w:eastAsia="Arial" w:hAnsi="Arial" w:cs="Arial"/>
          <w:b/>
          <w:bCs/>
          <w:i w:val="0"/>
          <w:iCs w:val="0"/>
          <w:color w:val="000000" w:themeColor="text1"/>
          <w:sz w:val="16"/>
          <w:szCs w:val="16"/>
          <w:lang w:val="es"/>
        </w:rPr>
      </w:pPr>
      <w:bookmarkStart w:id="114" w:name="_Toc88677193"/>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37</w:t>
      </w:r>
      <w:r w:rsidRPr="00E45BF8">
        <w:rPr>
          <w:rFonts w:ascii="Arial" w:hAnsi="Arial" w:cs="Arial"/>
          <w:b/>
          <w:bCs/>
          <w:i w:val="0"/>
          <w:iCs w:val="0"/>
          <w:color w:val="000000" w:themeColor="text1"/>
          <w:sz w:val="16"/>
          <w:szCs w:val="16"/>
        </w:rPr>
        <w:fldChar w:fldCharType="end"/>
      </w:r>
      <w:r w:rsidR="00833937">
        <w:rPr>
          <w:rFonts w:ascii="Arial" w:hAnsi="Arial" w:cs="Arial"/>
          <w:b/>
          <w:bCs/>
          <w:i w:val="0"/>
          <w:iCs w:val="0"/>
          <w:color w:val="000000" w:themeColor="text1"/>
          <w:sz w:val="16"/>
          <w:szCs w:val="16"/>
        </w:rPr>
        <w:t xml:space="preserve">. </w:t>
      </w:r>
      <w:r w:rsidRPr="00E45BF8">
        <w:rPr>
          <w:rFonts w:ascii="Arial" w:hAnsi="Arial" w:cs="Arial"/>
          <w:b/>
          <w:bCs/>
          <w:i w:val="0"/>
          <w:iCs w:val="0"/>
          <w:color w:val="000000" w:themeColor="text1"/>
          <w:sz w:val="16"/>
          <w:szCs w:val="16"/>
        </w:rPr>
        <w:t>Áreas Homogéneas de Tierras - ATH 2020 y 2021</w:t>
      </w:r>
      <w:bookmarkEnd w:id="114"/>
    </w:p>
    <w:p w14:paraId="728D04D1" w14:textId="77777777" w:rsidR="00833937" w:rsidRDefault="08FA7FB3" w:rsidP="00833937">
      <w:pPr>
        <w:jc w:val="center"/>
      </w:pPr>
      <w:r>
        <w:rPr>
          <w:noProof/>
          <w:lang w:val="es-CO" w:eastAsia="es-CO"/>
        </w:rPr>
        <w:drawing>
          <wp:inline distT="0" distB="0" distL="0" distR="0" wp14:anchorId="27814D09" wp14:editId="2C202060">
            <wp:extent cx="3193059" cy="4305300"/>
            <wp:effectExtent l="0" t="0" r="7620" b="0"/>
            <wp:docPr id="1608572986" name="Imagen 1608572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4" cstate="print">
                      <a:extLst>
                        <a:ext uri="{28A0092B-C50C-407E-A947-70E740481C1C}">
                          <a14:useLocalDpi xmlns:a14="http://schemas.microsoft.com/office/drawing/2010/main" val="0"/>
                        </a:ext>
                      </a:extLst>
                    </a:blip>
                    <a:srcRect t="7215" b="5424"/>
                    <a:stretch/>
                  </pic:blipFill>
                  <pic:spPr bwMode="auto">
                    <a:xfrm>
                      <a:off x="0" y="0"/>
                      <a:ext cx="3194613" cy="4307395"/>
                    </a:xfrm>
                    <a:prstGeom prst="rect">
                      <a:avLst/>
                    </a:prstGeom>
                    <a:ln>
                      <a:noFill/>
                    </a:ln>
                    <a:extLst>
                      <a:ext uri="{53640926-AAD7-44D8-BBD7-CCE9431645EC}">
                        <a14:shadowObscured xmlns:a14="http://schemas.microsoft.com/office/drawing/2010/main"/>
                      </a:ext>
                    </a:extLst>
                  </pic:spPr>
                </pic:pic>
              </a:graphicData>
            </a:graphic>
          </wp:inline>
        </w:drawing>
      </w:r>
    </w:p>
    <w:p w14:paraId="2DA480B4" w14:textId="0BB9D0D4" w:rsidR="007B7514" w:rsidRPr="00833937" w:rsidRDefault="007B7514" w:rsidP="00833937">
      <w:pPr>
        <w:jc w:val="center"/>
      </w:pPr>
      <w:r w:rsidRPr="005E32CF">
        <w:rPr>
          <w:rFonts w:eastAsia="Arial" w:cs="Arial"/>
          <w:b/>
          <w:bCs/>
          <w:color w:val="000000" w:themeColor="text1"/>
          <w:sz w:val="16"/>
          <w:szCs w:val="16"/>
          <w:lang w:val="es-MX"/>
        </w:rPr>
        <w:t>Fuente: IGAC. Subdirección de Agrología</w:t>
      </w:r>
    </w:p>
    <w:p w14:paraId="1AEA4E83" w14:textId="77777777" w:rsidR="007B7514" w:rsidRDefault="007B7514" w:rsidP="007B7514">
      <w:pPr>
        <w:jc w:val="center"/>
        <w:rPr>
          <w:rFonts w:eastAsia="Arial" w:cs="Arial"/>
          <w:b/>
          <w:bCs/>
          <w:color w:val="000000" w:themeColor="text1"/>
          <w:lang w:val="es"/>
        </w:rPr>
      </w:pPr>
    </w:p>
    <w:p w14:paraId="29D2B841" w14:textId="77777777" w:rsidR="007B7514" w:rsidRDefault="007B7514" w:rsidP="007B7514">
      <w:pPr>
        <w:jc w:val="both"/>
        <w:rPr>
          <w:rFonts w:eastAsia="Arial" w:cs="Arial"/>
          <w:color w:val="000000" w:themeColor="text1"/>
          <w:lang w:val="es"/>
        </w:rPr>
      </w:pPr>
      <w:r w:rsidRPr="31FF9146">
        <w:rPr>
          <w:rFonts w:eastAsia="Arial" w:cs="Arial"/>
          <w:color w:val="000000" w:themeColor="text1"/>
          <w:lang w:val="es"/>
        </w:rPr>
        <w:t xml:space="preserve"> </w:t>
      </w:r>
    </w:p>
    <w:p w14:paraId="13F36617" w14:textId="77777777" w:rsidR="007B7514" w:rsidRDefault="007B7514" w:rsidP="007B7514">
      <w:pPr>
        <w:jc w:val="both"/>
        <w:rPr>
          <w:rFonts w:eastAsia="Arial" w:cs="Arial"/>
          <w:color w:val="000000" w:themeColor="text1"/>
          <w:lang w:val="es"/>
        </w:rPr>
      </w:pPr>
    </w:p>
    <w:p w14:paraId="7BA036FA" w14:textId="77777777" w:rsidR="007B7514" w:rsidRDefault="007B7514" w:rsidP="007B7514">
      <w:pPr>
        <w:jc w:val="both"/>
        <w:rPr>
          <w:rFonts w:eastAsia="Arial" w:cs="Arial"/>
          <w:color w:val="000000" w:themeColor="text1"/>
          <w:lang w:val="es"/>
        </w:rPr>
      </w:pPr>
    </w:p>
    <w:p w14:paraId="5472355B" w14:textId="1EEB2E6E" w:rsidR="007B7514" w:rsidRDefault="007B7514" w:rsidP="007B7514">
      <w:pPr>
        <w:jc w:val="both"/>
        <w:rPr>
          <w:rFonts w:eastAsia="Arial" w:cs="Arial"/>
          <w:color w:val="000000" w:themeColor="text1"/>
          <w:lang w:val="es"/>
        </w:rPr>
      </w:pPr>
    </w:p>
    <w:p w14:paraId="3C75B595" w14:textId="798F106F" w:rsidR="007B7514" w:rsidRPr="00E45BF8" w:rsidRDefault="00E45BF8" w:rsidP="00E45BF8">
      <w:pPr>
        <w:pStyle w:val="Descripcin"/>
        <w:jc w:val="center"/>
        <w:rPr>
          <w:rFonts w:ascii="Arial" w:eastAsia="Arial" w:hAnsi="Arial" w:cs="Arial"/>
          <w:b/>
          <w:i w:val="0"/>
          <w:color w:val="000000" w:themeColor="text1"/>
          <w:sz w:val="16"/>
          <w:szCs w:val="16"/>
          <w:lang w:val="es"/>
        </w:rPr>
      </w:pPr>
      <w:bookmarkStart w:id="115" w:name="_Toc88677194"/>
      <w:r w:rsidRPr="00E45BF8">
        <w:rPr>
          <w:rFonts w:ascii="Arial" w:hAnsi="Arial" w:cs="Arial"/>
          <w:b/>
          <w:bCs/>
          <w:i w:val="0"/>
          <w:iCs w:val="0"/>
          <w:color w:val="000000" w:themeColor="text1"/>
          <w:sz w:val="16"/>
          <w:szCs w:val="16"/>
        </w:rPr>
        <w:t xml:space="preserve">Ilustración </w:t>
      </w:r>
      <w:r w:rsidRPr="00E45BF8">
        <w:rPr>
          <w:rFonts w:ascii="Arial" w:hAnsi="Arial" w:cs="Arial"/>
          <w:b/>
          <w:bCs/>
          <w:i w:val="0"/>
          <w:iCs w:val="0"/>
          <w:color w:val="000000" w:themeColor="text1"/>
          <w:sz w:val="16"/>
          <w:szCs w:val="16"/>
        </w:rPr>
        <w:fldChar w:fldCharType="begin"/>
      </w:r>
      <w:r w:rsidRPr="00E45BF8">
        <w:rPr>
          <w:rFonts w:ascii="Arial" w:hAnsi="Arial" w:cs="Arial"/>
          <w:b/>
          <w:bCs/>
          <w:i w:val="0"/>
          <w:iCs w:val="0"/>
          <w:color w:val="000000" w:themeColor="text1"/>
          <w:sz w:val="16"/>
          <w:szCs w:val="16"/>
        </w:rPr>
        <w:instrText xml:space="preserve"> SEQ Ilustración \* ARABIC </w:instrText>
      </w:r>
      <w:r w:rsidRPr="00E45BF8">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38</w:t>
      </w:r>
      <w:r w:rsidRPr="00E45BF8">
        <w:rPr>
          <w:rFonts w:ascii="Arial" w:hAnsi="Arial" w:cs="Arial"/>
          <w:b/>
          <w:bCs/>
          <w:i w:val="0"/>
          <w:iCs w:val="0"/>
          <w:color w:val="000000" w:themeColor="text1"/>
          <w:sz w:val="16"/>
          <w:szCs w:val="16"/>
        </w:rPr>
        <w:fldChar w:fldCharType="end"/>
      </w:r>
      <w:r w:rsidRPr="00E45BF8">
        <w:rPr>
          <w:rFonts w:ascii="Arial" w:hAnsi="Arial" w:cs="Arial"/>
          <w:b/>
          <w:bCs/>
          <w:i w:val="0"/>
          <w:iCs w:val="0"/>
          <w:color w:val="000000" w:themeColor="text1"/>
          <w:sz w:val="16"/>
          <w:szCs w:val="16"/>
        </w:rPr>
        <w:t>. Producción de insumos agrológicos - Metodología Potencial de uso 2021</w:t>
      </w:r>
      <w:bookmarkEnd w:id="115"/>
    </w:p>
    <w:p w14:paraId="082E0815" w14:textId="3F0F9921" w:rsidR="009012EF" w:rsidRPr="005E32CF" w:rsidRDefault="6682871C" w:rsidP="007B7514">
      <w:pPr>
        <w:jc w:val="center"/>
        <w:rPr>
          <w:rFonts w:eastAsia="Arial"/>
          <w:lang w:val="es-MX"/>
        </w:rPr>
      </w:pPr>
      <w:r>
        <w:rPr>
          <w:noProof/>
          <w:lang w:val="es-CO" w:eastAsia="es-CO"/>
        </w:rPr>
        <w:drawing>
          <wp:inline distT="0" distB="0" distL="0" distR="0" wp14:anchorId="22B472D8" wp14:editId="0745C27D">
            <wp:extent cx="3297555" cy="4495800"/>
            <wp:effectExtent l="0" t="0" r="0" b="0"/>
            <wp:docPr id="252137852" name="Imagen 252137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5" cstate="print">
                      <a:extLst>
                        <a:ext uri="{28A0092B-C50C-407E-A947-70E740481C1C}">
                          <a14:useLocalDpi xmlns:a14="http://schemas.microsoft.com/office/drawing/2010/main" val="0"/>
                        </a:ext>
                      </a:extLst>
                    </a:blip>
                    <a:srcRect t="7111" b="4553"/>
                    <a:stretch/>
                  </pic:blipFill>
                  <pic:spPr bwMode="auto">
                    <a:xfrm>
                      <a:off x="0" y="0"/>
                      <a:ext cx="3299228" cy="4498081"/>
                    </a:xfrm>
                    <a:prstGeom prst="rect">
                      <a:avLst/>
                    </a:prstGeom>
                    <a:ln>
                      <a:noFill/>
                    </a:ln>
                    <a:extLst>
                      <a:ext uri="{53640926-AAD7-44D8-BBD7-CCE9431645EC}">
                        <a14:shadowObscured xmlns:a14="http://schemas.microsoft.com/office/drawing/2010/main"/>
                      </a:ext>
                    </a:extLst>
                  </pic:spPr>
                </pic:pic>
              </a:graphicData>
            </a:graphic>
          </wp:inline>
        </w:drawing>
      </w:r>
    </w:p>
    <w:p w14:paraId="3BDE7F83" w14:textId="2604749D" w:rsidR="007B7514" w:rsidRPr="005E32CF" w:rsidRDefault="007B7514" w:rsidP="007B7514">
      <w:pPr>
        <w:jc w:val="center"/>
        <w:rPr>
          <w:rFonts w:eastAsia="Arial" w:cs="Arial"/>
          <w:b/>
          <w:bCs/>
          <w:color w:val="000000" w:themeColor="text1"/>
          <w:sz w:val="16"/>
          <w:szCs w:val="16"/>
          <w:lang w:val="es-MX"/>
        </w:rPr>
      </w:pPr>
      <w:r w:rsidRPr="005E32CF">
        <w:rPr>
          <w:rFonts w:eastAsia="Arial" w:cs="Arial"/>
          <w:b/>
          <w:bCs/>
          <w:color w:val="000000" w:themeColor="text1"/>
          <w:sz w:val="16"/>
          <w:szCs w:val="16"/>
          <w:lang w:val="es-MX"/>
        </w:rPr>
        <w:t xml:space="preserve"> </w:t>
      </w:r>
    </w:p>
    <w:p w14:paraId="61CEA851" w14:textId="77777777" w:rsidR="007B7514" w:rsidRPr="005E32CF" w:rsidRDefault="007B7514" w:rsidP="007B7514">
      <w:pPr>
        <w:jc w:val="center"/>
        <w:rPr>
          <w:rFonts w:eastAsia="Arial" w:cs="Arial"/>
          <w:b/>
          <w:bCs/>
          <w:color w:val="000000" w:themeColor="text1"/>
          <w:sz w:val="16"/>
          <w:szCs w:val="16"/>
          <w:lang w:val="es-MX"/>
        </w:rPr>
      </w:pPr>
      <w:r w:rsidRPr="005E32CF">
        <w:rPr>
          <w:rFonts w:eastAsia="Arial" w:cs="Arial"/>
          <w:b/>
          <w:bCs/>
          <w:color w:val="000000" w:themeColor="text1"/>
          <w:sz w:val="16"/>
          <w:szCs w:val="16"/>
          <w:lang w:val="es-MX"/>
        </w:rPr>
        <w:t>Fuente: IGAC. Subdirección de Agrología</w:t>
      </w:r>
    </w:p>
    <w:p w14:paraId="501C2290" w14:textId="77777777" w:rsidR="007B7514" w:rsidRDefault="007B7514" w:rsidP="007B7514">
      <w:pPr>
        <w:jc w:val="center"/>
        <w:rPr>
          <w:rFonts w:eastAsia="Arial" w:cs="Arial"/>
          <w:b/>
          <w:bCs/>
          <w:color w:val="000000" w:themeColor="text1"/>
          <w:sz w:val="16"/>
          <w:szCs w:val="16"/>
          <w:lang w:val="es-MX"/>
        </w:rPr>
      </w:pPr>
      <w:r w:rsidRPr="005E32CF">
        <w:rPr>
          <w:rFonts w:eastAsia="Arial" w:cs="Arial"/>
          <w:b/>
          <w:bCs/>
          <w:color w:val="000000" w:themeColor="text1"/>
          <w:sz w:val="16"/>
          <w:szCs w:val="16"/>
          <w:lang w:val="es-MX"/>
        </w:rPr>
        <w:t xml:space="preserve"> </w:t>
      </w:r>
    </w:p>
    <w:p w14:paraId="6266C0CF" w14:textId="77777777" w:rsidR="007B7514" w:rsidRDefault="007B7514" w:rsidP="007B7514">
      <w:pPr>
        <w:jc w:val="center"/>
        <w:rPr>
          <w:rFonts w:eastAsia="Arial" w:cs="Arial"/>
          <w:b/>
          <w:bCs/>
          <w:color w:val="000000" w:themeColor="text1"/>
          <w:sz w:val="16"/>
          <w:szCs w:val="16"/>
          <w:lang w:val="es-MX"/>
        </w:rPr>
      </w:pPr>
    </w:p>
    <w:p w14:paraId="1AFF9E84" w14:textId="77777777" w:rsidR="007B7514" w:rsidRDefault="007B7514" w:rsidP="007B7514">
      <w:pPr>
        <w:tabs>
          <w:tab w:val="left" w:pos="2843"/>
        </w:tabs>
        <w:rPr>
          <w:rFonts w:eastAsia="Arial" w:cs="Arial"/>
          <w:b/>
          <w:bCs/>
          <w:color w:val="000000" w:themeColor="text1"/>
          <w:sz w:val="16"/>
          <w:szCs w:val="16"/>
          <w:lang w:val="es-MX"/>
        </w:rPr>
      </w:pPr>
      <w:r>
        <w:rPr>
          <w:rFonts w:eastAsia="Arial" w:cs="Arial"/>
          <w:b/>
          <w:bCs/>
          <w:color w:val="000000" w:themeColor="text1"/>
          <w:sz w:val="16"/>
          <w:szCs w:val="16"/>
          <w:lang w:val="es-MX"/>
        </w:rPr>
        <w:tab/>
      </w:r>
    </w:p>
    <w:p w14:paraId="5B70F535" w14:textId="77777777" w:rsidR="007B7514" w:rsidRDefault="007B7514" w:rsidP="007B7514">
      <w:pPr>
        <w:tabs>
          <w:tab w:val="left" w:pos="2843"/>
        </w:tabs>
        <w:rPr>
          <w:rFonts w:eastAsia="Arial" w:cs="Arial"/>
          <w:b/>
          <w:bCs/>
          <w:color w:val="000000" w:themeColor="text1"/>
          <w:sz w:val="16"/>
          <w:szCs w:val="16"/>
          <w:lang w:val="es-MX"/>
        </w:rPr>
      </w:pPr>
    </w:p>
    <w:p w14:paraId="177BE87E" w14:textId="77777777" w:rsidR="007B7514" w:rsidRDefault="007B7514" w:rsidP="007B7514">
      <w:pPr>
        <w:tabs>
          <w:tab w:val="left" w:pos="2843"/>
        </w:tabs>
        <w:rPr>
          <w:rFonts w:eastAsia="Arial" w:cs="Arial"/>
          <w:b/>
          <w:bCs/>
          <w:color w:val="000000" w:themeColor="text1"/>
          <w:sz w:val="16"/>
          <w:szCs w:val="16"/>
          <w:lang w:val="es-MX"/>
        </w:rPr>
      </w:pPr>
    </w:p>
    <w:p w14:paraId="0792F561" w14:textId="77777777" w:rsidR="007B7514" w:rsidRDefault="007B7514" w:rsidP="007B7514">
      <w:pPr>
        <w:tabs>
          <w:tab w:val="left" w:pos="2843"/>
        </w:tabs>
        <w:rPr>
          <w:rFonts w:eastAsia="Arial" w:cs="Arial"/>
          <w:b/>
          <w:bCs/>
          <w:color w:val="000000" w:themeColor="text1"/>
          <w:sz w:val="16"/>
          <w:szCs w:val="16"/>
          <w:lang w:val="es-MX"/>
        </w:rPr>
      </w:pPr>
    </w:p>
    <w:p w14:paraId="55C36412" w14:textId="77777777" w:rsidR="009012EF" w:rsidRDefault="009012EF" w:rsidP="007B7514">
      <w:pPr>
        <w:tabs>
          <w:tab w:val="left" w:pos="2843"/>
        </w:tabs>
        <w:rPr>
          <w:rFonts w:eastAsia="Arial" w:cs="Arial"/>
          <w:b/>
          <w:bCs/>
          <w:color w:val="000000" w:themeColor="text1"/>
          <w:sz w:val="16"/>
          <w:szCs w:val="16"/>
          <w:lang w:val="es-MX"/>
        </w:rPr>
      </w:pPr>
    </w:p>
    <w:p w14:paraId="75EE4B0E" w14:textId="77777777" w:rsidR="009012EF" w:rsidRDefault="009012EF" w:rsidP="007B7514">
      <w:pPr>
        <w:tabs>
          <w:tab w:val="left" w:pos="2843"/>
        </w:tabs>
        <w:rPr>
          <w:rFonts w:eastAsia="Arial" w:cs="Arial"/>
          <w:b/>
          <w:bCs/>
          <w:color w:val="000000" w:themeColor="text1"/>
          <w:sz w:val="16"/>
          <w:szCs w:val="16"/>
          <w:lang w:val="es-MX"/>
        </w:rPr>
      </w:pPr>
    </w:p>
    <w:p w14:paraId="7AAEFD8D" w14:textId="77777777" w:rsidR="00F47F5B" w:rsidRDefault="00F47F5B" w:rsidP="007B7514">
      <w:pPr>
        <w:tabs>
          <w:tab w:val="left" w:pos="2843"/>
        </w:tabs>
        <w:rPr>
          <w:rFonts w:eastAsia="Arial" w:cs="Arial"/>
          <w:b/>
          <w:bCs/>
          <w:color w:val="000000" w:themeColor="text1"/>
          <w:sz w:val="16"/>
          <w:szCs w:val="16"/>
          <w:lang w:val="es-MX"/>
        </w:rPr>
      </w:pPr>
    </w:p>
    <w:p w14:paraId="4CBF5E8E" w14:textId="77777777" w:rsidR="00F47F5B" w:rsidRDefault="00F47F5B" w:rsidP="007B7514">
      <w:pPr>
        <w:tabs>
          <w:tab w:val="left" w:pos="2843"/>
        </w:tabs>
        <w:rPr>
          <w:rFonts w:eastAsia="Arial" w:cs="Arial"/>
          <w:b/>
          <w:bCs/>
          <w:color w:val="000000" w:themeColor="text1"/>
          <w:sz w:val="16"/>
          <w:szCs w:val="16"/>
          <w:lang w:val="es-MX"/>
        </w:rPr>
      </w:pPr>
    </w:p>
    <w:p w14:paraId="32D6A05E" w14:textId="77777777" w:rsidR="00F47F5B" w:rsidRDefault="00F47F5B" w:rsidP="007B7514">
      <w:pPr>
        <w:tabs>
          <w:tab w:val="left" w:pos="2843"/>
        </w:tabs>
        <w:rPr>
          <w:rFonts w:eastAsia="Arial" w:cs="Arial"/>
          <w:b/>
          <w:bCs/>
          <w:color w:val="000000" w:themeColor="text1"/>
          <w:sz w:val="16"/>
          <w:szCs w:val="16"/>
          <w:lang w:val="es-MX"/>
        </w:rPr>
      </w:pPr>
    </w:p>
    <w:p w14:paraId="305BA2A1" w14:textId="77777777" w:rsidR="00F47F5B" w:rsidRDefault="00F47F5B" w:rsidP="007B7514">
      <w:pPr>
        <w:tabs>
          <w:tab w:val="left" w:pos="2843"/>
        </w:tabs>
        <w:rPr>
          <w:rFonts w:eastAsia="Arial" w:cs="Arial"/>
          <w:b/>
          <w:bCs/>
          <w:color w:val="000000" w:themeColor="text1"/>
          <w:sz w:val="16"/>
          <w:szCs w:val="16"/>
          <w:lang w:val="es-MX"/>
        </w:rPr>
      </w:pPr>
    </w:p>
    <w:p w14:paraId="6F1F83FB" w14:textId="77777777" w:rsidR="00F47F5B" w:rsidRDefault="00F47F5B" w:rsidP="007B7514">
      <w:pPr>
        <w:tabs>
          <w:tab w:val="left" w:pos="2843"/>
        </w:tabs>
        <w:rPr>
          <w:rFonts w:eastAsia="Arial" w:cs="Arial"/>
          <w:b/>
          <w:bCs/>
          <w:color w:val="000000" w:themeColor="text1"/>
          <w:sz w:val="16"/>
          <w:szCs w:val="16"/>
          <w:lang w:val="es-MX"/>
        </w:rPr>
      </w:pPr>
    </w:p>
    <w:p w14:paraId="29265098" w14:textId="77777777" w:rsidR="009012EF" w:rsidRDefault="009012EF" w:rsidP="007B7514">
      <w:pPr>
        <w:tabs>
          <w:tab w:val="left" w:pos="2843"/>
        </w:tabs>
        <w:rPr>
          <w:rFonts w:eastAsia="Arial" w:cs="Arial"/>
          <w:b/>
          <w:bCs/>
          <w:color w:val="000000" w:themeColor="text1"/>
          <w:sz w:val="16"/>
          <w:szCs w:val="16"/>
          <w:lang w:val="es-MX"/>
        </w:rPr>
      </w:pPr>
    </w:p>
    <w:p w14:paraId="2BDC4848" w14:textId="77777777" w:rsidR="007B7514" w:rsidRDefault="007B7514" w:rsidP="007B7514">
      <w:pPr>
        <w:tabs>
          <w:tab w:val="left" w:pos="2843"/>
        </w:tabs>
        <w:rPr>
          <w:rFonts w:eastAsia="Arial" w:cs="Arial"/>
          <w:b/>
          <w:bCs/>
          <w:color w:val="000000" w:themeColor="text1"/>
          <w:sz w:val="16"/>
          <w:szCs w:val="16"/>
          <w:lang w:val="es-MX"/>
        </w:rPr>
      </w:pPr>
    </w:p>
    <w:p w14:paraId="3CCDB4EB" w14:textId="77777777" w:rsidR="007B7514" w:rsidRDefault="007B7514" w:rsidP="007B7514">
      <w:pPr>
        <w:tabs>
          <w:tab w:val="left" w:pos="2843"/>
        </w:tabs>
        <w:rPr>
          <w:rFonts w:eastAsia="Arial" w:cs="Arial"/>
          <w:b/>
          <w:bCs/>
          <w:color w:val="000000" w:themeColor="text1"/>
          <w:sz w:val="16"/>
          <w:szCs w:val="16"/>
          <w:lang w:val="es-MX"/>
        </w:rPr>
      </w:pPr>
    </w:p>
    <w:p w14:paraId="3AA26F24" w14:textId="77777777" w:rsidR="007B7514" w:rsidRDefault="007B7514" w:rsidP="007B7514">
      <w:pPr>
        <w:tabs>
          <w:tab w:val="left" w:pos="2843"/>
        </w:tabs>
        <w:rPr>
          <w:rFonts w:eastAsia="Arial" w:cs="Arial"/>
          <w:b/>
          <w:bCs/>
          <w:color w:val="000000" w:themeColor="text1"/>
          <w:sz w:val="16"/>
          <w:szCs w:val="16"/>
          <w:lang w:val="es-MX"/>
        </w:rPr>
      </w:pPr>
    </w:p>
    <w:p w14:paraId="048E94C5" w14:textId="77777777" w:rsidR="007B7514" w:rsidRDefault="007B7514" w:rsidP="007B7514">
      <w:pPr>
        <w:tabs>
          <w:tab w:val="left" w:pos="2843"/>
        </w:tabs>
        <w:rPr>
          <w:rFonts w:eastAsia="Arial" w:cs="Arial"/>
          <w:b/>
          <w:bCs/>
          <w:color w:val="000000" w:themeColor="text1"/>
          <w:sz w:val="16"/>
          <w:szCs w:val="16"/>
          <w:lang w:val="es-MX"/>
        </w:rPr>
      </w:pPr>
    </w:p>
    <w:p w14:paraId="2B934948" w14:textId="77777777" w:rsidR="009012EF" w:rsidRDefault="009012EF" w:rsidP="007B7514">
      <w:pPr>
        <w:tabs>
          <w:tab w:val="left" w:pos="2843"/>
        </w:tabs>
        <w:rPr>
          <w:rFonts w:eastAsia="Arial" w:cs="Arial"/>
          <w:b/>
          <w:bCs/>
          <w:color w:val="000000" w:themeColor="text1"/>
          <w:sz w:val="16"/>
          <w:szCs w:val="16"/>
          <w:lang w:val="es-MX"/>
        </w:rPr>
      </w:pPr>
    </w:p>
    <w:p w14:paraId="5DCCC418" w14:textId="77777777" w:rsidR="009012EF" w:rsidRDefault="009012EF" w:rsidP="007B7514">
      <w:pPr>
        <w:tabs>
          <w:tab w:val="left" w:pos="2843"/>
        </w:tabs>
        <w:rPr>
          <w:rFonts w:eastAsia="Arial" w:cs="Arial"/>
          <w:b/>
          <w:bCs/>
          <w:color w:val="000000" w:themeColor="text1"/>
          <w:sz w:val="16"/>
          <w:szCs w:val="16"/>
          <w:lang w:val="es-MX"/>
        </w:rPr>
      </w:pPr>
    </w:p>
    <w:p w14:paraId="6CEDF120" w14:textId="77777777" w:rsidR="007B7514" w:rsidRDefault="007B7514" w:rsidP="007B7514">
      <w:pPr>
        <w:tabs>
          <w:tab w:val="left" w:pos="2843"/>
        </w:tabs>
        <w:rPr>
          <w:rFonts w:eastAsia="Arial" w:cs="Arial"/>
          <w:b/>
          <w:bCs/>
          <w:color w:val="000000" w:themeColor="text1"/>
          <w:sz w:val="16"/>
          <w:szCs w:val="16"/>
          <w:lang w:val="es-MX"/>
        </w:rPr>
      </w:pPr>
    </w:p>
    <w:p w14:paraId="7F48553A" w14:textId="77777777" w:rsidR="007B7514" w:rsidRDefault="007B7514" w:rsidP="007B7514">
      <w:pPr>
        <w:tabs>
          <w:tab w:val="left" w:pos="2843"/>
        </w:tabs>
        <w:rPr>
          <w:rFonts w:eastAsia="Arial" w:cs="Arial"/>
          <w:b/>
          <w:bCs/>
          <w:color w:val="000000" w:themeColor="text1"/>
          <w:sz w:val="16"/>
          <w:szCs w:val="16"/>
          <w:lang w:val="es-MX"/>
        </w:rPr>
      </w:pPr>
    </w:p>
    <w:p w14:paraId="14FA94F9" w14:textId="77777777" w:rsidR="007B7514" w:rsidRDefault="007B7514" w:rsidP="007B7514">
      <w:pPr>
        <w:tabs>
          <w:tab w:val="left" w:pos="2843"/>
        </w:tabs>
        <w:rPr>
          <w:rFonts w:eastAsia="Arial" w:cs="Arial"/>
          <w:b/>
          <w:bCs/>
          <w:color w:val="000000" w:themeColor="text1"/>
          <w:sz w:val="16"/>
          <w:szCs w:val="16"/>
          <w:lang w:val="es-MX"/>
        </w:rPr>
      </w:pPr>
    </w:p>
    <w:p w14:paraId="310A82FE" w14:textId="0D11E84A" w:rsidR="00700996" w:rsidRDefault="00700996" w:rsidP="00240A3E">
      <w:pPr>
        <w:jc w:val="center"/>
      </w:pPr>
    </w:p>
    <w:p w14:paraId="4EB2D7C5" w14:textId="349AAAC6" w:rsidR="007B7514" w:rsidRPr="00A93FC3" w:rsidRDefault="00AF1326" w:rsidP="00A93FC3">
      <w:pPr>
        <w:pStyle w:val="Descripcin"/>
        <w:keepNext/>
        <w:jc w:val="center"/>
        <w:rPr>
          <w:rFonts w:ascii="Arial" w:hAnsi="Arial" w:cs="Arial"/>
          <w:b/>
          <w:bCs/>
          <w:i w:val="0"/>
          <w:iCs w:val="0"/>
          <w:color w:val="auto"/>
          <w:sz w:val="16"/>
          <w:szCs w:val="16"/>
        </w:rPr>
      </w:pPr>
      <w:bookmarkStart w:id="116" w:name="_Toc88677109"/>
      <w:r w:rsidRPr="00350BFA">
        <w:rPr>
          <w:rFonts w:ascii="Arial" w:hAnsi="Arial" w:cs="Arial"/>
          <w:b/>
          <w:bCs/>
          <w:i w:val="0"/>
          <w:iCs w:val="0"/>
          <w:color w:val="auto"/>
          <w:sz w:val="16"/>
          <w:szCs w:val="16"/>
        </w:rPr>
        <w:lastRenderedPageBreak/>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37</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Municipios con la Metodología Potencial de uso 2021</w:t>
      </w:r>
      <w:bookmarkEnd w:id="116"/>
    </w:p>
    <w:tbl>
      <w:tblPr>
        <w:tblStyle w:val="Tabladecuadrcula4-nfasis1"/>
        <w:tblW w:w="0" w:type="auto"/>
        <w:tblLayout w:type="fixed"/>
        <w:tblLook w:val="06A0" w:firstRow="1" w:lastRow="0" w:firstColumn="1" w:lastColumn="0" w:noHBand="1" w:noVBand="1"/>
      </w:tblPr>
      <w:tblGrid>
        <w:gridCol w:w="3368"/>
        <w:gridCol w:w="2444"/>
        <w:gridCol w:w="3547"/>
      </w:tblGrid>
      <w:tr w:rsidR="007B7514" w:rsidRPr="00712950" w14:paraId="552F6724" w14:textId="77777777" w:rsidTr="00A630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gridSpan w:val="2"/>
          </w:tcPr>
          <w:p w14:paraId="3E0C784F" w14:textId="77777777" w:rsidR="007B7514" w:rsidRPr="00712950" w:rsidRDefault="007B7514" w:rsidP="00A6302C">
            <w:pPr>
              <w:jc w:val="center"/>
              <w:rPr>
                <w:rFonts w:cs="Arial"/>
                <w:sz w:val="16"/>
                <w:szCs w:val="16"/>
              </w:rPr>
            </w:pPr>
            <w:r w:rsidRPr="00712950">
              <w:rPr>
                <w:rFonts w:eastAsia="Arial" w:cs="Arial"/>
                <w:sz w:val="16"/>
                <w:szCs w:val="16"/>
                <w:lang w:val="es"/>
              </w:rPr>
              <w:t>25.236.141,20</w:t>
            </w:r>
          </w:p>
          <w:p w14:paraId="7F703D12" w14:textId="1462F8D6" w:rsidR="007B7514" w:rsidRPr="00712950" w:rsidRDefault="00A93FC3" w:rsidP="00A6302C">
            <w:pPr>
              <w:jc w:val="center"/>
              <w:rPr>
                <w:rFonts w:cs="Arial"/>
                <w:sz w:val="16"/>
                <w:szCs w:val="16"/>
              </w:rPr>
            </w:pPr>
            <w:r w:rsidRPr="00712950">
              <w:rPr>
                <w:rFonts w:eastAsia="Arial" w:cs="Arial"/>
                <w:sz w:val="16"/>
                <w:szCs w:val="16"/>
                <w:lang w:val="es"/>
              </w:rPr>
              <w:t>H</w:t>
            </w:r>
            <w:r w:rsidR="007B7514" w:rsidRPr="00712950">
              <w:rPr>
                <w:rFonts w:eastAsia="Arial" w:cs="Arial"/>
                <w:sz w:val="16"/>
                <w:szCs w:val="16"/>
                <w:lang w:val="es"/>
              </w:rPr>
              <w:t>ectáreas</w:t>
            </w:r>
          </w:p>
        </w:tc>
        <w:tc>
          <w:tcPr>
            <w:tcW w:w="3547" w:type="dxa"/>
          </w:tcPr>
          <w:p w14:paraId="0FE3DB98" w14:textId="77777777" w:rsidR="007B7514" w:rsidRPr="00712950" w:rsidRDefault="007B7514" w:rsidP="00A6302C">
            <w:pPr>
              <w:jc w:val="center"/>
              <w:cnfStyle w:val="100000000000" w:firstRow="1" w:lastRow="0" w:firstColumn="0" w:lastColumn="0" w:oddVBand="0" w:evenVBand="0" w:oddHBand="0" w:evenHBand="0" w:firstRowFirstColumn="0" w:firstRowLastColumn="0" w:lastRowFirstColumn="0" w:lastRowLastColumn="0"/>
              <w:rPr>
                <w:rFonts w:cs="Arial"/>
                <w:sz w:val="16"/>
                <w:szCs w:val="16"/>
              </w:rPr>
            </w:pPr>
            <w:r w:rsidRPr="00712950">
              <w:rPr>
                <w:rFonts w:eastAsia="Arial" w:cs="Arial"/>
                <w:sz w:val="16"/>
                <w:szCs w:val="16"/>
                <w:lang w:val="es"/>
              </w:rPr>
              <w:t>116</w:t>
            </w:r>
          </w:p>
          <w:p w14:paraId="336C1A08" w14:textId="77777777" w:rsidR="007B7514" w:rsidRPr="00712950" w:rsidRDefault="007B7514" w:rsidP="00A6302C">
            <w:pPr>
              <w:jc w:val="center"/>
              <w:cnfStyle w:val="100000000000" w:firstRow="1" w:lastRow="0" w:firstColumn="0" w:lastColumn="0" w:oddVBand="0" w:evenVBand="0" w:oddHBand="0" w:evenHBand="0" w:firstRowFirstColumn="0" w:firstRowLastColumn="0" w:lastRowFirstColumn="0" w:lastRowLastColumn="0"/>
              <w:rPr>
                <w:rFonts w:cs="Arial"/>
                <w:sz w:val="16"/>
                <w:szCs w:val="16"/>
              </w:rPr>
            </w:pPr>
            <w:r w:rsidRPr="00712950">
              <w:rPr>
                <w:rFonts w:eastAsia="Arial" w:cs="Arial"/>
                <w:sz w:val="16"/>
                <w:szCs w:val="16"/>
                <w:lang w:val="es"/>
              </w:rPr>
              <w:t>municipios</w:t>
            </w:r>
          </w:p>
        </w:tc>
      </w:tr>
      <w:tr w:rsidR="007B7514" w:rsidRPr="00712950" w14:paraId="0C68C1FE" w14:textId="77777777" w:rsidTr="00A6302C">
        <w:tc>
          <w:tcPr>
            <w:cnfStyle w:val="001000000000" w:firstRow="0" w:lastRow="0" w:firstColumn="1" w:lastColumn="0" w:oddVBand="0" w:evenVBand="0" w:oddHBand="0" w:evenHBand="0" w:firstRowFirstColumn="0" w:firstRowLastColumn="0" w:lastRowFirstColumn="0" w:lastRowLastColumn="0"/>
            <w:tcW w:w="3368" w:type="dxa"/>
          </w:tcPr>
          <w:p w14:paraId="1694BFCD"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w:t>
            </w:r>
            <w:r w:rsidRPr="00712950">
              <w:rPr>
                <w:rFonts w:cs="Arial"/>
                <w:color w:val="000000" w:themeColor="text1"/>
                <w:sz w:val="16"/>
                <w:szCs w:val="16"/>
              </w:rPr>
              <w:t xml:space="preserve">      </w:t>
            </w:r>
            <w:r w:rsidRPr="00712950">
              <w:rPr>
                <w:rFonts w:eastAsia="Calibri" w:cs="Arial"/>
                <w:color w:val="000000" w:themeColor="text1"/>
                <w:sz w:val="16"/>
                <w:szCs w:val="16"/>
                <w:lang w:val="es"/>
              </w:rPr>
              <w:t>Remedios</w:t>
            </w:r>
          </w:p>
          <w:p w14:paraId="638EC847"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w:t>
            </w:r>
            <w:r w:rsidRPr="00712950">
              <w:rPr>
                <w:rFonts w:cs="Arial"/>
                <w:color w:val="000000" w:themeColor="text1"/>
                <w:sz w:val="16"/>
                <w:szCs w:val="16"/>
              </w:rPr>
              <w:t xml:space="preserve">      </w:t>
            </w:r>
            <w:r w:rsidRPr="00712950">
              <w:rPr>
                <w:rFonts w:eastAsia="Calibri" w:cs="Arial"/>
                <w:color w:val="000000" w:themeColor="text1"/>
                <w:sz w:val="16"/>
                <w:szCs w:val="16"/>
                <w:lang w:val="es"/>
              </w:rPr>
              <w:t>Marití</w:t>
            </w:r>
            <w:r w:rsidRPr="00712950">
              <w:rPr>
                <w:rFonts w:eastAsia="Calibri" w:cs="Arial"/>
                <w:color w:val="000000" w:themeColor="text1"/>
                <w:sz w:val="16"/>
                <w:szCs w:val="16"/>
              </w:rPr>
              <w:t>-Paraná</w:t>
            </w:r>
          </w:p>
          <w:p w14:paraId="77A63D75"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José Del Guaviare</w:t>
            </w:r>
          </w:p>
          <w:p w14:paraId="3F90A066"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4.</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Pedro</w:t>
            </w:r>
          </w:p>
          <w:p w14:paraId="2A663C4D"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5.</w:t>
            </w:r>
            <w:r w:rsidRPr="00712950">
              <w:rPr>
                <w:rFonts w:cs="Arial"/>
                <w:color w:val="000000" w:themeColor="text1"/>
                <w:sz w:val="16"/>
                <w:szCs w:val="16"/>
              </w:rPr>
              <w:t xml:space="preserve">      </w:t>
            </w:r>
            <w:r w:rsidRPr="00712950">
              <w:rPr>
                <w:rFonts w:eastAsia="Calibri" w:cs="Arial"/>
                <w:color w:val="000000" w:themeColor="text1"/>
                <w:sz w:val="16"/>
                <w:szCs w:val="16"/>
                <w:lang w:val="es"/>
              </w:rPr>
              <w:t>Betéitiva</w:t>
            </w:r>
          </w:p>
          <w:p w14:paraId="2F24283F"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6.</w:t>
            </w:r>
            <w:r w:rsidRPr="00712950">
              <w:rPr>
                <w:rFonts w:cs="Arial"/>
                <w:color w:val="000000" w:themeColor="text1"/>
                <w:sz w:val="16"/>
                <w:szCs w:val="16"/>
              </w:rPr>
              <w:t xml:space="preserve">      </w:t>
            </w:r>
            <w:r w:rsidRPr="00712950">
              <w:rPr>
                <w:rFonts w:eastAsia="Calibri" w:cs="Arial"/>
                <w:color w:val="000000" w:themeColor="text1"/>
                <w:sz w:val="16"/>
                <w:szCs w:val="16"/>
                <w:lang w:val="es"/>
              </w:rPr>
              <w:t>Busbanzá</w:t>
            </w:r>
          </w:p>
          <w:p w14:paraId="1928BD4D"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7.</w:t>
            </w:r>
            <w:r w:rsidRPr="00712950">
              <w:rPr>
                <w:rFonts w:cs="Arial"/>
                <w:color w:val="000000" w:themeColor="text1"/>
                <w:sz w:val="16"/>
                <w:szCs w:val="16"/>
              </w:rPr>
              <w:t xml:space="preserve">      </w:t>
            </w:r>
            <w:r w:rsidRPr="00712950">
              <w:rPr>
                <w:rFonts w:eastAsia="Calibri" w:cs="Arial"/>
                <w:color w:val="000000" w:themeColor="text1"/>
                <w:sz w:val="16"/>
                <w:szCs w:val="16"/>
                <w:lang w:val="es"/>
              </w:rPr>
              <w:t>Corrales</w:t>
            </w:r>
          </w:p>
          <w:p w14:paraId="4AF2E03B"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8.</w:t>
            </w:r>
            <w:r w:rsidRPr="00712950">
              <w:rPr>
                <w:rFonts w:cs="Arial"/>
                <w:color w:val="000000" w:themeColor="text1"/>
                <w:sz w:val="16"/>
                <w:szCs w:val="16"/>
              </w:rPr>
              <w:t xml:space="preserve">      </w:t>
            </w:r>
            <w:r w:rsidRPr="00712950">
              <w:rPr>
                <w:rFonts w:eastAsia="Calibri" w:cs="Arial"/>
                <w:color w:val="000000" w:themeColor="text1"/>
                <w:sz w:val="16"/>
                <w:szCs w:val="16"/>
                <w:lang w:val="es"/>
              </w:rPr>
              <w:t>Floresta</w:t>
            </w:r>
          </w:p>
          <w:p w14:paraId="6291062E"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9.</w:t>
            </w:r>
            <w:r w:rsidRPr="00712950">
              <w:rPr>
                <w:rFonts w:cs="Arial"/>
                <w:color w:val="000000" w:themeColor="text1"/>
                <w:sz w:val="16"/>
                <w:szCs w:val="16"/>
              </w:rPr>
              <w:t xml:space="preserve">      </w:t>
            </w:r>
            <w:r w:rsidRPr="00712950">
              <w:rPr>
                <w:rFonts w:eastAsia="Calibri" w:cs="Arial"/>
                <w:color w:val="000000" w:themeColor="text1"/>
                <w:sz w:val="16"/>
                <w:szCs w:val="16"/>
                <w:lang w:val="es"/>
              </w:rPr>
              <w:t>Sativasur</w:t>
            </w:r>
          </w:p>
          <w:p w14:paraId="70A70F3D"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10.</w:t>
            </w:r>
            <w:r w:rsidRPr="00712950">
              <w:rPr>
                <w:rFonts w:cs="Arial"/>
                <w:color w:val="000000" w:themeColor="text1"/>
                <w:sz w:val="16"/>
                <w:szCs w:val="16"/>
              </w:rPr>
              <w:t xml:space="preserve">    </w:t>
            </w:r>
            <w:r w:rsidRPr="00712950">
              <w:rPr>
                <w:rFonts w:eastAsia="Calibri" w:cs="Arial"/>
                <w:color w:val="000000" w:themeColor="text1"/>
                <w:sz w:val="16"/>
                <w:szCs w:val="16"/>
                <w:lang w:val="es"/>
              </w:rPr>
              <w:t>Socotá</w:t>
            </w:r>
          </w:p>
          <w:p w14:paraId="54009304"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11.</w:t>
            </w:r>
            <w:r w:rsidRPr="00712950">
              <w:rPr>
                <w:rFonts w:cs="Arial"/>
                <w:color w:val="000000" w:themeColor="text1"/>
                <w:sz w:val="16"/>
                <w:szCs w:val="16"/>
              </w:rPr>
              <w:t xml:space="preserve">    </w:t>
            </w:r>
            <w:r w:rsidRPr="00712950">
              <w:rPr>
                <w:rFonts w:eastAsia="Calibri" w:cs="Arial"/>
                <w:color w:val="000000" w:themeColor="text1"/>
                <w:sz w:val="16"/>
                <w:szCs w:val="16"/>
                <w:lang w:val="es"/>
              </w:rPr>
              <w:t>11.Socha</w:t>
            </w:r>
          </w:p>
          <w:p w14:paraId="3514E409"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12.</w:t>
            </w:r>
            <w:r w:rsidRPr="00712950">
              <w:rPr>
                <w:rFonts w:cs="Arial"/>
                <w:color w:val="000000" w:themeColor="text1"/>
                <w:sz w:val="16"/>
                <w:szCs w:val="16"/>
              </w:rPr>
              <w:t xml:space="preserve">    </w:t>
            </w:r>
            <w:r w:rsidRPr="00712950">
              <w:rPr>
                <w:rFonts w:eastAsia="Calibri" w:cs="Arial"/>
                <w:color w:val="000000" w:themeColor="text1"/>
                <w:sz w:val="16"/>
                <w:szCs w:val="16"/>
                <w:lang w:val="es"/>
              </w:rPr>
              <w:t>12.Tasco</w:t>
            </w:r>
          </w:p>
          <w:p w14:paraId="7D7CF01A"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13.</w:t>
            </w:r>
            <w:r w:rsidRPr="00712950">
              <w:rPr>
                <w:rFonts w:cs="Arial"/>
                <w:color w:val="000000" w:themeColor="text1"/>
                <w:sz w:val="16"/>
                <w:szCs w:val="16"/>
              </w:rPr>
              <w:t xml:space="preserve">    </w:t>
            </w:r>
            <w:r w:rsidRPr="00712950">
              <w:rPr>
                <w:rFonts w:eastAsia="Calibri" w:cs="Arial"/>
                <w:color w:val="000000" w:themeColor="text1"/>
                <w:sz w:val="16"/>
                <w:szCs w:val="16"/>
                <w:lang w:val="es"/>
              </w:rPr>
              <w:t>13.Iza</w:t>
            </w:r>
          </w:p>
          <w:p w14:paraId="3D14168C"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14.</w:t>
            </w:r>
            <w:r w:rsidRPr="00712950">
              <w:rPr>
                <w:rFonts w:cs="Arial"/>
                <w:color w:val="000000" w:themeColor="text1"/>
                <w:sz w:val="16"/>
                <w:szCs w:val="16"/>
              </w:rPr>
              <w:t xml:space="preserve">    </w:t>
            </w:r>
            <w:r w:rsidRPr="00712950">
              <w:rPr>
                <w:rFonts w:eastAsia="Calibri" w:cs="Arial"/>
                <w:color w:val="000000" w:themeColor="text1"/>
                <w:sz w:val="16"/>
                <w:szCs w:val="16"/>
                <w:lang w:val="es"/>
              </w:rPr>
              <w:t>14.Covarachía</w:t>
            </w:r>
          </w:p>
          <w:p w14:paraId="46B1D180"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15.</w:t>
            </w:r>
            <w:r w:rsidRPr="00712950">
              <w:rPr>
                <w:rFonts w:cs="Arial"/>
                <w:color w:val="000000" w:themeColor="text1"/>
                <w:sz w:val="16"/>
                <w:szCs w:val="16"/>
              </w:rPr>
              <w:t xml:space="preserve">    </w:t>
            </w:r>
            <w:r w:rsidRPr="00712950">
              <w:rPr>
                <w:rFonts w:eastAsia="Calibri" w:cs="Arial"/>
                <w:color w:val="000000" w:themeColor="text1"/>
                <w:sz w:val="16"/>
                <w:szCs w:val="16"/>
                <w:lang w:val="es"/>
              </w:rPr>
              <w:t>Cerinza</w:t>
            </w:r>
          </w:p>
          <w:p w14:paraId="2EBEF0C5"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16.</w:t>
            </w:r>
            <w:r w:rsidRPr="00712950">
              <w:rPr>
                <w:rFonts w:cs="Arial"/>
                <w:color w:val="000000" w:themeColor="text1"/>
                <w:sz w:val="16"/>
                <w:szCs w:val="16"/>
              </w:rPr>
              <w:t xml:space="preserve">    </w:t>
            </w:r>
            <w:r w:rsidRPr="00712950">
              <w:rPr>
                <w:rFonts w:eastAsia="Calibri" w:cs="Arial"/>
                <w:color w:val="000000" w:themeColor="text1"/>
                <w:sz w:val="16"/>
                <w:szCs w:val="16"/>
                <w:lang w:val="es"/>
              </w:rPr>
              <w:t>Cuítiva</w:t>
            </w:r>
          </w:p>
          <w:p w14:paraId="6E27842A"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17.</w:t>
            </w:r>
            <w:r w:rsidRPr="00712950">
              <w:rPr>
                <w:rFonts w:cs="Arial"/>
                <w:color w:val="000000" w:themeColor="text1"/>
                <w:sz w:val="16"/>
                <w:szCs w:val="16"/>
              </w:rPr>
              <w:t xml:space="preserve">    </w:t>
            </w:r>
            <w:r w:rsidRPr="00712950">
              <w:rPr>
                <w:rFonts w:eastAsia="Calibri" w:cs="Arial"/>
                <w:color w:val="000000" w:themeColor="text1"/>
                <w:sz w:val="16"/>
                <w:szCs w:val="16"/>
                <w:lang w:val="es"/>
              </w:rPr>
              <w:t>Monguí</w:t>
            </w:r>
          </w:p>
          <w:p w14:paraId="7D062DD9"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18.</w:t>
            </w:r>
            <w:r w:rsidRPr="00712950">
              <w:rPr>
                <w:rFonts w:cs="Arial"/>
                <w:color w:val="000000" w:themeColor="text1"/>
                <w:sz w:val="16"/>
                <w:szCs w:val="16"/>
              </w:rPr>
              <w:t xml:space="preserve">    </w:t>
            </w:r>
            <w:r w:rsidRPr="00712950">
              <w:rPr>
                <w:rFonts w:eastAsia="Calibri" w:cs="Arial"/>
                <w:color w:val="000000" w:themeColor="text1"/>
                <w:sz w:val="16"/>
                <w:szCs w:val="16"/>
                <w:lang w:val="es"/>
              </w:rPr>
              <w:t>Boavita</w:t>
            </w:r>
          </w:p>
          <w:p w14:paraId="7119E1EE"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19.</w:t>
            </w:r>
            <w:r w:rsidRPr="00712950">
              <w:rPr>
                <w:rFonts w:cs="Arial"/>
                <w:color w:val="000000" w:themeColor="text1"/>
                <w:sz w:val="16"/>
                <w:szCs w:val="16"/>
              </w:rPr>
              <w:t xml:space="preserve">    </w:t>
            </w:r>
            <w:r w:rsidRPr="00712950">
              <w:rPr>
                <w:rFonts w:eastAsia="Calibri" w:cs="Arial"/>
                <w:color w:val="000000" w:themeColor="text1"/>
                <w:sz w:val="16"/>
                <w:szCs w:val="16"/>
                <w:lang w:val="es"/>
              </w:rPr>
              <w:t>Gámeza</w:t>
            </w:r>
          </w:p>
          <w:p w14:paraId="08FD4A4C"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20.</w:t>
            </w:r>
            <w:r w:rsidRPr="00712950">
              <w:rPr>
                <w:rFonts w:cs="Arial"/>
                <w:color w:val="000000" w:themeColor="text1"/>
                <w:sz w:val="16"/>
                <w:szCs w:val="16"/>
              </w:rPr>
              <w:t xml:space="preserve">    </w:t>
            </w:r>
            <w:r w:rsidRPr="00712950">
              <w:rPr>
                <w:rFonts w:eastAsia="Calibri" w:cs="Arial"/>
                <w:color w:val="000000" w:themeColor="text1"/>
                <w:sz w:val="16"/>
                <w:szCs w:val="16"/>
                <w:lang w:val="es"/>
              </w:rPr>
              <w:t>Tipacoque</w:t>
            </w:r>
          </w:p>
          <w:p w14:paraId="7817E932"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21.</w:t>
            </w:r>
            <w:r w:rsidRPr="00712950">
              <w:rPr>
                <w:rFonts w:cs="Arial"/>
                <w:color w:val="000000" w:themeColor="text1"/>
                <w:sz w:val="16"/>
                <w:szCs w:val="16"/>
              </w:rPr>
              <w:t xml:space="preserve">    </w:t>
            </w:r>
            <w:r w:rsidRPr="00712950">
              <w:rPr>
                <w:rFonts w:eastAsia="Calibri" w:cs="Arial"/>
                <w:color w:val="000000" w:themeColor="text1"/>
                <w:sz w:val="16"/>
                <w:szCs w:val="16"/>
                <w:lang w:val="es"/>
              </w:rPr>
              <w:t>Tópaga</w:t>
            </w:r>
          </w:p>
          <w:p w14:paraId="485A2E15"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22.</w:t>
            </w:r>
            <w:r w:rsidRPr="00712950">
              <w:rPr>
                <w:rFonts w:cs="Arial"/>
                <w:color w:val="000000" w:themeColor="text1"/>
                <w:sz w:val="16"/>
                <w:szCs w:val="16"/>
              </w:rPr>
              <w:t xml:space="preserve">    </w:t>
            </w:r>
            <w:r w:rsidRPr="00712950">
              <w:rPr>
                <w:rFonts w:eastAsia="Calibri" w:cs="Arial"/>
                <w:color w:val="000000" w:themeColor="text1"/>
                <w:sz w:val="16"/>
                <w:szCs w:val="16"/>
                <w:lang w:val="es"/>
              </w:rPr>
              <w:t>Córdoba</w:t>
            </w:r>
          </w:p>
          <w:p w14:paraId="46A6AC7A"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23.</w:t>
            </w:r>
            <w:r w:rsidRPr="00712950">
              <w:rPr>
                <w:rFonts w:cs="Arial"/>
                <w:color w:val="000000" w:themeColor="text1"/>
                <w:sz w:val="16"/>
                <w:szCs w:val="16"/>
              </w:rPr>
              <w:t xml:space="preserve">    </w:t>
            </w:r>
            <w:r w:rsidRPr="00712950">
              <w:rPr>
                <w:rFonts w:eastAsia="Calibri" w:cs="Arial"/>
                <w:color w:val="000000" w:themeColor="text1"/>
                <w:sz w:val="16"/>
                <w:szCs w:val="16"/>
                <w:lang w:val="es"/>
              </w:rPr>
              <w:t>El Guamo</w:t>
            </w:r>
          </w:p>
          <w:p w14:paraId="03339DCA"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24.</w:t>
            </w:r>
            <w:r w:rsidRPr="00712950">
              <w:rPr>
                <w:rFonts w:cs="Arial"/>
                <w:color w:val="000000" w:themeColor="text1"/>
                <w:sz w:val="16"/>
                <w:szCs w:val="16"/>
              </w:rPr>
              <w:t xml:space="preserve">    </w:t>
            </w:r>
            <w:r w:rsidRPr="00712950">
              <w:rPr>
                <w:rFonts w:eastAsia="Calibri" w:cs="Arial"/>
                <w:color w:val="000000" w:themeColor="text1"/>
                <w:sz w:val="16"/>
                <w:szCs w:val="16"/>
                <w:lang w:val="es"/>
              </w:rPr>
              <w:t>Maria</w:t>
            </w:r>
            <w:r w:rsidRPr="00712950">
              <w:rPr>
                <w:rFonts w:eastAsia="Calibri" w:cs="Arial"/>
                <w:color w:val="000000" w:themeColor="text1"/>
                <w:sz w:val="16"/>
                <w:szCs w:val="16"/>
              </w:rPr>
              <w:t xml:space="preserve"> la Baja</w:t>
            </w:r>
          </w:p>
          <w:p w14:paraId="6E38FD36"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25.</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Jacinto</w:t>
            </w:r>
          </w:p>
          <w:p w14:paraId="1B56EE9E"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26.</w:t>
            </w:r>
            <w:r w:rsidRPr="00712950">
              <w:rPr>
                <w:rFonts w:cs="Arial"/>
                <w:color w:val="000000" w:themeColor="text1"/>
                <w:sz w:val="16"/>
                <w:szCs w:val="16"/>
              </w:rPr>
              <w:t xml:space="preserve">    </w:t>
            </w:r>
            <w:r w:rsidRPr="00712950">
              <w:rPr>
                <w:rFonts w:eastAsia="Calibri" w:cs="Arial"/>
                <w:color w:val="000000" w:themeColor="text1"/>
                <w:sz w:val="16"/>
                <w:szCs w:val="16"/>
                <w:lang w:val="es"/>
              </w:rPr>
              <w:t>Altos del Rosario</w:t>
            </w:r>
          </w:p>
          <w:p w14:paraId="710CE076"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27.</w:t>
            </w:r>
            <w:r w:rsidRPr="00712950">
              <w:rPr>
                <w:rFonts w:cs="Arial"/>
                <w:color w:val="000000" w:themeColor="text1"/>
                <w:sz w:val="16"/>
                <w:szCs w:val="16"/>
              </w:rPr>
              <w:t xml:space="preserve">    </w:t>
            </w:r>
            <w:r w:rsidRPr="00712950">
              <w:rPr>
                <w:rFonts w:eastAsia="Calibri" w:cs="Arial"/>
                <w:color w:val="000000" w:themeColor="text1"/>
                <w:sz w:val="16"/>
                <w:szCs w:val="16"/>
                <w:lang w:val="es"/>
              </w:rPr>
              <w:t>Mahates</w:t>
            </w:r>
          </w:p>
          <w:p w14:paraId="160C107F"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28.</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Juan Nepomuceno</w:t>
            </w:r>
          </w:p>
          <w:p w14:paraId="67E194E7"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29.</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Estanislao</w:t>
            </w:r>
          </w:p>
          <w:p w14:paraId="541A47AB"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30.</w:t>
            </w:r>
            <w:r w:rsidRPr="00712950">
              <w:rPr>
                <w:rFonts w:cs="Arial"/>
                <w:color w:val="000000" w:themeColor="text1"/>
                <w:sz w:val="16"/>
                <w:szCs w:val="16"/>
              </w:rPr>
              <w:t xml:space="preserve">    </w:t>
            </w:r>
            <w:r w:rsidRPr="00712950">
              <w:rPr>
                <w:rFonts w:eastAsia="Calibri" w:cs="Arial"/>
                <w:color w:val="000000" w:themeColor="text1"/>
                <w:sz w:val="16"/>
                <w:szCs w:val="16"/>
                <w:lang w:val="es"/>
              </w:rPr>
              <w:t>Santa Rosa del Sur</w:t>
            </w:r>
          </w:p>
          <w:p w14:paraId="0F3C5E97"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31.</w:t>
            </w:r>
            <w:r w:rsidRPr="00712950">
              <w:rPr>
                <w:rFonts w:cs="Arial"/>
                <w:color w:val="000000" w:themeColor="text1"/>
                <w:sz w:val="16"/>
                <w:szCs w:val="16"/>
              </w:rPr>
              <w:t xml:space="preserve">    </w:t>
            </w:r>
            <w:r w:rsidRPr="00712950">
              <w:rPr>
                <w:rFonts w:eastAsia="Calibri" w:cs="Arial"/>
                <w:color w:val="000000" w:themeColor="text1"/>
                <w:sz w:val="16"/>
                <w:szCs w:val="16"/>
                <w:lang w:val="es"/>
              </w:rPr>
              <w:t>El Peñón</w:t>
            </w:r>
          </w:p>
          <w:p w14:paraId="1A0576D0"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32.</w:t>
            </w:r>
            <w:r w:rsidRPr="00712950">
              <w:rPr>
                <w:rFonts w:cs="Arial"/>
                <w:color w:val="000000" w:themeColor="text1"/>
                <w:sz w:val="16"/>
                <w:szCs w:val="16"/>
              </w:rPr>
              <w:t xml:space="preserve">    </w:t>
            </w:r>
            <w:r w:rsidRPr="00712950">
              <w:rPr>
                <w:rFonts w:eastAsia="Calibri" w:cs="Arial"/>
                <w:color w:val="000000" w:themeColor="text1"/>
                <w:sz w:val="16"/>
                <w:szCs w:val="16"/>
                <w:lang w:val="es"/>
              </w:rPr>
              <w:t>Zambrano</w:t>
            </w:r>
          </w:p>
          <w:p w14:paraId="5EABC6A1"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33.</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Pablo</w:t>
            </w:r>
          </w:p>
          <w:p w14:paraId="7EEFE9BF"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34.</w:t>
            </w:r>
            <w:r w:rsidRPr="00712950">
              <w:rPr>
                <w:rFonts w:cs="Arial"/>
                <w:color w:val="000000" w:themeColor="text1"/>
                <w:sz w:val="16"/>
                <w:szCs w:val="16"/>
              </w:rPr>
              <w:t xml:space="preserve">    </w:t>
            </w:r>
            <w:r w:rsidRPr="00712950">
              <w:rPr>
                <w:rFonts w:eastAsia="Calibri" w:cs="Arial"/>
                <w:color w:val="000000" w:themeColor="text1"/>
                <w:sz w:val="16"/>
                <w:szCs w:val="16"/>
                <w:lang w:val="es"/>
              </w:rPr>
              <w:t>El Carmen De Bolívar</w:t>
            </w:r>
          </w:p>
          <w:p w14:paraId="54E74DBB"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35.</w:t>
            </w:r>
            <w:r w:rsidRPr="00712950">
              <w:rPr>
                <w:rFonts w:cs="Arial"/>
                <w:color w:val="000000" w:themeColor="text1"/>
                <w:sz w:val="16"/>
                <w:szCs w:val="16"/>
              </w:rPr>
              <w:t xml:space="preserve">    </w:t>
            </w:r>
            <w:r w:rsidRPr="00712950">
              <w:rPr>
                <w:rFonts w:eastAsia="Calibri" w:cs="Arial"/>
                <w:color w:val="000000" w:themeColor="text1"/>
                <w:sz w:val="16"/>
                <w:szCs w:val="16"/>
                <w:lang w:val="es"/>
              </w:rPr>
              <w:t>Valencia</w:t>
            </w:r>
          </w:p>
          <w:p w14:paraId="489DD6D3"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36.</w:t>
            </w:r>
            <w:r w:rsidRPr="00712950">
              <w:rPr>
                <w:rFonts w:cs="Arial"/>
                <w:color w:val="000000" w:themeColor="text1"/>
                <w:sz w:val="16"/>
                <w:szCs w:val="16"/>
              </w:rPr>
              <w:t xml:space="preserve">    </w:t>
            </w:r>
            <w:r w:rsidRPr="00712950">
              <w:rPr>
                <w:rFonts w:eastAsia="Calibri" w:cs="Arial"/>
                <w:color w:val="000000" w:themeColor="text1"/>
                <w:sz w:val="16"/>
                <w:szCs w:val="16"/>
                <w:lang w:val="es"/>
              </w:rPr>
              <w:t>Momíl</w:t>
            </w:r>
          </w:p>
          <w:p w14:paraId="6A4738F6"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37.</w:t>
            </w:r>
            <w:r w:rsidRPr="00712950">
              <w:rPr>
                <w:rFonts w:cs="Arial"/>
                <w:color w:val="000000" w:themeColor="text1"/>
                <w:sz w:val="16"/>
                <w:szCs w:val="16"/>
              </w:rPr>
              <w:t xml:space="preserve">    </w:t>
            </w:r>
            <w:r w:rsidRPr="00712950">
              <w:rPr>
                <w:rFonts w:eastAsia="Calibri" w:cs="Arial"/>
                <w:color w:val="000000" w:themeColor="text1"/>
                <w:sz w:val="16"/>
                <w:szCs w:val="16"/>
                <w:lang w:val="es"/>
              </w:rPr>
              <w:t>Chimá</w:t>
            </w:r>
          </w:p>
          <w:p w14:paraId="49612D2D"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38.</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Libertador</w:t>
            </w:r>
          </w:p>
          <w:p w14:paraId="300F0232" w14:textId="77777777" w:rsidR="007B7514" w:rsidRPr="00712950" w:rsidRDefault="007B7514" w:rsidP="00A6302C">
            <w:pPr>
              <w:ind w:left="360" w:hanging="360"/>
              <w:rPr>
                <w:rFonts w:cs="Arial"/>
                <w:sz w:val="16"/>
                <w:szCs w:val="16"/>
              </w:rPr>
            </w:pPr>
            <w:r w:rsidRPr="00712950">
              <w:rPr>
                <w:rFonts w:eastAsia="Calibri" w:cs="Arial"/>
                <w:color w:val="000000" w:themeColor="text1"/>
                <w:sz w:val="16"/>
                <w:szCs w:val="16"/>
              </w:rPr>
              <w:t>39.</w:t>
            </w:r>
            <w:r w:rsidRPr="00712950">
              <w:rPr>
                <w:rFonts w:cs="Arial"/>
                <w:color w:val="000000" w:themeColor="text1"/>
                <w:sz w:val="16"/>
                <w:szCs w:val="16"/>
              </w:rPr>
              <w:t xml:space="preserve">    </w:t>
            </w:r>
            <w:r w:rsidRPr="00712950">
              <w:rPr>
                <w:rFonts w:eastAsia="Calibri" w:cs="Arial"/>
                <w:color w:val="000000" w:themeColor="text1"/>
                <w:sz w:val="16"/>
                <w:szCs w:val="16"/>
                <w:lang w:val="es"/>
              </w:rPr>
              <w:t xml:space="preserve">Purísima </w:t>
            </w:r>
            <w:r w:rsidRPr="00712950">
              <w:rPr>
                <w:rFonts w:eastAsia="Calibri" w:cs="Arial"/>
                <w:color w:val="000000" w:themeColor="text1"/>
                <w:sz w:val="16"/>
                <w:szCs w:val="16"/>
              </w:rPr>
              <w:t>de La Concepción</w:t>
            </w:r>
          </w:p>
          <w:p w14:paraId="4AD412C1" w14:textId="77777777" w:rsidR="007B7514" w:rsidRPr="00712950" w:rsidRDefault="007B7514" w:rsidP="000A20EE">
            <w:pPr>
              <w:pStyle w:val="Prrafodelista"/>
              <w:numPr>
                <w:ilvl w:val="0"/>
                <w:numId w:val="203"/>
              </w:numPr>
              <w:rPr>
                <w:rFonts w:eastAsia="Arial" w:cs="Arial"/>
                <w:color w:val="000000" w:themeColor="text1"/>
                <w:sz w:val="16"/>
                <w:szCs w:val="16"/>
              </w:rPr>
            </w:pPr>
            <w:r w:rsidRPr="00712950">
              <w:rPr>
                <w:rFonts w:cs="Arial"/>
                <w:color w:val="000000" w:themeColor="text1"/>
                <w:sz w:val="16"/>
                <w:szCs w:val="16"/>
                <w:lang w:val="es"/>
              </w:rPr>
              <w:t xml:space="preserve">San Andrés </w:t>
            </w:r>
            <w:r w:rsidRPr="00712950">
              <w:rPr>
                <w:rFonts w:cs="Arial"/>
                <w:color w:val="000000" w:themeColor="text1"/>
                <w:sz w:val="16"/>
                <w:szCs w:val="16"/>
              </w:rPr>
              <w:t>de Sotavento</w:t>
            </w:r>
          </w:p>
          <w:p w14:paraId="44E040BE" w14:textId="77777777" w:rsidR="007B7514" w:rsidRPr="00712950" w:rsidRDefault="007B7514" w:rsidP="00A6302C">
            <w:pPr>
              <w:jc w:val="both"/>
              <w:rPr>
                <w:rFonts w:cs="Arial"/>
                <w:sz w:val="16"/>
                <w:szCs w:val="16"/>
              </w:rPr>
            </w:pPr>
            <w:r w:rsidRPr="00712950">
              <w:rPr>
                <w:rFonts w:eastAsia="Arial" w:cs="Arial"/>
                <w:color w:val="000000" w:themeColor="text1"/>
                <w:sz w:val="16"/>
                <w:szCs w:val="16"/>
              </w:rPr>
              <w:t xml:space="preserve"> </w:t>
            </w:r>
          </w:p>
        </w:tc>
        <w:tc>
          <w:tcPr>
            <w:tcW w:w="2444" w:type="dxa"/>
          </w:tcPr>
          <w:p w14:paraId="6A208F90"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41.</w:t>
            </w:r>
            <w:r w:rsidRPr="00712950">
              <w:rPr>
                <w:rFonts w:cs="Arial"/>
                <w:color w:val="000000" w:themeColor="text1"/>
                <w:sz w:val="16"/>
                <w:szCs w:val="16"/>
              </w:rPr>
              <w:t xml:space="preserve">    </w:t>
            </w:r>
            <w:r w:rsidRPr="00712950">
              <w:rPr>
                <w:rFonts w:eastAsia="Calibri" w:cs="Arial"/>
                <w:color w:val="000000" w:themeColor="text1"/>
                <w:sz w:val="16"/>
                <w:szCs w:val="16"/>
                <w:lang w:val="es"/>
              </w:rPr>
              <w:t>Tuchín (Córdoba)</w:t>
            </w:r>
          </w:p>
          <w:p w14:paraId="7E307FA5"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42.</w:t>
            </w:r>
            <w:r w:rsidRPr="00712950">
              <w:rPr>
                <w:rFonts w:cs="Arial"/>
                <w:color w:val="000000" w:themeColor="text1"/>
                <w:sz w:val="16"/>
                <w:szCs w:val="16"/>
              </w:rPr>
              <w:t xml:space="preserve">    </w:t>
            </w:r>
            <w:r w:rsidRPr="00712950">
              <w:rPr>
                <w:rFonts w:eastAsia="Calibri" w:cs="Arial"/>
                <w:color w:val="000000" w:themeColor="text1"/>
                <w:sz w:val="16"/>
                <w:szCs w:val="16"/>
                <w:lang w:val="es"/>
              </w:rPr>
              <w:t>Villavicencio</w:t>
            </w:r>
          </w:p>
          <w:p w14:paraId="259DD235"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43.</w:t>
            </w:r>
            <w:r w:rsidRPr="00712950">
              <w:rPr>
                <w:rFonts w:cs="Arial"/>
                <w:color w:val="000000" w:themeColor="text1"/>
                <w:sz w:val="16"/>
                <w:szCs w:val="16"/>
              </w:rPr>
              <w:t xml:space="preserve">    </w:t>
            </w:r>
            <w:r w:rsidRPr="00712950">
              <w:rPr>
                <w:rFonts w:eastAsia="Calibri" w:cs="Arial"/>
                <w:color w:val="000000" w:themeColor="text1"/>
                <w:sz w:val="16"/>
                <w:szCs w:val="16"/>
                <w:lang w:val="es"/>
              </w:rPr>
              <w:t>Fuente de Oro</w:t>
            </w:r>
          </w:p>
          <w:p w14:paraId="3295F91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44.</w:t>
            </w:r>
            <w:r w:rsidRPr="00712950">
              <w:rPr>
                <w:rFonts w:cs="Arial"/>
                <w:color w:val="000000" w:themeColor="text1"/>
                <w:sz w:val="16"/>
                <w:szCs w:val="16"/>
              </w:rPr>
              <w:t xml:space="preserve">    </w:t>
            </w:r>
            <w:r w:rsidRPr="00712950">
              <w:rPr>
                <w:rFonts w:eastAsia="Calibri" w:cs="Arial"/>
                <w:color w:val="000000" w:themeColor="text1"/>
                <w:sz w:val="16"/>
                <w:szCs w:val="16"/>
                <w:lang w:val="es"/>
              </w:rPr>
              <w:t>Cabuyaro</w:t>
            </w:r>
          </w:p>
          <w:p w14:paraId="3E80FBC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45.</w:t>
            </w:r>
            <w:r w:rsidRPr="00712950">
              <w:rPr>
                <w:rFonts w:cs="Arial"/>
                <w:color w:val="000000" w:themeColor="text1"/>
                <w:sz w:val="16"/>
                <w:szCs w:val="16"/>
              </w:rPr>
              <w:t xml:space="preserve">    </w:t>
            </w:r>
            <w:r w:rsidRPr="00712950">
              <w:rPr>
                <w:rFonts w:eastAsia="Calibri" w:cs="Arial"/>
                <w:color w:val="000000" w:themeColor="text1"/>
                <w:sz w:val="16"/>
                <w:szCs w:val="16"/>
                <w:lang w:val="es"/>
              </w:rPr>
              <w:t>Mapiripán</w:t>
            </w:r>
          </w:p>
          <w:p w14:paraId="7547219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46.</w:t>
            </w:r>
            <w:r w:rsidRPr="00712950">
              <w:rPr>
                <w:rFonts w:cs="Arial"/>
                <w:color w:val="000000" w:themeColor="text1"/>
                <w:sz w:val="16"/>
                <w:szCs w:val="16"/>
              </w:rPr>
              <w:t xml:space="preserve">    </w:t>
            </w:r>
            <w:r w:rsidRPr="00712950">
              <w:rPr>
                <w:rFonts w:eastAsia="Calibri" w:cs="Arial"/>
                <w:color w:val="000000" w:themeColor="text1"/>
                <w:sz w:val="16"/>
                <w:szCs w:val="16"/>
                <w:lang w:val="es"/>
              </w:rPr>
              <w:t>Vistahermosa</w:t>
            </w:r>
          </w:p>
          <w:p w14:paraId="44E1393C"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47.</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Gaitán</w:t>
            </w:r>
          </w:p>
          <w:p w14:paraId="0F5D8B7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48.</w:t>
            </w:r>
            <w:r w:rsidRPr="00712950">
              <w:rPr>
                <w:rFonts w:cs="Arial"/>
                <w:color w:val="000000" w:themeColor="text1"/>
                <w:sz w:val="16"/>
                <w:szCs w:val="16"/>
              </w:rPr>
              <w:t xml:space="preserve">    </w:t>
            </w:r>
            <w:r w:rsidRPr="00712950">
              <w:rPr>
                <w:rFonts w:eastAsia="Calibri" w:cs="Arial"/>
                <w:color w:val="000000" w:themeColor="text1"/>
                <w:sz w:val="16"/>
                <w:szCs w:val="16"/>
                <w:lang w:val="es"/>
              </w:rPr>
              <w:t>La Macarena</w:t>
            </w:r>
          </w:p>
          <w:p w14:paraId="12BB1CF6"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49.</w:t>
            </w:r>
            <w:r w:rsidRPr="00712950">
              <w:rPr>
                <w:rFonts w:cs="Arial"/>
                <w:color w:val="000000" w:themeColor="text1"/>
                <w:sz w:val="16"/>
                <w:szCs w:val="16"/>
              </w:rPr>
              <w:t xml:space="preserve">    </w:t>
            </w:r>
            <w:r w:rsidRPr="00712950">
              <w:rPr>
                <w:rFonts w:eastAsia="Calibri" w:cs="Arial"/>
                <w:color w:val="000000" w:themeColor="text1"/>
                <w:sz w:val="16"/>
                <w:szCs w:val="16"/>
                <w:lang w:val="es"/>
              </w:rPr>
              <w:t>Uribe</w:t>
            </w:r>
          </w:p>
          <w:p w14:paraId="2F52B19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50.</w:t>
            </w:r>
            <w:r w:rsidRPr="00712950">
              <w:rPr>
                <w:rFonts w:cs="Arial"/>
                <w:color w:val="000000" w:themeColor="text1"/>
                <w:sz w:val="16"/>
                <w:szCs w:val="16"/>
              </w:rPr>
              <w:t xml:space="preserve">    </w:t>
            </w:r>
            <w:r w:rsidRPr="00712950">
              <w:rPr>
                <w:rFonts w:eastAsia="Calibri" w:cs="Arial"/>
                <w:color w:val="000000" w:themeColor="text1"/>
                <w:sz w:val="16"/>
                <w:szCs w:val="16"/>
                <w:lang w:val="es"/>
              </w:rPr>
              <w:t>Mesetas</w:t>
            </w:r>
          </w:p>
          <w:p w14:paraId="12744F8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51.</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Lleras</w:t>
            </w:r>
          </w:p>
          <w:p w14:paraId="131C3EDF"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52.</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Concordia</w:t>
            </w:r>
          </w:p>
          <w:p w14:paraId="3DA4AD68"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53.</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Juan De Arama</w:t>
            </w:r>
          </w:p>
          <w:p w14:paraId="719D31B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54.</w:t>
            </w:r>
            <w:r w:rsidRPr="00712950">
              <w:rPr>
                <w:rFonts w:cs="Arial"/>
                <w:color w:val="000000" w:themeColor="text1"/>
                <w:sz w:val="16"/>
                <w:szCs w:val="16"/>
              </w:rPr>
              <w:t xml:space="preserve">    </w:t>
            </w:r>
            <w:r w:rsidRPr="00712950">
              <w:rPr>
                <w:rFonts w:eastAsia="Calibri" w:cs="Arial"/>
                <w:color w:val="000000" w:themeColor="text1"/>
                <w:sz w:val="16"/>
                <w:szCs w:val="16"/>
                <w:lang w:val="es"/>
              </w:rPr>
              <w:t>Fonseca</w:t>
            </w:r>
          </w:p>
          <w:p w14:paraId="3688350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55.</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Juan del Cesar</w:t>
            </w:r>
          </w:p>
          <w:p w14:paraId="2266622C"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56.</w:t>
            </w:r>
            <w:r w:rsidRPr="00712950">
              <w:rPr>
                <w:rFonts w:cs="Arial"/>
                <w:color w:val="000000" w:themeColor="text1"/>
                <w:sz w:val="16"/>
                <w:szCs w:val="16"/>
              </w:rPr>
              <w:t xml:space="preserve">    </w:t>
            </w:r>
            <w:r w:rsidRPr="00712950">
              <w:rPr>
                <w:rFonts w:eastAsia="Calibri" w:cs="Arial"/>
                <w:color w:val="000000" w:themeColor="text1"/>
                <w:sz w:val="16"/>
                <w:szCs w:val="16"/>
                <w:lang w:val="es"/>
              </w:rPr>
              <w:t>Dibulla</w:t>
            </w:r>
          </w:p>
          <w:p w14:paraId="4CD100A9"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57.</w:t>
            </w:r>
            <w:r w:rsidRPr="00712950">
              <w:rPr>
                <w:rFonts w:cs="Arial"/>
                <w:color w:val="000000" w:themeColor="text1"/>
                <w:sz w:val="16"/>
                <w:szCs w:val="16"/>
              </w:rPr>
              <w:t xml:space="preserve">    </w:t>
            </w:r>
            <w:r w:rsidRPr="00712950">
              <w:rPr>
                <w:rFonts w:eastAsia="Calibri" w:cs="Arial"/>
                <w:color w:val="000000" w:themeColor="text1"/>
                <w:sz w:val="16"/>
                <w:szCs w:val="16"/>
                <w:lang w:val="es"/>
              </w:rPr>
              <w:t>Ciénaga</w:t>
            </w:r>
          </w:p>
          <w:p w14:paraId="09132299"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58.</w:t>
            </w:r>
            <w:r w:rsidRPr="00712950">
              <w:rPr>
                <w:rFonts w:cs="Arial"/>
                <w:color w:val="000000" w:themeColor="text1"/>
                <w:sz w:val="16"/>
                <w:szCs w:val="16"/>
              </w:rPr>
              <w:t xml:space="preserve">    </w:t>
            </w:r>
            <w:r w:rsidRPr="00712950">
              <w:rPr>
                <w:rFonts w:eastAsia="Calibri" w:cs="Arial"/>
                <w:color w:val="000000" w:themeColor="text1"/>
                <w:sz w:val="16"/>
                <w:szCs w:val="16"/>
                <w:lang w:val="es"/>
              </w:rPr>
              <w:t>Aracata</w:t>
            </w:r>
          </w:p>
          <w:p w14:paraId="3E22FAD5"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59.</w:t>
            </w:r>
            <w:r w:rsidRPr="00712950">
              <w:rPr>
                <w:rFonts w:cs="Arial"/>
                <w:color w:val="000000" w:themeColor="text1"/>
                <w:sz w:val="16"/>
                <w:szCs w:val="16"/>
              </w:rPr>
              <w:t xml:space="preserve">    </w:t>
            </w:r>
            <w:r w:rsidRPr="00712950">
              <w:rPr>
                <w:rFonts w:eastAsia="Calibri" w:cs="Arial"/>
                <w:color w:val="000000" w:themeColor="text1"/>
                <w:sz w:val="16"/>
                <w:szCs w:val="16"/>
                <w:lang w:val="es"/>
              </w:rPr>
              <w:t>Fundación</w:t>
            </w:r>
          </w:p>
          <w:p w14:paraId="5EFDA08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60.</w:t>
            </w:r>
            <w:r w:rsidRPr="00712950">
              <w:rPr>
                <w:rFonts w:cs="Arial"/>
                <w:color w:val="000000" w:themeColor="text1"/>
                <w:sz w:val="16"/>
                <w:szCs w:val="16"/>
              </w:rPr>
              <w:t xml:space="preserve">    </w:t>
            </w:r>
            <w:r w:rsidRPr="00712950">
              <w:rPr>
                <w:rFonts w:eastAsia="Calibri" w:cs="Arial"/>
                <w:color w:val="000000" w:themeColor="text1"/>
                <w:sz w:val="16"/>
                <w:szCs w:val="16"/>
                <w:lang w:val="es"/>
              </w:rPr>
              <w:t>Rioblanco</w:t>
            </w:r>
          </w:p>
          <w:p w14:paraId="430380F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61.</w:t>
            </w:r>
            <w:r w:rsidRPr="00712950">
              <w:rPr>
                <w:rFonts w:cs="Arial"/>
                <w:color w:val="000000" w:themeColor="text1"/>
                <w:sz w:val="16"/>
                <w:szCs w:val="16"/>
              </w:rPr>
              <w:t xml:space="preserve">    </w:t>
            </w:r>
            <w:r w:rsidRPr="00712950">
              <w:rPr>
                <w:rFonts w:eastAsia="Calibri" w:cs="Arial"/>
                <w:color w:val="000000" w:themeColor="text1"/>
                <w:sz w:val="16"/>
                <w:szCs w:val="16"/>
                <w:lang w:val="es"/>
              </w:rPr>
              <w:t>Ataco</w:t>
            </w:r>
          </w:p>
          <w:p w14:paraId="7877EA48"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62.</w:t>
            </w:r>
            <w:r w:rsidRPr="00712950">
              <w:rPr>
                <w:rFonts w:cs="Arial"/>
                <w:color w:val="000000" w:themeColor="text1"/>
                <w:sz w:val="16"/>
                <w:szCs w:val="16"/>
              </w:rPr>
              <w:t xml:space="preserve">    </w:t>
            </w:r>
            <w:r w:rsidRPr="00712950">
              <w:rPr>
                <w:rFonts w:eastAsia="Calibri" w:cs="Arial"/>
                <w:color w:val="000000" w:themeColor="text1"/>
                <w:sz w:val="16"/>
                <w:szCs w:val="16"/>
                <w:lang w:val="es"/>
              </w:rPr>
              <w:t>Planadas</w:t>
            </w:r>
          </w:p>
          <w:p w14:paraId="2B63C8D7"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63.</w:t>
            </w:r>
            <w:r w:rsidRPr="00712950">
              <w:rPr>
                <w:rFonts w:cs="Arial"/>
                <w:color w:val="000000" w:themeColor="text1"/>
                <w:sz w:val="16"/>
                <w:szCs w:val="16"/>
              </w:rPr>
              <w:t xml:space="preserve">    </w:t>
            </w:r>
            <w:r w:rsidRPr="00712950">
              <w:rPr>
                <w:rFonts w:eastAsia="Calibri" w:cs="Arial"/>
                <w:color w:val="000000" w:themeColor="text1"/>
                <w:sz w:val="16"/>
                <w:szCs w:val="16"/>
                <w:lang w:val="es"/>
              </w:rPr>
              <w:t xml:space="preserve">El </w:t>
            </w:r>
            <w:r w:rsidRPr="00712950">
              <w:rPr>
                <w:rFonts w:eastAsia="Calibri" w:cs="Arial"/>
                <w:color w:val="000000" w:themeColor="text1"/>
                <w:sz w:val="16"/>
                <w:szCs w:val="16"/>
              </w:rPr>
              <w:t>Paujíl</w:t>
            </w:r>
          </w:p>
          <w:p w14:paraId="2E1C9D2C"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64.</w:t>
            </w:r>
            <w:r w:rsidRPr="00712950">
              <w:rPr>
                <w:rFonts w:cs="Arial"/>
                <w:color w:val="000000" w:themeColor="text1"/>
                <w:sz w:val="16"/>
                <w:szCs w:val="16"/>
              </w:rPr>
              <w:t xml:space="preserve">    </w:t>
            </w:r>
            <w:r w:rsidRPr="00712950">
              <w:rPr>
                <w:rFonts w:eastAsia="Calibri" w:cs="Arial"/>
                <w:color w:val="000000" w:themeColor="text1"/>
                <w:sz w:val="16"/>
                <w:szCs w:val="16"/>
                <w:lang w:val="es"/>
              </w:rPr>
              <w:t>Albania</w:t>
            </w:r>
          </w:p>
          <w:p w14:paraId="1AC67C40"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65.</w:t>
            </w:r>
            <w:r w:rsidRPr="00712950">
              <w:rPr>
                <w:rFonts w:cs="Arial"/>
                <w:color w:val="000000" w:themeColor="text1"/>
                <w:sz w:val="16"/>
                <w:szCs w:val="16"/>
              </w:rPr>
              <w:t xml:space="preserve">    </w:t>
            </w:r>
            <w:r w:rsidRPr="00712950">
              <w:rPr>
                <w:rFonts w:eastAsia="Calibri" w:cs="Arial"/>
                <w:color w:val="000000" w:themeColor="text1"/>
                <w:sz w:val="16"/>
                <w:szCs w:val="16"/>
                <w:lang w:val="es"/>
              </w:rPr>
              <w:t>Belén de Los Andaquíes</w:t>
            </w:r>
          </w:p>
          <w:p w14:paraId="4B995FDE"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66.</w:t>
            </w:r>
            <w:r w:rsidRPr="00712950">
              <w:rPr>
                <w:rFonts w:cs="Arial"/>
                <w:color w:val="000000" w:themeColor="text1"/>
                <w:sz w:val="16"/>
                <w:szCs w:val="16"/>
              </w:rPr>
              <w:t xml:space="preserve">    </w:t>
            </w:r>
            <w:r w:rsidRPr="00712950">
              <w:rPr>
                <w:rFonts w:eastAsia="Calibri" w:cs="Arial"/>
                <w:color w:val="000000" w:themeColor="text1"/>
                <w:sz w:val="16"/>
                <w:szCs w:val="16"/>
                <w:lang w:val="es"/>
              </w:rPr>
              <w:t>El Doncello</w:t>
            </w:r>
          </w:p>
          <w:p w14:paraId="55FF9F77"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67.</w:t>
            </w:r>
            <w:r w:rsidRPr="00712950">
              <w:rPr>
                <w:rFonts w:cs="Arial"/>
                <w:color w:val="000000" w:themeColor="text1"/>
                <w:sz w:val="16"/>
                <w:szCs w:val="16"/>
              </w:rPr>
              <w:t xml:space="preserve">    </w:t>
            </w:r>
            <w:r w:rsidRPr="00712950">
              <w:rPr>
                <w:rFonts w:eastAsia="Calibri" w:cs="Arial"/>
                <w:color w:val="000000" w:themeColor="text1"/>
                <w:sz w:val="16"/>
                <w:szCs w:val="16"/>
                <w:lang w:val="es"/>
              </w:rPr>
              <w:t xml:space="preserve">Cartagena del </w:t>
            </w:r>
            <w:r w:rsidRPr="00712950">
              <w:rPr>
                <w:rFonts w:eastAsia="Calibri" w:cs="Arial"/>
                <w:color w:val="000000" w:themeColor="text1"/>
                <w:sz w:val="16"/>
                <w:szCs w:val="16"/>
              </w:rPr>
              <w:t>Chairá</w:t>
            </w:r>
          </w:p>
          <w:p w14:paraId="4A956D93"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68.</w:t>
            </w:r>
            <w:r w:rsidRPr="00712950">
              <w:rPr>
                <w:rFonts w:cs="Arial"/>
                <w:color w:val="000000" w:themeColor="text1"/>
                <w:sz w:val="16"/>
                <w:szCs w:val="16"/>
              </w:rPr>
              <w:t xml:space="preserve">    </w:t>
            </w:r>
            <w:r w:rsidRPr="00712950">
              <w:rPr>
                <w:rFonts w:eastAsia="Calibri" w:cs="Arial"/>
                <w:color w:val="000000" w:themeColor="text1"/>
                <w:sz w:val="16"/>
                <w:szCs w:val="16"/>
                <w:lang w:val="es"/>
              </w:rPr>
              <w:t>La Montañita</w:t>
            </w:r>
          </w:p>
          <w:p w14:paraId="619975F8"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69.</w:t>
            </w:r>
            <w:r w:rsidRPr="00712950">
              <w:rPr>
                <w:rFonts w:cs="Arial"/>
                <w:color w:val="000000" w:themeColor="text1"/>
                <w:sz w:val="16"/>
                <w:szCs w:val="16"/>
              </w:rPr>
              <w:t xml:space="preserve">    </w:t>
            </w:r>
            <w:r w:rsidRPr="00712950">
              <w:rPr>
                <w:rFonts w:eastAsia="Calibri" w:cs="Arial"/>
                <w:color w:val="000000" w:themeColor="text1"/>
                <w:sz w:val="16"/>
                <w:szCs w:val="16"/>
                <w:lang w:val="es"/>
              </w:rPr>
              <w:t>Florencia</w:t>
            </w:r>
          </w:p>
          <w:p w14:paraId="574F959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70.</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José del Fragua</w:t>
            </w:r>
          </w:p>
          <w:p w14:paraId="2329B9CA"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71.</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Vicente del Caguán</w:t>
            </w:r>
          </w:p>
          <w:p w14:paraId="12C9334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72.</w:t>
            </w:r>
            <w:r w:rsidRPr="00712950">
              <w:rPr>
                <w:rFonts w:cs="Arial"/>
                <w:color w:val="000000" w:themeColor="text1"/>
                <w:sz w:val="16"/>
                <w:szCs w:val="16"/>
              </w:rPr>
              <w:t xml:space="preserve">    </w:t>
            </w:r>
            <w:r w:rsidRPr="00712950">
              <w:rPr>
                <w:rFonts w:eastAsia="Calibri" w:cs="Arial"/>
                <w:color w:val="000000" w:themeColor="text1"/>
                <w:sz w:val="16"/>
                <w:szCs w:val="16"/>
                <w:lang w:val="es"/>
              </w:rPr>
              <w:t>Valparaiso</w:t>
            </w:r>
          </w:p>
          <w:p w14:paraId="4BC01948"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73.</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Rico</w:t>
            </w:r>
          </w:p>
          <w:p w14:paraId="2396C2BD"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74.</w:t>
            </w:r>
            <w:r w:rsidRPr="00712950">
              <w:rPr>
                <w:rFonts w:cs="Arial"/>
                <w:color w:val="000000" w:themeColor="text1"/>
                <w:sz w:val="16"/>
                <w:szCs w:val="16"/>
              </w:rPr>
              <w:t xml:space="preserve">    </w:t>
            </w:r>
            <w:r w:rsidRPr="00712950">
              <w:rPr>
                <w:rFonts w:eastAsia="Calibri" w:cs="Arial"/>
                <w:color w:val="000000" w:themeColor="text1"/>
                <w:sz w:val="16"/>
                <w:szCs w:val="16"/>
                <w:lang w:val="es"/>
              </w:rPr>
              <w:t>Morelia</w:t>
            </w:r>
          </w:p>
          <w:p w14:paraId="69B98F7E"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75.</w:t>
            </w:r>
            <w:r w:rsidRPr="00712950">
              <w:rPr>
                <w:rFonts w:cs="Arial"/>
                <w:color w:val="000000" w:themeColor="text1"/>
                <w:sz w:val="16"/>
                <w:szCs w:val="16"/>
              </w:rPr>
              <w:t xml:space="preserve">    </w:t>
            </w:r>
            <w:r w:rsidRPr="00712950">
              <w:rPr>
                <w:rFonts w:eastAsia="Calibri" w:cs="Arial"/>
                <w:color w:val="000000" w:themeColor="text1"/>
                <w:sz w:val="16"/>
                <w:szCs w:val="16"/>
                <w:lang w:val="es"/>
              </w:rPr>
              <w:t>Solano</w:t>
            </w:r>
          </w:p>
          <w:p w14:paraId="0EC2D5E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76.</w:t>
            </w:r>
            <w:r w:rsidRPr="00712950">
              <w:rPr>
                <w:rFonts w:cs="Arial"/>
                <w:color w:val="000000" w:themeColor="text1"/>
                <w:sz w:val="16"/>
                <w:szCs w:val="16"/>
              </w:rPr>
              <w:t xml:space="preserve">    </w:t>
            </w:r>
            <w:r w:rsidRPr="00712950">
              <w:rPr>
                <w:rFonts w:eastAsia="Calibri" w:cs="Arial"/>
                <w:color w:val="000000" w:themeColor="text1"/>
                <w:sz w:val="16"/>
                <w:szCs w:val="16"/>
                <w:lang w:val="es"/>
              </w:rPr>
              <w:t>Milán</w:t>
            </w:r>
          </w:p>
          <w:p w14:paraId="6393CAF0"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77.</w:t>
            </w:r>
            <w:r w:rsidRPr="00712950">
              <w:rPr>
                <w:rFonts w:cs="Arial"/>
                <w:color w:val="000000" w:themeColor="text1"/>
                <w:sz w:val="16"/>
                <w:szCs w:val="16"/>
              </w:rPr>
              <w:t xml:space="preserve">    </w:t>
            </w:r>
            <w:r w:rsidRPr="00712950">
              <w:rPr>
                <w:rFonts w:eastAsia="Calibri" w:cs="Arial"/>
                <w:color w:val="000000" w:themeColor="text1"/>
                <w:sz w:val="16"/>
                <w:szCs w:val="16"/>
                <w:lang w:val="es"/>
              </w:rPr>
              <w:t>Almaguer</w:t>
            </w:r>
          </w:p>
          <w:p w14:paraId="37DD4DDA"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78.</w:t>
            </w:r>
            <w:r w:rsidRPr="00712950">
              <w:rPr>
                <w:rFonts w:cs="Arial"/>
                <w:color w:val="000000" w:themeColor="text1"/>
                <w:sz w:val="16"/>
                <w:szCs w:val="16"/>
              </w:rPr>
              <w:t xml:space="preserve">    </w:t>
            </w:r>
            <w:r w:rsidRPr="00712950">
              <w:rPr>
                <w:rFonts w:eastAsia="Calibri" w:cs="Arial"/>
                <w:color w:val="000000" w:themeColor="text1"/>
                <w:sz w:val="16"/>
                <w:szCs w:val="16"/>
                <w:lang w:val="es"/>
              </w:rPr>
              <w:t>Cajibío</w:t>
            </w:r>
          </w:p>
          <w:p w14:paraId="400076E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79.</w:t>
            </w:r>
            <w:r w:rsidRPr="00712950">
              <w:rPr>
                <w:rFonts w:cs="Arial"/>
                <w:color w:val="000000" w:themeColor="text1"/>
                <w:sz w:val="16"/>
                <w:szCs w:val="16"/>
              </w:rPr>
              <w:t xml:space="preserve">    </w:t>
            </w:r>
            <w:r w:rsidRPr="00712950">
              <w:rPr>
                <w:rFonts w:eastAsia="Calibri" w:cs="Arial"/>
                <w:color w:val="000000" w:themeColor="text1"/>
                <w:sz w:val="16"/>
                <w:szCs w:val="16"/>
                <w:lang w:val="es"/>
              </w:rPr>
              <w:t>Popayán</w:t>
            </w:r>
          </w:p>
          <w:p w14:paraId="6CDEDD3A"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80.</w:t>
            </w:r>
            <w:r w:rsidRPr="00712950">
              <w:rPr>
                <w:rFonts w:cs="Arial"/>
                <w:color w:val="000000" w:themeColor="text1"/>
                <w:sz w:val="16"/>
                <w:szCs w:val="16"/>
              </w:rPr>
              <w:t xml:space="preserve">    </w:t>
            </w:r>
            <w:r w:rsidRPr="00712950">
              <w:rPr>
                <w:rFonts w:eastAsia="Calibri" w:cs="Arial"/>
                <w:color w:val="000000" w:themeColor="text1"/>
                <w:sz w:val="16"/>
                <w:szCs w:val="16"/>
                <w:lang w:val="es"/>
              </w:rPr>
              <w:t>Morales</w:t>
            </w:r>
          </w:p>
        </w:tc>
        <w:tc>
          <w:tcPr>
            <w:tcW w:w="3547" w:type="dxa"/>
          </w:tcPr>
          <w:p w14:paraId="3CD9DB54"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81.</w:t>
            </w:r>
            <w:r w:rsidRPr="00712950">
              <w:rPr>
                <w:rFonts w:cs="Arial"/>
                <w:color w:val="000000" w:themeColor="text1"/>
                <w:sz w:val="16"/>
                <w:szCs w:val="16"/>
              </w:rPr>
              <w:t xml:space="preserve">    </w:t>
            </w:r>
            <w:r w:rsidRPr="00712950">
              <w:rPr>
                <w:rFonts w:eastAsia="Calibri" w:cs="Arial"/>
                <w:color w:val="000000" w:themeColor="text1"/>
                <w:sz w:val="16"/>
                <w:szCs w:val="16"/>
                <w:lang w:val="es"/>
              </w:rPr>
              <w:t>Santa Rosa</w:t>
            </w:r>
          </w:p>
          <w:p w14:paraId="0CBFF6A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82.</w:t>
            </w:r>
            <w:r w:rsidRPr="00712950">
              <w:rPr>
                <w:rFonts w:cs="Arial"/>
                <w:color w:val="000000" w:themeColor="text1"/>
                <w:sz w:val="16"/>
                <w:szCs w:val="16"/>
              </w:rPr>
              <w:t xml:space="preserve">    </w:t>
            </w:r>
            <w:r w:rsidRPr="00712950">
              <w:rPr>
                <w:rFonts w:eastAsia="Calibri" w:cs="Arial"/>
                <w:color w:val="000000" w:themeColor="text1"/>
                <w:sz w:val="16"/>
                <w:szCs w:val="16"/>
                <w:lang w:val="es"/>
              </w:rPr>
              <w:t>Padilla</w:t>
            </w:r>
          </w:p>
          <w:p w14:paraId="3B66A6BC"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83.</w:t>
            </w:r>
            <w:r w:rsidRPr="00712950">
              <w:rPr>
                <w:rFonts w:cs="Arial"/>
                <w:color w:val="000000" w:themeColor="text1"/>
                <w:sz w:val="16"/>
                <w:szCs w:val="16"/>
              </w:rPr>
              <w:t xml:space="preserve">    </w:t>
            </w:r>
            <w:r w:rsidRPr="00712950">
              <w:rPr>
                <w:rFonts w:eastAsia="Calibri" w:cs="Arial"/>
                <w:color w:val="000000" w:themeColor="text1"/>
                <w:sz w:val="16"/>
                <w:szCs w:val="16"/>
                <w:lang w:val="es"/>
              </w:rPr>
              <w:t>Sucre</w:t>
            </w:r>
          </w:p>
          <w:p w14:paraId="6C173F0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84.</w:t>
            </w:r>
            <w:r w:rsidRPr="00712950">
              <w:rPr>
                <w:rFonts w:cs="Arial"/>
                <w:color w:val="000000" w:themeColor="text1"/>
                <w:sz w:val="16"/>
                <w:szCs w:val="16"/>
              </w:rPr>
              <w:t xml:space="preserve">    </w:t>
            </w:r>
            <w:r w:rsidRPr="00712950">
              <w:rPr>
                <w:rFonts w:eastAsia="Calibri" w:cs="Arial"/>
                <w:color w:val="000000" w:themeColor="text1"/>
                <w:sz w:val="16"/>
                <w:szCs w:val="16"/>
                <w:lang w:val="es"/>
              </w:rPr>
              <w:t>Piendamó</w:t>
            </w:r>
          </w:p>
          <w:p w14:paraId="52D8F8D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85.</w:t>
            </w:r>
            <w:r w:rsidRPr="00712950">
              <w:rPr>
                <w:rFonts w:cs="Arial"/>
                <w:color w:val="000000" w:themeColor="text1"/>
                <w:sz w:val="16"/>
                <w:szCs w:val="16"/>
              </w:rPr>
              <w:t xml:space="preserve">    </w:t>
            </w:r>
            <w:r w:rsidRPr="00712950">
              <w:rPr>
                <w:rFonts w:eastAsia="Calibri" w:cs="Arial"/>
                <w:color w:val="000000" w:themeColor="text1"/>
                <w:sz w:val="16"/>
                <w:szCs w:val="16"/>
                <w:lang w:val="es"/>
              </w:rPr>
              <w:t>Mercaderes</w:t>
            </w:r>
          </w:p>
          <w:p w14:paraId="68CFCE2F"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86.</w:t>
            </w:r>
            <w:r w:rsidRPr="00712950">
              <w:rPr>
                <w:rFonts w:cs="Arial"/>
                <w:color w:val="000000" w:themeColor="text1"/>
                <w:sz w:val="16"/>
                <w:szCs w:val="16"/>
              </w:rPr>
              <w:t xml:space="preserve">    </w:t>
            </w:r>
            <w:r w:rsidRPr="00712950">
              <w:rPr>
                <w:rFonts w:eastAsia="Calibri" w:cs="Arial"/>
                <w:color w:val="000000" w:themeColor="text1"/>
                <w:sz w:val="16"/>
                <w:szCs w:val="16"/>
                <w:lang w:val="es"/>
              </w:rPr>
              <w:t>Inzá</w:t>
            </w:r>
          </w:p>
          <w:p w14:paraId="0725DF1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87.</w:t>
            </w:r>
            <w:r w:rsidRPr="00712950">
              <w:rPr>
                <w:rFonts w:cs="Arial"/>
                <w:color w:val="000000" w:themeColor="text1"/>
                <w:sz w:val="16"/>
                <w:szCs w:val="16"/>
              </w:rPr>
              <w:t xml:space="preserve">    </w:t>
            </w:r>
            <w:r w:rsidRPr="00712950">
              <w:rPr>
                <w:rFonts w:eastAsia="Calibri" w:cs="Arial"/>
                <w:color w:val="000000" w:themeColor="text1"/>
                <w:sz w:val="16"/>
                <w:szCs w:val="16"/>
                <w:lang w:val="es"/>
              </w:rPr>
              <w:t>Guachené</w:t>
            </w:r>
          </w:p>
          <w:p w14:paraId="52ECD637"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88.</w:t>
            </w:r>
            <w:r w:rsidRPr="00712950">
              <w:rPr>
                <w:rFonts w:cs="Arial"/>
                <w:color w:val="000000" w:themeColor="text1"/>
                <w:sz w:val="16"/>
                <w:szCs w:val="16"/>
              </w:rPr>
              <w:t xml:space="preserve">    </w:t>
            </w:r>
            <w:r w:rsidRPr="00712950">
              <w:rPr>
                <w:rFonts w:eastAsia="Calibri" w:cs="Arial"/>
                <w:color w:val="000000" w:themeColor="text1"/>
                <w:sz w:val="16"/>
                <w:szCs w:val="16"/>
                <w:lang w:val="es"/>
              </w:rPr>
              <w:t>Florencia</w:t>
            </w:r>
          </w:p>
          <w:p w14:paraId="62E2D9CA"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89.</w:t>
            </w:r>
            <w:r w:rsidRPr="00712950">
              <w:rPr>
                <w:rFonts w:cs="Arial"/>
                <w:color w:val="000000" w:themeColor="text1"/>
                <w:sz w:val="16"/>
                <w:szCs w:val="16"/>
              </w:rPr>
              <w:t xml:space="preserve">    </w:t>
            </w:r>
            <w:r w:rsidRPr="00712950">
              <w:rPr>
                <w:rFonts w:eastAsia="Calibri" w:cs="Arial"/>
                <w:color w:val="000000" w:themeColor="text1"/>
                <w:sz w:val="16"/>
                <w:szCs w:val="16"/>
                <w:lang w:val="es"/>
              </w:rPr>
              <w:t>Piamonte</w:t>
            </w:r>
          </w:p>
          <w:p w14:paraId="33CA041C"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90.</w:t>
            </w:r>
            <w:r w:rsidRPr="00712950">
              <w:rPr>
                <w:rFonts w:cs="Arial"/>
                <w:color w:val="000000" w:themeColor="text1"/>
                <w:sz w:val="16"/>
                <w:szCs w:val="16"/>
              </w:rPr>
              <w:t xml:space="preserve">    </w:t>
            </w:r>
            <w:r w:rsidRPr="00712950">
              <w:rPr>
                <w:rFonts w:eastAsia="Calibri" w:cs="Arial"/>
                <w:color w:val="000000" w:themeColor="text1"/>
                <w:sz w:val="16"/>
                <w:szCs w:val="16"/>
                <w:lang w:val="es"/>
              </w:rPr>
              <w:t>Balboa</w:t>
            </w:r>
          </w:p>
          <w:p w14:paraId="680C64F6"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91.</w:t>
            </w:r>
            <w:r w:rsidRPr="00712950">
              <w:rPr>
                <w:rFonts w:cs="Arial"/>
                <w:color w:val="000000" w:themeColor="text1"/>
                <w:sz w:val="16"/>
                <w:szCs w:val="16"/>
              </w:rPr>
              <w:t xml:space="preserve">    </w:t>
            </w:r>
            <w:r w:rsidRPr="00712950">
              <w:rPr>
                <w:rFonts w:eastAsia="Calibri" w:cs="Arial"/>
                <w:color w:val="000000" w:themeColor="text1"/>
                <w:sz w:val="16"/>
                <w:szCs w:val="16"/>
                <w:lang w:val="es"/>
              </w:rPr>
              <w:t>Arauquita</w:t>
            </w:r>
          </w:p>
          <w:p w14:paraId="3E8A1373"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92.</w:t>
            </w:r>
            <w:r w:rsidRPr="00712950">
              <w:rPr>
                <w:rFonts w:cs="Arial"/>
                <w:color w:val="000000" w:themeColor="text1"/>
                <w:sz w:val="16"/>
                <w:szCs w:val="16"/>
              </w:rPr>
              <w:t xml:space="preserve">    </w:t>
            </w:r>
            <w:r w:rsidRPr="00712950">
              <w:rPr>
                <w:rFonts w:eastAsia="Calibri" w:cs="Arial"/>
                <w:color w:val="000000" w:themeColor="text1"/>
                <w:sz w:val="16"/>
                <w:szCs w:val="16"/>
                <w:lang w:val="es"/>
              </w:rPr>
              <w:t>Tame</w:t>
            </w:r>
          </w:p>
          <w:p w14:paraId="5218F3B3"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93.</w:t>
            </w:r>
            <w:r w:rsidRPr="00712950">
              <w:rPr>
                <w:rFonts w:cs="Arial"/>
                <w:color w:val="000000" w:themeColor="text1"/>
                <w:sz w:val="16"/>
                <w:szCs w:val="16"/>
              </w:rPr>
              <w:t xml:space="preserve">    </w:t>
            </w:r>
            <w:r w:rsidRPr="00712950">
              <w:rPr>
                <w:rFonts w:eastAsia="Calibri" w:cs="Arial"/>
                <w:color w:val="000000" w:themeColor="text1"/>
                <w:sz w:val="16"/>
                <w:szCs w:val="16"/>
                <w:lang w:val="es"/>
              </w:rPr>
              <w:t>Manaure Balcón del Cesar</w:t>
            </w:r>
          </w:p>
          <w:p w14:paraId="2249FA76"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94.</w:t>
            </w:r>
            <w:r w:rsidRPr="00712950">
              <w:rPr>
                <w:rFonts w:cs="Arial"/>
                <w:color w:val="000000" w:themeColor="text1"/>
                <w:sz w:val="16"/>
                <w:szCs w:val="16"/>
              </w:rPr>
              <w:t xml:space="preserve">    </w:t>
            </w:r>
            <w:r w:rsidRPr="00712950">
              <w:rPr>
                <w:rFonts w:eastAsia="Calibri" w:cs="Arial"/>
                <w:color w:val="000000" w:themeColor="text1"/>
                <w:sz w:val="16"/>
                <w:szCs w:val="16"/>
                <w:lang w:val="es"/>
              </w:rPr>
              <w:t>Pueblo Bello</w:t>
            </w:r>
          </w:p>
          <w:p w14:paraId="0B1A51F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95.</w:t>
            </w:r>
            <w:r w:rsidRPr="00712950">
              <w:rPr>
                <w:rFonts w:cs="Arial"/>
                <w:color w:val="000000" w:themeColor="text1"/>
                <w:sz w:val="16"/>
                <w:szCs w:val="16"/>
              </w:rPr>
              <w:t xml:space="preserve">    </w:t>
            </w:r>
            <w:r w:rsidRPr="00712950">
              <w:rPr>
                <w:rFonts w:eastAsia="Calibri" w:cs="Arial"/>
                <w:color w:val="000000" w:themeColor="text1"/>
                <w:sz w:val="16"/>
                <w:szCs w:val="16"/>
                <w:lang w:val="es"/>
              </w:rPr>
              <w:t>Tamalameque</w:t>
            </w:r>
          </w:p>
          <w:p w14:paraId="0BC6528F"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96.</w:t>
            </w:r>
            <w:r w:rsidRPr="00712950">
              <w:rPr>
                <w:rFonts w:cs="Arial"/>
                <w:color w:val="000000" w:themeColor="text1"/>
                <w:sz w:val="16"/>
                <w:szCs w:val="16"/>
              </w:rPr>
              <w:t xml:space="preserve">    </w:t>
            </w:r>
            <w:r w:rsidRPr="00712950">
              <w:rPr>
                <w:rFonts w:eastAsia="Calibri" w:cs="Arial"/>
                <w:color w:val="000000" w:themeColor="text1"/>
                <w:sz w:val="16"/>
                <w:szCs w:val="16"/>
                <w:lang w:val="es"/>
              </w:rPr>
              <w:t>El Paso</w:t>
            </w:r>
          </w:p>
          <w:p w14:paraId="525A00C7"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97.</w:t>
            </w:r>
            <w:r w:rsidRPr="00712950">
              <w:rPr>
                <w:rFonts w:cs="Arial"/>
                <w:color w:val="000000" w:themeColor="text1"/>
                <w:sz w:val="16"/>
                <w:szCs w:val="16"/>
              </w:rPr>
              <w:t xml:space="preserve">    </w:t>
            </w:r>
            <w:r w:rsidRPr="00712950">
              <w:rPr>
                <w:rFonts w:eastAsia="Calibri" w:cs="Arial"/>
                <w:color w:val="000000" w:themeColor="text1"/>
                <w:sz w:val="16"/>
                <w:szCs w:val="16"/>
                <w:lang w:val="es"/>
              </w:rPr>
              <w:t>Astrea</w:t>
            </w:r>
          </w:p>
          <w:p w14:paraId="61DCC169"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98.</w:t>
            </w:r>
            <w:r w:rsidRPr="00712950">
              <w:rPr>
                <w:rFonts w:cs="Arial"/>
                <w:color w:val="000000" w:themeColor="text1"/>
                <w:sz w:val="16"/>
                <w:szCs w:val="16"/>
              </w:rPr>
              <w:t xml:space="preserve">    </w:t>
            </w:r>
            <w:r w:rsidRPr="00712950">
              <w:rPr>
                <w:rFonts w:eastAsia="Calibri" w:cs="Arial"/>
                <w:color w:val="000000" w:themeColor="text1"/>
                <w:sz w:val="16"/>
                <w:szCs w:val="16"/>
                <w:lang w:val="es"/>
              </w:rPr>
              <w:t>Agustín Codazzi</w:t>
            </w:r>
          </w:p>
          <w:p w14:paraId="6CF4C14B"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99.</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Diego</w:t>
            </w:r>
          </w:p>
          <w:p w14:paraId="04A84685"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100.</w:t>
            </w:r>
            <w:r w:rsidRPr="00712950">
              <w:rPr>
                <w:rFonts w:cs="Arial"/>
                <w:color w:val="000000" w:themeColor="text1"/>
                <w:sz w:val="16"/>
                <w:szCs w:val="16"/>
              </w:rPr>
              <w:t xml:space="preserve"> </w:t>
            </w:r>
            <w:r w:rsidRPr="00712950">
              <w:rPr>
                <w:rFonts w:eastAsia="Calibri" w:cs="Arial"/>
                <w:color w:val="000000" w:themeColor="text1"/>
                <w:sz w:val="16"/>
                <w:szCs w:val="16"/>
                <w:lang w:val="es"/>
              </w:rPr>
              <w:t>Becerril</w:t>
            </w:r>
          </w:p>
          <w:p w14:paraId="46A621ED"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101.</w:t>
            </w:r>
            <w:r w:rsidRPr="00712950">
              <w:rPr>
                <w:rFonts w:cs="Arial"/>
                <w:color w:val="000000" w:themeColor="text1"/>
                <w:sz w:val="16"/>
                <w:szCs w:val="16"/>
              </w:rPr>
              <w:t xml:space="preserve"> </w:t>
            </w:r>
            <w:r w:rsidRPr="00712950">
              <w:rPr>
                <w:rFonts w:eastAsia="Calibri" w:cs="Arial"/>
                <w:color w:val="000000" w:themeColor="text1"/>
                <w:sz w:val="16"/>
                <w:szCs w:val="16"/>
                <w:lang w:val="es"/>
              </w:rPr>
              <w:t>Leiva</w:t>
            </w:r>
          </w:p>
          <w:p w14:paraId="6E70511E"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102.</w:t>
            </w:r>
            <w:r w:rsidRPr="00712950">
              <w:rPr>
                <w:rFonts w:cs="Arial"/>
                <w:color w:val="000000" w:themeColor="text1"/>
                <w:sz w:val="16"/>
                <w:szCs w:val="16"/>
              </w:rPr>
              <w:t xml:space="preserve"> </w:t>
            </w:r>
            <w:r w:rsidRPr="00712950">
              <w:rPr>
                <w:rFonts w:eastAsia="Calibri" w:cs="Arial"/>
                <w:color w:val="000000" w:themeColor="text1"/>
                <w:sz w:val="16"/>
                <w:szCs w:val="16"/>
                <w:lang w:val="es"/>
              </w:rPr>
              <w:t>El Rosario</w:t>
            </w:r>
          </w:p>
          <w:p w14:paraId="65E4EBCD"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103.</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Andrés de Tumaco</w:t>
            </w:r>
          </w:p>
          <w:p w14:paraId="1A36F3B6"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104.</w:t>
            </w:r>
            <w:r w:rsidRPr="00712950">
              <w:rPr>
                <w:rFonts w:cs="Arial"/>
                <w:color w:val="000000" w:themeColor="text1"/>
                <w:sz w:val="16"/>
                <w:szCs w:val="16"/>
              </w:rPr>
              <w:t xml:space="preserve"> </w:t>
            </w:r>
            <w:r w:rsidRPr="00712950">
              <w:rPr>
                <w:rFonts w:eastAsia="Calibri" w:cs="Arial"/>
                <w:color w:val="000000" w:themeColor="text1"/>
                <w:sz w:val="16"/>
                <w:szCs w:val="16"/>
                <w:lang w:val="es"/>
              </w:rPr>
              <w:t>Cumbitara</w:t>
            </w:r>
          </w:p>
          <w:p w14:paraId="49305798"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105.</w:t>
            </w:r>
            <w:r w:rsidRPr="00712950">
              <w:rPr>
                <w:rFonts w:cs="Arial"/>
                <w:color w:val="000000" w:themeColor="text1"/>
                <w:sz w:val="16"/>
                <w:szCs w:val="16"/>
              </w:rPr>
              <w:t xml:space="preserve"> </w:t>
            </w:r>
            <w:r w:rsidRPr="00712950">
              <w:rPr>
                <w:rFonts w:eastAsia="Calibri" w:cs="Arial"/>
                <w:color w:val="000000" w:themeColor="text1"/>
                <w:sz w:val="16"/>
                <w:szCs w:val="16"/>
                <w:lang w:val="es"/>
              </w:rPr>
              <w:t>Topaipí</w:t>
            </w:r>
          </w:p>
          <w:p w14:paraId="5E9D5130"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106.</w:t>
            </w:r>
            <w:r w:rsidRPr="00712950">
              <w:rPr>
                <w:rFonts w:cs="Arial"/>
                <w:color w:val="000000" w:themeColor="text1"/>
                <w:sz w:val="16"/>
                <w:szCs w:val="16"/>
              </w:rPr>
              <w:t xml:space="preserve"> </w:t>
            </w:r>
            <w:r w:rsidRPr="00712950">
              <w:rPr>
                <w:rFonts w:eastAsia="Calibri" w:cs="Arial"/>
                <w:color w:val="000000" w:themeColor="text1"/>
                <w:sz w:val="16"/>
                <w:szCs w:val="16"/>
                <w:lang w:val="es"/>
              </w:rPr>
              <w:t>Ricaurte</w:t>
            </w:r>
          </w:p>
          <w:p w14:paraId="544078A6"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107.</w:t>
            </w:r>
            <w:r w:rsidRPr="00712950">
              <w:rPr>
                <w:rFonts w:cs="Arial"/>
                <w:color w:val="000000" w:themeColor="text1"/>
                <w:sz w:val="16"/>
                <w:szCs w:val="16"/>
              </w:rPr>
              <w:t xml:space="preserve"> </w:t>
            </w:r>
            <w:r w:rsidRPr="00712950">
              <w:rPr>
                <w:rFonts w:eastAsia="Calibri" w:cs="Arial"/>
                <w:color w:val="000000" w:themeColor="text1"/>
                <w:sz w:val="16"/>
                <w:szCs w:val="16"/>
                <w:lang w:val="es"/>
              </w:rPr>
              <w:t>Chalán</w:t>
            </w:r>
          </w:p>
          <w:p w14:paraId="48616CD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108.</w:t>
            </w:r>
            <w:r w:rsidRPr="00712950">
              <w:rPr>
                <w:rFonts w:cs="Arial"/>
                <w:color w:val="000000" w:themeColor="text1"/>
                <w:sz w:val="16"/>
                <w:szCs w:val="16"/>
              </w:rPr>
              <w:t xml:space="preserve"> </w:t>
            </w:r>
            <w:r w:rsidRPr="00712950">
              <w:rPr>
                <w:rFonts w:eastAsia="Calibri" w:cs="Arial"/>
                <w:color w:val="000000" w:themeColor="text1"/>
                <w:sz w:val="16"/>
                <w:szCs w:val="16"/>
                <w:lang w:val="es"/>
              </w:rPr>
              <w:t>Morroa</w:t>
            </w:r>
          </w:p>
          <w:p w14:paraId="5C98791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109.</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Marcos</w:t>
            </w:r>
          </w:p>
          <w:p w14:paraId="60699E00"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110.</w:t>
            </w:r>
            <w:r w:rsidRPr="00712950">
              <w:rPr>
                <w:rFonts w:cs="Arial"/>
                <w:color w:val="000000" w:themeColor="text1"/>
                <w:sz w:val="16"/>
                <w:szCs w:val="16"/>
              </w:rPr>
              <w:t xml:space="preserve"> </w:t>
            </w:r>
            <w:r w:rsidRPr="00712950">
              <w:rPr>
                <w:rFonts w:eastAsia="Calibri" w:cs="Arial"/>
                <w:color w:val="000000" w:themeColor="text1"/>
                <w:sz w:val="16"/>
                <w:szCs w:val="16"/>
                <w:lang w:val="es"/>
              </w:rPr>
              <w:t>Los Palmitos</w:t>
            </w:r>
          </w:p>
          <w:p w14:paraId="4EDF4682"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111.</w:t>
            </w:r>
            <w:r w:rsidRPr="00712950">
              <w:rPr>
                <w:rFonts w:cs="Arial"/>
                <w:color w:val="000000" w:themeColor="text1"/>
                <w:sz w:val="16"/>
                <w:szCs w:val="16"/>
              </w:rPr>
              <w:t xml:space="preserve"> </w:t>
            </w:r>
            <w:r w:rsidRPr="00712950">
              <w:rPr>
                <w:rFonts w:eastAsia="Calibri" w:cs="Arial"/>
                <w:color w:val="000000" w:themeColor="text1"/>
                <w:sz w:val="16"/>
                <w:szCs w:val="16"/>
                <w:lang w:val="es"/>
              </w:rPr>
              <w:t>Palmito</w:t>
            </w:r>
          </w:p>
          <w:p w14:paraId="66A0C144"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112.</w:t>
            </w:r>
            <w:r w:rsidRPr="00712950">
              <w:rPr>
                <w:rFonts w:cs="Arial"/>
                <w:color w:val="000000" w:themeColor="text1"/>
                <w:sz w:val="16"/>
                <w:szCs w:val="16"/>
              </w:rPr>
              <w:t xml:space="preserve"> </w:t>
            </w:r>
            <w:r w:rsidRPr="00712950">
              <w:rPr>
                <w:rFonts w:eastAsia="Calibri" w:cs="Arial"/>
                <w:color w:val="000000" w:themeColor="text1"/>
                <w:sz w:val="16"/>
                <w:szCs w:val="16"/>
                <w:lang w:val="es"/>
              </w:rPr>
              <w:t>Tolú Viejo</w:t>
            </w:r>
          </w:p>
          <w:p w14:paraId="402337F4"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113.</w:t>
            </w:r>
            <w:r w:rsidRPr="00712950">
              <w:rPr>
                <w:rFonts w:cs="Arial"/>
                <w:color w:val="000000" w:themeColor="text1"/>
                <w:sz w:val="16"/>
                <w:szCs w:val="16"/>
              </w:rPr>
              <w:t xml:space="preserve"> </w:t>
            </w:r>
            <w:r w:rsidRPr="00712950">
              <w:rPr>
                <w:rFonts w:eastAsia="Calibri" w:cs="Arial"/>
                <w:color w:val="000000" w:themeColor="text1"/>
                <w:sz w:val="16"/>
                <w:szCs w:val="16"/>
                <w:lang w:val="es"/>
              </w:rPr>
              <w:t>Mocoa</w:t>
            </w:r>
          </w:p>
          <w:p w14:paraId="222654D9"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114.</w:t>
            </w:r>
            <w:r w:rsidRPr="00712950">
              <w:rPr>
                <w:rFonts w:cs="Arial"/>
                <w:color w:val="000000" w:themeColor="text1"/>
                <w:sz w:val="16"/>
                <w:szCs w:val="16"/>
              </w:rPr>
              <w:t xml:space="preserve"> </w:t>
            </w:r>
            <w:r w:rsidRPr="00712950">
              <w:rPr>
                <w:rFonts w:eastAsia="Calibri" w:cs="Arial"/>
                <w:color w:val="000000" w:themeColor="text1"/>
                <w:sz w:val="16"/>
                <w:szCs w:val="16"/>
                <w:lang w:val="es"/>
              </w:rPr>
              <w:t>Puerto Guzmán</w:t>
            </w:r>
          </w:p>
          <w:p w14:paraId="3391CE11" w14:textId="77777777" w:rsidR="007B7514" w:rsidRPr="00712950" w:rsidRDefault="007B7514" w:rsidP="00A6302C">
            <w:pPr>
              <w:ind w:left="360" w:hanging="360"/>
              <w:cnfStyle w:val="000000000000" w:firstRow="0" w:lastRow="0" w:firstColumn="0" w:lastColumn="0" w:oddVBand="0" w:evenVBand="0" w:oddHBand="0" w:evenHBand="0" w:firstRowFirstColumn="0" w:firstRowLastColumn="0" w:lastRowFirstColumn="0" w:lastRowLastColumn="0"/>
              <w:rPr>
                <w:rFonts w:cs="Arial"/>
                <w:sz w:val="16"/>
                <w:szCs w:val="16"/>
              </w:rPr>
            </w:pPr>
            <w:r w:rsidRPr="00712950">
              <w:rPr>
                <w:rFonts w:eastAsia="Calibri" w:cs="Arial"/>
                <w:color w:val="000000" w:themeColor="text1"/>
                <w:sz w:val="16"/>
                <w:szCs w:val="16"/>
              </w:rPr>
              <w:t>115.</w:t>
            </w:r>
            <w:r w:rsidRPr="00712950">
              <w:rPr>
                <w:rFonts w:cs="Arial"/>
                <w:color w:val="000000" w:themeColor="text1"/>
                <w:sz w:val="16"/>
                <w:szCs w:val="16"/>
              </w:rPr>
              <w:t xml:space="preserve"> </w:t>
            </w:r>
            <w:r w:rsidRPr="00712950">
              <w:rPr>
                <w:rFonts w:eastAsia="Calibri" w:cs="Arial"/>
                <w:color w:val="000000" w:themeColor="text1"/>
                <w:sz w:val="16"/>
                <w:szCs w:val="16"/>
                <w:lang w:val="es"/>
              </w:rPr>
              <w:t>San Miguel</w:t>
            </w:r>
          </w:p>
          <w:p w14:paraId="7B9B35B8" w14:textId="77777777" w:rsidR="007B7514" w:rsidRPr="00712950" w:rsidRDefault="007B7514" w:rsidP="000A20EE">
            <w:pPr>
              <w:pStyle w:val="Prrafodelista"/>
              <w:numPr>
                <w:ilvl w:val="0"/>
                <w:numId w:val="20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16"/>
                <w:szCs w:val="16"/>
              </w:rPr>
            </w:pPr>
            <w:r w:rsidRPr="00712950">
              <w:rPr>
                <w:rFonts w:cs="Arial"/>
                <w:color w:val="000000" w:themeColor="text1"/>
                <w:sz w:val="16"/>
                <w:szCs w:val="16"/>
                <w:lang w:val="es"/>
              </w:rPr>
              <w:t>Valle Del Guamuez</w:t>
            </w:r>
          </w:p>
        </w:tc>
      </w:tr>
    </w:tbl>
    <w:p w14:paraId="29E6E15A" w14:textId="77777777" w:rsidR="007B7514" w:rsidRPr="005E32CF" w:rsidRDefault="007B7514" w:rsidP="007B7514">
      <w:pPr>
        <w:jc w:val="center"/>
        <w:rPr>
          <w:rFonts w:eastAsia="Arial" w:cs="Arial"/>
          <w:b/>
          <w:bCs/>
          <w:color w:val="000000" w:themeColor="text1"/>
          <w:sz w:val="16"/>
          <w:szCs w:val="16"/>
          <w:lang w:val="es-MX"/>
        </w:rPr>
      </w:pPr>
      <w:r w:rsidRPr="005E32CF">
        <w:rPr>
          <w:rFonts w:eastAsia="Arial" w:cs="Arial"/>
          <w:b/>
          <w:bCs/>
          <w:color w:val="000000" w:themeColor="text1"/>
          <w:sz w:val="16"/>
          <w:szCs w:val="16"/>
          <w:lang w:val="es-MX"/>
        </w:rPr>
        <w:t>Fuente: IGAC. Dirección de Gestión de la Información Geográfica</w:t>
      </w:r>
    </w:p>
    <w:p w14:paraId="5FE820F8" w14:textId="30459302" w:rsidR="007B7514" w:rsidRPr="00A93FC3" w:rsidRDefault="00A93FC3" w:rsidP="00A93FC3">
      <w:pPr>
        <w:jc w:val="center"/>
        <w:rPr>
          <w:rFonts w:eastAsia="Arial" w:cs="Arial"/>
          <w:b/>
          <w:bCs/>
          <w:color w:val="000000" w:themeColor="text1"/>
          <w:sz w:val="16"/>
          <w:szCs w:val="16"/>
          <w:lang w:val="es-MX"/>
        </w:rPr>
      </w:pPr>
      <w:r>
        <w:rPr>
          <w:rFonts w:eastAsia="Arial" w:cs="Arial"/>
          <w:b/>
          <w:bCs/>
          <w:color w:val="000000" w:themeColor="text1"/>
          <w:sz w:val="16"/>
          <w:szCs w:val="16"/>
          <w:lang w:val="es-MX"/>
        </w:rPr>
        <w:t xml:space="preserve"> </w:t>
      </w:r>
    </w:p>
    <w:p w14:paraId="6745C666" w14:textId="77777777" w:rsidR="007B7514" w:rsidRPr="00A93FC3" w:rsidRDefault="007B7514" w:rsidP="007B7514">
      <w:pPr>
        <w:rPr>
          <w:b/>
          <w:iCs/>
          <w:sz w:val="22"/>
        </w:rPr>
      </w:pPr>
      <w:r w:rsidRPr="00A93FC3">
        <w:rPr>
          <w:rFonts w:eastAsia="Arial"/>
          <w:b/>
          <w:iCs/>
          <w:sz w:val="22"/>
        </w:rPr>
        <w:t>INFORMACIÓN DE CLASES AGROLÓGICAS</w:t>
      </w:r>
    </w:p>
    <w:p w14:paraId="7AD91E01" w14:textId="77777777" w:rsidR="007B7514" w:rsidRDefault="007B7514" w:rsidP="007B7514">
      <w:pPr>
        <w:jc w:val="both"/>
      </w:pPr>
      <w:r w:rsidRPr="31FF9146">
        <w:rPr>
          <w:rFonts w:ascii="Times New Roman" w:hAnsi="Times New Roman"/>
          <w:color w:val="000000" w:themeColor="text1"/>
          <w:sz w:val="22"/>
          <w:szCs w:val="22"/>
        </w:rPr>
        <w:t xml:space="preserve"> </w:t>
      </w:r>
    </w:p>
    <w:p w14:paraId="7660FC3A" w14:textId="77777777" w:rsidR="007B7514" w:rsidRDefault="007B7514" w:rsidP="007B7514">
      <w:pPr>
        <w:spacing w:line="240" w:lineRule="exact"/>
        <w:jc w:val="both"/>
      </w:pPr>
      <w:r w:rsidRPr="31FF9146">
        <w:rPr>
          <w:rFonts w:eastAsia="Arial" w:cs="Arial"/>
          <w:color w:val="000000" w:themeColor="text1"/>
          <w:sz w:val="22"/>
          <w:szCs w:val="22"/>
        </w:rPr>
        <w:t>Entre las vigencias 2020 y 2021 se han atendido en total 83 solicitudes relacionadas con información de clases agrológicas y referentes a uso del suelo.</w:t>
      </w:r>
      <w:r>
        <w:rPr>
          <w:rFonts w:eastAsia="Arial" w:cs="Arial"/>
          <w:color w:val="000000" w:themeColor="text1"/>
          <w:sz w:val="22"/>
          <w:szCs w:val="22"/>
        </w:rPr>
        <w:t xml:space="preserve"> </w:t>
      </w:r>
      <w:r w:rsidRPr="31FF9146">
        <w:rPr>
          <w:rFonts w:eastAsia="Arial" w:cs="Arial"/>
          <w:color w:val="000000" w:themeColor="text1"/>
          <w:sz w:val="22"/>
          <w:szCs w:val="22"/>
        </w:rPr>
        <w:t xml:space="preserve">La información de clases agrologicas es la respuesta que la Subdirección de Agrología da a los usuarios solicitantes de la misma; consiste en indicarle al usuario en que clase (s) agrológica (s) se encuentran el predio (s) con base en el estudio de suelos más reciente que exista para el sector donde se encuentra ubicado el predio. </w:t>
      </w:r>
    </w:p>
    <w:p w14:paraId="01B9449F" w14:textId="77777777" w:rsidR="007B7514" w:rsidRDefault="007B7514" w:rsidP="007B7514">
      <w:pPr>
        <w:jc w:val="both"/>
        <w:rPr>
          <w:rFonts w:ascii="Calibri" w:eastAsia="Calibri" w:hAnsi="Calibri" w:cs="Calibri"/>
          <w:color w:val="000000" w:themeColor="text1"/>
        </w:rPr>
      </w:pPr>
      <w:r w:rsidRPr="31FF9146">
        <w:rPr>
          <w:rFonts w:ascii="Calibri" w:eastAsia="Calibri" w:hAnsi="Calibri" w:cs="Calibri"/>
          <w:color w:val="000000" w:themeColor="text1"/>
        </w:rPr>
        <w:t xml:space="preserve"> </w:t>
      </w:r>
    </w:p>
    <w:p w14:paraId="3B8A2B81" w14:textId="77777777" w:rsidR="007B7514" w:rsidRDefault="007B7514" w:rsidP="007B7514">
      <w:pPr>
        <w:jc w:val="both"/>
        <w:rPr>
          <w:rFonts w:ascii="Calibri" w:eastAsia="Calibri" w:hAnsi="Calibri" w:cs="Calibri"/>
          <w:color w:val="000000" w:themeColor="text1"/>
        </w:rPr>
      </w:pPr>
    </w:p>
    <w:p w14:paraId="2A2E81ED" w14:textId="5E7D3144" w:rsidR="00350BFA" w:rsidRPr="00350BFA" w:rsidRDefault="00350BFA" w:rsidP="00350BFA">
      <w:pPr>
        <w:pStyle w:val="Descripcin"/>
        <w:keepNext/>
        <w:jc w:val="center"/>
        <w:rPr>
          <w:rFonts w:ascii="Arial" w:hAnsi="Arial" w:cs="Arial"/>
          <w:b/>
          <w:bCs/>
          <w:i w:val="0"/>
          <w:iCs w:val="0"/>
          <w:color w:val="auto"/>
          <w:sz w:val="16"/>
          <w:szCs w:val="16"/>
        </w:rPr>
      </w:pPr>
      <w:bookmarkStart w:id="117" w:name="_Toc88677110"/>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38</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Solicitudes atendidas 2020-2021</w:t>
      </w:r>
      <w:bookmarkEnd w:id="117"/>
    </w:p>
    <w:tbl>
      <w:tblPr>
        <w:tblStyle w:val="Tabladecuadrcula4-nfasis1"/>
        <w:tblW w:w="0" w:type="auto"/>
        <w:jc w:val="center"/>
        <w:tblLayout w:type="fixed"/>
        <w:tblLook w:val="06A0" w:firstRow="1" w:lastRow="0" w:firstColumn="1" w:lastColumn="0" w:noHBand="1" w:noVBand="1"/>
      </w:tblPr>
      <w:tblGrid>
        <w:gridCol w:w="1320"/>
        <w:gridCol w:w="2355"/>
      </w:tblGrid>
      <w:tr w:rsidR="007B7514" w14:paraId="07D53ED7" w14:textId="77777777" w:rsidTr="00A6302C">
        <w:trPr>
          <w:cnfStyle w:val="100000000000" w:firstRow="1" w:lastRow="0" w:firstColumn="0" w:lastColumn="0" w:oddVBand="0" w:evenVBand="0" w:oddHBand="0" w:evenHBand="0" w:firstRowFirstColumn="0" w:firstRowLastColumn="0" w:lastRowFirstColumn="0" w:lastRowLastColumn="0"/>
          <w:trHeight w:val="592"/>
          <w:jc w:val="center"/>
        </w:trPr>
        <w:tc>
          <w:tcPr>
            <w:cnfStyle w:val="001000000000" w:firstRow="0" w:lastRow="0" w:firstColumn="1" w:lastColumn="0" w:oddVBand="0" w:evenVBand="0" w:oddHBand="0" w:evenHBand="0" w:firstRowFirstColumn="0" w:firstRowLastColumn="0" w:lastRowFirstColumn="0" w:lastRowLastColumn="0"/>
            <w:tcW w:w="1320" w:type="dxa"/>
          </w:tcPr>
          <w:p w14:paraId="66A48771" w14:textId="77777777" w:rsidR="007B7514" w:rsidRDefault="007B7514" w:rsidP="00A6302C">
            <w:pPr>
              <w:jc w:val="center"/>
            </w:pPr>
            <w:r w:rsidRPr="31FF9146">
              <w:rPr>
                <w:rFonts w:eastAsia="Arial" w:cs="Arial"/>
                <w:sz w:val="20"/>
                <w:szCs w:val="20"/>
              </w:rPr>
              <w:t>Vigencia /</w:t>
            </w:r>
          </w:p>
          <w:p w14:paraId="50ECE460" w14:textId="77777777" w:rsidR="007B7514" w:rsidRDefault="007B7514" w:rsidP="00A6302C">
            <w:pPr>
              <w:jc w:val="center"/>
            </w:pPr>
            <w:r w:rsidRPr="31FF9146">
              <w:rPr>
                <w:rFonts w:eastAsia="Arial" w:cs="Arial"/>
                <w:sz w:val="20"/>
                <w:szCs w:val="20"/>
              </w:rPr>
              <w:t>solicitudes</w:t>
            </w:r>
          </w:p>
        </w:tc>
        <w:tc>
          <w:tcPr>
            <w:tcW w:w="2355" w:type="dxa"/>
          </w:tcPr>
          <w:p w14:paraId="2B02070D"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0"/>
                <w:szCs w:val="20"/>
                <w:lang w:val="es"/>
              </w:rPr>
              <w:t>Información de Clases Agrológicas</w:t>
            </w:r>
          </w:p>
        </w:tc>
      </w:tr>
      <w:tr w:rsidR="007B7514" w14:paraId="55110E80"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1320" w:type="dxa"/>
          </w:tcPr>
          <w:p w14:paraId="1AD86BAA" w14:textId="77777777" w:rsidR="007B7514" w:rsidRDefault="007B7514" w:rsidP="00A6302C">
            <w:pPr>
              <w:jc w:val="center"/>
            </w:pPr>
            <w:r w:rsidRPr="31FF9146">
              <w:rPr>
                <w:rFonts w:eastAsia="Arial" w:cs="Arial"/>
                <w:sz w:val="20"/>
                <w:szCs w:val="20"/>
              </w:rPr>
              <w:t>2020</w:t>
            </w:r>
          </w:p>
        </w:tc>
        <w:tc>
          <w:tcPr>
            <w:tcW w:w="2355" w:type="dxa"/>
          </w:tcPr>
          <w:p w14:paraId="7BA71D0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20"/>
                <w:szCs w:val="20"/>
              </w:rPr>
              <w:t>31</w:t>
            </w:r>
          </w:p>
        </w:tc>
      </w:tr>
      <w:tr w:rsidR="007B7514" w14:paraId="386AB61F"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1320" w:type="dxa"/>
          </w:tcPr>
          <w:p w14:paraId="0A661BA5" w14:textId="77777777" w:rsidR="007B7514" w:rsidRDefault="007B7514" w:rsidP="00A6302C">
            <w:pPr>
              <w:jc w:val="center"/>
            </w:pPr>
            <w:r w:rsidRPr="31FF9146">
              <w:rPr>
                <w:rFonts w:eastAsia="Arial" w:cs="Arial"/>
                <w:sz w:val="20"/>
                <w:szCs w:val="20"/>
              </w:rPr>
              <w:t>2021</w:t>
            </w:r>
          </w:p>
        </w:tc>
        <w:tc>
          <w:tcPr>
            <w:tcW w:w="2355" w:type="dxa"/>
          </w:tcPr>
          <w:p w14:paraId="0A3F45F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sz w:val="20"/>
                <w:szCs w:val="20"/>
              </w:rPr>
              <w:t>52</w:t>
            </w:r>
          </w:p>
        </w:tc>
      </w:tr>
    </w:tbl>
    <w:p w14:paraId="70D983FF" w14:textId="77777777" w:rsidR="007B7514" w:rsidRPr="005E32CF" w:rsidRDefault="007B7514" w:rsidP="007B7514">
      <w:pPr>
        <w:jc w:val="center"/>
        <w:rPr>
          <w:rFonts w:eastAsia="Arial" w:cs="Arial"/>
          <w:b/>
          <w:bCs/>
          <w:color w:val="000000" w:themeColor="text1"/>
          <w:sz w:val="16"/>
          <w:szCs w:val="16"/>
          <w:lang w:val="es-MX"/>
        </w:rPr>
      </w:pPr>
      <w:r w:rsidRPr="005E32CF">
        <w:rPr>
          <w:rFonts w:eastAsia="Arial" w:cs="Arial"/>
          <w:b/>
          <w:bCs/>
          <w:color w:val="000000" w:themeColor="text1"/>
          <w:sz w:val="16"/>
          <w:szCs w:val="16"/>
          <w:lang w:val="es-MX"/>
        </w:rPr>
        <w:t>Fuente: IGAC. Dirección de Gestión de la Información Geográfica</w:t>
      </w:r>
    </w:p>
    <w:p w14:paraId="03EE86FF" w14:textId="53336B2B" w:rsidR="007B7514" w:rsidRPr="00A93FC3" w:rsidRDefault="007B7514" w:rsidP="007B7514">
      <w:r w:rsidRPr="31FF9146">
        <w:rPr>
          <w:rFonts w:eastAsia="Arial"/>
        </w:rPr>
        <w:lastRenderedPageBreak/>
        <w:t xml:space="preserve"> </w:t>
      </w:r>
    </w:p>
    <w:p w14:paraId="70BD890D" w14:textId="77777777" w:rsidR="007B7514" w:rsidRPr="003A08CF" w:rsidRDefault="007B7514" w:rsidP="007B7514">
      <w:pPr>
        <w:rPr>
          <w:rFonts w:eastAsia="Arial"/>
          <w:b/>
          <w:sz w:val="22"/>
          <w:szCs w:val="22"/>
        </w:rPr>
      </w:pPr>
      <w:r w:rsidRPr="003A08CF">
        <w:rPr>
          <w:rFonts w:eastAsia="Arial"/>
          <w:b/>
          <w:sz w:val="22"/>
          <w:szCs w:val="22"/>
        </w:rPr>
        <w:t>MAPA NACIONAL DE SUELOS</w:t>
      </w:r>
    </w:p>
    <w:p w14:paraId="323F9C34" w14:textId="77777777" w:rsidR="007B7514" w:rsidRDefault="007B7514" w:rsidP="007B7514">
      <w:pPr>
        <w:jc w:val="both"/>
      </w:pPr>
      <w:r w:rsidRPr="31FF9146">
        <w:rPr>
          <w:rFonts w:ascii="Times New Roman" w:hAnsi="Times New Roman"/>
          <w:color w:val="000000" w:themeColor="text1"/>
          <w:sz w:val="22"/>
          <w:szCs w:val="22"/>
        </w:rPr>
        <w:t xml:space="preserve"> </w:t>
      </w:r>
    </w:p>
    <w:p w14:paraId="4D5840B2" w14:textId="77777777" w:rsidR="007B7514" w:rsidRDefault="007B7514" w:rsidP="007B7514">
      <w:pPr>
        <w:jc w:val="both"/>
      </w:pPr>
      <w:r w:rsidRPr="31FF9146">
        <w:rPr>
          <w:rFonts w:eastAsia="Arial" w:cs="Arial"/>
          <w:color w:val="000000" w:themeColor="text1"/>
          <w:sz w:val="22"/>
          <w:szCs w:val="22"/>
        </w:rPr>
        <w:t xml:space="preserve">Con el desarrollo de los estudios de suelos a diferentes escalas y la generación de información agrológica y analítica de suelos, se publicó el </w:t>
      </w:r>
      <w:r w:rsidRPr="31FF9146">
        <w:rPr>
          <w:rFonts w:eastAsia="Arial" w:cs="Arial"/>
          <w:i/>
          <w:iCs/>
          <w:color w:val="000000" w:themeColor="text1"/>
          <w:sz w:val="22"/>
          <w:szCs w:val="22"/>
        </w:rPr>
        <w:t>Mapa Nacional de Stock De Carbono Orgánico</w:t>
      </w:r>
      <w:r w:rsidRPr="31FF9146">
        <w:rPr>
          <w:rFonts w:eastAsia="Arial" w:cs="Arial"/>
          <w:color w:val="000000" w:themeColor="text1"/>
          <w:sz w:val="22"/>
          <w:szCs w:val="22"/>
        </w:rPr>
        <w:t>, el cual fue elaborado a través de la Alianza Mundial por los Suelos liderada por la FAO y con la participación de diferentes entidades como el Instituto Geográfico Agustín Codazzi (IGAC), Universidad Pedagógica y Tecnológica de Colombia (UPTC), Instituto de Hidrología, Meteorología y Estudios Ambientales  (IDEAM) y la Corporación Colombiana de Investigación Agropecuaria (AGROSAVIA). Este mapa permite conocer la distribución del carbono orgánico del suelo a nivel nacional y así utilizarlo como insumo para la toma de decisiones en términos ambientales, de gestión del territorio y productividad agrícola, lo cual favorecerá el manejo y conservación de los suelos del país.</w:t>
      </w:r>
    </w:p>
    <w:p w14:paraId="776E7A18" w14:textId="76A323B7" w:rsidR="007B7514" w:rsidRDefault="007B7514" w:rsidP="007B7514"/>
    <w:p w14:paraId="644EDBDC" w14:textId="77777777" w:rsidR="007B7514" w:rsidRPr="003A08CF" w:rsidRDefault="007B7514" w:rsidP="007B7514">
      <w:pPr>
        <w:rPr>
          <w:rFonts w:eastAsia="Arial"/>
          <w:b/>
          <w:sz w:val="22"/>
          <w:szCs w:val="22"/>
        </w:rPr>
      </w:pPr>
      <w:r w:rsidRPr="31FF9146">
        <w:rPr>
          <w:rFonts w:ascii="Symbol" w:eastAsia="Symbol" w:hAnsi="Symbol" w:cs="Symbol"/>
        </w:rPr>
        <w:t></w:t>
      </w:r>
      <w:r w:rsidRPr="31FF9146">
        <w:rPr>
          <w:rFonts w:ascii="Times New Roman" w:hAnsi="Times New Roman"/>
          <w:sz w:val="14"/>
          <w:szCs w:val="14"/>
        </w:rPr>
        <w:t xml:space="preserve">        </w:t>
      </w:r>
      <w:r w:rsidRPr="003A08CF">
        <w:rPr>
          <w:rFonts w:eastAsia="Arial"/>
          <w:b/>
          <w:sz w:val="22"/>
          <w:szCs w:val="22"/>
        </w:rPr>
        <w:t>LABORATORIO NACIONAL DE SUELOS (LNS)</w:t>
      </w:r>
    </w:p>
    <w:p w14:paraId="40556B8D" w14:textId="77777777" w:rsidR="007B7514" w:rsidRDefault="007B7514" w:rsidP="007B7514">
      <w:pPr>
        <w:jc w:val="both"/>
      </w:pPr>
      <w:r w:rsidRPr="31FF9146">
        <w:rPr>
          <w:rFonts w:eastAsia="Arial" w:cs="Arial"/>
          <w:color w:val="000000" w:themeColor="text1"/>
          <w:sz w:val="22"/>
          <w:szCs w:val="22"/>
          <w:lang w:val="es"/>
        </w:rPr>
        <w:t xml:space="preserve"> </w:t>
      </w:r>
    </w:p>
    <w:p w14:paraId="280BD7E4" w14:textId="77777777" w:rsidR="007B7514" w:rsidRDefault="007B7514" w:rsidP="007B7514">
      <w:pPr>
        <w:jc w:val="both"/>
      </w:pPr>
      <w:r w:rsidRPr="31FF9146">
        <w:rPr>
          <w:rFonts w:eastAsia="Arial" w:cs="Arial"/>
          <w:color w:val="000000" w:themeColor="text1"/>
          <w:sz w:val="22"/>
          <w:szCs w:val="22"/>
          <w:lang w:val="es"/>
        </w:rPr>
        <w:t>Realizar el análisis de muestras de suelos de clientes tanto internos como externos y el lograr la acreditación del Laboratorio Nacional de Suelos según la norma ISO 17025:2017, fueron los objetivos propuestos alcanzar dentro del cuatrienio, por lo tanto, a continuación, se relaciona la gestión llevada a cabo con corte a 31 de octubre de 2021:</w:t>
      </w:r>
    </w:p>
    <w:p w14:paraId="0B16949C" w14:textId="2992C75D" w:rsidR="007B7514" w:rsidRPr="00A93FC3" w:rsidRDefault="007B7514" w:rsidP="007B7514">
      <w:pPr>
        <w:jc w:val="both"/>
        <w:rPr>
          <w:rFonts w:eastAsia="Arial" w:cs="Arial"/>
          <w:color w:val="222222"/>
          <w:sz w:val="22"/>
          <w:szCs w:val="22"/>
          <w:lang w:val="es"/>
        </w:rPr>
      </w:pPr>
      <w:r w:rsidRPr="31FF9146">
        <w:rPr>
          <w:rFonts w:eastAsia="Arial" w:cs="Arial"/>
          <w:color w:val="222222"/>
          <w:sz w:val="22"/>
          <w:szCs w:val="22"/>
          <w:lang w:val="es"/>
        </w:rPr>
        <w:t xml:space="preserve"> </w:t>
      </w:r>
    </w:p>
    <w:p w14:paraId="7C4FE807" w14:textId="77777777" w:rsidR="007B7514" w:rsidRPr="003A08CF" w:rsidRDefault="007B7514" w:rsidP="007B7514">
      <w:pPr>
        <w:rPr>
          <w:rFonts w:eastAsia="Arial"/>
          <w:b/>
          <w:sz w:val="22"/>
          <w:szCs w:val="22"/>
        </w:rPr>
      </w:pPr>
      <w:r w:rsidRPr="003A08CF">
        <w:rPr>
          <w:rFonts w:eastAsia="Arial"/>
          <w:b/>
          <w:sz w:val="22"/>
          <w:szCs w:val="22"/>
        </w:rPr>
        <w:t>SOLICITUDES DE ANÁLISIS</w:t>
      </w:r>
    </w:p>
    <w:p w14:paraId="20856010" w14:textId="77777777" w:rsidR="007B7514" w:rsidRDefault="007B7514" w:rsidP="007B7514">
      <w:pPr>
        <w:jc w:val="both"/>
      </w:pPr>
      <w:r w:rsidRPr="31FF9146">
        <w:rPr>
          <w:rFonts w:ascii="Times New Roman" w:hAnsi="Times New Roman"/>
          <w:color w:val="000000" w:themeColor="text1"/>
          <w:sz w:val="22"/>
          <w:szCs w:val="22"/>
        </w:rPr>
        <w:t xml:space="preserve"> </w:t>
      </w:r>
    </w:p>
    <w:p w14:paraId="37C301AE" w14:textId="77777777" w:rsidR="007B7514" w:rsidRDefault="007B7514" w:rsidP="007B7514">
      <w:pPr>
        <w:jc w:val="both"/>
      </w:pPr>
      <w:r w:rsidRPr="31FF9146">
        <w:rPr>
          <w:rFonts w:eastAsia="Arial" w:cs="Arial"/>
          <w:color w:val="000000" w:themeColor="text1"/>
          <w:sz w:val="22"/>
          <w:szCs w:val="22"/>
          <w:lang w:val="es-MX"/>
        </w:rPr>
        <w:t xml:space="preserve">Por medio del LNS se realiza el análisis de las propiedades físicas, químicas, biológicas o mineralógicas de los suelos y contenido orgánico y mineral del agua para riego con el fin de dar las recomendaciones técnicas para las enmiendas y fertilizantes requeridos en el suelo para el establecimiento de una plantación o cultivo agrícola. </w:t>
      </w:r>
    </w:p>
    <w:p w14:paraId="4F244F12" w14:textId="77777777" w:rsidR="007B7514" w:rsidRDefault="007B7514" w:rsidP="007B7514">
      <w:pPr>
        <w:jc w:val="both"/>
      </w:pPr>
      <w:r w:rsidRPr="31FF9146">
        <w:rPr>
          <w:rFonts w:eastAsia="Arial" w:cs="Arial"/>
          <w:color w:val="000000" w:themeColor="text1"/>
          <w:sz w:val="22"/>
          <w:szCs w:val="22"/>
          <w:lang w:val="es"/>
        </w:rPr>
        <w:t xml:space="preserve"> </w:t>
      </w:r>
    </w:p>
    <w:p w14:paraId="3EFA3DBB" w14:textId="77777777" w:rsidR="007B7514" w:rsidRDefault="007B7514" w:rsidP="007B7514">
      <w:pPr>
        <w:jc w:val="both"/>
      </w:pPr>
      <w:r w:rsidRPr="31FF9146">
        <w:rPr>
          <w:rFonts w:eastAsia="Arial" w:cs="Arial"/>
          <w:color w:val="000000" w:themeColor="text1"/>
          <w:sz w:val="22"/>
          <w:szCs w:val="22"/>
          <w:lang w:val="es"/>
        </w:rPr>
        <w:t>Las solicitudes de análisis provienen tanto de clientes internos como externos, tales como: Corporaciones Autónomas Regionales (CAR), Programa de Erradicación Controlada de Aspersión Terrestre (PECAT), Jardín Botánico de Bogotá - José Celestino Mutis, Ferrocarriles del Norte de Colombia, Universidades como Universidad Nacional Sede Palmira, Universidad del Tolima, Universidad de Antioquia, Instituto de Investigación de Recursos Biológicos Alexander Von Humboldt, Fondo Mundial para la Naturaleza, Zonas Costeras.</w:t>
      </w:r>
    </w:p>
    <w:p w14:paraId="3D6CD371" w14:textId="01D82226" w:rsidR="007B7514" w:rsidRDefault="007B7514" w:rsidP="007B7514">
      <w:pPr>
        <w:jc w:val="both"/>
      </w:pPr>
    </w:p>
    <w:p w14:paraId="4B5E8552" w14:textId="2B0F64D9" w:rsidR="007B7514" w:rsidRPr="00712950" w:rsidRDefault="007B7514" w:rsidP="00712950">
      <w:pPr>
        <w:jc w:val="both"/>
        <w:rPr>
          <w:rFonts w:eastAsia="Arial" w:cs="Arial"/>
          <w:color w:val="000000" w:themeColor="text1"/>
          <w:sz w:val="22"/>
          <w:szCs w:val="22"/>
          <w:lang w:val="es"/>
        </w:rPr>
      </w:pPr>
      <w:r w:rsidRPr="31FF9146">
        <w:rPr>
          <w:rFonts w:eastAsia="Arial" w:cs="Arial"/>
          <w:color w:val="000000" w:themeColor="text1"/>
          <w:sz w:val="22"/>
          <w:szCs w:val="22"/>
          <w:lang w:val="es"/>
        </w:rPr>
        <w:t>A continuación, se relaciona el número de análisis recibidos para realizar su correspondiente procesamiento desde el año 2020 a la fecha</w:t>
      </w:r>
      <w:r w:rsidR="00712950">
        <w:rPr>
          <w:rFonts w:eastAsia="Arial" w:cs="Arial"/>
          <w:color w:val="000000" w:themeColor="text1"/>
          <w:sz w:val="22"/>
          <w:szCs w:val="22"/>
          <w:lang w:val="es"/>
        </w:rPr>
        <w:t>:</w:t>
      </w:r>
    </w:p>
    <w:p w14:paraId="042D7322" w14:textId="77777777" w:rsidR="007B7514" w:rsidRPr="003C6938" w:rsidRDefault="007B7514" w:rsidP="007B7514">
      <w:pPr>
        <w:jc w:val="center"/>
        <w:rPr>
          <w:b/>
          <w:bCs/>
          <w:color w:val="000000" w:themeColor="text1"/>
          <w:sz w:val="16"/>
          <w:szCs w:val="16"/>
        </w:rPr>
      </w:pPr>
      <w:r w:rsidRPr="003C6938">
        <w:rPr>
          <w:rFonts w:eastAsia="Arial" w:cs="Arial"/>
          <w:b/>
          <w:bCs/>
          <w:color w:val="000000" w:themeColor="text1"/>
          <w:sz w:val="16"/>
          <w:szCs w:val="16"/>
          <w:lang w:val="es"/>
        </w:rPr>
        <w:t xml:space="preserve"> </w:t>
      </w:r>
    </w:p>
    <w:p w14:paraId="5491A8A0" w14:textId="22A55F41" w:rsidR="00350BFA" w:rsidRPr="00350BFA" w:rsidRDefault="00350BFA" w:rsidP="00350BFA">
      <w:pPr>
        <w:pStyle w:val="Descripcin"/>
        <w:keepNext/>
        <w:jc w:val="center"/>
        <w:rPr>
          <w:rFonts w:ascii="Arial" w:hAnsi="Arial" w:cs="Arial"/>
          <w:b/>
          <w:bCs/>
          <w:i w:val="0"/>
          <w:iCs w:val="0"/>
          <w:color w:val="auto"/>
          <w:sz w:val="16"/>
          <w:szCs w:val="16"/>
        </w:rPr>
      </w:pPr>
      <w:bookmarkStart w:id="118" w:name="_Toc88677111"/>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39</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Análisis recibidos 2020-2021</w:t>
      </w:r>
      <w:bookmarkEnd w:id="118"/>
    </w:p>
    <w:tbl>
      <w:tblPr>
        <w:tblStyle w:val="Tabladecuadrcula4-nfasis1"/>
        <w:tblW w:w="0" w:type="auto"/>
        <w:tblLayout w:type="fixed"/>
        <w:tblLook w:val="06A0" w:firstRow="1" w:lastRow="0" w:firstColumn="1" w:lastColumn="0" w:noHBand="1" w:noVBand="1"/>
      </w:tblPr>
      <w:tblGrid>
        <w:gridCol w:w="1800"/>
        <w:gridCol w:w="1290"/>
        <w:gridCol w:w="1185"/>
        <w:gridCol w:w="1140"/>
        <w:gridCol w:w="1170"/>
        <w:gridCol w:w="1275"/>
        <w:gridCol w:w="1110"/>
      </w:tblGrid>
      <w:tr w:rsidR="007B7514" w14:paraId="7F94DF9E" w14:textId="77777777" w:rsidTr="00A630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0" w:type="dxa"/>
            <w:vMerge w:val="restart"/>
          </w:tcPr>
          <w:p w14:paraId="58EB06B0" w14:textId="77777777" w:rsidR="007B7514" w:rsidRDefault="007B7514" w:rsidP="00A6302C">
            <w:pPr>
              <w:jc w:val="center"/>
              <w:rPr>
                <w:rFonts w:eastAsia="Arial" w:cs="Arial"/>
                <w:b w:val="0"/>
                <w:bCs w:val="0"/>
                <w:color w:val="222222"/>
                <w:sz w:val="22"/>
                <w:szCs w:val="22"/>
                <w:lang w:val="es"/>
              </w:rPr>
            </w:pPr>
          </w:p>
          <w:p w14:paraId="4B6C79C2" w14:textId="77777777" w:rsidR="007B7514" w:rsidRDefault="007B7514" w:rsidP="00A6302C">
            <w:pPr>
              <w:jc w:val="center"/>
            </w:pPr>
            <w:r w:rsidRPr="003A08CF">
              <w:rPr>
                <w:rFonts w:eastAsia="Arial" w:cs="Arial"/>
                <w:sz w:val="22"/>
                <w:szCs w:val="22"/>
                <w:lang w:val="es"/>
              </w:rPr>
              <w:t>Tipo de análisis</w:t>
            </w:r>
          </w:p>
        </w:tc>
        <w:tc>
          <w:tcPr>
            <w:tcW w:w="2475" w:type="dxa"/>
            <w:gridSpan w:val="2"/>
          </w:tcPr>
          <w:p w14:paraId="1B87EFEE"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003A08CF">
              <w:rPr>
                <w:rFonts w:eastAsia="Arial" w:cs="Arial"/>
                <w:sz w:val="22"/>
                <w:szCs w:val="22"/>
                <w:lang w:val="es"/>
              </w:rPr>
              <w:t>Clientes Externos</w:t>
            </w:r>
          </w:p>
          <w:p w14:paraId="490C38E1"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003A08CF">
              <w:rPr>
                <w:rFonts w:eastAsia="Arial" w:cs="Arial"/>
                <w:sz w:val="22"/>
                <w:szCs w:val="22"/>
                <w:lang w:val="es"/>
              </w:rPr>
              <w:t xml:space="preserve"> </w:t>
            </w:r>
          </w:p>
        </w:tc>
        <w:tc>
          <w:tcPr>
            <w:tcW w:w="2310" w:type="dxa"/>
            <w:gridSpan w:val="2"/>
          </w:tcPr>
          <w:p w14:paraId="74EEEB26"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003A08CF">
              <w:rPr>
                <w:rFonts w:eastAsia="Arial" w:cs="Arial"/>
                <w:sz w:val="22"/>
                <w:szCs w:val="22"/>
                <w:lang w:val="es"/>
              </w:rPr>
              <w:t>Clientes Internos</w:t>
            </w:r>
          </w:p>
          <w:p w14:paraId="0CC001BA"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003A08CF">
              <w:rPr>
                <w:rFonts w:eastAsia="Arial" w:cs="Arial"/>
                <w:sz w:val="22"/>
                <w:szCs w:val="22"/>
                <w:lang w:val="es"/>
              </w:rPr>
              <w:t xml:space="preserve"> </w:t>
            </w:r>
          </w:p>
        </w:tc>
        <w:tc>
          <w:tcPr>
            <w:tcW w:w="2385" w:type="dxa"/>
            <w:gridSpan w:val="2"/>
          </w:tcPr>
          <w:p w14:paraId="3D0EE5DB"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003A08CF">
              <w:rPr>
                <w:rFonts w:eastAsia="Arial" w:cs="Arial"/>
                <w:sz w:val="22"/>
                <w:szCs w:val="22"/>
                <w:lang w:val="es"/>
              </w:rPr>
              <w:t>Total</w:t>
            </w:r>
          </w:p>
        </w:tc>
      </w:tr>
      <w:tr w:rsidR="007B7514" w14:paraId="50C4CA08" w14:textId="77777777" w:rsidTr="00A6302C">
        <w:tc>
          <w:tcPr>
            <w:cnfStyle w:val="001000000000" w:firstRow="0" w:lastRow="0" w:firstColumn="1" w:lastColumn="0" w:oddVBand="0" w:evenVBand="0" w:oddHBand="0" w:evenHBand="0" w:firstRowFirstColumn="0" w:firstRowLastColumn="0" w:lastRowFirstColumn="0" w:lastRowLastColumn="0"/>
            <w:tcW w:w="1800" w:type="dxa"/>
            <w:vMerge/>
          </w:tcPr>
          <w:p w14:paraId="0D53A12B" w14:textId="77777777" w:rsidR="007B7514" w:rsidRDefault="007B7514" w:rsidP="00A6302C"/>
        </w:tc>
        <w:tc>
          <w:tcPr>
            <w:tcW w:w="1290" w:type="dxa"/>
          </w:tcPr>
          <w:p w14:paraId="5C5AB05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2020</w:t>
            </w:r>
          </w:p>
        </w:tc>
        <w:tc>
          <w:tcPr>
            <w:tcW w:w="1185" w:type="dxa"/>
          </w:tcPr>
          <w:p w14:paraId="1E2B922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Oct-2021</w:t>
            </w:r>
          </w:p>
        </w:tc>
        <w:tc>
          <w:tcPr>
            <w:tcW w:w="1140" w:type="dxa"/>
          </w:tcPr>
          <w:p w14:paraId="0893DEB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2020</w:t>
            </w:r>
          </w:p>
        </w:tc>
        <w:tc>
          <w:tcPr>
            <w:tcW w:w="1170" w:type="dxa"/>
          </w:tcPr>
          <w:p w14:paraId="2BD4749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Oct-2021</w:t>
            </w:r>
          </w:p>
        </w:tc>
        <w:tc>
          <w:tcPr>
            <w:tcW w:w="1275" w:type="dxa"/>
          </w:tcPr>
          <w:p w14:paraId="108A8C3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2020</w:t>
            </w:r>
          </w:p>
        </w:tc>
        <w:tc>
          <w:tcPr>
            <w:tcW w:w="1110" w:type="dxa"/>
          </w:tcPr>
          <w:p w14:paraId="2E320A6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sz w:val="22"/>
                <w:szCs w:val="22"/>
                <w:lang w:val="es"/>
              </w:rPr>
              <w:t>Oct-2021</w:t>
            </w:r>
          </w:p>
        </w:tc>
      </w:tr>
      <w:tr w:rsidR="007B7514" w14:paraId="04C95F7C" w14:textId="77777777" w:rsidTr="00A6302C">
        <w:tc>
          <w:tcPr>
            <w:cnfStyle w:val="001000000000" w:firstRow="0" w:lastRow="0" w:firstColumn="1" w:lastColumn="0" w:oddVBand="0" w:evenVBand="0" w:oddHBand="0" w:evenHBand="0" w:firstRowFirstColumn="0" w:firstRowLastColumn="0" w:lastRowFirstColumn="0" w:lastRowLastColumn="0"/>
            <w:tcW w:w="1800" w:type="dxa"/>
          </w:tcPr>
          <w:p w14:paraId="288787D9" w14:textId="77777777" w:rsidR="007B7514" w:rsidRDefault="007B7514" w:rsidP="00A6302C">
            <w:r w:rsidRPr="31FF9146">
              <w:rPr>
                <w:rFonts w:eastAsia="Arial" w:cs="Arial"/>
                <w:color w:val="222222"/>
                <w:sz w:val="22"/>
                <w:szCs w:val="22"/>
                <w:lang w:val="es"/>
              </w:rPr>
              <w:t>Químicos</w:t>
            </w:r>
          </w:p>
        </w:tc>
        <w:tc>
          <w:tcPr>
            <w:tcW w:w="1290" w:type="dxa"/>
          </w:tcPr>
          <w:p w14:paraId="72735BBB"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24.310</w:t>
            </w:r>
          </w:p>
        </w:tc>
        <w:tc>
          <w:tcPr>
            <w:tcW w:w="1185" w:type="dxa"/>
          </w:tcPr>
          <w:p w14:paraId="4E931536"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1.166</w:t>
            </w:r>
          </w:p>
        </w:tc>
        <w:tc>
          <w:tcPr>
            <w:tcW w:w="1140" w:type="dxa"/>
          </w:tcPr>
          <w:p w14:paraId="7BA19141"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12.860</w:t>
            </w:r>
          </w:p>
        </w:tc>
        <w:tc>
          <w:tcPr>
            <w:tcW w:w="1170" w:type="dxa"/>
          </w:tcPr>
          <w:p w14:paraId="004E664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510</w:t>
            </w:r>
          </w:p>
        </w:tc>
        <w:tc>
          <w:tcPr>
            <w:tcW w:w="1275" w:type="dxa"/>
          </w:tcPr>
          <w:p w14:paraId="5AB54DA3"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37.170</w:t>
            </w:r>
          </w:p>
        </w:tc>
        <w:tc>
          <w:tcPr>
            <w:tcW w:w="1110" w:type="dxa"/>
          </w:tcPr>
          <w:p w14:paraId="78703C61"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1.676</w:t>
            </w:r>
          </w:p>
        </w:tc>
      </w:tr>
      <w:tr w:rsidR="007B7514" w14:paraId="3FB9CE53"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800" w:type="dxa"/>
          </w:tcPr>
          <w:p w14:paraId="3C60D078" w14:textId="77777777" w:rsidR="007B7514" w:rsidRDefault="007B7514" w:rsidP="00A6302C">
            <w:r w:rsidRPr="31FF9146">
              <w:rPr>
                <w:rFonts w:eastAsia="Arial" w:cs="Arial"/>
                <w:color w:val="222222"/>
                <w:sz w:val="22"/>
                <w:szCs w:val="22"/>
                <w:lang w:val="es"/>
              </w:rPr>
              <w:t>Físicos</w:t>
            </w:r>
          </w:p>
        </w:tc>
        <w:tc>
          <w:tcPr>
            <w:tcW w:w="1290" w:type="dxa"/>
          </w:tcPr>
          <w:p w14:paraId="692A5CD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2.037</w:t>
            </w:r>
          </w:p>
        </w:tc>
        <w:tc>
          <w:tcPr>
            <w:tcW w:w="1185" w:type="dxa"/>
          </w:tcPr>
          <w:p w14:paraId="193793DF"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362</w:t>
            </w:r>
          </w:p>
        </w:tc>
        <w:tc>
          <w:tcPr>
            <w:tcW w:w="1140" w:type="dxa"/>
          </w:tcPr>
          <w:p w14:paraId="0430929B"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4.087</w:t>
            </w:r>
          </w:p>
        </w:tc>
        <w:tc>
          <w:tcPr>
            <w:tcW w:w="1170" w:type="dxa"/>
          </w:tcPr>
          <w:p w14:paraId="5674E773"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0</w:t>
            </w:r>
          </w:p>
        </w:tc>
        <w:tc>
          <w:tcPr>
            <w:tcW w:w="1275" w:type="dxa"/>
          </w:tcPr>
          <w:p w14:paraId="5DE007E2"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6.124</w:t>
            </w:r>
          </w:p>
        </w:tc>
        <w:tc>
          <w:tcPr>
            <w:tcW w:w="1110" w:type="dxa"/>
          </w:tcPr>
          <w:p w14:paraId="769B5286"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362</w:t>
            </w:r>
          </w:p>
        </w:tc>
      </w:tr>
      <w:tr w:rsidR="007B7514" w14:paraId="3E7D9915" w14:textId="77777777" w:rsidTr="00A6302C">
        <w:tc>
          <w:tcPr>
            <w:cnfStyle w:val="001000000000" w:firstRow="0" w:lastRow="0" w:firstColumn="1" w:lastColumn="0" w:oddVBand="0" w:evenVBand="0" w:oddHBand="0" w:evenHBand="0" w:firstRowFirstColumn="0" w:firstRowLastColumn="0" w:lastRowFirstColumn="0" w:lastRowLastColumn="0"/>
            <w:tcW w:w="1800" w:type="dxa"/>
          </w:tcPr>
          <w:p w14:paraId="562D1281" w14:textId="77777777" w:rsidR="007B7514" w:rsidRDefault="007B7514" w:rsidP="00A6302C">
            <w:r w:rsidRPr="31FF9146">
              <w:rPr>
                <w:rFonts w:eastAsia="Arial" w:cs="Arial"/>
                <w:color w:val="222222"/>
                <w:sz w:val="22"/>
                <w:szCs w:val="22"/>
                <w:lang w:val="es"/>
              </w:rPr>
              <w:t>Mineralógicos</w:t>
            </w:r>
          </w:p>
        </w:tc>
        <w:tc>
          <w:tcPr>
            <w:tcW w:w="1290" w:type="dxa"/>
          </w:tcPr>
          <w:p w14:paraId="1A2BBC3A"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484</w:t>
            </w:r>
          </w:p>
        </w:tc>
        <w:tc>
          <w:tcPr>
            <w:tcW w:w="1185" w:type="dxa"/>
          </w:tcPr>
          <w:p w14:paraId="1AE0BCFD"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160</w:t>
            </w:r>
          </w:p>
        </w:tc>
        <w:tc>
          <w:tcPr>
            <w:tcW w:w="1140" w:type="dxa"/>
          </w:tcPr>
          <w:p w14:paraId="3ABEE71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690</w:t>
            </w:r>
          </w:p>
        </w:tc>
        <w:tc>
          <w:tcPr>
            <w:tcW w:w="1170" w:type="dxa"/>
          </w:tcPr>
          <w:p w14:paraId="48B330A5"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0</w:t>
            </w:r>
          </w:p>
        </w:tc>
        <w:tc>
          <w:tcPr>
            <w:tcW w:w="1275" w:type="dxa"/>
          </w:tcPr>
          <w:p w14:paraId="1D5E0FFF"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1.174</w:t>
            </w:r>
          </w:p>
        </w:tc>
        <w:tc>
          <w:tcPr>
            <w:tcW w:w="1110" w:type="dxa"/>
          </w:tcPr>
          <w:p w14:paraId="3C986C4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160</w:t>
            </w:r>
          </w:p>
        </w:tc>
      </w:tr>
      <w:tr w:rsidR="007B7514" w14:paraId="6307E1AE" w14:textId="77777777" w:rsidTr="00A6302C">
        <w:tc>
          <w:tcPr>
            <w:cnfStyle w:val="001000000000" w:firstRow="0" w:lastRow="0" w:firstColumn="1" w:lastColumn="0" w:oddVBand="0" w:evenVBand="0" w:oddHBand="0" w:evenHBand="0" w:firstRowFirstColumn="0" w:firstRowLastColumn="0" w:lastRowFirstColumn="0" w:lastRowLastColumn="0"/>
            <w:tcW w:w="1800" w:type="dxa"/>
          </w:tcPr>
          <w:p w14:paraId="73669F8E" w14:textId="77777777" w:rsidR="007B7514" w:rsidRDefault="007B7514" w:rsidP="00A6302C">
            <w:r w:rsidRPr="31FF9146">
              <w:rPr>
                <w:rFonts w:eastAsia="Arial" w:cs="Arial"/>
                <w:color w:val="222222"/>
                <w:sz w:val="22"/>
                <w:szCs w:val="22"/>
                <w:lang w:val="es"/>
              </w:rPr>
              <w:t>Biológicos</w:t>
            </w:r>
          </w:p>
        </w:tc>
        <w:tc>
          <w:tcPr>
            <w:tcW w:w="1290" w:type="dxa"/>
          </w:tcPr>
          <w:p w14:paraId="4303FE2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3.813</w:t>
            </w:r>
          </w:p>
        </w:tc>
        <w:tc>
          <w:tcPr>
            <w:tcW w:w="1185" w:type="dxa"/>
          </w:tcPr>
          <w:p w14:paraId="0B38EF1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96</w:t>
            </w:r>
          </w:p>
        </w:tc>
        <w:tc>
          <w:tcPr>
            <w:tcW w:w="1140" w:type="dxa"/>
          </w:tcPr>
          <w:p w14:paraId="2237FFB2"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401</w:t>
            </w:r>
          </w:p>
        </w:tc>
        <w:tc>
          <w:tcPr>
            <w:tcW w:w="1170" w:type="dxa"/>
          </w:tcPr>
          <w:p w14:paraId="5959230F"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0</w:t>
            </w:r>
          </w:p>
        </w:tc>
        <w:tc>
          <w:tcPr>
            <w:tcW w:w="1275" w:type="dxa"/>
          </w:tcPr>
          <w:p w14:paraId="4BA2D6A8"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4.214</w:t>
            </w:r>
          </w:p>
        </w:tc>
        <w:tc>
          <w:tcPr>
            <w:tcW w:w="1110" w:type="dxa"/>
          </w:tcPr>
          <w:p w14:paraId="4111CD90"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color w:val="222222"/>
                <w:sz w:val="22"/>
                <w:szCs w:val="22"/>
                <w:lang w:val="es"/>
              </w:rPr>
              <w:t>96</w:t>
            </w:r>
          </w:p>
        </w:tc>
      </w:tr>
      <w:tr w:rsidR="007B7514" w14:paraId="041D84B7" w14:textId="77777777" w:rsidTr="00A6302C">
        <w:tc>
          <w:tcPr>
            <w:cnfStyle w:val="001000000000" w:firstRow="0" w:lastRow="0" w:firstColumn="1" w:lastColumn="0" w:oddVBand="0" w:evenVBand="0" w:oddHBand="0" w:evenHBand="0" w:firstRowFirstColumn="0" w:firstRowLastColumn="0" w:lastRowFirstColumn="0" w:lastRowLastColumn="0"/>
            <w:tcW w:w="1800" w:type="dxa"/>
          </w:tcPr>
          <w:p w14:paraId="4069BE48" w14:textId="77777777" w:rsidR="007B7514" w:rsidRDefault="007B7514" w:rsidP="00A6302C">
            <w:r w:rsidRPr="31FF9146">
              <w:rPr>
                <w:rFonts w:eastAsia="Arial" w:cs="Arial"/>
                <w:color w:val="222222"/>
                <w:lang w:val="es"/>
              </w:rPr>
              <w:t>TOTAL</w:t>
            </w:r>
          </w:p>
        </w:tc>
        <w:tc>
          <w:tcPr>
            <w:tcW w:w="1290" w:type="dxa"/>
          </w:tcPr>
          <w:p w14:paraId="33B5A37A"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30.644</w:t>
            </w:r>
          </w:p>
        </w:tc>
        <w:tc>
          <w:tcPr>
            <w:tcW w:w="1185" w:type="dxa"/>
          </w:tcPr>
          <w:p w14:paraId="5A4D588F"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1.784</w:t>
            </w:r>
          </w:p>
        </w:tc>
        <w:tc>
          <w:tcPr>
            <w:tcW w:w="1140" w:type="dxa"/>
          </w:tcPr>
          <w:p w14:paraId="644B4C99"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18.038</w:t>
            </w:r>
          </w:p>
        </w:tc>
        <w:tc>
          <w:tcPr>
            <w:tcW w:w="1170" w:type="dxa"/>
          </w:tcPr>
          <w:p w14:paraId="37C683F1"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510</w:t>
            </w:r>
          </w:p>
        </w:tc>
        <w:tc>
          <w:tcPr>
            <w:tcW w:w="1275" w:type="dxa"/>
          </w:tcPr>
          <w:p w14:paraId="55C07FC7"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48.682</w:t>
            </w:r>
          </w:p>
        </w:tc>
        <w:tc>
          <w:tcPr>
            <w:tcW w:w="1110" w:type="dxa"/>
          </w:tcPr>
          <w:p w14:paraId="54F2DD38" w14:textId="77777777" w:rsidR="007B7514" w:rsidRDefault="007B7514" w:rsidP="00A6302C">
            <w:pPr>
              <w:jc w:val="right"/>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222222"/>
                <w:lang w:val="es"/>
              </w:rPr>
              <w:t>2.294</w:t>
            </w:r>
          </w:p>
        </w:tc>
      </w:tr>
    </w:tbl>
    <w:p w14:paraId="7B790C03" w14:textId="77777777" w:rsidR="007B7514" w:rsidRPr="003C6938" w:rsidRDefault="007B7514" w:rsidP="007B7514">
      <w:pPr>
        <w:jc w:val="center"/>
        <w:rPr>
          <w:rFonts w:eastAsia="Arial" w:cs="Arial"/>
          <w:b/>
          <w:bCs/>
          <w:color w:val="000000" w:themeColor="text1"/>
          <w:sz w:val="16"/>
          <w:szCs w:val="16"/>
          <w:lang w:val="es"/>
        </w:rPr>
      </w:pPr>
      <w:r w:rsidRPr="003C6938">
        <w:rPr>
          <w:rFonts w:eastAsia="Arial" w:cs="Arial"/>
          <w:b/>
          <w:bCs/>
          <w:color w:val="000000" w:themeColor="text1"/>
          <w:sz w:val="16"/>
          <w:szCs w:val="16"/>
          <w:lang w:val="es"/>
        </w:rPr>
        <w:t>Fuente: IGAC. Subdirección de Agrología. 2021.</w:t>
      </w:r>
    </w:p>
    <w:p w14:paraId="6DCEBD62" w14:textId="77777777" w:rsidR="007B7514" w:rsidRPr="003C6938" w:rsidRDefault="007B7514" w:rsidP="007B7514">
      <w:pPr>
        <w:jc w:val="center"/>
        <w:rPr>
          <w:rFonts w:eastAsia="Arial" w:cs="Arial"/>
          <w:b/>
          <w:bCs/>
          <w:color w:val="000000" w:themeColor="text1"/>
          <w:sz w:val="16"/>
          <w:szCs w:val="16"/>
          <w:lang w:val="es"/>
        </w:rPr>
      </w:pPr>
      <w:r w:rsidRPr="003C6938">
        <w:rPr>
          <w:rFonts w:eastAsia="Arial" w:cs="Arial"/>
          <w:b/>
          <w:bCs/>
          <w:color w:val="000000" w:themeColor="text1"/>
          <w:sz w:val="16"/>
          <w:szCs w:val="16"/>
          <w:lang w:val="es"/>
        </w:rPr>
        <w:t xml:space="preserve"> </w:t>
      </w:r>
    </w:p>
    <w:p w14:paraId="6877D1F7" w14:textId="5BA2AC66" w:rsidR="007B7514" w:rsidRPr="003C6938" w:rsidRDefault="00A93FC3" w:rsidP="007B7514">
      <w:r>
        <w:lastRenderedPageBreak/>
        <w:t xml:space="preserve"> </w:t>
      </w:r>
    </w:p>
    <w:p w14:paraId="57BEDF79" w14:textId="77777777" w:rsidR="007B7514" w:rsidRPr="00581D98" w:rsidRDefault="007B7514" w:rsidP="007B7514">
      <w:pPr>
        <w:rPr>
          <w:b/>
        </w:rPr>
      </w:pPr>
      <w:r w:rsidRPr="00581D98">
        <w:rPr>
          <w:rFonts w:eastAsia="Arial" w:cs="Arial"/>
          <w:b/>
          <w:sz w:val="22"/>
          <w:szCs w:val="22"/>
        </w:rPr>
        <w:t>ACREDITACIÓN DEL LABORATORIO NACIONAL DE SUELOS</w:t>
      </w:r>
    </w:p>
    <w:p w14:paraId="509010A1" w14:textId="77777777" w:rsidR="007B7514" w:rsidRDefault="007B7514" w:rsidP="007B7514">
      <w:pPr>
        <w:jc w:val="both"/>
      </w:pPr>
      <w:r w:rsidRPr="31FF9146">
        <w:rPr>
          <w:rFonts w:ascii="Times New Roman" w:hAnsi="Times New Roman"/>
          <w:color w:val="000000" w:themeColor="text1"/>
          <w:sz w:val="22"/>
          <w:szCs w:val="22"/>
        </w:rPr>
        <w:t xml:space="preserve"> </w:t>
      </w:r>
    </w:p>
    <w:p w14:paraId="41DACB00" w14:textId="77777777" w:rsidR="007B7514" w:rsidRDefault="007B7514" w:rsidP="007B7514">
      <w:pPr>
        <w:jc w:val="both"/>
      </w:pPr>
      <w:r w:rsidRPr="31FF9146">
        <w:rPr>
          <w:rFonts w:eastAsia="Arial" w:cs="Arial"/>
          <w:color w:val="222222"/>
          <w:sz w:val="22"/>
          <w:szCs w:val="22"/>
          <w:lang w:val="es"/>
        </w:rPr>
        <w:t xml:space="preserve">Desde la vigencia 2020, se inició la preparación para obtener su acreditación del LNS, </w:t>
      </w:r>
      <w:r w:rsidRPr="31FF9146">
        <w:rPr>
          <w:rFonts w:eastAsia="Arial" w:cs="Arial"/>
          <w:color w:val="222222"/>
          <w:sz w:val="22"/>
          <w:szCs w:val="22"/>
        </w:rPr>
        <w:t xml:space="preserve">bajo la norma NTC 17025 de 2018, para el paquete analítico Q-01 que involucra 7 determinaciones (textura NTC 6299; humedad de campo NTC6230; pH NTC 5264; Capacidad de Intercambio catiónica NTC 5268; Acidez intercambiable NTC 5263; bases intercambiables NTC 5349; fósforo disponible NTC 5350), </w:t>
      </w:r>
      <w:r w:rsidRPr="31FF9146">
        <w:rPr>
          <w:rFonts w:eastAsia="Arial" w:cs="Arial"/>
          <w:color w:val="222222"/>
          <w:sz w:val="22"/>
          <w:szCs w:val="22"/>
          <w:lang w:val="es"/>
        </w:rPr>
        <w:t xml:space="preserve">la cual consistió en: </w:t>
      </w:r>
    </w:p>
    <w:p w14:paraId="01AAA907" w14:textId="77777777" w:rsidR="007B7514" w:rsidRDefault="007B7514" w:rsidP="007B7514">
      <w:pPr>
        <w:jc w:val="both"/>
      </w:pPr>
      <w:r w:rsidRPr="31FF9146">
        <w:rPr>
          <w:rFonts w:eastAsia="Arial" w:cs="Arial"/>
          <w:color w:val="222222"/>
          <w:sz w:val="22"/>
          <w:szCs w:val="22"/>
          <w:lang w:val="es"/>
        </w:rPr>
        <w:t xml:space="preserve"> </w:t>
      </w:r>
    </w:p>
    <w:p w14:paraId="0B2325D9" w14:textId="77777777" w:rsidR="007B7514" w:rsidRDefault="007B7514" w:rsidP="007B7514">
      <w:pPr>
        <w:ind w:left="360" w:hanging="360"/>
        <w:jc w:val="both"/>
      </w:pPr>
      <w:r w:rsidRPr="31FF9146">
        <w:rPr>
          <w:rFonts w:ascii="Symbol" w:eastAsia="Symbol" w:hAnsi="Symbol" w:cs="Symbol"/>
          <w:color w:val="222222"/>
          <w:sz w:val="22"/>
          <w:szCs w:val="22"/>
          <w:lang w:val="es"/>
        </w:rPr>
        <w:t></w:t>
      </w:r>
      <w:r w:rsidRPr="31FF9146">
        <w:rPr>
          <w:rFonts w:ascii="Times New Roman" w:hAnsi="Times New Roman"/>
          <w:color w:val="222222"/>
          <w:sz w:val="14"/>
          <w:szCs w:val="14"/>
          <w:lang w:val="es"/>
        </w:rPr>
        <w:t xml:space="preserve">       </w:t>
      </w:r>
      <w:r w:rsidRPr="31FF9146">
        <w:rPr>
          <w:rFonts w:eastAsia="Arial" w:cs="Arial"/>
          <w:color w:val="222222"/>
          <w:sz w:val="22"/>
          <w:szCs w:val="22"/>
          <w:lang w:val="es"/>
        </w:rPr>
        <w:t>Revisar y/o actualizar la documentación, incluyendo formatos, instructivos, cartas de control, fichas de seguridad entre otros, así como los registros de círculos de calidad, manejo de equipos, control de temperatura de equipos, control de temperatura y humedad de áreas de trabajo en los temas de Química, Biología y Mineralogía.</w:t>
      </w:r>
    </w:p>
    <w:p w14:paraId="5E6FA111" w14:textId="77777777" w:rsidR="007B7514" w:rsidRDefault="007B7514" w:rsidP="007B7514">
      <w:pPr>
        <w:ind w:left="360" w:hanging="360"/>
        <w:jc w:val="both"/>
        <w:rPr>
          <w:rFonts w:eastAsia="Arial" w:cs="Arial"/>
          <w:color w:val="222222"/>
          <w:sz w:val="22"/>
          <w:szCs w:val="22"/>
          <w:lang w:val="es"/>
        </w:rPr>
      </w:pPr>
      <w:r w:rsidRPr="31FF9146">
        <w:rPr>
          <w:rFonts w:ascii="Symbol" w:eastAsia="Symbol" w:hAnsi="Symbol" w:cs="Symbol"/>
          <w:color w:val="222222"/>
          <w:sz w:val="22"/>
          <w:szCs w:val="22"/>
        </w:rPr>
        <w:t></w:t>
      </w:r>
      <w:r w:rsidRPr="31FF9146">
        <w:rPr>
          <w:rFonts w:ascii="Times New Roman" w:hAnsi="Times New Roman"/>
          <w:color w:val="222222"/>
          <w:sz w:val="14"/>
          <w:szCs w:val="14"/>
        </w:rPr>
        <w:t xml:space="preserve">      </w:t>
      </w:r>
      <w:r w:rsidRPr="31FF9146">
        <w:rPr>
          <w:rFonts w:eastAsia="Arial" w:cs="Arial"/>
          <w:color w:val="222222"/>
          <w:sz w:val="22"/>
          <w:szCs w:val="22"/>
          <w:lang w:val="es"/>
        </w:rPr>
        <w:t>Iniciar las validaciones para la determinación de fósforo disponible, realización del trámite requerido ante el Instituto de Hidrología, Meteorología y Estudios Ambientales- IDEAM, entidad acreditadora.</w:t>
      </w:r>
    </w:p>
    <w:p w14:paraId="7B82F296" w14:textId="77777777" w:rsidR="007B7514" w:rsidRPr="00BD60C9" w:rsidRDefault="007B7514" w:rsidP="000A20EE">
      <w:pPr>
        <w:pStyle w:val="Prrafodelista"/>
        <w:numPr>
          <w:ilvl w:val="0"/>
          <w:numId w:val="214"/>
        </w:numPr>
        <w:ind w:left="284" w:hanging="284"/>
        <w:rPr>
          <w:rFonts w:eastAsia="Arial" w:cs="Arial"/>
          <w:color w:val="222222"/>
          <w:sz w:val="22"/>
          <w:szCs w:val="22"/>
          <w:lang w:val="es"/>
        </w:rPr>
      </w:pPr>
      <w:r>
        <w:rPr>
          <w:rFonts w:eastAsia="Arial" w:cs="Arial"/>
          <w:color w:val="222222"/>
          <w:sz w:val="22"/>
          <w:szCs w:val="22"/>
          <w:lang w:val="es"/>
        </w:rPr>
        <w:t xml:space="preserve"> </w:t>
      </w:r>
      <w:r w:rsidRPr="00BD60C9">
        <w:rPr>
          <w:rFonts w:eastAsia="Arial" w:cs="Arial"/>
          <w:color w:val="222222"/>
          <w:sz w:val="22"/>
          <w:szCs w:val="22"/>
          <w:lang w:val="es"/>
        </w:rPr>
        <w:t>Realizar las pruebas de validación de las determinaciones que conforman el paquete Q-01.</w:t>
      </w:r>
    </w:p>
    <w:p w14:paraId="69A16B36" w14:textId="77777777" w:rsidR="007B7514" w:rsidRDefault="007B7514" w:rsidP="007B7514">
      <w:pPr>
        <w:jc w:val="both"/>
      </w:pPr>
      <w:r w:rsidRPr="31FF9146">
        <w:rPr>
          <w:rFonts w:eastAsia="Arial" w:cs="Arial"/>
          <w:color w:val="000000" w:themeColor="text1"/>
          <w:sz w:val="22"/>
          <w:szCs w:val="22"/>
          <w:lang w:val="es"/>
        </w:rPr>
        <w:t xml:space="preserve"> </w:t>
      </w:r>
    </w:p>
    <w:p w14:paraId="709AE73B" w14:textId="77777777" w:rsidR="007B7514" w:rsidRDefault="007B7514" w:rsidP="007B7514">
      <w:pPr>
        <w:spacing w:line="240" w:lineRule="exact"/>
        <w:jc w:val="both"/>
      </w:pPr>
      <w:r w:rsidRPr="31FF9146">
        <w:rPr>
          <w:rFonts w:eastAsia="Arial" w:cs="Arial"/>
          <w:color w:val="000000" w:themeColor="text1"/>
          <w:sz w:val="22"/>
          <w:szCs w:val="22"/>
          <w:lang w:val="es"/>
        </w:rPr>
        <w:t>Es así como, mediante Resolución No. 1149 de 7 de octubre de 2021, se otorgó la acreditación al Laboratorio Nacional de Suelos del Instituto Geográfico Agustín Codazzi, para las determinaciones del paquete Q-01</w:t>
      </w:r>
      <w:r w:rsidRPr="31FF9146">
        <w:rPr>
          <w:rFonts w:eastAsia="Arial" w:cs="Arial"/>
          <w:color w:val="FF0000"/>
          <w:sz w:val="22"/>
          <w:szCs w:val="22"/>
          <w:lang w:val="es"/>
        </w:rPr>
        <w:t>.</w:t>
      </w:r>
    </w:p>
    <w:p w14:paraId="01A5C2DD" w14:textId="77777777" w:rsidR="007B7514" w:rsidRDefault="007B7514" w:rsidP="007B7514">
      <w:pPr>
        <w:jc w:val="both"/>
      </w:pPr>
      <w:r w:rsidRPr="31FF9146">
        <w:rPr>
          <w:rFonts w:eastAsia="Arial" w:cs="Arial"/>
          <w:color w:val="000000" w:themeColor="text1"/>
          <w:sz w:val="22"/>
          <w:szCs w:val="22"/>
          <w:lang w:val="es"/>
        </w:rPr>
        <w:t xml:space="preserve"> </w:t>
      </w:r>
    </w:p>
    <w:p w14:paraId="4F3158A6" w14:textId="77777777" w:rsidR="007B7514" w:rsidRDefault="007B7514" w:rsidP="007B7514">
      <w:pPr>
        <w:jc w:val="both"/>
      </w:pPr>
      <w:r w:rsidRPr="31FF9146">
        <w:rPr>
          <w:rFonts w:eastAsia="Arial" w:cs="Arial"/>
          <w:color w:val="000000" w:themeColor="text1"/>
          <w:sz w:val="22"/>
          <w:szCs w:val="22"/>
          <w:lang w:val="es"/>
        </w:rPr>
        <w:t>Adicionalmente, por el buen desempeño del LNS, la Red Mundial de Laboratorios de Suelos – GLOSOLAN otorgó un reconocimiento que consiste en la adjudicación de un equipo de centrifugado, el cual será utilizado en procesos analíticos principalmente en el tema de física de suelos. Esta es una donación por parte de la FAO que se dio por medio de apoyos financieros de empresas donantes a la Red.</w:t>
      </w:r>
    </w:p>
    <w:p w14:paraId="3322B345" w14:textId="77777777" w:rsidR="007B7514" w:rsidRDefault="007B7514" w:rsidP="007B7514">
      <w:pPr>
        <w:jc w:val="both"/>
      </w:pPr>
      <w:r w:rsidRPr="31FF9146">
        <w:rPr>
          <w:rFonts w:eastAsia="Arial" w:cs="Arial"/>
          <w:color w:val="000000" w:themeColor="text1"/>
          <w:sz w:val="22"/>
          <w:szCs w:val="22"/>
          <w:lang w:val="es"/>
        </w:rPr>
        <w:t xml:space="preserve"> </w:t>
      </w:r>
    </w:p>
    <w:p w14:paraId="554430A3" w14:textId="77777777" w:rsidR="007B7514" w:rsidRDefault="007B7514" w:rsidP="007B7514">
      <w:pPr>
        <w:jc w:val="both"/>
      </w:pPr>
      <w:r w:rsidRPr="31FF9146">
        <w:rPr>
          <w:rFonts w:eastAsia="Arial" w:cs="Arial"/>
          <w:color w:val="000000" w:themeColor="text1"/>
          <w:sz w:val="22"/>
          <w:szCs w:val="22"/>
          <w:lang w:val="es"/>
        </w:rPr>
        <w:t xml:space="preserve">Se llevó a cabo la </w:t>
      </w:r>
      <w:r w:rsidRPr="31FF9146">
        <w:rPr>
          <w:rFonts w:eastAsia="Arial" w:cs="Arial"/>
          <w:color w:val="000000" w:themeColor="text1"/>
          <w:sz w:val="22"/>
          <w:szCs w:val="22"/>
        </w:rPr>
        <w:t>participación en el programa de Erradicación de Cultivos Ilícitos mediante Aspersión Terrestre (PECAT) con acompañamiento al monitoreo de campo a la Policía Nacional, para toma de muestras en las diferentes zonas del país. Se llevaron a cabo 4 visitas de seguimiento y monitoreo a Caucasia, Antioquia (2); Tumaco, en Nariño y San José del Guaviare, en Guaviare.</w:t>
      </w:r>
    </w:p>
    <w:p w14:paraId="340ABD80" w14:textId="77777777" w:rsidR="007B7514" w:rsidRDefault="007B7514" w:rsidP="007B7514">
      <w:pPr>
        <w:jc w:val="both"/>
      </w:pPr>
      <w:r w:rsidRPr="31FF9146">
        <w:rPr>
          <w:rFonts w:eastAsia="Arial" w:cs="Arial"/>
          <w:color w:val="000000" w:themeColor="text1"/>
          <w:sz w:val="22"/>
          <w:szCs w:val="22"/>
        </w:rPr>
        <w:t xml:space="preserve"> </w:t>
      </w:r>
    </w:p>
    <w:p w14:paraId="1B149AA3" w14:textId="77777777" w:rsidR="007B7514" w:rsidRDefault="007B7514" w:rsidP="007B7514">
      <w:pPr>
        <w:jc w:val="both"/>
      </w:pPr>
      <w:r w:rsidRPr="31FF9146">
        <w:rPr>
          <w:rFonts w:eastAsia="Arial" w:cs="Arial"/>
          <w:color w:val="000000" w:themeColor="text1"/>
          <w:sz w:val="22"/>
          <w:szCs w:val="22"/>
        </w:rPr>
        <w:t>En articulación con la Sociedad Colombiana de la Ciencia del Suelo (SCCS), entidad que lidera la red de Control Analítico de Laboratorios de Suelos-CALS se tomaron las muestras requeridas para su gestión, para un total de dos envíos durante la vigencia 2021.</w:t>
      </w:r>
    </w:p>
    <w:p w14:paraId="007D2F78" w14:textId="77777777" w:rsidR="007B7514" w:rsidRDefault="007B7514" w:rsidP="007B7514">
      <w:pPr>
        <w:jc w:val="both"/>
      </w:pPr>
      <w:r w:rsidRPr="31FF9146">
        <w:rPr>
          <w:rFonts w:eastAsia="Arial" w:cs="Arial"/>
          <w:color w:val="000000" w:themeColor="text1"/>
          <w:sz w:val="22"/>
          <w:szCs w:val="22"/>
        </w:rPr>
        <w:t xml:space="preserve"> </w:t>
      </w:r>
    </w:p>
    <w:p w14:paraId="5D92B04F" w14:textId="77777777" w:rsidR="007B7514" w:rsidRDefault="007B7514" w:rsidP="007B7514">
      <w:pPr>
        <w:jc w:val="both"/>
      </w:pPr>
      <w:r w:rsidRPr="31FF9146">
        <w:rPr>
          <w:rFonts w:eastAsia="Arial" w:cs="Arial"/>
          <w:color w:val="000000" w:themeColor="text1"/>
          <w:sz w:val="22"/>
          <w:szCs w:val="22"/>
        </w:rPr>
        <w:t>El Laboratorio Nacional de Suelos además de lo anterior, tiene como misión investigar y producir información básica requerida para el inventario y monitoreo de los suelos, aguas y tejido vegetal. Fue así, como se presentó a la Corporación Autónoma Regional de Cundinamarca (CAR) la propuesta técnico económica para el diagnóstico, protocolo de monitoreo y estrategias para el manejo de la degradación del suelo por contaminación química como consecuencia de las actividades agropecuarias, industriales y mineras.</w:t>
      </w:r>
    </w:p>
    <w:p w14:paraId="5F82BCDC" w14:textId="77777777" w:rsidR="007B7514" w:rsidRDefault="007B7514" w:rsidP="007B7514">
      <w:pPr>
        <w:jc w:val="both"/>
      </w:pPr>
      <w:r w:rsidRPr="31FF9146">
        <w:rPr>
          <w:rFonts w:eastAsia="Arial" w:cs="Arial"/>
          <w:color w:val="000000" w:themeColor="text1"/>
          <w:sz w:val="22"/>
          <w:szCs w:val="22"/>
        </w:rPr>
        <w:t xml:space="preserve"> </w:t>
      </w:r>
    </w:p>
    <w:p w14:paraId="35943A62" w14:textId="77777777" w:rsidR="007B7514" w:rsidRPr="00581D98" w:rsidRDefault="007B7514" w:rsidP="007B7514">
      <w:pPr>
        <w:jc w:val="both"/>
        <w:rPr>
          <w:b/>
          <w:color w:val="000000" w:themeColor="text1"/>
        </w:rPr>
      </w:pPr>
      <w:r w:rsidRPr="00581D98">
        <w:rPr>
          <w:rFonts w:eastAsia="Arial" w:cs="Arial"/>
          <w:b/>
          <w:color w:val="000000" w:themeColor="text1"/>
          <w:sz w:val="22"/>
          <w:szCs w:val="22"/>
        </w:rPr>
        <w:t>PRINCIPALES LOGROS DE LA GESTIÓN AGROLÓGICA 2020-2021</w:t>
      </w:r>
    </w:p>
    <w:p w14:paraId="1290A21D" w14:textId="77777777" w:rsidR="007B7514" w:rsidRDefault="007B7514" w:rsidP="007B7514">
      <w:pPr>
        <w:jc w:val="both"/>
      </w:pPr>
      <w:r w:rsidRPr="31FF9146">
        <w:rPr>
          <w:rFonts w:eastAsia="Arial" w:cs="Arial"/>
          <w:b/>
          <w:bCs/>
          <w:i/>
          <w:iCs/>
          <w:color w:val="2F5496"/>
          <w:sz w:val="22"/>
          <w:szCs w:val="22"/>
        </w:rPr>
        <w:t xml:space="preserve"> </w:t>
      </w:r>
    </w:p>
    <w:p w14:paraId="51A7E436" w14:textId="77777777" w:rsidR="007B7514" w:rsidRPr="00BD60C9" w:rsidRDefault="007B7514" w:rsidP="007B7514">
      <w:pPr>
        <w:ind w:left="360" w:hanging="360"/>
        <w:jc w:val="both"/>
        <w:rPr>
          <w:sz w:val="22"/>
          <w:szCs w:val="22"/>
        </w:rPr>
      </w:pPr>
      <w:r w:rsidRPr="31FF9146">
        <w:rPr>
          <w:rFonts w:ascii="Symbol" w:eastAsia="Symbol" w:hAnsi="Symbol" w:cs="Symbol"/>
          <w:sz w:val="22"/>
          <w:szCs w:val="22"/>
        </w:rPr>
        <w:t></w:t>
      </w:r>
      <w:r w:rsidRPr="31FF9146">
        <w:rPr>
          <w:rFonts w:ascii="Times New Roman" w:hAnsi="Times New Roman"/>
          <w:sz w:val="14"/>
          <w:szCs w:val="14"/>
        </w:rPr>
        <w:t xml:space="preserve">       </w:t>
      </w:r>
      <w:r w:rsidRPr="00BD60C9">
        <w:rPr>
          <w:rFonts w:eastAsia="Arial" w:cs="Arial"/>
          <w:sz w:val="22"/>
          <w:szCs w:val="22"/>
        </w:rPr>
        <w:t xml:space="preserve">Acreditación del Laboratorio Nacional de Suelos, bajo la norma ISO 17025:2017, otorgada por el IDEAM mediante resolución 1149 de 7 de octubre de 2021. </w:t>
      </w:r>
    </w:p>
    <w:p w14:paraId="30EAD5DE" w14:textId="77777777" w:rsidR="007B7514" w:rsidRPr="00BD60C9" w:rsidRDefault="007B7514" w:rsidP="007B7514">
      <w:pPr>
        <w:ind w:left="360" w:hanging="360"/>
        <w:jc w:val="both"/>
        <w:rPr>
          <w:sz w:val="22"/>
          <w:szCs w:val="22"/>
        </w:rPr>
      </w:pPr>
      <w:r w:rsidRPr="00BD60C9">
        <w:rPr>
          <w:rFonts w:ascii="Symbol" w:eastAsia="Symbol" w:hAnsi="Symbol" w:cs="Symbol"/>
          <w:sz w:val="22"/>
          <w:szCs w:val="22"/>
        </w:rPr>
        <w:lastRenderedPageBreak/>
        <w:t></w:t>
      </w:r>
      <w:r w:rsidRPr="00BD60C9">
        <w:rPr>
          <w:rFonts w:ascii="Times New Roman" w:hAnsi="Times New Roman"/>
          <w:sz w:val="22"/>
          <w:szCs w:val="22"/>
        </w:rPr>
        <w:t xml:space="preserve">    </w:t>
      </w:r>
      <w:r w:rsidRPr="00BD60C9">
        <w:rPr>
          <w:rFonts w:eastAsia="Arial" w:cs="Arial"/>
          <w:sz w:val="22"/>
          <w:szCs w:val="22"/>
        </w:rPr>
        <w:t>Se generó la Metodología de Insumos Agrologicos para el Catastro Multipropósito para la generación de Potencial de uso, insumo agrológico fundamental para Catastro Multipropósito a nivel rural.</w:t>
      </w:r>
    </w:p>
    <w:p w14:paraId="3C1B6EDB" w14:textId="77777777" w:rsidR="007B7514" w:rsidRPr="00BD60C9" w:rsidRDefault="007B7514" w:rsidP="007B7514">
      <w:pPr>
        <w:ind w:left="426" w:hanging="426"/>
        <w:jc w:val="both"/>
        <w:rPr>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Pr>
          <w:rFonts w:ascii="Times New Roman" w:hAnsi="Times New Roman"/>
          <w:sz w:val="22"/>
          <w:szCs w:val="22"/>
        </w:rPr>
        <w:t xml:space="preserve">  </w:t>
      </w:r>
      <w:r w:rsidRPr="00BD60C9">
        <w:rPr>
          <w:rFonts w:eastAsia="Arial" w:cs="Arial"/>
          <w:sz w:val="22"/>
          <w:szCs w:val="22"/>
        </w:rPr>
        <w:t>Se firmaron 3 convenios con el municipio de Pereira, Corporación Autónoma regional del Valle del Cauca - CVC y Secretaría de Agricultura de Cundinamarca, lo que permite avanzar en el conocimiento de suelos y tierras del país y se generaron ingresos con recursos propios de alrededor de dos mil quinientos millones de pesos para el IGAC.</w:t>
      </w:r>
    </w:p>
    <w:p w14:paraId="03788CCC" w14:textId="77777777" w:rsidR="007B7514" w:rsidRPr="00BD60C9" w:rsidRDefault="007B7514" w:rsidP="007B7514">
      <w:pPr>
        <w:ind w:left="360" w:hanging="360"/>
        <w:jc w:val="both"/>
        <w:rPr>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sidRPr="00BD60C9">
        <w:rPr>
          <w:rFonts w:eastAsia="Arial" w:cs="Arial"/>
          <w:sz w:val="22"/>
          <w:szCs w:val="22"/>
        </w:rPr>
        <w:t>116 municipios del país cuentan con información de insumos agrologicos representadas en 25.236.141,20 ha. Como apoyo del Catastro Multipropósito.</w:t>
      </w:r>
    </w:p>
    <w:p w14:paraId="42BE1B4B" w14:textId="77777777" w:rsidR="007B7514" w:rsidRPr="00BD60C9" w:rsidRDefault="007B7514" w:rsidP="007B7514">
      <w:pPr>
        <w:ind w:left="360" w:hanging="360"/>
        <w:jc w:val="both"/>
        <w:rPr>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Pr>
          <w:rFonts w:ascii="Times New Roman" w:hAnsi="Times New Roman"/>
          <w:sz w:val="22"/>
          <w:szCs w:val="22"/>
        </w:rPr>
        <w:t xml:space="preserve"> </w:t>
      </w:r>
      <w:r w:rsidRPr="00D14E1B">
        <w:rPr>
          <w:rFonts w:eastAsia="Arial" w:cs="Arial"/>
          <w:sz w:val="22"/>
          <w:szCs w:val="22"/>
        </w:rPr>
        <w:t>Publicación</w:t>
      </w:r>
      <w:r w:rsidRPr="00BD60C9">
        <w:rPr>
          <w:rFonts w:eastAsia="Arial" w:cs="Arial"/>
          <w:sz w:val="22"/>
          <w:szCs w:val="22"/>
        </w:rPr>
        <w:t xml:space="preserve"> del libro sobre Sistema de Clasificación Geomorfológica aplicado a los Levantamientos de Suelos, lo cual aporta al conocimiento de la Geomorfología del país. </w:t>
      </w:r>
    </w:p>
    <w:p w14:paraId="1229D408" w14:textId="77777777" w:rsidR="007B7514" w:rsidRPr="00D276A5" w:rsidRDefault="007B7514" w:rsidP="007B7514">
      <w:pPr>
        <w:ind w:left="360" w:hanging="360"/>
        <w:jc w:val="both"/>
        <w:rPr>
          <w:rFonts w:ascii="Times New Roman" w:hAnsi="Times New Roman"/>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sidRPr="00BD60C9">
        <w:rPr>
          <w:rFonts w:eastAsia="Arial" w:cs="Arial"/>
          <w:sz w:val="22"/>
          <w:szCs w:val="22"/>
        </w:rPr>
        <w:t>Disminución de los costos operativos de los Levantamientos de Suelos desarrollados por la Subdirección de Agrología, mediante la optimización de la generación de la información básica de suelos mayoritariamente con el análisis de información secundarias y la interpretación de productos de sensores remotos con fines de estudios de suelos</w:t>
      </w:r>
    </w:p>
    <w:p w14:paraId="69B7EAD4" w14:textId="77777777" w:rsidR="007B7514" w:rsidRPr="00BD60C9" w:rsidRDefault="007B7514" w:rsidP="007B7514">
      <w:pPr>
        <w:ind w:left="360" w:hanging="360"/>
        <w:jc w:val="both"/>
        <w:rPr>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sidRPr="00BD60C9">
        <w:rPr>
          <w:rFonts w:eastAsia="Arial" w:cs="Arial"/>
          <w:sz w:val="22"/>
          <w:szCs w:val="22"/>
        </w:rPr>
        <w:t>Se inició el proceso de consolidación, unificación y estandarización de las bases de datos de la cartografía temática de suelos existente en el país a escala 1:100.000</w:t>
      </w:r>
    </w:p>
    <w:p w14:paraId="4FB8C27F" w14:textId="77777777" w:rsidR="007B7514" w:rsidRPr="00BD60C9" w:rsidRDefault="007B7514" w:rsidP="007B7514">
      <w:pPr>
        <w:ind w:left="360" w:hanging="360"/>
        <w:jc w:val="both"/>
        <w:rPr>
          <w:rFonts w:eastAsia="Arial" w:cs="Arial"/>
          <w:sz w:val="22"/>
          <w:szCs w:val="22"/>
        </w:rPr>
      </w:pPr>
      <w:r w:rsidRPr="00BD60C9">
        <w:rPr>
          <w:rFonts w:ascii="Symbol" w:eastAsia="Symbol" w:hAnsi="Symbol" w:cs="Symbol"/>
          <w:sz w:val="22"/>
          <w:szCs w:val="22"/>
        </w:rPr>
        <w:t></w:t>
      </w:r>
      <w:r w:rsidRPr="00BD60C9">
        <w:rPr>
          <w:rFonts w:ascii="Times New Roman" w:hAnsi="Times New Roman"/>
          <w:sz w:val="22"/>
          <w:szCs w:val="22"/>
        </w:rPr>
        <w:t xml:space="preserve">     </w:t>
      </w:r>
      <w:r w:rsidRPr="00BD60C9">
        <w:rPr>
          <w:rFonts w:eastAsia="Arial" w:cs="Arial"/>
          <w:sz w:val="22"/>
          <w:szCs w:val="22"/>
        </w:rPr>
        <w:t>Se fortaleció el funcionamiento del Laboratorio Nacional de Suelos - LNS con la adquisición de equipos de tecnología de punta, para realizar análisis de mineralogía de suelos que permite ampliar la oferta tanto para clientes externos como para complementar los estudios de suelos que hace el IGAC a nivel país.</w:t>
      </w:r>
    </w:p>
    <w:p w14:paraId="7E0A6929" w14:textId="77777777" w:rsidR="007B7514" w:rsidRPr="00BD60C9" w:rsidRDefault="007B7514" w:rsidP="000A20EE">
      <w:pPr>
        <w:pStyle w:val="Prrafodelista"/>
        <w:numPr>
          <w:ilvl w:val="0"/>
          <w:numId w:val="214"/>
        </w:numPr>
        <w:ind w:left="284" w:hanging="284"/>
        <w:rPr>
          <w:rFonts w:eastAsia="Arial" w:cs="Arial"/>
          <w:sz w:val="22"/>
          <w:szCs w:val="22"/>
        </w:rPr>
      </w:pPr>
      <w:r w:rsidRPr="00BD60C9">
        <w:rPr>
          <w:rFonts w:eastAsia="Arial" w:cs="Arial"/>
          <w:sz w:val="22"/>
          <w:szCs w:val="22"/>
        </w:rPr>
        <w:t>Se fortalecieron las alianzas interinstitucionales a nivel nacional e internacional, con el Ministerio de Agricultura, Ganadería y Alimentación de la República de Guatemala – MAGA. Así las cosas, se terminaron dos estudios departamentales los cuales fueron resaltados como alianza estratégica por la Cancillería de Guatemala y de Colombia en la visita del Presidente de Guatemala como un logro significativo de ambos países.</w:t>
      </w:r>
    </w:p>
    <w:p w14:paraId="707140BA" w14:textId="77777777" w:rsidR="007B7514" w:rsidRDefault="007B7514" w:rsidP="007B7514">
      <w:pPr>
        <w:jc w:val="both"/>
      </w:pPr>
      <w:r w:rsidRPr="31FF9146">
        <w:rPr>
          <w:rFonts w:ascii="Calibri" w:eastAsia="Calibri" w:hAnsi="Calibri" w:cs="Calibri"/>
          <w:color w:val="000000" w:themeColor="text1"/>
          <w:sz w:val="22"/>
          <w:szCs w:val="22"/>
          <w:lang w:val="es"/>
        </w:rPr>
        <w:t xml:space="preserve"> </w:t>
      </w:r>
    </w:p>
    <w:p w14:paraId="43CD2312" w14:textId="77777777" w:rsidR="007B7514" w:rsidRDefault="007B7514" w:rsidP="007B7514">
      <w:pPr>
        <w:jc w:val="both"/>
      </w:pPr>
      <w:r w:rsidRPr="31FF9146">
        <w:rPr>
          <w:rFonts w:eastAsia="Arial" w:cs="Arial"/>
          <w:color w:val="000000" w:themeColor="text1"/>
          <w:sz w:val="22"/>
          <w:szCs w:val="22"/>
          <w:lang w:val="es"/>
        </w:rPr>
        <w:t>Es importante resaltar que, con la FAO, se publicó el mapa de captura de carbono orgánico a nivel nacional en los cuales intervinieron varias entidades, y principalmente lo hizo el IGAC con la generación e interpretación de datos.</w:t>
      </w:r>
    </w:p>
    <w:p w14:paraId="2FC73AFD" w14:textId="77777777" w:rsidR="007B7514" w:rsidRDefault="007B7514" w:rsidP="007B7514">
      <w:pPr>
        <w:jc w:val="both"/>
      </w:pPr>
      <w:r w:rsidRPr="31FF9146">
        <w:rPr>
          <w:rFonts w:eastAsia="Arial" w:cs="Arial"/>
          <w:color w:val="000000" w:themeColor="text1"/>
          <w:sz w:val="22"/>
          <w:szCs w:val="22"/>
          <w:lang w:val="es"/>
        </w:rPr>
        <w:t xml:space="preserve"> </w:t>
      </w:r>
    </w:p>
    <w:p w14:paraId="092EC066" w14:textId="77777777" w:rsidR="007B7514" w:rsidRDefault="007B7514" w:rsidP="007B7514">
      <w:pPr>
        <w:jc w:val="both"/>
      </w:pPr>
      <w:r w:rsidRPr="31FF9146">
        <w:rPr>
          <w:rFonts w:eastAsia="Arial" w:cs="Arial"/>
          <w:color w:val="000000" w:themeColor="text1"/>
          <w:sz w:val="22"/>
          <w:szCs w:val="22"/>
          <w:lang w:val="es"/>
        </w:rPr>
        <w:t>Con las Corporaciones Autónomas Regionales de Cortolima y CAR (Cundinamarca), se terminaron estudios de suelos que llevaron a la planificación de cuencas hidrográficas de la jurisdicción que estas tienen.</w:t>
      </w:r>
    </w:p>
    <w:p w14:paraId="6197BD47" w14:textId="77777777" w:rsidR="007B7514" w:rsidRDefault="007B7514" w:rsidP="007B7514">
      <w:pPr>
        <w:jc w:val="both"/>
      </w:pPr>
      <w:r w:rsidRPr="31FF9146">
        <w:rPr>
          <w:rFonts w:eastAsia="Arial" w:cs="Arial"/>
          <w:color w:val="000000" w:themeColor="text1"/>
          <w:sz w:val="22"/>
          <w:szCs w:val="22"/>
          <w:lang w:val="es"/>
        </w:rPr>
        <w:t xml:space="preserve"> </w:t>
      </w:r>
    </w:p>
    <w:p w14:paraId="15453DCA" w14:textId="77777777" w:rsidR="007B7514" w:rsidRDefault="007B7514" w:rsidP="007B7514">
      <w:pPr>
        <w:jc w:val="both"/>
      </w:pPr>
      <w:r w:rsidRPr="31FF9146">
        <w:rPr>
          <w:rFonts w:eastAsia="Arial" w:cs="Arial"/>
          <w:color w:val="000000" w:themeColor="text1"/>
          <w:sz w:val="22"/>
          <w:szCs w:val="22"/>
          <w:lang w:val="es"/>
        </w:rPr>
        <w:t>Con el Jardín Botánico de Bogotá, José Celestino Mutis se generó información básica de análisis de suelos para los proyectos ambientales y productivos que lidera esta Entidad en el Distrito Capital.</w:t>
      </w:r>
    </w:p>
    <w:p w14:paraId="1C601E90" w14:textId="77777777" w:rsidR="007B7514" w:rsidRDefault="007B7514" w:rsidP="007B7514">
      <w:pPr>
        <w:jc w:val="both"/>
      </w:pPr>
      <w:r w:rsidRPr="31FF9146">
        <w:rPr>
          <w:rFonts w:eastAsia="Arial" w:cs="Arial"/>
          <w:color w:val="000000" w:themeColor="text1"/>
          <w:sz w:val="22"/>
          <w:szCs w:val="22"/>
          <w:lang w:val="es"/>
        </w:rPr>
        <w:t xml:space="preserve"> </w:t>
      </w:r>
    </w:p>
    <w:p w14:paraId="2E814C49"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llevaron a cabo investigaciones aplicadas a la identificación de los suelos del territorio nacional, mediante mapeo digital y metodologías aplicables en la Alianza Mundial por el Suelo, como son:  mapa de suelos negros y mapa de suelos salinos</w:t>
      </w:r>
    </w:p>
    <w:p w14:paraId="31585B6C"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generó la cartografía temática de las Áreas Homogéneas de la Tierra como insumo agrológico para Catastro Multipropósito</w:t>
      </w:r>
    </w:p>
    <w:p w14:paraId="25B7FBFA"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realizó estudio multitemporal de las coberturas y uso de la tierra y el levantamiento de suelos a escala 1: 10.000 en las zonas de páramo de la jurisdicción CAR.</w:t>
      </w:r>
    </w:p>
    <w:p w14:paraId="1E4A7313"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realizó el levantamiento de suelos en los departamentos de Cesar y Magdalena.</w:t>
      </w:r>
    </w:p>
    <w:p w14:paraId="292D5DCB"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realizó la interpretación de geomorfología y cobertura de la tierra para 12 municipios de Magdalena.</w:t>
      </w:r>
    </w:p>
    <w:p w14:paraId="4C740FEF"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lastRenderedPageBreak/>
        <w:t>Se interpretaron 313.968 ha de cartografía geomorfológica, en sectores de los departamentos de Cauca, Putumayo, Tolima, Nariño y Risaralda</w:t>
      </w:r>
    </w:p>
    <w:p w14:paraId="1B941FD7"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hicieron 11.218 análisis de propiedades químicas, físicas, mineralógicas y biológicas de suelo, tejido vegetal y aguas en el LNS. A pesar de las condiciones de pandemia se logró realizar los análisis que los agricultores requerían para la instalación de los diferentes cultivos de las regiones del país.</w:t>
      </w:r>
    </w:p>
    <w:p w14:paraId="1C9630AF"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participó en el desafío de automatización de la taxonomía de suelos liderado por el Ministerio de las Tecnologías de la Información y las Comunicaciones, mediante la minería de datos para agilizar los procesos temáticos de la Subdirección de Agrología, contribuyendo a la generación de información y análisis de los datos de suelos con los que cuenta el IGAC y que son utilizados por los sectores ambientales y productivos del país.</w:t>
      </w:r>
    </w:p>
    <w:p w14:paraId="48D6582E"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La Red Mundial de Laboratorios de Suelos (GLOSOLAN) de la FAO, resaltó la labor del IGAC en el segundo test del año 2019 motivo por el cual donó una centrífuga para los proyectos misionales del Laboratorio Nacional de Suelos</w:t>
      </w:r>
    </w:p>
    <w:p w14:paraId="6201B5CD"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 xml:space="preserve">Reconocimiento del </w:t>
      </w:r>
      <w:r w:rsidRPr="007D3316">
        <w:rPr>
          <w:rFonts w:eastAsia="Arial" w:cs="Arial"/>
          <w:sz w:val="22"/>
          <w:szCs w:val="22"/>
          <w:lang w:val="es"/>
        </w:rPr>
        <w:t>grupo de investigación Suelos y Ecología por medio de</w:t>
      </w:r>
      <w:r w:rsidRPr="007D3316">
        <w:rPr>
          <w:rFonts w:eastAsia="Arial" w:cs="Arial"/>
          <w:sz w:val="22"/>
          <w:szCs w:val="22"/>
        </w:rPr>
        <w:t xml:space="preserve"> la</w:t>
      </w:r>
      <w:r w:rsidRPr="007D3316">
        <w:rPr>
          <w:rFonts w:eastAsia="Arial" w:cs="Arial"/>
          <w:sz w:val="22"/>
          <w:szCs w:val="22"/>
          <w:lang w:val="es"/>
        </w:rPr>
        <w:t xml:space="preserve"> convocatoria 894 de 2021 de Minciencias.</w:t>
      </w:r>
    </w:p>
    <w:p w14:paraId="76A8522F" w14:textId="77777777" w:rsidR="007B7514" w:rsidRPr="007D3316" w:rsidRDefault="007B7514" w:rsidP="000A20EE">
      <w:pPr>
        <w:pStyle w:val="Prrafodelista"/>
        <w:numPr>
          <w:ilvl w:val="0"/>
          <w:numId w:val="215"/>
        </w:numPr>
        <w:rPr>
          <w:rFonts w:cs="Arial"/>
          <w:sz w:val="22"/>
          <w:szCs w:val="22"/>
        </w:rPr>
      </w:pPr>
      <w:r w:rsidRPr="007D3316">
        <w:rPr>
          <w:rFonts w:eastAsia="Arial" w:cs="Arial"/>
          <w:sz w:val="22"/>
          <w:szCs w:val="22"/>
        </w:rPr>
        <w:t>Se logró unificar la metodología sobre aspectos de geomorfología y cobertura a nivel nacional con la participación de 9 mesas técnicas intersectoriales.</w:t>
      </w:r>
    </w:p>
    <w:p w14:paraId="3265D7AD" w14:textId="77777777" w:rsidR="007B7514" w:rsidRPr="007D3316" w:rsidRDefault="007B7514" w:rsidP="000A20EE">
      <w:pPr>
        <w:pStyle w:val="Prrafodelista"/>
        <w:numPr>
          <w:ilvl w:val="3"/>
          <w:numId w:val="215"/>
        </w:numPr>
        <w:ind w:left="709" w:hanging="283"/>
        <w:rPr>
          <w:rFonts w:cs="Arial"/>
          <w:sz w:val="22"/>
          <w:szCs w:val="22"/>
        </w:rPr>
      </w:pPr>
      <w:r w:rsidRPr="007D3316">
        <w:rPr>
          <w:rFonts w:eastAsia="Arial" w:cs="Arial"/>
          <w:sz w:val="22"/>
          <w:szCs w:val="22"/>
        </w:rPr>
        <w:t>Información de Insumos Agrológicos para el Catastro Multipropósito se encuentra ya en “Colombia en Mapas”.</w:t>
      </w:r>
    </w:p>
    <w:p w14:paraId="080FD268" w14:textId="77777777" w:rsidR="007B7514" w:rsidRPr="007D3316" w:rsidRDefault="007B7514" w:rsidP="000A20EE">
      <w:pPr>
        <w:pStyle w:val="Prrafodelista"/>
        <w:numPr>
          <w:ilvl w:val="0"/>
          <w:numId w:val="215"/>
        </w:numPr>
        <w:rPr>
          <w:rFonts w:eastAsia="Arial" w:cs="Arial"/>
          <w:sz w:val="22"/>
          <w:szCs w:val="22"/>
        </w:rPr>
      </w:pPr>
      <w:r w:rsidRPr="007D3316">
        <w:rPr>
          <w:rFonts w:eastAsia="Arial" w:cs="Arial"/>
          <w:sz w:val="22"/>
          <w:szCs w:val="22"/>
        </w:rPr>
        <w:t>Mapa nacional de stock de carbono, realizado a través de la Alianza Mundial por los Suelos liderada por la FAO y con la participación del IGAC, Universidad Pedagógica y Tecnológica de Colombia-UPTC, IDEAM y AGROSAVIA.</w:t>
      </w:r>
    </w:p>
    <w:p w14:paraId="29DBA65B" w14:textId="247AEDCD" w:rsidR="00AA2E70" w:rsidRDefault="00AA2E70" w:rsidP="007B7514">
      <w:pPr>
        <w:rPr>
          <w:rFonts w:eastAsia="Arial" w:cs="Arial"/>
          <w:b/>
          <w:bCs/>
          <w:sz w:val="22"/>
          <w:szCs w:val="22"/>
        </w:rPr>
      </w:pPr>
    </w:p>
    <w:p w14:paraId="21653488" w14:textId="5A662AB5" w:rsidR="00F368CF" w:rsidRPr="00F368CF" w:rsidRDefault="007B7514" w:rsidP="000A20EE">
      <w:pPr>
        <w:pStyle w:val="Prrafodelista"/>
        <w:numPr>
          <w:ilvl w:val="2"/>
          <w:numId w:val="22"/>
        </w:numPr>
        <w:rPr>
          <w:rFonts w:eastAsia="Arial" w:cs="Arial"/>
          <w:b/>
          <w:bCs/>
          <w:sz w:val="22"/>
          <w:szCs w:val="22"/>
        </w:rPr>
      </w:pPr>
      <w:r w:rsidRPr="31FF9146">
        <w:rPr>
          <w:rFonts w:eastAsia="Arial" w:cs="Arial"/>
          <w:b/>
          <w:bCs/>
          <w:sz w:val="22"/>
          <w:szCs w:val="22"/>
        </w:rPr>
        <w:t>IMPACTO POBLACIONAL</w:t>
      </w:r>
    </w:p>
    <w:p w14:paraId="429D155B" w14:textId="1B019D87" w:rsidR="007B7514" w:rsidRDefault="007B7514" w:rsidP="007B7514">
      <w:pPr>
        <w:jc w:val="both"/>
      </w:pPr>
      <w:r w:rsidRPr="31FF9146">
        <w:rPr>
          <w:rFonts w:eastAsia="Arial" w:cs="Arial"/>
          <w:b/>
          <w:bCs/>
          <w:color w:val="000000" w:themeColor="text1"/>
          <w:sz w:val="22"/>
          <w:szCs w:val="22"/>
          <w:lang w:val="es"/>
        </w:rPr>
        <w:t xml:space="preserve"> </w:t>
      </w:r>
    </w:p>
    <w:p w14:paraId="1F4916A2" w14:textId="77777777" w:rsidR="007B7514" w:rsidRDefault="007B7514" w:rsidP="007B7514">
      <w:pPr>
        <w:jc w:val="both"/>
      </w:pPr>
      <w:r w:rsidRPr="31FF9146">
        <w:rPr>
          <w:rFonts w:eastAsia="Arial" w:cs="Arial"/>
          <w:color w:val="000000" w:themeColor="text1"/>
          <w:sz w:val="22"/>
          <w:szCs w:val="22"/>
          <w:lang w:val="es"/>
        </w:rPr>
        <w:t>La generación, integración y publicación de la información geodésica, cartográfica, geográfica y agrológica en un único sitio para su fácil descubrimiento, acceso y uso por parte de los ciudadanos y demás interesados, bajo una licencia abierta estándar "</w:t>
      </w:r>
      <w:r w:rsidRPr="31FF9146">
        <w:rPr>
          <w:rFonts w:eastAsia="Arial" w:cs="Arial"/>
          <w:i/>
          <w:iCs/>
          <w:color w:val="000000" w:themeColor="text1"/>
          <w:sz w:val="22"/>
          <w:szCs w:val="22"/>
          <w:lang w:val="es"/>
        </w:rPr>
        <w:t>Creative Commons CC-BY 4.0</w:t>
      </w:r>
      <w:hyperlink r:id="rId86" w:anchor="_ftn1">
        <w:r w:rsidRPr="31FF9146">
          <w:rPr>
            <w:rStyle w:val="Hipervnculo"/>
            <w:rFonts w:eastAsia="Arial" w:cs="Arial"/>
            <w:sz w:val="22"/>
            <w:szCs w:val="22"/>
            <w:vertAlign w:val="superscript"/>
            <w:lang w:val="es"/>
          </w:rPr>
          <w:t>[1]</w:t>
        </w:r>
      </w:hyperlink>
      <w:r w:rsidRPr="31FF9146">
        <w:rPr>
          <w:rFonts w:eastAsia="Arial" w:cs="Arial"/>
          <w:color w:val="000000" w:themeColor="text1"/>
          <w:sz w:val="22"/>
          <w:szCs w:val="22"/>
          <w:lang w:val="es"/>
        </w:rPr>
        <w:t>", permite a los diferentes usuarios:</w:t>
      </w:r>
    </w:p>
    <w:p w14:paraId="51F5FEC5" w14:textId="77777777" w:rsidR="007B7514" w:rsidRDefault="007B7514" w:rsidP="007B7514">
      <w:pPr>
        <w:jc w:val="both"/>
      </w:pPr>
      <w:r w:rsidRPr="31FF9146">
        <w:rPr>
          <w:rFonts w:eastAsia="Arial" w:cs="Arial"/>
          <w:color w:val="000000" w:themeColor="text1"/>
          <w:sz w:val="22"/>
          <w:szCs w:val="22"/>
          <w:lang w:val="es"/>
        </w:rPr>
        <w:t xml:space="preserve"> </w:t>
      </w:r>
    </w:p>
    <w:p w14:paraId="653BB510"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Utilizar los datos oficiales y de alta calidad sin restricciones, dando siempre los créditos de autor al IGAC.</w:t>
      </w:r>
    </w:p>
    <w:p w14:paraId="3E9E1D6D"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Disminuir trámites y tiempos de espera para acceder a la información.</w:t>
      </w:r>
    </w:p>
    <w:p w14:paraId="52DBA6AE"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Ahorrar tiempo y dinero para aquellos que trabajen con este tipo de información</w:t>
      </w:r>
    </w:p>
    <w:p w14:paraId="4F963102" w14:textId="4E963748" w:rsidR="007B7514" w:rsidRDefault="007B7514" w:rsidP="007B7514">
      <w:pPr>
        <w:ind w:left="360" w:hanging="360"/>
        <w:jc w:val="both"/>
      </w:pPr>
      <w:r w:rsidRPr="31FF9146">
        <w:rPr>
          <w:rFonts w:ascii="Symbol" w:eastAsia="Symbol" w:hAnsi="Symbol" w:cs="Symbol"/>
          <w:color w:val="000000" w:themeColor="text1"/>
          <w:sz w:val="22"/>
          <w:szCs w:val="22"/>
        </w:rPr>
        <w:t></w:t>
      </w:r>
      <w:r w:rsidR="00A93FC3">
        <w:rPr>
          <w:rFonts w:ascii="Times New Roman" w:hAnsi="Times New Roman"/>
          <w:color w:val="000000" w:themeColor="text1"/>
          <w:sz w:val="14"/>
          <w:szCs w:val="14"/>
        </w:rPr>
        <w:t xml:space="preserve">   </w:t>
      </w:r>
      <w:r w:rsidRPr="31FF9146">
        <w:rPr>
          <w:rFonts w:eastAsia="Arial" w:cs="Arial"/>
          <w:color w:val="000000" w:themeColor="text1"/>
          <w:sz w:val="22"/>
          <w:szCs w:val="22"/>
        </w:rPr>
        <w:t xml:space="preserve">Conocer mejor los territorios, analizarlos para tomar mejores decisiones y realizar una adecuada planeación. </w:t>
      </w:r>
    </w:p>
    <w:p w14:paraId="4FE304B9"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Innovar haciendo uso de múltiples métodos de visualización, procesamiento y disposición de datos.</w:t>
      </w:r>
    </w:p>
    <w:p w14:paraId="533915BB"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 xml:space="preserve">Utilizar esta información para la generación de nuevos servicios. </w:t>
      </w:r>
    </w:p>
    <w:p w14:paraId="50038FAF"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Crear conocimiento y desarrollo económico en el país, por ejemplo, empresas de GPS utilizan como base la información cartográfica.</w:t>
      </w:r>
    </w:p>
    <w:p w14:paraId="33AC03DE" w14:textId="77777777" w:rsidR="007B7514" w:rsidRDefault="007B7514" w:rsidP="007B7514">
      <w:pPr>
        <w:ind w:left="360" w:hanging="360"/>
        <w:jc w:val="both"/>
      </w:pPr>
      <w:r w:rsidRPr="31FF9146">
        <w:rPr>
          <w:rFonts w:ascii="Symbol" w:eastAsia="Symbol" w:hAnsi="Symbol" w:cs="Symbol"/>
          <w:color w:val="000000" w:themeColor="text1"/>
          <w:sz w:val="22"/>
          <w:szCs w:val="22"/>
        </w:rPr>
        <w:t></w:t>
      </w:r>
      <w:r w:rsidRPr="31FF9146">
        <w:rPr>
          <w:rFonts w:ascii="Times New Roman" w:hAnsi="Times New Roman"/>
          <w:color w:val="000000" w:themeColor="text1"/>
          <w:sz w:val="14"/>
          <w:szCs w:val="14"/>
        </w:rPr>
        <w:t xml:space="preserve">       </w:t>
      </w:r>
      <w:r w:rsidRPr="31FF9146">
        <w:rPr>
          <w:rFonts w:eastAsia="Arial" w:cs="Arial"/>
          <w:color w:val="000000" w:themeColor="text1"/>
          <w:sz w:val="22"/>
          <w:szCs w:val="22"/>
        </w:rPr>
        <w:t>Realizar análisis, visualización y combinación de información de varias fuentes para concluir sobre un tema de interés.</w:t>
      </w:r>
    </w:p>
    <w:p w14:paraId="691D2693" w14:textId="77777777" w:rsidR="007B7514" w:rsidRDefault="007B7514" w:rsidP="007B7514">
      <w:pPr>
        <w:jc w:val="both"/>
      </w:pPr>
      <w:r w:rsidRPr="31FF9146">
        <w:rPr>
          <w:rFonts w:eastAsia="Arial" w:cs="Arial"/>
          <w:color w:val="000000" w:themeColor="text1"/>
          <w:sz w:val="22"/>
          <w:szCs w:val="22"/>
        </w:rPr>
        <w:t xml:space="preserve"> </w:t>
      </w:r>
    </w:p>
    <w:p w14:paraId="1E5DC7D2" w14:textId="77777777" w:rsidR="007B7514" w:rsidRDefault="007B7514" w:rsidP="007B7514">
      <w:pPr>
        <w:jc w:val="both"/>
      </w:pPr>
      <w:r w:rsidRPr="31FF9146">
        <w:rPr>
          <w:rFonts w:eastAsia="Arial" w:cs="Arial"/>
          <w:color w:val="000000" w:themeColor="text1"/>
          <w:sz w:val="22"/>
          <w:szCs w:val="22"/>
          <w:lang w:val="es"/>
        </w:rPr>
        <w:t xml:space="preserve">Así mismo, la definición del sistema de proyección cartográfica con un único origen, establecida mediante la Resolución 370 del 2021, trae consigo una simplificación en la gestión de </w:t>
      </w:r>
      <w:r w:rsidRPr="31FF9146">
        <w:rPr>
          <w:rFonts w:eastAsia="Arial" w:cs="Arial"/>
          <w:color w:val="000000" w:themeColor="text1"/>
          <w:sz w:val="22"/>
          <w:szCs w:val="22"/>
          <w:lang w:val="es"/>
        </w:rPr>
        <w:lastRenderedPageBreak/>
        <w:t>coordenadas por parte de los usuarios en sus diferentes proyectos o fines, y la eliminación de problemas de ambigüedad y posibles equivocaciones al usar o procesar los datos.</w:t>
      </w:r>
    </w:p>
    <w:p w14:paraId="0EC784C8" w14:textId="77777777" w:rsidR="007B7514" w:rsidRDefault="007B7514" w:rsidP="007B7514">
      <w:pPr>
        <w:jc w:val="both"/>
      </w:pPr>
      <w:r w:rsidRPr="31FF9146">
        <w:rPr>
          <w:rFonts w:eastAsia="Arial" w:cs="Arial"/>
          <w:color w:val="000000" w:themeColor="text1"/>
          <w:sz w:val="22"/>
          <w:szCs w:val="22"/>
          <w:lang w:val="es"/>
        </w:rPr>
        <w:t xml:space="preserve"> </w:t>
      </w:r>
    </w:p>
    <w:p w14:paraId="173D96B2" w14:textId="77777777" w:rsidR="007B7514" w:rsidRDefault="007B7514" w:rsidP="007B7514">
      <w:pPr>
        <w:jc w:val="both"/>
      </w:pPr>
      <w:r w:rsidRPr="31FF9146">
        <w:rPr>
          <w:rFonts w:eastAsia="Arial" w:cs="Arial"/>
          <w:color w:val="000000" w:themeColor="text1"/>
          <w:sz w:val="22"/>
          <w:szCs w:val="22"/>
          <w:lang w:val="es"/>
        </w:rPr>
        <w:t>De igual forma, el documento proyecto tipo busca generar o actualizar la información geográfica básica del territorio a los niveles de detalle requeridos, tanto de áreas urbanas y rurales; la cual les permitirá a los entes territoriales llevar a cabo ejercicios de planificación y administración del territorio, formación o actualización catastral, estratificación socioeconómica, focalización de subsidios, ordenamiento territorial y ambiental, entre otros de importancia para la gestión eficiente de los territorios.</w:t>
      </w:r>
    </w:p>
    <w:p w14:paraId="30CADA52" w14:textId="77777777" w:rsidR="007B7514" w:rsidRDefault="007B7514" w:rsidP="007B7514">
      <w:pPr>
        <w:jc w:val="both"/>
      </w:pPr>
    </w:p>
    <w:p w14:paraId="71264358" w14:textId="77777777" w:rsidR="007B7514" w:rsidRDefault="007B7514" w:rsidP="007B7514">
      <w:pPr>
        <w:jc w:val="both"/>
      </w:pPr>
      <w:r w:rsidRPr="31FF9146">
        <w:rPr>
          <w:rFonts w:eastAsia="Arial" w:cs="Arial"/>
          <w:color w:val="000000" w:themeColor="text1"/>
          <w:sz w:val="22"/>
          <w:szCs w:val="22"/>
          <w:lang w:val="es"/>
        </w:rPr>
        <w:t xml:space="preserve">Con respecto al documento generado sobre </w:t>
      </w:r>
      <w:r w:rsidRPr="31FF9146">
        <w:rPr>
          <w:rFonts w:eastAsia="Arial" w:cs="Arial"/>
          <w:i/>
          <w:iCs/>
          <w:color w:val="000000" w:themeColor="text1"/>
          <w:sz w:val="22"/>
          <w:szCs w:val="22"/>
          <w:lang w:val="es"/>
        </w:rPr>
        <w:t>“Recomendaciones para proceso de revisión y ajuste de Planes de Ordenamiento Territorial”</w:t>
      </w:r>
      <w:r w:rsidRPr="31FF9146">
        <w:rPr>
          <w:rFonts w:eastAsia="Arial" w:cs="Arial"/>
          <w:color w:val="000000" w:themeColor="text1"/>
          <w:sz w:val="22"/>
          <w:szCs w:val="22"/>
          <w:lang w:val="es"/>
        </w:rPr>
        <w:t>, este se publicará a manera de una cartilla de fácil comprensión y manejo, con las disposiciones legales vigentes, en especial el Decreto 1232 de 2020. La cartilla será publicada como recurso en la plataforma Colombia OT.</w:t>
      </w:r>
    </w:p>
    <w:p w14:paraId="63F272B7" w14:textId="77777777" w:rsidR="007B7514" w:rsidRDefault="007B7514" w:rsidP="007B7514">
      <w:pPr>
        <w:jc w:val="both"/>
      </w:pPr>
      <w:r w:rsidRPr="31FF9146">
        <w:rPr>
          <w:rFonts w:eastAsia="Arial" w:cs="Arial"/>
          <w:color w:val="000000" w:themeColor="text1"/>
          <w:sz w:val="22"/>
          <w:szCs w:val="22"/>
          <w:lang w:val="es"/>
        </w:rPr>
        <w:t xml:space="preserve"> </w:t>
      </w:r>
    </w:p>
    <w:p w14:paraId="6727B81C" w14:textId="77777777" w:rsidR="007B7514" w:rsidRDefault="007B7514" w:rsidP="007B7514">
      <w:pPr>
        <w:jc w:val="both"/>
      </w:pPr>
      <w:r w:rsidRPr="31FF9146">
        <w:rPr>
          <w:rFonts w:eastAsia="Arial" w:cs="Arial"/>
          <w:color w:val="000000" w:themeColor="text1"/>
          <w:sz w:val="22"/>
          <w:szCs w:val="22"/>
          <w:lang w:val="es"/>
        </w:rPr>
        <w:t>Con nuestra nueva regulación, bajo un enfoque de Juntos hacemos más, se busca construir cartografía y una red geodésica completa, de calidad, sincronizada e interoperable, que permita dar respuesta a las necesidades del país, pero también atender a los diferentes usuarios que transforman información en conocimiento.</w:t>
      </w:r>
    </w:p>
    <w:p w14:paraId="79CEFE02" w14:textId="77777777" w:rsidR="007B7514" w:rsidRDefault="007B7514" w:rsidP="007B7514">
      <w:pPr>
        <w:jc w:val="both"/>
      </w:pPr>
      <w:r w:rsidRPr="31FF9146">
        <w:rPr>
          <w:rFonts w:eastAsia="Arial" w:cs="Arial"/>
          <w:color w:val="000000" w:themeColor="text1"/>
          <w:sz w:val="22"/>
          <w:szCs w:val="22"/>
          <w:lang w:val="es"/>
        </w:rPr>
        <w:t xml:space="preserve"> </w:t>
      </w:r>
    </w:p>
    <w:p w14:paraId="14F38BE3" w14:textId="77777777" w:rsidR="007B7514" w:rsidRDefault="007B7514" w:rsidP="007B7514">
      <w:pPr>
        <w:jc w:val="both"/>
      </w:pPr>
      <w:r w:rsidRPr="31FF9146">
        <w:rPr>
          <w:rFonts w:eastAsia="Arial" w:cs="Arial"/>
          <w:color w:val="000000" w:themeColor="text1"/>
          <w:sz w:val="22"/>
          <w:szCs w:val="22"/>
          <w:lang w:val="es"/>
        </w:rPr>
        <w:t>Colombia en Mapas (CeM) dispone los datos abiertos de los mapas de Colombia para que sean visualizados, consultados, analizados y descargados. Es una herramienta concebida para promover que los ciudadanos puedan efectuar mejores análisis del territorio en menos tiempo. Así mismo, centraliza los datos y mapas del territorio colombiano un mismo lugar. Esto en principio, aunque parece simple, permite extraer el potencial de la información y esto se traduce en mejor productividad. Lo que antes eran muchos portales, ahora es uno. A la fecha registra un total de 236.390 usuarios.</w:t>
      </w:r>
    </w:p>
    <w:p w14:paraId="5E4A525D" w14:textId="77777777" w:rsidR="007B7514" w:rsidRDefault="007B7514" w:rsidP="007B7514">
      <w:pPr>
        <w:jc w:val="both"/>
      </w:pPr>
      <w:r w:rsidRPr="31FF9146">
        <w:rPr>
          <w:rFonts w:eastAsia="Arial" w:cs="Arial"/>
          <w:color w:val="000000" w:themeColor="text1"/>
          <w:sz w:val="22"/>
          <w:szCs w:val="22"/>
          <w:lang w:val="es"/>
        </w:rPr>
        <w:t xml:space="preserve"> </w:t>
      </w:r>
    </w:p>
    <w:p w14:paraId="64469DE3" w14:textId="77777777" w:rsidR="007B7514" w:rsidRDefault="007B7514" w:rsidP="007B7514">
      <w:pPr>
        <w:jc w:val="both"/>
      </w:pPr>
      <w:r w:rsidRPr="31FF9146">
        <w:rPr>
          <w:rFonts w:eastAsia="Arial" w:cs="Arial"/>
          <w:color w:val="000000" w:themeColor="text1"/>
          <w:sz w:val="22"/>
          <w:szCs w:val="22"/>
          <w:lang w:val="es"/>
        </w:rPr>
        <w:t xml:space="preserve">Adicionalmente, se creó la versión 1.0 de Colombia OT en: </w:t>
      </w:r>
      <w:hyperlink r:id="rId87">
        <w:r w:rsidRPr="31FF9146">
          <w:rPr>
            <w:rStyle w:val="Hipervnculo"/>
            <w:rFonts w:eastAsia="Arial" w:cs="Arial"/>
            <w:sz w:val="22"/>
            <w:szCs w:val="22"/>
            <w:lang w:val="es"/>
          </w:rPr>
          <w:t>www.colombiaot.gov.co</w:t>
        </w:r>
      </w:hyperlink>
      <w:r w:rsidRPr="31FF9146">
        <w:rPr>
          <w:rFonts w:eastAsia="Arial" w:cs="Arial"/>
          <w:color w:val="000000" w:themeColor="text1"/>
          <w:sz w:val="22"/>
          <w:szCs w:val="22"/>
          <w:lang w:val="es"/>
        </w:rPr>
        <w:t>. Una nueva casa para el Ordenamiento Territorial de Colombia. Se creó este espacio digital para que las entidades territoriales sean los anfitriones y lideren un mejor y más informado proceso de planeación territorial a nivel técnico y de gestión. En Colombia OT se encuentran centralizados recursos, herramientas e información técnica que permitirá hacer un trabajo minucioso en materia de Ordenamiento Territorial. Se busca que los usuarios encuentren en Colombia OT un nuevo aliado, y que la plataforma los empodere en su misión de transformar sus municipios y regiones. Colombia OT fue construida para que las entidades públicas y privadas a contribuyan en su construcción y robustecimiento. A la fecha se ha realizado gestión de información de 60 Planes de ordenamiento territorial para realizar el análisis de POT en las caracterizaciones territoriales.</w:t>
      </w:r>
    </w:p>
    <w:p w14:paraId="04240115" w14:textId="77777777" w:rsidR="007B7514" w:rsidRDefault="007B7514" w:rsidP="007B7514">
      <w:pPr>
        <w:jc w:val="both"/>
      </w:pPr>
      <w:r>
        <w:br/>
      </w:r>
      <w:r w:rsidRPr="31FF9146">
        <w:rPr>
          <w:rFonts w:eastAsia="Arial" w:cs="Arial"/>
          <w:color w:val="000000" w:themeColor="text1"/>
          <w:sz w:val="22"/>
          <w:szCs w:val="22"/>
          <w:lang w:val="es"/>
        </w:rPr>
        <w:t xml:space="preserve">Con respecto al tema de resguardos y territorios colectivos, durante la vigencia 2020 y 2021, el IGAC participó en reuniones institucionales y con autoridades indígenas en el marco de la Mesa Permanente de Concertación con el fin de revisar los avances en algunos indicadores de asuntos étnicos. Asimismo, se han atendido más de 413 solicitudes de información y requerimientos relacionados con el quehacer misional del Instituto en cuanto a grupos étnicos y fronteras internacionales, cartografía binacional, cuencas hidrográficas internacionales, demarcación y asuntos fronterizos marítimos, zona fronteriza marítima y terrestre, tanto por parte del Congreso de la República como de otras entidades del Gobierno Nacional. De igual forma, con el propósito de fortalecer la gestión de información cartográfica de territorios colectivos, en 2020 se elaboró el documento sobre las especificaciones técnicas información cartografía territorios colectivos. Adicionalmente, se elaboró el instructivo de asesoría técnica a los procedimientos de legalización </w:t>
      </w:r>
      <w:r w:rsidRPr="31FF9146">
        <w:rPr>
          <w:rFonts w:eastAsia="Arial" w:cs="Arial"/>
          <w:color w:val="000000" w:themeColor="text1"/>
          <w:sz w:val="22"/>
          <w:szCs w:val="22"/>
          <w:lang w:val="es"/>
        </w:rPr>
        <w:lastRenderedPageBreak/>
        <w:t xml:space="preserve">de Resguardos Indígenas y titulación de Consejos Comunitarios a Comunidades Negras liderados por la Agencia Nacional de Tierras (ANT), cuyo objetivo radica en contar con los lineamientos para llevar a cabo la revisión de información cartográfica de los procesos de saneamiento realizados por dicha entidad y en los que el Instituto participa. </w:t>
      </w:r>
    </w:p>
    <w:p w14:paraId="744A4084" w14:textId="77777777" w:rsidR="007B7514" w:rsidRDefault="007B7514" w:rsidP="007B7514">
      <w:pPr>
        <w:jc w:val="both"/>
      </w:pPr>
      <w:r w:rsidRPr="31FF9146">
        <w:rPr>
          <w:rFonts w:eastAsia="Arial" w:cs="Arial"/>
          <w:color w:val="000000" w:themeColor="text1"/>
          <w:sz w:val="22"/>
          <w:szCs w:val="22"/>
          <w:lang w:val="es"/>
        </w:rPr>
        <w:t xml:space="preserve"> </w:t>
      </w:r>
    </w:p>
    <w:p w14:paraId="5F9A0981" w14:textId="77777777" w:rsidR="007B7514" w:rsidRDefault="007B7514" w:rsidP="007B7514">
      <w:pPr>
        <w:jc w:val="both"/>
      </w:pPr>
      <w:r w:rsidRPr="31FF9146">
        <w:rPr>
          <w:rFonts w:eastAsia="Arial" w:cs="Arial"/>
          <w:color w:val="000000" w:themeColor="text1"/>
          <w:sz w:val="22"/>
          <w:szCs w:val="22"/>
          <w:lang w:val="es"/>
        </w:rPr>
        <w:t>En el año 2021, se han atendido requerimientos sobre información geográfica, jurídica y/o social de resguardos indígenas y límites de comunidades indígenas, Línea Negra - Decreto 1500 de 2018. Se ha participado en espacios sobre procesos de restitución de tierras en las Mesas de trabajo Interinstitucionales, procesos de legalización de tierras de Resguardos Indígenas al IGAC para evaluación.</w:t>
      </w:r>
    </w:p>
    <w:p w14:paraId="336B75F4" w14:textId="77777777" w:rsidR="007B7514" w:rsidRDefault="007B7514" w:rsidP="007B7514">
      <w:pPr>
        <w:jc w:val="both"/>
      </w:pPr>
      <w:r w:rsidRPr="31FF9146">
        <w:rPr>
          <w:rFonts w:ascii="Calibri" w:eastAsia="Calibri" w:hAnsi="Calibri" w:cs="Calibri"/>
          <w:color w:val="000000" w:themeColor="text1"/>
          <w:sz w:val="22"/>
          <w:szCs w:val="22"/>
          <w:lang w:val="es"/>
        </w:rPr>
        <w:t xml:space="preserve"> </w:t>
      </w:r>
    </w:p>
    <w:p w14:paraId="3C98CE2F" w14:textId="77777777" w:rsidR="007B7514" w:rsidRDefault="007B7514" w:rsidP="007B7514">
      <w:pPr>
        <w:spacing w:line="240" w:lineRule="exact"/>
        <w:jc w:val="both"/>
      </w:pPr>
      <w:r w:rsidRPr="31FF9146">
        <w:rPr>
          <w:rFonts w:eastAsia="Arial" w:cs="Arial"/>
          <w:color w:val="000000" w:themeColor="text1"/>
          <w:sz w:val="22"/>
          <w:szCs w:val="22"/>
          <w:lang w:val="es"/>
        </w:rPr>
        <w:t>Los estudios de suelos y la información generala por el LNS, contribuyó al conocimiento de las potencialidades de la Tierra a nivel municipal, departamental y regional; así las cosas, cerca de la tercera parte del territorio nacional, ahora cuenta con información que permite la planificación del uso de la Tierra con fines multipropósito.</w:t>
      </w:r>
    </w:p>
    <w:p w14:paraId="4D2AB1EC" w14:textId="77777777" w:rsidR="007B7514" w:rsidRDefault="007B7514" w:rsidP="007B7514">
      <w:pPr>
        <w:jc w:val="both"/>
      </w:pPr>
    </w:p>
    <w:p w14:paraId="79F88432" w14:textId="77777777" w:rsidR="007B7514" w:rsidRDefault="007B7514" w:rsidP="007B7514">
      <w:pPr>
        <w:jc w:val="both"/>
      </w:pPr>
      <w:r w:rsidRPr="31FF9146">
        <w:rPr>
          <w:rFonts w:eastAsia="Arial" w:cs="Arial"/>
          <w:color w:val="000000" w:themeColor="text1"/>
          <w:sz w:val="22"/>
          <w:szCs w:val="22"/>
          <w:lang w:val="es"/>
        </w:rPr>
        <w:t xml:space="preserve">Durante el año 2021, se generó el levantamiento detallado de suelos escala 1:10.000 de los páramos de la jurisdicción de la Corporación Autónoma Regional de Cundinamarca (CAR). El conocimiento aportado por el IGAC en este estudio permite evaluar en detalle la capacidad de uso de las tierras, la cobertura y uso. Los resultados se presentaron en formato digital, a través de una memoria técnica que incluye el capítulo de generalidades en el que se abordan aspectos socioculturales, geológicos, geomorfológicos, climáticos, hidrológicos y vegetativos más relevantes, para cada uno de los siete (7) páramos. </w:t>
      </w:r>
    </w:p>
    <w:p w14:paraId="4DF46DB8" w14:textId="77777777" w:rsidR="007B7514" w:rsidRDefault="007B7514" w:rsidP="007B7514">
      <w:pPr>
        <w:jc w:val="both"/>
      </w:pPr>
      <w:r w:rsidRPr="31FF9146">
        <w:rPr>
          <w:rFonts w:eastAsia="Arial" w:cs="Arial"/>
          <w:color w:val="000000" w:themeColor="text1"/>
          <w:sz w:val="22"/>
          <w:szCs w:val="22"/>
          <w:lang w:val="es"/>
        </w:rPr>
        <w:t xml:space="preserve"> </w:t>
      </w:r>
    </w:p>
    <w:p w14:paraId="352219EA" w14:textId="77777777" w:rsidR="007B7514" w:rsidRDefault="007B7514" w:rsidP="007B7514">
      <w:pPr>
        <w:jc w:val="both"/>
      </w:pPr>
      <w:r w:rsidRPr="31FF9146">
        <w:rPr>
          <w:rFonts w:eastAsia="Arial" w:cs="Arial"/>
          <w:color w:val="000000" w:themeColor="text1"/>
          <w:sz w:val="22"/>
          <w:szCs w:val="22"/>
          <w:lang w:val="es"/>
        </w:rPr>
        <w:t xml:space="preserve">Este estudio constituye una línea base para el ordenamiento integral del territorio, ya que, a partir de los aportes técnicos y la cartografía generada, se mapearon y caracterizaron las áreas con potencial productivo y se identificaron aquellas zonas que deben ser protegi­das, recuperadas o restringidas con el fin de garantizar el manejo adecuado del recurso suelo, principio fundamental para la buena salud de los ecosistemas locales y desarrollo de la población con un enfoque sostenible. </w:t>
      </w:r>
    </w:p>
    <w:p w14:paraId="7848F953" w14:textId="77777777" w:rsidR="007B7514" w:rsidRDefault="007B7514" w:rsidP="007B7514">
      <w:pPr>
        <w:jc w:val="both"/>
      </w:pPr>
      <w:r w:rsidRPr="31FF9146">
        <w:rPr>
          <w:rFonts w:eastAsia="Arial" w:cs="Arial"/>
          <w:color w:val="000000" w:themeColor="text1"/>
          <w:sz w:val="22"/>
          <w:szCs w:val="22"/>
          <w:lang w:val="es"/>
        </w:rPr>
        <w:t xml:space="preserve"> </w:t>
      </w:r>
    </w:p>
    <w:p w14:paraId="2291E4C2" w14:textId="77777777" w:rsidR="007B7514" w:rsidRDefault="007B7514" w:rsidP="007B7514">
      <w:pPr>
        <w:jc w:val="both"/>
      </w:pPr>
      <w:r w:rsidRPr="31FF9146">
        <w:rPr>
          <w:rFonts w:eastAsia="Arial" w:cs="Arial"/>
          <w:color w:val="000000" w:themeColor="text1"/>
          <w:sz w:val="22"/>
          <w:szCs w:val="22"/>
          <w:lang w:val="es"/>
        </w:rPr>
        <w:t>Por otro lado, se avanzó en la actualización de la Capacidad de Uso de las Tierras del municipio de Pereira, la correlación, homologación y extrapolación de los suelos departamento del Valle del Cauca y la interpretación de la Cobertura y Uso de las Tierras de las provincias de Almeidas y Ubaté, en el departamento de Cundinamarca.</w:t>
      </w:r>
    </w:p>
    <w:p w14:paraId="5201A6D7" w14:textId="77777777" w:rsidR="007B7514" w:rsidRDefault="007B7514" w:rsidP="007B7514">
      <w:pPr>
        <w:jc w:val="both"/>
      </w:pPr>
      <w:r w:rsidRPr="31FF9146">
        <w:rPr>
          <w:rFonts w:eastAsia="Arial" w:cs="Arial"/>
          <w:color w:val="000000" w:themeColor="text1"/>
          <w:sz w:val="22"/>
          <w:szCs w:val="22"/>
          <w:lang w:val="es"/>
        </w:rPr>
        <w:t xml:space="preserve"> </w:t>
      </w:r>
    </w:p>
    <w:p w14:paraId="246A6112" w14:textId="77777777" w:rsidR="007B7514" w:rsidRDefault="007B7514" w:rsidP="007B7514">
      <w:pPr>
        <w:jc w:val="both"/>
      </w:pPr>
      <w:r w:rsidRPr="31FF9146">
        <w:rPr>
          <w:rFonts w:eastAsia="Arial" w:cs="Arial"/>
          <w:color w:val="000000" w:themeColor="text1"/>
          <w:sz w:val="22"/>
          <w:szCs w:val="22"/>
          <w:lang w:val="es"/>
        </w:rPr>
        <w:t>Adicionalmente, el IGAC cuenta con el Laboratorio Nacional de Suelos, que presta el servicio de análisis a muestras de suelos, agua para riego y tejido vegetal, determinando sus características físicas, químicas mineralógicas y biológicas a clientes internos y externos. Este laboratorio es de referencia nacional por lo que los resultados analíticos son tomados por otros laboratorios y validados para sus procesos.</w:t>
      </w:r>
    </w:p>
    <w:p w14:paraId="201AB6A6" w14:textId="77777777" w:rsidR="007B7514" w:rsidRDefault="007B7514" w:rsidP="007B7514">
      <w:pPr>
        <w:jc w:val="both"/>
      </w:pPr>
      <w:r w:rsidRPr="31FF9146">
        <w:rPr>
          <w:rFonts w:eastAsia="Arial" w:cs="Arial"/>
          <w:color w:val="000000" w:themeColor="text1"/>
          <w:sz w:val="22"/>
          <w:szCs w:val="22"/>
          <w:lang w:val="es"/>
        </w:rPr>
        <w:t xml:space="preserve"> </w:t>
      </w:r>
    </w:p>
    <w:p w14:paraId="3BDDC03E" w14:textId="089CB3B9"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La información que se genera desde la Subdirección de Agrología es información básica para la toma de decisiones de los entes territoriales como Alcaldías, CAR’s, entidades gubernamentales, universidades y personas particulares; por lo que permanentemente se está recibiendo solicitud de información a lo que se da respuesta y en algunos casos con licencias de uso.</w:t>
      </w:r>
    </w:p>
    <w:p w14:paraId="7EA78058" w14:textId="7AF39C63" w:rsidR="00712950" w:rsidRDefault="00712950" w:rsidP="007B7514">
      <w:pPr>
        <w:jc w:val="both"/>
        <w:rPr>
          <w:rFonts w:eastAsia="Arial" w:cs="Arial"/>
          <w:color w:val="000000" w:themeColor="text1"/>
          <w:sz w:val="22"/>
          <w:szCs w:val="22"/>
          <w:lang w:val="es"/>
        </w:rPr>
      </w:pPr>
    </w:p>
    <w:p w14:paraId="6EC37BDF" w14:textId="5C74083B" w:rsidR="00712950" w:rsidRDefault="00712950" w:rsidP="007B7514">
      <w:pPr>
        <w:jc w:val="both"/>
        <w:rPr>
          <w:rFonts w:eastAsia="Arial" w:cs="Arial"/>
          <w:color w:val="000000" w:themeColor="text1"/>
          <w:sz w:val="22"/>
          <w:szCs w:val="22"/>
          <w:lang w:val="es"/>
        </w:rPr>
      </w:pPr>
    </w:p>
    <w:p w14:paraId="6A6CA0C3" w14:textId="77777777" w:rsidR="00712950" w:rsidRDefault="00712950" w:rsidP="007B7514">
      <w:pPr>
        <w:jc w:val="both"/>
      </w:pPr>
    </w:p>
    <w:p w14:paraId="34CDD6C2" w14:textId="2A1A138A" w:rsidR="00A0006C" w:rsidRPr="00A93FC3" w:rsidRDefault="007B7514" w:rsidP="007B7514">
      <w:pPr>
        <w:jc w:val="both"/>
        <w:rPr>
          <w:rFonts w:eastAsia="Arial" w:cs="Arial"/>
          <w:b/>
          <w:bCs/>
          <w:color w:val="000000" w:themeColor="text1"/>
          <w:sz w:val="22"/>
          <w:szCs w:val="22"/>
          <w:lang w:val="es"/>
        </w:rPr>
      </w:pPr>
      <w:r w:rsidRPr="5E3F7ADD">
        <w:rPr>
          <w:rFonts w:eastAsia="Arial" w:cs="Arial"/>
          <w:b/>
          <w:bCs/>
          <w:color w:val="000000" w:themeColor="text1"/>
          <w:sz w:val="22"/>
          <w:szCs w:val="22"/>
          <w:lang w:val="es"/>
        </w:rPr>
        <w:t xml:space="preserve"> </w:t>
      </w:r>
    </w:p>
    <w:p w14:paraId="18C66BA5" w14:textId="28BEC084" w:rsidR="001839B5" w:rsidRPr="001839B5" w:rsidRDefault="007B7514" w:rsidP="000A20EE">
      <w:pPr>
        <w:pStyle w:val="Prrafodelista"/>
        <w:numPr>
          <w:ilvl w:val="2"/>
          <w:numId w:val="22"/>
        </w:numPr>
        <w:rPr>
          <w:rFonts w:eastAsia="Arial" w:cs="Arial"/>
          <w:b/>
          <w:bCs/>
          <w:color w:val="000000" w:themeColor="text1"/>
          <w:sz w:val="22"/>
          <w:szCs w:val="22"/>
          <w:lang w:val="es"/>
        </w:rPr>
      </w:pPr>
      <w:r w:rsidRPr="5E3F7ADD">
        <w:rPr>
          <w:rFonts w:eastAsia="Arial" w:cs="Arial"/>
          <w:b/>
          <w:bCs/>
          <w:sz w:val="22"/>
          <w:szCs w:val="22"/>
        </w:rPr>
        <w:lastRenderedPageBreak/>
        <w:t>ENFOQUE TERRITORIAL</w:t>
      </w:r>
      <w:r w:rsidRPr="5E3F7ADD">
        <w:rPr>
          <w:rFonts w:eastAsia="Arial" w:cs="Arial"/>
          <w:b/>
          <w:bCs/>
          <w:color w:val="000000" w:themeColor="text1"/>
          <w:sz w:val="22"/>
          <w:szCs w:val="22"/>
          <w:lang w:val="es"/>
        </w:rPr>
        <w:t xml:space="preserve"> </w:t>
      </w:r>
    </w:p>
    <w:p w14:paraId="19ACA11F" w14:textId="3E1B8343" w:rsidR="00A93FC3" w:rsidRPr="00C43033" w:rsidRDefault="00A93FC3" w:rsidP="007B7514">
      <w:pPr>
        <w:jc w:val="both"/>
        <w:rPr>
          <w:rFonts w:eastAsia="Arial" w:cs="Arial"/>
          <w:b/>
          <w:bCs/>
          <w:sz w:val="22"/>
          <w:szCs w:val="22"/>
        </w:rPr>
      </w:pPr>
    </w:p>
    <w:p w14:paraId="0F1C4933" w14:textId="77777777" w:rsidR="007B7514" w:rsidRDefault="007B7514" w:rsidP="007B7514">
      <w:pPr>
        <w:jc w:val="both"/>
      </w:pPr>
      <w:r w:rsidRPr="31FF9146">
        <w:rPr>
          <w:rFonts w:eastAsia="Arial" w:cs="Arial"/>
          <w:color w:val="000000" w:themeColor="text1"/>
          <w:sz w:val="22"/>
          <w:szCs w:val="22"/>
          <w:lang w:val="es"/>
        </w:rPr>
        <w:t>Los Programas de Desarrollo con Enfoque Territorial (PDET) es un instrumento de planificación participativa que busca definir las visiones a futuro y proyectos prioritarios de las comunidades más afectadas por el conflicto armado</w:t>
      </w:r>
      <w:r w:rsidRPr="31FF9146">
        <w:rPr>
          <w:rFonts w:eastAsia="Arial" w:cs="Arial"/>
          <w:color w:val="202124"/>
          <w:sz w:val="22"/>
          <w:szCs w:val="22"/>
          <w:lang w:val="es"/>
        </w:rPr>
        <w:t>. Actualmente, estos PDET abarca</w:t>
      </w:r>
      <w:r w:rsidRPr="31FF9146">
        <w:rPr>
          <w:rFonts w:eastAsia="Arial" w:cs="Arial"/>
          <w:color w:val="000000" w:themeColor="text1"/>
          <w:sz w:val="22"/>
          <w:szCs w:val="22"/>
          <w:lang w:val="es"/>
        </w:rPr>
        <w:t>n 170 mu</w:t>
      </w:r>
      <w:r w:rsidRPr="31FF9146">
        <w:rPr>
          <w:rFonts w:eastAsia="Arial" w:cs="Arial"/>
          <w:color w:val="202124"/>
          <w:sz w:val="22"/>
          <w:szCs w:val="22"/>
          <w:lang w:val="es"/>
        </w:rPr>
        <w:t>nicipios del país.</w:t>
      </w:r>
    </w:p>
    <w:p w14:paraId="4B30DC1B" w14:textId="77777777" w:rsidR="007B7514" w:rsidRDefault="007B7514" w:rsidP="007B7514">
      <w:pPr>
        <w:jc w:val="both"/>
      </w:pPr>
      <w:r w:rsidRPr="31FF9146">
        <w:rPr>
          <w:rFonts w:eastAsia="Arial" w:cs="Arial"/>
          <w:color w:val="202124"/>
          <w:sz w:val="22"/>
          <w:szCs w:val="22"/>
          <w:lang w:val="es"/>
        </w:rPr>
        <w:t xml:space="preserve"> </w:t>
      </w:r>
    </w:p>
    <w:p w14:paraId="24B9FFD8" w14:textId="61AA5733" w:rsidR="007B7514" w:rsidRPr="00A93FC3" w:rsidRDefault="007B7514" w:rsidP="007B7514">
      <w:pPr>
        <w:jc w:val="both"/>
      </w:pPr>
      <w:r w:rsidRPr="31FF9146">
        <w:rPr>
          <w:rFonts w:eastAsia="Arial" w:cs="Arial"/>
          <w:color w:val="202124"/>
          <w:sz w:val="22"/>
          <w:szCs w:val="22"/>
          <w:lang w:val="es"/>
        </w:rPr>
        <w:t>En este sentido, desde la Dirección de Gestión de información geográfica como apoyo a los procesos de gestión catastral en estos territorios, elaboró y compartió con los respectivos interesados diagnósticos de información cartográfica, geográfica y geodésica existente, con su correspondiente análisis de estado de los límites de entidades territoriales. Así mismo, se generó insumos cartográficos, geodésicos, geográficos y agrológicos</w:t>
      </w:r>
      <w:r>
        <w:rPr>
          <w:rFonts w:eastAsia="Arial" w:cs="Arial"/>
          <w:color w:val="202124"/>
          <w:sz w:val="22"/>
          <w:szCs w:val="22"/>
          <w:lang w:val="es"/>
        </w:rPr>
        <w:t>.</w:t>
      </w:r>
    </w:p>
    <w:p w14:paraId="0E98CE0C" w14:textId="77777777" w:rsidR="007B7514" w:rsidRPr="00E7434E" w:rsidRDefault="007B7514" w:rsidP="007B7514">
      <w:pPr>
        <w:jc w:val="center"/>
        <w:rPr>
          <w:rFonts w:eastAsia="Arial" w:cs="Arial"/>
          <w:b/>
          <w:bCs/>
          <w:color w:val="000000" w:themeColor="text1"/>
          <w:sz w:val="16"/>
          <w:szCs w:val="16"/>
          <w:lang w:val="es"/>
        </w:rPr>
      </w:pPr>
    </w:p>
    <w:p w14:paraId="7FA0921B" w14:textId="4CF26E6E" w:rsidR="00350BFA" w:rsidRPr="00350BFA" w:rsidRDefault="00350BFA" w:rsidP="00350BFA">
      <w:pPr>
        <w:pStyle w:val="Descripcin"/>
        <w:keepNext/>
        <w:jc w:val="center"/>
        <w:rPr>
          <w:rFonts w:ascii="Arial" w:hAnsi="Arial" w:cs="Arial"/>
          <w:b/>
          <w:bCs/>
          <w:i w:val="0"/>
          <w:iCs w:val="0"/>
          <w:color w:val="auto"/>
          <w:sz w:val="16"/>
          <w:szCs w:val="16"/>
        </w:rPr>
      </w:pPr>
      <w:bookmarkStart w:id="119" w:name="_Toc88677112"/>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40</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Insumos cartográficos, geodésicos, geográficos y agrológicos</w:t>
      </w:r>
      <w:bookmarkEnd w:id="119"/>
    </w:p>
    <w:p w14:paraId="1203DA42" w14:textId="77777777" w:rsidR="007B7514" w:rsidRPr="00635DDF" w:rsidRDefault="007B7514" w:rsidP="007B7514">
      <w:pPr>
        <w:jc w:val="center"/>
        <w:rPr>
          <w:b/>
          <w:bCs/>
          <w:sz w:val="16"/>
          <w:szCs w:val="16"/>
        </w:rPr>
      </w:pPr>
    </w:p>
    <w:tbl>
      <w:tblPr>
        <w:tblStyle w:val="Tabladecuadrcula5oscura-nfasis1"/>
        <w:tblW w:w="0" w:type="auto"/>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6A0" w:firstRow="1" w:lastRow="0" w:firstColumn="1" w:lastColumn="0" w:noHBand="1" w:noVBand="1"/>
      </w:tblPr>
      <w:tblGrid>
        <w:gridCol w:w="1654"/>
        <w:gridCol w:w="2012"/>
        <w:gridCol w:w="5694"/>
      </w:tblGrid>
      <w:tr w:rsidR="007B7514" w14:paraId="20D3DC5F" w14:textId="77777777" w:rsidTr="006330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4" w:type="dxa"/>
            <w:vMerge w:val="restart"/>
            <w:tcBorders>
              <w:right w:val="single" w:sz="4" w:space="0" w:color="1F497D" w:themeColor="text2"/>
            </w:tcBorders>
            <w:vAlign w:val="center"/>
          </w:tcPr>
          <w:p w14:paraId="38D8C841" w14:textId="77777777" w:rsidR="007B7514" w:rsidRPr="00A93FC3" w:rsidRDefault="007B7514" w:rsidP="00A6302C">
            <w:pPr>
              <w:jc w:val="center"/>
            </w:pPr>
            <w:r w:rsidRPr="00A93FC3">
              <w:rPr>
                <w:rFonts w:eastAsia="Arial" w:cs="Arial"/>
                <w:sz w:val="20"/>
                <w:szCs w:val="20"/>
                <w:lang w:val="es"/>
              </w:rPr>
              <w:t>Geográfico</w:t>
            </w:r>
          </w:p>
        </w:tc>
        <w:tc>
          <w:tcPr>
            <w:tcW w:w="2012" w:type="dxa"/>
            <w:tcBorders>
              <w:top w:val="single" w:sz="4" w:space="0" w:color="1F497D" w:themeColor="text2"/>
              <w:left w:val="single" w:sz="4" w:space="0" w:color="1F497D" w:themeColor="text2"/>
              <w:right w:val="single" w:sz="4" w:space="0" w:color="1F497D" w:themeColor="text2"/>
            </w:tcBorders>
            <w:shd w:val="clear" w:color="auto" w:fill="DBE5F1" w:themeFill="accent1" w:themeFillTint="33"/>
          </w:tcPr>
          <w:p w14:paraId="6F873AE1" w14:textId="77777777" w:rsidR="007B7514" w:rsidRPr="00633033" w:rsidRDefault="007B7514"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color w:val="000000" w:themeColor="text1"/>
                <w:sz w:val="20"/>
                <w:szCs w:val="20"/>
                <w:lang w:val="es"/>
              </w:rPr>
            </w:pPr>
            <w:r w:rsidRPr="00633033">
              <w:rPr>
                <w:rFonts w:eastAsia="Arial" w:cs="Arial"/>
                <w:b w:val="0"/>
                <w:bCs w:val="0"/>
                <w:color w:val="000000" w:themeColor="text1"/>
                <w:sz w:val="20"/>
                <w:szCs w:val="20"/>
                <w:lang w:val="es"/>
              </w:rPr>
              <w:t>18</w:t>
            </w:r>
          </w:p>
          <w:p w14:paraId="31EABEB4" w14:textId="77777777" w:rsidR="007B7514" w:rsidRPr="00633033" w:rsidRDefault="007B7514"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color w:val="000000" w:themeColor="text1"/>
                <w:sz w:val="20"/>
                <w:szCs w:val="20"/>
                <w:lang w:val="es"/>
              </w:rPr>
            </w:pPr>
            <w:r w:rsidRPr="00633033">
              <w:rPr>
                <w:rFonts w:eastAsia="Arial" w:cs="Arial"/>
                <w:b w:val="0"/>
                <w:bCs w:val="0"/>
                <w:color w:val="000000" w:themeColor="text1"/>
                <w:sz w:val="20"/>
                <w:szCs w:val="20"/>
                <w:lang w:val="es"/>
              </w:rPr>
              <w:t>municipios con caracterizaciones territoriales</w:t>
            </w:r>
          </w:p>
        </w:tc>
        <w:tc>
          <w:tcPr>
            <w:tcW w:w="5694" w:type="dxa"/>
            <w:tcBorders>
              <w:top w:val="single" w:sz="4" w:space="0" w:color="1F497D" w:themeColor="text2"/>
              <w:left w:val="single" w:sz="4" w:space="0" w:color="1F497D" w:themeColor="text2"/>
              <w:right w:val="single" w:sz="4" w:space="0" w:color="1F497D" w:themeColor="text2"/>
            </w:tcBorders>
            <w:shd w:val="clear" w:color="auto" w:fill="DBE5F1" w:themeFill="accent1" w:themeFillTint="33"/>
          </w:tcPr>
          <w:p w14:paraId="15A2C7B3" w14:textId="77777777" w:rsidR="007B7514" w:rsidRPr="00633033" w:rsidRDefault="007B7514" w:rsidP="00A6302C">
            <w:pPr>
              <w:jc w:val="both"/>
              <w:cnfStyle w:val="100000000000" w:firstRow="1" w:lastRow="0" w:firstColumn="0" w:lastColumn="0" w:oddVBand="0" w:evenVBand="0" w:oddHBand="0" w:evenHBand="0" w:firstRowFirstColumn="0" w:firstRowLastColumn="0" w:lastRowFirstColumn="0" w:lastRowLastColumn="0"/>
              <w:rPr>
                <w:rFonts w:eastAsia="Arial" w:cs="Arial"/>
                <w:b w:val="0"/>
                <w:bCs w:val="0"/>
                <w:color w:val="000000" w:themeColor="text1"/>
                <w:sz w:val="20"/>
                <w:szCs w:val="20"/>
                <w:lang w:val="es"/>
              </w:rPr>
            </w:pPr>
            <w:r w:rsidRPr="00633033">
              <w:rPr>
                <w:rFonts w:eastAsia="Arial" w:cs="Arial"/>
                <w:b w:val="0"/>
                <w:bCs w:val="0"/>
                <w:color w:val="000000" w:themeColor="text1"/>
                <w:sz w:val="20"/>
                <w:szCs w:val="20"/>
                <w:lang w:val="es"/>
              </w:rPr>
              <w:t xml:space="preserve">Cáceres, El Bagre, Remedios (Antioquia), Córdoba, El Guamo, San Jacinto (Bolívar), Cartagena del Chairá, Puerto Rico, Solano (Caquetá), Valencia (Córdoba), Mapiripán, Mesetas (Meta), Ataco, Rioblanco (Tolima), Arauquita, Tame (Arauca), Puerto Guzmán y Leguízamo (Putumayo) </w:t>
            </w:r>
          </w:p>
        </w:tc>
      </w:tr>
      <w:tr w:rsidR="007B7514" w14:paraId="54765EA5"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ign w:val="center"/>
          </w:tcPr>
          <w:p w14:paraId="7AB9E0C8" w14:textId="77777777" w:rsidR="007B7514" w:rsidRPr="00A93FC3" w:rsidRDefault="007B7514" w:rsidP="00A6302C"/>
        </w:tc>
        <w:tc>
          <w:tcPr>
            <w:tcW w:w="2012" w:type="dxa"/>
          </w:tcPr>
          <w:p w14:paraId="47F1424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37</w:t>
            </w:r>
          </w:p>
          <w:p w14:paraId="0D8988A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municipios con diagnósticos de entidades territoriales</w:t>
            </w:r>
          </w:p>
        </w:tc>
        <w:tc>
          <w:tcPr>
            <w:tcW w:w="5694" w:type="dxa"/>
          </w:tcPr>
          <w:p w14:paraId="704CFC42"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 xml:space="preserve">El Bagre, Anorí, Remedios, Segovia, Zaragoza, Amalfi, </w:t>
            </w:r>
            <w:r>
              <w:br/>
            </w:r>
            <w:r w:rsidRPr="31FF9146">
              <w:rPr>
                <w:rFonts w:eastAsia="Arial" w:cs="Arial"/>
                <w:color w:val="000000" w:themeColor="text1"/>
                <w:sz w:val="20"/>
                <w:szCs w:val="20"/>
                <w:lang w:val="es"/>
              </w:rPr>
              <w:t xml:space="preserve">Apartadó, Carepa, Yondó, Chigorodó, Dabeiba, Murindó, </w:t>
            </w:r>
            <w:r>
              <w:br/>
            </w:r>
            <w:r w:rsidRPr="31FF9146">
              <w:rPr>
                <w:rFonts w:eastAsia="Arial" w:cs="Arial"/>
                <w:color w:val="000000" w:themeColor="text1"/>
                <w:sz w:val="20"/>
                <w:szCs w:val="20"/>
                <w:lang w:val="es"/>
              </w:rPr>
              <w:t>Mutatá, Nechí, San Pedro De Urabá, Turbo, Vigía Del Fuerte (Antioquia), Santa Rosa Del Sur (Bolívar), Solano (Caquetá), Valledupar (Cesar), Nóvita, Riosucio, Medio San Juan, Bojayá, Carmen Del Darién, Condoto, El Litoral Del San Juan, Istmina (Chocó), Miraflores (Guaviare), Mesetas, Mapiripán, Uribe, Puerto Concordia, Puerto Rico, Vistahermosa (Meta), Ortio (Putumayo) y Mitú (Vaupés)</w:t>
            </w:r>
          </w:p>
        </w:tc>
      </w:tr>
      <w:tr w:rsidR="007B7514" w14:paraId="4FCF46DA"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restart"/>
            <w:vAlign w:val="center"/>
          </w:tcPr>
          <w:p w14:paraId="5C19C4B8" w14:textId="77777777" w:rsidR="007B7514" w:rsidRPr="00A93FC3" w:rsidRDefault="007B7514" w:rsidP="00A6302C">
            <w:pPr>
              <w:jc w:val="center"/>
            </w:pPr>
            <w:r w:rsidRPr="00A93FC3">
              <w:rPr>
                <w:rFonts w:eastAsia="Arial" w:cs="Arial"/>
                <w:sz w:val="20"/>
                <w:szCs w:val="20"/>
                <w:lang w:val="es"/>
              </w:rPr>
              <w:t>Cartográfico</w:t>
            </w:r>
          </w:p>
        </w:tc>
        <w:tc>
          <w:tcPr>
            <w:tcW w:w="2012" w:type="dxa"/>
          </w:tcPr>
          <w:p w14:paraId="639CAC7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10</w:t>
            </w:r>
          </w:p>
          <w:p w14:paraId="0C9076F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municipios con cartografía en zona urbana</w:t>
            </w:r>
          </w:p>
        </w:tc>
        <w:tc>
          <w:tcPr>
            <w:tcW w:w="5694" w:type="dxa"/>
          </w:tcPr>
          <w:p w14:paraId="1D2FDA1D"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Arauquita (Arauca), El Carmen de Bolívar, Córdoba, El Guamo (Bolívar), Tumaco (Nariño), Chaparral, Río Blanco (Tolima), Sardinata (Norte de Santander), Valencia (Córdoba) y Santander de Quilichao (Cauca)</w:t>
            </w:r>
          </w:p>
        </w:tc>
      </w:tr>
      <w:tr w:rsidR="007B7514" w14:paraId="39EF68BE"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ign w:val="center"/>
          </w:tcPr>
          <w:p w14:paraId="5DDDFB80" w14:textId="77777777" w:rsidR="007B7514" w:rsidRPr="00A93FC3" w:rsidRDefault="007B7514" w:rsidP="00A6302C"/>
        </w:tc>
        <w:tc>
          <w:tcPr>
            <w:tcW w:w="2012" w:type="dxa"/>
          </w:tcPr>
          <w:p w14:paraId="2806435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6</w:t>
            </w:r>
          </w:p>
          <w:p w14:paraId="1351C19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municipios con cartografía en zona rural</w:t>
            </w:r>
          </w:p>
        </w:tc>
        <w:tc>
          <w:tcPr>
            <w:tcW w:w="5694" w:type="dxa"/>
          </w:tcPr>
          <w:p w14:paraId="427C69B0"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Cáceres (Antioquia), Planadas (Tolima), Arauquita (Arauca), Chaparral (Tolima), María La Baja (Bolívar) y Santander de Quilichao (Cauca).</w:t>
            </w:r>
          </w:p>
        </w:tc>
      </w:tr>
      <w:tr w:rsidR="007B7514" w14:paraId="58F679A9"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ign w:val="center"/>
          </w:tcPr>
          <w:p w14:paraId="309218C4" w14:textId="77777777" w:rsidR="007B7514" w:rsidRPr="00A93FC3" w:rsidRDefault="007B7514" w:rsidP="00A6302C"/>
        </w:tc>
        <w:tc>
          <w:tcPr>
            <w:tcW w:w="2012" w:type="dxa"/>
          </w:tcPr>
          <w:p w14:paraId="6FCCE593"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2</w:t>
            </w:r>
          </w:p>
          <w:p w14:paraId="2290387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municipios con ortoimágenes</w:t>
            </w:r>
          </w:p>
        </w:tc>
        <w:tc>
          <w:tcPr>
            <w:tcW w:w="5694" w:type="dxa"/>
          </w:tcPr>
          <w:p w14:paraId="11D2A451"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María La Baja y Calamar (Bolívar)</w:t>
            </w:r>
          </w:p>
        </w:tc>
      </w:tr>
      <w:tr w:rsidR="007B7514" w14:paraId="3A2485BA"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ign w:val="center"/>
          </w:tcPr>
          <w:p w14:paraId="02A6381E" w14:textId="77777777" w:rsidR="007B7514" w:rsidRPr="00A93FC3" w:rsidRDefault="007B7514" w:rsidP="00A6302C"/>
        </w:tc>
        <w:tc>
          <w:tcPr>
            <w:tcW w:w="2012" w:type="dxa"/>
          </w:tcPr>
          <w:p w14:paraId="3DC383B5"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14</w:t>
            </w:r>
          </w:p>
          <w:p w14:paraId="10A0821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municipios con modelos digitales</w:t>
            </w:r>
          </w:p>
        </w:tc>
        <w:tc>
          <w:tcPr>
            <w:tcW w:w="5694" w:type="dxa"/>
          </w:tcPr>
          <w:p w14:paraId="78AA58F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 xml:space="preserve">Zaragoza, Remedios, Nechí, El Bagre, Anorí, Amalfi, Segovia, Caucasia (Antioquia), Santa Rosa del Sur, Simití (Bolívar), Solano (Caquetá), Montelíbano, Puerto Libertador, Tierralta (Córdoba), </w:t>
            </w:r>
          </w:p>
        </w:tc>
      </w:tr>
      <w:tr w:rsidR="007B7514" w14:paraId="2CFE04F3" w14:textId="77777777" w:rsidTr="00633033">
        <w:tc>
          <w:tcPr>
            <w:cnfStyle w:val="001000000000" w:firstRow="0" w:lastRow="0" w:firstColumn="1" w:lastColumn="0" w:oddVBand="0" w:evenVBand="0" w:oddHBand="0" w:evenHBand="0" w:firstRowFirstColumn="0" w:firstRowLastColumn="0" w:lastRowFirstColumn="0" w:lastRowLastColumn="0"/>
            <w:tcW w:w="1654" w:type="dxa"/>
            <w:tcBorders>
              <w:left w:val="none" w:sz="0" w:space="0" w:color="auto"/>
            </w:tcBorders>
            <w:vAlign w:val="center"/>
          </w:tcPr>
          <w:p w14:paraId="262B03D1" w14:textId="77777777" w:rsidR="007B7514" w:rsidRPr="00A93FC3" w:rsidRDefault="007B7514" w:rsidP="00A6302C">
            <w:pPr>
              <w:jc w:val="center"/>
            </w:pPr>
            <w:r w:rsidRPr="00A93FC3">
              <w:rPr>
                <w:rFonts w:eastAsia="Arial" w:cs="Arial"/>
                <w:sz w:val="20"/>
                <w:szCs w:val="20"/>
                <w:lang w:val="es"/>
              </w:rPr>
              <w:t>Geodésico</w:t>
            </w:r>
          </w:p>
        </w:tc>
        <w:tc>
          <w:tcPr>
            <w:tcW w:w="2012" w:type="dxa"/>
          </w:tcPr>
          <w:p w14:paraId="6C8C6DBC" w14:textId="77777777" w:rsidR="00E132F0" w:rsidRDefault="00E132F0"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
              </w:rPr>
            </w:pPr>
          </w:p>
          <w:p w14:paraId="4DBF639C" w14:textId="77777777" w:rsidR="00E132F0" w:rsidRDefault="00E132F0"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
              </w:rPr>
            </w:pPr>
          </w:p>
          <w:p w14:paraId="5B3E3B32"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8</w:t>
            </w:r>
          </w:p>
          <w:p w14:paraId="7D71D7E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estaciones de operación continua</w:t>
            </w:r>
          </w:p>
        </w:tc>
        <w:tc>
          <w:tcPr>
            <w:tcW w:w="5694" w:type="dxa"/>
          </w:tcPr>
          <w:p w14:paraId="1375E5CF"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 xml:space="preserve">Exploración, materialización y puesta en operación de seis estaciones de operación continua en: Arauquita (2 estaciones) (Arauca), Santa Rosalía (Vichada), Suan (Atlántico), Aracataca (Magdalena), Sardinata y Tibú (Norte de Santander). Además, se realizó la exploración en sitios para materialización de estaciones en </w:t>
            </w:r>
            <w:r w:rsidRPr="31FF9146">
              <w:rPr>
                <w:rFonts w:eastAsia="Arial" w:cs="Arial"/>
                <w:b/>
                <w:bCs/>
                <w:color w:val="000000" w:themeColor="text1"/>
                <w:sz w:val="20"/>
                <w:szCs w:val="20"/>
                <w:lang w:val="es"/>
              </w:rPr>
              <w:t>4</w:t>
            </w:r>
            <w:r w:rsidRPr="31FF9146">
              <w:rPr>
                <w:rFonts w:eastAsia="Arial" w:cs="Arial"/>
                <w:color w:val="000000" w:themeColor="text1"/>
                <w:sz w:val="20"/>
                <w:szCs w:val="20"/>
                <w:lang w:val="es"/>
              </w:rPr>
              <w:t>municipios PDET: Tibú (Norte de Santander), Arauquita (Arauca), Tumaco (Nariño), Mesetas (Meta).</w:t>
            </w:r>
          </w:p>
        </w:tc>
      </w:tr>
      <w:tr w:rsidR="007B7514" w14:paraId="2E057830"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val="restart"/>
            <w:vAlign w:val="center"/>
          </w:tcPr>
          <w:p w14:paraId="2810B472" w14:textId="77777777" w:rsidR="007B7514" w:rsidRPr="00A93FC3" w:rsidRDefault="007B7514" w:rsidP="00A6302C">
            <w:pPr>
              <w:jc w:val="center"/>
            </w:pPr>
            <w:r w:rsidRPr="00A93FC3">
              <w:rPr>
                <w:rFonts w:eastAsia="Arial" w:cs="Arial"/>
                <w:sz w:val="20"/>
                <w:szCs w:val="20"/>
                <w:lang w:val="es"/>
              </w:rPr>
              <w:t>Agrológico</w:t>
            </w:r>
          </w:p>
        </w:tc>
        <w:tc>
          <w:tcPr>
            <w:tcW w:w="2012" w:type="dxa"/>
          </w:tcPr>
          <w:p w14:paraId="23E74EE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18"/>
                <w:szCs w:val="18"/>
                <w:lang w:val="es"/>
              </w:rPr>
              <w:t>1</w:t>
            </w:r>
          </w:p>
          <w:p w14:paraId="7BCAFDC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s"/>
              </w:rPr>
              <w:lastRenderedPageBreak/>
              <w:t>Municipio con correlación de estudios de suelos departamentales a escala 1:100.000</w:t>
            </w:r>
          </w:p>
        </w:tc>
        <w:tc>
          <w:tcPr>
            <w:tcW w:w="5694" w:type="dxa"/>
          </w:tcPr>
          <w:p w14:paraId="4F1730C6" w14:textId="77777777" w:rsidR="00D85E03" w:rsidRDefault="00D85E03"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
              </w:rPr>
            </w:pPr>
          </w:p>
          <w:p w14:paraId="50F6B8A0" w14:textId="77777777" w:rsidR="00D85E03" w:rsidRDefault="00D85E03"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
              </w:rPr>
            </w:pPr>
          </w:p>
          <w:p w14:paraId="3576EA4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lastRenderedPageBreak/>
              <w:t>Puerto Asís (Putumayo)</w:t>
            </w:r>
          </w:p>
        </w:tc>
      </w:tr>
      <w:tr w:rsidR="007B7514" w14:paraId="44B82AF0"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tcPr>
          <w:p w14:paraId="22E0823C" w14:textId="77777777" w:rsidR="007B7514" w:rsidRDefault="007B7514" w:rsidP="00A6302C"/>
        </w:tc>
        <w:tc>
          <w:tcPr>
            <w:tcW w:w="2012" w:type="dxa"/>
          </w:tcPr>
          <w:p w14:paraId="19F1058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5</w:t>
            </w:r>
          </w:p>
          <w:p w14:paraId="4E6CC0D6" w14:textId="77777777" w:rsidR="007B7514"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s"/>
              </w:rPr>
              <w:t>municipios con avance en estudios de suelos a escala 1:25.000</w:t>
            </w:r>
          </w:p>
        </w:tc>
        <w:tc>
          <w:tcPr>
            <w:tcW w:w="5694" w:type="dxa"/>
          </w:tcPr>
          <w:p w14:paraId="748D193C" w14:textId="77777777" w:rsidR="00D85E03" w:rsidRDefault="00D85E03"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
              </w:rPr>
            </w:pPr>
          </w:p>
          <w:p w14:paraId="3D2EBA91"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Fundación (Magdalena); Valledupar, San Diego, Agustín Codazzi y Becerril (Cesar).</w:t>
            </w:r>
          </w:p>
        </w:tc>
      </w:tr>
      <w:tr w:rsidR="007B7514" w14:paraId="7FBCBE23" w14:textId="77777777" w:rsidTr="00633033">
        <w:tc>
          <w:tcPr>
            <w:cnfStyle w:val="001000000000" w:firstRow="0" w:lastRow="0" w:firstColumn="1" w:lastColumn="0" w:oddVBand="0" w:evenVBand="0" w:oddHBand="0" w:evenHBand="0" w:firstRowFirstColumn="0" w:firstRowLastColumn="0" w:lastRowFirstColumn="0" w:lastRowLastColumn="0"/>
            <w:tcW w:w="1654" w:type="dxa"/>
            <w:vMerge/>
          </w:tcPr>
          <w:p w14:paraId="6853FFFE" w14:textId="77777777" w:rsidR="007B7514" w:rsidRDefault="007B7514" w:rsidP="00A6302C"/>
        </w:tc>
        <w:tc>
          <w:tcPr>
            <w:tcW w:w="2012" w:type="dxa"/>
          </w:tcPr>
          <w:p w14:paraId="7990A60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0"/>
                <w:szCs w:val="20"/>
                <w:lang w:val="es"/>
              </w:rPr>
              <w:t>68</w:t>
            </w:r>
          </w:p>
          <w:p w14:paraId="3D3F9824" w14:textId="77777777" w:rsidR="007B7514"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s"/>
              </w:rPr>
              <w:t>municipios con información</w:t>
            </w:r>
          </w:p>
          <w:p w14:paraId="4BBC7F4F" w14:textId="77777777" w:rsidR="007B7514"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18"/>
                <w:szCs w:val="18"/>
                <w:lang w:val="es"/>
              </w:rPr>
              <w:t>potencial de uso de la Tierras</w:t>
            </w:r>
          </w:p>
        </w:tc>
        <w:tc>
          <w:tcPr>
            <w:tcW w:w="5694" w:type="dxa"/>
          </w:tcPr>
          <w:p w14:paraId="196CD890"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lang w:val="es"/>
              </w:rPr>
              <w:t>Remedios (Antioquia), Córdoba, El Guamo, Maria La Baja, San Jacinto, San Juan Nepomuceno, Santa Rosa del Sur, Zambrano, San Pablo, El Carmen De Bolívar (Bolívar), Valencia, Puerto Libertador, (Córdoba), Mapiripán, Vistahermosa, La Macarena, Uribe, Mesetas, Puerto Lleras, Puerto Concordia, (Meta), Fonseca, San Juan del Cesar, Dibulla (La Guajira), Ciénaga, Aracata, Fundación (Magdalena), Rioblanco, Ataco, Planadas (Tolima), El Paujíl, Albania, Belén de Los Andaquíes, El Doncello, Cartagena del Chairá, Florencia, San José del Fragua, San Vicente del Caguán, Valparaiso, Puerto Rico, Morelia, Solano, Milán (Caquetá), Cajibío, Morales,  Piendamó, Mercaderes, Balboa (Cauca), Arauquita, Tame (Arauca), Manaure Balcón Del Cesar, Pueblo Bello, Agustín Codazzi, Becerril (Cesar), Leiva, El Rosario, San Andrés De Tumaco, Cumbitara (Nariño), Chalán, Morroa, Los Palmitos, Palmito, Tolú Viejo (Sucre), Mocoa, Puerto Guzmán, San Miguel, Valle Del Guamuez (Putumayo)</w:t>
            </w:r>
          </w:p>
        </w:tc>
      </w:tr>
    </w:tbl>
    <w:p w14:paraId="06D73CE7" w14:textId="77777777" w:rsidR="007B7514" w:rsidRPr="00635DDF" w:rsidRDefault="007B7514" w:rsidP="007B7514">
      <w:pPr>
        <w:jc w:val="center"/>
        <w:rPr>
          <w:b/>
          <w:bCs/>
          <w:sz w:val="16"/>
          <w:szCs w:val="16"/>
        </w:rPr>
      </w:pPr>
      <w:r w:rsidRPr="00635DDF">
        <w:rPr>
          <w:b/>
          <w:bCs/>
          <w:sz w:val="16"/>
          <w:szCs w:val="16"/>
        </w:rPr>
        <w:t>Fuente. Dirección de Gestión de información geográfica</w:t>
      </w:r>
    </w:p>
    <w:p w14:paraId="0A482AE2" w14:textId="77777777" w:rsidR="007B7514" w:rsidRDefault="007B7514" w:rsidP="007B7514">
      <w:pPr>
        <w:spacing w:line="240" w:lineRule="exact"/>
        <w:jc w:val="both"/>
        <w:rPr>
          <w:rFonts w:eastAsia="Arial" w:cs="Arial"/>
          <w:b/>
          <w:bCs/>
          <w:color w:val="000000" w:themeColor="text1"/>
          <w:sz w:val="22"/>
          <w:szCs w:val="22"/>
          <w:lang w:val="es"/>
        </w:rPr>
      </w:pPr>
    </w:p>
    <w:p w14:paraId="0DA1E617" w14:textId="77777777" w:rsidR="007B7514" w:rsidRDefault="007B7514" w:rsidP="007B7514">
      <w:pPr>
        <w:spacing w:line="240" w:lineRule="exact"/>
        <w:jc w:val="both"/>
        <w:rPr>
          <w:rFonts w:eastAsia="Arial" w:cs="Arial"/>
          <w:b/>
          <w:bCs/>
          <w:color w:val="000000" w:themeColor="text1"/>
          <w:sz w:val="22"/>
          <w:szCs w:val="22"/>
          <w:lang w:val="es"/>
        </w:rPr>
      </w:pPr>
    </w:p>
    <w:p w14:paraId="1704A67F" w14:textId="77777777" w:rsidR="004269B2" w:rsidRPr="004269B2" w:rsidRDefault="007B7514" w:rsidP="000A20EE">
      <w:pPr>
        <w:pStyle w:val="Prrafodelista"/>
        <w:numPr>
          <w:ilvl w:val="2"/>
          <w:numId w:val="22"/>
        </w:numPr>
        <w:spacing w:line="240" w:lineRule="exact"/>
        <w:rPr>
          <w:rFonts w:eastAsia="Arial" w:cs="Arial"/>
          <w:b/>
          <w:bCs/>
          <w:color w:val="000000" w:themeColor="text1"/>
          <w:sz w:val="22"/>
          <w:szCs w:val="22"/>
          <w:lang w:val="es"/>
        </w:rPr>
      </w:pPr>
      <w:r w:rsidRPr="31FF9146">
        <w:rPr>
          <w:rFonts w:eastAsia="Arial" w:cs="Arial"/>
          <w:b/>
          <w:bCs/>
          <w:color w:val="000000" w:themeColor="text1"/>
          <w:sz w:val="22"/>
          <w:szCs w:val="22"/>
          <w:lang w:val="es"/>
        </w:rPr>
        <w:t>ALIANZAS ESTRATÉGICAS</w:t>
      </w:r>
    </w:p>
    <w:p w14:paraId="28741B13" w14:textId="24E0E81C" w:rsidR="007B7514" w:rsidRDefault="007B7514" w:rsidP="007B7514">
      <w:pPr>
        <w:jc w:val="both"/>
      </w:pPr>
    </w:p>
    <w:p w14:paraId="093F5F94" w14:textId="77777777" w:rsidR="007B7514" w:rsidRDefault="007B7514" w:rsidP="007B7514">
      <w:pPr>
        <w:jc w:val="both"/>
      </w:pPr>
      <w:r w:rsidRPr="31FF9146">
        <w:rPr>
          <w:rFonts w:eastAsia="Arial" w:cs="Arial"/>
          <w:color w:val="000000" w:themeColor="text1"/>
          <w:sz w:val="22"/>
          <w:szCs w:val="22"/>
        </w:rPr>
        <w:t>Durante el 2020, se logró la articulación con entidades públicas para la identificación, adquisición u obtención de insumos para la producción de cartografía, entre las cuales se resalta la alianza con el Instituto Geográfico Nacional de Francia, con la cual se avanzó en el proceso de asistencia técnica para el fortalecimiento de la gestión de las bases de datos de la cartografía base oficial de Colombia, a partir del análisis y evaluación del sistema de producción existente en el IGAC.</w:t>
      </w:r>
    </w:p>
    <w:p w14:paraId="5F4262AB" w14:textId="77777777" w:rsidR="007B7514" w:rsidRDefault="007B7514" w:rsidP="007B7514">
      <w:pPr>
        <w:jc w:val="both"/>
      </w:pPr>
      <w:r w:rsidRPr="31FF9146">
        <w:rPr>
          <w:rFonts w:eastAsia="Arial" w:cs="Arial"/>
          <w:color w:val="000000" w:themeColor="text1"/>
          <w:sz w:val="22"/>
          <w:szCs w:val="22"/>
        </w:rPr>
        <w:t xml:space="preserve"> </w:t>
      </w:r>
    </w:p>
    <w:p w14:paraId="10D012EA" w14:textId="77777777" w:rsidR="007B7514" w:rsidRDefault="007B7514" w:rsidP="007B7514">
      <w:pPr>
        <w:jc w:val="both"/>
      </w:pPr>
      <w:r w:rsidRPr="31FF9146">
        <w:rPr>
          <w:rFonts w:eastAsia="Arial" w:cs="Arial"/>
          <w:color w:val="000000" w:themeColor="text1"/>
          <w:sz w:val="22"/>
          <w:szCs w:val="22"/>
          <w:lang w:val="es"/>
        </w:rPr>
        <w:t>Resultado de ello, en el marco de la Directiva Presidencial No.10 de 2019 se desarrollaron diferentes estrategias para acceder e intercambiar la información disponible de manera gratuita, buscando simplificar y agilizar los procesos de estructuración y formación del catastro multipropósito. En este sentido, durante el periodo 2020 y el primer semestre del 2021 se gestionaron 7.617.975 ha de imágenes satelitales y fotografías aéreas, principalmente con la Fuerza Aérea Colombia y Policía Nacional, con niveles de detalles y temporalidades óptimas para la producción de cartografía básica con fines de Catastro Multipropósito</w:t>
      </w:r>
      <w:hyperlink r:id="rId88" w:anchor="_ftn1">
        <w:r w:rsidRPr="31FF9146">
          <w:rPr>
            <w:rStyle w:val="Hipervnculo"/>
            <w:rFonts w:eastAsia="Arial" w:cs="Arial"/>
            <w:sz w:val="22"/>
            <w:szCs w:val="22"/>
            <w:vertAlign w:val="superscript"/>
            <w:lang w:val="es"/>
          </w:rPr>
          <w:t>[1]</w:t>
        </w:r>
      </w:hyperlink>
      <w:r w:rsidRPr="31FF9146">
        <w:rPr>
          <w:rFonts w:eastAsia="Arial" w:cs="Arial"/>
          <w:color w:val="000000" w:themeColor="text1"/>
          <w:sz w:val="22"/>
          <w:szCs w:val="22"/>
          <w:lang w:val="es"/>
        </w:rPr>
        <w:t xml:space="preserve">, las cuales fueron evaluadas, catalogadas e incorporadas al Banco Nacional de Imágenes (BNI). </w:t>
      </w:r>
    </w:p>
    <w:p w14:paraId="197257DA" w14:textId="77777777" w:rsidR="007B7514" w:rsidRDefault="007B7514" w:rsidP="007B7514">
      <w:pPr>
        <w:jc w:val="both"/>
      </w:pPr>
      <w:r>
        <w:br/>
      </w:r>
      <w:r w:rsidRPr="31FF9146">
        <w:rPr>
          <w:rFonts w:eastAsia="Arial" w:cs="Arial"/>
          <w:color w:val="000000" w:themeColor="text1"/>
          <w:sz w:val="22"/>
          <w:szCs w:val="22"/>
          <w:lang w:val="es"/>
        </w:rPr>
        <w:t xml:space="preserve">Así mismo, se remitieron solicitudes de insumos geográficos y cartográficos a otras entidades como el Fondo de Adaptación, FAC (Datos de lidar y puntos de fotocontrol) y Parques Nacionales de Colombia, y se inició con la identificación de insumos cartográficos con 31 Corporaciones Autónomas Regionales, 32 gobernaciones, Autoridad Nacional de Licencias Ambientales (ANLA) </w:t>
      </w:r>
      <w:r w:rsidRPr="31FF9146">
        <w:rPr>
          <w:rFonts w:eastAsia="Arial" w:cs="Arial"/>
          <w:color w:val="000000" w:themeColor="text1"/>
          <w:sz w:val="22"/>
          <w:szCs w:val="22"/>
          <w:lang w:val="es"/>
        </w:rPr>
        <w:lastRenderedPageBreak/>
        <w:t>y Unidad Nacional para la Gestión del Riesgo de Desastres (UNGRD), es así como se obtuvo la donación de 264.982,5 ha de imágenes de muy alta resolución del sensor Skysat.</w:t>
      </w:r>
    </w:p>
    <w:p w14:paraId="52A10C8D" w14:textId="77777777" w:rsidR="007B7514" w:rsidRDefault="007B7514" w:rsidP="007B7514">
      <w:pPr>
        <w:jc w:val="both"/>
      </w:pPr>
      <w:r w:rsidRPr="31FF9146">
        <w:rPr>
          <w:rFonts w:eastAsia="Arial" w:cs="Arial"/>
          <w:color w:val="000000" w:themeColor="text1"/>
          <w:sz w:val="22"/>
          <w:szCs w:val="22"/>
          <w:lang w:val="es"/>
        </w:rPr>
        <w:t xml:space="preserve"> </w:t>
      </w:r>
    </w:p>
    <w:p w14:paraId="076B6C92" w14:textId="77777777" w:rsidR="007B7514" w:rsidRDefault="007B7514" w:rsidP="007B7514">
      <w:pPr>
        <w:jc w:val="both"/>
      </w:pPr>
      <w:r w:rsidRPr="31FF9146">
        <w:rPr>
          <w:rFonts w:eastAsia="Arial" w:cs="Arial"/>
          <w:color w:val="000000" w:themeColor="text1"/>
          <w:sz w:val="22"/>
          <w:szCs w:val="22"/>
        </w:rPr>
        <w:t>Se formalizó alianza con el Servicio Geológico Colombiano con quien se realizó la densificación la red geodésica nacional, con nuevas estaciones, y se tuvieron diferentes acercamientos con instituciones académicas y públicas para integrar sus recursos geodésicos a la red nacional.</w:t>
      </w:r>
    </w:p>
    <w:p w14:paraId="3F30CD5E" w14:textId="77777777" w:rsidR="007B7514" w:rsidRDefault="007B7514" w:rsidP="007B7514">
      <w:pPr>
        <w:jc w:val="both"/>
      </w:pPr>
      <w:r w:rsidRPr="31FF9146">
        <w:rPr>
          <w:rFonts w:eastAsia="Arial" w:cs="Arial"/>
          <w:color w:val="000000" w:themeColor="text1"/>
          <w:sz w:val="22"/>
          <w:szCs w:val="22"/>
        </w:rPr>
        <w:t xml:space="preserve"> </w:t>
      </w:r>
    </w:p>
    <w:p w14:paraId="4E436F0E" w14:textId="77777777" w:rsidR="007B7514" w:rsidRDefault="007B7514" w:rsidP="007B7514">
      <w:pPr>
        <w:jc w:val="both"/>
      </w:pPr>
      <w:r w:rsidRPr="31FF9146">
        <w:rPr>
          <w:rFonts w:eastAsia="Arial" w:cs="Arial"/>
          <w:color w:val="000000" w:themeColor="text1"/>
          <w:sz w:val="22"/>
          <w:szCs w:val="22"/>
        </w:rPr>
        <w:t>Durante la vigencia 2020 y primer semestre 2021 el IGAC trabajó en fortalecer la Red Geodésica Nacional, a través de los sistemas y marco de referencia terrestre, gravimétrico y geomagnético, en alianza con el Servicio Geológico Colombiano-SGC, con la Universidad de Ohio y Suiza, respectivamente.</w:t>
      </w:r>
    </w:p>
    <w:p w14:paraId="0C08591C" w14:textId="77777777" w:rsidR="007B7514" w:rsidRDefault="007B7514" w:rsidP="007B7514">
      <w:pPr>
        <w:jc w:val="both"/>
      </w:pPr>
      <w:r w:rsidRPr="31FF9146">
        <w:rPr>
          <w:rFonts w:eastAsia="Arial" w:cs="Arial"/>
          <w:color w:val="000000" w:themeColor="text1"/>
          <w:sz w:val="22"/>
          <w:szCs w:val="22"/>
        </w:rPr>
        <w:t xml:space="preserve"> </w:t>
      </w:r>
    </w:p>
    <w:p w14:paraId="374F45AA" w14:textId="77777777" w:rsidR="007B7514" w:rsidRDefault="007B7514" w:rsidP="007B7514">
      <w:pPr>
        <w:jc w:val="both"/>
      </w:pPr>
      <w:r w:rsidRPr="31FF9146">
        <w:rPr>
          <w:rFonts w:eastAsia="Arial" w:cs="Arial"/>
          <w:color w:val="000000" w:themeColor="text1"/>
          <w:sz w:val="22"/>
          <w:szCs w:val="22"/>
          <w:lang w:val="es-MX"/>
        </w:rPr>
        <w:t>Por otro lado, en la construcción de toma de decisiones relacionadas con proyectos de investigación de importancia nacional e internacional, se cuenta con la articulación de organizaciones como: NGA, IGS (International GPS Service), UN-GGRF (Marco de referencia Geodésico Global de las Naciones Unidas), IAG (Asociación Internacional de Geodesia), IUGG (Unión Internacional de Geodesia y Geofísica</w:t>
      </w:r>
      <w:r w:rsidRPr="31FF9146">
        <w:rPr>
          <w:rFonts w:eastAsia="Arial" w:cs="Arial"/>
          <w:color w:val="000000" w:themeColor="text1"/>
          <w:sz w:val="22"/>
          <w:szCs w:val="22"/>
          <w:lang w:val="es"/>
        </w:rPr>
        <w:t xml:space="preserve">), </w:t>
      </w:r>
      <w:r w:rsidRPr="31FF9146">
        <w:rPr>
          <w:rFonts w:eastAsia="Arial" w:cs="Arial"/>
          <w:color w:val="000000" w:themeColor="text1"/>
          <w:sz w:val="22"/>
          <w:szCs w:val="22"/>
          <w:lang w:val="es-MX"/>
        </w:rPr>
        <w:t>IPGH (Instituto Panamericano de Geográfico e Historia), SIRGAS (Sistema de Referencia Geocéntrico para las Américas), entre otros.</w:t>
      </w:r>
    </w:p>
    <w:p w14:paraId="773050F6" w14:textId="77777777" w:rsidR="007B7514" w:rsidRDefault="007B7514" w:rsidP="007B7514">
      <w:pPr>
        <w:jc w:val="both"/>
      </w:pPr>
      <w:r w:rsidRPr="31FF9146">
        <w:rPr>
          <w:rFonts w:eastAsia="Arial" w:cs="Arial"/>
          <w:color w:val="000000" w:themeColor="text1"/>
          <w:sz w:val="22"/>
          <w:szCs w:val="22"/>
          <w:lang w:val="es-MX"/>
        </w:rPr>
        <w:t xml:space="preserve"> </w:t>
      </w:r>
    </w:p>
    <w:p w14:paraId="542F1EA6" w14:textId="29AA3E13" w:rsidR="007B7514" w:rsidRPr="00A93FC3" w:rsidRDefault="007B7514" w:rsidP="007B7514">
      <w:pPr>
        <w:jc w:val="both"/>
      </w:pPr>
      <w:r w:rsidRPr="31FF9146">
        <w:rPr>
          <w:rFonts w:eastAsia="Arial" w:cs="Arial"/>
          <w:color w:val="000000" w:themeColor="text1"/>
          <w:sz w:val="22"/>
          <w:szCs w:val="22"/>
        </w:rPr>
        <w:t xml:space="preserve">El Laboratorio Nacional de Suelos en el marco del Programa de Erradicación de Cultivos Ilícitos mediante Aspersión Terrestre, atendió la solicitud de acompañamiento en campo a los siguientes municipios durante el año 2020: </w:t>
      </w:r>
    </w:p>
    <w:p w14:paraId="2EB7A577" w14:textId="77777777" w:rsidR="007B7514" w:rsidRDefault="007B7514" w:rsidP="00E7434E">
      <w:pPr>
        <w:jc w:val="center"/>
        <w:rPr>
          <w:rFonts w:ascii="Calibri" w:eastAsia="Calibri" w:hAnsi="Calibri" w:cs="Calibri"/>
          <w:color w:val="000000" w:themeColor="text1"/>
        </w:rPr>
      </w:pPr>
    </w:p>
    <w:p w14:paraId="10029402" w14:textId="5AB37134" w:rsidR="00350BFA" w:rsidRPr="00350BFA" w:rsidRDefault="00350BFA" w:rsidP="00350BFA">
      <w:pPr>
        <w:pStyle w:val="Descripcin"/>
        <w:keepNext/>
        <w:jc w:val="center"/>
        <w:rPr>
          <w:rFonts w:ascii="Arial" w:hAnsi="Arial" w:cs="Arial"/>
          <w:b/>
          <w:bCs/>
          <w:i w:val="0"/>
          <w:iCs w:val="0"/>
          <w:color w:val="auto"/>
          <w:sz w:val="16"/>
          <w:szCs w:val="16"/>
        </w:rPr>
      </w:pPr>
      <w:bookmarkStart w:id="120" w:name="_Toc88677113"/>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41</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Municipios acompañamiento PECAT año 2020</w:t>
      </w:r>
      <w:bookmarkEnd w:id="120"/>
    </w:p>
    <w:tbl>
      <w:tblPr>
        <w:tblStyle w:val="Tabladecuadrcula4-nfasis1"/>
        <w:tblW w:w="0" w:type="auto"/>
        <w:jc w:val="center"/>
        <w:tblLayout w:type="fixed"/>
        <w:tblLook w:val="06A0" w:firstRow="1" w:lastRow="0" w:firstColumn="1" w:lastColumn="0" w:noHBand="1" w:noVBand="1"/>
      </w:tblPr>
      <w:tblGrid>
        <w:gridCol w:w="2280"/>
        <w:gridCol w:w="3045"/>
        <w:gridCol w:w="1440"/>
      </w:tblGrid>
      <w:tr w:rsidR="007B7514" w14:paraId="2A44B0FC" w14:textId="77777777" w:rsidTr="00A6302C">
        <w:trPr>
          <w:cnfStyle w:val="100000000000" w:firstRow="1" w:lastRow="0" w:firstColumn="0" w:lastColumn="0" w:oddVBand="0" w:evenVBand="0" w:oddHBand="0" w:evenHBand="0" w:firstRowFirstColumn="0" w:firstRowLastColumn="0" w:lastRowFirstColumn="0" w:lastRowLastColumn="0"/>
          <w:trHeight w:val="225"/>
          <w:jc w:val="center"/>
        </w:trPr>
        <w:tc>
          <w:tcPr>
            <w:cnfStyle w:val="001000000000" w:firstRow="0" w:lastRow="0" w:firstColumn="1" w:lastColumn="0" w:oddVBand="0" w:evenVBand="0" w:oddHBand="0" w:evenHBand="0" w:firstRowFirstColumn="0" w:firstRowLastColumn="0" w:lastRowFirstColumn="0" w:lastRowLastColumn="0"/>
            <w:tcW w:w="2280" w:type="dxa"/>
          </w:tcPr>
          <w:p w14:paraId="0B68AB1B" w14:textId="77777777" w:rsidR="007B7514" w:rsidRPr="0070657C" w:rsidRDefault="007B7514" w:rsidP="00A6302C">
            <w:pPr>
              <w:rPr>
                <w:sz w:val="20"/>
                <w:szCs w:val="20"/>
              </w:rPr>
            </w:pPr>
            <w:r w:rsidRPr="0070657C">
              <w:rPr>
                <w:rFonts w:eastAsia="Arial" w:cs="Arial"/>
                <w:sz w:val="20"/>
                <w:szCs w:val="20"/>
              </w:rPr>
              <w:t>Departamentos</w:t>
            </w:r>
          </w:p>
        </w:tc>
        <w:tc>
          <w:tcPr>
            <w:tcW w:w="3045" w:type="dxa"/>
          </w:tcPr>
          <w:p w14:paraId="4978F19E" w14:textId="77777777" w:rsidR="007B7514" w:rsidRPr="0070657C" w:rsidRDefault="007B7514" w:rsidP="00A6302C">
            <w:pPr>
              <w:cnfStyle w:val="100000000000" w:firstRow="1"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Municipio</w:t>
            </w:r>
          </w:p>
        </w:tc>
        <w:tc>
          <w:tcPr>
            <w:tcW w:w="1440" w:type="dxa"/>
          </w:tcPr>
          <w:p w14:paraId="3FDA06D3" w14:textId="77777777" w:rsidR="007B7514" w:rsidRPr="0070657C" w:rsidRDefault="007B7514" w:rsidP="00A6302C">
            <w:pPr>
              <w:cnfStyle w:val="100000000000" w:firstRow="1"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 visitas</w:t>
            </w:r>
          </w:p>
        </w:tc>
      </w:tr>
      <w:tr w:rsidR="007B7514" w14:paraId="4012B53A" w14:textId="77777777" w:rsidTr="00A6302C">
        <w:trPr>
          <w:trHeight w:val="225"/>
          <w:jc w:val="center"/>
        </w:trPr>
        <w:tc>
          <w:tcPr>
            <w:cnfStyle w:val="001000000000" w:firstRow="0" w:lastRow="0" w:firstColumn="1" w:lastColumn="0" w:oddVBand="0" w:evenVBand="0" w:oddHBand="0" w:evenHBand="0" w:firstRowFirstColumn="0" w:firstRowLastColumn="0" w:lastRowFirstColumn="0" w:lastRowLastColumn="0"/>
            <w:tcW w:w="2280" w:type="dxa"/>
          </w:tcPr>
          <w:p w14:paraId="28466F57" w14:textId="77777777" w:rsidR="007B7514" w:rsidRPr="0070657C" w:rsidRDefault="007B7514" w:rsidP="00A6302C">
            <w:pPr>
              <w:rPr>
                <w:sz w:val="20"/>
                <w:szCs w:val="20"/>
              </w:rPr>
            </w:pPr>
            <w:r w:rsidRPr="0070657C">
              <w:rPr>
                <w:rFonts w:eastAsia="Arial" w:cs="Arial"/>
                <w:sz w:val="20"/>
                <w:szCs w:val="20"/>
              </w:rPr>
              <w:t>Nariño</w:t>
            </w:r>
          </w:p>
        </w:tc>
        <w:tc>
          <w:tcPr>
            <w:tcW w:w="3045" w:type="dxa"/>
          </w:tcPr>
          <w:p w14:paraId="312A347F" w14:textId="77777777" w:rsidR="007B7514" w:rsidRPr="0070657C" w:rsidRDefault="007B7514" w:rsidP="00A6302C">
            <w:pP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Tumaco</w:t>
            </w:r>
          </w:p>
        </w:tc>
        <w:tc>
          <w:tcPr>
            <w:tcW w:w="1440" w:type="dxa"/>
          </w:tcPr>
          <w:p w14:paraId="3B2CC873" w14:textId="77777777" w:rsidR="007B7514" w:rsidRPr="0070657C"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3</w:t>
            </w:r>
          </w:p>
        </w:tc>
      </w:tr>
      <w:tr w:rsidR="007B7514" w14:paraId="664D755C" w14:textId="77777777" w:rsidTr="00A6302C">
        <w:trPr>
          <w:trHeight w:val="225"/>
          <w:jc w:val="center"/>
        </w:trPr>
        <w:tc>
          <w:tcPr>
            <w:cnfStyle w:val="001000000000" w:firstRow="0" w:lastRow="0" w:firstColumn="1" w:lastColumn="0" w:oddVBand="0" w:evenVBand="0" w:oddHBand="0" w:evenHBand="0" w:firstRowFirstColumn="0" w:firstRowLastColumn="0" w:lastRowFirstColumn="0" w:lastRowLastColumn="0"/>
            <w:tcW w:w="2280" w:type="dxa"/>
          </w:tcPr>
          <w:p w14:paraId="28BF368E" w14:textId="77777777" w:rsidR="007B7514" w:rsidRPr="0070657C" w:rsidRDefault="007B7514" w:rsidP="00A6302C">
            <w:pPr>
              <w:rPr>
                <w:sz w:val="20"/>
                <w:szCs w:val="20"/>
              </w:rPr>
            </w:pPr>
            <w:r w:rsidRPr="0070657C">
              <w:rPr>
                <w:rFonts w:eastAsia="Arial" w:cs="Arial"/>
                <w:sz w:val="20"/>
                <w:szCs w:val="20"/>
              </w:rPr>
              <w:t>Antioquia</w:t>
            </w:r>
          </w:p>
        </w:tc>
        <w:tc>
          <w:tcPr>
            <w:tcW w:w="3045" w:type="dxa"/>
          </w:tcPr>
          <w:p w14:paraId="4A9CC02D" w14:textId="77777777" w:rsidR="007B7514" w:rsidRPr="0070657C" w:rsidRDefault="007B7514" w:rsidP="00A6302C">
            <w:pP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Caucasia</w:t>
            </w:r>
          </w:p>
        </w:tc>
        <w:tc>
          <w:tcPr>
            <w:tcW w:w="1440" w:type="dxa"/>
          </w:tcPr>
          <w:p w14:paraId="7A8548F9" w14:textId="77777777" w:rsidR="007B7514" w:rsidRPr="0070657C"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3</w:t>
            </w:r>
          </w:p>
        </w:tc>
      </w:tr>
      <w:tr w:rsidR="007B7514" w14:paraId="72671BA2" w14:textId="77777777" w:rsidTr="00A6302C">
        <w:trPr>
          <w:trHeight w:val="225"/>
          <w:jc w:val="center"/>
        </w:trPr>
        <w:tc>
          <w:tcPr>
            <w:cnfStyle w:val="001000000000" w:firstRow="0" w:lastRow="0" w:firstColumn="1" w:lastColumn="0" w:oddVBand="0" w:evenVBand="0" w:oddHBand="0" w:evenHBand="0" w:firstRowFirstColumn="0" w:firstRowLastColumn="0" w:lastRowFirstColumn="0" w:lastRowLastColumn="0"/>
            <w:tcW w:w="2280" w:type="dxa"/>
          </w:tcPr>
          <w:p w14:paraId="449C42D5" w14:textId="77777777" w:rsidR="007B7514" w:rsidRPr="0070657C" w:rsidRDefault="007B7514" w:rsidP="00A6302C">
            <w:pPr>
              <w:rPr>
                <w:sz w:val="20"/>
                <w:szCs w:val="20"/>
              </w:rPr>
            </w:pPr>
            <w:r w:rsidRPr="0070657C">
              <w:rPr>
                <w:rFonts w:eastAsia="Arial" w:cs="Arial"/>
                <w:sz w:val="20"/>
                <w:szCs w:val="20"/>
              </w:rPr>
              <w:t>Guaviare</w:t>
            </w:r>
          </w:p>
        </w:tc>
        <w:tc>
          <w:tcPr>
            <w:tcW w:w="3045" w:type="dxa"/>
          </w:tcPr>
          <w:p w14:paraId="39BCBB3F" w14:textId="77777777" w:rsidR="007B7514" w:rsidRPr="0070657C" w:rsidRDefault="007B7514" w:rsidP="00A6302C">
            <w:pP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San José del Guaviare</w:t>
            </w:r>
          </w:p>
        </w:tc>
        <w:tc>
          <w:tcPr>
            <w:tcW w:w="1440" w:type="dxa"/>
          </w:tcPr>
          <w:p w14:paraId="18683FDF" w14:textId="77777777" w:rsidR="007B7514" w:rsidRPr="0070657C"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70657C">
              <w:rPr>
                <w:rFonts w:eastAsia="Arial" w:cs="Arial"/>
                <w:sz w:val="20"/>
                <w:szCs w:val="20"/>
              </w:rPr>
              <w:t>2</w:t>
            </w:r>
          </w:p>
        </w:tc>
      </w:tr>
    </w:tbl>
    <w:p w14:paraId="789C1CF2" w14:textId="77777777" w:rsidR="007B7514" w:rsidRPr="002F4CBB" w:rsidRDefault="007B7514" w:rsidP="007B7514">
      <w:pPr>
        <w:jc w:val="center"/>
        <w:rPr>
          <w:rFonts w:eastAsia="Arial" w:cs="Arial"/>
          <w:b/>
          <w:bCs/>
          <w:sz w:val="16"/>
          <w:szCs w:val="16"/>
          <w:lang w:val="es-MX"/>
        </w:rPr>
      </w:pPr>
      <w:r w:rsidRPr="31FF9146">
        <w:rPr>
          <w:rFonts w:ascii="Calibri" w:eastAsia="Calibri" w:hAnsi="Calibri" w:cs="Calibri"/>
          <w:color w:val="000000" w:themeColor="text1"/>
          <w:sz w:val="14"/>
          <w:szCs w:val="14"/>
          <w:lang w:val="es"/>
        </w:rPr>
        <w:t xml:space="preserve"> </w:t>
      </w:r>
      <w:r w:rsidRPr="002F4CBB">
        <w:rPr>
          <w:rFonts w:eastAsia="Arial" w:cs="Arial"/>
          <w:b/>
          <w:bCs/>
          <w:sz w:val="16"/>
          <w:szCs w:val="16"/>
          <w:lang w:val="es-MX"/>
        </w:rPr>
        <w:t>Fuente. Dirección de Gestión de información geográfica</w:t>
      </w:r>
    </w:p>
    <w:p w14:paraId="180F5CF0" w14:textId="4891BDBF" w:rsidR="007B7514" w:rsidRDefault="007B7514" w:rsidP="007B7514">
      <w:pPr>
        <w:jc w:val="both"/>
      </w:pPr>
    </w:p>
    <w:p w14:paraId="206D21C1" w14:textId="77777777" w:rsidR="007B7514" w:rsidRDefault="00A6302C" w:rsidP="007B7514">
      <w:pPr>
        <w:jc w:val="both"/>
      </w:pPr>
      <w:hyperlink r:id="rId89" w:anchor="_ftnref1">
        <w:r w:rsidR="007B7514" w:rsidRPr="31FF9146">
          <w:rPr>
            <w:rStyle w:val="Hipervnculo"/>
            <w:rFonts w:ascii="Calibri" w:eastAsia="Calibri" w:hAnsi="Calibri" w:cs="Calibri"/>
            <w:sz w:val="20"/>
            <w:szCs w:val="20"/>
            <w:vertAlign w:val="superscript"/>
            <w:lang w:val="es"/>
          </w:rPr>
          <w:t>[1]</w:t>
        </w:r>
      </w:hyperlink>
      <w:r w:rsidR="007B7514" w:rsidRPr="31FF9146">
        <w:rPr>
          <w:rFonts w:ascii="Calibri" w:eastAsia="Calibri" w:hAnsi="Calibri" w:cs="Calibri"/>
          <w:color w:val="000000" w:themeColor="text1"/>
          <w:sz w:val="20"/>
          <w:szCs w:val="20"/>
          <w:lang w:val="es"/>
        </w:rPr>
        <w:t xml:space="preserve"> </w:t>
      </w:r>
      <w:hyperlink r:id="rId90">
        <w:r w:rsidR="007B7514" w:rsidRPr="31FF9146">
          <w:rPr>
            <w:rStyle w:val="Hipervnculo"/>
            <w:rFonts w:ascii="Calibri" w:eastAsia="Calibri" w:hAnsi="Calibri" w:cs="Calibri"/>
            <w:sz w:val="20"/>
            <w:szCs w:val="20"/>
            <w:lang w:val="es"/>
          </w:rPr>
          <w:t>https://tableros.igac.gov.co/gestionimagenes/</w:t>
        </w:r>
      </w:hyperlink>
    </w:p>
    <w:p w14:paraId="15B4B64B" w14:textId="77777777" w:rsidR="007B7514" w:rsidRDefault="007B7514" w:rsidP="007B7514">
      <w:pPr>
        <w:jc w:val="both"/>
        <w:rPr>
          <w:color w:val="000000" w:themeColor="text1"/>
        </w:rPr>
      </w:pPr>
    </w:p>
    <w:p w14:paraId="50C2122B" w14:textId="77777777" w:rsidR="007B7514" w:rsidRDefault="007B7514" w:rsidP="007B7514">
      <w:pPr>
        <w:jc w:val="both"/>
      </w:pPr>
      <w:r w:rsidRPr="31FF9146">
        <w:rPr>
          <w:rFonts w:eastAsia="Arial" w:cs="Arial"/>
          <w:color w:val="000000" w:themeColor="text1"/>
          <w:sz w:val="22"/>
          <w:szCs w:val="22"/>
        </w:rPr>
        <w:t>A través del Convenio suscrito entre el Ministerio de Agricultura, Ganadería y Alimentación de la República de Guatemala – MAGA, se avanzó en la Integración, revisión y ajustes en un solo plan del reconocimiento de suelos de los departamentos de San Marcos, Quetzaltenango y Totonicapán; preparación de la geomorfología del departamento de Jalapa para revisión por parte del IGAC; fotointerpretación del departamento de El Quiché; preparación de la geomorfología del departamento de Baja Verapaz, para revisión por parte del IGAC; revisión de los capítulos I, II y III de la memoria del departamento de Escuintla y la edición e impresión del estudio semidetallado de suelos del departamento de Guatemala.</w:t>
      </w:r>
    </w:p>
    <w:p w14:paraId="403FDAEE" w14:textId="77777777" w:rsidR="007B7514" w:rsidRDefault="007B7514" w:rsidP="007B7514">
      <w:pPr>
        <w:jc w:val="both"/>
      </w:pPr>
      <w:r w:rsidRPr="31FF9146">
        <w:rPr>
          <w:rFonts w:eastAsia="Arial" w:cs="Arial"/>
          <w:color w:val="000000" w:themeColor="text1"/>
          <w:sz w:val="22"/>
          <w:szCs w:val="22"/>
        </w:rPr>
        <w:t xml:space="preserve"> </w:t>
      </w:r>
    </w:p>
    <w:p w14:paraId="6CBEB819" w14:textId="77777777" w:rsidR="007B7514" w:rsidRDefault="007B7514" w:rsidP="007B7514">
      <w:pPr>
        <w:jc w:val="both"/>
      </w:pPr>
      <w:r w:rsidRPr="31FF9146">
        <w:rPr>
          <w:rFonts w:eastAsia="Arial" w:cs="Arial"/>
          <w:color w:val="000000" w:themeColor="text1"/>
          <w:sz w:val="22"/>
          <w:szCs w:val="22"/>
        </w:rPr>
        <w:t xml:space="preserve">La alianza con la Organización de las Naciones Unidas para la Alimentación y la Agricultura – FAO consistió en la entrega de la información básica para el tema de mapeo e investigaciones en temas de suelos. La participación del IGAC se fundamenta en la incorporación de la información recolectada en el programa nacional de levantamiento de suelos, el cual se inició en la década del 40 hasta la actualidad. Lo anterior hacer referencia a la finalización del Mapa Nacional de Salinidad por Mapeo Digital, avance en el Mapa Nacional de Suelos Negros en Colombia. </w:t>
      </w:r>
    </w:p>
    <w:p w14:paraId="6BA9768A" w14:textId="77777777" w:rsidR="007B7514" w:rsidRDefault="007B7514" w:rsidP="007B7514">
      <w:pPr>
        <w:jc w:val="both"/>
      </w:pPr>
      <w:r w:rsidRPr="31FF9146">
        <w:rPr>
          <w:rFonts w:eastAsia="Arial" w:cs="Arial"/>
          <w:color w:val="000000" w:themeColor="text1"/>
          <w:sz w:val="22"/>
          <w:szCs w:val="22"/>
        </w:rPr>
        <w:t xml:space="preserve"> </w:t>
      </w:r>
    </w:p>
    <w:p w14:paraId="5F3575DB" w14:textId="77777777" w:rsidR="007B7514" w:rsidRDefault="007B7514" w:rsidP="007B7514">
      <w:pPr>
        <w:jc w:val="both"/>
      </w:pPr>
      <w:r w:rsidRPr="31FF9146">
        <w:rPr>
          <w:rFonts w:eastAsia="Arial" w:cs="Arial"/>
          <w:color w:val="000000" w:themeColor="text1"/>
          <w:sz w:val="22"/>
          <w:szCs w:val="22"/>
        </w:rPr>
        <w:lastRenderedPageBreak/>
        <w:t>Con el Jardín Botánico José Celestino Mutis se logró un aumento en los ingresos propios del Instituto representados con el objeto de prestar el servicio de análisis de laboratorio para suelos, aguas, compost y tejido vegetal requeridos por el Jardín Botánico José Celestino Mutis.</w:t>
      </w:r>
    </w:p>
    <w:p w14:paraId="7BD72CCD" w14:textId="4F98B45B" w:rsidR="009360B4" w:rsidRDefault="009360B4" w:rsidP="007B7514">
      <w:pPr>
        <w:rPr>
          <w:b/>
          <w:bCs/>
        </w:rPr>
      </w:pPr>
    </w:p>
    <w:p w14:paraId="21BCA5E5" w14:textId="77777777" w:rsidR="003F41EC" w:rsidRPr="009360B4" w:rsidRDefault="007B7514" w:rsidP="009360B4">
      <w:pPr>
        <w:pStyle w:val="Prrafodelista"/>
        <w:numPr>
          <w:ilvl w:val="2"/>
          <w:numId w:val="22"/>
        </w:numPr>
        <w:rPr>
          <w:b/>
          <w:sz w:val="22"/>
          <w:szCs w:val="22"/>
        </w:rPr>
      </w:pPr>
      <w:r w:rsidRPr="009360B4">
        <w:rPr>
          <w:b/>
          <w:sz w:val="22"/>
          <w:szCs w:val="22"/>
        </w:rPr>
        <w:t>OTROS LOGROS</w:t>
      </w:r>
    </w:p>
    <w:p w14:paraId="578D0714" w14:textId="304BE013" w:rsidR="007B7514" w:rsidRPr="00BA6536" w:rsidRDefault="007B7514" w:rsidP="007B7514">
      <w:pPr>
        <w:pStyle w:val="Lista"/>
        <w:rPr>
          <w:b/>
        </w:rPr>
      </w:pPr>
    </w:p>
    <w:p w14:paraId="58557E2E" w14:textId="77777777" w:rsidR="007B7514" w:rsidRPr="00BA6536" w:rsidRDefault="007B7514" w:rsidP="007B7514">
      <w:pPr>
        <w:jc w:val="both"/>
        <w:rPr>
          <w:b/>
        </w:rPr>
      </w:pPr>
      <w:r w:rsidRPr="00BA6536">
        <w:rPr>
          <w:rFonts w:eastAsia="Arial" w:cs="Arial"/>
          <w:b/>
          <w:sz w:val="22"/>
          <w:szCs w:val="22"/>
          <w:lang w:val="es"/>
        </w:rPr>
        <w:t>SECCIÓN NACIONAL IPGH COLOMBIA</w:t>
      </w:r>
    </w:p>
    <w:p w14:paraId="62D68479" w14:textId="77777777" w:rsidR="007B7514" w:rsidRPr="00504CE2" w:rsidRDefault="007B7514" w:rsidP="007B7514">
      <w:pPr>
        <w:jc w:val="both"/>
      </w:pPr>
      <w:r w:rsidRPr="00504CE2">
        <w:rPr>
          <w:rFonts w:eastAsia="Arial" w:cs="Arial"/>
          <w:sz w:val="22"/>
          <w:szCs w:val="22"/>
          <w:lang w:val="es"/>
        </w:rPr>
        <w:t xml:space="preserve"> </w:t>
      </w:r>
    </w:p>
    <w:p w14:paraId="5AA50706" w14:textId="77777777" w:rsidR="007B7514" w:rsidRDefault="007B7514" w:rsidP="007B7514">
      <w:pPr>
        <w:jc w:val="both"/>
      </w:pPr>
      <w:r w:rsidRPr="31FF9146">
        <w:rPr>
          <w:rFonts w:eastAsia="Arial" w:cs="Arial"/>
          <w:color w:val="000000" w:themeColor="text1"/>
          <w:sz w:val="22"/>
          <w:szCs w:val="22"/>
          <w:lang w:val="es"/>
        </w:rPr>
        <w:t>El Instituto Panamericano de Geografía e Historia (IPGH) es un organismo internacional, científico y técnico de la Organización de los Estados Americanos (OEA), dedicado a la generación y transferencia de conocimiento especializado en las áreas de Geografía, Historia, Cartografía y Geofísica; con la finalidad de mantener actualizados y en permanente comunicación a los investigadores e instituciones científicas de los Estados Miembros.</w:t>
      </w:r>
    </w:p>
    <w:p w14:paraId="080B4EB2" w14:textId="77777777" w:rsidR="007B7514" w:rsidRDefault="007B7514" w:rsidP="007B7514">
      <w:pPr>
        <w:jc w:val="both"/>
      </w:pPr>
      <w:r w:rsidRPr="31FF9146">
        <w:rPr>
          <w:rFonts w:eastAsia="Arial" w:cs="Arial"/>
          <w:color w:val="000000" w:themeColor="text1"/>
          <w:sz w:val="22"/>
          <w:szCs w:val="22"/>
          <w:lang w:val="es"/>
        </w:rPr>
        <w:t xml:space="preserve"> </w:t>
      </w:r>
    </w:p>
    <w:p w14:paraId="34D6AA27" w14:textId="77777777" w:rsidR="007B7514" w:rsidRDefault="007B7514" w:rsidP="007B7514">
      <w:pPr>
        <w:jc w:val="both"/>
      </w:pPr>
      <w:r w:rsidRPr="31FF9146">
        <w:rPr>
          <w:rFonts w:eastAsia="Arial" w:cs="Arial"/>
          <w:color w:val="000000" w:themeColor="text1"/>
          <w:sz w:val="22"/>
          <w:szCs w:val="22"/>
          <w:lang w:val="es"/>
        </w:rPr>
        <w:t xml:space="preserve">El IPGH está integrado por 21 Estados miembros: Argentina, Belice, Bolivia, Brasil, Chile, Colombia, Costa Rica, Ecuador, El Salvador, Estados Unidos de América, Guatemala, Haití, Honduras, México, Nicaragua, Panamá, Paraguay, Perú, República Dominicana, Uruguay y Venezuela, y existe también la categoría de Observador Permanente del IPGH; España, Francia, Israel y Jamaica. El IPGH funciona en los Estados Miembro a través de “Secciones Nacionales” y para el caso de Colombia, el IGAC desde el año 1935 preside la “Sección Nacional Colombia”. </w:t>
      </w:r>
    </w:p>
    <w:p w14:paraId="2A4A6972" w14:textId="77777777" w:rsidR="007B7514" w:rsidRDefault="007B7514" w:rsidP="007B7514">
      <w:pPr>
        <w:jc w:val="both"/>
      </w:pPr>
      <w:r w:rsidRPr="31FF9146">
        <w:rPr>
          <w:rFonts w:eastAsia="Arial" w:cs="Arial"/>
          <w:color w:val="000000" w:themeColor="text1"/>
          <w:sz w:val="22"/>
          <w:szCs w:val="22"/>
          <w:lang w:val="es"/>
        </w:rPr>
        <w:t xml:space="preserve"> </w:t>
      </w:r>
    </w:p>
    <w:p w14:paraId="03BBF4A3" w14:textId="77777777" w:rsidR="007B7514" w:rsidRDefault="007B7514" w:rsidP="007B7514">
      <w:pPr>
        <w:jc w:val="both"/>
      </w:pPr>
      <w:r w:rsidRPr="31FF9146">
        <w:rPr>
          <w:rFonts w:eastAsia="Arial" w:cs="Arial"/>
          <w:color w:val="000000" w:themeColor="text1"/>
          <w:sz w:val="22"/>
          <w:szCs w:val="22"/>
          <w:lang w:val="es"/>
        </w:rPr>
        <w:t>No obstante, lo anterior al indagar por la trazabilidad de la Sección Nacional y el rol que ha tenido no sólo para el desarrollo de las 4 temáticas misionales en el país sino en la región panamericana, se encontró que no existe un archivo oficial de antecedentes y repositorio de información. Adicionalmente, pese a que desde el IGAC en las últimas décadas ha participado satisfactoriamente en diferentes proyectos e iniciativas nacionales e internacionales del IPGH, no existía oficialmente alguna dependencia responsable de liderar dicha participación.</w:t>
      </w:r>
    </w:p>
    <w:p w14:paraId="5CA4C9DC" w14:textId="77777777" w:rsidR="007B7514" w:rsidRDefault="007B7514" w:rsidP="007B7514">
      <w:pPr>
        <w:jc w:val="both"/>
      </w:pPr>
      <w:r w:rsidRPr="31FF9146">
        <w:rPr>
          <w:rFonts w:eastAsia="Arial" w:cs="Arial"/>
          <w:color w:val="000000" w:themeColor="text1"/>
          <w:sz w:val="22"/>
          <w:szCs w:val="22"/>
          <w:lang w:val="es"/>
        </w:rPr>
        <w:t xml:space="preserve"> </w:t>
      </w:r>
    </w:p>
    <w:p w14:paraId="38E0E30D" w14:textId="77777777" w:rsidR="007B7514" w:rsidRDefault="007B7514" w:rsidP="007B7514">
      <w:pPr>
        <w:jc w:val="both"/>
      </w:pPr>
      <w:r w:rsidRPr="31FF9146">
        <w:rPr>
          <w:rFonts w:eastAsia="Arial" w:cs="Arial"/>
          <w:color w:val="000000" w:themeColor="text1"/>
          <w:sz w:val="22"/>
          <w:szCs w:val="22"/>
          <w:lang w:val="es"/>
        </w:rPr>
        <w:t>De igual forma, no se encontró ningún lineamiento ni reglamento para el funcionamiento en términos de las Comisiones Técnicas, delegados, integrantes, objetivos ni la periodicidad de conformación. Al indagar con diferentes actores al interior del IGAC, se evidenció que, ante la no reglamentación, en diferentes momentos y según las diferentes administraciones, en ocasiones históricamente la Sección Nacional había sido liderada por la Subdirección de Geografía, en otras por el CIAF, por la Oficina Asesora de Planeación o en otros casos directamente por la Dirección General.</w:t>
      </w:r>
    </w:p>
    <w:p w14:paraId="2673334E" w14:textId="77777777" w:rsidR="007B7514" w:rsidRDefault="007B7514" w:rsidP="007B7514">
      <w:pPr>
        <w:jc w:val="both"/>
      </w:pPr>
      <w:r w:rsidRPr="31FF9146">
        <w:rPr>
          <w:rFonts w:eastAsia="Arial" w:cs="Arial"/>
          <w:color w:val="000000" w:themeColor="text1"/>
          <w:sz w:val="22"/>
          <w:szCs w:val="22"/>
          <w:lang w:val="es"/>
        </w:rPr>
        <w:t xml:space="preserve"> </w:t>
      </w:r>
    </w:p>
    <w:p w14:paraId="2C83F90D" w14:textId="77777777" w:rsidR="007B7514" w:rsidRDefault="007B7514" w:rsidP="007B7514">
      <w:pPr>
        <w:jc w:val="both"/>
      </w:pPr>
      <w:r w:rsidRPr="31FF9146">
        <w:rPr>
          <w:rFonts w:eastAsia="Arial" w:cs="Arial"/>
          <w:color w:val="000000" w:themeColor="text1"/>
          <w:sz w:val="22"/>
          <w:szCs w:val="22"/>
          <w:lang w:val="es"/>
        </w:rPr>
        <w:t>Lo anterior se pone en evidencia cada vez que es convocada la Asamblea General o las reuniones anuales de las comisiones de Geografía, Historia, Cartografía y Geofísica, pues en primer lugar no se puede dar cuenta de antecedentes inmediatos, trazabilidad de proyectos financiados con recursos IPGH y avances en las comisiones en los asuntos correspondientes.</w:t>
      </w:r>
    </w:p>
    <w:p w14:paraId="5DF626A9" w14:textId="77777777" w:rsidR="007B7514" w:rsidRDefault="007B7514" w:rsidP="007B7514">
      <w:pPr>
        <w:jc w:val="both"/>
      </w:pPr>
      <w:r w:rsidRPr="31FF9146">
        <w:rPr>
          <w:rFonts w:eastAsia="Arial" w:cs="Arial"/>
          <w:color w:val="000000" w:themeColor="text1"/>
          <w:sz w:val="22"/>
          <w:szCs w:val="22"/>
          <w:lang w:val="es"/>
        </w:rPr>
        <w:t xml:space="preserve"> </w:t>
      </w:r>
    </w:p>
    <w:p w14:paraId="4736116A" w14:textId="77777777" w:rsidR="007B7514"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En este sentido, la gestión llevada a cabo durante los dos últimos años refleja los siguientes logros:</w:t>
      </w:r>
    </w:p>
    <w:p w14:paraId="38E08A9F" w14:textId="288C3E3F" w:rsidR="007B7514" w:rsidRDefault="007B7514" w:rsidP="007B7514">
      <w:pPr>
        <w:jc w:val="both"/>
      </w:pPr>
    </w:p>
    <w:p w14:paraId="1932BFCC" w14:textId="77777777" w:rsidR="007B7514" w:rsidRPr="005222F5" w:rsidRDefault="007B7514" w:rsidP="000A20EE">
      <w:pPr>
        <w:pStyle w:val="Prrafodelista"/>
        <w:numPr>
          <w:ilvl w:val="0"/>
          <w:numId w:val="202"/>
        </w:numPr>
        <w:rPr>
          <w:rFonts w:eastAsia="Arial" w:cs="Arial"/>
          <w:color w:val="000000" w:themeColor="text1"/>
          <w:sz w:val="22"/>
          <w:szCs w:val="22"/>
          <w:lang w:val="es"/>
        </w:rPr>
      </w:pPr>
      <w:r w:rsidRPr="005618DE">
        <w:rPr>
          <w:rFonts w:eastAsia="Arial" w:cs="Arial"/>
          <w:color w:val="000000" w:themeColor="text1"/>
          <w:sz w:val="22"/>
          <w:szCs w:val="22"/>
          <w:lang w:val="es"/>
        </w:rPr>
        <w:t>Elaboración del diagnóstico del funcionamiento de la Sección Nacional IPGH Colombia, con base en información recopilada en diferentes dependencias, pues se requería reglamentar el funcionamiento de acuerdo con las competencias y requerimientos misionales.</w:t>
      </w:r>
      <w:r>
        <w:rPr>
          <w:rFonts w:eastAsia="Arial" w:cs="Arial"/>
          <w:color w:val="000000" w:themeColor="text1"/>
          <w:sz w:val="22"/>
          <w:szCs w:val="22"/>
          <w:lang w:val="es"/>
        </w:rPr>
        <w:t xml:space="preserve"> </w:t>
      </w:r>
      <w:r w:rsidRPr="005222F5">
        <w:rPr>
          <w:rFonts w:eastAsia="Arial" w:cs="Arial"/>
          <w:color w:val="000000" w:themeColor="text1"/>
          <w:sz w:val="22"/>
          <w:szCs w:val="22"/>
          <w:lang w:val="es"/>
        </w:rPr>
        <w:t>Como parte de esto, y luego de realizar interlocución con diferentes servidores públicos de las áreas que han tenido incidencia en el tema, se elaboró un proyecto de resolución para discusión interna.</w:t>
      </w:r>
    </w:p>
    <w:p w14:paraId="4AF4A24A" w14:textId="77777777" w:rsidR="007B7514" w:rsidRDefault="007B7514" w:rsidP="007B7514">
      <w:pPr>
        <w:jc w:val="both"/>
      </w:pPr>
      <w:r w:rsidRPr="31FF9146">
        <w:rPr>
          <w:rFonts w:eastAsia="Arial" w:cs="Arial"/>
          <w:color w:val="000000" w:themeColor="text1"/>
          <w:sz w:val="22"/>
          <w:szCs w:val="22"/>
          <w:lang w:val="es"/>
        </w:rPr>
        <w:lastRenderedPageBreak/>
        <w:t xml:space="preserve"> </w:t>
      </w:r>
    </w:p>
    <w:p w14:paraId="2602DF08" w14:textId="77777777" w:rsidR="007B7514" w:rsidRDefault="007B7514" w:rsidP="000A20EE">
      <w:pPr>
        <w:pStyle w:val="Prrafodelista"/>
        <w:numPr>
          <w:ilvl w:val="3"/>
          <w:numId w:val="202"/>
        </w:numPr>
        <w:ind w:left="709" w:hanging="425"/>
      </w:pPr>
      <w:r w:rsidRPr="005222F5">
        <w:rPr>
          <w:rFonts w:eastAsia="Arial" w:cs="Arial"/>
          <w:color w:val="000000" w:themeColor="text1"/>
          <w:sz w:val="22"/>
          <w:szCs w:val="22"/>
          <w:lang w:val="es"/>
        </w:rPr>
        <w:t>Luego de análisis técnicos y jurídicos, el 27 de agosto de 2021 fue expedida la Resolución IGAC 1203 de 2021, mediante la cual se establecen los lineamientos generales para su funcionamiento, lo cual incluye la conformación oficial de las cuatro (4) Comisiones Nacionales, a saber: Geografía, Historia, Cartografía, Geofísica.</w:t>
      </w:r>
    </w:p>
    <w:p w14:paraId="5732E9D5" w14:textId="77777777" w:rsidR="007B7514" w:rsidRDefault="007B7514" w:rsidP="007B7514">
      <w:pPr>
        <w:jc w:val="both"/>
      </w:pPr>
      <w:r w:rsidRPr="31FF9146">
        <w:rPr>
          <w:rFonts w:eastAsia="Arial" w:cs="Arial"/>
          <w:color w:val="000000" w:themeColor="text1"/>
          <w:sz w:val="22"/>
          <w:szCs w:val="22"/>
          <w:lang w:val="es"/>
        </w:rPr>
        <w:t xml:space="preserve"> </w:t>
      </w:r>
    </w:p>
    <w:p w14:paraId="5741657F"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Con la resolución en firme, se inició el proceso de conformación de las Comisiones Técnicas, como brazo estructural de la Sección Nacional. De esta manera, y atendiendo a lo establecido en dicho acto administrativo, se inició la búsqueda de profesionales reconocidos académica y científicamente en cada una de las 4 disciplinas misionales, con el fin de seleccionar a los 4 Delegados Principales de cada una de estas. A la fecha ya se encuentra oficializada y notificada la conformación de las 4 Comisiones Técnicas, con un Delegado Principal.</w:t>
      </w:r>
    </w:p>
    <w:p w14:paraId="02DFA02B" w14:textId="77777777" w:rsidR="007B7514" w:rsidRDefault="007B7514" w:rsidP="007B7514">
      <w:pPr>
        <w:ind w:left="284" w:hanging="224"/>
        <w:jc w:val="both"/>
      </w:pPr>
    </w:p>
    <w:p w14:paraId="58103BBB"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De manera transversal a esta actividad de reglamentación, fue necesario atender los asuntos recurrentes del IPGH internacional, como la preparación de las asambleas generales anuales, la interlocución con las comisiones internacionales, el aval a los proyectos de otras secciones nacionales y el estado de cuenta de la membresía de Colombia en la organización.</w:t>
      </w:r>
    </w:p>
    <w:p w14:paraId="01D051ED" w14:textId="77777777" w:rsidR="007B7514" w:rsidRPr="005618DE" w:rsidRDefault="007B7514" w:rsidP="007B7514">
      <w:pPr>
        <w:pStyle w:val="Prrafodelista"/>
        <w:ind w:left="720"/>
        <w:rPr>
          <w:rFonts w:eastAsia="Arial" w:cs="Arial"/>
          <w:color w:val="000000" w:themeColor="text1"/>
          <w:sz w:val="22"/>
          <w:szCs w:val="22"/>
          <w:lang w:val="es"/>
        </w:rPr>
      </w:pPr>
    </w:p>
    <w:p w14:paraId="2FE3A52D"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En cuanto a las asambleas nacionales, se preparó la preparación y rendición de cuentas para 2020 y 2021. Para tal fin se elaboraron los correspondientes informes de gestión y se articuló con la Secretaría General de dicha organización.</w:t>
      </w:r>
    </w:p>
    <w:p w14:paraId="4B446C0B" w14:textId="77777777" w:rsidR="007B7514" w:rsidRPr="005618DE" w:rsidRDefault="007B7514" w:rsidP="007B7514">
      <w:pPr>
        <w:pStyle w:val="Prrafodelista"/>
        <w:ind w:left="720"/>
        <w:rPr>
          <w:rFonts w:eastAsia="Arial" w:cs="Arial"/>
          <w:color w:val="000000" w:themeColor="text1"/>
          <w:sz w:val="22"/>
          <w:szCs w:val="22"/>
          <w:lang w:val="es"/>
        </w:rPr>
      </w:pPr>
      <w:r w:rsidRPr="005618DE">
        <w:rPr>
          <w:rFonts w:eastAsia="Arial" w:cs="Arial"/>
          <w:color w:val="000000" w:themeColor="text1"/>
          <w:sz w:val="22"/>
          <w:szCs w:val="22"/>
          <w:lang w:val="es"/>
        </w:rPr>
        <w:t xml:space="preserve"> </w:t>
      </w:r>
    </w:p>
    <w:p w14:paraId="1AF1B16C"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Si bien en cada país existen 4 comisiones técnicas (geografía, historia, cartografía, geofísica), a nivel panamericano existen también cuatro grandes comisiones para las mismas temáticas. Cada una de las comisiones internacionales tiene un cuadro directivo e independientemente de que Colombia participe allí con profesionales delegados, debe apoyar su funcionamiento a través de reuniones técnicas de coordinación. Para el caso colombiano, solo en la Comisión Internacional de Geografía se cuenta con la participación de una persona.</w:t>
      </w:r>
    </w:p>
    <w:p w14:paraId="45304464" w14:textId="77777777" w:rsidR="007B7514" w:rsidRPr="005618DE" w:rsidRDefault="007B7514" w:rsidP="007B7514">
      <w:pPr>
        <w:pStyle w:val="Prrafodelista"/>
        <w:ind w:left="720"/>
        <w:rPr>
          <w:rFonts w:eastAsia="Arial" w:cs="Arial"/>
          <w:color w:val="000000" w:themeColor="text1"/>
          <w:sz w:val="22"/>
          <w:szCs w:val="22"/>
          <w:lang w:val="es"/>
        </w:rPr>
      </w:pPr>
    </w:p>
    <w:p w14:paraId="67BC8718"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Dado que el IPGH financia proyectos presentados por los países miembros en cualquiera de las cuatro temáticas misionales, anualmente las comisiones nacionales pueden presentar iniciativas para su aprobación y ejecución en el siguiente año con dichos recursos. Estos proyectos pueden tener el aval de otras secciones nacionales y así facilitar su trámite ante el IPGH.</w:t>
      </w:r>
    </w:p>
    <w:p w14:paraId="46978A98" w14:textId="77777777" w:rsidR="007B7514" w:rsidRPr="005618DE" w:rsidRDefault="007B7514" w:rsidP="007B7514">
      <w:pPr>
        <w:pStyle w:val="Prrafodelista"/>
        <w:ind w:left="720"/>
        <w:rPr>
          <w:rFonts w:eastAsia="Arial" w:cs="Arial"/>
          <w:color w:val="000000" w:themeColor="text1"/>
          <w:sz w:val="22"/>
          <w:szCs w:val="22"/>
          <w:lang w:val="es"/>
        </w:rPr>
      </w:pPr>
    </w:p>
    <w:p w14:paraId="3EACD21E"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31FF9146">
        <w:rPr>
          <w:rFonts w:eastAsia="Arial" w:cs="Arial"/>
          <w:color w:val="000000" w:themeColor="text1"/>
          <w:sz w:val="22"/>
          <w:szCs w:val="22"/>
          <w:lang w:val="es"/>
        </w:rPr>
        <w:t>Como parte de esto, durante la vigencia 2021 se recibieron 14 proyectos para ser estudiados por la Sección Nacional de Colombia y posteriormente avalados técnicamente ante la Secretaría General del IPGH para postularse a obtener apoyo financiero en 2022 a través de los programas de asistencia técnica. Específicamente se avalaron propuestas de los Estados Miembro de Perú, Chile, Ecuador, República Dominicana, Argentina, México.</w:t>
      </w:r>
    </w:p>
    <w:p w14:paraId="0705AE21" w14:textId="77777777" w:rsidR="007B7514" w:rsidRPr="005618DE" w:rsidRDefault="007B7514" w:rsidP="007B7514">
      <w:pPr>
        <w:pStyle w:val="Prrafodelista"/>
        <w:ind w:left="720"/>
        <w:rPr>
          <w:rFonts w:eastAsia="Arial" w:cs="Arial"/>
          <w:color w:val="000000" w:themeColor="text1"/>
          <w:sz w:val="22"/>
          <w:szCs w:val="22"/>
          <w:lang w:val="es"/>
        </w:rPr>
      </w:pPr>
    </w:p>
    <w:p w14:paraId="7FF5EAAC" w14:textId="77777777" w:rsidR="007B7514" w:rsidRPr="005618DE" w:rsidRDefault="007B7514" w:rsidP="000A20EE">
      <w:pPr>
        <w:pStyle w:val="Prrafodelista"/>
        <w:numPr>
          <w:ilvl w:val="0"/>
          <w:numId w:val="216"/>
        </w:numPr>
        <w:rPr>
          <w:rFonts w:eastAsia="Arial" w:cs="Arial"/>
          <w:color w:val="000000" w:themeColor="text1"/>
          <w:sz w:val="22"/>
          <w:szCs w:val="22"/>
          <w:lang w:val="es"/>
        </w:rPr>
      </w:pPr>
      <w:r w:rsidRPr="005618DE">
        <w:rPr>
          <w:rFonts w:eastAsia="Arial" w:cs="Arial"/>
          <w:color w:val="000000" w:themeColor="text1"/>
          <w:sz w:val="22"/>
          <w:szCs w:val="22"/>
          <w:lang w:val="es"/>
        </w:rPr>
        <w:t>Referente a los pagos anuales, hay que indicar que anualmente cada Estado miembro debe transferir al IPGH una cuota por concepto de membresía, con el fin de tener recursos suficientes para la financiación de proyectos y actividades científicas de la región.</w:t>
      </w:r>
    </w:p>
    <w:p w14:paraId="1838BBA7" w14:textId="77777777" w:rsidR="007B7514" w:rsidRPr="005618DE" w:rsidRDefault="007B7514" w:rsidP="007B7514">
      <w:pPr>
        <w:pStyle w:val="Prrafodelista"/>
        <w:ind w:left="720"/>
        <w:rPr>
          <w:rFonts w:eastAsia="Arial" w:cs="Arial"/>
          <w:color w:val="000000" w:themeColor="text1"/>
          <w:sz w:val="22"/>
          <w:szCs w:val="22"/>
          <w:lang w:val="es"/>
        </w:rPr>
      </w:pPr>
    </w:p>
    <w:p w14:paraId="7E0AF5F4" w14:textId="3F3377AF" w:rsidR="007B7514" w:rsidRPr="00A93FC3" w:rsidRDefault="007B7514" w:rsidP="00A93FC3">
      <w:pPr>
        <w:pStyle w:val="Prrafodelista"/>
        <w:numPr>
          <w:ilvl w:val="0"/>
          <w:numId w:val="216"/>
        </w:numPr>
        <w:rPr>
          <w:rFonts w:eastAsia="Arial" w:cs="Arial"/>
          <w:color w:val="000000" w:themeColor="text1"/>
          <w:sz w:val="22"/>
          <w:szCs w:val="22"/>
          <w:lang w:val="es"/>
        </w:rPr>
      </w:pPr>
      <w:r w:rsidRPr="31FF9146">
        <w:rPr>
          <w:rFonts w:eastAsia="Arial" w:cs="Arial"/>
          <w:color w:val="000000" w:themeColor="text1"/>
          <w:sz w:val="22"/>
          <w:szCs w:val="22"/>
          <w:lang w:val="es"/>
        </w:rPr>
        <w:lastRenderedPageBreak/>
        <w:t>El valor de dicha membresía es diferencial de acuerdo a cada país. A Colombia para 2021 le correspondió pagar un valor de USD 8.849. A través de la Oficina de Planeación, fue necesario hacer la gestión con el Ministerio de Relaciones Exteriores de Colombia los trámites correspondientes a dicho pago, por lo que la Sección Nacional de Colombia se encuentra al día en esta obligación.</w:t>
      </w:r>
    </w:p>
    <w:p w14:paraId="058A8DA7" w14:textId="77777777" w:rsidR="007B7514" w:rsidRDefault="007B7514" w:rsidP="007B7514">
      <w:pPr>
        <w:jc w:val="both"/>
        <w:rPr>
          <w:rFonts w:eastAsia="Arial" w:cs="Arial"/>
          <w:i/>
          <w:iCs/>
          <w:sz w:val="22"/>
          <w:szCs w:val="22"/>
          <w:lang w:val="es"/>
        </w:rPr>
      </w:pPr>
    </w:p>
    <w:p w14:paraId="2F68E476" w14:textId="77777777" w:rsidR="007B7514" w:rsidRPr="00BA6536" w:rsidRDefault="007B7514" w:rsidP="007B7514">
      <w:pPr>
        <w:jc w:val="both"/>
        <w:rPr>
          <w:b/>
        </w:rPr>
      </w:pPr>
      <w:r w:rsidRPr="00BA6536">
        <w:rPr>
          <w:rFonts w:eastAsia="Arial" w:cs="Arial"/>
          <w:b/>
          <w:sz w:val="22"/>
          <w:szCs w:val="22"/>
          <w:lang w:val="es"/>
        </w:rPr>
        <w:t>ADQUISICIÓN DE PRODUCTOS Y SERVICIOS CARTOGRÁFICOS Y GEODÉSICOS PARA EL CATASTRO MULTIPROPÓSITO</w:t>
      </w:r>
    </w:p>
    <w:p w14:paraId="66113D76" w14:textId="77777777" w:rsidR="007B7514" w:rsidRDefault="007B7514" w:rsidP="007B7514">
      <w:pPr>
        <w:jc w:val="both"/>
      </w:pPr>
      <w:r w:rsidRPr="31FF9146">
        <w:rPr>
          <w:rFonts w:eastAsia="Arial" w:cs="Arial"/>
          <w:color w:val="000000" w:themeColor="text1"/>
          <w:sz w:val="22"/>
          <w:szCs w:val="22"/>
          <w:lang w:val="es"/>
        </w:rPr>
        <w:t xml:space="preserve"> </w:t>
      </w:r>
    </w:p>
    <w:p w14:paraId="3E6FB35B" w14:textId="77777777" w:rsidR="007B7514" w:rsidRDefault="007B7514" w:rsidP="007B7514">
      <w:pPr>
        <w:jc w:val="both"/>
      </w:pPr>
      <w:r w:rsidRPr="31FF9146">
        <w:rPr>
          <w:rFonts w:eastAsia="Arial" w:cs="Arial"/>
          <w:color w:val="000000" w:themeColor="text1"/>
          <w:sz w:val="22"/>
          <w:szCs w:val="22"/>
          <w:lang w:val="es"/>
        </w:rPr>
        <w:t xml:space="preserve">De conformidad con los lineamientos del </w:t>
      </w:r>
      <w:r w:rsidRPr="31FF9146">
        <w:rPr>
          <w:rFonts w:eastAsia="Arial" w:cs="Arial"/>
          <w:i/>
          <w:iCs/>
          <w:color w:val="000000" w:themeColor="text1"/>
          <w:sz w:val="22"/>
          <w:szCs w:val="22"/>
          <w:lang w:val="es"/>
        </w:rPr>
        <w:t>Documento CONPES 3951 Concepto favorable a la Nación para contratar operaciones de crédito externo con la banca multilateral</w:t>
      </w:r>
      <w:r w:rsidRPr="31FF9146">
        <w:rPr>
          <w:rFonts w:eastAsia="Arial" w:cs="Arial"/>
          <w:color w:val="000000" w:themeColor="text1"/>
          <w:sz w:val="22"/>
          <w:szCs w:val="22"/>
          <w:lang w:val="es"/>
        </w:rPr>
        <w:t xml:space="preserve">, la República de Colombia y el Banco mundial - Banco Internacional de Reconstrucción y Fomento (BM-BIRF) y el Banco Interamericano de Desarrollo (BID), suscribieron contrato de préstamo BIRF N.º 8937-CO // BID N.º 4856/OC-CO, para financiar la implementación del Proyecto </w:t>
      </w:r>
      <w:r w:rsidRPr="31FF9146">
        <w:rPr>
          <w:rFonts w:eastAsia="Arial" w:cs="Arial"/>
          <w:i/>
          <w:iCs/>
          <w:color w:val="000000" w:themeColor="text1"/>
          <w:sz w:val="22"/>
          <w:szCs w:val="22"/>
          <w:lang w:val="es"/>
        </w:rPr>
        <w:t>“Programa para la Adopción e Implementación de un Catastro Multipropósito Rural – Urbano”</w:t>
      </w:r>
      <w:r w:rsidRPr="31FF9146">
        <w:rPr>
          <w:rFonts w:eastAsia="Arial" w:cs="Arial"/>
          <w:b/>
          <w:bCs/>
          <w:i/>
          <w:iCs/>
          <w:color w:val="000000" w:themeColor="text1"/>
          <w:sz w:val="22"/>
          <w:szCs w:val="22"/>
          <w:lang w:val="es"/>
        </w:rPr>
        <w:t>.</w:t>
      </w:r>
    </w:p>
    <w:p w14:paraId="5E407B94" w14:textId="77777777" w:rsidR="007B7514" w:rsidRDefault="007B7514" w:rsidP="007B7514">
      <w:pPr>
        <w:jc w:val="both"/>
      </w:pPr>
      <w:r w:rsidRPr="31FF9146">
        <w:rPr>
          <w:rFonts w:eastAsia="Arial" w:cs="Arial"/>
          <w:b/>
          <w:bCs/>
          <w:color w:val="000000" w:themeColor="text1"/>
          <w:sz w:val="22"/>
          <w:szCs w:val="22"/>
          <w:lang w:val="es"/>
        </w:rPr>
        <w:t xml:space="preserve"> </w:t>
      </w:r>
    </w:p>
    <w:p w14:paraId="6AD1CE94" w14:textId="77777777" w:rsidR="007B7514" w:rsidRDefault="007B7514" w:rsidP="007B7514">
      <w:pPr>
        <w:jc w:val="both"/>
      </w:pPr>
      <w:r w:rsidRPr="31FF9146">
        <w:rPr>
          <w:rFonts w:eastAsia="Arial" w:cs="Arial"/>
          <w:color w:val="000000" w:themeColor="text1"/>
          <w:sz w:val="22"/>
          <w:szCs w:val="22"/>
          <w:lang w:val="es"/>
        </w:rPr>
        <w:t>Relacionado con lo anterior, con el propósito de optimizar recursos y lograr el cumplimiento de las metas institucionales en el menor tiempo posible, durante el año 2020, la Dirección de Gestión de Información Geográfica replanteó el esquema de adquisición de insumos y producción de la cartografía básica de los 62 municipios priorizados, por lo que propuso la ejecución de tres procesos contractuales, así:</w:t>
      </w:r>
    </w:p>
    <w:p w14:paraId="3D28CED6" w14:textId="1FF3E576" w:rsidR="005321EC" w:rsidRPr="00A93FC3" w:rsidRDefault="005321EC" w:rsidP="007B7514">
      <w:pPr>
        <w:jc w:val="both"/>
        <w:rPr>
          <w:rFonts w:eastAsia="Arial" w:cs="Arial"/>
          <w:color w:val="000000" w:themeColor="text1"/>
          <w:sz w:val="22"/>
          <w:szCs w:val="22"/>
          <w:lang w:val="es"/>
        </w:rPr>
      </w:pPr>
    </w:p>
    <w:p w14:paraId="53C5BEA9" w14:textId="07B8B661" w:rsidR="00350BFA" w:rsidRPr="00350BFA" w:rsidRDefault="00350BFA" w:rsidP="00350BFA">
      <w:pPr>
        <w:pStyle w:val="Descripcin"/>
        <w:keepNext/>
        <w:jc w:val="center"/>
        <w:rPr>
          <w:rFonts w:ascii="Arial" w:hAnsi="Arial" w:cs="Arial"/>
          <w:b/>
          <w:bCs/>
          <w:i w:val="0"/>
          <w:iCs w:val="0"/>
          <w:color w:val="auto"/>
          <w:sz w:val="16"/>
          <w:szCs w:val="16"/>
        </w:rPr>
      </w:pPr>
      <w:bookmarkStart w:id="121" w:name="_Toc88677114"/>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42</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.Procesos contractuales para la adquisición de insumos y generación de productos cartográficos</w:t>
      </w:r>
      <w:bookmarkEnd w:id="121"/>
    </w:p>
    <w:tbl>
      <w:tblPr>
        <w:tblStyle w:val="Tabladecuadrcula4-nfasis1"/>
        <w:tblW w:w="0" w:type="auto"/>
        <w:jc w:val="center"/>
        <w:tblLayout w:type="fixed"/>
        <w:tblLook w:val="06A0" w:firstRow="1" w:lastRow="0" w:firstColumn="1" w:lastColumn="0" w:noHBand="1" w:noVBand="1"/>
      </w:tblPr>
      <w:tblGrid>
        <w:gridCol w:w="1395"/>
        <w:gridCol w:w="3315"/>
        <w:gridCol w:w="2355"/>
        <w:gridCol w:w="1395"/>
      </w:tblGrid>
      <w:tr w:rsidR="007B7514" w14:paraId="5962AA53" w14:textId="77777777" w:rsidTr="00A6302C">
        <w:trPr>
          <w:cnfStyle w:val="100000000000" w:firstRow="1" w:lastRow="0" w:firstColumn="0" w:lastColumn="0" w:oddVBand="0" w:evenVBand="0" w:oddHBand="0" w:evenHBand="0" w:firstRowFirstColumn="0" w:firstRowLastColumn="0" w:lastRowFirstColumn="0" w:lastRowLastColumn="0"/>
          <w:trHeight w:val="120"/>
          <w:jc w:val="center"/>
        </w:trPr>
        <w:tc>
          <w:tcPr>
            <w:cnfStyle w:val="001000000000" w:firstRow="0" w:lastRow="0" w:firstColumn="1" w:lastColumn="0" w:oddVBand="0" w:evenVBand="0" w:oddHBand="0" w:evenHBand="0" w:firstRowFirstColumn="0" w:firstRowLastColumn="0" w:lastRowFirstColumn="0" w:lastRowLastColumn="0"/>
            <w:tcW w:w="1395" w:type="dxa"/>
          </w:tcPr>
          <w:p w14:paraId="047CCA1B" w14:textId="77777777" w:rsidR="007B7514" w:rsidRDefault="007B7514" w:rsidP="00A6302C">
            <w:pPr>
              <w:jc w:val="center"/>
            </w:pPr>
            <w:r w:rsidRPr="31FF9146">
              <w:rPr>
                <w:rFonts w:eastAsia="Arial" w:cs="Arial"/>
                <w:sz w:val="18"/>
                <w:szCs w:val="18"/>
                <w:lang w:val="es"/>
              </w:rPr>
              <w:t>CONTRATO</w:t>
            </w:r>
          </w:p>
        </w:tc>
        <w:tc>
          <w:tcPr>
            <w:tcW w:w="5670" w:type="dxa"/>
            <w:gridSpan w:val="2"/>
          </w:tcPr>
          <w:p w14:paraId="426218F8"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PRODUCTO</w:t>
            </w:r>
          </w:p>
        </w:tc>
        <w:tc>
          <w:tcPr>
            <w:tcW w:w="1395" w:type="dxa"/>
          </w:tcPr>
          <w:p w14:paraId="4864AD8C"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18"/>
                <w:szCs w:val="18"/>
                <w:lang w:val="es"/>
              </w:rPr>
              <w:t>ÁREA (ha)</w:t>
            </w:r>
          </w:p>
        </w:tc>
      </w:tr>
      <w:tr w:rsidR="007B7514" w14:paraId="7B61473A" w14:textId="77777777" w:rsidTr="00A6302C">
        <w:trPr>
          <w:trHeight w:val="270"/>
          <w:jc w:val="center"/>
        </w:trPr>
        <w:tc>
          <w:tcPr>
            <w:cnfStyle w:val="001000000000" w:firstRow="0" w:lastRow="0" w:firstColumn="1" w:lastColumn="0" w:oddVBand="0" w:evenVBand="0" w:oddHBand="0" w:evenHBand="0" w:firstRowFirstColumn="0" w:firstRowLastColumn="0" w:lastRowFirstColumn="0" w:lastRowLastColumn="0"/>
            <w:tcW w:w="1395" w:type="dxa"/>
          </w:tcPr>
          <w:p w14:paraId="392D2385" w14:textId="77777777" w:rsidR="007B7514" w:rsidRDefault="007B7514" w:rsidP="00A6302C">
            <w:pPr>
              <w:jc w:val="center"/>
            </w:pPr>
            <w:r w:rsidRPr="31FF9146">
              <w:rPr>
                <w:rFonts w:eastAsia="Arial" w:cs="Arial"/>
                <w:sz w:val="18"/>
                <w:szCs w:val="18"/>
                <w:lang w:val="es"/>
              </w:rPr>
              <w:t>1</w:t>
            </w:r>
          </w:p>
        </w:tc>
        <w:tc>
          <w:tcPr>
            <w:tcW w:w="5670" w:type="dxa"/>
            <w:gridSpan w:val="2"/>
          </w:tcPr>
          <w:p w14:paraId="13B87857"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Adquisición de Imágenes satelitales</w:t>
            </w:r>
          </w:p>
        </w:tc>
        <w:tc>
          <w:tcPr>
            <w:tcW w:w="1395" w:type="dxa"/>
          </w:tcPr>
          <w:p w14:paraId="26ED5EF9"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7.350.000</w:t>
            </w:r>
          </w:p>
        </w:tc>
      </w:tr>
      <w:tr w:rsidR="007B7514" w14:paraId="1DD60EFD" w14:textId="77777777" w:rsidTr="00A6302C">
        <w:trPr>
          <w:trHeight w:val="270"/>
          <w:jc w:val="center"/>
        </w:trPr>
        <w:tc>
          <w:tcPr>
            <w:cnfStyle w:val="001000000000" w:firstRow="0" w:lastRow="0" w:firstColumn="1" w:lastColumn="0" w:oddVBand="0" w:evenVBand="0" w:oddHBand="0" w:evenHBand="0" w:firstRowFirstColumn="0" w:firstRowLastColumn="0" w:lastRowFirstColumn="0" w:lastRowLastColumn="0"/>
            <w:tcW w:w="1395" w:type="dxa"/>
          </w:tcPr>
          <w:p w14:paraId="5DF674EE" w14:textId="77777777" w:rsidR="007B7514" w:rsidRDefault="007B7514" w:rsidP="00A6302C">
            <w:pPr>
              <w:jc w:val="center"/>
            </w:pPr>
            <w:r w:rsidRPr="31FF9146">
              <w:rPr>
                <w:rFonts w:eastAsia="Arial" w:cs="Arial"/>
                <w:sz w:val="18"/>
                <w:szCs w:val="18"/>
                <w:lang w:val="es"/>
              </w:rPr>
              <w:t>2</w:t>
            </w:r>
          </w:p>
        </w:tc>
        <w:tc>
          <w:tcPr>
            <w:tcW w:w="5670" w:type="dxa"/>
            <w:gridSpan w:val="2"/>
          </w:tcPr>
          <w:p w14:paraId="52F0A7D9"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Adquisición de Modelo Digital del Terreno</w:t>
            </w:r>
          </w:p>
        </w:tc>
        <w:tc>
          <w:tcPr>
            <w:tcW w:w="1395" w:type="dxa"/>
          </w:tcPr>
          <w:p w14:paraId="7564246B"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6.500.000</w:t>
            </w:r>
          </w:p>
        </w:tc>
      </w:tr>
      <w:tr w:rsidR="007B7514" w14:paraId="2B63686D" w14:textId="77777777" w:rsidTr="00A6302C">
        <w:trPr>
          <w:trHeight w:val="270"/>
          <w:jc w:val="center"/>
        </w:trPr>
        <w:tc>
          <w:tcPr>
            <w:cnfStyle w:val="001000000000" w:firstRow="0" w:lastRow="0" w:firstColumn="1" w:lastColumn="0" w:oddVBand="0" w:evenVBand="0" w:oddHBand="0" w:evenHBand="0" w:firstRowFirstColumn="0" w:firstRowLastColumn="0" w:lastRowFirstColumn="0" w:lastRowLastColumn="0"/>
            <w:tcW w:w="1395" w:type="dxa"/>
            <w:vMerge w:val="restart"/>
          </w:tcPr>
          <w:p w14:paraId="365F706D" w14:textId="77777777" w:rsidR="005321EC" w:rsidRDefault="005321EC" w:rsidP="00A6302C">
            <w:pPr>
              <w:jc w:val="center"/>
              <w:rPr>
                <w:rFonts w:eastAsia="Arial" w:cs="Arial"/>
                <w:b w:val="0"/>
                <w:bCs w:val="0"/>
                <w:sz w:val="18"/>
                <w:szCs w:val="18"/>
                <w:lang w:val="es"/>
              </w:rPr>
            </w:pPr>
          </w:p>
          <w:p w14:paraId="3809CBF7" w14:textId="77777777" w:rsidR="007B7514" w:rsidRDefault="007B7514" w:rsidP="00A6302C">
            <w:pPr>
              <w:jc w:val="center"/>
            </w:pPr>
            <w:r w:rsidRPr="31FF9146">
              <w:rPr>
                <w:rFonts w:eastAsia="Arial" w:cs="Arial"/>
                <w:sz w:val="18"/>
                <w:szCs w:val="18"/>
                <w:lang w:val="es"/>
              </w:rPr>
              <w:t>3</w:t>
            </w:r>
          </w:p>
        </w:tc>
        <w:tc>
          <w:tcPr>
            <w:tcW w:w="3315" w:type="dxa"/>
            <w:vMerge w:val="restart"/>
          </w:tcPr>
          <w:p w14:paraId="6AE28437"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Generación de ortoimágenes y datos vectoriales rurales y urbanas</w:t>
            </w:r>
          </w:p>
        </w:tc>
        <w:tc>
          <w:tcPr>
            <w:tcW w:w="2355" w:type="dxa"/>
          </w:tcPr>
          <w:p w14:paraId="0EF728BF"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Rural</w:t>
            </w:r>
          </w:p>
        </w:tc>
        <w:tc>
          <w:tcPr>
            <w:tcW w:w="1395" w:type="dxa"/>
          </w:tcPr>
          <w:p w14:paraId="3AE2D71E"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5.924.566</w:t>
            </w:r>
          </w:p>
        </w:tc>
      </w:tr>
      <w:tr w:rsidR="007B7514" w14:paraId="0491701C" w14:textId="77777777" w:rsidTr="00A6302C">
        <w:trPr>
          <w:trHeight w:val="270"/>
          <w:jc w:val="center"/>
        </w:trPr>
        <w:tc>
          <w:tcPr>
            <w:cnfStyle w:val="001000000000" w:firstRow="0" w:lastRow="0" w:firstColumn="1" w:lastColumn="0" w:oddVBand="0" w:evenVBand="0" w:oddHBand="0" w:evenHBand="0" w:firstRowFirstColumn="0" w:firstRowLastColumn="0" w:lastRowFirstColumn="0" w:lastRowLastColumn="0"/>
            <w:tcW w:w="1395" w:type="dxa"/>
            <w:vMerge/>
          </w:tcPr>
          <w:p w14:paraId="1FA9DEDD" w14:textId="77777777" w:rsidR="007B7514" w:rsidRDefault="007B7514" w:rsidP="00A6302C">
            <w:pPr>
              <w:jc w:val="center"/>
            </w:pPr>
          </w:p>
        </w:tc>
        <w:tc>
          <w:tcPr>
            <w:tcW w:w="3315" w:type="dxa"/>
            <w:vMerge/>
          </w:tcPr>
          <w:p w14:paraId="52D77FC7"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2355" w:type="dxa"/>
          </w:tcPr>
          <w:p w14:paraId="304DD7AD"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Urbana</w:t>
            </w:r>
          </w:p>
        </w:tc>
        <w:tc>
          <w:tcPr>
            <w:tcW w:w="1395" w:type="dxa"/>
          </w:tcPr>
          <w:p w14:paraId="3557CE48" w14:textId="77777777" w:rsidR="007B7514" w:rsidRPr="00DD3B61" w:rsidRDefault="007B7514"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DD3B61">
              <w:rPr>
                <w:rFonts w:eastAsia="Arial" w:cs="Arial"/>
                <w:sz w:val="20"/>
                <w:szCs w:val="20"/>
                <w:lang w:val="es"/>
              </w:rPr>
              <w:t>18.590</w:t>
            </w:r>
          </w:p>
        </w:tc>
      </w:tr>
    </w:tbl>
    <w:p w14:paraId="5A868E61" w14:textId="77777777" w:rsidR="007B7514" w:rsidRPr="008B221D" w:rsidRDefault="007B7514" w:rsidP="007B7514">
      <w:pPr>
        <w:jc w:val="center"/>
        <w:rPr>
          <w:rFonts w:eastAsia="Arial" w:cs="Arial"/>
          <w:b/>
          <w:bCs/>
          <w:sz w:val="16"/>
          <w:szCs w:val="16"/>
          <w:lang w:val="es"/>
        </w:rPr>
      </w:pPr>
      <w:r w:rsidRPr="008B221D">
        <w:rPr>
          <w:rFonts w:eastAsia="Arial" w:cs="Arial"/>
          <w:b/>
          <w:bCs/>
          <w:sz w:val="16"/>
          <w:szCs w:val="16"/>
          <w:lang w:val="es"/>
        </w:rPr>
        <w:t>Fuente. IGAC. Subdirección de Geografía y Cartografía</w:t>
      </w:r>
    </w:p>
    <w:p w14:paraId="7710FF85" w14:textId="77777777" w:rsidR="007B7514" w:rsidRDefault="007B7514" w:rsidP="007B7514">
      <w:pPr>
        <w:jc w:val="both"/>
        <w:rPr>
          <w:rFonts w:eastAsia="Arial" w:cs="Arial"/>
          <w:b/>
          <w:bCs/>
          <w:color w:val="000000" w:themeColor="text1"/>
          <w:sz w:val="16"/>
          <w:szCs w:val="16"/>
          <w:lang w:val="es"/>
        </w:rPr>
      </w:pPr>
    </w:p>
    <w:p w14:paraId="62277AD0" w14:textId="77777777" w:rsidR="007B7514" w:rsidRDefault="007B7514" w:rsidP="007B7514">
      <w:pPr>
        <w:pStyle w:val="Lista"/>
      </w:pPr>
    </w:p>
    <w:p w14:paraId="1F9F742D" w14:textId="77777777" w:rsidR="007B7514" w:rsidRDefault="007B7514" w:rsidP="007B7514">
      <w:pPr>
        <w:jc w:val="both"/>
      </w:pPr>
      <w:r w:rsidRPr="31FF9146">
        <w:rPr>
          <w:rFonts w:eastAsia="Arial" w:cs="Arial"/>
          <w:color w:val="000000" w:themeColor="text1"/>
          <w:sz w:val="22"/>
          <w:szCs w:val="22"/>
          <w:lang w:val="es"/>
        </w:rPr>
        <w:t>Bajo este esquema, se realizaron los documentos de oferta, estudio de mercado y análisis de sector los cuales fueron revisados y retroalimentados por los respectivos Bancos.</w:t>
      </w:r>
    </w:p>
    <w:p w14:paraId="7B6DCEB2" w14:textId="2CC8AC8F" w:rsidR="005321EC" w:rsidRPr="00A93FC3" w:rsidRDefault="005321EC" w:rsidP="007B7514">
      <w:pPr>
        <w:jc w:val="both"/>
        <w:rPr>
          <w:rFonts w:eastAsia="Arial" w:cs="Arial"/>
          <w:color w:val="000000" w:themeColor="text1"/>
          <w:sz w:val="22"/>
          <w:szCs w:val="22"/>
          <w:lang w:val="es"/>
        </w:rPr>
      </w:pPr>
    </w:p>
    <w:p w14:paraId="40EFB679" w14:textId="72DBCFEA" w:rsidR="007B7514" w:rsidRPr="006679CF" w:rsidRDefault="007B7514" w:rsidP="007B7514">
      <w:pPr>
        <w:jc w:val="both"/>
      </w:pPr>
      <w:r w:rsidRPr="31FF9146">
        <w:rPr>
          <w:rFonts w:eastAsia="Arial" w:cs="Arial"/>
          <w:color w:val="000000" w:themeColor="text1"/>
          <w:sz w:val="22"/>
          <w:szCs w:val="22"/>
          <w:lang w:val="es"/>
        </w:rPr>
        <w:t>Como resultado de la articulación y gestión con los diferentes actores, se logró</w:t>
      </w:r>
      <w:r>
        <w:rPr>
          <w:rFonts w:eastAsia="Arial" w:cs="Arial"/>
          <w:color w:val="000000" w:themeColor="text1"/>
          <w:sz w:val="22"/>
          <w:szCs w:val="22"/>
          <w:lang w:val="es"/>
        </w:rPr>
        <w:t>:</w:t>
      </w:r>
    </w:p>
    <w:p w14:paraId="64D97B8E" w14:textId="795790FE" w:rsidR="005321EC" w:rsidRPr="00712950" w:rsidRDefault="007B7514" w:rsidP="007B7514">
      <w:pPr>
        <w:pStyle w:val="Prrafodelista"/>
        <w:numPr>
          <w:ilvl w:val="0"/>
          <w:numId w:val="217"/>
        </w:numPr>
        <w:spacing w:line="254" w:lineRule="exact"/>
        <w:rPr>
          <w:rFonts w:eastAsia="Arial" w:cs="Arial"/>
          <w:sz w:val="22"/>
          <w:szCs w:val="22"/>
        </w:rPr>
      </w:pPr>
      <w:r w:rsidRPr="00D10DFF">
        <w:rPr>
          <w:rFonts w:eastAsia="Arial" w:cs="Arial"/>
          <w:sz w:val="22"/>
          <w:szCs w:val="22"/>
          <w:lang w:val="es"/>
        </w:rPr>
        <w:t>Adquisición de imágenes satelitales</w:t>
      </w:r>
    </w:p>
    <w:p w14:paraId="5F336979" w14:textId="40656884" w:rsidR="005321EC" w:rsidRDefault="005321EC" w:rsidP="007B7514">
      <w:pPr>
        <w:pStyle w:val="Lista"/>
        <w:rPr>
          <w:lang w:val="es"/>
        </w:rPr>
      </w:pPr>
    </w:p>
    <w:p w14:paraId="78630B6C" w14:textId="70E70E39" w:rsidR="00350BFA" w:rsidRPr="00350BFA" w:rsidRDefault="00350BFA" w:rsidP="00350BFA">
      <w:pPr>
        <w:pStyle w:val="Descripcin"/>
        <w:keepNext/>
        <w:jc w:val="center"/>
        <w:rPr>
          <w:rFonts w:ascii="Arial" w:hAnsi="Arial" w:cs="Arial"/>
          <w:b/>
          <w:bCs/>
          <w:i w:val="0"/>
          <w:iCs w:val="0"/>
          <w:color w:val="auto"/>
          <w:sz w:val="16"/>
          <w:szCs w:val="16"/>
        </w:rPr>
      </w:pPr>
      <w:bookmarkStart w:id="122" w:name="_Toc88677115"/>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43</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Adquisición de imágenes satelitales</w:t>
      </w:r>
      <w:bookmarkEnd w:id="122"/>
    </w:p>
    <w:tbl>
      <w:tblPr>
        <w:tblStyle w:val="Tablaconcuadrcula"/>
        <w:tblW w:w="8715" w:type="dxa"/>
        <w:tblInd w:w="705" w:type="dxa"/>
        <w:tblLayout w:type="fixed"/>
        <w:tblLook w:val="06A0" w:firstRow="1" w:lastRow="0" w:firstColumn="1" w:lastColumn="0" w:noHBand="1" w:noVBand="1"/>
      </w:tblPr>
      <w:tblGrid>
        <w:gridCol w:w="2760"/>
        <w:gridCol w:w="5955"/>
      </w:tblGrid>
      <w:tr w:rsidR="007B7514" w:rsidRPr="00A93FC3" w14:paraId="68226B70"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2A275692" w14:textId="77777777" w:rsidR="007B7514" w:rsidRPr="00A93FC3" w:rsidRDefault="007B7514" w:rsidP="00A6302C">
            <w:pPr>
              <w:rPr>
                <w:b/>
                <w:bCs/>
                <w:sz w:val="20"/>
              </w:rPr>
            </w:pPr>
            <w:r w:rsidRPr="00A93FC3">
              <w:rPr>
                <w:rFonts w:eastAsia="Arial" w:cs="Arial"/>
                <w:b/>
                <w:bCs/>
                <w:color w:val="000000" w:themeColor="text1"/>
                <w:sz w:val="20"/>
                <w:lang w:val="es"/>
              </w:rPr>
              <w:t>Modalidad de contratación:</w:t>
            </w:r>
          </w:p>
        </w:tc>
        <w:tc>
          <w:tcPr>
            <w:tcW w:w="5955" w:type="dxa"/>
            <w:tcBorders>
              <w:top w:val="single" w:sz="8" w:space="0" w:color="auto"/>
              <w:left w:val="single" w:sz="8" w:space="0" w:color="auto"/>
              <w:bottom w:val="single" w:sz="8" w:space="0" w:color="auto"/>
              <w:right w:val="single" w:sz="8" w:space="0" w:color="auto"/>
            </w:tcBorders>
          </w:tcPr>
          <w:p w14:paraId="4230E087"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Licitación Pública Internacional</w:t>
            </w:r>
          </w:p>
        </w:tc>
      </w:tr>
      <w:tr w:rsidR="007B7514" w:rsidRPr="00A93FC3" w14:paraId="18E09A78"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0B80A412" w14:textId="77777777" w:rsidR="007B7514" w:rsidRPr="00A93FC3" w:rsidRDefault="007B7514" w:rsidP="00A6302C">
            <w:pPr>
              <w:rPr>
                <w:b/>
                <w:bCs/>
                <w:sz w:val="20"/>
              </w:rPr>
            </w:pPr>
            <w:r w:rsidRPr="00A93FC3">
              <w:rPr>
                <w:rFonts w:eastAsia="Arial" w:cs="Arial"/>
                <w:b/>
                <w:bCs/>
                <w:color w:val="000000" w:themeColor="text1"/>
                <w:sz w:val="20"/>
                <w:lang w:val="es"/>
              </w:rPr>
              <w:t>Publicación del proceso:</w:t>
            </w:r>
          </w:p>
        </w:tc>
        <w:tc>
          <w:tcPr>
            <w:tcW w:w="5955" w:type="dxa"/>
            <w:tcBorders>
              <w:top w:val="single" w:sz="8" w:space="0" w:color="auto"/>
              <w:left w:val="single" w:sz="8" w:space="0" w:color="auto"/>
              <w:bottom w:val="single" w:sz="8" w:space="0" w:color="auto"/>
              <w:right w:val="single" w:sz="8" w:space="0" w:color="auto"/>
            </w:tcBorders>
          </w:tcPr>
          <w:p w14:paraId="61230E18" w14:textId="77777777" w:rsidR="007B7514" w:rsidRPr="00A93FC3" w:rsidRDefault="007B7514" w:rsidP="00A6302C">
            <w:pPr>
              <w:spacing w:line="240" w:lineRule="exact"/>
              <w:jc w:val="both"/>
              <w:rPr>
                <w:sz w:val="20"/>
                <w:szCs w:val="22"/>
              </w:rPr>
            </w:pPr>
            <w:r w:rsidRPr="00A93FC3">
              <w:rPr>
                <w:rFonts w:eastAsia="Arial" w:cs="Arial"/>
                <w:color w:val="000000" w:themeColor="text1"/>
                <w:sz w:val="20"/>
                <w:szCs w:val="22"/>
                <w:lang w:val="es"/>
              </w:rPr>
              <w:t>19 de enero de 2021</w:t>
            </w:r>
          </w:p>
        </w:tc>
      </w:tr>
      <w:tr w:rsidR="007B7514" w:rsidRPr="00A93FC3" w14:paraId="135B7EDB"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7B92A8B5" w14:textId="77777777" w:rsidR="007B7514" w:rsidRPr="00A93FC3" w:rsidRDefault="007B7514" w:rsidP="00A6302C">
            <w:pPr>
              <w:rPr>
                <w:b/>
                <w:bCs/>
                <w:sz w:val="20"/>
              </w:rPr>
            </w:pPr>
            <w:r w:rsidRPr="00A93FC3">
              <w:rPr>
                <w:rFonts w:eastAsia="Arial" w:cs="Arial"/>
                <w:b/>
                <w:bCs/>
                <w:color w:val="000000" w:themeColor="text1"/>
                <w:sz w:val="20"/>
                <w:lang w:val="es"/>
              </w:rPr>
              <w:t>Fecha de adjudicación:</w:t>
            </w:r>
          </w:p>
        </w:tc>
        <w:tc>
          <w:tcPr>
            <w:tcW w:w="5955" w:type="dxa"/>
            <w:tcBorders>
              <w:top w:val="single" w:sz="8" w:space="0" w:color="auto"/>
              <w:left w:val="single" w:sz="8" w:space="0" w:color="auto"/>
              <w:bottom w:val="single" w:sz="8" w:space="0" w:color="auto"/>
              <w:right w:val="single" w:sz="8" w:space="0" w:color="auto"/>
            </w:tcBorders>
          </w:tcPr>
          <w:p w14:paraId="445F3405" w14:textId="77777777" w:rsidR="007B7514" w:rsidRPr="00A93FC3" w:rsidRDefault="007B7514" w:rsidP="00A6302C">
            <w:pPr>
              <w:spacing w:line="240" w:lineRule="exact"/>
              <w:jc w:val="both"/>
              <w:rPr>
                <w:sz w:val="20"/>
                <w:szCs w:val="22"/>
              </w:rPr>
            </w:pPr>
            <w:r w:rsidRPr="00A93FC3">
              <w:rPr>
                <w:rFonts w:eastAsia="Arial" w:cs="Arial"/>
                <w:color w:val="000000" w:themeColor="text1"/>
                <w:sz w:val="20"/>
                <w:szCs w:val="22"/>
                <w:lang w:val="es"/>
              </w:rPr>
              <w:t>27 de abril de 2021</w:t>
            </w:r>
          </w:p>
        </w:tc>
      </w:tr>
      <w:tr w:rsidR="007B7514" w:rsidRPr="00A93FC3" w14:paraId="575EF320"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381E65A2" w14:textId="77777777" w:rsidR="007B7514" w:rsidRPr="00A93FC3" w:rsidRDefault="007B7514" w:rsidP="00A6302C">
            <w:pPr>
              <w:rPr>
                <w:b/>
                <w:bCs/>
                <w:sz w:val="20"/>
              </w:rPr>
            </w:pPr>
            <w:r w:rsidRPr="00A93FC3">
              <w:rPr>
                <w:rFonts w:eastAsia="Arial" w:cs="Arial"/>
                <w:b/>
                <w:bCs/>
                <w:color w:val="000000" w:themeColor="text1"/>
                <w:sz w:val="20"/>
                <w:lang w:val="es"/>
              </w:rPr>
              <w:t>Número del contrato</w:t>
            </w:r>
          </w:p>
        </w:tc>
        <w:tc>
          <w:tcPr>
            <w:tcW w:w="5955" w:type="dxa"/>
            <w:tcBorders>
              <w:top w:val="single" w:sz="8" w:space="0" w:color="auto"/>
              <w:left w:val="single" w:sz="8" w:space="0" w:color="auto"/>
              <w:bottom w:val="single" w:sz="8" w:space="0" w:color="auto"/>
              <w:right w:val="single" w:sz="8" w:space="0" w:color="auto"/>
            </w:tcBorders>
          </w:tcPr>
          <w:p w14:paraId="012DDC09"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24752-2021</w:t>
            </w:r>
          </w:p>
        </w:tc>
      </w:tr>
      <w:tr w:rsidR="007B7514" w:rsidRPr="00A93FC3" w14:paraId="41269C69"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70A1F2C2" w14:textId="77777777" w:rsidR="007B7514" w:rsidRPr="00A93FC3" w:rsidRDefault="007B7514" w:rsidP="00A6302C">
            <w:pPr>
              <w:rPr>
                <w:b/>
                <w:bCs/>
                <w:sz w:val="20"/>
              </w:rPr>
            </w:pPr>
            <w:r w:rsidRPr="00A93FC3">
              <w:rPr>
                <w:rFonts w:eastAsia="Arial" w:cs="Arial"/>
                <w:b/>
                <w:bCs/>
                <w:color w:val="000000" w:themeColor="text1"/>
                <w:sz w:val="20"/>
                <w:lang w:val="es"/>
              </w:rPr>
              <w:t>Objeto:</w:t>
            </w:r>
          </w:p>
        </w:tc>
        <w:tc>
          <w:tcPr>
            <w:tcW w:w="5955" w:type="dxa"/>
            <w:tcBorders>
              <w:top w:val="single" w:sz="8" w:space="0" w:color="auto"/>
              <w:left w:val="single" w:sz="8" w:space="0" w:color="auto"/>
              <w:bottom w:val="single" w:sz="8" w:space="0" w:color="auto"/>
              <w:right w:val="single" w:sz="8" w:space="0" w:color="auto"/>
            </w:tcBorders>
          </w:tcPr>
          <w:p w14:paraId="0FEAE382"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Adquirir imágenes satelitales de la República de Colombia, como insumo para la generación de cartografía básica oficial del país e implementación del catastro multipropósito, de conformidad con las especificaciones técnicas establecidas por el Instituto Geográfico Agustín Codazzi.</w:t>
            </w:r>
          </w:p>
        </w:tc>
      </w:tr>
      <w:tr w:rsidR="007B7514" w:rsidRPr="00A93FC3" w14:paraId="3FC7ACF1"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014B4C1A" w14:textId="4B9D86D4" w:rsidR="007B7514" w:rsidRPr="00A93FC3" w:rsidRDefault="007B7514" w:rsidP="00A6302C">
            <w:pPr>
              <w:rPr>
                <w:b/>
                <w:bCs/>
                <w:sz w:val="20"/>
              </w:rPr>
            </w:pPr>
            <w:r w:rsidRPr="00A93FC3">
              <w:rPr>
                <w:rFonts w:eastAsia="Arial" w:cs="Arial"/>
                <w:b/>
                <w:bCs/>
                <w:color w:val="000000" w:themeColor="text1"/>
                <w:sz w:val="20"/>
                <w:lang w:val="es"/>
              </w:rPr>
              <w:t>Alcance</w:t>
            </w:r>
            <w:r w:rsidR="00F9129E" w:rsidRPr="00A93FC3">
              <w:rPr>
                <w:rFonts w:eastAsia="Arial" w:cs="Arial"/>
                <w:b/>
                <w:bCs/>
                <w:color w:val="000000" w:themeColor="text1"/>
                <w:sz w:val="20"/>
                <w:lang w:val="es"/>
              </w:rPr>
              <w:t>:</w:t>
            </w:r>
          </w:p>
        </w:tc>
        <w:tc>
          <w:tcPr>
            <w:tcW w:w="5955" w:type="dxa"/>
            <w:tcBorders>
              <w:top w:val="single" w:sz="8" w:space="0" w:color="auto"/>
              <w:left w:val="single" w:sz="8" w:space="0" w:color="auto"/>
              <w:bottom w:val="single" w:sz="8" w:space="0" w:color="auto"/>
              <w:right w:val="single" w:sz="8" w:space="0" w:color="auto"/>
            </w:tcBorders>
          </w:tcPr>
          <w:p w14:paraId="40B340C3"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 xml:space="preserve">Área contratada: 7.363.367 ha </w:t>
            </w:r>
          </w:p>
          <w:p w14:paraId="37C83EFA"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No. Municipios: 63 municipios (incluido Paz de Rio)</w:t>
            </w:r>
          </w:p>
          <w:p w14:paraId="1824BC5D"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lastRenderedPageBreak/>
              <w:t>Resolución espacial: Menor 1 metro</w:t>
            </w:r>
          </w:p>
          <w:p w14:paraId="545AF075"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Temporalidad: Menor a 2,5 años</w:t>
            </w:r>
          </w:p>
        </w:tc>
      </w:tr>
      <w:tr w:rsidR="007B7514" w:rsidRPr="00A93FC3" w14:paraId="50C30F4D"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6A427DBA" w14:textId="77777777" w:rsidR="007B7514" w:rsidRPr="00A93FC3" w:rsidRDefault="007B7514" w:rsidP="00A6302C">
            <w:pPr>
              <w:rPr>
                <w:b/>
                <w:bCs/>
                <w:sz w:val="20"/>
              </w:rPr>
            </w:pPr>
            <w:r w:rsidRPr="00A93FC3">
              <w:rPr>
                <w:rFonts w:eastAsia="Arial" w:cs="Arial"/>
                <w:b/>
                <w:bCs/>
                <w:color w:val="000000" w:themeColor="text1"/>
                <w:sz w:val="20"/>
                <w:lang w:val="es"/>
              </w:rPr>
              <w:lastRenderedPageBreak/>
              <w:t>Inicio del contrato:</w:t>
            </w:r>
          </w:p>
        </w:tc>
        <w:tc>
          <w:tcPr>
            <w:tcW w:w="5955" w:type="dxa"/>
            <w:tcBorders>
              <w:top w:val="single" w:sz="8" w:space="0" w:color="auto"/>
              <w:left w:val="single" w:sz="8" w:space="0" w:color="auto"/>
              <w:bottom w:val="single" w:sz="8" w:space="0" w:color="auto"/>
              <w:right w:val="single" w:sz="8" w:space="0" w:color="auto"/>
            </w:tcBorders>
          </w:tcPr>
          <w:p w14:paraId="13DE4328"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12 de julio de 2021</w:t>
            </w:r>
          </w:p>
        </w:tc>
      </w:tr>
      <w:tr w:rsidR="007B7514" w:rsidRPr="00A93FC3" w14:paraId="06352255"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662ED888" w14:textId="77777777" w:rsidR="007B7514" w:rsidRPr="00A93FC3" w:rsidRDefault="007B7514" w:rsidP="00A6302C">
            <w:pPr>
              <w:rPr>
                <w:b/>
                <w:bCs/>
                <w:sz w:val="20"/>
              </w:rPr>
            </w:pPr>
            <w:r w:rsidRPr="00A93FC3">
              <w:rPr>
                <w:rFonts w:eastAsia="Arial" w:cs="Arial"/>
                <w:b/>
                <w:bCs/>
                <w:color w:val="000000" w:themeColor="text1"/>
                <w:sz w:val="20"/>
                <w:lang w:val="es"/>
              </w:rPr>
              <w:t xml:space="preserve">Modificaciones: </w:t>
            </w:r>
          </w:p>
        </w:tc>
        <w:tc>
          <w:tcPr>
            <w:tcW w:w="5955" w:type="dxa"/>
            <w:tcBorders>
              <w:top w:val="single" w:sz="8" w:space="0" w:color="auto"/>
              <w:left w:val="single" w:sz="8" w:space="0" w:color="auto"/>
              <w:bottom w:val="single" w:sz="8" w:space="0" w:color="auto"/>
              <w:right w:val="single" w:sz="8" w:space="0" w:color="auto"/>
            </w:tcBorders>
          </w:tcPr>
          <w:p w14:paraId="2E35D843"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Adición del municipio de Paz de Rio (Boyacá)</w:t>
            </w:r>
          </w:p>
          <w:p w14:paraId="62B649AB"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Prórroga hasta 15 de diciembre de 2021</w:t>
            </w:r>
          </w:p>
        </w:tc>
      </w:tr>
      <w:tr w:rsidR="007B7514" w:rsidRPr="00A93FC3" w14:paraId="1DDC461D"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3F72B7FF" w14:textId="77777777" w:rsidR="007B7514" w:rsidRPr="00A93FC3" w:rsidRDefault="007B7514" w:rsidP="00A6302C">
            <w:pPr>
              <w:rPr>
                <w:b/>
                <w:bCs/>
                <w:sz w:val="20"/>
              </w:rPr>
            </w:pPr>
            <w:r w:rsidRPr="00A93FC3">
              <w:rPr>
                <w:rFonts w:eastAsia="Arial" w:cs="Arial"/>
                <w:b/>
                <w:bCs/>
                <w:color w:val="000000" w:themeColor="text1"/>
                <w:sz w:val="20"/>
                <w:lang w:val="es"/>
              </w:rPr>
              <w:t>Valor del contrato:</w:t>
            </w:r>
          </w:p>
        </w:tc>
        <w:tc>
          <w:tcPr>
            <w:tcW w:w="5955" w:type="dxa"/>
            <w:tcBorders>
              <w:top w:val="single" w:sz="8" w:space="0" w:color="auto"/>
              <w:left w:val="single" w:sz="8" w:space="0" w:color="auto"/>
              <w:bottom w:val="single" w:sz="8" w:space="0" w:color="auto"/>
              <w:right w:val="single" w:sz="8" w:space="0" w:color="auto"/>
            </w:tcBorders>
          </w:tcPr>
          <w:p w14:paraId="2F09966B"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($1.752.489.200) Mil Setecientos Cincuenta Y Dos Millones Cuatroscientos Ochenta Y Nueve Mil Doscientos Pesos</w:t>
            </w:r>
          </w:p>
        </w:tc>
      </w:tr>
      <w:tr w:rsidR="007B7514" w:rsidRPr="00A93FC3" w14:paraId="4238172C"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267A85B4" w14:textId="77777777" w:rsidR="007B7514" w:rsidRPr="00A93FC3" w:rsidRDefault="007B7514" w:rsidP="00A6302C">
            <w:pPr>
              <w:rPr>
                <w:b/>
                <w:bCs/>
                <w:sz w:val="20"/>
              </w:rPr>
            </w:pPr>
            <w:r w:rsidRPr="00A93FC3">
              <w:rPr>
                <w:rFonts w:eastAsia="Arial" w:cs="Arial"/>
                <w:b/>
                <w:bCs/>
                <w:color w:val="000000" w:themeColor="text1"/>
                <w:sz w:val="20"/>
                <w:lang w:val="es"/>
              </w:rPr>
              <w:t>Estado:</w:t>
            </w:r>
          </w:p>
        </w:tc>
        <w:tc>
          <w:tcPr>
            <w:tcW w:w="5955" w:type="dxa"/>
            <w:tcBorders>
              <w:top w:val="single" w:sz="8" w:space="0" w:color="auto"/>
              <w:left w:val="single" w:sz="8" w:space="0" w:color="auto"/>
              <w:bottom w:val="single" w:sz="8" w:space="0" w:color="auto"/>
              <w:right w:val="single" w:sz="8" w:space="0" w:color="auto"/>
            </w:tcBorders>
          </w:tcPr>
          <w:p w14:paraId="45680296" w14:textId="77777777" w:rsidR="007B7514" w:rsidRPr="00A93FC3" w:rsidRDefault="007B7514" w:rsidP="00A6302C">
            <w:pPr>
              <w:spacing w:line="257" w:lineRule="exact"/>
              <w:jc w:val="both"/>
              <w:rPr>
                <w:sz w:val="20"/>
                <w:szCs w:val="22"/>
              </w:rPr>
            </w:pPr>
            <w:r w:rsidRPr="00A93FC3">
              <w:rPr>
                <w:rFonts w:eastAsia="Arial" w:cs="Arial"/>
                <w:color w:val="000000" w:themeColor="text1"/>
                <w:sz w:val="20"/>
                <w:szCs w:val="22"/>
                <w:lang w:val="es"/>
              </w:rPr>
              <w:t>En ejecución</w:t>
            </w:r>
          </w:p>
        </w:tc>
      </w:tr>
      <w:tr w:rsidR="007B7514" w:rsidRPr="00A93FC3" w14:paraId="39225A81" w14:textId="77777777" w:rsidTr="00A6302C">
        <w:tc>
          <w:tcPr>
            <w:tcW w:w="2760" w:type="dxa"/>
            <w:tcBorders>
              <w:top w:val="single" w:sz="8" w:space="0" w:color="auto"/>
              <w:left w:val="single" w:sz="8" w:space="0" w:color="auto"/>
              <w:bottom w:val="single" w:sz="8" w:space="0" w:color="auto"/>
              <w:right w:val="single" w:sz="8" w:space="0" w:color="auto"/>
            </w:tcBorders>
            <w:vAlign w:val="center"/>
          </w:tcPr>
          <w:p w14:paraId="7CDDD549" w14:textId="77777777" w:rsidR="007B7514" w:rsidRPr="00A93FC3" w:rsidRDefault="007B7514" w:rsidP="00A6302C">
            <w:pPr>
              <w:rPr>
                <w:b/>
                <w:bCs/>
                <w:sz w:val="20"/>
              </w:rPr>
            </w:pPr>
            <w:r w:rsidRPr="00A93FC3">
              <w:rPr>
                <w:rFonts w:eastAsia="Arial" w:cs="Arial"/>
                <w:b/>
                <w:bCs/>
                <w:color w:val="000000" w:themeColor="text1"/>
                <w:sz w:val="20"/>
                <w:lang w:val="es"/>
              </w:rPr>
              <w:t xml:space="preserve">Avance: </w:t>
            </w:r>
          </w:p>
        </w:tc>
        <w:tc>
          <w:tcPr>
            <w:tcW w:w="5955" w:type="dxa"/>
            <w:tcBorders>
              <w:top w:val="single" w:sz="8" w:space="0" w:color="auto"/>
              <w:left w:val="single" w:sz="8" w:space="0" w:color="auto"/>
              <w:bottom w:val="single" w:sz="8" w:space="0" w:color="auto"/>
              <w:right w:val="single" w:sz="8" w:space="0" w:color="auto"/>
            </w:tcBorders>
          </w:tcPr>
          <w:p w14:paraId="654C5DB5"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A nivel de municipio: 67% (42 de 63 municipios)</w:t>
            </w:r>
          </w:p>
          <w:p w14:paraId="3DB3E343" w14:textId="77777777" w:rsidR="007B7514" w:rsidRPr="00A93FC3" w:rsidRDefault="007B7514" w:rsidP="00A6302C">
            <w:pPr>
              <w:jc w:val="both"/>
              <w:rPr>
                <w:sz w:val="20"/>
                <w:szCs w:val="22"/>
              </w:rPr>
            </w:pPr>
            <w:r w:rsidRPr="00A93FC3">
              <w:rPr>
                <w:rFonts w:eastAsia="Arial" w:cs="Arial"/>
                <w:color w:val="000000" w:themeColor="text1"/>
                <w:sz w:val="20"/>
                <w:szCs w:val="22"/>
                <w:lang w:val="es"/>
              </w:rPr>
              <w:t>A nivel de área: 85,63% (6.305.459 ha de)</w:t>
            </w:r>
          </w:p>
        </w:tc>
      </w:tr>
    </w:tbl>
    <w:p w14:paraId="75F6E68B" w14:textId="77777777" w:rsidR="007B7514" w:rsidRPr="008710EF" w:rsidRDefault="007B7514" w:rsidP="007B7514">
      <w:pPr>
        <w:jc w:val="center"/>
        <w:rPr>
          <w:b/>
          <w:bCs/>
          <w:sz w:val="16"/>
          <w:szCs w:val="16"/>
        </w:rPr>
      </w:pPr>
      <w:r w:rsidRPr="008710EF">
        <w:rPr>
          <w:rFonts w:eastAsia="Arial" w:cs="Arial"/>
          <w:b/>
          <w:bCs/>
          <w:color w:val="000000" w:themeColor="text1"/>
          <w:sz w:val="16"/>
          <w:szCs w:val="16"/>
          <w:lang w:val="es"/>
        </w:rPr>
        <w:t>Fuente. IGAC. Subdirección de Geografía y Cartografía</w:t>
      </w:r>
    </w:p>
    <w:p w14:paraId="7C5021AC" w14:textId="0D6764A0" w:rsidR="007B7514" w:rsidRPr="00D10DFF" w:rsidRDefault="007B7514" w:rsidP="007B7514">
      <w:pPr>
        <w:pStyle w:val="Lista"/>
      </w:pPr>
    </w:p>
    <w:p w14:paraId="18CBCC96" w14:textId="0A57E45E" w:rsidR="007B7514" w:rsidRPr="00A93FC3" w:rsidRDefault="007B7514" w:rsidP="007B7514">
      <w:pPr>
        <w:pStyle w:val="Prrafodelista"/>
        <w:numPr>
          <w:ilvl w:val="0"/>
          <w:numId w:val="218"/>
        </w:numPr>
        <w:spacing w:line="254" w:lineRule="exact"/>
        <w:rPr>
          <w:rFonts w:eastAsia="Arial" w:cs="Arial"/>
          <w:sz w:val="22"/>
          <w:szCs w:val="22"/>
        </w:rPr>
      </w:pPr>
      <w:r w:rsidRPr="00D10DFF">
        <w:rPr>
          <w:rFonts w:eastAsia="Arial" w:cs="Arial"/>
          <w:sz w:val="22"/>
          <w:szCs w:val="22"/>
          <w:lang w:val="es"/>
        </w:rPr>
        <w:t>Adquisición de Modelos Digitales de Terreno</w:t>
      </w:r>
    </w:p>
    <w:p w14:paraId="7B3EE1D1" w14:textId="77777777" w:rsidR="008D108D" w:rsidRDefault="008D108D" w:rsidP="007B7514">
      <w:pPr>
        <w:pStyle w:val="Lista"/>
        <w:rPr>
          <w:lang w:val="es"/>
        </w:rPr>
      </w:pPr>
    </w:p>
    <w:p w14:paraId="494C6D78" w14:textId="391DE755" w:rsidR="00350BFA" w:rsidRPr="00350BFA" w:rsidRDefault="00350BFA" w:rsidP="00350BFA">
      <w:pPr>
        <w:pStyle w:val="Descripcin"/>
        <w:keepNext/>
        <w:jc w:val="center"/>
        <w:rPr>
          <w:rFonts w:ascii="Arial" w:hAnsi="Arial" w:cs="Arial"/>
          <w:b/>
          <w:bCs/>
          <w:i w:val="0"/>
          <w:iCs w:val="0"/>
          <w:color w:val="auto"/>
          <w:sz w:val="16"/>
          <w:szCs w:val="16"/>
        </w:rPr>
      </w:pPr>
      <w:bookmarkStart w:id="123" w:name="_Toc88677116"/>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44</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 Adquisición de modelos digitales de terreno</w:t>
      </w:r>
      <w:bookmarkEnd w:id="123"/>
    </w:p>
    <w:tbl>
      <w:tblPr>
        <w:tblStyle w:val="Tablaconcuadrcula"/>
        <w:tblW w:w="8715" w:type="dxa"/>
        <w:tblInd w:w="705" w:type="dxa"/>
        <w:tblLayout w:type="fixed"/>
        <w:tblLook w:val="06A0" w:firstRow="1" w:lastRow="0" w:firstColumn="1" w:lastColumn="0" w:noHBand="1" w:noVBand="1"/>
      </w:tblPr>
      <w:tblGrid>
        <w:gridCol w:w="2730"/>
        <w:gridCol w:w="5985"/>
      </w:tblGrid>
      <w:tr w:rsidR="007B7514" w:rsidRPr="00A93FC3" w14:paraId="5009A898"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51E499A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Modalidad de contratación:</w:t>
            </w:r>
          </w:p>
        </w:tc>
        <w:tc>
          <w:tcPr>
            <w:tcW w:w="5985" w:type="dxa"/>
            <w:tcBorders>
              <w:top w:val="single" w:sz="8" w:space="0" w:color="auto"/>
              <w:left w:val="single" w:sz="8" w:space="0" w:color="auto"/>
              <w:bottom w:val="single" w:sz="8" w:space="0" w:color="auto"/>
              <w:right w:val="single" w:sz="8" w:space="0" w:color="auto"/>
            </w:tcBorders>
          </w:tcPr>
          <w:p w14:paraId="49E77894"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Comparación de ofertas</w:t>
            </w:r>
          </w:p>
        </w:tc>
      </w:tr>
      <w:tr w:rsidR="007B7514" w:rsidRPr="00A93FC3" w14:paraId="479509F6"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1D95BF7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Publicación del proceso:</w:t>
            </w:r>
          </w:p>
        </w:tc>
        <w:tc>
          <w:tcPr>
            <w:tcW w:w="5985" w:type="dxa"/>
            <w:tcBorders>
              <w:top w:val="single" w:sz="8" w:space="0" w:color="auto"/>
              <w:left w:val="single" w:sz="8" w:space="0" w:color="auto"/>
              <w:bottom w:val="single" w:sz="8" w:space="0" w:color="auto"/>
              <w:right w:val="single" w:sz="8" w:space="0" w:color="auto"/>
            </w:tcBorders>
          </w:tcPr>
          <w:p w14:paraId="14DEEF75"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30 de octubre de 2020</w:t>
            </w:r>
          </w:p>
        </w:tc>
      </w:tr>
      <w:tr w:rsidR="007B7514" w:rsidRPr="00A93FC3" w14:paraId="6FB2A0EA"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3BABED85"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Fecha de adjudicación:</w:t>
            </w:r>
          </w:p>
        </w:tc>
        <w:tc>
          <w:tcPr>
            <w:tcW w:w="5985" w:type="dxa"/>
            <w:tcBorders>
              <w:top w:val="single" w:sz="8" w:space="0" w:color="auto"/>
              <w:left w:val="single" w:sz="8" w:space="0" w:color="auto"/>
              <w:bottom w:val="single" w:sz="8" w:space="0" w:color="auto"/>
              <w:right w:val="single" w:sz="8" w:space="0" w:color="auto"/>
            </w:tcBorders>
          </w:tcPr>
          <w:p w14:paraId="4DC3E846"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9 de diciembre de 2020</w:t>
            </w:r>
          </w:p>
        </w:tc>
      </w:tr>
      <w:tr w:rsidR="007B7514" w:rsidRPr="00A93FC3" w14:paraId="5B862468"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32D428E5"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Número del contrato</w:t>
            </w:r>
          </w:p>
        </w:tc>
        <w:tc>
          <w:tcPr>
            <w:tcW w:w="5985" w:type="dxa"/>
            <w:tcBorders>
              <w:top w:val="single" w:sz="8" w:space="0" w:color="auto"/>
              <w:left w:val="single" w:sz="8" w:space="0" w:color="auto"/>
              <w:bottom w:val="single" w:sz="8" w:space="0" w:color="auto"/>
              <w:right w:val="single" w:sz="8" w:space="0" w:color="auto"/>
            </w:tcBorders>
          </w:tcPr>
          <w:p w14:paraId="1031A4A6"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24118-2020</w:t>
            </w:r>
          </w:p>
        </w:tc>
      </w:tr>
      <w:tr w:rsidR="007B7514" w:rsidRPr="00A93FC3" w14:paraId="044E2963"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442F9B26"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Objeto:</w:t>
            </w:r>
          </w:p>
        </w:tc>
        <w:tc>
          <w:tcPr>
            <w:tcW w:w="5985" w:type="dxa"/>
            <w:tcBorders>
              <w:top w:val="single" w:sz="8" w:space="0" w:color="auto"/>
              <w:left w:val="single" w:sz="8" w:space="0" w:color="auto"/>
              <w:bottom w:val="single" w:sz="8" w:space="0" w:color="auto"/>
              <w:right w:val="single" w:sz="8" w:space="0" w:color="auto"/>
            </w:tcBorders>
          </w:tcPr>
          <w:p w14:paraId="715FD3D3"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Adquirir modelos digitales de terreno de la república Colombia, como insumo para la generación de cartografía básica oficial del país e implementación del catastro multipropósito, de conformidad con las especificaciones técnicas establecidas por el Instituto Geográfico Agustín Codazzi</w:t>
            </w:r>
          </w:p>
        </w:tc>
      </w:tr>
      <w:tr w:rsidR="007B7514" w:rsidRPr="00A93FC3" w14:paraId="79CEFBAB"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45966573"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 xml:space="preserve">Alcance: </w:t>
            </w:r>
          </w:p>
        </w:tc>
        <w:tc>
          <w:tcPr>
            <w:tcW w:w="5985" w:type="dxa"/>
            <w:tcBorders>
              <w:top w:val="single" w:sz="8" w:space="0" w:color="auto"/>
              <w:left w:val="single" w:sz="8" w:space="0" w:color="auto"/>
              <w:bottom w:val="single" w:sz="8" w:space="0" w:color="auto"/>
              <w:right w:val="single" w:sz="8" w:space="0" w:color="auto"/>
            </w:tcBorders>
          </w:tcPr>
          <w:p w14:paraId="35BEC63E"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 xml:space="preserve">Área contratada: 6.500.000 ha </w:t>
            </w:r>
          </w:p>
          <w:p w14:paraId="72C80DB7"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No. Municipios: 62 municipios</w:t>
            </w:r>
          </w:p>
          <w:p w14:paraId="7FC31379"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Grilla: 10 Metros</w:t>
            </w:r>
          </w:p>
        </w:tc>
      </w:tr>
      <w:tr w:rsidR="007B7514" w:rsidRPr="00A93FC3" w14:paraId="0BCC56AB"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1499D2EC"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Inicio del contrato:</w:t>
            </w:r>
          </w:p>
        </w:tc>
        <w:tc>
          <w:tcPr>
            <w:tcW w:w="5985" w:type="dxa"/>
            <w:tcBorders>
              <w:top w:val="single" w:sz="8" w:space="0" w:color="auto"/>
              <w:left w:val="single" w:sz="8" w:space="0" w:color="auto"/>
              <w:bottom w:val="single" w:sz="8" w:space="0" w:color="auto"/>
              <w:right w:val="single" w:sz="8" w:space="0" w:color="auto"/>
            </w:tcBorders>
          </w:tcPr>
          <w:p w14:paraId="6C3D6EB0"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22 de diciembre de 2020</w:t>
            </w:r>
          </w:p>
        </w:tc>
      </w:tr>
      <w:tr w:rsidR="007B7514" w:rsidRPr="00A93FC3" w14:paraId="57C60F81"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392593FF"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Valor del contrato</w:t>
            </w:r>
          </w:p>
        </w:tc>
        <w:tc>
          <w:tcPr>
            <w:tcW w:w="5985" w:type="dxa"/>
            <w:tcBorders>
              <w:top w:val="single" w:sz="8" w:space="0" w:color="auto"/>
              <w:left w:val="single" w:sz="8" w:space="0" w:color="auto"/>
              <w:bottom w:val="single" w:sz="8" w:space="0" w:color="auto"/>
              <w:right w:val="single" w:sz="8" w:space="0" w:color="auto"/>
            </w:tcBorders>
          </w:tcPr>
          <w:p w14:paraId="71AB681D"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($1.036.000.000) Mil Treinta Y Seis Millones De Pesos.</w:t>
            </w:r>
          </w:p>
        </w:tc>
      </w:tr>
      <w:tr w:rsidR="007B7514" w:rsidRPr="00A93FC3" w14:paraId="261CE28C"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644DA226"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Estado:</w:t>
            </w:r>
          </w:p>
        </w:tc>
        <w:tc>
          <w:tcPr>
            <w:tcW w:w="5985" w:type="dxa"/>
            <w:tcBorders>
              <w:top w:val="single" w:sz="8" w:space="0" w:color="auto"/>
              <w:left w:val="single" w:sz="8" w:space="0" w:color="auto"/>
              <w:bottom w:val="single" w:sz="8" w:space="0" w:color="auto"/>
              <w:right w:val="single" w:sz="8" w:space="0" w:color="auto"/>
            </w:tcBorders>
          </w:tcPr>
          <w:p w14:paraId="1152874A"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Finalizado el 06 de mayo de 2021</w:t>
            </w:r>
          </w:p>
        </w:tc>
      </w:tr>
      <w:tr w:rsidR="007B7514" w:rsidRPr="00A93FC3" w14:paraId="79930AB5" w14:textId="77777777" w:rsidTr="00350BFA">
        <w:tc>
          <w:tcPr>
            <w:tcW w:w="2730" w:type="dxa"/>
            <w:tcBorders>
              <w:top w:val="single" w:sz="8" w:space="0" w:color="auto"/>
              <w:left w:val="single" w:sz="8" w:space="0" w:color="auto"/>
              <w:bottom w:val="single" w:sz="8" w:space="0" w:color="auto"/>
              <w:right w:val="single" w:sz="8" w:space="0" w:color="auto"/>
            </w:tcBorders>
            <w:vAlign w:val="center"/>
          </w:tcPr>
          <w:p w14:paraId="3D2BE555"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Resultado:</w:t>
            </w:r>
          </w:p>
        </w:tc>
        <w:tc>
          <w:tcPr>
            <w:tcW w:w="5985" w:type="dxa"/>
            <w:tcBorders>
              <w:top w:val="single" w:sz="8" w:space="0" w:color="auto"/>
              <w:left w:val="single" w:sz="8" w:space="0" w:color="auto"/>
              <w:bottom w:val="single" w:sz="8" w:space="0" w:color="auto"/>
              <w:right w:val="single" w:sz="8" w:space="0" w:color="auto"/>
            </w:tcBorders>
          </w:tcPr>
          <w:p w14:paraId="5809CADD"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 xml:space="preserve">Área contratada: 6.500.000 ha </w:t>
            </w:r>
          </w:p>
          <w:p w14:paraId="0AB86A16"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No. Municipios: 62 municipios</w:t>
            </w:r>
          </w:p>
          <w:p w14:paraId="5FCA93C0" w14:textId="77777777" w:rsidR="007B7514" w:rsidRPr="00A93FC3" w:rsidRDefault="007B7514" w:rsidP="00A6302C">
            <w:pPr>
              <w:jc w:val="both"/>
              <w:rPr>
                <w:sz w:val="20"/>
                <w:szCs w:val="20"/>
              </w:rPr>
            </w:pPr>
            <w:r w:rsidRPr="00A93FC3">
              <w:rPr>
                <w:rFonts w:eastAsia="Arial" w:cs="Arial"/>
                <w:color w:val="000000" w:themeColor="text1"/>
                <w:sz w:val="20"/>
                <w:szCs w:val="20"/>
                <w:lang w:val="es"/>
              </w:rPr>
              <w:t>Grilla: 10 Metros</w:t>
            </w:r>
          </w:p>
        </w:tc>
      </w:tr>
    </w:tbl>
    <w:p w14:paraId="2B5B41DE" w14:textId="12D54F46" w:rsidR="00A93FC3" w:rsidRDefault="007B7514" w:rsidP="006679CF">
      <w:pPr>
        <w:jc w:val="center"/>
        <w:rPr>
          <w:rFonts w:eastAsia="Arial" w:cs="Arial"/>
          <w:b/>
          <w:bCs/>
          <w:sz w:val="16"/>
          <w:szCs w:val="16"/>
          <w:lang w:val="es"/>
        </w:rPr>
      </w:pPr>
      <w:r w:rsidRPr="00D10DFF">
        <w:rPr>
          <w:rFonts w:eastAsia="Arial" w:cs="Arial"/>
          <w:b/>
          <w:bCs/>
          <w:sz w:val="16"/>
          <w:szCs w:val="16"/>
          <w:lang w:val="es"/>
        </w:rPr>
        <w:t>Fuente. IGAC. Subdirec</w:t>
      </w:r>
      <w:r w:rsidR="006679CF">
        <w:rPr>
          <w:rFonts w:eastAsia="Arial" w:cs="Arial"/>
          <w:b/>
          <w:bCs/>
          <w:sz w:val="16"/>
          <w:szCs w:val="16"/>
          <w:lang w:val="es"/>
        </w:rPr>
        <w:t>ción de Geografía y Cartografía</w:t>
      </w:r>
    </w:p>
    <w:p w14:paraId="1C4EFB5C" w14:textId="77777777" w:rsidR="006679CF" w:rsidRPr="006679CF" w:rsidRDefault="006679CF" w:rsidP="006679CF">
      <w:pPr>
        <w:jc w:val="center"/>
        <w:rPr>
          <w:rFonts w:eastAsia="Arial" w:cs="Arial"/>
          <w:b/>
          <w:bCs/>
          <w:sz w:val="16"/>
          <w:szCs w:val="16"/>
          <w:lang w:val="es"/>
        </w:rPr>
      </w:pPr>
    </w:p>
    <w:p w14:paraId="5344B8C2" w14:textId="6C98D5B7" w:rsidR="00350BFA" w:rsidRDefault="007B7514" w:rsidP="00A93FC3">
      <w:pPr>
        <w:pStyle w:val="Prrafodelista"/>
        <w:numPr>
          <w:ilvl w:val="0"/>
          <w:numId w:val="201"/>
        </w:numPr>
        <w:rPr>
          <w:rFonts w:eastAsia="Arial" w:cs="Arial"/>
          <w:bCs/>
          <w:lang w:val="es"/>
        </w:rPr>
      </w:pPr>
      <w:r w:rsidRPr="00A93FC3">
        <w:rPr>
          <w:rFonts w:eastAsia="Arial" w:cs="Arial"/>
          <w:bCs/>
          <w:lang w:val="es"/>
        </w:rPr>
        <w:t xml:space="preserve">Generación de ortoimágenes y datos vectoriales rurales y urbanas  </w:t>
      </w:r>
    </w:p>
    <w:p w14:paraId="3E4BC0CC" w14:textId="77777777" w:rsidR="00A93FC3" w:rsidRPr="00A93FC3" w:rsidRDefault="00A93FC3" w:rsidP="00A93FC3">
      <w:pPr>
        <w:pStyle w:val="Lista"/>
        <w:rPr>
          <w:lang w:val="es"/>
        </w:rPr>
      </w:pPr>
    </w:p>
    <w:p w14:paraId="0BD67347" w14:textId="01D170BC" w:rsidR="00350BFA" w:rsidRPr="00350BFA" w:rsidRDefault="00350BFA" w:rsidP="00350BFA">
      <w:pPr>
        <w:pStyle w:val="Descripcin"/>
        <w:keepNext/>
        <w:jc w:val="center"/>
        <w:rPr>
          <w:b/>
          <w:bCs/>
          <w:i w:val="0"/>
          <w:iCs w:val="0"/>
          <w:color w:val="auto"/>
        </w:rPr>
      </w:pPr>
      <w:bookmarkStart w:id="124" w:name="_Toc88677117"/>
      <w:r w:rsidRPr="00350BFA">
        <w:rPr>
          <w:b/>
          <w:bCs/>
          <w:i w:val="0"/>
          <w:iCs w:val="0"/>
          <w:color w:val="auto"/>
        </w:rPr>
        <w:t xml:space="preserve">Tabla </w:t>
      </w:r>
      <w:r w:rsidRPr="00350BFA">
        <w:rPr>
          <w:b/>
          <w:bCs/>
          <w:i w:val="0"/>
          <w:iCs w:val="0"/>
          <w:color w:val="auto"/>
        </w:rPr>
        <w:fldChar w:fldCharType="begin"/>
      </w:r>
      <w:r w:rsidRPr="00350BFA">
        <w:rPr>
          <w:b/>
          <w:bCs/>
          <w:i w:val="0"/>
          <w:iCs w:val="0"/>
          <w:color w:val="auto"/>
        </w:rPr>
        <w:instrText xml:space="preserve"> SEQ Tabla \* ARABIC </w:instrText>
      </w:r>
      <w:r w:rsidRPr="00350BFA">
        <w:rPr>
          <w:b/>
          <w:bCs/>
          <w:i w:val="0"/>
          <w:iCs w:val="0"/>
          <w:color w:val="auto"/>
        </w:rPr>
        <w:fldChar w:fldCharType="separate"/>
      </w:r>
      <w:r w:rsidR="004D4C6A">
        <w:rPr>
          <w:b/>
          <w:bCs/>
          <w:i w:val="0"/>
          <w:iCs w:val="0"/>
          <w:noProof/>
          <w:color w:val="auto"/>
        </w:rPr>
        <w:t>45</w:t>
      </w:r>
      <w:r w:rsidRPr="00350BFA">
        <w:rPr>
          <w:b/>
          <w:bCs/>
          <w:i w:val="0"/>
          <w:iCs w:val="0"/>
          <w:color w:val="auto"/>
        </w:rPr>
        <w:fldChar w:fldCharType="end"/>
      </w:r>
      <w:r w:rsidRPr="00350BFA">
        <w:rPr>
          <w:b/>
          <w:bCs/>
          <w:i w:val="0"/>
          <w:iCs w:val="0"/>
          <w:color w:val="auto"/>
        </w:rPr>
        <w:t>. Generación de ortoimágenes y datos vectoriales rurales y urbanas</w:t>
      </w:r>
      <w:bookmarkEnd w:id="124"/>
    </w:p>
    <w:tbl>
      <w:tblPr>
        <w:tblStyle w:val="Tablaconcuadrcula"/>
        <w:tblW w:w="9355" w:type="dxa"/>
        <w:tblInd w:w="416" w:type="dxa"/>
        <w:tblLayout w:type="fixed"/>
        <w:tblLook w:val="06A0" w:firstRow="1" w:lastRow="0" w:firstColumn="1" w:lastColumn="0" w:noHBand="1" w:noVBand="1"/>
      </w:tblPr>
      <w:tblGrid>
        <w:gridCol w:w="3049"/>
        <w:gridCol w:w="6306"/>
      </w:tblGrid>
      <w:tr w:rsidR="007B7514" w:rsidRPr="00A93FC3" w14:paraId="3B9A706D"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39127CDB"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Modalidad de contratación:</w:t>
            </w:r>
          </w:p>
        </w:tc>
        <w:tc>
          <w:tcPr>
            <w:tcW w:w="6306" w:type="dxa"/>
            <w:tcBorders>
              <w:top w:val="single" w:sz="8" w:space="0" w:color="auto"/>
              <w:left w:val="single" w:sz="8" w:space="0" w:color="auto"/>
              <w:bottom w:val="single" w:sz="8" w:space="0" w:color="auto"/>
              <w:right w:val="single" w:sz="8" w:space="0" w:color="auto"/>
            </w:tcBorders>
          </w:tcPr>
          <w:p w14:paraId="154CBA79" w14:textId="77777777" w:rsidR="007B7514" w:rsidRPr="00A93FC3" w:rsidRDefault="007B7514" w:rsidP="00A6302C">
            <w:pPr>
              <w:rPr>
                <w:sz w:val="20"/>
                <w:szCs w:val="20"/>
              </w:rPr>
            </w:pPr>
            <w:r w:rsidRPr="00A93FC3">
              <w:rPr>
                <w:rFonts w:eastAsia="Arial" w:cs="Arial"/>
                <w:color w:val="000000" w:themeColor="text1"/>
                <w:sz w:val="20"/>
                <w:szCs w:val="20"/>
                <w:lang w:val="es"/>
              </w:rPr>
              <w:t>Licitación Pública Internacional</w:t>
            </w:r>
          </w:p>
        </w:tc>
      </w:tr>
      <w:tr w:rsidR="007B7514" w:rsidRPr="00A93FC3" w14:paraId="2142911A"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2ED7CF7A"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Publicación del proceso:</w:t>
            </w:r>
          </w:p>
        </w:tc>
        <w:tc>
          <w:tcPr>
            <w:tcW w:w="6306" w:type="dxa"/>
            <w:tcBorders>
              <w:top w:val="single" w:sz="8" w:space="0" w:color="auto"/>
              <w:left w:val="single" w:sz="8" w:space="0" w:color="auto"/>
              <w:bottom w:val="single" w:sz="8" w:space="0" w:color="auto"/>
              <w:right w:val="single" w:sz="8" w:space="0" w:color="auto"/>
            </w:tcBorders>
          </w:tcPr>
          <w:p w14:paraId="283F58E8" w14:textId="77777777" w:rsidR="007B7514" w:rsidRPr="00A93FC3" w:rsidRDefault="007B7514" w:rsidP="00A6302C">
            <w:pPr>
              <w:spacing w:line="240" w:lineRule="exact"/>
              <w:rPr>
                <w:sz w:val="20"/>
                <w:szCs w:val="20"/>
              </w:rPr>
            </w:pPr>
            <w:r w:rsidRPr="00A93FC3">
              <w:rPr>
                <w:rFonts w:eastAsia="Arial" w:cs="Arial"/>
                <w:color w:val="000000" w:themeColor="text1"/>
                <w:sz w:val="20"/>
                <w:szCs w:val="20"/>
                <w:lang w:val="es"/>
              </w:rPr>
              <w:t>19 de febrero de 2021</w:t>
            </w:r>
          </w:p>
        </w:tc>
      </w:tr>
      <w:tr w:rsidR="007B7514" w:rsidRPr="00A93FC3" w14:paraId="5456649F"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11C55D9A"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Fecha de adjudicación:</w:t>
            </w:r>
          </w:p>
        </w:tc>
        <w:tc>
          <w:tcPr>
            <w:tcW w:w="6306" w:type="dxa"/>
            <w:tcBorders>
              <w:top w:val="single" w:sz="8" w:space="0" w:color="auto"/>
              <w:left w:val="single" w:sz="8" w:space="0" w:color="auto"/>
              <w:bottom w:val="single" w:sz="8" w:space="0" w:color="auto"/>
              <w:right w:val="single" w:sz="8" w:space="0" w:color="auto"/>
            </w:tcBorders>
          </w:tcPr>
          <w:p w14:paraId="5BA4978A" w14:textId="77777777" w:rsidR="007B7514" w:rsidRPr="00A93FC3" w:rsidRDefault="007B7514" w:rsidP="00A6302C">
            <w:pPr>
              <w:spacing w:line="240" w:lineRule="exact"/>
              <w:rPr>
                <w:sz w:val="20"/>
                <w:szCs w:val="20"/>
              </w:rPr>
            </w:pPr>
            <w:r w:rsidRPr="00A93FC3">
              <w:rPr>
                <w:rFonts w:eastAsia="Arial" w:cs="Arial"/>
                <w:color w:val="000000" w:themeColor="text1"/>
                <w:sz w:val="20"/>
                <w:szCs w:val="20"/>
                <w:lang w:val="es"/>
              </w:rPr>
              <w:t>03 de agosto de 2021</w:t>
            </w:r>
          </w:p>
        </w:tc>
      </w:tr>
      <w:tr w:rsidR="007B7514" w:rsidRPr="00A93FC3" w14:paraId="021FCD1B"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115EF949"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Número del contrato</w:t>
            </w:r>
          </w:p>
        </w:tc>
        <w:tc>
          <w:tcPr>
            <w:tcW w:w="6306" w:type="dxa"/>
            <w:tcBorders>
              <w:top w:val="single" w:sz="8" w:space="0" w:color="auto"/>
              <w:left w:val="single" w:sz="8" w:space="0" w:color="auto"/>
              <w:bottom w:val="single" w:sz="8" w:space="0" w:color="auto"/>
              <w:right w:val="single" w:sz="8" w:space="0" w:color="auto"/>
            </w:tcBorders>
          </w:tcPr>
          <w:p w14:paraId="038E30FA" w14:textId="77777777" w:rsidR="007B7514" w:rsidRPr="00A93FC3" w:rsidRDefault="007B7514" w:rsidP="00A6302C">
            <w:pPr>
              <w:rPr>
                <w:sz w:val="20"/>
                <w:szCs w:val="20"/>
              </w:rPr>
            </w:pPr>
            <w:r w:rsidRPr="00A93FC3">
              <w:rPr>
                <w:rFonts w:eastAsia="Arial" w:cs="Arial"/>
                <w:color w:val="000000" w:themeColor="text1"/>
                <w:sz w:val="20"/>
                <w:szCs w:val="20"/>
                <w:lang w:val="es"/>
              </w:rPr>
              <w:t>Lote 1. 24841-2021</w:t>
            </w:r>
          </w:p>
          <w:p w14:paraId="00F996EE" w14:textId="77777777" w:rsidR="007B7514" w:rsidRPr="00A93FC3" w:rsidRDefault="007B7514" w:rsidP="00A6302C">
            <w:pPr>
              <w:rPr>
                <w:sz w:val="20"/>
                <w:szCs w:val="20"/>
              </w:rPr>
            </w:pPr>
            <w:r w:rsidRPr="00A93FC3">
              <w:rPr>
                <w:rFonts w:eastAsia="Arial" w:cs="Arial"/>
                <w:color w:val="000000" w:themeColor="text1"/>
                <w:sz w:val="20"/>
                <w:szCs w:val="20"/>
                <w:lang w:val="es"/>
              </w:rPr>
              <w:t>Lote 2. 24842-2021</w:t>
            </w:r>
          </w:p>
        </w:tc>
      </w:tr>
      <w:tr w:rsidR="007B7514" w:rsidRPr="00A93FC3" w14:paraId="40232449"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190C3178"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Objeto:</w:t>
            </w:r>
          </w:p>
        </w:tc>
        <w:tc>
          <w:tcPr>
            <w:tcW w:w="6306" w:type="dxa"/>
            <w:tcBorders>
              <w:top w:val="single" w:sz="8" w:space="0" w:color="auto"/>
              <w:left w:val="single" w:sz="8" w:space="0" w:color="auto"/>
              <w:bottom w:val="single" w:sz="8" w:space="0" w:color="auto"/>
              <w:right w:val="single" w:sz="8" w:space="0" w:color="auto"/>
            </w:tcBorders>
          </w:tcPr>
          <w:p w14:paraId="03D29177" w14:textId="77777777" w:rsidR="007B7514" w:rsidRPr="00A93FC3" w:rsidRDefault="007B7514" w:rsidP="00A6302C">
            <w:pPr>
              <w:spacing w:line="240" w:lineRule="exact"/>
              <w:jc w:val="both"/>
              <w:rPr>
                <w:sz w:val="20"/>
                <w:szCs w:val="20"/>
              </w:rPr>
            </w:pPr>
            <w:r w:rsidRPr="00A93FC3">
              <w:rPr>
                <w:rFonts w:eastAsia="Arial" w:cs="Arial"/>
                <w:color w:val="000000" w:themeColor="text1"/>
                <w:sz w:val="20"/>
                <w:szCs w:val="20"/>
                <w:lang w:val="es"/>
              </w:rPr>
              <w:t>Generar productos cartográficos de municipios de la República de Colombia para la actualización de la información geográfica oficial e implementación del catastro multipropósito, de conformidad con las especificaciones técnicas establecidas por el Instituto Geográfico Agustín Codazzi.</w:t>
            </w:r>
          </w:p>
        </w:tc>
      </w:tr>
      <w:tr w:rsidR="007B7514" w:rsidRPr="00A93FC3" w14:paraId="034A97EB"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1F33E07F"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Alcance</w:t>
            </w:r>
          </w:p>
        </w:tc>
        <w:tc>
          <w:tcPr>
            <w:tcW w:w="6306" w:type="dxa"/>
            <w:tcBorders>
              <w:top w:val="single" w:sz="8" w:space="0" w:color="auto"/>
              <w:left w:val="single" w:sz="8" w:space="0" w:color="auto"/>
              <w:bottom w:val="single" w:sz="8" w:space="0" w:color="auto"/>
              <w:right w:val="single" w:sz="8" w:space="0" w:color="auto"/>
            </w:tcBorders>
          </w:tcPr>
          <w:p w14:paraId="24382D5F" w14:textId="77777777" w:rsidR="007B7514" w:rsidRPr="00A93FC3" w:rsidRDefault="007B7514" w:rsidP="00A6302C">
            <w:pPr>
              <w:rPr>
                <w:sz w:val="20"/>
                <w:szCs w:val="20"/>
              </w:rPr>
            </w:pPr>
            <w:r w:rsidRPr="00A93FC3">
              <w:rPr>
                <w:rFonts w:eastAsia="Arial" w:cs="Arial"/>
                <w:b/>
                <w:bCs/>
                <w:color w:val="000000" w:themeColor="text1"/>
                <w:sz w:val="20"/>
                <w:szCs w:val="20"/>
                <w:lang w:val="es"/>
              </w:rPr>
              <w:t>Lote 1</w:t>
            </w:r>
          </w:p>
          <w:p w14:paraId="1A31690F" w14:textId="77777777" w:rsidR="007B7514" w:rsidRPr="00A93FC3" w:rsidRDefault="007B7514" w:rsidP="00A6302C">
            <w:pPr>
              <w:rPr>
                <w:sz w:val="20"/>
                <w:szCs w:val="20"/>
              </w:rPr>
            </w:pPr>
            <w:r w:rsidRPr="00A93FC3">
              <w:rPr>
                <w:rFonts w:eastAsia="Arial" w:cs="Arial"/>
                <w:color w:val="000000" w:themeColor="text1"/>
                <w:sz w:val="20"/>
                <w:szCs w:val="20"/>
                <w:lang w:val="es"/>
              </w:rPr>
              <w:t>Área Urbana: 3.987 Ha</w:t>
            </w:r>
          </w:p>
          <w:p w14:paraId="74982C3A" w14:textId="77777777" w:rsidR="007B7514" w:rsidRPr="00A93FC3" w:rsidRDefault="007B7514" w:rsidP="00A6302C">
            <w:pPr>
              <w:rPr>
                <w:sz w:val="20"/>
                <w:szCs w:val="20"/>
              </w:rPr>
            </w:pPr>
            <w:r w:rsidRPr="00A93FC3">
              <w:rPr>
                <w:rFonts w:eastAsia="Arial" w:cs="Arial"/>
                <w:color w:val="000000" w:themeColor="text1"/>
                <w:sz w:val="20"/>
                <w:szCs w:val="20"/>
                <w:lang w:val="es"/>
              </w:rPr>
              <w:t>Área Rural: 3.064.271 Ha</w:t>
            </w:r>
          </w:p>
          <w:p w14:paraId="0CE5ADBA" w14:textId="77777777" w:rsidR="007B7514" w:rsidRPr="00A93FC3" w:rsidRDefault="007B7514" w:rsidP="00A6302C">
            <w:pPr>
              <w:rPr>
                <w:sz w:val="20"/>
                <w:szCs w:val="20"/>
              </w:rPr>
            </w:pPr>
            <w:r w:rsidRPr="00A93FC3">
              <w:rPr>
                <w:rFonts w:eastAsia="Arial" w:cs="Arial"/>
                <w:color w:val="000000" w:themeColor="text1"/>
                <w:sz w:val="20"/>
                <w:szCs w:val="20"/>
                <w:lang w:val="es"/>
              </w:rPr>
              <w:lastRenderedPageBreak/>
              <w:t>No Municipios: 19</w:t>
            </w:r>
          </w:p>
          <w:p w14:paraId="62466766" w14:textId="77777777" w:rsidR="007B7514" w:rsidRPr="00A93FC3" w:rsidRDefault="007B7514" w:rsidP="00A6302C">
            <w:pPr>
              <w:rPr>
                <w:sz w:val="20"/>
                <w:szCs w:val="20"/>
              </w:rPr>
            </w:pPr>
            <w:r w:rsidRPr="00A93FC3">
              <w:rPr>
                <w:rFonts w:eastAsia="Arial" w:cs="Arial"/>
                <w:color w:val="000000" w:themeColor="text1"/>
                <w:sz w:val="20"/>
                <w:szCs w:val="20"/>
                <w:lang w:val="es"/>
              </w:rPr>
              <w:t xml:space="preserve"> </w:t>
            </w:r>
          </w:p>
          <w:p w14:paraId="41F9A20D" w14:textId="77777777" w:rsidR="007B7514" w:rsidRPr="00A93FC3" w:rsidRDefault="007B7514" w:rsidP="00A6302C">
            <w:pPr>
              <w:spacing w:line="257" w:lineRule="exact"/>
              <w:rPr>
                <w:sz w:val="20"/>
                <w:szCs w:val="20"/>
              </w:rPr>
            </w:pPr>
            <w:r w:rsidRPr="00A93FC3">
              <w:rPr>
                <w:rFonts w:eastAsia="Arial" w:cs="Arial"/>
                <w:b/>
                <w:bCs/>
                <w:color w:val="000000" w:themeColor="text1"/>
                <w:sz w:val="20"/>
                <w:szCs w:val="20"/>
                <w:lang w:val="es"/>
              </w:rPr>
              <w:t>Lote 2</w:t>
            </w:r>
          </w:p>
          <w:p w14:paraId="20CA9914" w14:textId="77777777" w:rsidR="007B7514" w:rsidRPr="00A93FC3" w:rsidRDefault="007B7514" w:rsidP="00A6302C">
            <w:pPr>
              <w:rPr>
                <w:sz w:val="20"/>
                <w:szCs w:val="20"/>
              </w:rPr>
            </w:pPr>
            <w:r w:rsidRPr="00A93FC3">
              <w:rPr>
                <w:rFonts w:eastAsia="Arial" w:cs="Arial"/>
                <w:color w:val="000000" w:themeColor="text1"/>
                <w:sz w:val="20"/>
                <w:szCs w:val="20"/>
                <w:lang w:val="es"/>
              </w:rPr>
              <w:t>Área Urbana:  14.621 Ha</w:t>
            </w:r>
          </w:p>
          <w:p w14:paraId="175F4B44" w14:textId="77777777" w:rsidR="007B7514" w:rsidRPr="00A93FC3" w:rsidRDefault="007B7514" w:rsidP="00A6302C">
            <w:pPr>
              <w:rPr>
                <w:sz w:val="20"/>
                <w:szCs w:val="20"/>
              </w:rPr>
            </w:pPr>
            <w:r w:rsidRPr="00A93FC3">
              <w:rPr>
                <w:rFonts w:eastAsia="Arial" w:cs="Arial"/>
                <w:color w:val="000000" w:themeColor="text1"/>
                <w:sz w:val="20"/>
                <w:szCs w:val="20"/>
                <w:lang w:val="es"/>
              </w:rPr>
              <w:t>Área Rural: 2.860.295 Ha</w:t>
            </w:r>
          </w:p>
          <w:p w14:paraId="3DD72F9E" w14:textId="77777777" w:rsidR="007B7514" w:rsidRPr="00A93FC3" w:rsidRDefault="007B7514" w:rsidP="00A6302C">
            <w:pPr>
              <w:rPr>
                <w:sz w:val="20"/>
                <w:szCs w:val="20"/>
              </w:rPr>
            </w:pPr>
            <w:r w:rsidRPr="00A93FC3">
              <w:rPr>
                <w:rFonts w:eastAsia="Arial" w:cs="Arial"/>
                <w:color w:val="000000" w:themeColor="text1"/>
                <w:sz w:val="20"/>
                <w:szCs w:val="20"/>
                <w:lang w:val="es"/>
              </w:rPr>
              <w:t>No Municipios: 43</w:t>
            </w:r>
          </w:p>
        </w:tc>
      </w:tr>
      <w:tr w:rsidR="007B7514" w:rsidRPr="00A93FC3" w14:paraId="452B4782"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5FB2CBD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lastRenderedPageBreak/>
              <w:t>Inicio del contrato:</w:t>
            </w:r>
          </w:p>
        </w:tc>
        <w:tc>
          <w:tcPr>
            <w:tcW w:w="6306" w:type="dxa"/>
            <w:tcBorders>
              <w:top w:val="single" w:sz="8" w:space="0" w:color="auto"/>
              <w:left w:val="single" w:sz="8" w:space="0" w:color="auto"/>
              <w:bottom w:val="single" w:sz="8" w:space="0" w:color="auto"/>
              <w:right w:val="single" w:sz="8" w:space="0" w:color="auto"/>
            </w:tcBorders>
          </w:tcPr>
          <w:p w14:paraId="6942DD28" w14:textId="77777777" w:rsidR="007B7514" w:rsidRPr="00A93FC3" w:rsidRDefault="007B7514" w:rsidP="00A6302C">
            <w:pPr>
              <w:rPr>
                <w:sz w:val="20"/>
                <w:szCs w:val="20"/>
              </w:rPr>
            </w:pPr>
            <w:r w:rsidRPr="00A93FC3">
              <w:rPr>
                <w:rFonts w:eastAsia="Arial" w:cs="Arial"/>
                <w:color w:val="000000" w:themeColor="text1"/>
                <w:sz w:val="20"/>
                <w:szCs w:val="20"/>
                <w:lang w:val="es"/>
              </w:rPr>
              <w:t>27 de septiembre de 2021</w:t>
            </w:r>
          </w:p>
        </w:tc>
      </w:tr>
      <w:tr w:rsidR="007B7514" w:rsidRPr="00A93FC3" w14:paraId="661F91A9"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2863295C"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Plazo de ejecución:</w:t>
            </w:r>
          </w:p>
        </w:tc>
        <w:tc>
          <w:tcPr>
            <w:tcW w:w="6306" w:type="dxa"/>
            <w:tcBorders>
              <w:top w:val="single" w:sz="8" w:space="0" w:color="auto"/>
              <w:left w:val="single" w:sz="8" w:space="0" w:color="auto"/>
              <w:bottom w:val="single" w:sz="8" w:space="0" w:color="auto"/>
              <w:right w:val="single" w:sz="8" w:space="0" w:color="auto"/>
            </w:tcBorders>
          </w:tcPr>
          <w:p w14:paraId="7F366DCF" w14:textId="77777777" w:rsidR="007B7514" w:rsidRPr="00A93FC3" w:rsidRDefault="007B7514" w:rsidP="00A6302C">
            <w:pPr>
              <w:rPr>
                <w:sz w:val="20"/>
                <w:szCs w:val="20"/>
              </w:rPr>
            </w:pPr>
            <w:r w:rsidRPr="00A93FC3">
              <w:rPr>
                <w:rFonts w:eastAsia="Arial" w:cs="Arial"/>
                <w:color w:val="000000" w:themeColor="text1"/>
                <w:sz w:val="20"/>
                <w:szCs w:val="20"/>
                <w:lang w:val="es"/>
              </w:rPr>
              <w:t>9 meses</w:t>
            </w:r>
          </w:p>
        </w:tc>
      </w:tr>
      <w:tr w:rsidR="007B7514" w:rsidRPr="00A93FC3" w14:paraId="64AFA7A2"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6423FD26"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Valor del contrato:</w:t>
            </w:r>
          </w:p>
        </w:tc>
        <w:tc>
          <w:tcPr>
            <w:tcW w:w="6306" w:type="dxa"/>
            <w:tcBorders>
              <w:top w:val="single" w:sz="8" w:space="0" w:color="auto"/>
              <w:left w:val="single" w:sz="8" w:space="0" w:color="auto"/>
              <w:bottom w:val="single" w:sz="8" w:space="0" w:color="auto"/>
              <w:right w:val="single" w:sz="8" w:space="0" w:color="auto"/>
            </w:tcBorders>
          </w:tcPr>
          <w:p w14:paraId="53B38534" w14:textId="77777777" w:rsidR="007B7514" w:rsidRPr="00A93FC3" w:rsidRDefault="007B7514" w:rsidP="00A6302C">
            <w:pPr>
              <w:rPr>
                <w:sz w:val="20"/>
                <w:szCs w:val="20"/>
              </w:rPr>
            </w:pPr>
            <w:r w:rsidRPr="00A93FC3">
              <w:rPr>
                <w:rFonts w:eastAsia="Arial" w:cs="Arial"/>
                <w:color w:val="000000" w:themeColor="text1"/>
                <w:sz w:val="20"/>
                <w:szCs w:val="20"/>
                <w:lang w:val="es"/>
              </w:rPr>
              <w:t>Lote 1. ($ 4.633.047.122) Cuatro Mil Seiscientos Treinta Y Tres Millones Cuarenta Y Siete Mil Ciento Veintidós Pesos</w:t>
            </w:r>
          </w:p>
          <w:p w14:paraId="2909F309" w14:textId="77777777" w:rsidR="007B7514" w:rsidRPr="00A93FC3" w:rsidRDefault="007B7514" w:rsidP="00A6302C">
            <w:pPr>
              <w:rPr>
                <w:sz w:val="20"/>
                <w:szCs w:val="20"/>
              </w:rPr>
            </w:pPr>
            <w:r w:rsidRPr="00A93FC3">
              <w:rPr>
                <w:rFonts w:eastAsia="Arial" w:cs="Arial"/>
                <w:color w:val="000000" w:themeColor="text1"/>
                <w:sz w:val="20"/>
                <w:szCs w:val="20"/>
                <w:lang w:val="es"/>
              </w:rPr>
              <w:t xml:space="preserve"> </w:t>
            </w:r>
          </w:p>
          <w:p w14:paraId="7DBD5D42" w14:textId="77777777" w:rsidR="007B7514" w:rsidRPr="00A93FC3" w:rsidRDefault="007B7514" w:rsidP="00A6302C">
            <w:pPr>
              <w:rPr>
                <w:sz w:val="20"/>
                <w:szCs w:val="20"/>
              </w:rPr>
            </w:pPr>
            <w:r w:rsidRPr="00A93FC3">
              <w:rPr>
                <w:rFonts w:eastAsia="Arial" w:cs="Arial"/>
                <w:color w:val="000000" w:themeColor="text1"/>
                <w:sz w:val="20"/>
                <w:szCs w:val="20"/>
                <w:lang w:val="es"/>
              </w:rPr>
              <w:t>Lote 2. ($ 6.320.559.977) Seis Mil Trescientos Veinte Millones Quinientos Cincuenta Y Nueve Mil Novecientos Setenta Y Siete Pesos</w:t>
            </w:r>
          </w:p>
        </w:tc>
      </w:tr>
      <w:tr w:rsidR="007B7514" w:rsidRPr="00A93FC3" w14:paraId="6C08C862"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41BED90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Estado:</w:t>
            </w:r>
          </w:p>
        </w:tc>
        <w:tc>
          <w:tcPr>
            <w:tcW w:w="6306" w:type="dxa"/>
            <w:tcBorders>
              <w:top w:val="single" w:sz="8" w:space="0" w:color="auto"/>
              <w:left w:val="single" w:sz="8" w:space="0" w:color="auto"/>
              <w:bottom w:val="single" w:sz="8" w:space="0" w:color="auto"/>
              <w:right w:val="single" w:sz="8" w:space="0" w:color="auto"/>
            </w:tcBorders>
          </w:tcPr>
          <w:p w14:paraId="5198BFF4" w14:textId="77777777" w:rsidR="007B7514" w:rsidRPr="00A93FC3" w:rsidRDefault="007B7514" w:rsidP="00A6302C">
            <w:pPr>
              <w:spacing w:line="257" w:lineRule="exact"/>
              <w:rPr>
                <w:sz w:val="20"/>
                <w:szCs w:val="20"/>
              </w:rPr>
            </w:pPr>
            <w:r w:rsidRPr="00A93FC3">
              <w:rPr>
                <w:rFonts w:eastAsia="Arial" w:cs="Arial"/>
                <w:color w:val="000000" w:themeColor="text1"/>
                <w:sz w:val="20"/>
                <w:szCs w:val="20"/>
                <w:lang w:val="es"/>
              </w:rPr>
              <w:t>En ejecución</w:t>
            </w:r>
          </w:p>
        </w:tc>
      </w:tr>
      <w:tr w:rsidR="007B7514" w:rsidRPr="00A93FC3" w14:paraId="6CE42BCE" w14:textId="77777777" w:rsidTr="006679CF">
        <w:tc>
          <w:tcPr>
            <w:tcW w:w="3049" w:type="dxa"/>
            <w:tcBorders>
              <w:top w:val="single" w:sz="8" w:space="0" w:color="auto"/>
              <w:left w:val="single" w:sz="8" w:space="0" w:color="auto"/>
              <w:bottom w:val="single" w:sz="8" w:space="0" w:color="auto"/>
              <w:right w:val="single" w:sz="8" w:space="0" w:color="auto"/>
            </w:tcBorders>
            <w:vAlign w:val="center"/>
          </w:tcPr>
          <w:p w14:paraId="27FC422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 xml:space="preserve">Avance: </w:t>
            </w:r>
          </w:p>
        </w:tc>
        <w:tc>
          <w:tcPr>
            <w:tcW w:w="6306" w:type="dxa"/>
            <w:tcBorders>
              <w:top w:val="single" w:sz="8" w:space="0" w:color="auto"/>
              <w:left w:val="single" w:sz="8" w:space="0" w:color="auto"/>
              <w:bottom w:val="single" w:sz="8" w:space="0" w:color="auto"/>
              <w:right w:val="single" w:sz="8" w:space="0" w:color="auto"/>
            </w:tcBorders>
          </w:tcPr>
          <w:p w14:paraId="13829109" w14:textId="77777777" w:rsidR="007B7514" w:rsidRPr="00A93FC3" w:rsidRDefault="007B7514" w:rsidP="000A20EE">
            <w:pPr>
              <w:pStyle w:val="Prrafodelista"/>
              <w:numPr>
                <w:ilvl w:val="0"/>
                <w:numId w:val="200"/>
              </w:numPr>
              <w:spacing w:line="254" w:lineRule="exact"/>
              <w:ind w:left="244" w:hanging="284"/>
              <w:rPr>
                <w:rFonts w:eastAsia="Arial" w:cs="Arial"/>
                <w:color w:val="000000" w:themeColor="text1"/>
              </w:rPr>
            </w:pPr>
            <w:r w:rsidRPr="00A93FC3">
              <w:rPr>
                <w:rFonts w:eastAsia="Arial" w:cs="Arial"/>
                <w:color w:val="000000" w:themeColor="text1"/>
                <w:lang w:val="es"/>
              </w:rPr>
              <w:t>Aprobación del plan de implementación del proyecto y de calidad de Lote 1 y Lote 2.</w:t>
            </w:r>
          </w:p>
          <w:p w14:paraId="1302C8F5" w14:textId="77777777" w:rsidR="007B7514" w:rsidRPr="00A93FC3" w:rsidRDefault="007B7514" w:rsidP="000A20EE">
            <w:pPr>
              <w:pStyle w:val="Prrafodelista"/>
              <w:numPr>
                <w:ilvl w:val="0"/>
                <w:numId w:val="200"/>
              </w:numPr>
              <w:spacing w:line="257" w:lineRule="exact"/>
              <w:ind w:left="244" w:hanging="284"/>
              <w:rPr>
                <w:rFonts w:eastAsia="Arial" w:cs="Arial"/>
                <w:color w:val="000000" w:themeColor="text1"/>
              </w:rPr>
            </w:pPr>
            <w:r w:rsidRPr="00A93FC3">
              <w:rPr>
                <w:rFonts w:eastAsia="Arial" w:cs="Arial"/>
                <w:color w:val="000000" w:themeColor="text1"/>
                <w:lang w:val="es"/>
              </w:rPr>
              <w:t>Generación de ortoimágenes de 7 municipios.</w:t>
            </w:r>
          </w:p>
        </w:tc>
      </w:tr>
    </w:tbl>
    <w:p w14:paraId="0048AD7F" w14:textId="567B2080" w:rsidR="007B7514" w:rsidRDefault="007B7514" w:rsidP="006679CF">
      <w:pPr>
        <w:jc w:val="center"/>
        <w:rPr>
          <w:rFonts w:eastAsia="Arial" w:cs="Arial"/>
          <w:b/>
          <w:bCs/>
          <w:sz w:val="16"/>
          <w:szCs w:val="16"/>
          <w:lang w:val="es"/>
        </w:rPr>
      </w:pPr>
      <w:r w:rsidRPr="00A13030">
        <w:rPr>
          <w:rFonts w:eastAsia="Arial" w:cs="Arial"/>
          <w:b/>
          <w:bCs/>
          <w:sz w:val="16"/>
          <w:szCs w:val="16"/>
          <w:lang w:val="es"/>
        </w:rPr>
        <w:t>Fuente. IGAC. Subdirección de Geografía y Ca</w:t>
      </w:r>
      <w:r w:rsidR="006679CF">
        <w:rPr>
          <w:rFonts w:eastAsia="Arial" w:cs="Arial"/>
          <w:b/>
          <w:bCs/>
          <w:sz w:val="16"/>
          <w:szCs w:val="16"/>
          <w:lang w:val="es"/>
        </w:rPr>
        <w:t>rtografía</w:t>
      </w:r>
    </w:p>
    <w:p w14:paraId="4C9ABA3F" w14:textId="77777777" w:rsidR="006679CF" w:rsidRPr="006679CF" w:rsidRDefault="006679CF" w:rsidP="006679CF">
      <w:pPr>
        <w:jc w:val="center"/>
        <w:rPr>
          <w:rFonts w:eastAsia="Arial" w:cs="Arial"/>
          <w:b/>
          <w:bCs/>
          <w:sz w:val="16"/>
          <w:szCs w:val="16"/>
          <w:lang w:val="es"/>
        </w:rPr>
      </w:pPr>
    </w:p>
    <w:p w14:paraId="749FB5CF" w14:textId="2F037B22" w:rsidR="00F47F5B" w:rsidRPr="00A93FC3" w:rsidRDefault="007B7514" w:rsidP="00A93FC3">
      <w:pPr>
        <w:jc w:val="both"/>
      </w:pPr>
      <w:r w:rsidRPr="31FF9146">
        <w:rPr>
          <w:rFonts w:eastAsia="Arial" w:cs="Arial"/>
          <w:color w:val="000000" w:themeColor="text1"/>
          <w:sz w:val="22"/>
          <w:szCs w:val="22"/>
          <w:lang w:val="es"/>
        </w:rPr>
        <w:t>Por otro lado, desde el componente geodésico, se llevó a cabo el proceso contractual para la densificación de la red geodésica y el diseño y puesta en operación del centro de control, así:</w:t>
      </w:r>
    </w:p>
    <w:p w14:paraId="44CB3AE9" w14:textId="77777777" w:rsidR="00F47F5B" w:rsidRDefault="00F47F5B" w:rsidP="00E7434E">
      <w:pPr>
        <w:jc w:val="center"/>
        <w:rPr>
          <w:rFonts w:eastAsia="Arial" w:cs="Arial"/>
          <w:b/>
          <w:bCs/>
          <w:sz w:val="16"/>
          <w:szCs w:val="16"/>
          <w:lang w:val="es"/>
        </w:rPr>
      </w:pPr>
    </w:p>
    <w:p w14:paraId="6FCDCF1E" w14:textId="1FD4392E" w:rsidR="00350BFA" w:rsidRPr="00350BFA" w:rsidRDefault="00350BFA" w:rsidP="00350BFA">
      <w:pPr>
        <w:pStyle w:val="Descripcin"/>
        <w:keepNext/>
        <w:jc w:val="center"/>
        <w:rPr>
          <w:rFonts w:ascii="Arial" w:hAnsi="Arial" w:cs="Arial"/>
          <w:b/>
          <w:bCs/>
          <w:i w:val="0"/>
          <w:iCs w:val="0"/>
          <w:color w:val="auto"/>
          <w:sz w:val="16"/>
          <w:szCs w:val="16"/>
        </w:rPr>
      </w:pPr>
      <w:bookmarkStart w:id="125" w:name="_Toc88677118"/>
      <w:r w:rsidRPr="00350BFA">
        <w:rPr>
          <w:rFonts w:ascii="Arial" w:hAnsi="Arial" w:cs="Arial"/>
          <w:b/>
          <w:bCs/>
          <w:i w:val="0"/>
          <w:iCs w:val="0"/>
          <w:color w:val="auto"/>
          <w:sz w:val="16"/>
          <w:szCs w:val="16"/>
        </w:rPr>
        <w:t xml:space="preserve">Tabla </w:t>
      </w:r>
      <w:r w:rsidRPr="00350BFA">
        <w:rPr>
          <w:rFonts w:ascii="Arial" w:hAnsi="Arial" w:cs="Arial"/>
          <w:b/>
          <w:bCs/>
          <w:i w:val="0"/>
          <w:iCs w:val="0"/>
          <w:color w:val="auto"/>
          <w:sz w:val="16"/>
          <w:szCs w:val="16"/>
        </w:rPr>
        <w:fldChar w:fldCharType="begin"/>
      </w:r>
      <w:r w:rsidRPr="00350BFA">
        <w:rPr>
          <w:rFonts w:ascii="Arial" w:hAnsi="Arial" w:cs="Arial"/>
          <w:b/>
          <w:bCs/>
          <w:i w:val="0"/>
          <w:iCs w:val="0"/>
          <w:color w:val="auto"/>
          <w:sz w:val="16"/>
          <w:szCs w:val="16"/>
        </w:rPr>
        <w:instrText xml:space="preserve"> SEQ Tabla \* ARABIC </w:instrText>
      </w:r>
      <w:r w:rsidRPr="00350BFA">
        <w:rPr>
          <w:rFonts w:ascii="Arial" w:hAnsi="Arial" w:cs="Arial"/>
          <w:b/>
          <w:bCs/>
          <w:i w:val="0"/>
          <w:iCs w:val="0"/>
          <w:color w:val="auto"/>
          <w:sz w:val="16"/>
          <w:szCs w:val="16"/>
        </w:rPr>
        <w:fldChar w:fldCharType="separate"/>
      </w:r>
      <w:r w:rsidR="004D4C6A">
        <w:rPr>
          <w:rFonts w:ascii="Arial" w:hAnsi="Arial" w:cs="Arial"/>
          <w:b/>
          <w:bCs/>
          <w:i w:val="0"/>
          <w:iCs w:val="0"/>
          <w:noProof/>
          <w:color w:val="auto"/>
          <w:sz w:val="16"/>
          <w:szCs w:val="16"/>
        </w:rPr>
        <w:t>46</w:t>
      </w:r>
      <w:r w:rsidRPr="00350BFA">
        <w:rPr>
          <w:rFonts w:ascii="Arial" w:hAnsi="Arial" w:cs="Arial"/>
          <w:b/>
          <w:bCs/>
          <w:i w:val="0"/>
          <w:iCs w:val="0"/>
          <w:color w:val="auto"/>
          <w:sz w:val="16"/>
          <w:szCs w:val="16"/>
        </w:rPr>
        <w:fldChar w:fldCharType="end"/>
      </w:r>
      <w:r w:rsidRPr="00350BFA">
        <w:rPr>
          <w:rFonts w:ascii="Arial" w:hAnsi="Arial" w:cs="Arial"/>
          <w:b/>
          <w:bCs/>
          <w:i w:val="0"/>
          <w:iCs w:val="0"/>
          <w:color w:val="auto"/>
          <w:sz w:val="16"/>
          <w:szCs w:val="16"/>
        </w:rPr>
        <w:t>.Densificación Red Geodésica y Centro de Control</w:t>
      </w:r>
      <w:bookmarkEnd w:id="125"/>
    </w:p>
    <w:tbl>
      <w:tblPr>
        <w:tblStyle w:val="Tablaconcuadrcula"/>
        <w:tblW w:w="9213" w:type="dxa"/>
        <w:tblInd w:w="416" w:type="dxa"/>
        <w:tblLayout w:type="fixed"/>
        <w:tblLook w:val="06A0" w:firstRow="1" w:lastRow="0" w:firstColumn="1" w:lastColumn="0" w:noHBand="1" w:noVBand="1"/>
      </w:tblPr>
      <w:tblGrid>
        <w:gridCol w:w="3049"/>
        <w:gridCol w:w="6164"/>
      </w:tblGrid>
      <w:tr w:rsidR="007B7514" w:rsidRPr="00A93FC3" w14:paraId="2673B9A4" w14:textId="77777777" w:rsidTr="006679CF">
        <w:tc>
          <w:tcPr>
            <w:tcW w:w="3049" w:type="dxa"/>
            <w:tcBorders>
              <w:top w:val="single" w:sz="8" w:space="0" w:color="auto"/>
              <w:left w:val="single" w:sz="8" w:space="0" w:color="auto"/>
              <w:bottom w:val="single" w:sz="8" w:space="0" w:color="auto"/>
              <w:right w:val="single" w:sz="8" w:space="0" w:color="auto"/>
            </w:tcBorders>
          </w:tcPr>
          <w:p w14:paraId="58A1CB67"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Modalidad de contratación:</w:t>
            </w:r>
          </w:p>
        </w:tc>
        <w:tc>
          <w:tcPr>
            <w:tcW w:w="6164" w:type="dxa"/>
            <w:tcBorders>
              <w:top w:val="single" w:sz="8" w:space="0" w:color="auto"/>
              <w:left w:val="single" w:sz="8" w:space="0" w:color="auto"/>
              <w:bottom w:val="single" w:sz="8" w:space="0" w:color="auto"/>
              <w:right w:val="single" w:sz="8" w:space="0" w:color="auto"/>
            </w:tcBorders>
          </w:tcPr>
          <w:p w14:paraId="52050A94" w14:textId="77777777" w:rsidR="007B7514" w:rsidRPr="00A93FC3" w:rsidRDefault="007B7514" w:rsidP="00A6302C">
            <w:pPr>
              <w:rPr>
                <w:sz w:val="20"/>
                <w:szCs w:val="20"/>
              </w:rPr>
            </w:pPr>
            <w:r w:rsidRPr="00A93FC3">
              <w:rPr>
                <w:rFonts w:eastAsia="Arial" w:cs="Arial"/>
                <w:color w:val="000000" w:themeColor="text1"/>
                <w:sz w:val="20"/>
                <w:szCs w:val="20"/>
                <w:lang w:val="es"/>
              </w:rPr>
              <w:t>Licitación Pública Internacional</w:t>
            </w:r>
          </w:p>
        </w:tc>
      </w:tr>
      <w:tr w:rsidR="007B7514" w:rsidRPr="00A93FC3" w14:paraId="437CAF05" w14:textId="77777777" w:rsidTr="006679CF">
        <w:tc>
          <w:tcPr>
            <w:tcW w:w="3049" w:type="dxa"/>
            <w:tcBorders>
              <w:top w:val="single" w:sz="8" w:space="0" w:color="auto"/>
              <w:left w:val="single" w:sz="8" w:space="0" w:color="auto"/>
              <w:bottom w:val="single" w:sz="8" w:space="0" w:color="auto"/>
              <w:right w:val="single" w:sz="8" w:space="0" w:color="auto"/>
            </w:tcBorders>
          </w:tcPr>
          <w:p w14:paraId="40A5954E"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Publicación del proceso:</w:t>
            </w:r>
          </w:p>
        </w:tc>
        <w:tc>
          <w:tcPr>
            <w:tcW w:w="6164" w:type="dxa"/>
            <w:tcBorders>
              <w:top w:val="single" w:sz="8" w:space="0" w:color="auto"/>
              <w:left w:val="single" w:sz="8" w:space="0" w:color="auto"/>
              <w:bottom w:val="single" w:sz="8" w:space="0" w:color="auto"/>
              <w:right w:val="single" w:sz="8" w:space="0" w:color="auto"/>
            </w:tcBorders>
          </w:tcPr>
          <w:p w14:paraId="2B5DAB2D" w14:textId="77777777" w:rsidR="007B7514" w:rsidRPr="00A93FC3" w:rsidRDefault="007B7514" w:rsidP="00A6302C">
            <w:pPr>
              <w:spacing w:line="257" w:lineRule="exact"/>
              <w:rPr>
                <w:sz w:val="20"/>
                <w:szCs w:val="20"/>
              </w:rPr>
            </w:pPr>
            <w:r w:rsidRPr="00A93FC3">
              <w:rPr>
                <w:rFonts w:eastAsia="Arial" w:cs="Arial"/>
                <w:color w:val="000000" w:themeColor="text1"/>
                <w:sz w:val="20"/>
                <w:szCs w:val="20"/>
                <w:lang w:val="es"/>
              </w:rPr>
              <w:t>02 de octubre de 2020</w:t>
            </w:r>
          </w:p>
        </w:tc>
      </w:tr>
      <w:tr w:rsidR="007B7514" w:rsidRPr="00A93FC3" w14:paraId="6BCC296F" w14:textId="77777777" w:rsidTr="006679CF">
        <w:tc>
          <w:tcPr>
            <w:tcW w:w="3049" w:type="dxa"/>
            <w:tcBorders>
              <w:top w:val="single" w:sz="8" w:space="0" w:color="auto"/>
              <w:left w:val="single" w:sz="8" w:space="0" w:color="auto"/>
              <w:bottom w:val="single" w:sz="8" w:space="0" w:color="auto"/>
              <w:right w:val="single" w:sz="8" w:space="0" w:color="auto"/>
            </w:tcBorders>
          </w:tcPr>
          <w:p w14:paraId="21532C35"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Fecha de adjudicación:</w:t>
            </w:r>
          </w:p>
        </w:tc>
        <w:tc>
          <w:tcPr>
            <w:tcW w:w="6164" w:type="dxa"/>
            <w:tcBorders>
              <w:top w:val="single" w:sz="8" w:space="0" w:color="auto"/>
              <w:left w:val="single" w:sz="8" w:space="0" w:color="auto"/>
              <w:bottom w:val="single" w:sz="8" w:space="0" w:color="auto"/>
              <w:right w:val="single" w:sz="8" w:space="0" w:color="auto"/>
            </w:tcBorders>
          </w:tcPr>
          <w:p w14:paraId="0ED3BB7B" w14:textId="77777777" w:rsidR="007B7514" w:rsidRPr="00A93FC3" w:rsidRDefault="007B7514" w:rsidP="00A6302C">
            <w:pPr>
              <w:spacing w:line="257" w:lineRule="exact"/>
              <w:rPr>
                <w:sz w:val="20"/>
                <w:szCs w:val="20"/>
              </w:rPr>
            </w:pPr>
            <w:r w:rsidRPr="00A93FC3">
              <w:rPr>
                <w:rFonts w:eastAsia="Arial" w:cs="Arial"/>
                <w:color w:val="000000" w:themeColor="text1"/>
                <w:sz w:val="20"/>
                <w:szCs w:val="20"/>
                <w:lang w:val="es"/>
              </w:rPr>
              <w:t>18 de marzo de 2021</w:t>
            </w:r>
          </w:p>
        </w:tc>
      </w:tr>
      <w:tr w:rsidR="007B7514" w:rsidRPr="00A93FC3" w14:paraId="1BF7DAD7" w14:textId="77777777" w:rsidTr="006679CF">
        <w:tc>
          <w:tcPr>
            <w:tcW w:w="3049" w:type="dxa"/>
            <w:tcBorders>
              <w:top w:val="single" w:sz="8" w:space="0" w:color="auto"/>
              <w:left w:val="single" w:sz="8" w:space="0" w:color="auto"/>
              <w:bottom w:val="single" w:sz="8" w:space="0" w:color="auto"/>
              <w:right w:val="single" w:sz="8" w:space="0" w:color="auto"/>
            </w:tcBorders>
          </w:tcPr>
          <w:p w14:paraId="125E79AB"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Número del contrato</w:t>
            </w:r>
          </w:p>
        </w:tc>
        <w:tc>
          <w:tcPr>
            <w:tcW w:w="6164" w:type="dxa"/>
            <w:tcBorders>
              <w:top w:val="single" w:sz="8" w:space="0" w:color="auto"/>
              <w:left w:val="single" w:sz="8" w:space="0" w:color="auto"/>
              <w:bottom w:val="single" w:sz="8" w:space="0" w:color="auto"/>
              <w:right w:val="single" w:sz="8" w:space="0" w:color="auto"/>
            </w:tcBorders>
          </w:tcPr>
          <w:p w14:paraId="4D6E4FCA" w14:textId="77777777" w:rsidR="007B7514" w:rsidRPr="00A93FC3" w:rsidRDefault="007B7514" w:rsidP="00A6302C">
            <w:pPr>
              <w:rPr>
                <w:sz w:val="20"/>
                <w:szCs w:val="20"/>
              </w:rPr>
            </w:pPr>
            <w:r w:rsidRPr="00A93FC3">
              <w:rPr>
                <w:rFonts w:eastAsia="Arial" w:cs="Arial"/>
                <w:color w:val="000000" w:themeColor="text1"/>
                <w:sz w:val="20"/>
                <w:szCs w:val="20"/>
                <w:lang w:val="es"/>
              </w:rPr>
              <w:t>24695-2021</w:t>
            </w:r>
          </w:p>
        </w:tc>
      </w:tr>
      <w:tr w:rsidR="007B7514" w:rsidRPr="00A93FC3" w14:paraId="6A83E607" w14:textId="77777777" w:rsidTr="006679CF">
        <w:tc>
          <w:tcPr>
            <w:tcW w:w="3049" w:type="dxa"/>
            <w:tcBorders>
              <w:top w:val="single" w:sz="8" w:space="0" w:color="auto"/>
              <w:left w:val="single" w:sz="8" w:space="0" w:color="auto"/>
              <w:bottom w:val="single" w:sz="8" w:space="0" w:color="auto"/>
              <w:right w:val="single" w:sz="8" w:space="0" w:color="auto"/>
            </w:tcBorders>
          </w:tcPr>
          <w:p w14:paraId="3D6F4D01" w14:textId="77777777" w:rsidR="00F9129E" w:rsidRPr="00A93FC3" w:rsidRDefault="00F9129E" w:rsidP="00A6302C">
            <w:pPr>
              <w:rPr>
                <w:rFonts w:eastAsia="Arial" w:cs="Arial"/>
                <w:b/>
                <w:bCs/>
                <w:color w:val="000000" w:themeColor="text1"/>
                <w:sz w:val="20"/>
                <w:szCs w:val="20"/>
                <w:lang w:val="es"/>
              </w:rPr>
            </w:pPr>
          </w:p>
          <w:p w14:paraId="3990FFFA" w14:textId="77777777" w:rsidR="00F9129E" w:rsidRPr="00A93FC3" w:rsidRDefault="00F9129E" w:rsidP="00A6302C">
            <w:pPr>
              <w:rPr>
                <w:rFonts w:eastAsia="Arial" w:cs="Arial"/>
                <w:b/>
                <w:bCs/>
                <w:color w:val="000000" w:themeColor="text1"/>
                <w:sz w:val="20"/>
                <w:szCs w:val="20"/>
                <w:lang w:val="es"/>
              </w:rPr>
            </w:pPr>
          </w:p>
          <w:p w14:paraId="0E933782"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Objeto:</w:t>
            </w:r>
          </w:p>
        </w:tc>
        <w:tc>
          <w:tcPr>
            <w:tcW w:w="6164" w:type="dxa"/>
            <w:tcBorders>
              <w:top w:val="single" w:sz="8" w:space="0" w:color="auto"/>
              <w:left w:val="single" w:sz="8" w:space="0" w:color="auto"/>
              <w:bottom w:val="single" w:sz="8" w:space="0" w:color="auto"/>
              <w:right w:val="single" w:sz="8" w:space="0" w:color="auto"/>
            </w:tcBorders>
          </w:tcPr>
          <w:p w14:paraId="40C5420E" w14:textId="77777777" w:rsidR="007B7514" w:rsidRPr="00A93FC3" w:rsidRDefault="007B7514" w:rsidP="00A6302C">
            <w:pPr>
              <w:spacing w:line="240" w:lineRule="exact"/>
              <w:jc w:val="both"/>
              <w:rPr>
                <w:sz w:val="20"/>
                <w:szCs w:val="20"/>
              </w:rPr>
            </w:pPr>
            <w:r w:rsidRPr="00A93FC3">
              <w:rPr>
                <w:rFonts w:eastAsia="Arial" w:cs="Arial"/>
                <w:color w:val="000000" w:themeColor="text1"/>
                <w:sz w:val="20"/>
                <w:szCs w:val="20"/>
                <w:lang w:val="es"/>
              </w:rPr>
              <w:t>Establecimiento y puesta en operación de Estaciones de Referencia de Operación Continua CORS (Continuously Operating Reference Station) y fortalecimiento del Centro de Control de la Red geodésica de la República de Colombia de conformidad con las especificaciones técnicas establecidas por el Instituto Geográfico Agustín Codazzi –IGAC.</w:t>
            </w:r>
          </w:p>
        </w:tc>
      </w:tr>
      <w:tr w:rsidR="007B7514" w:rsidRPr="00A93FC3" w14:paraId="0CD24D07" w14:textId="77777777" w:rsidTr="006679CF">
        <w:tc>
          <w:tcPr>
            <w:tcW w:w="3049" w:type="dxa"/>
            <w:tcBorders>
              <w:top w:val="single" w:sz="8" w:space="0" w:color="auto"/>
              <w:left w:val="single" w:sz="8" w:space="0" w:color="auto"/>
              <w:bottom w:val="single" w:sz="8" w:space="0" w:color="auto"/>
              <w:right w:val="single" w:sz="8" w:space="0" w:color="auto"/>
            </w:tcBorders>
          </w:tcPr>
          <w:p w14:paraId="3E7541F0" w14:textId="77777777" w:rsidR="00F9129E" w:rsidRPr="00A93FC3" w:rsidRDefault="00F9129E" w:rsidP="00A6302C">
            <w:pPr>
              <w:rPr>
                <w:rFonts w:eastAsia="Arial" w:cs="Arial"/>
                <w:b/>
                <w:bCs/>
                <w:color w:val="000000" w:themeColor="text1"/>
                <w:sz w:val="20"/>
                <w:szCs w:val="20"/>
                <w:lang w:val="es"/>
              </w:rPr>
            </w:pPr>
          </w:p>
          <w:p w14:paraId="56584325" w14:textId="77777777" w:rsidR="00F9129E" w:rsidRPr="00A93FC3" w:rsidRDefault="00F9129E" w:rsidP="00A6302C">
            <w:pPr>
              <w:rPr>
                <w:rFonts w:eastAsia="Arial" w:cs="Arial"/>
                <w:b/>
                <w:bCs/>
                <w:color w:val="000000" w:themeColor="text1"/>
                <w:sz w:val="20"/>
                <w:szCs w:val="20"/>
                <w:lang w:val="es"/>
              </w:rPr>
            </w:pPr>
          </w:p>
          <w:p w14:paraId="611C9DAA" w14:textId="6F708B51" w:rsidR="007B7514" w:rsidRPr="00A93FC3" w:rsidRDefault="007B7514" w:rsidP="00F9129E">
            <w:pPr>
              <w:tabs>
                <w:tab w:val="left" w:pos="1354"/>
              </w:tabs>
              <w:rPr>
                <w:b/>
                <w:bCs/>
                <w:sz w:val="20"/>
                <w:szCs w:val="20"/>
              </w:rPr>
            </w:pPr>
            <w:r w:rsidRPr="00A93FC3">
              <w:rPr>
                <w:rFonts w:eastAsia="Arial" w:cs="Arial"/>
                <w:b/>
                <w:bCs/>
                <w:color w:val="000000" w:themeColor="text1"/>
                <w:sz w:val="20"/>
                <w:szCs w:val="20"/>
                <w:lang w:val="es"/>
              </w:rPr>
              <w:t>Alcance</w:t>
            </w:r>
            <w:r w:rsidR="00F9129E" w:rsidRPr="00A93FC3">
              <w:rPr>
                <w:rFonts w:eastAsia="Arial" w:cs="Arial"/>
                <w:b/>
                <w:bCs/>
                <w:color w:val="000000" w:themeColor="text1"/>
                <w:sz w:val="20"/>
                <w:szCs w:val="20"/>
                <w:lang w:val="es"/>
              </w:rPr>
              <w:t>:</w:t>
            </w:r>
          </w:p>
        </w:tc>
        <w:tc>
          <w:tcPr>
            <w:tcW w:w="6164" w:type="dxa"/>
            <w:tcBorders>
              <w:top w:val="single" w:sz="8" w:space="0" w:color="auto"/>
              <w:left w:val="single" w:sz="8" w:space="0" w:color="auto"/>
              <w:bottom w:val="single" w:sz="8" w:space="0" w:color="auto"/>
              <w:right w:val="single" w:sz="8" w:space="0" w:color="auto"/>
            </w:tcBorders>
          </w:tcPr>
          <w:p w14:paraId="21D97E04" w14:textId="77777777" w:rsidR="007B7514" w:rsidRPr="00A93FC3" w:rsidRDefault="007B7514" w:rsidP="00A6302C">
            <w:pPr>
              <w:spacing w:line="254" w:lineRule="auto"/>
              <w:ind w:left="180" w:hanging="180"/>
              <w:rPr>
                <w:sz w:val="20"/>
                <w:szCs w:val="20"/>
              </w:rPr>
            </w:pPr>
            <w:r w:rsidRPr="00A93FC3">
              <w:rPr>
                <w:rFonts w:ascii="Symbol" w:eastAsia="Symbol" w:hAnsi="Symbol" w:cs="Symbol"/>
                <w:color w:val="000000" w:themeColor="text1"/>
                <w:sz w:val="20"/>
                <w:szCs w:val="20"/>
                <w:lang w:val="es"/>
              </w:rPr>
              <w:t></w:t>
            </w:r>
            <w:r w:rsidRPr="00A93FC3">
              <w:rPr>
                <w:rFonts w:ascii="Times New Roman" w:hAnsi="Times New Roman"/>
                <w:color w:val="000000" w:themeColor="text1"/>
                <w:sz w:val="20"/>
                <w:szCs w:val="20"/>
                <w:lang w:val="es"/>
              </w:rPr>
              <w:t xml:space="preserve">  </w:t>
            </w:r>
            <w:r w:rsidRPr="00A93FC3">
              <w:rPr>
                <w:rFonts w:eastAsia="Arial" w:cs="Arial"/>
                <w:color w:val="000000" w:themeColor="text1"/>
                <w:sz w:val="20"/>
                <w:szCs w:val="20"/>
                <w:lang w:val="es"/>
              </w:rPr>
              <w:t>Exploración y materialización de 13 estaciones.</w:t>
            </w:r>
          </w:p>
          <w:p w14:paraId="2FC43193" w14:textId="77777777" w:rsidR="007B7514" w:rsidRPr="00A93FC3" w:rsidRDefault="007B7514" w:rsidP="00A6302C">
            <w:pPr>
              <w:spacing w:line="254" w:lineRule="auto"/>
              <w:ind w:left="180" w:hanging="180"/>
              <w:rPr>
                <w:sz w:val="20"/>
                <w:szCs w:val="20"/>
              </w:rPr>
            </w:pPr>
            <w:r w:rsidRPr="00A93FC3">
              <w:rPr>
                <w:rFonts w:ascii="Symbol" w:eastAsia="Symbol" w:hAnsi="Symbol" w:cs="Symbol"/>
                <w:color w:val="000000" w:themeColor="text1"/>
                <w:sz w:val="20"/>
                <w:szCs w:val="20"/>
                <w:lang w:val="es"/>
              </w:rPr>
              <w:t></w:t>
            </w:r>
            <w:r w:rsidRPr="00A93FC3">
              <w:rPr>
                <w:rFonts w:ascii="Times New Roman" w:hAnsi="Times New Roman"/>
                <w:color w:val="000000" w:themeColor="text1"/>
                <w:sz w:val="20"/>
                <w:szCs w:val="20"/>
                <w:lang w:val="es"/>
              </w:rPr>
              <w:t xml:space="preserve">  </w:t>
            </w:r>
            <w:r w:rsidRPr="00A93FC3">
              <w:rPr>
                <w:rFonts w:eastAsia="Arial" w:cs="Arial"/>
                <w:color w:val="000000" w:themeColor="text1"/>
                <w:sz w:val="20"/>
                <w:szCs w:val="20"/>
                <w:lang w:val="es"/>
              </w:rPr>
              <w:t>Adquisición de 13 estaciones de operación continua con sus respectivos accesorios y sistema de comunicación.</w:t>
            </w:r>
          </w:p>
          <w:p w14:paraId="14AEB13E" w14:textId="77777777" w:rsidR="007B7514" w:rsidRPr="00A93FC3" w:rsidRDefault="007B7514" w:rsidP="00A6302C">
            <w:pPr>
              <w:spacing w:line="254" w:lineRule="auto"/>
              <w:ind w:left="180" w:hanging="180"/>
              <w:rPr>
                <w:sz w:val="20"/>
                <w:szCs w:val="20"/>
              </w:rPr>
            </w:pPr>
            <w:r w:rsidRPr="00A93FC3">
              <w:rPr>
                <w:rFonts w:ascii="Symbol" w:eastAsia="Symbol" w:hAnsi="Symbol" w:cs="Symbol"/>
                <w:color w:val="000000" w:themeColor="text1"/>
                <w:sz w:val="20"/>
                <w:szCs w:val="20"/>
                <w:lang w:val="es"/>
              </w:rPr>
              <w:t></w:t>
            </w:r>
            <w:r w:rsidRPr="00A93FC3">
              <w:rPr>
                <w:rFonts w:ascii="Times New Roman" w:hAnsi="Times New Roman"/>
                <w:color w:val="000000" w:themeColor="text1"/>
                <w:sz w:val="20"/>
                <w:szCs w:val="20"/>
                <w:lang w:val="es"/>
              </w:rPr>
              <w:t xml:space="preserve">  </w:t>
            </w:r>
            <w:r w:rsidRPr="00A93FC3">
              <w:rPr>
                <w:rFonts w:eastAsia="Arial" w:cs="Arial"/>
                <w:color w:val="000000" w:themeColor="text1"/>
                <w:sz w:val="20"/>
                <w:szCs w:val="20"/>
                <w:lang w:val="es"/>
              </w:rPr>
              <w:t>Diseño y puesta en operación del centro de control de la red geodésica.</w:t>
            </w:r>
          </w:p>
        </w:tc>
      </w:tr>
      <w:tr w:rsidR="007B7514" w:rsidRPr="00A93FC3" w14:paraId="0AED2814" w14:textId="77777777" w:rsidTr="006679CF">
        <w:tc>
          <w:tcPr>
            <w:tcW w:w="3049" w:type="dxa"/>
            <w:tcBorders>
              <w:top w:val="single" w:sz="8" w:space="0" w:color="auto"/>
              <w:left w:val="single" w:sz="8" w:space="0" w:color="auto"/>
              <w:bottom w:val="single" w:sz="8" w:space="0" w:color="auto"/>
              <w:right w:val="single" w:sz="8" w:space="0" w:color="auto"/>
            </w:tcBorders>
          </w:tcPr>
          <w:p w14:paraId="7AE1AD2D"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Inicio del contrato:</w:t>
            </w:r>
          </w:p>
        </w:tc>
        <w:tc>
          <w:tcPr>
            <w:tcW w:w="6164" w:type="dxa"/>
            <w:tcBorders>
              <w:top w:val="single" w:sz="8" w:space="0" w:color="auto"/>
              <w:left w:val="single" w:sz="8" w:space="0" w:color="auto"/>
              <w:bottom w:val="single" w:sz="8" w:space="0" w:color="auto"/>
              <w:right w:val="single" w:sz="8" w:space="0" w:color="auto"/>
            </w:tcBorders>
          </w:tcPr>
          <w:p w14:paraId="3EBD9AEC" w14:textId="77777777" w:rsidR="007B7514" w:rsidRPr="00A93FC3" w:rsidRDefault="007B7514" w:rsidP="00A6302C">
            <w:pPr>
              <w:rPr>
                <w:sz w:val="20"/>
                <w:szCs w:val="20"/>
              </w:rPr>
            </w:pPr>
            <w:r w:rsidRPr="00A93FC3">
              <w:rPr>
                <w:rFonts w:eastAsia="Arial" w:cs="Arial"/>
                <w:color w:val="000000" w:themeColor="text1"/>
                <w:sz w:val="20"/>
                <w:szCs w:val="20"/>
                <w:lang w:val="es"/>
              </w:rPr>
              <w:t>19 de mayo de 2021</w:t>
            </w:r>
          </w:p>
        </w:tc>
      </w:tr>
      <w:tr w:rsidR="007B7514" w:rsidRPr="00A93FC3" w14:paraId="3B7C9F6B" w14:textId="77777777" w:rsidTr="006679CF">
        <w:tc>
          <w:tcPr>
            <w:tcW w:w="3049" w:type="dxa"/>
            <w:tcBorders>
              <w:top w:val="single" w:sz="8" w:space="0" w:color="auto"/>
              <w:left w:val="single" w:sz="8" w:space="0" w:color="auto"/>
              <w:bottom w:val="single" w:sz="8" w:space="0" w:color="auto"/>
              <w:right w:val="single" w:sz="8" w:space="0" w:color="auto"/>
            </w:tcBorders>
          </w:tcPr>
          <w:p w14:paraId="472740A9"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Plazo de ejecución</w:t>
            </w:r>
          </w:p>
        </w:tc>
        <w:tc>
          <w:tcPr>
            <w:tcW w:w="6164" w:type="dxa"/>
            <w:tcBorders>
              <w:top w:val="single" w:sz="8" w:space="0" w:color="auto"/>
              <w:left w:val="single" w:sz="8" w:space="0" w:color="auto"/>
              <w:bottom w:val="single" w:sz="8" w:space="0" w:color="auto"/>
              <w:right w:val="single" w:sz="8" w:space="0" w:color="auto"/>
            </w:tcBorders>
          </w:tcPr>
          <w:p w14:paraId="47E8727A" w14:textId="77777777" w:rsidR="007B7514" w:rsidRPr="00A93FC3" w:rsidRDefault="007B7514" w:rsidP="00A6302C">
            <w:pPr>
              <w:rPr>
                <w:sz w:val="20"/>
                <w:szCs w:val="20"/>
              </w:rPr>
            </w:pPr>
            <w:r w:rsidRPr="00A93FC3">
              <w:rPr>
                <w:rFonts w:eastAsia="Arial" w:cs="Arial"/>
                <w:color w:val="000000" w:themeColor="text1"/>
                <w:sz w:val="20"/>
                <w:szCs w:val="20"/>
                <w:lang w:val="es"/>
              </w:rPr>
              <w:t>12 meses</w:t>
            </w:r>
          </w:p>
        </w:tc>
      </w:tr>
      <w:tr w:rsidR="007B7514" w:rsidRPr="00A93FC3" w14:paraId="0E838484" w14:textId="77777777" w:rsidTr="006679CF">
        <w:trPr>
          <w:trHeight w:val="630"/>
        </w:trPr>
        <w:tc>
          <w:tcPr>
            <w:tcW w:w="3049" w:type="dxa"/>
            <w:tcBorders>
              <w:top w:val="single" w:sz="8" w:space="0" w:color="auto"/>
              <w:left w:val="single" w:sz="8" w:space="0" w:color="auto"/>
              <w:bottom w:val="single" w:sz="8" w:space="0" w:color="auto"/>
              <w:right w:val="single" w:sz="8" w:space="0" w:color="auto"/>
            </w:tcBorders>
          </w:tcPr>
          <w:p w14:paraId="36FC9155"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Valor del contrato:</w:t>
            </w:r>
          </w:p>
        </w:tc>
        <w:tc>
          <w:tcPr>
            <w:tcW w:w="6164" w:type="dxa"/>
            <w:tcBorders>
              <w:top w:val="single" w:sz="8" w:space="0" w:color="auto"/>
              <w:left w:val="single" w:sz="8" w:space="0" w:color="auto"/>
              <w:bottom w:val="single" w:sz="8" w:space="0" w:color="auto"/>
              <w:right w:val="single" w:sz="8" w:space="0" w:color="auto"/>
            </w:tcBorders>
          </w:tcPr>
          <w:p w14:paraId="12602BF8" w14:textId="77777777" w:rsidR="007B7514" w:rsidRPr="00A93FC3" w:rsidRDefault="007B7514" w:rsidP="00A6302C">
            <w:pPr>
              <w:rPr>
                <w:sz w:val="20"/>
                <w:szCs w:val="20"/>
              </w:rPr>
            </w:pPr>
            <w:r w:rsidRPr="00A93FC3">
              <w:rPr>
                <w:rFonts w:eastAsia="Arial" w:cs="Arial"/>
                <w:color w:val="000000" w:themeColor="text1"/>
                <w:sz w:val="20"/>
                <w:szCs w:val="20"/>
                <w:lang w:val="es"/>
              </w:rPr>
              <w:t>($7.562.843.317) Siete Mil Qunientos Sesenta Y Dos Millones Ochocientos Cuarenta Y Tres Mil Trescientos Diecisiete Pesos</w:t>
            </w:r>
          </w:p>
        </w:tc>
      </w:tr>
      <w:tr w:rsidR="007B7514" w:rsidRPr="00A93FC3" w14:paraId="39FFEFF2" w14:textId="77777777" w:rsidTr="006679CF">
        <w:tc>
          <w:tcPr>
            <w:tcW w:w="3049" w:type="dxa"/>
            <w:tcBorders>
              <w:top w:val="single" w:sz="8" w:space="0" w:color="auto"/>
              <w:left w:val="single" w:sz="8" w:space="0" w:color="auto"/>
              <w:bottom w:val="single" w:sz="8" w:space="0" w:color="auto"/>
              <w:right w:val="single" w:sz="8" w:space="0" w:color="auto"/>
            </w:tcBorders>
          </w:tcPr>
          <w:p w14:paraId="667F7100"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Estado:</w:t>
            </w:r>
          </w:p>
        </w:tc>
        <w:tc>
          <w:tcPr>
            <w:tcW w:w="6164" w:type="dxa"/>
            <w:tcBorders>
              <w:top w:val="single" w:sz="8" w:space="0" w:color="auto"/>
              <w:left w:val="single" w:sz="8" w:space="0" w:color="auto"/>
              <w:bottom w:val="single" w:sz="8" w:space="0" w:color="auto"/>
              <w:right w:val="single" w:sz="8" w:space="0" w:color="auto"/>
            </w:tcBorders>
          </w:tcPr>
          <w:p w14:paraId="421EFDEB" w14:textId="77777777" w:rsidR="007B7514" w:rsidRPr="00A93FC3" w:rsidRDefault="007B7514" w:rsidP="00A6302C">
            <w:pPr>
              <w:spacing w:line="257" w:lineRule="exact"/>
              <w:rPr>
                <w:sz w:val="20"/>
                <w:szCs w:val="20"/>
              </w:rPr>
            </w:pPr>
            <w:r w:rsidRPr="00A93FC3">
              <w:rPr>
                <w:rFonts w:eastAsia="Arial" w:cs="Arial"/>
                <w:color w:val="000000" w:themeColor="text1"/>
                <w:sz w:val="20"/>
                <w:szCs w:val="20"/>
                <w:lang w:val="es"/>
              </w:rPr>
              <w:t>En ejecución</w:t>
            </w:r>
          </w:p>
        </w:tc>
      </w:tr>
      <w:tr w:rsidR="007B7514" w:rsidRPr="00A93FC3" w14:paraId="79174219" w14:textId="77777777" w:rsidTr="006679CF">
        <w:tc>
          <w:tcPr>
            <w:tcW w:w="3049" w:type="dxa"/>
            <w:tcBorders>
              <w:top w:val="single" w:sz="8" w:space="0" w:color="auto"/>
              <w:left w:val="single" w:sz="8" w:space="0" w:color="auto"/>
              <w:bottom w:val="single" w:sz="8" w:space="0" w:color="auto"/>
              <w:right w:val="single" w:sz="8" w:space="0" w:color="auto"/>
            </w:tcBorders>
          </w:tcPr>
          <w:p w14:paraId="40BDA4D9" w14:textId="77777777" w:rsidR="00F9129E" w:rsidRPr="00A93FC3" w:rsidRDefault="00F9129E" w:rsidP="00A6302C">
            <w:pPr>
              <w:rPr>
                <w:rFonts w:eastAsia="Arial" w:cs="Arial"/>
                <w:b/>
                <w:bCs/>
                <w:color w:val="000000" w:themeColor="text1"/>
                <w:sz w:val="20"/>
                <w:szCs w:val="20"/>
                <w:lang w:val="es"/>
              </w:rPr>
            </w:pPr>
          </w:p>
          <w:p w14:paraId="6A027CFB" w14:textId="77777777" w:rsidR="00F9129E" w:rsidRPr="00A93FC3" w:rsidRDefault="00F9129E" w:rsidP="00A6302C">
            <w:pPr>
              <w:rPr>
                <w:rFonts w:eastAsia="Arial" w:cs="Arial"/>
                <w:b/>
                <w:bCs/>
                <w:color w:val="000000" w:themeColor="text1"/>
                <w:sz w:val="20"/>
                <w:szCs w:val="20"/>
                <w:lang w:val="es"/>
              </w:rPr>
            </w:pPr>
          </w:p>
          <w:p w14:paraId="2AA4ED02" w14:textId="77777777" w:rsidR="007B7514" w:rsidRPr="00A93FC3" w:rsidRDefault="007B7514" w:rsidP="00A6302C">
            <w:pPr>
              <w:rPr>
                <w:b/>
                <w:bCs/>
                <w:sz w:val="20"/>
                <w:szCs w:val="20"/>
              </w:rPr>
            </w:pPr>
            <w:r w:rsidRPr="00A93FC3">
              <w:rPr>
                <w:rFonts w:eastAsia="Arial" w:cs="Arial"/>
                <w:b/>
                <w:bCs/>
                <w:color w:val="000000" w:themeColor="text1"/>
                <w:sz w:val="20"/>
                <w:szCs w:val="20"/>
                <w:lang w:val="es"/>
              </w:rPr>
              <w:t xml:space="preserve">Avance: </w:t>
            </w:r>
          </w:p>
        </w:tc>
        <w:tc>
          <w:tcPr>
            <w:tcW w:w="6164" w:type="dxa"/>
            <w:tcBorders>
              <w:top w:val="single" w:sz="8" w:space="0" w:color="auto"/>
              <w:left w:val="single" w:sz="8" w:space="0" w:color="auto"/>
              <w:bottom w:val="single" w:sz="8" w:space="0" w:color="auto"/>
              <w:right w:val="single" w:sz="8" w:space="0" w:color="auto"/>
            </w:tcBorders>
          </w:tcPr>
          <w:p w14:paraId="14253441" w14:textId="77777777" w:rsidR="007B7514" w:rsidRPr="00A93FC3" w:rsidRDefault="007B7514" w:rsidP="000A20EE">
            <w:pPr>
              <w:pStyle w:val="Prrafodelista"/>
              <w:numPr>
                <w:ilvl w:val="0"/>
                <w:numId w:val="199"/>
              </w:numPr>
              <w:spacing w:line="254" w:lineRule="exact"/>
              <w:rPr>
                <w:rFonts w:eastAsia="Arial" w:cs="Arial"/>
                <w:color w:val="000000" w:themeColor="text1"/>
              </w:rPr>
            </w:pPr>
            <w:r w:rsidRPr="00A93FC3">
              <w:rPr>
                <w:rFonts w:eastAsia="Arial" w:cs="Arial"/>
                <w:color w:val="000000" w:themeColor="text1"/>
                <w:lang w:val="es"/>
              </w:rPr>
              <w:t>Aprobación del plan de implementación del proyecto y de calidad</w:t>
            </w:r>
          </w:p>
          <w:p w14:paraId="725262E0" w14:textId="77777777" w:rsidR="007B7514" w:rsidRPr="00A93FC3" w:rsidRDefault="007B7514" w:rsidP="000A20EE">
            <w:pPr>
              <w:pStyle w:val="Prrafodelista"/>
              <w:numPr>
                <w:ilvl w:val="0"/>
                <w:numId w:val="199"/>
              </w:numPr>
              <w:spacing w:line="254" w:lineRule="exact"/>
              <w:rPr>
                <w:rFonts w:eastAsia="Arial" w:cs="Arial"/>
                <w:color w:val="000000" w:themeColor="text1"/>
              </w:rPr>
            </w:pPr>
            <w:r w:rsidRPr="00A93FC3">
              <w:rPr>
                <w:rFonts w:eastAsia="Arial" w:cs="Arial"/>
                <w:color w:val="000000" w:themeColor="text1"/>
                <w:lang w:val="es"/>
              </w:rPr>
              <w:t>Exploración de sitios: 60%</w:t>
            </w:r>
          </w:p>
          <w:p w14:paraId="5DA80D3B" w14:textId="77777777" w:rsidR="007B7514" w:rsidRPr="00A93FC3" w:rsidRDefault="007B7514" w:rsidP="000A20EE">
            <w:pPr>
              <w:pStyle w:val="Prrafodelista"/>
              <w:numPr>
                <w:ilvl w:val="0"/>
                <w:numId w:val="199"/>
              </w:numPr>
              <w:spacing w:line="254" w:lineRule="exact"/>
              <w:rPr>
                <w:rFonts w:eastAsia="Arial" w:cs="Arial"/>
                <w:color w:val="000000" w:themeColor="text1"/>
              </w:rPr>
            </w:pPr>
            <w:r w:rsidRPr="00A93FC3">
              <w:rPr>
                <w:rFonts w:eastAsia="Arial" w:cs="Arial"/>
                <w:color w:val="000000" w:themeColor="text1"/>
                <w:lang w:val="es"/>
              </w:rPr>
              <w:t>Diseño del centro de control: 80%</w:t>
            </w:r>
          </w:p>
          <w:p w14:paraId="131072F8" w14:textId="77777777" w:rsidR="007B7514" w:rsidRPr="00A93FC3" w:rsidRDefault="007B7514" w:rsidP="000A20EE">
            <w:pPr>
              <w:pStyle w:val="Prrafodelista"/>
              <w:numPr>
                <w:ilvl w:val="0"/>
                <w:numId w:val="199"/>
              </w:numPr>
              <w:spacing w:line="254" w:lineRule="exact"/>
              <w:rPr>
                <w:rFonts w:eastAsia="Arial" w:cs="Arial"/>
                <w:color w:val="000000" w:themeColor="text1"/>
              </w:rPr>
            </w:pPr>
            <w:r w:rsidRPr="00A93FC3">
              <w:rPr>
                <w:rFonts w:eastAsia="Arial" w:cs="Arial"/>
                <w:color w:val="000000" w:themeColor="text1"/>
                <w:lang w:val="es"/>
              </w:rPr>
              <w:t>Nacionalización y entrega de los bienes importados: 13 estaciones CORS.</w:t>
            </w:r>
          </w:p>
        </w:tc>
      </w:tr>
    </w:tbl>
    <w:p w14:paraId="0C4FA728" w14:textId="77777777" w:rsidR="007B7514" w:rsidRPr="00A13030" w:rsidRDefault="007B7514" w:rsidP="007B7514">
      <w:pPr>
        <w:jc w:val="center"/>
        <w:rPr>
          <w:rFonts w:eastAsia="Arial" w:cs="Arial"/>
          <w:b/>
          <w:bCs/>
          <w:sz w:val="16"/>
          <w:szCs w:val="16"/>
          <w:lang w:val="es"/>
        </w:rPr>
      </w:pPr>
      <w:r w:rsidRPr="00A13030">
        <w:rPr>
          <w:rFonts w:eastAsia="Arial" w:cs="Arial"/>
          <w:b/>
          <w:bCs/>
          <w:sz w:val="16"/>
          <w:szCs w:val="16"/>
          <w:lang w:val="es"/>
        </w:rPr>
        <w:t>Fuente. IGAC. Subdirección de Geografía y Cartografía</w:t>
      </w:r>
    </w:p>
    <w:p w14:paraId="66CC5690" w14:textId="77777777" w:rsidR="007B7514" w:rsidRPr="00A13030" w:rsidRDefault="007B7514" w:rsidP="007B7514">
      <w:pPr>
        <w:jc w:val="both"/>
        <w:rPr>
          <w:rFonts w:eastAsia="Arial" w:cs="Arial"/>
          <w:b/>
          <w:bCs/>
          <w:sz w:val="16"/>
          <w:szCs w:val="16"/>
          <w:lang w:val="es"/>
        </w:rPr>
      </w:pPr>
      <w:r w:rsidRPr="00A13030">
        <w:rPr>
          <w:rFonts w:eastAsia="Arial" w:cs="Arial"/>
          <w:b/>
          <w:bCs/>
          <w:sz w:val="16"/>
          <w:szCs w:val="16"/>
          <w:lang w:val="es"/>
        </w:rPr>
        <w:lastRenderedPageBreak/>
        <w:t xml:space="preserve"> </w:t>
      </w:r>
    </w:p>
    <w:p w14:paraId="4821B285" w14:textId="77777777" w:rsidR="007B7514" w:rsidRDefault="007B7514" w:rsidP="007B7514">
      <w:pPr>
        <w:jc w:val="both"/>
      </w:pPr>
      <w:r w:rsidRPr="31FF9146">
        <w:rPr>
          <w:rFonts w:eastAsia="Arial" w:cs="Arial"/>
          <w:color w:val="000000" w:themeColor="text1"/>
          <w:sz w:val="22"/>
          <w:szCs w:val="22"/>
          <w:lang w:val="es"/>
        </w:rPr>
        <w:t xml:space="preserve">Teniendo en cuenta que el contrato 24695 de 2021 contempló un componente asociado a bienes importados, fue necesaria la suscripción del contrato 24839 de 2021 cuyo objeto fue: </w:t>
      </w:r>
      <w:r w:rsidRPr="31FF9146">
        <w:rPr>
          <w:rFonts w:eastAsia="Arial" w:cs="Arial"/>
          <w:i/>
          <w:iCs/>
          <w:color w:val="000000" w:themeColor="text1"/>
          <w:sz w:val="22"/>
          <w:szCs w:val="22"/>
          <w:lang w:val="es"/>
        </w:rPr>
        <w:t xml:space="preserve">Prestar el servicio de intermediación aduanera, con el fin de realizar los trámites relacionados con la importación, nacionalización y demás trámites necesarios involucrados en los procesos aduaneros, relacionados con los bienes adquiridos por el IGAC. </w:t>
      </w:r>
      <w:r w:rsidRPr="31FF9146">
        <w:rPr>
          <w:rFonts w:eastAsia="Arial" w:cs="Arial"/>
          <w:color w:val="000000" w:themeColor="text1"/>
          <w:sz w:val="22"/>
          <w:szCs w:val="22"/>
          <w:lang w:val="es"/>
        </w:rPr>
        <w:t>Este contrato se encuentra finalizado. Adicionalmente, se está gestionando adición del contrato 24695 de 2021 para adquirir 13 estaciones de operación continua adicionales con sus respectivos accesorios.</w:t>
      </w:r>
    </w:p>
    <w:p w14:paraId="4FCA7AD9" w14:textId="77777777" w:rsidR="007B7514" w:rsidRDefault="007B7514" w:rsidP="007B7514">
      <w:pPr>
        <w:jc w:val="both"/>
      </w:pPr>
      <w:r w:rsidRPr="31FF9146">
        <w:rPr>
          <w:rFonts w:eastAsia="Arial" w:cs="Arial"/>
          <w:color w:val="000000" w:themeColor="text1"/>
          <w:sz w:val="22"/>
          <w:szCs w:val="22"/>
          <w:lang w:val="es"/>
        </w:rPr>
        <w:t xml:space="preserve"> </w:t>
      </w:r>
    </w:p>
    <w:p w14:paraId="25D7AB34" w14:textId="77777777" w:rsidR="007B7514" w:rsidRDefault="007B7514" w:rsidP="007B7514">
      <w:pPr>
        <w:jc w:val="both"/>
      </w:pPr>
      <w:r w:rsidRPr="31FF9146">
        <w:rPr>
          <w:rFonts w:eastAsia="Arial" w:cs="Arial"/>
          <w:color w:val="000000" w:themeColor="text1"/>
          <w:sz w:val="22"/>
          <w:szCs w:val="22"/>
          <w:lang w:val="es"/>
        </w:rPr>
        <w:t>Paralelamente, el 03 de septiembre de 2021, se publicó el proceso CO-IGAC- 241805-GO-RFB, por medio del cual se busca adquirir nueve (9) estaciones de operación continua adicionales, con sus respectivos accesorios, sistemas de comunicación y de alimentación, para el fortalecimiento de la red geodésica nacional, en el marco del programa para la adopción e implementación de un Catastro Multipropósito Rural – Urbano. Este proceso se encuentra en notificación de la intención de adjudicación y se espera dar inicio el próximo 29 de noviembre de 2021.</w:t>
      </w:r>
    </w:p>
    <w:p w14:paraId="3B0769D9" w14:textId="49E5A882" w:rsidR="007B7514" w:rsidRPr="00A93FC3"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26747CDB" w14:textId="77777777" w:rsidR="007B7514" w:rsidRPr="00BA6536" w:rsidRDefault="007B7514" w:rsidP="007B7514">
      <w:pPr>
        <w:jc w:val="both"/>
        <w:rPr>
          <w:b/>
          <w:color w:val="000000" w:themeColor="text1"/>
        </w:rPr>
      </w:pPr>
      <w:r w:rsidRPr="00BA6536">
        <w:rPr>
          <w:rFonts w:eastAsia="Arial" w:cs="Arial"/>
          <w:b/>
          <w:color w:val="000000" w:themeColor="text1"/>
          <w:sz w:val="22"/>
          <w:szCs w:val="22"/>
          <w:lang w:val="es"/>
        </w:rPr>
        <w:t>OTROS LOGROS DE LA DIRECCIÓN DE GESTIÓN DE INFORMACIÓN GEOGRÁFICA</w:t>
      </w:r>
    </w:p>
    <w:p w14:paraId="5DE69AEC" w14:textId="77777777" w:rsidR="007B7514" w:rsidRPr="00A13030" w:rsidRDefault="007B7514" w:rsidP="007B7514">
      <w:pPr>
        <w:jc w:val="both"/>
      </w:pPr>
      <w:r w:rsidRPr="00A13030">
        <w:rPr>
          <w:rFonts w:eastAsia="Arial" w:cs="Arial"/>
          <w:sz w:val="22"/>
          <w:szCs w:val="22"/>
          <w:lang w:val="es"/>
        </w:rPr>
        <w:t xml:space="preserve"> </w:t>
      </w:r>
    </w:p>
    <w:p w14:paraId="72D246DE"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lang w:val="es"/>
        </w:rPr>
        <w:t>Se logró disponer los datos cartográficos en el nuevo Origen Nacional para facilitar su uso e integración con otra información, y bajo licencia abierta Creative Commons CC-BY 4.0.</w:t>
      </w:r>
    </w:p>
    <w:p w14:paraId="07F5AB83"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lanzó la línea de morrales inspirada en mapas turísticos e históricos de diferentes zonas del país.</w:t>
      </w:r>
    </w:p>
    <w:p w14:paraId="76C1739D" w14:textId="77777777" w:rsidR="007B7514" w:rsidRDefault="007B7514" w:rsidP="007B7514">
      <w:pPr>
        <w:ind w:left="360" w:hanging="360"/>
        <w:jc w:val="both"/>
      </w:pPr>
      <w:r w:rsidRPr="31FF9146">
        <w:rPr>
          <w:rFonts w:ascii="Symbol" w:eastAsia="Symbol" w:hAnsi="Symbol" w:cs="Symbol"/>
          <w:sz w:val="22"/>
          <w:szCs w:val="22"/>
        </w:rPr>
        <w:t></w:t>
      </w:r>
      <w:r w:rsidRPr="31FF9146">
        <w:rPr>
          <w:rFonts w:ascii="Times New Roman" w:hAnsi="Times New Roman"/>
          <w:sz w:val="14"/>
          <w:szCs w:val="14"/>
        </w:rPr>
        <w:t xml:space="preserve">       </w:t>
      </w:r>
      <w:r w:rsidRPr="31FF9146">
        <w:rPr>
          <w:rFonts w:eastAsia="Arial" w:cs="Arial"/>
          <w:sz w:val="22"/>
          <w:szCs w:val="22"/>
        </w:rPr>
        <w:t>Se logró la generación de 70 diagnósticos de información cartográfica y geodésica, de más de 70 municipios, los cuales son de utilidad para la elaboración del Catastro Multipropósito principalmente para nuestros gestores catastrales.</w:t>
      </w:r>
    </w:p>
    <w:p w14:paraId="767D429F"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Con el propósito de garantizar la difusión y el acceso como medida de preservación del archivo histórico que posee el IGAC, se ha logrado el escaneo de más de 30.000 Fotografías Análogas.</w:t>
      </w:r>
    </w:p>
    <w:p w14:paraId="3E71BFE1"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Generación de una nueva versión del mapa 3D con nuevo componente de resguardos y todos los parques naturales de Colombia, y generamos tres (3) mapas base con cartografía oficial.</w:t>
      </w:r>
    </w:p>
    <w:p w14:paraId="2CDAE6CB"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Se realizó la configuración y adaptación de un aplicativo en Google Earth Engine para el proceso de clasificación y detección de cambios de 6 coberturas (bosque, cuerpos de agua, construcciones, suelos, vegetación secundaria y afectaciones) empleando diferentes algoritmos de clasificación.</w:t>
      </w:r>
    </w:p>
    <w:p w14:paraId="64D4BB3B"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Se logró contar con un repositorio oficial y organizado de la información geodésica, cartográfica y geográfica de los productos generados al interior de los procesos liderados por la Subdirección con acceso para todos.</w:t>
      </w:r>
    </w:p>
    <w:p w14:paraId="501FBD32"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Participación como ponentes en la 7MA jornada de actualización técnica organizada por el Instituto Geográfico Nacional de Panamá.</w:t>
      </w:r>
    </w:p>
    <w:p w14:paraId="6CA9FD2E"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Reconocimiento por contribuir a los Objetivos de Desarrollo Sostenibles con Colombia en Mapas como ganadores de la buena práctica por parte de Pacto Global</w:t>
      </w:r>
    </w:p>
    <w:p w14:paraId="5062BBA1" w14:textId="77777777" w:rsidR="007B7514" w:rsidRPr="00DD3B61" w:rsidRDefault="007B7514" w:rsidP="000A20EE">
      <w:pPr>
        <w:pStyle w:val="Prrafodelista"/>
        <w:numPr>
          <w:ilvl w:val="0"/>
          <w:numId w:val="201"/>
        </w:numPr>
        <w:rPr>
          <w:rFonts w:cs="Arial"/>
        </w:rPr>
      </w:pPr>
      <w:r w:rsidRPr="00DD3B61">
        <w:rPr>
          <w:rFonts w:eastAsia="Arial" w:cs="Arial"/>
          <w:sz w:val="22"/>
          <w:szCs w:val="22"/>
        </w:rPr>
        <w:t>Se logró más de 201.364 visitas en Colombia en Mapas</w:t>
      </w:r>
    </w:p>
    <w:p w14:paraId="76C4FB4F" w14:textId="368DBA5D" w:rsidR="007B7514" w:rsidRPr="00DD3B61" w:rsidRDefault="007B7514" w:rsidP="000A20EE">
      <w:pPr>
        <w:pStyle w:val="Prrafodelista"/>
        <w:numPr>
          <w:ilvl w:val="0"/>
          <w:numId w:val="201"/>
        </w:numPr>
        <w:rPr>
          <w:rFonts w:eastAsia="Arial" w:cs="Arial"/>
          <w:sz w:val="22"/>
          <w:szCs w:val="22"/>
        </w:rPr>
      </w:pPr>
      <w:r w:rsidRPr="5E3F7ADD">
        <w:rPr>
          <w:rFonts w:eastAsia="Arial" w:cs="Arial"/>
          <w:sz w:val="22"/>
          <w:szCs w:val="22"/>
        </w:rPr>
        <w:t>Participación en el Programa de Erradicación de Cultivos Ilícitos mediante Aspersión Terrestre con Glifosato - PECAT con acompañamiento al monitoreo de campo a la Policía Nacional, para toma de muestras en las diferentes zonas del país. Se llevaron a cabo 4 visitas de seguimiento y monitoreo a Caucasia, Antioquia (2); Tumaco, en Nariño y San José del Guaviare, en Guaviare, a pesar de las restricciones y medidas de distanciamiento social.</w:t>
      </w:r>
    </w:p>
    <w:p w14:paraId="0F814FCD" w14:textId="368DBA5D" w:rsidR="007B7514" w:rsidRPr="00CA10E9" w:rsidRDefault="007B7514" w:rsidP="000A20EE">
      <w:pPr>
        <w:pStyle w:val="Prrafodelista"/>
        <w:numPr>
          <w:ilvl w:val="0"/>
          <w:numId w:val="201"/>
        </w:numPr>
        <w:rPr>
          <w:rFonts w:eastAsia="Arial" w:cs="Arial"/>
          <w:sz w:val="22"/>
          <w:szCs w:val="22"/>
        </w:rPr>
      </w:pPr>
      <w:r w:rsidRPr="5E3F7ADD">
        <w:rPr>
          <w:rFonts w:eastAsia="Arial" w:cs="Arial"/>
          <w:sz w:val="22"/>
          <w:szCs w:val="22"/>
        </w:rPr>
        <w:t xml:space="preserve">Se garantizó con la Red Nacional de Laboratorio de Suelos, toma de muestras para envío a la red de Control Analítico de Laboratorios de Suelos, CALS, como compromiso </w:t>
      </w:r>
      <w:r w:rsidRPr="5E3F7ADD">
        <w:rPr>
          <w:rFonts w:eastAsia="Arial" w:cs="Arial"/>
          <w:sz w:val="22"/>
          <w:szCs w:val="22"/>
        </w:rPr>
        <w:lastRenderedPageBreak/>
        <w:t>adquirido del LNS con la Sociedad Colombiana de la Ciencia del Suelo (SCCS), que lidera esta red. Anualmente se realizan cuatro envíos a la SCCS y durante el año 2021 se han hecho dos envíos</w:t>
      </w:r>
    </w:p>
    <w:p w14:paraId="6EDF2923" w14:textId="368DBA5D" w:rsidR="007B7514" w:rsidRDefault="007B7514" w:rsidP="007B7514">
      <w:pPr>
        <w:pStyle w:val="Lista"/>
      </w:pPr>
    </w:p>
    <w:p w14:paraId="023A105D" w14:textId="368DBA5D" w:rsidR="007B7514" w:rsidRPr="00F47F5B" w:rsidRDefault="007B7514" w:rsidP="000A20EE">
      <w:pPr>
        <w:pStyle w:val="Prrafodelista"/>
        <w:numPr>
          <w:ilvl w:val="2"/>
          <w:numId w:val="22"/>
        </w:numPr>
        <w:rPr>
          <w:b/>
          <w:bCs/>
          <w:sz w:val="22"/>
          <w:szCs w:val="22"/>
        </w:rPr>
      </w:pPr>
      <w:r w:rsidRPr="5E3F7ADD">
        <w:rPr>
          <w:b/>
          <w:bCs/>
          <w:sz w:val="22"/>
          <w:szCs w:val="22"/>
        </w:rPr>
        <w:t>ANTECEDENTES Y ESTADO ACTUAL DE LA DEPENDENCIA</w:t>
      </w:r>
    </w:p>
    <w:p w14:paraId="54910DC0" w14:textId="21344303" w:rsidR="00350BFA" w:rsidRPr="00350BFA" w:rsidRDefault="00350BFA" w:rsidP="006679CF">
      <w:pPr>
        <w:pStyle w:val="Descripcin"/>
        <w:keepNext/>
        <w:rPr>
          <w:rFonts w:ascii="Arial" w:hAnsi="Arial" w:cs="Arial"/>
          <w:b/>
          <w:bCs/>
          <w:i w:val="0"/>
          <w:iCs w:val="0"/>
          <w:color w:val="auto"/>
          <w:sz w:val="16"/>
          <w:szCs w:val="16"/>
        </w:rPr>
      </w:pPr>
    </w:p>
    <w:tbl>
      <w:tblPr>
        <w:tblStyle w:val="Tabladecuadrcula4-nfasis1"/>
        <w:tblW w:w="9360" w:type="dxa"/>
        <w:tblLayout w:type="fixed"/>
        <w:tblLook w:val="06A0" w:firstRow="1" w:lastRow="0" w:firstColumn="1" w:lastColumn="0" w:noHBand="1" w:noVBand="1"/>
      </w:tblPr>
      <w:tblGrid>
        <w:gridCol w:w="2122"/>
        <w:gridCol w:w="3337"/>
        <w:gridCol w:w="3901"/>
      </w:tblGrid>
      <w:tr w:rsidR="007B7514" w14:paraId="21F61CC9" w14:textId="77777777" w:rsidTr="00CA10E9">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2122" w:type="dxa"/>
            <w:tcBorders>
              <w:bottom w:val="single" w:sz="4" w:space="0" w:color="1F497D" w:themeColor="text2"/>
            </w:tcBorders>
          </w:tcPr>
          <w:p w14:paraId="779009AA" w14:textId="77777777" w:rsidR="007B7514" w:rsidRDefault="007B7514" w:rsidP="00A6302C">
            <w:pPr>
              <w:jc w:val="center"/>
            </w:pPr>
            <w:r w:rsidRPr="31FF9146">
              <w:rPr>
                <w:rFonts w:eastAsia="Arial" w:cs="Arial"/>
                <w:sz w:val="22"/>
                <w:szCs w:val="22"/>
                <w:lang w:val="es-MX"/>
              </w:rPr>
              <w:t>Ítem</w:t>
            </w:r>
          </w:p>
        </w:tc>
        <w:tc>
          <w:tcPr>
            <w:tcW w:w="3337" w:type="dxa"/>
            <w:tcBorders>
              <w:bottom w:val="single" w:sz="4" w:space="0" w:color="1F497D" w:themeColor="text2"/>
            </w:tcBorders>
          </w:tcPr>
          <w:p w14:paraId="6BCFAD0A"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Estado Inicial  </w:t>
            </w:r>
          </w:p>
        </w:tc>
        <w:tc>
          <w:tcPr>
            <w:tcW w:w="3901" w:type="dxa"/>
            <w:tcBorders>
              <w:bottom w:val="single" w:sz="4" w:space="0" w:color="1F497D" w:themeColor="text2"/>
            </w:tcBorders>
          </w:tcPr>
          <w:p w14:paraId="192E5817"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Estado Actual</w:t>
            </w:r>
          </w:p>
        </w:tc>
      </w:tr>
      <w:tr w:rsidR="007B7514" w14:paraId="56ED0097" w14:textId="77777777" w:rsidTr="00350BFA">
        <w:trPr>
          <w:trHeight w:val="210"/>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14:paraId="79BB07DC" w14:textId="77777777" w:rsidR="007B7514" w:rsidRDefault="007B7514" w:rsidP="00A6302C">
            <w:pPr>
              <w:jc w:val="center"/>
            </w:pPr>
            <w:r w:rsidRPr="31FF9146">
              <w:rPr>
                <w:rFonts w:eastAsia="Arial" w:cs="Arial"/>
                <w:color w:val="000000" w:themeColor="text1"/>
                <w:sz w:val="16"/>
                <w:szCs w:val="16"/>
                <w:lang w:val="es-MX"/>
              </w:rPr>
              <w:t xml:space="preserve"> </w:t>
            </w:r>
          </w:p>
          <w:p w14:paraId="17296FA5" w14:textId="77777777" w:rsidR="007B7514" w:rsidRDefault="007B7514" w:rsidP="00A6302C">
            <w:pPr>
              <w:jc w:val="center"/>
            </w:pPr>
            <w:r w:rsidRPr="31FF9146">
              <w:rPr>
                <w:rFonts w:eastAsia="Arial" w:cs="Arial"/>
                <w:color w:val="000000" w:themeColor="text1"/>
                <w:sz w:val="16"/>
                <w:szCs w:val="16"/>
                <w:lang w:val="es-MX"/>
              </w:rPr>
              <w:t xml:space="preserve"> </w:t>
            </w:r>
          </w:p>
          <w:p w14:paraId="2BACD600" w14:textId="77777777" w:rsidR="007B7514" w:rsidRDefault="007B7514" w:rsidP="00A6302C">
            <w:pPr>
              <w:jc w:val="center"/>
            </w:pPr>
            <w:r w:rsidRPr="31FF9146">
              <w:rPr>
                <w:rFonts w:eastAsia="Arial" w:cs="Arial"/>
                <w:color w:val="000000" w:themeColor="text1"/>
                <w:sz w:val="16"/>
                <w:szCs w:val="16"/>
                <w:lang w:val="es-MX"/>
              </w:rPr>
              <w:t xml:space="preserve"> </w:t>
            </w:r>
          </w:p>
          <w:p w14:paraId="209A754D" w14:textId="77777777" w:rsidR="007B7514" w:rsidRDefault="007B7514" w:rsidP="00A6302C">
            <w:pPr>
              <w:jc w:val="center"/>
            </w:pPr>
            <w:r w:rsidRPr="31FF9146">
              <w:rPr>
                <w:rFonts w:eastAsia="Arial" w:cs="Arial"/>
                <w:color w:val="000000" w:themeColor="text1"/>
                <w:sz w:val="16"/>
                <w:szCs w:val="16"/>
                <w:lang w:val="es-MX"/>
              </w:rPr>
              <w:t xml:space="preserve">  </w:t>
            </w:r>
          </w:p>
          <w:p w14:paraId="6092C065" w14:textId="77777777" w:rsidR="007B7514" w:rsidRDefault="007B7514" w:rsidP="00A6302C">
            <w:pPr>
              <w:jc w:val="center"/>
            </w:pPr>
            <w:r w:rsidRPr="31FF9146">
              <w:rPr>
                <w:rFonts w:eastAsia="Arial" w:cs="Arial"/>
                <w:color w:val="000000" w:themeColor="text1"/>
                <w:sz w:val="16"/>
                <w:szCs w:val="16"/>
                <w:lang w:val="es-MX"/>
              </w:rPr>
              <w:t xml:space="preserve"> </w:t>
            </w:r>
          </w:p>
          <w:p w14:paraId="78EBD015" w14:textId="77777777" w:rsidR="007B7514" w:rsidRDefault="007B7514" w:rsidP="00A6302C">
            <w:pPr>
              <w:jc w:val="center"/>
            </w:pPr>
            <w:r w:rsidRPr="31FF9146">
              <w:rPr>
                <w:rFonts w:eastAsia="Arial" w:cs="Arial"/>
                <w:color w:val="000000" w:themeColor="text1"/>
                <w:sz w:val="16"/>
                <w:szCs w:val="16"/>
                <w:lang w:val="es-MX"/>
              </w:rPr>
              <w:t xml:space="preserve"> </w:t>
            </w:r>
          </w:p>
          <w:p w14:paraId="099ABD54" w14:textId="77777777" w:rsidR="007B7514" w:rsidRDefault="007B7514" w:rsidP="00A6302C">
            <w:pPr>
              <w:jc w:val="center"/>
            </w:pPr>
            <w:r w:rsidRPr="31FF9146">
              <w:rPr>
                <w:rFonts w:eastAsia="Arial" w:cs="Arial"/>
                <w:color w:val="000000" w:themeColor="text1"/>
                <w:sz w:val="16"/>
                <w:szCs w:val="16"/>
                <w:lang w:val="es-MX"/>
              </w:rPr>
              <w:t xml:space="preserve"> </w:t>
            </w:r>
          </w:p>
          <w:p w14:paraId="105DF132" w14:textId="77777777" w:rsidR="007B7514" w:rsidRDefault="007B7514" w:rsidP="00A6302C">
            <w:pPr>
              <w:jc w:val="center"/>
            </w:pPr>
            <w:r w:rsidRPr="31FF9146">
              <w:rPr>
                <w:rFonts w:eastAsia="Arial" w:cs="Arial"/>
                <w:color w:val="000000" w:themeColor="text1"/>
                <w:sz w:val="16"/>
                <w:szCs w:val="16"/>
                <w:lang w:val="es-MX"/>
              </w:rPr>
              <w:t xml:space="preserve"> </w:t>
            </w:r>
          </w:p>
          <w:p w14:paraId="7EFACF0C" w14:textId="77777777" w:rsidR="007B7514" w:rsidRDefault="007B7514" w:rsidP="00A6302C">
            <w:pPr>
              <w:jc w:val="center"/>
            </w:pPr>
            <w:r w:rsidRPr="31FF9146">
              <w:rPr>
                <w:rFonts w:eastAsia="Arial" w:cs="Arial"/>
                <w:color w:val="000000" w:themeColor="text1"/>
                <w:sz w:val="16"/>
                <w:szCs w:val="16"/>
                <w:lang w:val="es-MX"/>
              </w:rPr>
              <w:t xml:space="preserve"> </w:t>
            </w:r>
          </w:p>
          <w:p w14:paraId="76E5EEED" w14:textId="77777777" w:rsidR="007B7514" w:rsidRDefault="007B7514" w:rsidP="00A6302C">
            <w:pPr>
              <w:jc w:val="center"/>
            </w:pPr>
            <w:r w:rsidRPr="31FF9146">
              <w:rPr>
                <w:rFonts w:eastAsia="Arial" w:cs="Arial"/>
                <w:color w:val="000000" w:themeColor="text1"/>
                <w:sz w:val="16"/>
                <w:szCs w:val="16"/>
                <w:lang w:val="es-MX"/>
              </w:rPr>
              <w:t xml:space="preserve"> </w:t>
            </w:r>
          </w:p>
          <w:p w14:paraId="6E0BE5C4" w14:textId="77777777" w:rsidR="007B7514" w:rsidRDefault="007B7514" w:rsidP="00A6302C">
            <w:pPr>
              <w:jc w:val="center"/>
            </w:pPr>
            <w:r w:rsidRPr="31FF9146">
              <w:rPr>
                <w:rFonts w:eastAsia="Arial" w:cs="Arial"/>
                <w:color w:val="000000" w:themeColor="text1"/>
                <w:sz w:val="16"/>
                <w:szCs w:val="16"/>
                <w:lang w:val="es-MX"/>
              </w:rPr>
              <w:t xml:space="preserve"> </w:t>
            </w:r>
          </w:p>
          <w:p w14:paraId="597A9127" w14:textId="77777777" w:rsidR="007B7514" w:rsidRDefault="007B7514" w:rsidP="00A6302C">
            <w:pPr>
              <w:jc w:val="center"/>
            </w:pPr>
            <w:r w:rsidRPr="31FF9146">
              <w:rPr>
                <w:rFonts w:eastAsia="Arial" w:cs="Arial"/>
                <w:color w:val="000000" w:themeColor="text1"/>
                <w:sz w:val="16"/>
                <w:szCs w:val="16"/>
                <w:lang w:val="es-MX"/>
              </w:rPr>
              <w:t xml:space="preserve"> </w:t>
            </w:r>
          </w:p>
          <w:p w14:paraId="4E1F763C" w14:textId="77777777" w:rsidR="007B7514" w:rsidRDefault="007B7514" w:rsidP="00A6302C">
            <w:pPr>
              <w:jc w:val="center"/>
            </w:pPr>
            <w:r w:rsidRPr="31FF9146">
              <w:rPr>
                <w:rFonts w:eastAsia="Arial" w:cs="Arial"/>
                <w:color w:val="000000" w:themeColor="text1"/>
                <w:sz w:val="16"/>
                <w:szCs w:val="16"/>
                <w:lang w:val="es-MX"/>
              </w:rPr>
              <w:t xml:space="preserve"> </w:t>
            </w:r>
          </w:p>
          <w:p w14:paraId="2807B94F" w14:textId="77777777" w:rsidR="007B7514" w:rsidRDefault="007B7514" w:rsidP="00A6302C">
            <w:pPr>
              <w:jc w:val="center"/>
            </w:pPr>
            <w:r w:rsidRPr="31FF9146">
              <w:rPr>
                <w:rFonts w:eastAsia="Arial" w:cs="Arial"/>
                <w:color w:val="000000" w:themeColor="text1"/>
                <w:sz w:val="16"/>
                <w:szCs w:val="16"/>
                <w:lang w:val="es-MX"/>
              </w:rPr>
              <w:t xml:space="preserve"> </w:t>
            </w:r>
          </w:p>
          <w:p w14:paraId="4B5CD98D" w14:textId="77777777" w:rsidR="007B7514" w:rsidRDefault="007B7514" w:rsidP="00A6302C">
            <w:pPr>
              <w:jc w:val="center"/>
            </w:pPr>
            <w:r w:rsidRPr="31FF9146">
              <w:rPr>
                <w:rFonts w:eastAsia="Arial" w:cs="Arial"/>
                <w:color w:val="000000" w:themeColor="text1"/>
                <w:sz w:val="22"/>
                <w:szCs w:val="22"/>
                <w:lang w:val="es-MX"/>
              </w:rPr>
              <w:t>Información</w:t>
            </w:r>
          </w:p>
        </w:tc>
        <w:tc>
          <w:tcPr>
            <w:tcW w:w="3337"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14:paraId="4412C57F" w14:textId="77777777" w:rsidR="007B7514" w:rsidRDefault="007B7514" w:rsidP="00A6302C">
            <w:pPr>
              <w:spacing w:line="240" w:lineRule="exact"/>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Subdirección Geográfica y Cartográfica</w:t>
            </w:r>
          </w:p>
          <w:p w14:paraId="1F2F79B9" w14:textId="77777777" w:rsidR="007B7514" w:rsidRDefault="007B7514" w:rsidP="00A6302C">
            <w:pPr>
              <w:pStyle w:val="Prrafodelista"/>
              <w:spacing w:line="240" w:lineRule="exact"/>
              <w:ind w:left="720"/>
              <w:cnfStyle w:val="000000000000" w:firstRow="0" w:lastRow="0" w:firstColumn="0" w:lastColumn="0" w:oddVBand="0" w:evenVBand="0" w:oddHBand="0" w:evenHBand="0" w:firstRowFirstColumn="0" w:firstRowLastColumn="0" w:lastRowFirstColumn="0" w:lastRowLastColumn="0"/>
            </w:pPr>
          </w:p>
          <w:p w14:paraId="7B5D66D9"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Se desconocía la cantidad, características y ubicación de los productos generados en la Subdirección.</w:t>
            </w:r>
          </w:p>
          <w:p w14:paraId="493F9F53"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Los productos finales e intermedios, así como demás información resultado de los procesos, se encontraba almacenada en los computadores personales, siendo esta susceptible de pérdida.</w:t>
            </w:r>
          </w:p>
          <w:p w14:paraId="28CFFCCF"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Los diferentes grupos de trabajo desconocían los productos generados en la Subdirección.</w:t>
            </w:r>
          </w:p>
          <w:p w14:paraId="4E2259E1"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El acceso a la información por parte de los internos era nulo. No se compartía información, por lo que se promovía el uso de versiones inadecuadas en la generación de nuevos productos y en la toma de decisiones.</w:t>
            </w:r>
          </w:p>
          <w:p w14:paraId="16DEEDEC"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No era posible concebir la información como un activo público por parte de los funcionarios de la Subdirección.</w:t>
            </w:r>
          </w:p>
          <w:p w14:paraId="015A40C5"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El uso de tecnologías geoespaciales para la gestión de la información producida era muy reducido.</w:t>
            </w:r>
          </w:p>
          <w:p w14:paraId="7E73645C"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La información y productos generados en la Subdirección no eran visibles para los diferentes usuarios.</w:t>
            </w:r>
          </w:p>
          <w:p w14:paraId="2BDE105D"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Desconocimiento de los convenios y/o contratos suscritos, así como de las supervisiones asignadas.</w:t>
            </w:r>
          </w:p>
          <w:p w14:paraId="0126973B"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408464F0"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5FAE4172"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3B11A534" w14:textId="77777777" w:rsidR="007B7514" w:rsidRDefault="007B7514" w:rsidP="00A6302C">
            <w:pPr>
              <w:spacing w:line="240" w:lineRule="exact"/>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lastRenderedPageBreak/>
              <w:t>Proceso Gestión Cartográfica</w:t>
            </w:r>
            <w:r w:rsidRPr="002E6D2D">
              <w:rPr>
                <w:rFonts w:eastAsia="Arial" w:cs="Arial"/>
                <w:color w:val="000000" w:themeColor="text1"/>
                <w:sz w:val="22"/>
                <w:szCs w:val="22"/>
                <w:lang w:val="es-MX"/>
              </w:rPr>
              <w:t>:</w:t>
            </w:r>
          </w:p>
          <w:p w14:paraId="2EFBA039" w14:textId="77777777" w:rsidR="007B7514" w:rsidRDefault="007B7514" w:rsidP="00A6302C">
            <w:pPr>
              <w:spacing w:line="240" w:lineRule="exact"/>
              <w:ind w:firstLine="60"/>
              <w:jc w:val="both"/>
              <w:cnfStyle w:val="000000000000" w:firstRow="0" w:lastRow="0" w:firstColumn="0" w:lastColumn="0" w:oddVBand="0" w:evenVBand="0" w:oddHBand="0" w:evenHBand="0" w:firstRowFirstColumn="0" w:firstRowLastColumn="0" w:lastRowFirstColumn="0" w:lastRowLastColumn="0"/>
            </w:pPr>
          </w:p>
          <w:p w14:paraId="063E6681"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Hardware y periféricos renovados para la producción cartográfica.</w:t>
            </w:r>
          </w:p>
          <w:p w14:paraId="22EF1465"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Escasez de software para la producción cartográfica.</w:t>
            </w:r>
          </w:p>
          <w:p w14:paraId="48EE1CA4"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Propuesta de lineamientos para la generación de cartografía básica orientado principalmente al cómo y no al producto final, privando la innovación en este tipo de productos.</w:t>
            </w:r>
          </w:p>
          <w:p w14:paraId="71CD9106"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Propuestas de contratación de productos cartográficos bajo esquemas tradicionales.</w:t>
            </w:r>
          </w:p>
          <w:p w14:paraId="76417E06"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Documentación del SGI desactualizado.</w:t>
            </w:r>
          </w:p>
          <w:p w14:paraId="498CAD48"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Banco Nacional de Imágenes sobre el cual no era posible acceder de forma inmediata a las imágenes, solo exponía la documentación asociada. </w:t>
            </w:r>
          </w:p>
          <w:p w14:paraId="34E07BCC"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Aeronave tripulada en mantenimiento programado por 150 horas de vuelo y se contaba con contrato de tripulación y suministro de combustible. Asimismo, se recibe el sensor fotogramétrico sin soporte de mantenimiento de la casa fabricante VEXCEL; documentación desactualizada.</w:t>
            </w:r>
          </w:p>
          <w:p w14:paraId="22FA1661"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Ausencia de estrategias para salvaguardar productos intermedios del proceso de producción cartográfica.</w:t>
            </w:r>
          </w:p>
          <w:p w14:paraId="6F3955D6"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Ausencia de base de datos de puntos de control terrestre para garantizar y/o validar la calidad de los productos.</w:t>
            </w:r>
          </w:p>
          <w:p w14:paraId="059EE157"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Pocos registros de rendimientos de producción y validación de productos cartográficos.</w:t>
            </w:r>
          </w:p>
          <w:p w14:paraId="3B377DFA"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Altos tiempos para la validación de productos cartográficos.</w:t>
            </w:r>
          </w:p>
          <w:p w14:paraId="5AE8C293"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Propuesta de un plan nacional de cartografía orientado </w:t>
            </w:r>
            <w:r w:rsidRPr="31FF9146">
              <w:rPr>
                <w:rFonts w:eastAsia="Arial" w:cs="Arial"/>
                <w:color w:val="000000" w:themeColor="text1"/>
              </w:rPr>
              <w:lastRenderedPageBreak/>
              <w:t>únicamente a la producción de datos.</w:t>
            </w:r>
          </w:p>
          <w:p w14:paraId="2E7D6AAE"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Ausencia de procedimientos que incorporen el uso de aeronaves no tripuladas y pruebas pilotos de generación de cartografía urbana sin viabilidad concreta para su implementación en el proceso de producción cartográfica.</w:t>
            </w:r>
          </w:p>
          <w:p w14:paraId="1C72508F"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Proyección cartográfica en zonas urbanas con más de 1.000 orígenes. Discontinuidad en coordenadas.</w:t>
            </w:r>
          </w:p>
          <w:p w14:paraId="68892C07" w14:textId="77777777" w:rsidR="007B7514" w:rsidRPr="00D050BD"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r w:rsidRPr="00D050BD">
              <w:rPr>
                <w:rFonts w:eastAsia="Arial" w:cs="Arial"/>
                <w:color w:val="000000" w:themeColor="text1"/>
                <w:lang w:val="es-MX"/>
              </w:rPr>
              <w:t>Imágenes y planchas cartográfica con información toponímica sin identificar ni escanear.</w:t>
            </w:r>
          </w:p>
          <w:p w14:paraId="716AFD9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308F0C5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7AD8CC3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b/>
                <w:bCs/>
                <w:color w:val="000000" w:themeColor="text1"/>
                <w:lang w:val="es-MX"/>
              </w:rPr>
            </w:pPr>
          </w:p>
          <w:p w14:paraId="6A1ED0FD" w14:textId="77777777" w:rsidR="007B7514" w:rsidRPr="002E6D2D" w:rsidRDefault="007B7514" w:rsidP="00A6302C">
            <w:pPr>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r w:rsidRPr="002E6D2D">
              <w:rPr>
                <w:rFonts w:eastAsia="Arial" w:cs="Arial"/>
                <w:b/>
                <w:bCs/>
                <w:color w:val="000000" w:themeColor="text1"/>
                <w:sz w:val="22"/>
                <w:szCs w:val="22"/>
                <w:lang w:val="es-MX"/>
              </w:rPr>
              <w:t>Proceso Gestión Geodésico:</w:t>
            </w:r>
          </w:p>
          <w:p w14:paraId="3B445B8B"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4878B0F9"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Red geodésica conformada por 50 estaciones de operación permanente, con limitaciones principalmente en el sistema de comunicación.</w:t>
            </w:r>
          </w:p>
          <w:p w14:paraId="592A1340"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Avances en la estrategia para establecer la alianza con el Servicio Geológico Colombiano para el fortalecimiento de la Red Geodésica.</w:t>
            </w:r>
          </w:p>
          <w:p w14:paraId="3E317370"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Adquisición de 12 estaciones CORS, sin sistemas de comunicación.</w:t>
            </w:r>
          </w:p>
          <w:p w14:paraId="0A266CD4"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Borrador Plan Geodésico Nacional cuyo único componente era el marco de referencia terrestre.</w:t>
            </w:r>
          </w:p>
          <w:p w14:paraId="7F29AC05"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Documentación del SGI desactualizado</w:t>
            </w:r>
          </w:p>
          <w:p w14:paraId="7CB9460E" w14:textId="77777777" w:rsidR="007B7514" w:rsidRDefault="007B7514" w:rsidP="000A20EE">
            <w:pPr>
              <w:pStyle w:val="Prrafodelista"/>
              <w:numPr>
                <w:ilvl w:val="0"/>
                <w:numId w:val="219"/>
              </w:numPr>
              <w:ind w:left="461"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t>Especificaciones técnicas para la generación de productos geodésicos desactualizada.</w:t>
            </w:r>
          </w:p>
          <w:p w14:paraId="6AC18C3B" w14:textId="77777777" w:rsidR="007B7514"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1E2DAB19" w14:textId="77777777" w:rsidR="007B7514" w:rsidRPr="004F35BC"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590994A1" w14:textId="77777777" w:rsidR="007B7514" w:rsidRDefault="007B7514" w:rsidP="000C6FDF">
            <w:pPr>
              <w:pStyle w:val="Prrafodelista"/>
              <w:ind w:left="720"/>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p>
          <w:p w14:paraId="5F97C751" w14:textId="77777777" w:rsidR="007B7514" w:rsidRDefault="007B7514" w:rsidP="00A6302C">
            <w:pPr>
              <w:pStyle w:val="Prrafodelista"/>
              <w:ind w:left="720"/>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p>
          <w:p w14:paraId="5CC65EAB" w14:textId="77777777" w:rsidR="007B7514" w:rsidRDefault="007B7514" w:rsidP="000A20EE">
            <w:pPr>
              <w:pStyle w:val="Prrafodelista"/>
              <w:numPr>
                <w:ilvl w:val="0"/>
                <w:numId w:val="219"/>
              </w:numPr>
              <w:ind w:left="177"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lastRenderedPageBreak/>
              <w:t>En el SUIT se encontraban registrados tres OPA: Certificado Punto Señalizado por el Usuario sobre Cartografía IGAC; Componentes geomagnéticas del Observatorio de Fúquene; Información de puntos oficiales IGAC.</w:t>
            </w:r>
          </w:p>
          <w:p w14:paraId="412AA3B5" w14:textId="77777777" w:rsidR="007B7514" w:rsidRDefault="007B7514" w:rsidP="00A6302C">
            <w:pPr>
              <w:pStyle w:val="Lista"/>
              <w:ind w:left="177" w:hanging="142"/>
              <w:cnfStyle w:val="000000000000" w:firstRow="0" w:lastRow="0" w:firstColumn="0" w:lastColumn="0" w:oddVBand="0" w:evenVBand="0" w:oddHBand="0" w:evenHBand="0" w:firstRowFirstColumn="0" w:firstRowLastColumn="0" w:lastRowFirstColumn="0" w:lastRowLastColumn="0"/>
              <w:rPr>
                <w:rFonts w:eastAsia="Arial"/>
                <w:lang w:val="es-MX"/>
              </w:rPr>
            </w:pPr>
          </w:p>
          <w:p w14:paraId="1BD72B93" w14:textId="77777777" w:rsidR="007B7514" w:rsidRPr="002E6D2D" w:rsidRDefault="007B7514" w:rsidP="00A6302C">
            <w:pPr>
              <w:pStyle w:val="Lista"/>
              <w:ind w:left="177" w:hanging="142"/>
              <w:cnfStyle w:val="000000000000" w:firstRow="0" w:lastRow="0" w:firstColumn="0" w:lastColumn="0" w:oddVBand="0" w:evenVBand="0" w:oddHBand="0" w:evenHBand="0" w:firstRowFirstColumn="0" w:firstRowLastColumn="0" w:lastRowFirstColumn="0" w:lastRowLastColumn="0"/>
              <w:rPr>
                <w:rFonts w:eastAsia="Arial"/>
                <w:lang w:val="es-MX"/>
              </w:rPr>
            </w:pPr>
          </w:p>
          <w:p w14:paraId="28AF718F" w14:textId="77777777" w:rsidR="007B7514" w:rsidRDefault="007B7514" w:rsidP="000A20EE">
            <w:pPr>
              <w:pStyle w:val="Prrafodelista"/>
              <w:numPr>
                <w:ilvl w:val="0"/>
                <w:numId w:val="219"/>
              </w:numPr>
              <w:ind w:left="177"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Convenios como único mecanismo jurídico para formalizar la instalación de estaciones geodésicas. Diferentes estaciones sin convenio suscrito y sin supervisiones asignadas.</w:t>
            </w:r>
          </w:p>
          <w:p w14:paraId="6DA4358A" w14:textId="77777777" w:rsidR="007B7514" w:rsidRDefault="007B7514" w:rsidP="000A20EE">
            <w:pPr>
              <w:pStyle w:val="Prrafodelista"/>
              <w:numPr>
                <w:ilvl w:val="0"/>
                <w:numId w:val="219"/>
              </w:numPr>
              <w:ind w:left="177"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Ausencia de estrategia para el fortalecimiento de la red gravimétrica y geomagnética del país.</w:t>
            </w:r>
          </w:p>
          <w:p w14:paraId="4FA6F0FC"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5277C52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57D2EEDD"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856E8DE"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9305DB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3F884A3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Proceso Gestión Geográfica:</w:t>
            </w:r>
          </w:p>
          <w:p w14:paraId="6A93E8CF"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47573C51"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Estudios de caracterización territorial de 3 departamentos.</w:t>
            </w:r>
          </w:p>
          <w:p w14:paraId="78B1D793"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Versión preliminar de metodología para la caracterización territorial con fines de catastro multipropósito. </w:t>
            </w:r>
          </w:p>
          <w:p w14:paraId="59A80EAC"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Diagnósticos de 528 líneas limítrofes (físico, cartográfico, catastral)</w:t>
            </w:r>
          </w:p>
          <w:p w14:paraId="1F47C875"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Cálculo de áreas de entidades territoriales a partir del archivo digital.</w:t>
            </w:r>
          </w:p>
          <w:p w14:paraId="1FE20088"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Recopilación de información de 814 POT, PBOT y EOT</w:t>
            </w:r>
          </w:p>
          <w:p w14:paraId="3C3B1495"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Desconocimiento de insumos cartográficos y geodésicos disponibles. Poca articulación con los diferentes procesos.</w:t>
            </w:r>
          </w:p>
          <w:p w14:paraId="4191744A"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Formulación del proyecto “Base Nacional de Nombres Geográficos”. Sin embargo, no se reflejaba claridad técnica al interior del grupo, frente a los alcances y articulación de los </w:t>
            </w:r>
            <w:r w:rsidRPr="31FF9146">
              <w:rPr>
                <w:rFonts w:eastAsia="Arial" w:cs="Arial"/>
                <w:color w:val="000000" w:themeColor="text1"/>
                <w:lang w:val="es-MX"/>
              </w:rPr>
              <w:lastRenderedPageBreak/>
              <w:t>nombres geográficos y el diccionario.</w:t>
            </w:r>
          </w:p>
          <w:p w14:paraId="042724C3"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Información de límites de entidades territoriales restringida. </w:t>
            </w:r>
          </w:p>
          <w:p w14:paraId="6CB9F333"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Mapa oficial de Colombia aprobado por el Ministerio de Relaciones Exteriores en 2009. Principalmente por definición de límites fronterizos.</w:t>
            </w:r>
          </w:p>
          <w:p w14:paraId="34B3EBBB"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Ausencia de lineamientos para la evaluación, gestión y disposición de asociados a resguardos indígenas y territorios colectivos.</w:t>
            </w:r>
          </w:p>
          <w:p w14:paraId="756736AD"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Consolidación de una mesa étnica institucional mediante circular interna.</w:t>
            </w:r>
          </w:p>
          <w:p w14:paraId="13A99192"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Documentación del SGI desactualizado.</w:t>
            </w:r>
          </w:p>
          <w:p w14:paraId="6B42584A"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Baja dinámica en la apertura y operación de los deslindes.</w:t>
            </w:r>
          </w:p>
          <w:p w14:paraId="6B420F4F"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Un SIGOT desactualizado y complejo para navegar por parte de los usuarios (información confirmada en encuesta realizada durante el 2021). Con información de POT duplicada y desorganizada.</w:t>
            </w:r>
          </w:p>
          <w:p w14:paraId="6052306D"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Un diccionario geográfico en tecnología obsoleta, por lo que no era posible acceder ni consultar la información.</w:t>
            </w:r>
          </w:p>
          <w:p w14:paraId="4C18A0A3"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t>En el SUIT se encontraron registrados cinco tramites registrados: Delimitación municipal en cartografía del IGAC (por plancha); Certificación sobre el kilometraje de los ductos que atraviesen las jurisdicciones municipales; Certificación de Localización Municipal de Pozos de Petróleo; Delimitación municipal en cartografía del IGAC (por plancha); Certificado de Delimitación de Áreas de un Embalse o Cuenca; Superposición de Áreas de Yacimiento de Hidrocarburos y/o Minerales y División Política</w:t>
            </w:r>
          </w:p>
          <w:p w14:paraId="67D75B4A" w14:textId="77777777" w:rsidR="007B7514" w:rsidRPr="002E6D2D"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4BD60A10"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Subdirección de Agrología</w:t>
            </w:r>
          </w:p>
          <w:p w14:paraId="6D4CDC08"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38A1FF0A"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lastRenderedPageBreak/>
              <w:t>Realización de levantamiento de Suelos a escala 25.000 de 9.6% de hectáreas a nivel nacional y 0.3% de hectáreas a escala 10.000.</w:t>
            </w:r>
          </w:p>
          <w:p w14:paraId="39C1FE45"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Interpretación de las temáticas Suelos, Geomorfología y Coberturas, de manera independiente.</w:t>
            </w:r>
          </w:p>
          <w:p w14:paraId="62447C86"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Análisis de suelos, aguas y tejido vegetal, respaldados con los procesos internos de la entidad sin acreditación.</w:t>
            </w:r>
          </w:p>
          <w:p w14:paraId="786A0A40" w14:textId="77777777" w:rsidR="007B7514" w:rsidRDefault="007B7514" w:rsidP="000A20EE">
            <w:pPr>
              <w:pStyle w:val="Prrafodelista"/>
              <w:numPr>
                <w:ilvl w:val="0"/>
                <w:numId w:val="219"/>
              </w:numPr>
              <w:ind w:left="319"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Publicación de información agrológica en Datos abiertos, sin visor geográfico. </w:t>
            </w:r>
          </w:p>
          <w:p w14:paraId="09C02D4A" w14:textId="77777777" w:rsidR="007B7514" w:rsidRDefault="007B7514" w:rsidP="000A20EE">
            <w:pPr>
              <w:pStyle w:val="Prrafodelista"/>
              <w:numPr>
                <w:ilvl w:val="0"/>
                <w:numId w:val="21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t>Organización de información de perfiles y laboratorio, de manera independiente por estudio de suelos en archivos de Excel.</w:t>
            </w:r>
          </w:p>
          <w:p w14:paraId="4EE48CFA" w14:textId="77777777" w:rsidR="00C27D35" w:rsidRDefault="00C27D35" w:rsidP="00C27D35">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171836D5" w14:textId="2B9359B0" w:rsidR="00C27D35" w:rsidRPr="00C27D35" w:rsidRDefault="00C27D35" w:rsidP="00C27D35">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tc>
        <w:tc>
          <w:tcPr>
            <w:tcW w:w="3901"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14:paraId="16FC4D57"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lastRenderedPageBreak/>
              <w:t>Dirección de Gestión de Información Geográfica</w:t>
            </w:r>
          </w:p>
          <w:p w14:paraId="682FD2C7"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0DB603C6"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Creación, organización y puesta en operación de repositorio interno para la información documental y cartográfica, de conformidad con las tablas de retención documental. Se realiza un control periódico para garantizar que los productos se estén almacenando.</w:t>
            </w:r>
          </w:p>
          <w:p w14:paraId="1ABB707D"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Acceso de lectura a funcionarios y contratistas al repositorio, para el uso de los diferentes productos. De igual, se incluyó dentro de los diferentes procedimientos la disposición de cada uno de los resultados a través de los diferentes canales.</w:t>
            </w:r>
          </w:p>
          <w:p w14:paraId="23D72FAC"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Diseño, desarrollo y puesta en producción de la plataforma “Colombia en Mapas” como mecanismo para facilitar la disposición, uso y reutilización de la información cartográfica, geográfica y geodésica del país.</w:t>
            </w:r>
          </w:p>
          <w:p w14:paraId="114C9F2C"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Análisis y definición de lineamientos de apertura de los datos, mediante Resolución 616 de 2020. </w:t>
            </w:r>
          </w:p>
          <w:p w14:paraId="43830B9D"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Implementación de protocolos estándar para la disposición de datos a través de servicios web geográficos.</w:t>
            </w:r>
          </w:p>
          <w:p w14:paraId="15615B75"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Desarrollo de servicios y aplicaciones, e implementación de estrategias en conjunto con la Oficina de Comunicaciones, que permitieron visibilizar los productos de la Subdirección.</w:t>
            </w:r>
          </w:p>
          <w:p w14:paraId="52FE4DAD"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t>Inventario de convenios y asignación de supervisiones, realizando el respectivo seguimiento.</w:t>
            </w:r>
          </w:p>
          <w:p w14:paraId="00F6CC34" w14:textId="77777777" w:rsidR="007B7514" w:rsidRDefault="007B7514" w:rsidP="00A6302C">
            <w:pPr>
              <w:pStyle w:val="Lista"/>
              <w:ind w:left="394" w:hanging="284"/>
              <w:cnfStyle w:val="000000000000" w:firstRow="0" w:lastRow="0" w:firstColumn="0" w:lastColumn="0" w:oddVBand="0" w:evenVBand="0" w:oddHBand="0" w:evenHBand="0" w:firstRowFirstColumn="0" w:firstRowLastColumn="0" w:lastRowFirstColumn="0" w:lastRowLastColumn="0"/>
              <w:rPr>
                <w:rFonts w:eastAsia="Arial"/>
                <w:lang w:val="es-MX"/>
              </w:rPr>
            </w:pPr>
          </w:p>
          <w:p w14:paraId="17049F04" w14:textId="77777777" w:rsidR="007B7514"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7201A56E"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Subproceso Gestión Cartográfica:</w:t>
            </w:r>
          </w:p>
          <w:p w14:paraId="44344F31" w14:textId="77777777" w:rsidR="007B7514" w:rsidRDefault="007B7514" w:rsidP="00A6302C">
            <w:pPr>
              <w:ind w:left="252" w:hanging="192"/>
              <w:jc w:val="both"/>
              <w:cnfStyle w:val="000000000000" w:firstRow="0" w:lastRow="0" w:firstColumn="0" w:lastColumn="0" w:oddVBand="0" w:evenVBand="0" w:oddHBand="0" w:evenHBand="0" w:firstRowFirstColumn="0" w:firstRowLastColumn="0" w:lastRowFirstColumn="0" w:lastRowLastColumn="0"/>
            </w:pPr>
          </w:p>
          <w:p w14:paraId="25CEE9BD"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lastRenderedPageBreak/>
              <w:t>Adquisición de licenciamiento de acuerdo con las necesidades. Como mínimo todos los computadores de la DGIG cuentan con ArcGis Pro y ArcMap.</w:t>
            </w:r>
          </w:p>
          <w:p w14:paraId="0DE9B076"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Especificaciones técnicas para la generación, validación y oficialización de productos de cartografía básica, actualizadas y publicadas </w:t>
            </w:r>
          </w:p>
          <w:p w14:paraId="59234634"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 partir de la articulación de las diferentes etapas del proceso y la identificación de estrategias para optimizar los tiempos de producción, se logró aumentar en 81.93% la producción de cartografía básica a escalas 1:1.000 a 1:10.000.</w:t>
            </w:r>
          </w:p>
          <w:p w14:paraId="39492098"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Gestión y adquisición de 15.540.290,87 ha de imágenes.</w:t>
            </w:r>
          </w:p>
          <w:p w14:paraId="457429AE"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Definición e implementación de esquema de contratación basado en tecnología satelital y aprovechamiento de recursos cartográficos existentes, respetando la normatividad vigente.</w:t>
            </w:r>
          </w:p>
          <w:p w14:paraId="146FD679"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Uso de imágenes satelitales y capturadas con dron en el proceso de producción cartográfica.</w:t>
            </w:r>
          </w:p>
          <w:p w14:paraId="2183A6C4"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Automatización del proceso de validación de cartografía disminuyendo tiempos y costos</w:t>
            </w:r>
          </w:p>
          <w:p w14:paraId="52A179A1"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Avance en la actualización de todos los procedimientos, instructivos y formatos del subproceso de Gestión </w:t>
            </w:r>
            <w:r w:rsidRPr="31FF9146">
              <w:rPr>
                <w:rFonts w:eastAsia="Arial" w:cs="Arial"/>
                <w:color w:val="000000" w:themeColor="text1"/>
                <w:lang w:val="es-MX"/>
              </w:rPr>
              <w:t>Cartográfica.</w:t>
            </w:r>
          </w:p>
          <w:p w14:paraId="17C3F9D2" w14:textId="77777777" w:rsidR="007B7514" w:rsidRDefault="007B7514" w:rsidP="000A20EE">
            <w:pPr>
              <w:pStyle w:val="Prrafodelista"/>
              <w:numPr>
                <w:ilvl w:val="0"/>
                <w:numId w:val="219"/>
              </w:numPr>
              <w:ind w:left="252" w:hanging="19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Actualización de 5 procedimientos, 11 instructivos, 14 formatos se han publicado 18 documentos, y se han eliminado 41 documentos, se han creado 41 documentos, asociados al subproceso de Gestión Cartográfica.</w:t>
            </w:r>
          </w:p>
          <w:p w14:paraId="5453A915" w14:textId="77777777" w:rsidR="007B7514" w:rsidRDefault="007B7514" w:rsidP="000A20EE">
            <w:pPr>
              <w:pStyle w:val="Prrafodelista"/>
              <w:numPr>
                <w:ilvl w:val="0"/>
                <w:numId w:val="219"/>
              </w:numPr>
              <w:ind w:left="252" w:hanging="25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Adquisición y puesta en funcionamiento de dos aeronaves no tripuladas.</w:t>
            </w:r>
          </w:p>
          <w:p w14:paraId="288A6286" w14:textId="77777777" w:rsidR="007B7514" w:rsidRDefault="007B7514" w:rsidP="000A20EE">
            <w:pPr>
              <w:pStyle w:val="Prrafodelista"/>
              <w:numPr>
                <w:ilvl w:val="0"/>
                <w:numId w:val="219"/>
              </w:numPr>
              <w:ind w:left="252" w:hanging="25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Legalización del piloto automático de la aeronave ante autoridad aeronáutica; esto se identificó a raíz del mantenimiento 150 horas de 2020.</w:t>
            </w:r>
          </w:p>
          <w:p w14:paraId="5FF264A0" w14:textId="77777777" w:rsidR="007B7514" w:rsidRDefault="007B7514" w:rsidP="000A20EE">
            <w:pPr>
              <w:pStyle w:val="Prrafodelista"/>
              <w:numPr>
                <w:ilvl w:val="0"/>
                <w:numId w:val="219"/>
              </w:numPr>
              <w:ind w:left="252" w:hanging="25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Estandarización de un único origen, y actualización del sistema de proyección cartográfico para Colombia.</w:t>
            </w:r>
          </w:p>
          <w:p w14:paraId="710B45EF" w14:textId="77777777" w:rsidR="007B7514" w:rsidRDefault="007B7514" w:rsidP="000A20EE">
            <w:pPr>
              <w:pStyle w:val="Prrafodelista"/>
              <w:numPr>
                <w:ilvl w:val="0"/>
                <w:numId w:val="219"/>
              </w:numPr>
              <w:ind w:left="394"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Identificación y escaneo de la totalidad de imágenes y planchas cartográfica con información toponímica.</w:t>
            </w:r>
          </w:p>
          <w:p w14:paraId="5886CCAC" w14:textId="77777777" w:rsidR="007B7514" w:rsidRDefault="007B7514" w:rsidP="000A20EE">
            <w:pPr>
              <w:pStyle w:val="Prrafodelista"/>
              <w:numPr>
                <w:ilvl w:val="0"/>
                <w:numId w:val="219"/>
              </w:numPr>
              <w:ind w:left="394"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lastRenderedPageBreak/>
              <w:t>Unificación de la base de datos de toponimia y puntos de control terrestre, controlada y con un esquema de actualización establecido.</w:t>
            </w:r>
          </w:p>
          <w:p w14:paraId="4666BD39" w14:textId="77777777" w:rsidR="007B7514" w:rsidRDefault="007B7514" w:rsidP="000A20EE">
            <w:pPr>
              <w:pStyle w:val="Prrafodelista"/>
              <w:numPr>
                <w:ilvl w:val="0"/>
                <w:numId w:val="219"/>
              </w:numPr>
              <w:ind w:left="394"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Registros alfanuméricos y espaciales asociados a la producción y validación de productos cartográficos.</w:t>
            </w:r>
          </w:p>
          <w:p w14:paraId="6E760C45" w14:textId="77777777" w:rsidR="007B7514" w:rsidRDefault="007B7514" w:rsidP="000A20EE">
            <w:pPr>
              <w:pStyle w:val="Prrafodelista"/>
              <w:numPr>
                <w:ilvl w:val="0"/>
                <w:numId w:val="219"/>
              </w:numPr>
              <w:ind w:left="394"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Acceso en línea a los diferentes recursos cartográficos, de acuerdo con sus respectivas condiciones de uso, a través de Colombia en Mapas.</w:t>
            </w:r>
          </w:p>
          <w:p w14:paraId="41C1A7BB" w14:textId="77777777" w:rsidR="007B7514" w:rsidRDefault="007B7514" w:rsidP="000A20EE">
            <w:pPr>
              <w:pStyle w:val="Prrafodelista"/>
              <w:numPr>
                <w:ilvl w:val="0"/>
                <w:numId w:val="219"/>
              </w:numPr>
              <w:ind w:left="394"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
              </w:rPr>
            </w:pPr>
            <w:r w:rsidRPr="31FF9146">
              <w:rPr>
                <w:rFonts w:eastAsia="Arial" w:cs="Arial"/>
                <w:color w:val="000000" w:themeColor="text1"/>
              </w:rPr>
              <w:t xml:space="preserve">Propuesta de ajuste del Plan Nacional de Cartografía y </w:t>
            </w:r>
            <w:r w:rsidRPr="31FF9146">
              <w:rPr>
                <w:rFonts w:eastAsia="Arial" w:cs="Arial"/>
                <w:color w:val="000000" w:themeColor="text1"/>
                <w:lang w:val="es"/>
              </w:rPr>
              <w:t>Proyecto Tipo “Producción de Cartografía Básica Oficial” oficializado y publicado.</w:t>
            </w:r>
          </w:p>
          <w:p w14:paraId="3D4C83BB" w14:textId="77777777" w:rsidR="007B7514" w:rsidRPr="002E6D2D"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
              </w:rPr>
            </w:pPr>
          </w:p>
          <w:p w14:paraId="3B666BC2" w14:textId="77777777" w:rsidR="007B7514" w:rsidRDefault="007B7514" w:rsidP="00A6302C">
            <w:pPr>
              <w:ind w:left="360"/>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Subproceso Gestión Geodésica:</w:t>
            </w:r>
          </w:p>
          <w:p w14:paraId="6340CE9C" w14:textId="77777777" w:rsidR="007B7514" w:rsidRDefault="007B7514" w:rsidP="00A6302C">
            <w:pPr>
              <w:spacing w:line="240" w:lineRule="exact"/>
              <w:ind w:firstLine="60"/>
              <w:jc w:val="both"/>
              <w:cnfStyle w:val="000000000000" w:firstRow="0" w:lastRow="0" w:firstColumn="0" w:lastColumn="0" w:oddVBand="0" w:evenVBand="0" w:oddHBand="0" w:evenHBand="0" w:firstRowFirstColumn="0" w:firstRowLastColumn="0" w:lastRowFirstColumn="0" w:lastRowLastColumn="0"/>
            </w:pPr>
          </w:p>
          <w:p w14:paraId="48432E68"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Contratación del diseño y puesta en operación del Centro de Control de la Red Geodésica, el cual permitirá ampliar la capacidad de estaciones a administrar y disponer servicios en línea.</w:t>
            </w:r>
          </w:p>
          <w:p w14:paraId="54582FA9"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Red geodésica integrada y densificada con 173 estaciones de operación continua, que proveen un cubrimiento mayor al 75% de 512 municipios del país.</w:t>
            </w:r>
          </w:p>
          <w:p w14:paraId="5629451A"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De las 173, se realizó exploración, materialización y puesta en operación de 18 estaciones por parte del IGAC, en los últimos dos años, y 105 estaciones fueron integradas del Servicio Geológico Colombiano.</w:t>
            </w:r>
          </w:p>
          <w:p w14:paraId="084CE711"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Adquisición e instalación de 5 estaciones con sistema de comunicación satelital, en territorios donde la conexión de internet tradicional es insuficiente. Por primera vez, el IGAC instala estación geodésica con sistema satelital.</w:t>
            </w:r>
          </w:p>
          <w:p w14:paraId="09492AE1"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Se han reactivado 50 estaciones (22 en el 2020 y 28 a 30/10/2021)</w:t>
            </w:r>
          </w:p>
          <w:p w14:paraId="56FEB9F3"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En proceso de materialización 13 nuevas estaciones de operación continua con sus respectivos accesorios y sistema de comunicación. En gestión la adquisición de 22 </w:t>
            </w:r>
            <w:r w:rsidRPr="31FF9146">
              <w:rPr>
                <w:rFonts w:eastAsia="Arial" w:cs="Arial"/>
                <w:color w:val="000000" w:themeColor="text1"/>
                <w:lang w:val="es-MX"/>
              </w:rPr>
              <w:lastRenderedPageBreak/>
              <w:t>estaciones para su materialización en 2022.</w:t>
            </w:r>
          </w:p>
          <w:p w14:paraId="053092AC"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Plan de fortalecimiento de la infraestructura geodésica nacional dentro del cual se incluyó la red pasiva del país, así como el plan nacional de geodesia 2021 – 2025.</w:t>
            </w:r>
          </w:p>
          <w:p w14:paraId="33777979"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Actualización de procedimientos, instructivos, formatos del subproceso de Gestión Geodésica.  </w:t>
            </w:r>
          </w:p>
          <w:p w14:paraId="097BD826"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Avance en la actualización de 6 procedimientos, 7 instructivos, 22 formatos. Eliminación de 2 documentos obsoletos del subproceso de Gestión Geodésica.   </w:t>
            </w:r>
          </w:p>
          <w:p w14:paraId="6F1FDE54"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 xml:space="preserve">Especificaciones técnicas para la generación de productos geodésicos actualizada y publicada. </w:t>
            </w:r>
          </w:p>
          <w:p w14:paraId="34A12305"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Propuesta de modernización del Observatorio Geomagnético de Fúquene la cual se socializó en el IGAC y cuyo objetivo es establecer las condiciones necesarias para incorporar a Colombia dentro de la red global digital y satelital de observatorios geomagnéticos conocida como INTERMAGNET y de esta forma contribuir al conocimiento del campo magnético terrestre en el territorio nacional y en el mundo.</w:t>
            </w:r>
          </w:p>
          <w:p w14:paraId="24C93CE0"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Red de nivelación actualizada, calculada y dispuesta en Colombia en Mapas.</w:t>
            </w:r>
          </w:p>
          <w:p w14:paraId="573130D8"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Red gravimétrica fortalecida con la medición de 160 puntos en el territorio colombiano, y con proyección de medición de puntos de gravedad absoluta para 2022.</w:t>
            </w:r>
          </w:p>
          <w:p w14:paraId="152BB5A6"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lang w:val="es-MX"/>
              </w:rPr>
            </w:pPr>
            <w:r w:rsidRPr="31FF9146">
              <w:rPr>
                <w:rFonts w:eastAsia="Arial" w:cs="Arial"/>
                <w:color w:val="000000" w:themeColor="text1"/>
                <w:lang w:val="es-MX"/>
              </w:rPr>
              <w:t>Se racionalizaron los trámites y OPA registrados en el SUIT, ya que la información es de consulta pública y de fácil acceso a través de las plataformas.</w:t>
            </w:r>
          </w:p>
          <w:p w14:paraId="48E4595A" w14:textId="77777777" w:rsidR="007B7514" w:rsidRDefault="007B7514" w:rsidP="00A6302C">
            <w:pPr>
              <w:pStyle w:val="Lista"/>
              <w:cnfStyle w:val="000000000000" w:firstRow="0" w:lastRow="0" w:firstColumn="0" w:lastColumn="0" w:oddVBand="0" w:evenVBand="0" w:oddHBand="0" w:evenHBand="0" w:firstRowFirstColumn="0" w:firstRowLastColumn="0" w:lastRowFirstColumn="0" w:lastRowLastColumn="0"/>
              <w:rPr>
                <w:rFonts w:eastAsia="Arial"/>
                <w:lang w:val="es-MX"/>
              </w:rPr>
            </w:pPr>
          </w:p>
          <w:p w14:paraId="1574399B"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
              </w:rPr>
            </w:pPr>
          </w:p>
          <w:p w14:paraId="26D2BCDC"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
              </w:rPr>
              <w:t>Subproceso de Gestión Geográfica:</w:t>
            </w:r>
          </w:p>
          <w:p w14:paraId="7DA41DAF" w14:textId="77777777" w:rsidR="007B7514" w:rsidRDefault="007B7514" w:rsidP="00A6302C">
            <w:pPr>
              <w:spacing w:line="240" w:lineRule="exact"/>
              <w:ind w:firstLine="60"/>
              <w:jc w:val="both"/>
              <w:cnfStyle w:val="000000000000" w:firstRow="0" w:lastRow="0" w:firstColumn="0" w:lastColumn="0" w:oddVBand="0" w:evenVBand="0" w:oddHBand="0" w:evenHBand="0" w:firstRowFirstColumn="0" w:firstRowLastColumn="0" w:lastRowFirstColumn="0" w:lastRowLastColumn="0"/>
            </w:pPr>
          </w:p>
          <w:p w14:paraId="1C13B3A5"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Caracterización con fines de catastro multipropósito para 124 municipios, con sus respectivos mapas de síntesis y unidades de intervención, dispuesta en Colombia en Mapas.</w:t>
            </w:r>
          </w:p>
          <w:p w14:paraId="3ADF782A"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lastRenderedPageBreak/>
              <w:t>Diagnósticos para 770 líneas limítrofes correspondientes a 219 municipios, a partir del análisis normativo y cartográfico existente, insumo indispensable para las caracterizaciones territoriales y los procesos de deslinde.</w:t>
            </w:r>
          </w:p>
          <w:p w14:paraId="2A11B814"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MX"/>
              </w:rPr>
              <w:t>Información de clasificación del suelo y zonificación de uso de 124 municipios estructurada y dispuesta en Colombia en Mapas.</w:t>
            </w:r>
          </w:p>
          <w:p w14:paraId="04CFA26C"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lang w:val="es"/>
              </w:rPr>
              <w:t xml:space="preserve">Nueva versión del SIGOT, denominada Colombia OT </w:t>
            </w:r>
            <w:hyperlink r:id="rId91">
              <w:r w:rsidRPr="31FF9146">
                <w:rPr>
                  <w:rStyle w:val="Hipervnculo"/>
                  <w:rFonts w:eastAsia="Arial" w:cs="Arial"/>
                  <w:lang w:val="es"/>
                </w:rPr>
                <w:t>www.colombiaot.gov</w:t>
              </w:r>
            </w:hyperlink>
            <w:r w:rsidRPr="31FF9146">
              <w:rPr>
                <w:rFonts w:eastAsia="Arial" w:cs="Arial"/>
                <w:color w:val="000000" w:themeColor="text1"/>
                <w:lang w:val="es"/>
              </w:rPr>
              <w:t>, con una mejor interfaz para el cargue y consulta de los POT, con información de más de 1050 municipios, actualizada, organizada y catalogada.</w:t>
            </w:r>
          </w:p>
          <w:p w14:paraId="2C96C3D4"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Base Nacional de Nombres Geográficos estructurada y poblada con más de 384.189 registros.</w:t>
            </w:r>
          </w:p>
          <w:p w14:paraId="2EE37781"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Actualización de procedimientos, instructivos, formatos del subproceso de Gestión Geográfica.  </w:t>
            </w:r>
          </w:p>
          <w:p w14:paraId="676C6162" w14:textId="77777777" w:rsidR="007B7514" w:rsidRDefault="007B7514" w:rsidP="000A20EE">
            <w:pPr>
              <w:pStyle w:val="Prrafodelista"/>
              <w:numPr>
                <w:ilvl w:val="0"/>
                <w:numId w:val="219"/>
              </w:numPr>
              <w:ind w:left="394"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Eliminación, actualización y disposición de la información para consulta pública en Colombia en Mapas. Actualmente se cuenta con 2 trámites registrados en el SUIT: Certificación sobre el kilometraje de los ductos que atraviesen las jurisdicciones municipales y Delimitación de áreas para transferencia del sector eléctrico.</w:t>
            </w:r>
          </w:p>
          <w:p w14:paraId="43E0DE6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4C18557"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F25259C"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3F20A4B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625AFE07"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57D049AE"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6CA76AB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6DB57B1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663F28C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00CEA0F"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2A7C1406"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2"/>
                <w:szCs w:val="22"/>
                <w:lang w:val="es-MX"/>
              </w:rPr>
            </w:pPr>
          </w:p>
          <w:p w14:paraId="7518E419"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002E6D2D">
              <w:rPr>
                <w:rFonts w:eastAsia="Arial" w:cs="Arial"/>
                <w:b/>
                <w:bCs/>
                <w:color w:val="000000" w:themeColor="text1"/>
                <w:sz w:val="22"/>
                <w:szCs w:val="22"/>
                <w:lang w:val="es-MX"/>
              </w:rPr>
              <w:t>Subdirección de Agrología</w:t>
            </w:r>
          </w:p>
          <w:p w14:paraId="56F37C94"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55FF3060"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39EFC152" w14:textId="77777777" w:rsidR="007B7514" w:rsidRDefault="007B7514" w:rsidP="00A6302C">
            <w:pPr>
              <w:ind w:firstLine="60"/>
              <w:jc w:val="both"/>
              <w:cnfStyle w:val="000000000000" w:firstRow="0" w:lastRow="0" w:firstColumn="0" w:lastColumn="0" w:oddVBand="0" w:evenVBand="0" w:oddHBand="0" w:evenHBand="0" w:firstRowFirstColumn="0" w:firstRowLastColumn="0" w:lastRowFirstColumn="0" w:lastRowLastColumn="0"/>
            </w:pPr>
          </w:p>
          <w:p w14:paraId="3DD83697"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Ampliación de las hectáreas realizadas a través de levantamiento de Suelos a </w:t>
            </w:r>
            <w:r w:rsidRPr="31FF9146">
              <w:rPr>
                <w:rFonts w:eastAsia="Arial" w:cs="Arial"/>
                <w:color w:val="000000" w:themeColor="text1"/>
              </w:rPr>
              <w:lastRenderedPageBreak/>
              <w:t>escala 25.000 de 10.71% y 0.43% a escala 10.000.</w:t>
            </w:r>
          </w:p>
          <w:p w14:paraId="2AB3037E"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Interpretación articulada de las temáticas de Suelos, Geomorfología y Cobertura.</w:t>
            </w:r>
          </w:p>
          <w:p w14:paraId="3099BAF0"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Paquetes analíticos de suelos, realizados con acreditación del laboratorio.</w:t>
            </w:r>
          </w:p>
          <w:p w14:paraId="14A54B94"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 xml:space="preserve">Publicación de información agrológica en Colombia en mapas, con visor geográfico, metadatos y acceso por enlace WMS. </w:t>
            </w:r>
          </w:p>
          <w:p w14:paraId="24511DB2" w14:textId="77777777" w:rsidR="007B7514" w:rsidRDefault="007B7514" w:rsidP="000A20EE">
            <w:pPr>
              <w:pStyle w:val="Prrafodelista"/>
              <w:numPr>
                <w:ilvl w:val="0"/>
                <w:numId w:val="219"/>
              </w:numPr>
              <w:ind w:left="252" w:hanging="142"/>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31FF9146">
              <w:rPr>
                <w:rFonts w:eastAsia="Arial" w:cs="Arial"/>
                <w:color w:val="000000" w:themeColor="text1"/>
              </w:rPr>
              <w:t>Organización de información de perfiles y laboratorio, empalmadas en archivos de Excel compiladas por departamento, con control de calidad temático.</w:t>
            </w:r>
          </w:p>
        </w:tc>
      </w:tr>
      <w:tr w:rsidR="007B7514" w14:paraId="5E64481B" w14:textId="77777777" w:rsidTr="00350BFA">
        <w:trPr>
          <w:trHeight w:val="255"/>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1F497D" w:themeColor="text2"/>
            </w:tcBorders>
            <w:shd w:val="clear" w:color="auto" w:fill="DBE5F1" w:themeFill="accent1" w:themeFillTint="33"/>
          </w:tcPr>
          <w:p w14:paraId="5D3C9345" w14:textId="77777777" w:rsidR="007B7514" w:rsidRDefault="007B7514" w:rsidP="00A6302C">
            <w:pPr>
              <w:jc w:val="center"/>
            </w:pPr>
            <w:r w:rsidRPr="31FF9146">
              <w:rPr>
                <w:rFonts w:eastAsia="Arial" w:cs="Arial"/>
                <w:color w:val="000000" w:themeColor="text1"/>
                <w:sz w:val="16"/>
                <w:szCs w:val="16"/>
                <w:lang w:val="es-MX"/>
              </w:rPr>
              <w:lastRenderedPageBreak/>
              <w:t xml:space="preserve"> </w:t>
            </w:r>
          </w:p>
          <w:p w14:paraId="77EAA5EA" w14:textId="77777777" w:rsidR="007B7514" w:rsidRDefault="007B7514" w:rsidP="00A6302C">
            <w:pPr>
              <w:jc w:val="center"/>
            </w:pPr>
            <w:r w:rsidRPr="31FF9146">
              <w:rPr>
                <w:rFonts w:eastAsia="Arial" w:cs="Arial"/>
                <w:color w:val="000000" w:themeColor="text1"/>
                <w:sz w:val="16"/>
                <w:szCs w:val="16"/>
                <w:lang w:val="es-MX"/>
              </w:rPr>
              <w:t xml:space="preserve"> </w:t>
            </w:r>
          </w:p>
          <w:p w14:paraId="7FEBF8C4" w14:textId="77777777" w:rsidR="007B7514" w:rsidRDefault="007B7514" w:rsidP="00A6302C">
            <w:pPr>
              <w:jc w:val="center"/>
            </w:pPr>
            <w:r w:rsidRPr="31FF9146">
              <w:rPr>
                <w:rFonts w:eastAsia="Arial" w:cs="Arial"/>
                <w:color w:val="000000" w:themeColor="text1"/>
                <w:sz w:val="16"/>
                <w:szCs w:val="16"/>
                <w:lang w:val="es-MX"/>
              </w:rPr>
              <w:t xml:space="preserve"> </w:t>
            </w:r>
          </w:p>
          <w:p w14:paraId="1AB373A9" w14:textId="77777777" w:rsidR="007B7514" w:rsidRDefault="007B7514" w:rsidP="00A6302C">
            <w:pPr>
              <w:jc w:val="center"/>
            </w:pPr>
            <w:r w:rsidRPr="31FF9146">
              <w:rPr>
                <w:rFonts w:eastAsia="Arial" w:cs="Arial"/>
                <w:color w:val="000000" w:themeColor="text1"/>
                <w:sz w:val="16"/>
                <w:szCs w:val="16"/>
                <w:lang w:val="es-MX"/>
              </w:rPr>
              <w:t xml:space="preserve"> </w:t>
            </w:r>
          </w:p>
          <w:p w14:paraId="7168E8FE" w14:textId="77777777" w:rsidR="007B7514" w:rsidRDefault="007B7514" w:rsidP="00A6302C">
            <w:pPr>
              <w:jc w:val="center"/>
            </w:pPr>
            <w:r w:rsidRPr="31FF9146">
              <w:rPr>
                <w:rFonts w:eastAsia="Arial" w:cs="Arial"/>
                <w:color w:val="000000" w:themeColor="text1"/>
                <w:sz w:val="16"/>
                <w:szCs w:val="16"/>
                <w:lang w:val="es-MX"/>
              </w:rPr>
              <w:t xml:space="preserve"> </w:t>
            </w:r>
          </w:p>
          <w:p w14:paraId="60BF46DE" w14:textId="77777777" w:rsidR="007B7514" w:rsidRDefault="007B7514" w:rsidP="00A6302C">
            <w:pPr>
              <w:jc w:val="center"/>
            </w:pPr>
            <w:r w:rsidRPr="31FF9146">
              <w:rPr>
                <w:rFonts w:eastAsia="Arial" w:cs="Arial"/>
                <w:color w:val="000000" w:themeColor="text1"/>
                <w:sz w:val="16"/>
                <w:szCs w:val="16"/>
                <w:lang w:val="es-MX"/>
              </w:rPr>
              <w:t xml:space="preserve"> </w:t>
            </w:r>
          </w:p>
          <w:p w14:paraId="250E9063" w14:textId="77777777" w:rsidR="007B7514" w:rsidRDefault="007B7514" w:rsidP="00A6302C">
            <w:pPr>
              <w:jc w:val="center"/>
              <w:rPr>
                <w:rFonts w:eastAsia="Arial" w:cs="Arial"/>
                <w:b w:val="0"/>
                <w:bCs w:val="0"/>
                <w:color w:val="000000" w:themeColor="text1"/>
                <w:sz w:val="16"/>
                <w:szCs w:val="16"/>
                <w:lang w:val="es-MX"/>
              </w:rPr>
            </w:pPr>
          </w:p>
          <w:p w14:paraId="3AC5E25C" w14:textId="77777777" w:rsidR="007B7514" w:rsidRDefault="007B7514" w:rsidP="00A6302C">
            <w:pPr>
              <w:jc w:val="center"/>
              <w:rPr>
                <w:rFonts w:eastAsia="Arial" w:cs="Arial"/>
                <w:b w:val="0"/>
                <w:bCs w:val="0"/>
                <w:color w:val="000000" w:themeColor="text1"/>
                <w:sz w:val="16"/>
                <w:szCs w:val="16"/>
                <w:lang w:val="es-MX"/>
              </w:rPr>
            </w:pPr>
          </w:p>
          <w:p w14:paraId="5489A655" w14:textId="77777777" w:rsidR="007B7514" w:rsidRDefault="007B7514" w:rsidP="00A6302C">
            <w:pPr>
              <w:jc w:val="center"/>
            </w:pPr>
            <w:r w:rsidRPr="31FF9146">
              <w:rPr>
                <w:rFonts w:eastAsia="Arial" w:cs="Arial"/>
                <w:color w:val="000000" w:themeColor="text1"/>
                <w:sz w:val="16"/>
                <w:szCs w:val="16"/>
                <w:lang w:val="es-MX"/>
              </w:rPr>
              <w:t xml:space="preserve"> </w:t>
            </w:r>
          </w:p>
          <w:p w14:paraId="3FBEEC96" w14:textId="77777777" w:rsidR="007B7514" w:rsidRDefault="007B7514" w:rsidP="00A6302C">
            <w:pPr>
              <w:jc w:val="center"/>
            </w:pPr>
            <w:r w:rsidRPr="31FF9146">
              <w:rPr>
                <w:rFonts w:eastAsia="Arial" w:cs="Arial"/>
                <w:color w:val="000000" w:themeColor="text1"/>
                <w:sz w:val="16"/>
                <w:szCs w:val="16"/>
                <w:lang w:val="es-MX"/>
              </w:rPr>
              <w:t xml:space="preserve"> </w:t>
            </w:r>
          </w:p>
          <w:p w14:paraId="1A870AF0" w14:textId="77777777" w:rsidR="007B7514" w:rsidRDefault="007B7514" w:rsidP="00A6302C">
            <w:pPr>
              <w:jc w:val="center"/>
            </w:pPr>
            <w:r w:rsidRPr="31FF9146">
              <w:rPr>
                <w:rFonts w:eastAsia="Arial" w:cs="Arial"/>
                <w:color w:val="000000" w:themeColor="text1"/>
                <w:sz w:val="16"/>
                <w:szCs w:val="16"/>
                <w:lang w:val="es-MX"/>
              </w:rPr>
              <w:t xml:space="preserve"> </w:t>
            </w:r>
          </w:p>
          <w:p w14:paraId="49BB67DD" w14:textId="77777777" w:rsidR="007B7514" w:rsidRDefault="007B7514" w:rsidP="00A6302C">
            <w:pPr>
              <w:jc w:val="center"/>
            </w:pPr>
            <w:r w:rsidRPr="31FF9146">
              <w:rPr>
                <w:rFonts w:eastAsia="Arial" w:cs="Arial"/>
                <w:color w:val="000000" w:themeColor="text1"/>
                <w:sz w:val="16"/>
                <w:szCs w:val="16"/>
                <w:lang w:val="es-MX"/>
              </w:rPr>
              <w:t xml:space="preserve"> </w:t>
            </w:r>
          </w:p>
          <w:p w14:paraId="358C587C" w14:textId="77777777" w:rsidR="007B7514" w:rsidRDefault="007B7514" w:rsidP="00A6302C">
            <w:pPr>
              <w:jc w:val="center"/>
            </w:pPr>
            <w:r w:rsidRPr="31FF9146">
              <w:rPr>
                <w:rFonts w:eastAsia="Arial" w:cs="Arial"/>
                <w:color w:val="000000" w:themeColor="text1"/>
                <w:sz w:val="22"/>
                <w:szCs w:val="22"/>
                <w:lang w:val="es-MX"/>
              </w:rPr>
              <w:t>Alcance del proceso</w:t>
            </w:r>
          </w:p>
        </w:tc>
        <w:tc>
          <w:tcPr>
            <w:tcW w:w="3337" w:type="dxa"/>
            <w:tcBorders>
              <w:top w:val="single" w:sz="4" w:space="0" w:color="1F497D" w:themeColor="text2"/>
            </w:tcBorders>
            <w:shd w:val="clear" w:color="auto" w:fill="DBE5F1" w:themeFill="accent1" w:themeFillTint="33"/>
          </w:tcPr>
          <w:p w14:paraId="642B66A9"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700E4486"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6E67AE6E"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1A9BA594"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La Subdirección de Geografía y Cartografía, lideraba los procesos de Gestión Cartográfica, Geodésica y Geográfica y estaba conformada por grupos internos de trabajo, definidos a través de la Resolución 991 del 2019.  Estos son: Producción Cartográfica; Gestión Geodésica; Administración de la información geodésica, cartográfica y geográfica; Estudios geográficos y ordenamiento territorial; Modernización, evaluación y seguimiento de productos geodésicos, geográficos y cartográficos.</w:t>
            </w:r>
          </w:p>
          <w:p w14:paraId="602BDCBB" w14:textId="77777777" w:rsidR="007B7514" w:rsidRPr="002E6D2D" w:rsidRDefault="007B7514" w:rsidP="00A6302C">
            <w:pPr>
              <w:spacing w:line="240" w:lineRule="exact"/>
              <w:jc w:val="center"/>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0DBFD418"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La Subdirección de Agrología, líder del Proceso Gestión Agrológica, estaba conformada por grupos internos de trabajo, definidos a través, de la Resolución 1169 de 2018. Estos son:   gestión de suelos y aplicaciones agrológicas, modernización y administración de </w:t>
            </w:r>
            <w:r w:rsidRPr="002E6D2D">
              <w:rPr>
                <w:rFonts w:eastAsia="Arial" w:cs="Arial"/>
                <w:color w:val="000000" w:themeColor="text1"/>
                <w:sz w:val="20"/>
                <w:szCs w:val="20"/>
                <w:lang w:val="es-MX"/>
              </w:rPr>
              <w:lastRenderedPageBreak/>
              <w:t>la información agrologica y laboratorio nacional de suelos.</w:t>
            </w:r>
          </w:p>
        </w:tc>
        <w:tc>
          <w:tcPr>
            <w:tcW w:w="3901" w:type="dxa"/>
            <w:tcBorders>
              <w:top w:val="single" w:sz="4" w:space="0" w:color="1F497D" w:themeColor="text2"/>
            </w:tcBorders>
            <w:shd w:val="clear" w:color="auto" w:fill="DBE5F1" w:themeFill="accent1" w:themeFillTint="33"/>
          </w:tcPr>
          <w:p w14:paraId="13384E4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721EA332"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1C67ACF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5063B76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1C7EE5CC"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De acuerdo con el artículo 22 del Decreto 846 de 2021, </w:t>
            </w:r>
            <w:r w:rsidRPr="002E6D2D">
              <w:rPr>
                <w:rFonts w:eastAsia="Arial" w:cs="Arial"/>
                <w:i/>
                <w:iCs/>
                <w:color w:val="000000" w:themeColor="text1"/>
                <w:sz w:val="20"/>
                <w:szCs w:val="20"/>
                <w:lang w:val="es-MX"/>
              </w:rPr>
              <w:t>“Por el cual se modifica la estructura del Instituto Geográfico Agustín Codazzi</w:t>
            </w:r>
            <w:r w:rsidRPr="002E6D2D">
              <w:rPr>
                <w:rFonts w:eastAsia="Arial" w:cs="Arial"/>
                <w:color w:val="000000" w:themeColor="text1"/>
                <w:sz w:val="20"/>
                <w:szCs w:val="20"/>
                <w:lang w:val="es-MX"/>
              </w:rPr>
              <w:t>”, la Dirección de Gestión de Información Geográfica no cuenta con Grupos Internos de Trabajo y cuenta con la división de 3 Subdirecciones que a su vez integran gestiones de procesos: Subdirección Cartográfica y Geodésica (subproceso de Gestión Cartográfica, subproceso de Gestión Geodésica), Subdirección de Geografía (subproceso de Gestión Geográfica) y Subdirección de Agrología (subproceso de Gestión Agrológica).</w:t>
            </w:r>
          </w:p>
          <w:p w14:paraId="4B42899E"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52A6495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505776E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MX"/>
              </w:rPr>
            </w:pPr>
          </w:p>
          <w:p w14:paraId="46785008"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El nuevo enfoque de la Dirección y cada una de sus subdirecciones está orientado a optimizar los procesos de producción, potencializar el uso de la información producida, así como identificar, articular e integrar información producida por terceros como estrategia para lograr el </w:t>
            </w:r>
            <w:r w:rsidRPr="002E6D2D">
              <w:rPr>
                <w:rFonts w:eastAsia="Arial" w:cs="Arial"/>
                <w:color w:val="000000" w:themeColor="text1"/>
                <w:sz w:val="20"/>
                <w:szCs w:val="20"/>
                <w:lang w:val="es-MX"/>
              </w:rPr>
              <w:lastRenderedPageBreak/>
              <w:t>cubrimiento total del país en materia cartográfica, geográfica y geodésica.</w:t>
            </w:r>
          </w:p>
          <w:p w14:paraId="10A328E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 </w:t>
            </w:r>
          </w:p>
        </w:tc>
      </w:tr>
      <w:tr w:rsidR="007B7514" w14:paraId="08126D1A" w14:textId="77777777" w:rsidTr="00350BFA">
        <w:trPr>
          <w:trHeight w:val="300"/>
        </w:trPr>
        <w:tc>
          <w:tcPr>
            <w:cnfStyle w:val="001000000000" w:firstRow="0" w:lastRow="0" w:firstColumn="1" w:lastColumn="0" w:oddVBand="0" w:evenVBand="0" w:oddHBand="0" w:evenHBand="0" w:firstRowFirstColumn="0" w:firstRowLastColumn="0" w:lastRowFirstColumn="0" w:lastRowLastColumn="0"/>
            <w:tcW w:w="2122" w:type="dxa"/>
          </w:tcPr>
          <w:p w14:paraId="482F2420" w14:textId="77777777" w:rsidR="007B7514" w:rsidRDefault="007B7514" w:rsidP="00A6302C">
            <w:pPr>
              <w:jc w:val="center"/>
            </w:pPr>
            <w:r w:rsidRPr="31FF9146">
              <w:rPr>
                <w:rFonts w:eastAsia="Arial" w:cs="Arial"/>
                <w:color w:val="000000" w:themeColor="text1"/>
                <w:sz w:val="22"/>
                <w:szCs w:val="22"/>
                <w:lang w:val="es-MX"/>
              </w:rPr>
              <w:lastRenderedPageBreak/>
              <w:t xml:space="preserve"> </w:t>
            </w:r>
          </w:p>
          <w:p w14:paraId="5389C42E" w14:textId="77777777" w:rsidR="007B7514" w:rsidRDefault="007B7514" w:rsidP="00A6302C">
            <w:pPr>
              <w:jc w:val="center"/>
            </w:pPr>
            <w:r w:rsidRPr="31FF9146">
              <w:rPr>
                <w:rFonts w:eastAsia="Arial" w:cs="Arial"/>
                <w:color w:val="000000" w:themeColor="text1"/>
                <w:sz w:val="22"/>
                <w:szCs w:val="22"/>
                <w:lang w:val="es-MX"/>
              </w:rPr>
              <w:t xml:space="preserve"> </w:t>
            </w:r>
          </w:p>
          <w:p w14:paraId="6737E968" w14:textId="77777777" w:rsidR="007B7514" w:rsidRDefault="007B7514" w:rsidP="00A6302C">
            <w:pPr>
              <w:jc w:val="center"/>
            </w:pPr>
            <w:r w:rsidRPr="31FF9146">
              <w:rPr>
                <w:rFonts w:eastAsia="Arial" w:cs="Arial"/>
                <w:color w:val="000000" w:themeColor="text1"/>
                <w:sz w:val="22"/>
                <w:szCs w:val="22"/>
                <w:lang w:val="es-MX"/>
              </w:rPr>
              <w:t xml:space="preserve"> </w:t>
            </w:r>
          </w:p>
          <w:p w14:paraId="67022CAC" w14:textId="77777777" w:rsidR="007B7514" w:rsidRDefault="007B7514" w:rsidP="00A6302C">
            <w:pPr>
              <w:jc w:val="center"/>
            </w:pPr>
            <w:r w:rsidRPr="31FF9146">
              <w:rPr>
                <w:rFonts w:eastAsia="Arial" w:cs="Arial"/>
                <w:color w:val="000000" w:themeColor="text1"/>
                <w:sz w:val="22"/>
                <w:szCs w:val="22"/>
                <w:lang w:val="es-MX"/>
              </w:rPr>
              <w:t xml:space="preserve"> </w:t>
            </w:r>
          </w:p>
          <w:p w14:paraId="59789FEB" w14:textId="77777777" w:rsidR="007B7514" w:rsidRDefault="007B7514" w:rsidP="00A6302C">
            <w:pPr>
              <w:jc w:val="center"/>
            </w:pPr>
            <w:r w:rsidRPr="31FF9146">
              <w:rPr>
                <w:rFonts w:eastAsia="Arial" w:cs="Arial"/>
                <w:color w:val="000000" w:themeColor="text1"/>
                <w:sz w:val="22"/>
                <w:szCs w:val="22"/>
                <w:lang w:val="es-MX"/>
              </w:rPr>
              <w:t xml:space="preserve"> </w:t>
            </w:r>
          </w:p>
          <w:p w14:paraId="039BE79F" w14:textId="77777777" w:rsidR="007B7514" w:rsidRDefault="007B7514" w:rsidP="00A6302C">
            <w:pPr>
              <w:jc w:val="center"/>
            </w:pPr>
            <w:r w:rsidRPr="31FF9146">
              <w:rPr>
                <w:rFonts w:eastAsia="Arial" w:cs="Arial"/>
                <w:color w:val="000000" w:themeColor="text1"/>
                <w:sz w:val="22"/>
                <w:szCs w:val="22"/>
                <w:lang w:val="es-MX"/>
              </w:rPr>
              <w:t>Seguimiento</w:t>
            </w:r>
          </w:p>
        </w:tc>
        <w:tc>
          <w:tcPr>
            <w:tcW w:w="3337" w:type="dxa"/>
          </w:tcPr>
          <w:p w14:paraId="0F116BCC"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2A612AF5"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Seguimiento mensual al Plan de Acción Anual y a la Matriz de Riesgos por cada uno de los procesos </w:t>
            </w:r>
          </w:p>
          <w:p w14:paraId="6CB9B52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2B682D5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Seguimiento al cumplimiento de los objetivos y metas institucionales, a través, de la generación de los diferentes reportes de entidades externas.</w:t>
            </w:r>
          </w:p>
          <w:p w14:paraId="56A0C3EA"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7088C94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tc>
        <w:tc>
          <w:tcPr>
            <w:tcW w:w="3901" w:type="dxa"/>
          </w:tcPr>
          <w:p w14:paraId="4A9E06B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Seguimiento trimestral al Plan de Acción Anual y a la Matriz de Riesgos por cada uno de los procesos.</w:t>
            </w:r>
          </w:p>
          <w:p w14:paraId="2B73E881"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18AB70C9"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Seguimiento al Plan de Acción Anual mediante la herramienta Planner de Office.</w:t>
            </w:r>
          </w:p>
          <w:p w14:paraId="04129348"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57A8F6D7"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Seguimiento al cumplimiento de los objetivos y metas institucionales, a través, de la generación de los diferentes reportes de entidades externas  </w:t>
            </w:r>
          </w:p>
        </w:tc>
      </w:tr>
      <w:tr w:rsidR="007B7514" w14:paraId="19E288D1" w14:textId="77777777" w:rsidTr="00350BFA">
        <w:trPr>
          <w:trHeight w:val="285"/>
        </w:trPr>
        <w:tc>
          <w:tcPr>
            <w:cnfStyle w:val="001000000000" w:firstRow="0" w:lastRow="0" w:firstColumn="1" w:lastColumn="0" w:oddVBand="0" w:evenVBand="0" w:oddHBand="0" w:evenHBand="0" w:firstRowFirstColumn="0" w:firstRowLastColumn="0" w:lastRowFirstColumn="0" w:lastRowLastColumn="0"/>
            <w:tcW w:w="2122" w:type="dxa"/>
          </w:tcPr>
          <w:p w14:paraId="45F02D80" w14:textId="77777777" w:rsidR="007B7514" w:rsidRDefault="007B7514" w:rsidP="00A6302C">
            <w:pPr>
              <w:jc w:val="center"/>
            </w:pPr>
            <w:r w:rsidRPr="31FF9146">
              <w:rPr>
                <w:rFonts w:eastAsia="Arial" w:cs="Arial"/>
                <w:color w:val="000000" w:themeColor="text1"/>
                <w:sz w:val="22"/>
                <w:szCs w:val="22"/>
                <w:lang w:val="es-MX"/>
              </w:rPr>
              <w:t xml:space="preserve"> </w:t>
            </w:r>
          </w:p>
          <w:p w14:paraId="2A0E640A" w14:textId="77777777" w:rsidR="007B7514" w:rsidRDefault="007B7514" w:rsidP="00A6302C">
            <w:pPr>
              <w:jc w:val="center"/>
            </w:pPr>
            <w:r w:rsidRPr="31FF9146">
              <w:rPr>
                <w:rFonts w:eastAsia="Arial" w:cs="Arial"/>
                <w:color w:val="000000" w:themeColor="text1"/>
                <w:sz w:val="22"/>
                <w:szCs w:val="22"/>
                <w:lang w:val="es-MX"/>
              </w:rPr>
              <w:t xml:space="preserve"> </w:t>
            </w:r>
          </w:p>
          <w:p w14:paraId="052093A0" w14:textId="77777777" w:rsidR="007B7514" w:rsidRDefault="007B7514" w:rsidP="00A6302C">
            <w:pPr>
              <w:jc w:val="center"/>
            </w:pPr>
            <w:r w:rsidRPr="31FF9146">
              <w:rPr>
                <w:rFonts w:eastAsia="Arial" w:cs="Arial"/>
                <w:color w:val="000000" w:themeColor="text1"/>
                <w:sz w:val="22"/>
                <w:szCs w:val="22"/>
                <w:lang w:val="es-MX"/>
              </w:rPr>
              <w:t xml:space="preserve"> </w:t>
            </w:r>
          </w:p>
          <w:p w14:paraId="4DCC193F" w14:textId="77777777" w:rsidR="007B7514" w:rsidRDefault="007B7514" w:rsidP="00A6302C">
            <w:pPr>
              <w:jc w:val="center"/>
            </w:pPr>
            <w:r w:rsidRPr="31FF9146">
              <w:rPr>
                <w:rFonts w:eastAsia="Arial" w:cs="Arial"/>
                <w:color w:val="000000" w:themeColor="text1"/>
                <w:sz w:val="22"/>
                <w:szCs w:val="22"/>
                <w:lang w:val="es-MX"/>
              </w:rPr>
              <w:t xml:space="preserve"> </w:t>
            </w:r>
          </w:p>
          <w:p w14:paraId="29F1619A" w14:textId="77777777" w:rsidR="007B7514" w:rsidRDefault="007B7514" w:rsidP="00A6302C">
            <w:pPr>
              <w:jc w:val="center"/>
              <w:rPr>
                <w:rFonts w:eastAsia="Arial" w:cs="Arial"/>
                <w:b w:val="0"/>
                <w:bCs w:val="0"/>
                <w:color w:val="000000" w:themeColor="text1"/>
                <w:sz w:val="22"/>
                <w:szCs w:val="22"/>
                <w:lang w:val="es-MX"/>
              </w:rPr>
            </w:pPr>
            <w:r w:rsidRPr="31FF9146">
              <w:rPr>
                <w:rFonts w:eastAsia="Arial" w:cs="Arial"/>
                <w:color w:val="000000" w:themeColor="text1"/>
                <w:sz w:val="22"/>
                <w:szCs w:val="22"/>
                <w:lang w:val="es-MX"/>
              </w:rPr>
              <w:t xml:space="preserve"> </w:t>
            </w:r>
          </w:p>
          <w:p w14:paraId="2C3A1103" w14:textId="77777777" w:rsidR="007B7514" w:rsidRDefault="007B7514" w:rsidP="00A6302C">
            <w:pPr>
              <w:jc w:val="center"/>
              <w:rPr>
                <w:rFonts w:eastAsia="Arial" w:cs="Arial"/>
                <w:b w:val="0"/>
                <w:bCs w:val="0"/>
                <w:color w:val="000000" w:themeColor="text1"/>
                <w:sz w:val="22"/>
                <w:szCs w:val="22"/>
                <w:lang w:val="es-MX"/>
              </w:rPr>
            </w:pPr>
          </w:p>
          <w:p w14:paraId="4AAB5F2E" w14:textId="77777777" w:rsidR="007B7514" w:rsidRDefault="007B7514" w:rsidP="00A6302C">
            <w:pPr>
              <w:jc w:val="center"/>
              <w:rPr>
                <w:rFonts w:eastAsia="Arial" w:cs="Arial"/>
                <w:b w:val="0"/>
                <w:bCs w:val="0"/>
                <w:color w:val="000000" w:themeColor="text1"/>
                <w:sz w:val="22"/>
                <w:szCs w:val="22"/>
                <w:lang w:val="es-MX"/>
              </w:rPr>
            </w:pPr>
          </w:p>
          <w:p w14:paraId="2B6F3F4E" w14:textId="77777777" w:rsidR="007B7514" w:rsidRDefault="007B7514" w:rsidP="00A6302C">
            <w:pPr>
              <w:jc w:val="center"/>
            </w:pPr>
          </w:p>
          <w:p w14:paraId="65DC53C6" w14:textId="77777777" w:rsidR="007B7514" w:rsidRDefault="007B7514" w:rsidP="00A6302C">
            <w:pPr>
              <w:jc w:val="center"/>
            </w:pPr>
            <w:r w:rsidRPr="31FF9146">
              <w:rPr>
                <w:rFonts w:eastAsia="Arial" w:cs="Arial"/>
                <w:color w:val="000000" w:themeColor="text1"/>
                <w:sz w:val="22"/>
                <w:szCs w:val="22"/>
                <w:lang w:val="es-MX"/>
              </w:rPr>
              <w:t xml:space="preserve"> </w:t>
            </w:r>
          </w:p>
          <w:p w14:paraId="5086B4DC" w14:textId="77777777" w:rsidR="007B7514" w:rsidRDefault="007B7514" w:rsidP="00A6302C">
            <w:pPr>
              <w:jc w:val="center"/>
            </w:pPr>
            <w:r w:rsidRPr="31FF9146">
              <w:rPr>
                <w:rFonts w:eastAsia="Arial" w:cs="Arial"/>
                <w:color w:val="000000" w:themeColor="text1"/>
                <w:sz w:val="22"/>
                <w:szCs w:val="22"/>
                <w:lang w:val="es-MX"/>
              </w:rPr>
              <w:t xml:space="preserve"> </w:t>
            </w:r>
          </w:p>
          <w:p w14:paraId="5AD54545" w14:textId="77777777" w:rsidR="007B7514" w:rsidRDefault="007B7514" w:rsidP="00A6302C">
            <w:pPr>
              <w:jc w:val="center"/>
            </w:pPr>
            <w:r w:rsidRPr="31FF9146">
              <w:rPr>
                <w:rFonts w:eastAsia="Arial" w:cs="Arial"/>
                <w:color w:val="000000" w:themeColor="text1"/>
                <w:sz w:val="22"/>
                <w:szCs w:val="22"/>
                <w:lang w:val="es-MX"/>
              </w:rPr>
              <w:t xml:space="preserve"> </w:t>
            </w:r>
          </w:p>
          <w:p w14:paraId="42CF50BE" w14:textId="77777777" w:rsidR="007B7514" w:rsidRDefault="007B7514" w:rsidP="00A6302C">
            <w:pPr>
              <w:jc w:val="center"/>
              <w:rPr>
                <w:rFonts w:eastAsia="Arial" w:cs="Arial"/>
                <w:b w:val="0"/>
                <w:bCs w:val="0"/>
                <w:color w:val="000000" w:themeColor="text1"/>
                <w:sz w:val="22"/>
                <w:szCs w:val="22"/>
                <w:lang w:val="es-MX"/>
              </w:rPr>
            </w:pPr>
          </w:p>
          <w:p w14:paraId="26595959" w14:textId="77777777" w:rsidR="007B7514" w:rsidRDefault="007B7514" w:rsidP="00A6302C">
            <w:pPr>
              <w:jc w:val="center"/>
              <w:rPr>
                <w:rFonts w:eastAsia="Arial" w:cs="Arial"/>
                <w:b w:val="0"/>
                <w:bCs w:val="0"/>
                <w:color w:val="000000" w:themeColor="text1"/>
                <w:sz w:val="22"/>
                <w:szCs w:val="22"/>
                <w:lang w:val="es-MX"/>
              </w:rPr>
            </w:pPr>
          </w:p>
          <w:p w14:paraId="4CC57A62" w14:textId="77777777" w:rsidR="007B7514" w:rsidRDefault="007B7514" w:rsidP="00A6302C">
            <w:pPr>
              <w:jc w:val="center"/>
              <w:rPr>
                <w:rFonts w:eastAsia="Arial" w:cs="Arial"/>
                <w:b w:val="0"/>
                <w:bCs w:val="0"/>
                <w:color w:val="000000" w:themeColor="text1"/>
                <w:sz w:val="22"/>
                <w:szCs w:val="22"/>
                <w:lang w:val="es-MX"/>
              </w:rPr>
            </w:pPr>
          </w:p>
          <w:p w14:paraId="4EF4CD47" w14:textId="77777777" w:rsidR="007B7514" w:rsidRDefault="007B7514" w:rsidP="00A6302C">
            <w:pPr>
              <w:jc w:val="center"/>
              <w:rPr>
                <w:rFonts w:eastAsia="Arial" w:cs="Arial"/>
                <w:b w:val="0"/>
                <w:bCs w:val="0"/>
                <w:color w:val="000000" w:themeColor="text1"/>
                <w:sz w:val="22"/>
                <w:szCs w:val="22"/>
                <w:lang w:val="es-MX"/>
              </w:rPr>
            </w:pPr>
          </w:p>
          <w:p w14:paraId="2074082B" w14:textId="77777777" w:rsidR="007B7514" w:rsidRDefault="007B7514" w:rsidP="00A6302C">
            <w:pPr>
              <w:jc w:val="center"/>
              <w:rPr>
                <w:rFonts w:eastAsia="Arial" w:cs="Arial"/>
                <w:b w:val="0"/>
                <w:bCs w:val="0"/>
                <w:color w:val="000000" w:themeColor="text1"/>
                <w:sz w:val="22"/>
                <w:szCs w:val="22"/>
                <w:lang w:val="es-MX"/>
              </w:rPr>
            </w:pPr>
          </w:p>
          <w:p w14:paraId="1E6A1843" w14:textId="77777777" w:rsidR="007B7514" w:rsidRDefault="007B7514" w:rsidP="00A6302C">
            <w:pPr>
              <w:jc w:val="center"/>
              <w:rPr>
                <w:rFonts w:eastAsia="Arial" w:cs="Arial"/>
                <w:b w:val="0"/>
                <w:bCs w:val="0"/>
                <w:color w:val="000000" w:themeColor="text1"/>
                <w:sz w:val="22"/>
                <w:szCs w:val="22"/>
                <w:lang w:val="es-MX"/>
              </w:rPr>
            </w:pPr>
          </w:p>
          <w:p w14:paraId="6731967B" w14:textId="77777777" w:rsidR="007B7514" w:rsidRDefault="007B7514" w:rsidP="00A6302C">
            <w:pPr>
              <w:jc w:val="center"/>
            </w:pPr>
            <w:r w:rsidRPr="31FF9146">
              <w:rPr>
                <w:rFonts w:eastAsia="Arial" w:cs="Arial"/>
                <w:color w:val="000000" w:themeColor="text1"/>
                <w:sz w:val="22"/>
                <w:szCs w:val="22"/>
                <w:lang w:val="es-MX"/>
              </w:rPr>
              <w:t>Procedimientos</w:t>
            </w:r>
          </w:p>
          <w:p w14:paraId="7466EC35" w14:textId="77777777" w:rsidR="007B7514" w:rsidRDefault="007B7514" w:rsidP="00A6302C">
            <w:pPr>
              <w:jc w:val="center"/>
            </w:pPr>
            <w:r w:rsidRPr="31FF9146">
              <w:rPr>
                <w:rFonts w:eastAsia="Arial" w:cs="Arial"/>
                <w:color w:val="000000" w:themeColor="text1"/>
                <w:sz w:val="22"/>
                <w:szCs w:val="22"/>
                <w:lang w:val="es-MX"/>
              </w:rPr>
              <w:t xml:space="preserve"> </w:t>
            </w:r>
          </w:p>
        </w:tc>
        <w:tc>
          <w:tcPr>
            <w:tcW w:w="3337" w:type="dxa"/>
          </w:tcPr>
          <w:p w14:paraId="2B80B34D"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 </w:t>
            </w:r>
          </w:p>
          <w:p w14:paraId="036B692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4AAE421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1A29E09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5399ED33"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532DB064"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Gestión Agrológica:</w:t>
            </w:r>
            <w:r w:rsidRPr="002E6D2D">
              <w:rPr>
                <w:rFonts w:eastAsia="Arial" w:cs="Arial"/>
                <w:color w:val="000000" w:themeColor="text1"/>
                <w:sz w:val="20"/>
                <w:szCs w:val="20"/>
                <w:lang w:val="es-MX"/>
              </w:rPr>
              <w:t xml:space="preserve"> 10 manuales de procedimientos que permitían identificar las actividades del Laboratorio Nacional de Suelos y la Subdirección de Agrología, vigentes entre el 2014 al 2017.</w:t>
            </w:r>
          </w:p>
          <w:p w14:paraId="1AD4D7A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7260F32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0C5D442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710CB1D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0F0F2986"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b/>
                <w:bCs/>
                <w:color w:val="000000" w:themeColor="text1"/>
                <w:sz w:val="20"/>
                <w:szCs w:val="20"/>
                <w:lang w:val="es-MX"/>
              </w:rPr>
            </w:pPr>
          </w:p>
          <w:p w14:paraId="53B8B7F2"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Gestión Cartográfica:</w:t>
            </w:r>
            <w:r w:rsidRPr="002E6D2D">
              <w:rPr>
                <w:rFonts w:eastAsia="Arial" w:cs="Arial"/>
                <w:color w:val="000000" w:themeColor="text1"/>
                <w:sz w:val="20"/>
                <w:szCs w:val="20"/>
                <w:lang w:val="es-MX"/>
              </w:rPr>
              <w:t xml:space="preserve"> 16 manuales de procedimientos, vigentes entre el 2008 al 2018</w:t>
            </w:r>
          </w:p>
          <w:p w14:paraId="70759694"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Gestión Geodésica:</w:t>
            </w:r>
            <w:r w:rsidRPr="002E6D2D">
              <w:rPr>
                <w:rFonts w:eastAsia="Arial" w:cs="Arial"/>
                <w:color w:val="000000" w:themeColor="text1"/>
                <w:sz w:val="20"/>
                <w:szCs w:val="20"/>
                <w:lang w:val="es-MX"/>
              </w:rPr>
              <w:t xml:space="preserve"> 7 manuales de procedimiento, vigentes entre el 2017 y 2018.</w:t>
            </w:r>
          </w:p>
          <w:p w14:paraId="6A1E9989"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Gestión Geográfica: </w:t>
            </w:r>
            <w:r w:rsidRPr="002E6D2D">
              <w:rPr>
                <w:rFonts w:eastAsia="Arial" w:cs="Arial"/>
                <w:color w:val="000000" w:themeColor="text1"/>
                <w:sz w:val="20"/>
                <w:szCs w:val="20"/>
                <w:lang w:val="es-MX"/>
              </w:rPr>
              <w:t>4 manuales de procedimiento, vigentes entre el 2012 y 2018.</w:t>
            </w:r>
          </w:p>
        </w:tc>
        <w:tc>
          <w:tcPr>
            <w:tcW w:w="3901" w:type="dxa"/>
          </w:tcPr>
          <w:p w14:paraId="32F4FAA8"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Identificadas las fortalezas que cada uno de estos procesos generan para el IGAC se consolidan en un nuevo proceso, el Proceso de </w:t>
            </w:r>
            <w:r w:rsidRPr="002E6D2D">
              <w:rPr>
                <w:rFonts w:eastAsia="Arial" w:cs="Arial"/>
                <w:b/>
                <w:bCs/>
                <w:color w:val="000000" w:themeColor="text1"/>
                <w:sz w:val="20"/>
                <w:szCs w:val="20"/>
                <w:lang w:val="es-MX"/>
              </w:rPr>
              <w:t>Gestión de Información Geográfica</w:t>
            </w:r>
            <w:r w:rsidRPr="002E6D2D">
              <w:rPr>
                <w:rFonts w:eastAsia="Arial" w:cs="Arial"/>
                <w:color w:val="000000" w:themeColor="text1"/>
                <w:sz w:val="20"/>
                <w:szCs w:val="20"/>
                <w:lang w:val="es-MX"/>
              </w:rPr>
              <w:t>, permitiendo así especializar sus actividades en los siguientes subprocesos:</w:t>
            </w:r>
          </w:p>
          <w:p w14:paraId="7B40C95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7F79AF7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Gestión Agrológica:</w:t>
            </w:r>
            <w:r w:rsidRPr="002E6D2D">
              <w:rPr>
                <w:rFonts w:eastAsia="Arial" w:cs="Arial"/>
                <w:color w:val="000000" w:themeColor="text1"/>
                <w:sz w:val="20"/>
                <w:szCs w:val="20"/>
                <w:lang w:val="es-MX"/>
              </w:rPr>
              <w:t xml:space="preserve"> se actualizan 10 procedimientos y están en proceso de actualización 2 manuales de procedimiento.</w:t>
            </w:r>
          </w:p>
          <w:p w14:paraId="7A4CD7A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70FAB5ED"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Gestión Cartográfica: </w:t>
            </w:r>
            <w:r w:rsidRPr="002E6D2D">
              <w:rPr>
                <w:rFonts w:eastAsia="Arial" w:cs="Arial"/>
                <w:color w:val="000000" w:themeColor="text1"/>
                <w:sz w:val="20"/>
                <w:szCs w:val="20"/>
                <w:lang w:val="es-MX"/>
              </w:rPr>
              <w:t>se actualizan</w:t>
            </w:r>
            <w:r w:rsidRPr="002E6D2D">
              <w:rPr>
                <w:rFonts w:eastAsia="Arial" w:cs="Arial"/>
                <w:b/>
                <w:bCs/>
                <w:color w:val="000000" w:themeColor="text1"/>
                <w:sz w:val="20"/>
                <w:szCs w:val="20"/>
                <w:lang w:val="es-MX"/>
              </w:rPr>
              <w:t xml:space="preserve"> </w:t>
            </w:r>
            <w:r w:rsidRPr="002E6D2D">
              <w:rPr>
                <w:rFonts w:eastAsia="Arial" w:cs="Arial"/>
                <w:color w:val="000000" w:themeColor="text1"/>
                <w:sz w:val="20"/>
                <w:szCs w:val="20"/>
                <w:lang w:val="es-MX"/>
              </w:rPr>
              <w:t>2 procedimientos y están en proceso de actualización 10 documentos.</w:t>
            </w:r>
          </w:p>
          <w:p w14:paraId="5D223A36"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051FFFDD"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Gestión Geodésica: </w:t>
            </w:r>
            <w:r w:rsidRPr="002E6D2D">
              <w:rPr>
                <w:rFonts w:eastAsia="Arial" w:cs="Arial"/>
                <w:color w:val="000000" w:themeColor="text1"/>
                <w:sz w:val="20"/>
                <w:szCs w:val="20"/>
                <w:lang w:val="es-MX"/>
              </w:rPr>
              <w:t>se deroga un manual de procedimiento y están en proceso de actualización 6 de procedimiento</w:t>
            </w:r>
          </w:p>
          <w:p w14:paraId="37A77762"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w:t>
            </w:r>
          </w:p>
          <w:p w14:paraId="2E9BC9FD"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b/>
                <w:bCs/>
                <w:color w:val="000000" w:themeColor="text1"/>
                <w:sz w:val="20"/>
                <w:szCs w:val="20"/>
                <w:lang w:val="es-MX"/>
              </w:rPr>
              <w:t xml:space="preserve">Gestión Geográfica: </w:t>
            </w:r>
            <w:r w:rsidRPr="002E6D2D">
              <w:rPr>
                <w:rFonts w:eastAsia="Arial" w:cs="Arial"/>
                <w:color w:val="000000" w:themeColor="text1"/>
                <w:sz w:val="20"/>
                <w:szCs w:val="20"/>
                <w:lang w:val="es-MX"/>
              </w:rPr>
              <w:t>se actualizan 3 procedimientos y están en proceso de actualización 2 manuales de procedimiento.</w:t>
            </w:r>
          </w:p>
          <w:p w14:paraId="29A0AB27"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13D2D282"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Cabe resaltar que el proceso se encuentra actualizando toda su documentación teniendo en cuenta la nueva estructura del IGAC y sus competencias.</w:t>
            </w:r>
          </w:p>
        </w:tc>
      </w:tr>
      <w:tr w:rsidR="007B7514" w14:paraId="31295304" w14:textId="77777777" w:rsidTr="00350BFA">
        <w:trPr>
          <w:trHeight w:val="285"/>
        </w:trPr>
        <w:tc>
          <w:tcPr>
            <w:cnfStyle w:val="001000000000" w:firstRow="0" w:lastRow="0" w:firstColumn="1" w:lastColumn="0" w:oddVBand="0" w:evenVBand="0" w:oddHBand="0" w:evenHBand="0" w:firstRowFirstColumn="0" w:firstRowLastColumn="0" w:lastRowFirstColumn="0" w:lastRowLastColumn="0"/>
            <w:tcW w:w="2122" w:type="dxa"/>
            <w:shd w:val="clear" w:color="auto" w:fill="DBE5F1" w:themeFill="accent1" w:themeFillTint="33"/>
          </w:tcPr>
          <w:p w14:paraId="22A76742" w14:textId="77777777" w:rsidR="007B7514" w:rsidRDefault="007B7514" w:rsidP="00A6302C">
            <w:pPr>
              <w:jc w:val="center"/>
            </w:pPr>
            <w:r w:rsidRPr="31FF9146">
              <w:rPr>
                <w:rFonts w:eastAsia="Arial" w:cs="Arial"/>
                <w:color w:val="000000" w:themeColor="text1"/>
                <w:sz w:val="22"/>
                <w:szCs w:val="22"/>
                <w:lang w:val="es-MX"/>
              </w:rPr>
              <w:t xml:space="preserve"> </w:t>
            </w:r>
          </w:p>
          <w:p w14:paraId="0B3124B3" w14:textId="77777777" w:rsidR="007B7514" w:rsidRDefault="007B7514" w:rsidP="00A6302C">
            <w:pPr>
              <w:jc w:val="center"/>
              <w:rPr>
                <w:rFonts w:eastAsia="Arial" w:cs="Arial"/>
                <w:b w:val="0"/>
                <w:bCs w:val="0"/>
                <w:color w:val="000000" w:themeColor="text1"/>
                <w:sz w:val="22"/>
                <w:szCs w:val="22"/>
                <w:lang w:val="es-MX"/>
              </w:rPr>
            </w:pPr>
            <w:r w:rsidRPr="31FF9146">
              <w:rPr>
                <w:rFonts w:eastAsia="Arial" w:cs="Arial"/>
                <w:color w:val="000000" w:themeColor="text1"/>
                <w:sz w:val="22"/>
                <w:szCs w:val="22"/>
                <w:lang w:val="es-MX"/>
              </w:rPr>
              <w:t xml:space="preserve"> </w:t>
            </w:r>
          </w:p>
          <w:p w14:paraId="775992B5" w14:textId="77777777" w:rsidR="007B7514" w:rsidRDefault="007B7514" w:rsidP="00A6302C">
            <w:pPr>
              <w:jc w:val="center"/>
              <w:rPr>
                <w:rFonts w:eastAsia="Arial" w:cs="Arial"/>
                <w:b w:val="0"/>
                <w:bCs w:val="0"/>
                <w:color w:val="000000" w:themeColor="text1"/>
                <w:sz w:val="22"/>
                <w:szCs w:val="22"/>
                <w:lang w:val="es-MX"/>
              </w:rPr>
            </w:pPr>
          </w:p>
          <w:p w14:paraId="425E25FC" w14:textId="77777777" w:rsidR="007B7514" w:rsidRDefault="007B7514" w:rsidP="00A6302C">
            <w:pPr>
              <w:jc w:val="center"/>
              <w:rPr>
                <w:rFonts w:eastAsia="Arial" w:cs="Arial"/>
                <w:b w:val="0"/>
                <w:bCs w:val="0"/>
                <w:color w:val="000000" w:themeColor="text1"/>
                <w:sz w:val="22"/>
                <w:szCs w:val="22"/>
                <w:lang w:val="es-MX"/>
              </w:rPr>
            </w:pPr>
          </w:p>
          <w:p w14:paraId="30E414AE" w14:textId="77777777" w:rsidR="007B7514" w:rsidRDefault="007B7514" w:rsidP="00A6302C">
            <w:pPr>
              <w:jc w:val="center"/>
              <w:rPr>
                <w:rFonts w:eastAsia="Arial" w:cs="Arial"/>
                <w:b w:val="0"/>
                <w:bCs w:val="0"/>
                <w:color w:val="000000" w:themeColor="text1"/>
                <w:sz w:val="22"/>
                <w:szCs w:val="22"/>
                <w:lang w:val="es-MX"/>
              </w:rPr>
            </w:pPr>
          </w:p>
          <w:p w14:paraId="38FA32C6" w14:textId="77777777" w:rsidR="007B7514" w:rsidRDefault="007B7514" w:rsidP="00A6302C">
            <w:pPr>
              <w:jc w:val="center"/>
              <w:rPr>
                <w:rFonts w:eastAsia="Arial" w:cs="Arial"/>
                <w:b w:val="0"/>
                <w:bCs w:val="0"/>
                <w:color w:val="000000" w:themeColor="text1"/>
                <w:sz w:val="22"/>
                <w:szCs w:val="22"/>
                <w:lang w:val="es-MX"/>
              </w:rPr>
            </w:pPr>
          </w:p>
          <w:p w14:paraId="717AAE6B" w14:textId="77777777" w:rsidR="007B7514" w:rsidRDefault="007B7514" w:rsidP="00A6302C">
            <w:pPr>
              <w:jc w:val="center"/>
              <w:rPr>
                <w:rFonts w:eastAsia="Arial" w:cs="Arial"/>
                <w:b w:val="0"/>
                <w:bCs w:val="0"/>
                <w:color w:val="000000" w:themeColor="text1"/>
                <w:sz w:val="22"/>
                <w:szCs w:val="22"/>
                <w:lang w:val="es-MX"/>
              </w:rPr>
            </w:pPr>
          </w:p>
          <w:p w14:paraId="0A822C92" w14:textId="77777777" w:rsidR="007B7514" w:rsidRDefault="007B7514" w:rsidP="00A6302C">
            <w:pPr>
              <w:jc w:val="center"/>
              <w:rPr>
                <w:rFonts w:eastAsia="Arial" w:cs="Arial"/>
                <w:b w:val="0"/>
                <w:bCs w:val="0"/>
                <w:color w:val="000000" w:themeColor="text1"/>
                <w:sz w:val="22"/>
                <w:szCs w:val="22"/>
                <w:lang w:val="es-MX"/>
              </w:rPr>
            </w:pPr>
          </w:p>
          <w:p w14:paraId="3EF48D85" w14:textId="77777777" w:rsidR="007B7514" w:rsidRDefault="007B7514" w:rsidP="00A6302C">
            <w:pPr>
              <w:jc w:val="center"/>
              <w:rPr>
                <w:rFonts w:eastAsia="Arial" w:cs="Arial"/>
                <w:b w:val="0"/>
                <w:bCs w:val="0"/>
                <w:color w:val="000000" w:themeColor="text1"/>
                <w:sz w:val="22"/>
                <w:szCs w:val="22"/>
                <w:lang w:val="es-MX"/>
              </w:rPr>
            </w:pPr>
          </w:p>
          <w:p w14:paraId="46E5EECC" w14:textId="77777777" w:rsidR="007B7514" w:rsidRDefault="007B7514" w:rsidP="00A6302C">
            <w:pPr>
              <w:jc w:val="center"/>
              <w:rPr>
                <w:rFonts w:eastAsia="Arial" w:cs="Arial"/>
                <w:b w:val="0"/>
                <w:bCs w:val="0"/>
                <w:color w:val="000000" w:themeColor="text1"/>
                <w:sz w:val="22"/>
                <w:szCs w:val="22"/>
                <w:lang w:val="es-MX"/>
              </w:rPr>
            </w:pPr>
          </w:p>
          <w:p w14:paraId="7E06ECE2" w14:textId="77777777" w:rsidR="007B7514" w:rsidRDefault="007B7514" w:rsidP="00A6302C">
            <w:pPr>
              <w:jc w:val="center"/>
              <w:rPr>
                <w:rFonts w:eastAsia="Arial" w:cs="Arial"/>
                <w:b w:val="0"/>
                <w:bCs w:val="0"/>
                <w:color w:val="000000" w:themeColor="text1"/>
                <w:sz w:val="22"/>
                <w:szCs w:val="22"/>
                <w:lang w:val="es-MX"/>
              </w:rPr>
            </w:pPr>
          </w:p>
          <w:p w14:paraId="6ABAA611" w14:textId="77777777" w:rsidR="007B7514" w:rsidRDefault="007B7514" w:rsidP="00A6302C">
            <w:pPr>
              <w:jc w:val="center"/>
              <w:rPr>
                <w:rFonts w:eastAsia="Arial" w:cs="Arial"/>
                <w:b w:val="0"/>
                <w:bCs w:val="0"/>
                <w:color w:val="000000" w:themeColor="text1"/>
                <w:sz w:val="22"/>
                <w:szCs w:val="22"/>
                <w:lang w:val="es-MX"/>
              </w:rPr>
            </w:pPr>
          </w:p>
          <w:p w14:paraId="1581BFB5" w14:textId="77777777" w:rsidR="00307BC1" w:rsidRPr="00307BC1" w:rsidRDefault="00307BC1" w:rsidP="00307BC1">
            <w:pPr>
              <w:jc w:val="center"/>
              <w:rPr>
                <w:rFonts w:eastAsia="Arial" w:cs="Arial"/>
                <w:color w:val="000000" w:themeColor="text1"/>
                <w:sz w:val="22"/>
                <w:szCs w:val="22"/>
                <w:lang w:val="es-MX"/>
              </w:rPr>
            </w:pPr>
          </w:p>
          <w:p w14:paraId="5143C1DC" w14:textId="77777777" w:rsidR="000F5B14" w:rsidRDefault="000F5B14" w:rsidP="00A6302C">
            <w:pPr>
              <w:jc w:val="center"/>
              <w:rPr>
                <w:rFonts w:eastAsia="Arial" w:cs="Arial"/>
                <w:color w:val="000000" w:themeColor="text1"/>
                <w:sz w:val="22"/>
                <w:szCs w:val="22"/>
                <w:lang w:val="es-MX"/>
              </w:rPr>
            </w:pPr>
          </w:p>
          <w:p w14:paraId="6D183CA7" w14:textId="77777777" w:rsidR="000F5B14" w:rsidRDefault="000F5B14" w:rsidP="00A6302C">
            <w:pPr>
              <w:jc w:val="center"/>
              <w:rPr>
                <w:rFonts w:eastAsia="Arial" w:cs="Arial"/>
                <w:color w:val="000000" w:themeColor="text1"/>
                <w:sz w:val="22"/>
                <w:szCs w:val="22"/>
                <w:lang w:val="es-MX"/>
              </w:rPr>
            </w:pPr>
          </w:p>
          <w:p w14:paraId="68DD18BB" w14:textId="77777777" w:rsidR="000F5B14" w:rsidRDefault="000F5B14" w:rsidP="00A6302C">
            <w:pPr>
              <w:jc w:val="center"/>
              <w:rPr>
                <w:rFonts w:eastAsia="Arial" w:cs="Arial"/>
                <w:color w:val="000000" w:themeColor="text1"/>
                <w:sz w:val="22"/>
                <w:szCs w:val="22"/>
                <w:lang w:val="es-MX"/>
              </w:rPr>
            </w:pPr>
          </w:p>
          <w:p w14:paraId="05A6537D" w14:textId="77777777" w:rsidR="000F5B14" w:rsidRDefault="000F5B14" w:rsidP="00A6302C">
            <w:pPr>
              <w:jc w:val="center"/>
              <w:rPr>
                <w:rFonts w:eastAsia="Arial" w:cs="Arial"/>
                <w:color w:val="000000" w:themeColor="text1"/>
                <w:sz w:val="22"/>
                <w:szCs w:val="22"/>
                <w:lang w:val="es-MX"/>
              </w:rPr>
            </w:pPr>
          </w:p>
          <w:p w14:paraId="48B4CCA9" w14:textId="77777777" w:rsidR="000F5B14" w:rsidRDefault="000F5B14" w:rsidP="00A6302C">
            <w:pPr>
              <w:jc w:val="center"/>
              <w:rPr>
                <w:rFonts w:eastAsia="Arial" w:cs="Arial"/>
                <w:color w:val="000000" w:themeColor="text1"/>
                <w:sz w:val="22"/>
                <w:szCs w:val="22"/>
                <w:lang w:val="es-MX"/>
              </w:rPr>
            </w:pPr>
          </w:p>
          <w:p w14:paraId="68D8E175" w14:textId="77777777" w:rsidR="000F5B14" w:rsidRDefault="000F5B14" w:rsidP="00A6302C">
            <w:pPr>
              <w:jc w:val="center"/>
              <w:rPr>
                <w:rFonts w:eastAsia="Arial" w:cs="Arial"/>
                <w:color w:val="000000" w:themeColor="text1"/>
                <w:sz w:val="22"/>
                <w:szCs w:val="22"/>
                <w:lang w:val="es-MX"/>
              </w:rPr>
            </w:pPr>
          </w:p>
          <w:p w14:paraId="48379794" w14:textId="77777777" w:rsidR="000F5B14" w:rsidRDefault="000F5B14" w:rsidP="00A6302C">
            <w:pPr>
              <w:jc w:val="center"/>
              <w:rPr>
                <w:rFonts w:eastAsia="Arial" w:cs="Arial"/>
                <w:color w:val="000000" w:themeColor="text1"/>
                <w:sz w:val="22"/>
                <w:szCs w:val="22"/>
                <w:lang w:val="es-MX"/>
              </w:rPr>
            </w:pPr>
          </w:p>
          <w:p w14:paraId="11D43CCD" w14:textId="77777777" w:rsidR="000F5B14" w:rsidRDefault="000F5B14" w:rsidP="00A6302C">
            <w:pPr>
              <w:jc w:val="center"/>
              <w:rPr>
                <w:rFonts w:eastAsia="Arial" w:cs="Arial"/>
                <w:color w:val="000000" w:themeColor="text1"/>
                <w:sz w:val="22"/>
                <w:szCs w:val="22"/>
                <w:lang w:val="es-MX"/>
              </w:rPr>
            </w:pPr>
          </w:p>
          <w:p w14:paraId="61DBFF06" w14:textId="77777777" w:rsidR="000F5B14" w:rsidRDefault="000F5B14" w:rsidP="00A6302C">
            <w:pPr>
              <w:jc w:val="center"/>
              <w:rPr>
                <w:rFonts w:eastAsia="Arial" w:cs="Arial"/>
                <w:color w:val="000000" w:themeColor="text1"/>
                <w:sz w:val="22"/>
                <w:szCs w:val="22"/>
                <w:lang w:val="es-MX"/>
              </w:rPr>
            </w:pPr>
          </w:p>
          <w:p w14:paraId="7C3420DB" w14:textId="77777777" w:rsidR="000F5B14" w:rsidRDefault="000F5B14" w:rsidP="00A6302C">
            <w:pPr>
              <w:jc w:val="center"/>
              <w:rPr>
                <w:rFonts w:eastAsia="Arial" w:cs="Arial"/>
                <w:color w:val="000000" w:themeColor="text1"/>
                <w:sz w:val="22"/>
                <w:szCs w:val="22"/>
                <w:lang w:val="es-MX"/>
              </w:rPr>
            </w:pPr>
          </w:p>
          <w:p w14:paraId="265F8EAA" w14:textId="77777777" w:rsidR="000F5B14" w:rsidRDefault="000F5B14" w:rsidP="00A6302C">
            <w:pPr>
              <w:jc w:val="center"/>
              <w:rPr>
                <w:rFonts w:eastAsia="Arial" w:cs="Arial"/>
                <w:color w:val="000000" w:themeColor="text1"/>
                <w:sz w:val="22"/>
                <w:szCs w:val="22"/>
                <w:lang w:val="es-MX"/>
              </w:rPr>
            </w:pPr>
          </w:p>
          <w:p w14:paraId="42C097FC" w14:textId="77777777" w:rsidR="000F5B14" w:rsidRDefault="000F5B14" w:rsidP="00A6302C">
            <w:pPr>
              <w:jc w:val="center"/>
              <w:rPr>
                <w:rFonts w:eastAsia="Arial" w:cs="Arial"/>
                <w:color w:val="000000" w:themeColor="text1"/>
                <w:sz w:val="22"/>
                <w:szCs w:val="22"/>
                <w:lang w:val="es-MX"/>
              </w:rPr>
            </w:pPr>
          </w:p>
          <w:p w14:paraId="413F027B" w14:textId="77777777" w:rsidR="000F5B14" w:rsidRDefault="000F5B14" w:rsidP="00A6302C">
            <w:pPr>
              <w:jc w:val="center"/>
              <w:rPr>
                <w:rFonts w:eastAsia="Arial" w:cs="Arial"/>
                <w:color w:val="000000" w:themeColor="text1"/>
                <w:sz w:val="22"/>
                <w:szCs w:val="22"/>
                <w:lang w:val="es-MX"/>
              </w:rPr>
            </w:pPr>
          </w:p>
          <w:p w14:paraId="59260912" w14:textId="77777777" w:rsidR="000F5B14" w:rsidRDefault="000F5B14" w:rsidP="00A6302C">
            <w:pPr>
              <w:jc w:val="center"/>
              <w:rPr>
                <w:rFonts w:eastAsia="Arial" w:cs="Arial"/>
                <w:color w:val="000000" w:themeColor="text1"/>
                <w:sz w:val="22"/>
                <w:szCs w:val="22"/>
                <w:lang w:val="es-MX"/>
              </w:rPr>
            </w:pPr>
          </w:p>
          <w:p w14:paraId="0CCB5CB8" w14:textId="77777777" w:rsidR="000F5B14" w:rsidRDefault="000F5B14" w:rsidP="00A6302C">
            <w:pPr>
              <w:jc w:val="center"/>
              <w:rPr>
                <w:rFonts w:eastAsia="Arial" w:cs="Arial"/>
                <w:color w:val="000000" w:themeColor="text1"/>
                <w:sz w:val="22"/>
                <w:szCs w:val="22"/>
                <w:lang w:val="es-MX"/>
              </w:rPr>
            </w:pPr>
          </w:p>
          <w:p w14:paraId="4656BE38" w14:textId="77777777" w:rsidR="000F5B14" w:rsidRDefault="000F5B14" w:rsidP="00A6302C">
            <w:pPr>
              <w:jc w:val="center"/>
              <w:rPr>
                <w:rFonts w:eastAsia="Arial" w:cs="Arial"/>
                <w:color w:val="000000" w:themeColor="text1"/>
                <w:sz w:val="22"/>
                <w:szCs w:val="22"/>
                <w:lang w:val="es-MX"/>
              </w:rPr>
            </w:pPr>
          </w:p>
          <w:p w14:paraId="1F3E124D" w14:textId="77777777" w:rsidR="000F5B14" w:rsidRDefault="000F5B14" w:rsidP="00A6302C">
            <w:pPr>
              <w:jc w:val="center"/>
              <w:rPr>
                <w:rFonts w:eastAsia="Arial" w:cs="Arial"/>
                <w:b w:val="0"/>
                <w:bCs w:val="0"/>
                <w:color w:val="000000" w:themeColor="text1"/>
                <w:sz w:val="22"/>
                <w:szCs w:val="22"/>
                <w:lang w:val="es-MX"/>
              </w:rPr>
            </w:pPr>
          </w:p>
          <w:p w14:paraId="2DA43AF4" w14:textId="77777777" w:rsidR="007B7514" w:rsidRDefault="007B7514" w:rsidP="00A6302C">
            <w:pPr>
              <w:jc w:val="center"/>
            </w:pPr>
          </w:p>
          <w:p w14:paraId="10765EF6" w14:textId="77777777" w:rsidR="007B7514" w:rsidRDefault="007B7514" w:rsidP="00A6302C">
            <w:pPr>
              <w:jc w:val="center"/>
            </w:pPr>
            <w:r w:rsidRPr="31FF9146">
              <w:rPr>
                <w:rFonts w:eastAsia="Arial" w:cs="Arial"/>
                <w:color w:val="000000" w:themeColor="text1"/>
                <w:sz w:val="22"/>
                <w:szCs w:val="22"/>
                <w:lang w:val="es-MX"/>
              </w:rPr>
              <w:t>Equipo Humano</w:t>
            </w:r>
          </w:p>
        </w:tc>
        <w:tc>
          <w:tcPr>
            <w:tcW w:w="3337" w:type="dxa"/>
            <w:shd w:val="clear" w:color="auto" w:fill="DBE5F1" w:themeFill="accent1" w:themeFillTint="33"/>
          </w:tcPr>
          <w:p w14:paraId="2825BF50"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lastRenderedPageBreak/>
              <w:t xml:space="preserve">El recurso humano de las Subdirección de Geografía y Cartografía, y de la Subdirección de Agrología, desempeñaba sus funciones de acuerdo con lo definido en el Manual de Funciones </w:t>
            </w:r>
            <w:r w:rsidRPr="002E6D2D">
              <w:rPr>
                <w:rFonts w:eastAsia="Arial" w:cs="Arial"/>
                <w:color w:val="000000" w:themeColor="text1"/>
                <w:sz w:val="20"/>
                <w:szCs w:val="20"/>
                <w:lang w:val="es-MX"/>
              </w:rPr>
              <w:lastRenderedPageBreak/>
              <w:t>y a las Resoluciones 991 de 2019 y 1169 de 2018.</w:t>
            </w:r>
          </w:p>
          <w:p w14:paraId="4B291F87"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03AB521E"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Se contaba con una planta de personal de 104 empleos en la Subdirección Cartográfica y Geodésica, con ocupación de 81 funcionarios, así:</w:t>
            </w:r>
          </w:p>
          <w:p w14:paraId="5E79F4B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07AE8DBE"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Directivo: 1</w:t>
            </w:r>
          </w:p>
          <w:p w14:paraId="4E806367"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especializados: 20</w:t>
            </w:r>
          </w:p>
          <w:p w14:paraId="2E7234CB"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universitarios: 24</w:t>
            </w:r>
          </w:p>
          <w:p w14:paraId="6E60296F"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Técnicos operativos: 49</w:t>
            </w:r>
          </w:p>
          <w:p w14:paraId="7A22716B"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Topógrafo: 1</w:t>
            </w:r>
          </w:p>
          <w:p w14:paraId="16661DDE"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Asistenciales: 9</w:t>
            </w:r>
          </w:p>
          <w:p w14:paraId="66949B32"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lang w:val="es-MX"/>
              </w:rPr>
              <w:t xml:space="preserve"> </w:t>
            </w:r>
          </w:p>
          <w:p w14:paraId="6E12CD4A"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Calibri" w:cs="Arial"/>
                <w:color w:val="000000" w:themeColor="text1"/>
                <w:sz w:val="20"/>
                <w:szCs w:val="20"/>
                <w:lang w:val="es-MX"/>
              </w:rPr>
              <w:t>Con respecto a la Subdirección de Agrología y el Laboratorio Nacional de Suelos, antes del rediseño del 2021, así se encontraba la organización de la planta de personal:</w:t>
            </w:r>
          </w:p>
          <w:p w14:paraId="625A80F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Calibri" w:cs="Arial"/>
                <w:color w:val="000000" w:themeColor="text1"/>
                <w:sz w:val="20"/>
                <w:szCs w:val="20"/>
                <w:lang w:val="es-MX"/>
              </w:rPr>
              <w:t xml:space="preserve"> </w:t>
            </w:r>
          </w:p>
          <w:p w14:paraId="4511C7DD"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Calibri" w:cs="Arial"/>
                <w:color w:val="000000" w:themeColor="text1"/>
                <w:sz w:val="20"/>
                <w:szCs w:val="20"/>
              </w:rPr>
              <w:t>Subdirección de Agrología:</w:t>
            </w:r>
          </w:p>
          <w:p w14:paraId="562D3E1A" w14:textId="77777777" w:rsidR="007B7514" w:rsidRPr="002E6D2D" w:rsidRDefault="007B7514" w:rsidP="00A6302C">
            <w:pPr>
              <w:spacing w:line="257"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rPr>
              <w:t xml:space="preserve"> </w:t>
            </w:r>
          </w:p>
          <w:p w14:paraId="20B45CF7"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 xml:space="preserve">Subdirector:  1 </w:t>
            </w:r>
          </w:p>
          <w:p w14:paraId="425F2A53"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especializados:</w:t>
            </w:r>
            <w:r w:rsidRPr="002E6D2D">
              <w:rPr>
                <w:rFonts w:cs="Arial"/>
                <w:color w:val="000000" w:themeColor="text1"/>
                <w:lang w:val="es-MX"/>
              </w:rPr>
              <w:t>13</w:t>
            </w:r>
          </w:p>
          <w:p w14:paraId="57E78DA3"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universitarios:</w:t>
            </w:r>
            <w:r w:rsidRPr="002E6D2D">
              <w:rPr>
                <w:rFonts w:cs="Arial"/>
                <w:color w:val="000000" w:themeColor="text1"/>
                <w:lang w:val="es-MX"/>
              </w:rPr>
              <w:t xml:space="preserve"> 6</w:t>
            </w:r>
          </w:p>
          <w:p w14:paraId="69319E19"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Técnicos operativos:</w:t>
            </w:r>
            <w:r w:rsidRPr="002E6D2D">
              <w:rPr>
                <w:rFonts w:cs="Arial"/>
                <w:color w:val="000000" w:themeColor="text1"/>
                <w:lang w:val="es-MX"/>
              </w:rPr>
              <w:t xml:space="preserve"> 5</w:t>
            </w:r>
          </w:p>
          <w:p w14:paraId="2F8B16E6"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Asistenciales:</w:t>
            </w:r>
            <w:r w:rsidRPr="002E6D2D">
              <w:rPr>
                <w:rFonts w:cs="Arial"/>
                <w:color w:val="000000" w:themeColor="text1"/>
                <w:lang w:val="es-MX"/>
              </w:rPr>
              <w:t xml:space="preserve"> 6</w:t>
            </w:r>
          </w:p>
          <w:p w14:paraId="05FA4C07" w14:textId="77777777" w:rsidR="007B7514" w:rsidRPr="002E6D2D" w:rsidRDefault="007B7514" w:rsidP="00A6302C">
            <w:pPr>
              <w:spacing w:line="254" w:lineRule="auto"/>
              <w:ind w:left="360" w:hanging="360"/>
              <w:jc w:val="both"/>
              <w:cnfStyle w:val="000000000000" w:firstRow="0" w:lastRow="0" w:firstColumn="0" w:lastColumn="0" w:oddVBand="0" w:evenVBand="0" w:oddHBand="0" w:evenHBand="0" w:firstRowFirstColumn="0" w:firstRowLastColumn="0" w:lastRowFirstColumn="0" w:lastRowLastColumn="0"/>
              <w:rPr>
                <w:rFonts w:cs="Arial"/>
                <w:sz w:val="20"/>
                <w:szCs w:val="20"/>
              </w:rPr>
            </w:pPr>
          </w:p>
          <w:p w14:paraId="6E434D2E"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Calibri" w:cs="Arial"/>
                <w:color w:val="000000" w:themeColor="text1"/>
                <w:sz w:val="20"/>
                <w:szCs w:val="20"/>
              </w:rPr>
              <w:t>Laboratorio Nacional de Suelos:</w:t>
            </w:r>
          </w:p>
          <w:p w14:paraId="26F4D719" w14:textId="77777777" w:rsidR="007B7514" w:rsidRPr="002E6D2D" w:rsidRDefault="007B7514" w:rsidP="00A6302C">
            <w:pPr>
              <w:spacing w:line="257" w:lineRule="exact"/>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Calibri" w:cs="Arial"/>
                <w:color w:val="000000" w:themeColor="text1"/>
                <w:sz w:val="20"/>
                <w:szCs w:val="20"/>
              </w:rPr>
              <w:t xml:space="preserve"> </w:t>
            </w:r>
          </w:p>
          <w:p w14:paraId="19EC9773"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especializados:</w:t>
            </w:r>
            <w:r w:rsidRPr="002E6D2D">
              <w:rPr>
                <w:rFonts w:cs="Arial"/>
                <w:color w:val="000000" w:themeColor="text1"/>
                <w:lang w:val="es-MX"/>
              </w:rPr>
              <w:t>1</w:t>
            </w:r>
          </w:p>
          <w:p w14:paraId="247AE78D"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universitarios:</w:t>
            </w:r>
            <w:r w:rsidRPr="002E6D2D">
              <w:rPr>
                <w:rFonts w:cs="Arial"/>
                <w:color w:val="000000" w:themeColor="text1"/>
                <w:lang w:val="es-MX"/>
              </w:rPr>
              <w:t xml:space="preserve"> 5</w:t>
            </w:r>
          </w:p>
          <w:p w14:paraId="1A11DEB9" w14:textId="77777777" w:rsidR="007B7514" w:rsidRPr="002E6D2D" w:rsidRDefault="007B7514" w:rsidP="000A20EE">
            <w:pPr>
              <w:pStyle w:val="Prrafodelista"/>
              <w:numPr>
                <w:ilvl w:val="0"/>
                <w:numId w:val="19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Técnicos operativos:</w:t>
            </w:r>
            <w:r w:rsidRPr="002E6D2D">
              <w:rPr>
                <w:rFonts w:cs="Arial"/>
                <w:color w:val="000000" w:themeColor="text1"/>
                <w:lang w:val="es-MX"/>
              </w:rPr>
              <w:t xml:space="preserve"> 3</w:t>
            </w:r>
          </w:p>
          <w:p w14:paraId="3A9A1229" w14:textId="77777777" w:rsidR="007B7514" w:rsidRDefault="007B7514" w:rsidP="00A6302C">
            <w:pPr>
              <w:spacing w:line="240" w:lineRule="exact"/>
              <w:ind w:left="360" w:hanging="360"/>
              <w:jc w:val="both"/>
              <w:cnfStyle w:val="000000000000" w:firstRow="0" w:lastRow="0" w:firstColumn="0" w:lastColumn="0" w:oddVBand="0" w:evenVBand="0" w:oddHBand="0" w:evenHBand="0" w:firstRowFirstColumn="0" w:firstRowLastColumn="0" w:lastRowFirstColumn="0" w:lastRowLastColumn="0"/>
              <w:rPr>
                <w:rFonts w:eastAsia="Symbol" w:cs="Arial"/>
                <w:color w:val="000000" w:themeColor="text1"/>
                <w:sz w:val="20"/>
                <w:szCs w:val="20"/>
              </w:rPr>
            </w:pPr>
          </w:p>
          <w:p w14:paraId="43B77627" w14:textId="77777777" w:rsidR="007B7514" w:rsidRPr="002E6D2D" w:rsidRDefault="007B7514" w:rsidP="00A6302C">
            <w:pPr>
              <w:spacing w:line="240" w:lineRule="exact"/>
              <w:ind w:left="360" w:hanging="360"/>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2E6D2D">
              <w:rPr>
                <w:rFonts w:eastAsia="Arial" w:cs="Arial"/>
                <w:color w:val="000000" w:themeColor="text1"/>
                <w:sz w:val="20"/>
                <w:szCs w:val="20"/>
                <w:lang w:val="es-MX"/>
              </w:rPr>
              <w:t>Asistenciales:</w:t>
            </w:r>
            <w:r w:rsidRPr="002E6D2D">
              <w:rPr>
                <w:rFonts w:eastAsia="Calibri" w:cs="Arial"/>
                <w:color w:val="000000" w:themeColor="text1"/>
                <w:sz w:val="20"/>
                <w:szCs w:val="20"/>
                <w:lang w:val="es-MX"/>
              </w:rPr>
              <w:t xml:space="preserve"> 1</w:t>
            </w:r>
          </w:p>
          <w:p w14:paraId="703C860A"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lang w:val="es-MX"/>
              </w:rPr>
              <w:t xml:space="preserve"> </w:t>
            </w:r>
          </w:p>
          <w:p w14:paraId="5CEF1F99"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lang w:val="es-MX"/>
              </w:rPr>
              <w:t xml:space="preserve"> </w:t>
            </w:r>
          </w:p>
          <w:p w14:paraId="5C9C150F"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lang w:val="es-MX"/>
              </w:rPr>
              <w:t xml:space="preserve"> </w:t>
            </w:r>
          </w:p>
          <w:p w14:paraId="6AE0D08A"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themeColor="text1"/>
                <w:sz w:val="20"/>
                <w:szCs w:val="20"/>
                <w:lang w:val="es-MX"/>
              </w:rPr>
            </w:pPr>
            <w:r w:rsidRPr="002E6D2D">
              <w:rPr>
                <w:rFonts w:ascii="Calibri" w:eastAsia="Calibri" w:hAnsi="Calibri" w:cs="Calibri"/>
                <w:color w:val="000000" w:themeColor="text1"/>
                <w:sz w:val="20"/>
                <w:szCs w:val="20"/>
                <w:lang w:val="es-MX"/>
              </w:rPr>
              <w:t xml:space="preserve"> </w:t>
            </w:r>
          </w:p>
          <w:p w14:paraId="4DAD342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themeColor="text1"/>
                <w:sz w:val="20"/>
                <w:szCs w:val="20"/>
                <w:lang w:val="es-MX"/>
              </w:rPr>
            </w:pPr>
          </w:p>
          <w:p w14:paraId="08B64C95"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themeColor="text1"/>
                <w:sz w:val="20"/>
                <w:szCs w:val="20"/>
                <w:lang w:val="es-MX"/>
              </w:rPr>
            </w:pPr>
          </w:p>
          <w:p w14:paraId="54A49B23"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p>
          <w:p w14:paraId="49E07198"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No se gestionaron capacitaciones para los funcionarios</w:t>
            </w:r>
          </w:p>
          <w:p w14:paraId="4272B2EE"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tc>
        <w:tc>
          <w:tcPr>
            <w:tcW w:w="3901" w:type="dxa"/>
            <w:shd w:val="clear" w:color="auto" w:fill="DBE5F1" w:themeFill="accent1" w:themeFillTint="33"/>
          </w:tcPr>
          <w:p w14:paraId="45471EB7"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lastRenderedPageBreak/>
              <w:t>A partir de la modernización, la Dirección de Gestión de Información Geográfica y sus respectivas subdirecciones quedó conformada por un equipo de 176 funcionarios así:</w:t>
            </w:r>
          </w:p>
          <w:p w14:paraId="54722C8B"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3B23B713"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lastRenderedPageBreak/>
              <w:t>Directivo: 4</w:t>
            </w:r>
          </w:p>
          <w:p w14:paraId="643320ED"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Jefe de oficina: 1</w:t>
            </w:r>
          </w:p>
          <w:p w14:paraId="188319D0"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especializados: 60</w:t>
            </w:r>
          </w:p>
          <w:p w14:paraId="788201BF"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Profesionales universitarios: 42</w:t>
            </w:r>
          </w:p>
          <w:p w14:paraId="2E89FDA4"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Técnicos operativos: 55</w:t>
            </w:r>
          </w:p>
          <w:p w14:paraId="7ED43CCA" w14:textId="77777777" w:rsidR="007B7514" w:rsidRPr="002E6D2D" w:rsidRDefault="007B7514" w:rsidP="000A20EE">
            <w:pPr>
              <w:pStyle w:val="Prrafodelista"/>
              <w:numPr>
                <w:ilvl w:val="0"/>
                <w:numId w:val="19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2E6D2D">
              <w:rPr>
                <w:rFonts w:eastAsia="Arial" w:cs="Arial"/>
                <w:color w:val="000000" w:themeColor="text1"/>
                <w:lang w:val="es-MX"/>
              </w:rPr>
              <w:t>Asistenciales:14</w:t>
            </w:r>
          </w:p>
          <w:p w14:paraId="2F2D04C6"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Con lo anterior, la DGIG cuenta con perfiles de alta formación, conocimiento y experiencia para desarrollar las labores.</w:t>
            </w:r>
          </w:p>
          <w:p w14:paraId="6D1CEF47"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0A145E59"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Adicionalmente, con el ánimo de fortalecer los conocimientos de los funcionarios, se solicitó incluir en el Plan Institucional de capacitaciones del 2020 y 2021, siete (7) cursos, los cuales beneficiaron a 64 funcionarios, así:</w:t>
            </w:r>
          </w:p>
          <w:p w14:paraId="4A743102" w14:textId="77777777" w:rsidR="007B7514" w:rsidRPr="002E6D2D" w:rsidRDefault="007B7514"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6688E7CD"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sidRPr="002E6D2D">
              <w:rPr>
                <w:rFonts w:ascii="Times New Roman" w:hAnsi="Times New Roman"/>
                <w:color w:val="000000" w:themeColor="text1"/>
                <w:sz w:val="20"/>
                <w:szCs w:val="20"/>
                <w:lang w:val="es-MX"/>
              </w:rPr>
              <w:t xml:space="preserve"> </w:t>
            </w:r>
            <w:r w:rsidRPr="002E6D2D">
              <w:rPr>
                <w:rFonts w:eastAsia="Arial" w:cs="Arial"/>
                <w:color w:val="000000" w:themeColor="text1"/>
                <w:sz w:val="20"/>
                <w:szCs w:val="20"/>
                <w:lang w:val="es-MX"/>
              </w:rPr>
              <w:t>Certificado de operación técnica de aeronaves no tripuladas, tipo UVAs (4 funcionarios)</w:t>
            </w:r>
          </w:p>
          <w:p w14:paraId="2D3187A7"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Pr>
                <w:rFonts w:ascii="Times New Roman" w:hAnsi="Times New Roman"/>
                <w:color w:val="000000" w:themeColor="text1"/>
                <w:sz w:val="20"/>
                <w:szCs w:val="20"/>
                <w:lang w:val="es-MX"/>
              </w:rPr>
              <w:t xml:space="preserve"> </w:t>
            </w:r>
            <w:r w:rsidRPr="002E6D2D">
              <w:rPr>
                <w:rFonts w:eastAsia="Arial" w:cs="Arial"/>
                <w:color w:val="000000" w:themeColor="text1"/>
                <w:sz w:val="20"/>
                <w:szCs w:val="20"/>
                <w:lang w:val="es-MX"/>
              </w:rPr>
              <w:t>Fortalecimiento de capacidades y entrenamiento para el Marco de Referencia Internacional de Alturas (12 funcionarios)</w:t>
            </w:r>
          </w:p>
          <w:p w14:paraId="602DE5E3"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Pr>
                <w:rFonts w:ascii="Symbol" w:eastAsia="Symbol" w:hAnsi="Symbol" w:cs="Symbol"/>
                <w:color w:val="000000" w:themeColor="text1"/>
                <w:sz w:val="20"/>
                <w:szCs w:val="20"/>
                <w:lang w:val="es-MX"/>
              </w:rPr>
              <w:t></w:t>
            </w:r>
            <w:r w:rsidRPr="002E6D2D">
              <w:rPr>
                <w:rFonts w:eastAsia="Arial" w:cs="Arial"/>
                <w:color w:val="000000" w:themeColor="text1"/>
                <w:sz w:val="20"/>
                <w:szCs w:val="20"/>
                <w:lang w:val="es-MX"/>
              </w:rPr>
              <w:t>Procesamiento de imágenes satelitales (8 funcionarios)</w:t>
            </w:r>
          </w:p>
          <w:p w14:paraId="5BD91599"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Pr>
                <w:rFonts w:ascii="Times New Roman" w:hAnsi="Times New Roman"/>
                <w:color w:val="000000" w:themeColor="text1"/>
                <w:sz w:val="20"/>
                <w:szCs w:val="20"/>
                <w:lang w:val="es-MX"/>
              </w:rPr>
              <w:t xml:space="preserve"> </w:t>
            </w:r>
            <w:r w:rsidRPr="002E6D2D">
              <w:rPr>
                <w:rFonts w:eastAsia="Arial" w:cs="Arial"/>
                <w:color w:val="000000" w:themeColor="text1"/>
                <w:sz w:val="20"/>
                <w:szCs w:val="20"/>
                <w:lang w:val="es-MX"/>
              </w:rPr>
              <w:t>Fortalecimiento de capacidades y entrenamiento para la actualización y cálculo del Modelo Geoidal (12 funcionarios)</w:t>
            </w:r>
          </w:p>
          <w:p w14:paraId="321E6A25"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sidRPr="002E6D2D">
              <w:rPr>
                <w:rFonts w:ascii="Times New Roman" w:hAnsi="Times New Roman"/>
                <w:color w:val="000000" w:themeColor="text1"/>
                <w:sz w:val="20"/>
                <w:szCs w:val="20"/>
                <w:lang w:val="es-MX"/>
              </w:rPr>
              <w:t xml:space="preserve"> </w:t>
            </w:r>
            <w:r w:rsidRPr="00BE419D">
              <w:rPr>
                <w:rFonts w:eastAsia="Arial" w:cs="Arial"/>
                <w:color w:val="000000" w:themeColor="text1"/>
                <w:sz w:val="20"/>
                <w:szCs w:val="20"/>
                <w:lang w:val="es-MX"/>
              </w:rPr>
              <w:t>Procesamiento</w:t>
            </w:r>
            <w:r w:rsidRPr="002E6D2D">
              <w:rPr>
                <w:rFonts w:eastAsia="Arial" w:cs="Arial"/>
                <w:color w:val="000000" w:themeColor="text1"/>
                <w:sz w:val="20"/>
                <w:szCs w:val="20"/>
                <w:lang w:val="es-MX"/>
              </w:rPr>
              <w:t>, validación y uso de datos LIDAR (12 funcionarios)</w:t>
            </w:r>
          </w:p>
          <w:p w14:paraId="53DAE5EE" w14:textId="77777777" w:rsidR="007B7514" w:rsidRPr="002E6D2D" w:rsidRDefault="007B7514" w:rsidP="00A6302C">
            <w:pPr>
              <w:spacing w:line="257" w:lineRule="auto"/>
              <w:ind w:left="106" w:firstLine="35"/>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Symbol" w:eastAsia="Symbol" w:hAnsi="Symbol" w:cs="Symbol"/>
                <w:color w:val="000000" w:themeColor="text1"/>
                <w:sz w:val="20"/>
                <w:szCs w:val="20"/>
                <w:lang w:val="es-MX"/>
              </w:rPr>
              <w:t></w:t>
            </w:r>
            <w:r w:rsidRPr="002E6D2D">
              <w:rPr>
                <w:rFonts w:ascii="Times New Roman" w:hAnsi="Times New Roman"/>
                <w:color w:val="000000" w:themeColor="text1"/>
                <w:sz w:val="20"/>
                <w:szCs w:val="20"/>
                <w:lang w:val="es-MX"/>
              </w:rPr>
              <w:t xml:space="preserve"> </w:t>
            </w:r>
            <w:r w:rsidRPr="002E6D2D">
              <w:rPr>
                <w:rFonts w:eastAsia="Arial" w:cs="Arial"/>
                <w:color w:val="000000" w:themeColor="text1"/>
                <w:sz w:val="20"/>
                <w:szCs w:val="20"/>
                <w:lang w:val="es-MX"/>
              </w:rPr>
              <w:t>Análisis de datos geográficos (6 funcionarios)</w:t>
            </w:r>
          </w:p>
          <w:p w14:paraId="0FB3C929" w14:textId="77777777" w:rsidR="007B7514" w:rsidRPr="00BE419D" w:rsidRDefault="007B7514" w:rsidP="000A20EE">
            <w:pPr>
              <w:pStyle w:val="Prrafodelista"/>
              <w:numPr>
                <w:ilvl w:val="0"/>
                <w:numId w:val="219"/>
              </w:numPr>
              <w:ind w:left="390" w:hanging="284"/>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BE419D">
              <w:rPr>
                <w:rFonts w:eastAsia="Arial" w:cs="Arial"/>
                <w:color w:val="000000" w:themeColor="text1"/>
                <w:lang w:val="es-MX"/>
              </w:rPr>
              <w:t>Tecnologías Geoespaciales (10 funcionarios)</w:t>
            </w:r>
          </w:p>
          <w:p w14:paraId="7F38DA5F" w14:textId="77777777" w:rsidR="007B7514" w:rsidRPr="002E6D2D" w:rsidRDefault="007B7514" w:rsidP="00A6302C">
            <w:pPr>
              <w:spacing w:line="257"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ascii="Calibri" w:eastAsia="Calibri" w:hAnsi="Calibri" w:cs="Calibri"/>
                <w:color w:val="000000" w:themeColor="text1"/>
                <w:sz w:val="20"/>
                <w:szCs w:val="20"/>
                <w:lang w:val="es-MX"/>
              </w:rPr>
              <w:t xml:space="preserve"> </w:t>
            </w:r>
          </w:p>
          <w:p w14:paraId="431E5C5B"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De igual forma, durante la vigencia 2020, 65 funcionarios recibieran el certificado sobre el curso sobre “Fundamentos Generales del MIPG”.</w:t>
            </w:r>
          </w:p>
          <w:p w14:paraId="7EC9F3FC"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24A1FE17"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Así mismo, 76 funcionarios han recibido capacitación en los siguientes temas:</w:t>
            </w:r>
          </w:p>
          <w:p w14:paraId="759D6F6D" w14:textId="77777777" w:rsidR="007B7514" w:rsidRPr="002E6D2D" w:rsidRDefault="007B7514" w:rsidP="00A6302C">
            <w:pPr>
              <w:spacing w:line="257"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 </w:t>
            </w:r>
          </w:p>
          <w:p w14:paraId="33C895D8" w14:textId="77777777" w:rsidR="007B7514" w:rsidRPr="002E6D2D"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rPr>
                <w:sz w:val="20"/>
                <w:szCs w:val="20"/>
              </w:rPr>
            </w:pPr>
            <w:r w:rsidRPr="002E6D2D">
              <w:rPr>
                <w:rFonts w:eastAsia="Arial" w:cs="Arial"/>
                <w:color w:val="000000" w:themeColor="text1"/>
                <w:sz w:val="20"/>
                <w:szCs w:val="20"/>
                <w:lang w:val="es-MX"/>
              </w:rPr>
              <w:t xml:space="preserve">Metodologías de Innovación; Objetivos de desarrollo sostenible; Análisis jurisprudencial; Modelo LADM; Machine Learning; Programación en Pyth-On y R Studio Cloud; Normatividad disciplinaria; Encuentro de saberes; Administración del riesgo; Indicadores de gestión; Lenguaje </w:t>
            </w:r>
            <w:r w:rsidRPr="002E6D2D">
              <w:rPr>
                <w:rFonts w:eastAsia="Arial" w:cs="Arial"/>
                <w:color w:val="000000" w:themeColor="text1"/>
                <w:sz w:val="20"/>
                <w:szCs w:val="20"/>
                <w:lang w:val="es-MX"/>
              </w:rPr>
              <w:lastRenderedPageBreak/>
              <w:t>claro; MIPG – Fundamentos; Integridad, transparencia y lucha contra la corrupción; Aplicaciones office 365; Seguridad y privacidad de la información y seguridad digital; Gestión documental - diagnóstico; Conciencia ambiental; SECOP II.</w:t>
            </w:r>
          </w:p>
        </w:tc>
      </w:tr>
    </w:tbl>
    <w:p w14:paraId="57917DEB" w14:textId="4380D053" w:rsidR="009360B4" w:rsidRDefault="009360B4" w:rsidP="007B7514">
      <w:pPr>
        <w:pStyle w:val="Lista"/>
      </w:pPr>
    </w:p>
    <w:p w14:paraId="0CE86C08" w14:textId="77777777" w:rsidR="009360B4" w:rsidRDefault="009360B4" w:rsidP="007B7514">
      <w:pPr>
        <w:pStyle w:val="Lista"/>
      </w:pPr>
    </w:p>
    <w:p w14:paraId="729E5632" w14:textId="669F52C5" w:rsidR="000A20EE" w:rsidRPr="000A20EE" w:rsidRDefault="007B7514" w:rsidP="00A129BF">
      <w:pPr>
        <w:pStyle w:val="Prrafodelista"/>
        <w:numPr>
          <w:ilvl w:val="2"/>
          <w:numId w:val="22"/>
        </w:numPr>
        <w:rPr>
          <w:b/>
          <w:bCs/>
        </w:rPr>
      </w:pPr>
      <w:r w:rsidRPr="008B0EEE">
        <w:rPr>
          <w:b/>
          <w:bCs/>
        </w:rPr>
        <w:t xml:space="preserve">PROCEDIMIENTOS, INDICADORES Y RIESGOS ASOCIADOS </w:t>
      </w:r>
    </w:p>
    <w:p w14:paraId="7EB19C92" w14:textId="3FC4D738" w:rsidR="00FB69B7" w:rsidRDefault="00FB69B7" w:rsidP="007B7514">
      <w:pPr>
        <w:pStyle w:val="Lista"/>
      </w:pPr>
    </w:p>
    <w:p w14:paraId="7A2670AD" w14:textId="212B19DB" w:rsidR="00350BFA" w:rsidRDefault="007B7514" w:rsidP="007B7514">
      <w:pPr>
        <w:jc w:val="both"/>
        <w:rPr>
          <w:rFonts w:eastAsia="Arial" w:cs="Arial"/>
          <w:color w:val="000000" w:themeColor="text1"/>
          <w:sz w:val="22"/>
          <w:szCs w:val="22"/>
          <w:lang w:val="es"/>
        </w:rPr>
      </w:pPr>
      <w:r w:rsidRPr="31FF9146">
        <w:rPr>
          <w:rFonts w:eastAsia="Arial" w:cs="Arial"/>
          <w:color w:val="000000" w:themeColor="text1"/>
          <w:sz w:val="22"/>
          <w:szCs w:val="22"/>
          <w:lang w:val="es"/>
        </w:rPr>
        <w:t>A continuación, se detallan el total de procedimientos, indicadores y riesgos por subproceso:</w:t>
      </w:r>
    </w:p>
    <w:p w14:paraId="14C3B590" w14:textId="77777777" w:rsidR="00350BFA" w:rsidRDefault="00350BFA" w:rsidP="007B7514">
      <w:pPr>
        <w:jc w:val="both"/>
        <w:rPr>
          <w:rFonts w:eastAsia="Arial" w:cs="Arial"/>
          <w:color w:val="000000" w:themeColor="text1"/>
          <w:sz w:val="22"/>
          <w:szCs w:val="22"/>
          <w:lang w:val="es"/>
        </w:rPr>
      </w:pPr>
    </w:p>
    <w:tbl>
      <w:tblPr>
        <w:tblStyle w:val="Tabladecuadrcula4-nfasis1"/>
        <w:tblW w:w="9629" w:type="dxa"/>
        <w:tblLayout w:type="fixed"/>
        <w:tblLook w:val="06A0" w:firstRow="1" w:lastRow="0" w:firstColumn="1" w:lastColumn="0" w:noHBand="1" w:noVBand="1"/>
      </w:tblPr>
      <w:tblGrid>
        <w:gridCol w:w="2439"/>
        <w:gridCol w:w="2513"/>
        <w:gridCol w:w="1842"/>
        <w:gridCol w:w="1584"/>
        <w:gridCol w:w="1251"/>
      </w:tblGrid>
      <w:tr w:rsidR="007B7514" w14:paraId="6E647066" w14:textId="77777777" w:rsidTr="00A6302C">
        <w:trPr>
          <w:cnfStyle w:val="100000000000" w:firstRow="1" w:lastRow="0" w:firstColumn="0" w:lastColumn="0" w:oddVBand="0" w:evenVBand="0" w:oddHBand="0" w:evenHBand="0" w:firstRowFirstColumn="0" w:firstRowLastColumn="0" w:lastRowFirstColumn="0" w:lastRowLastColumn="0"/>
          <w:trHeight w:val="15"/>
        </w:trPr>
        <w:tc>
          <w:tcPr>
            <w:cnfStyle w:val="001000000000" w:firstRow="0" w:lastRow="0" w:firstColumn="1" w:lastColumn="0" w:oddVBand="0" w:evenVBand="0" w:oddHBand="0" w:evenHBand="0" w:firstRowFirstColumn="0" w:firstRowLastColumn="0" w:lastRowFirstColumn="0" w:lastRowLastColumn="0"/>
            <w:tcW w:w="243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37EF03DF" w14:textId="77777777" w:rsidR="007B7514" w:rsidRDefault="007B7514" w:rsidP="00A6302C">
            <w:pPr>
              <w:jc w:val="center"/>
            </w:pPr>
            <w:r w:rsidRPr="31FF9146">
              <w:rPr>
                <w:rFonts w:eastAsia="Arial" w:cs="Arial"/>
                <w:sz w:val="22"/>
                <w:szCs w:val="22"/>
                <w:lang w:val="es"/>
              </w:rPr>
              <w:t>Proceso</w:t>
            </w:r>
          </w:p>
        </w:tc>
        <w:tc>
          <w:tcPr>
            <w:tcW w:w="251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677460B8"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
              </w:rPr>
              <w:t>Subproceso</w:t>
            </w:r>
          </w:p>
        </w:tc>
        <w:tc>
          <w:tcPr>
            <w:tcW w:w="18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76AF6375"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
              </w:rPr>
              <w:t>Procedimientos</w:t>
            </w:r>
          </w:p>
        </w:tc>
        <w:tc>
          <w:tcPr>
            <w:tcW w:w="15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41877FEE"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
              </w:rPr>
              <w:t>Indicadores</w:t>
            </w:r>
          </w:p>
        </w:tc>
        <w:tc>
          <w:tcPr>
            <w:tcW w:w="125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0643B431"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
              </w:rPr>
              <w:t>Riesgos</w:t>
            </w:r>
          </w:p>
        </w:tc>
      </w:tr>
      <w:tr w:rsidR="007B7514" w14:paraId="2EC6AFDE"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2439" w:type="dxa"/>
            <w:vMerge w:val="restart"/>
            <w:tcBorders>
              <w:top w:val="single" w:sz="8" w:space="0" w:color="FFFFFF" w:themeColor="background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1E38E687" w14:textId="77777777" w:rsidR="007B7514" w:rsidRDefault="007B7514" w:rsidP="00A6302C">
            <w:pPr>
              <w:jc w:val="center"/>
            </w:pPr>
            <w:r w:rsidRPr="31FF9146">
              <w:rPr>
                <w:rFonts w:eastAsia="Arial" w:cs="Arial"/>
                <w:color w:val="000000" w:themeColor="text1"/>
                <w:sz w:val="22"/>
                <w:szCs w:val="22"/>
                <w:lang w:val="es"/>
              </w:rPr>
              <w:t>Gestión de Información Geográfica</w:t>
            </w:r>
          </w:p>
        </w:tc>
        <w:tc>
          <w:tcPr>
            <w:tcW w:w="2513" w:type="dxa"/>
            <w:tcBorders>
              <w:top w:val="single" w:sz="8" w:space="0" w:color="FFFFFF" w:themeColor="background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7F08B0F"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Gestión Agrológica</w:t>
            </w:r>
          </w:p>
        </w:tc>
        <w:tc>
          <w:tcPr>
            <w:tcW w:w="1842" w:type="dxa"/>
            <w:tcBorders>
              <w:top w:val="single" w:sz="8" w:space="0" w:color="FFFFFF" w:themeColor="background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21372E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10</w:t>
            </w:r>
          </w:p>
        </w:tc>
        <w:tc>
          <w:tcPr>
            <w:tcW w:w="1584" w:type="dxa"/>
            <w:tcBorders>
              <w:top w:val="single" w:sz="8" w:space="0" w:color="FFFFFF" w:themeColor="background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2F2BC117"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3</w:t>
            </w:r>
          </w:p>
        </w:tc>
        <w:tc>
          <w:tcPr>
            <w:tcW w:w="1251" w:type="dxa"/>
            <w:tcBorders>
              <w:top w:val="single" w:sz="8" w:space="0" w:color="FFFFFF" w:themeColor="background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C9B598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5</w:t>
            </w:r>
          </w:p>
        </w:tc>
      </w:tr>
      <w:tr w:rsidR="007B7514" w14:paraId="1B5A0F95"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2439" w:type="dxa"/>
            <w:vMerge/>
            <w:tcBorders>
              <w:left w:val="single" w:sz="0" w:space="0" w:color="95B3D7" w:themeColor="accent1" w:themeTint="99"/>
              <w:right w:val="single" w:sz="0" w:space="0" w:color="95B3D7" w:themeColor="accent1" w:themeTint="99"/>
            </w:tcBorders>
            <w:vAlign w:val="center"/>
          </w:tcPr>
          <w:p w14:paraId="17559BFC" w14:textId="77777777" w:rsidR="007B7514" w:rsidRDefault="007B7514" w:rsidP="00A6302C"/>
        </w:tc>
        <w:tc>
          <w:tcPr>
            <w:tcW w:w="2513"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4A4DDF33"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Gestión Cartográfica</w:t>
            </w:r>
          </w:p>
        </w:tc>
        <w:tc>
          <w:tcPr>
            <w:tcW w:w="184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8787A66"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12</w:t>
            </w:r>
          </w:p>
        </w:tc>
        <w:tc>
          <w:tcPr>
            <w:tcW w:w="158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0FC70D9"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8</w:t>
            </w:r>
          </w:p>
        </w:tc>
        <w:tc>
          <w:tcPr>
            <w:tcW w:w="125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F820DD8"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6</w:t>
            </w:r>
          </w:p>
        </w:tc>
      </w:tr>
      <w:tr w:rsidR="007B7514" w14:paraId="7A78E73A"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2439" w:type="dxa"/>
            <w:vMerge/>
            <w:tcBorders>
              <w:left w:val="single" w:sz="0" w:space="0" w:color="95B3D7" w:themeColor="accent1" w:themeTint="99"/>
              <w:right w:val="single" w:sz="0" w:space="0" w:color="95B3D7" w:themeColor="accent1" w:themeTint="99"/>
            </w:tcBorders>
            <w:vAlign w:val="center"/>
          </w:tcPr>
          <w:p w14:paraId="6914811F" w14:textId="77777777" w:rsidR="007B7514" w:rsidRDefault="007B7514" w:rsidP="00A6302C"/>
        </w:tc>
        <w:tc>
          <w:tcPr>
            <w:tcW w:w="2513"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52AA72BA"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Gestión Geodésica</w:t>
            </w:r>
          </w:p>
        </w:tc>
        <w:tc>
          <w:tcPr>
            <w:tcW w:w="184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70003C0F"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6</w:t>
            </w:r>
          </w:p>
        </w:tc>
        <w:tc>
          <w:tcPr>
            <w:tcW w:w="158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540CFA4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10</w:t>
            </w:r>
          </w:p>
        </w:tc>
        <w:tc>
          <w:tcPr>
            <w:tcW w:w="125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10E9F56C"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4</w:t>
            </w:r>
          </w:p>
        </w:tc>
      </w:tr>
      <w:tr w:rsidR="007B7514" w14:paraId="4FA62384"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2439"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0B4BA8B7" w14:textId="77777777" w:rsidR="007B7514" w:rsidRDefault="007B7514" w:rsidP="00A6302C"/>
        </w:tc>
        <w:tc>
          <w:tcPr>
            <w:tcW w:w="2513"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709425B5" w14:textId="77777777" w:rsidR="007B7514" w:rsidRDefault="007B7514" w:rsidP="00A6302C">
            <w:pP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Gestión Geográfica</w:t>
            </w:r>
          </w:p>
        </w:tc>
        <w:tc>
          <w:tcPr>
            <w:tcW w:w="184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E77778D"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5</w:t>
            </w:r>
          </w:p>
        </w:tc>
        <w:tc>
          <w:tcPr>
            <w:tcW w:w="158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8326484"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8</w:t>
            </w:r>
          </w:p>
        </w:tc>
        <w:tc>
          <w:tcPr>
            <w:tcW w:w="125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0470560"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
              </w:rPr>
              <w:t>4</w:t>
            </w:r>
          </w:p>
        </w:tc>
      </w:tr>
      <w:tr w:rsidR="007B7514" w14:paraId="21C91933"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4952" w:type="dxa"/>
            <w:gridSpan w:val="2"/>
            <w:tcBorders>
              <w:top w:val="nil"/>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3AD7185" w14:textId="77777777" w:rsidR="007B7514" w:rsidRPr="00A93FC3" w:rsidRDefault="007B7514" w:rsidP="00A93FC3">
            <w:pPr>
              <w:jc w:val="center"/>
              <w:rPr>
                <w:rFonts w:cs="Arial"/>
              </w:rPr>
            </w:pPr>
            <w:r w:rsidRPr="00A93FC3">
              <w:rPr>
                <w:rFonts w:cs="Arial"/>
                <w:color w:val="000000" w:themeColor="text1"/>
                <w:sz w:val="22"/>
                <w:szCs w:val="22"/>
                <w:lang w:val="es"/>
              </w:rPr>
              <w:t>TOTAL</w:t>
            </w:r>
          </w:p>
        </w:tc>
        <w:tc>
          <w:tcPr>
            <w:tcW w:w="1842"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1FE8CAB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2"/>
                <w:szCs w:val="22"/>
                <w:lang w:val="es"/>
              </w:rPr>
              <w:t>33</w:t>
            </w:r>
          </w:p>
        </w:tc>
        <w:tc>
          <w:tcPr>
            <w:tcW w:w="158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40B6A32E"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2"/>
                <w:szCs w:val="22"/>
                <w:lang w:val="es"/>
              </w:rPr>
              <w:t>29</w:t>
            </w:r>
          </w:p>
        </w:tc>
        <w:tc>
          <w:tcPr>
            <w:tcW w:w="125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99EF27B" w14:textId="77777777" w:rsidR="007B7514" w:rsidRDefault="007B7514"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b/>
                <w:bCs/>
                <w:color w:val="000000" w:themeColor="text1"/>
                <w:sz w:val="22"/>
                <w:szCs w:val="22"/>
                <w:lang w:val="es"/>
              </w:rPr>
              <w:t>19</w:t>
            </w:r>
          </w:p>
        </w:tc>
      </w:tr>
    </w:tbl>
    <w:p w14:paraId="3AD87C10" w14:textId="4950FB08" w:rsidR="007B7514" w:rsidRPr="00111554" w:rsidRDefault="00111554" w:rsidP="00111554">
      <w:pPr>
        <w:jc w:val="center"/>
        <w:rPr>
          <w:rFonts w:eastAsia="Arial" w:cs="Arial"/>
          <w:b/>
          <w:bCs/>
          <w:color w:val="000000" w:themeColor="text1"/>
          <w:sz w:val="16"/>
          <w:szCs w:val="16"/>
          <w:lang w:val="es"/>
        </w:rPr>
      </w:pPr>
      <w:r w:rsidRPr="00111554">
        <w:rPr>
          <w:rFonts w:eastAsia="Arial" w:cs="Arial"/>
          <w:b/>
          <w:bCs/>
          <w:color w:val="000000" w:themeColor="text1"/>
          <w:sz w:val="16"/>
          <w:szCs w:val="16"/>
          <w:lang w:val="es"/>
        </w:rPr>
        <w:t>Fuente: Dirección de Gestión de Información Geográfica</w:t>
      </w:r>
    </w:p>
    <w:p w14:paraId="1E1C570B" w14:textId="368DBA5D" w:rsidR="007B7514" w:rsidRDefault="007B7514" w:rsidP="007B7514">
      <w:pPr>
        <w:jc w:val="both"/>
        <w:rPr>
          <w:rFonts w:eastAsia="Arial" w:cs="Arial"/>
          <w:color w:val="000000" w:themeColor="text1"/>
          <w:sz w:val="22"/>
          <w:szCs w:val="22"/>
          <w:lang w:val="es"/>
        </w:rPr>
      </w:pPr>
    </w:p>
    <w:p w14:paraId="54565C63" w14:textId="368DBA5D" w:rsidR="007B7514" w:rsidRDefault="007B7514" w:rsidP="007B7514">
      <w:pPr>
        <w:jc w:val="both"/>
      </w:pPr>
      <w:r w:rsidRPr="5E3F7ADD">
        <w:rPr>
          <w:rFonts w:eastAsia="Arial" w:cs="Arial"/>
          <w:color w:val="000000" w:themeColor="text1"/>
          <w:sz w:val="22"/>
          <w:szCs w:val="22"/>
          <w:lang w:val="es"/>
        </w:rPr>
        <w:t>Para mayor detalle de la información consultar en:</w:t>
      </w:r>
    </w:p>
    <w:p w14:paraId="1023332F" w14:textId="368DBA5D" w:rsidR="007B7514" w:rsidRDefault="007B7514" w:rsidP="007B7514">
      <w:pPr>
        <w:jc w:val="both"/>
      </w:pPr>
      <w:r w:rsidRPr="5E3F7ADD">
        <w:rPr>
          <w:rFonts w:eastAsia="Arial" w:cs="Arial"/>
          <w:color w:val="000000" w:themeColor="text1"/>
          <w:sz w:val="22"/>
          <w:szCs w:val="22"/>
          <w:lang w:val="es"/>
        </w:rPr>
        <w:t xml:space="preserve"> </w:t>
      </w:r>
    </w:p>
    <w:p w14:paraId="176F8581" w14:textId="7D405869" w:rsidR="007B7514" w:rsidRDefault="007B7514" w:rsidP="00A93FC3">
      <w:pPr>
        <w:pStyle w:val="Prrafodelista"/>
        <w:numPr>
          <w:ilvl w:val="0"/>
          <w:numId w:val="219"/>
        </w:numPr>
      </w:pPr>
      <w:r w:rsidRPr="00A93FC3">
        <w:rPr>
          <w:rFonts w:eastAsia="Arial" w:cs="Arial"/>
          <w:b/>
          <w:bCs/>
          <w:color w:val="000000" w:themeColor="text1"/>
          <w:sz w:val="22"/>
          <w:szCs w:val="22"/>
          <w:lang w:val="es"/>
        </w:rPr>
        <w:t>Procedimientos</w:t>
      </w:r>
      <w:r w:rsidRPr="00A93FC3">
        <w:rPr>
          <w:rFonts w:eastAsia="Arial" w:cs="Arial"/>
          <w:color w:val="000000" w:themeColor="text1"/>
          <w:sz w:val="22"/>
          <w:szCs w:val="22"/>
          <w:lang w:val="es"/>
        </w:rPr>
        <w:t xml:space="preserve">: </w:t>
      </w:r>
      <w:hyperlink r:id="rId92">
        <w:r w:rsidRPr="00A93FC3">
          <w:rPr>
            <w:rStyle w:val="Hipervnculo"/>
            <w:rFonts w:eastAsia="Arial" w:cs="Arial"/>
            <w:sz w:val="22"/>
            <w:szCs w:val="22"/>
            <w:lang w:val="es"/>
          </w:rPr>
          <w:t>https://www.igac.gov.co/es/listado-maestro-de-documentos</w:t>
        </w:r>
      </w:hyperlink>
    </w:p>
    <w:p w14:paraId="2C6175E3" w14:textId="77777777" w:rsidR="007B7514" w:rsidRDefault="007B7514" w:rsidP="00A93FC3">
      <w:pPr>
        <w:pStyle w:val="Prrafodelista"/>
        <w:numPr>
          <w:ilvl w:val="0"/>
          <w:numId w:val="219"/>
        </w:numPr>
      </w:pPr>
      <w:r w:rsidRPr="00A93FC3">
        <w:rPr>
          <w:rFonts w:eastAsia="Arial" w:cs="Arial"/>
          <w:b/>
          <w:bCs/>
          <w:color w:val="000000" w:themeColor="text1"/>
          <w:sz w:val="22"/>
          <w:szCs w:val="22"/>
          <w:lang w:val="es"/>
        </w:rPr>
        <w:t>Indicadores</w:t>
      </w:r>
      <w:r w:rsidRPr="00A93FC3">
        <w:rPr>
          <w:rFonts w:eastAsia="Arial" w:cs="Arial"/>
          <w:color w:val="000000" w:themeColor="text1"/>
          <w:sz w:val="22"/>
          <w:szCs w:val="22"/>
          <w:lang w:val="es"/>
        </w:rPr>
        <w:t xml:space="preserve">: Plan Acción Anual 2021: </w:t>
      </w:r>
      <w:r w:rsidRPr="00A93FC3">
        <w:rPr>
          <w:rFonts w:ascii="Times New Roman" w:hAnsi="Times New Roman"/>
          <w:color w:val="000000" w:themeColor="text1"/>
          <w:lang w:val="es"/>
        </w:rPr>
        <w:t xml:space="preserve"> </w:t>
      </w:r>
      <w:hyperlink r:id="rId93">
        <w:r w:rsidRPr="00A93FC3">
          <w:rPr>
            <w:rStyle w:val="Hipervnculo"/>
            <w:rFonts w:eastAsia="Arial" w:cs="Arial"/>
            <w:sz w:val="22"/>
            <w:szCs w:val="22"/>
            <w:lang w:val="es"/>
          </w:rPr>
          <w:t>https://www.igac.gov.co/es/transparencia-y-acceso-a-la-informacion-publica/plan-de-accion-anual</w:t>
        </w:r>
      </w:hyperlink>
      <w:r w:rsidRPr="00A93FC3">
        <w:rPr>
          <w:rFonts w:eastAsia="Arial" w:cs="Arial"/>
          <w:color w:val="000000" w:themeColor="text1"/>
          <w:sz w:val="22"/>
          <w:szCs w:val="22"/>
          <w:lang w:val="es"/>
        </w:rPr>
        <w:t xml:space="preserve"> y en Herramienta Planigac</w:t>
      </w:r>
    </w:p>
    <w:p w14:paraId="31F45F01" w14:textId="55B1165D" w:rsidR="007B7514" w:rsidRDefault="007B7514" w:rsidP="00A93FC3">
      <w:pPr>
        <w:ind w:firstLine="60"/>
        <w:jc w:val="both"/>
      </w:pPr>
    </w:p>
    <w:p w14:paraId="06ED8587" w14:textId="77777777" w:rsidR="007B7514" w:rsidRDefault="007B7514" w:rsidP="00A93FC3">
      <w:pPr>
        <w:pStyle w:val="Prrafodelista"/>
        <w:numPr>
          <w:ilvl w:val="0"/>
          <w:numId w:val="219"/>
        </w:numPr>
      </w:pPr>
      <w:r w:rsidRPr="00A93FC3">
        <w:rPr>
          <w:rFonts w:eastAsia="Arial" w:cs="Arial"/>
          <w:b/>
          <w:bCs/>
          <w:color w:val="000000" w:themeColor="text1"/>
          <w:sz w:val="22"/>
          <w:szCs w:val="22"/>
          <w:lang w:val="es"/>
        </w:rPr>
        <w:t>Riesgos</w:t>
      </w:r>
      <w:r w:rsidRPr="00A93FC3">
        <w:rPr>
          <w:rFonts w:eastAsia="Arial" w:cs="Arial"/>
          <w:color w:val="000000" w:themeColor="text1"/>
          <w:sz w:val="22"/>
          <w:szCs w:val="22"/>
          <w:lang w:val="es"/>
        </w:rPr>
        <w:t xml:space="preserve">: Matriz de Riesgos Institucional IGAC 2021: </w:t>
      </w:r>
      <w:hyperlink r:id="rId94">
        <w:r w:rsidRPr="00A93FC3">
          <w:rPr>
            <w:rStyle w:val="Hipervnculo"/>
            <w:rFonts w:eastAsia="Arial" w:cs="Arial"/>
            <w:sz w:val="22"/>
            <w:szCs w:val="22"/>
            <w:lang w:val="es"/>
          </w:rPr>
          <w:t>https://www.igac.gov.co/es/transparencia-y-acceso-a-la-informacion-publica/plan-anticorrupcion-y-de-atencion-al-ciudadano</w:t>
        </w:r>
      </w:hyperlink>
      <w:r w:rsidRPr="00A93FC3">
        <w:rPr>
          <w:rFonts w:eastAsia="Arial" w:cs="Arial"/>
          <w:color w:val="000000" w:themeColor="text1"/>
          <w:sz w:val="22"/>
          <w:szCs w:val="22"/>
          <w:lang w:val="es"/>
        </w:rPr>
        <w:t xml:space="preserve">  y en Herramienta Planigac.</w:t>
      </w:r>
    </w:p>
    <w:p w14:paraId="44A27D11" w14:textId="2DE216B0" w:rsidR="00A129BF" w:rsidRPr="00DA0C37" w:rsidRDefault="00A129BF" w:rsidP="007B7514">
      <w:pPr>
        <w:pStyle w:val="Lista"/>
        <w:rPr>
          <w:b/>
          <w:bCs/>
        </w:rPr>
      </w:pPr>
    </w:p>
    <w:p w14:paraId="24C6F96C" w14:textId="6E547187" w:rsidR="007B7514" w:rsidRPr="00A93FC3" w:rsidRDefault="007B7514" w:rsidP="00A93FC3">
      <w:pPr>
        <w:pStyle w:val="Prrafodelista"/>
        <w:numPr>
          <w:ilvl w:val="2"/>
          <w:numId w:val="22"/>
        </w:numPr>
        <w:rPr>
          <w:b/>
          <w:bCs/>
        </w:rPr>
      </w:pPr>
      <w:r w:rsidRPr="00DA0C37">
        <w:rPr>
          <w:b/>
          <w:bCs/>
        </w:rPr>
        <w:t>POLÍTICAS ASOCIADAS</w:t>
      </w:r>
    </w:p>
    <w:p w14:paraId="2234867B" w14:textId="77777777" w:rsidR="000F5E82" w:rsidRDefault="000F5E82" w:rsidP="007B7514">
      <w:pPr>
        <w:pStyle w:val="Lista"/>
      </w:pPr>
    </w:p>
    <w:tbl>
      <w:tblPr>
        <w:tblStyle w:val="Tabladecuadrcula5oscura-nfasis1"/>
        <w:tblW w:w="9634"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Look w:val="06A0" w:firstRow="1" w:lastRow="0" w:firstColumn="1" w:lastColumn="0" w:noHBand="1" w:noVBand="1"/>
      </w:tblPr>
      <w:tblGrid>
        <w:gridCol w:w="1745"/>
        <w:gridCol w:w="4062"/>
        <w:gridCol w:w="3827"/>
      </w:tblGrid>
      <w:tr w:rsidR="007B7514" w14:paraId="189BF977" w14:textId="77777777" w:rsidTr="00952B7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5" w:type="dxa"/>
            <w:tcBorders>
              <w:top w:val="none" w:sz="0" w:space="0" w:color="auto"/>
              <w:left w:val="none" w:sz="0" w:space="0" w:color="auto"/>
              <w:right w:val="none" w:sz="0" w:space="0" w:color="auto"/>
            </w:tcBorders>
          </w:tcPr>
          <w:p w14:paraId="005B5B03" w14:textId="77777777" w:rsidR="007B7514" w:rsidRPr="00B24228" w:rsidRDefault="007B7514" w:rsidP="00A6302C">
            <w:pPr>
              <w:jc w:val="center"/>
              <w:rPr>
                <w:rFonts w:eastAsia="Arial" w:cs="Arial"/>
                <w:sz w:val="22"/>
                <w:szCs w:val="22"/>
                <w:lang w:val="es"/>
              </w:rPr>
            </w:pPr>
            <w:r w:rsidRPr="00B24228">
              <w:rPr>
                <w:rFonts w:eastAsia="Arial" w:cs="Arial"/>
                <w:sz w:val="22"/>
                <w:szCs w:val="22"/>
                <w:lang w:val="es"/>
              </w:rPr>
              <w:t>Política</w:t>
            </w:r>
          </w:p>
        </w:tc>
        <w:tc>
          <w:tcPr>
            <w:tcW w:w="4062" w:type="dxa"/>
            <w:tcBorders>
              <w:top w:val="none" w:sz="0" w:space="0" w:color="auto"/>
              <w:left w:val="none" w:sz="0" w:space="0" w:color="auto"/>
              <w:right w:val="none" w:sz="0" w:space="0" w:color="auto"/>
            </w:tcBorders>
          </w:tcPr>
          <w:p w14:paraId="4BBF2D19"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Objetivo</w:t>
            </w:r>
          </w:p>
        </w:tc>
        <w:tc>
          <w:tcPr>
            <w:tcW w:w="3827" w:type="dxa"/>
            <w:tcBorders>
              <w:top w:val="none" w:sz="0" w:space="0" w:color="auto"/>
              <w:left w:val="none" w:sz="0" w:space="0" w:color="auto"/>
              <w:right w:val="none" w:sz="0" w:space="0" w:color="auto"/>
            </w:tcBorders>
          </w:tcPr>
          <w:p w14:paraId="0031FBF8" w14:textId="77777777" w:rsidR="007B7514" w:rsidRDefault="007B7514"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Alcance</w:t>
            </w:r>
          </w:p>
        </w:tc>
      </w:tr>
      <w:tr w:rsidR="007B7514" w14:paraId="2941D725" w14:textId="77777777" w:rsidTr="00952B7A">
        <w:tc>
          <w:tcPr>
            <w:cnfStyle w:val="001000000000" w:firstRow="0" w:lastRow="0" w:firstColumn="1" w:lastColumn="0" w:oddVBand="0" w:evenVBand="0" w:oddHBand="0" w:evenHBand="0" w:firstRowFirstColumn="0" w:firstRowLastColumn="0" w:lastRowFirstColumn="0" w:lastRowLastColumn="0"/>
            <w:tcW w:w="1745" w:type="dxa"/>
            <w:tcBorders>
              <w:left w:val="none" w:sz="0" w:space="0" w:color="auto"/>
            </w:tcBorders>
            <w:shd w:val="clear" w:color="auto" w:fill="DBE5F1" w:themeFill="accent1" w:themeFillTint="33"/>
          </w:tcPr>
          <w:p w14:paraId="32BE0FB1" w14:textId="77777777" w:rsidR="007B7514" w:rsidRDefault="007B7514" w:rsidP="00A6302C">
            <w:pPr>
              <w:jc w:val="center"/>
              <w:rPr>
                <w:rFonts w:eastAsia="Arial" w:cs="Arial"/>
                <w:b w:val="0"/>
                <w:bCs w:val="0"/>
                <w:color w:val="000000" w:themeColor="text1"/>
                <w:sz w:val="22"/>
                <w:szCs w:val="22"/>
                <w:lang w:val="es-MX"/>
              </w:rPr>
            </w:pPr>
          </w:p>
          <w:p w14:paraId="406CC9C1" w14:textId="77777777" w:rsidR="007B7514" w:rsidRDefault="007B7514" w:rsidP="00A6302C">
            <w:pPr>
              <w:jc w:val="center"/>
              <w:rPr>
                <w:rFonts w:eastAsia="Arial" w:cs="Arial"/>
                <w:b w:val="0"/>
                <w:bCs w:val="0"/>
                <w:color w:val="000000" w:themeColor="text1"/>
                <w:sz w:val="22"/>
                <w:szCs w:val="22"/>
                <w:lang w:val="es-MX"/>
              </w:rPr>
            </w:pPr>
          </w:p>
          <w:p w14:paraId="2884D5F8" w14:textId="77777777" w:rsidR="007B7514" w:rsidRDefault="007B7514" w:rsidP="00A6302C">
            <w:pPr>
              <w:jc w:val="center"/>
              <w:rPr>
                <w:rFonts w:eastAsia="Arial" w:cs="Arial"/>
                <w:b w:val="0"/>
                <w:bCs w:val="0"/>
                <w:color w:val="000000" w:themeColor="text1"/>
                <w:sz w:val="22"/>
                <w:szCs w:val="22"/>
                <w:lang w:val="es-MX"/>
              </w:rPr>
            </w:pPr>
          </w:p>
          <w:p w14:paraId="0B11514E" w14:textId="77777777" w:rsidR="007B7514" w:rsidRDefault="007B7514" w:rsidP="00A6302C">
            <w:pPr>
              <w:jc w:val="center"/>
            </w:pPr>
            <w:r w:rsidRPr="31FF9146">
              <w:rPr>
                <w:rFonts w:eastAsia="Arial" w:cs="Arial"/>
                <w:color w:val="000000" w:themeColor="text1"/>
                <w:sz w:val="22"/>
                <w:szCs w:val="22"/>
                <w:lang w:val="es-MX"/>
              </w:rPr>
              <w:t>CONPES 3932</w:t>
            </w:r>
          </w:p>
        </w:tc>
        <w:tc>
          <w:tcPr>
            <w:tcW w:w="4062" w:type="dxa"/>
          </w:tcPr>
          <w:p w14:paraId="3268D86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Lineamientos para la articulación del plan marco de implementación del acuerdo final con los instrumentos de planeación, programación y seguimiento a políticas públicas del orden nacional y territorial.</w:t>
            </w:r>
          </w:p>
        </w:tc>
        <w:tc>
          <w:tcPr>
            <w:tcW w:w="3827" w:type="dxa"/>
          </w:tcPr>
          <w:p w14:paraId="7B41E02B"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Aportes al trazador de PAZ mediante el proyecto de inversión</w:t>
            </w:r>
            <w:r w:rsidRPr="31FF9146">
              <w:rPr>
                <w:rFonts w:eastAsia="Arial" w:cs="Arial"/>
                <w:b/>
                <w:bCs/>
                <w:color w:val="000000" w:themeColor="text1"/>
                <w:sz w:val="22"/>
                <w:szCs w:val="22"/>
                <w:lang w:val="es-MX"/>
              </w:rPr>
              <w:t xml:space="preserve"> </w:t>
            </w:r>
            <w:r w:rsidRPr="31FF9146">
              <w:rPr>
                <w:rFonts w:eastAsia="Arial" w:cs="Arial"/>
                <w:color w:val="000000" w:themeColor="text1"/>
                <w:sz w:val="22"/>
                <w:szCs w:val="22"/>
                <w:lang w:val="es-MX"/>
              </w:rPr>
              <w:t>“Generación de estudios de suelos, tierras y aplicaciones agrológicas como insumo para el ordenamiento integral y el manejo sostenible del territorio a nivel Nacional”</w:t>
            </w:r>
          </w:p>
        </w:tc>
      </w:tr>
      <w:tr w:rsidR="007B7514" w14:paraId="40B7D79E" w14:textId="77777777" w:rsidTr="00952B7A">
        <w:tc>
          <w:tcPr>
            <w:cnfStyle w:val="001000000000" w:firstRow="0" w:lastRow="0" w:firstColumn="1" w:lastColumn="0" w:oddVBand="0" w:evenVBand="0" w:oddHBand="0" w:evenHBand="0" w:firstRowFirstColumn="0" w:firstRowLastColumn="0" w:lastRowFirstColumn="0" w:lastRowLastColumn="0"/>
            <w:tcW w:w="1745" w:type="dxa"/>
            <w:tcBorders>
              <w:left w:val="none" w:sz="0" w:space="0" w:color="auto"/>
            </w:tcBorders>
            <w:shd w:val="clear" w:color="auto" w:fill="FFFFFF" w:themeFill="background1"/>
          </w:tcPr>
          <w:p w14:paraId="5DE7744A" w14:textId="77777777" w:rsidR="007B7514" w:rsidRDefault="007B7514" w:rsidP="00A6302C">
            <w:pPr>
              <w:spacing w:line="240" w:lineRule="exact"/>
              <w:jc w:val="center"/>
            </w:pPr>
            <w:r w:rsidRPr="31FF9146">
              <w:rPr>
                <w:rFonts w:eastAsia="Arial" w:cs="Arial"/>
                <w:color w:val="000000" w:themeColor="text1"/>
                <w:sz w:val="22"/>
                <w:szCs w:val="22"/>
                <w:lang w:val="es-MX"/>
              </w:rPr>
              <w:t xml:space="preserve">  </w:t>
            </w:r>
          </w:p>
          <w:p w14:paraId="13653086" w14:textId="77777777" w:rsidR="007B7514" w:rsidRDefault="007B7514" w:rsidP="00A6302C">
            <w:pPr>
              <w:spacing w:line="240" w:lineRule="exact"/>
              <w:jc w:val="center"/>
            </w:pPr>
            <w:r w:rsidRPr="31FF9146">
              <w:rPr>
                <w:rFonts w:eastAsia="Arial" w:cs="Arial"/>
                <w:color w:val="000000" w:themeColor="text1"/>
                <w:sz w:val="22"/>
                <w:szCs w:val="22"/>
                <w:lang w:val="es-MX"/>
              </w:rPr>
              <w:t>Plan Nacional de Desarrollo</w:t>
            </w:r>
          </w:p>
          <w:p w14:paraId="2C033EE7" w14:textId="77777777" w:rsidR="007B7514" w:rsidRDefault="007B7514" w:rsidP="00A6302C">
            <w:pPr>
              <w:spacing w:line="240" w:lineRule="exact"/>
              <w:jc w:val="center"/>
            </w:pPr>
            <w:r w:rsidRPr="31FF9146">
              <w:rPr>
                <w:rFonts w:eastAsia="Arial" w:cs="Arial"/>
                <w:color w:val="000000" w:themeColor="text1"/>
                <w:sz w:val="22"/>
                <w:szCs w:val="22"/>
                <w:lang w:val="es-MX"/>
              </w:rPr>
              <w:t>(Pacto por Colombia, pacto por la equidad)</w:t>
            </w:r>
          </w:p>
        </w:tc>
        <w:tc>
          <w:tcPr>
            <w:tcW w:w="4062" w:type="dxa"/>
            <w:shd w:val="clear" w:color="auto" w:fill="FFFFFF" w:themeFill="background1"/>
          </w:tcPr>
          <w:p w14:paraId="1390DC91"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El Plan Nacional de Desarrollo es un pacto por la Equidad. Este PND busca alcanzar la inclusión social y productiva, a través del Emprendimiento y la Legalidad. Legalidad como semilla, el emprendimiento como tronco de crecimiento y la equidad como fruto, para construir el futuro de Colombia.</w:t>
            </w:r>
          </w:p>
        </w:tc>
        <w:tc>
          <w:tcPr>
            <w:tcW w:w="3827" w:type="dxa"/>
            <w:shd w:val="clear" w:color="auto" w:fill="FFFFFF" w:themeFill="background1"/>
          </w:tcPr>
          <w:p w14:paraId="376A6671"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Subproceso Gestión Cartográfica: Porcentaje del área geográfica con cartografía básica a las escalas y con la temporalidad adecuadas</w:t>
            </w:r>
          </w:p>
          <w:p w14:paraId="07E8C6A2"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 xml:space="preserve"> </w:t>
            </w:r>
          </w:p>
          <w:p w14:paraId="0818F691" w14:textId="77777777" w:rsidR="007B7514" w:rsidRDefault="007B7514" w:rsidP="00A6302C">
            <w:pPr>
              <w:spacing w:line="240" w:lineRule="exact"/>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Subproceso Gestión Geográfica: Porcentaje del área geográfica con caracterización geográfica</w:t>
            </w:r>
          </w:p>
        </w:tc>
      </w:tr>
      <w:tr w:rsidR="007B7514" w14:paraId="01EB7B3B" w14:textId="77777777" w:rsidTr="00952B7A">
        <w:tc>
          <w:tcPr>
            <w:cnfStyle w:val="001000000000" w:firstRow="0" w:lastRow="0" w:firstColumn="1" w:lastColumn="0" w:oddVBand="0" w:evenVBand="0" w:oddHBand="0" w:evenHBand="0" w:firstRowFirstColumn="0" w:firstRowLastColumn="0" w:lastRowFirstColumn="0" w:lastRowLastColumn="0"/>
            <w:tcW w:w="1745" w:type="dxa"/>
            <w:tcBorders>
              <w:left w:val="none" w:sz="0" w:space="0" w:color="auto"/>
            </w:tcBorders>
            <w:shd w:val="clear" w:color="auto" w:fill="DBE5F1" w:themeFill="accent1" w:themeFillTint="33"/>
          </w:tcPr>
          <w:p w14:paraId="67D7920D" w14:textId="77777777" w:rsidR="007B7514" w:rsidRDefault="007B7514" w:rsidP="00A6302C">
            <w:pPr>
              <w:jc w:val="center"/>
              <w:rPr>
                <w:rFonts w:eastAsia="Arial" w:cs="Arial"/>
                <w:b w:val="0"/>
                <w:bCs w:val="0"/>
                <w:color w:val="000000" w:themeColor="text1"/>
                <w:sz w:val="22"/>
                <w:szCs w:val="22"/>
                <w:lang w:val="es-MX"/>
              </w:rPr>
            </w:pPr>
          </w:p>
          <w:p w14:paraId="540AEBC4" w14:textId="77777777" w:rsidR="007B7514" w:rsidRDefault="007B7514" w:rsidP="00A6302C">
            <w:pPr>
              <w:jc w:val="center"/>
              <w:rPr>
                <w:rFonts w:eastAsia="Arial" w:cs="Arial"/>
                <w:color w:val="000000" w:themeColor="text1"/>
                <w:sz w:val="22"/>
                <w:szCs w:val="22"/>
                <w:lang w:val="es-MX"/>
              </w:rPr>
            </w:pPr>
          </w:p>
          <w:p w14:paraId="42039F63" w14:textId="77777777" w:rsidR="00892D94" w:rsidRPr="00892D94" w:rsidRDefault="00892D94" w:rsidP="00892D94">
            <w:pPr>
              <w:jc w:val="center"/>
              <w:rPr>
                <w:rFonts w:eastAsia="Arial" w:cs="Arial"/>
                <w:color w:val="000000" w:themeColor="text1"/>
                <w:sz w:val="22"/>
                <w:szCs w:val="22"/>
                <w:lang w:val="es-MX"/>
              </w:rPr>
            </w:pPr>
          </w:p>
          <w:p w14:paraId="200662FF" w14:textId="77777777" w:rsidR="007B7514" w:rsidRDefault="007B7514" w:rsidP="00A6302C">
            <w:pPr>
              <w:jc w:val="center"/>
              <w:rPr>
                <w:rFonts w:eastAsia="Arial" w:cs="Arial"/>
                <w:b w:val="0"/>
                <w:bCs w:val="0"/>
                <w:color w:val="000000" w:themeColor="text1"/>
                <w:sz w:val="22"/>
                <w:szCs w:val="22"/>
                <w:lang w:val="es-MX"/>
              </w:rPr>
            </w:pPr>
          </w:p>
          <w:p w14:paraId="301095CC" w14:textId="77777777" w:rsidR="007B7514" w:rsidRDefault="007B7514" w:rsidP="00A6302C">
            <w:pPr>
              <w:jc w:val="center"/>
              <w:rPr>
                <w:rFonts w:eastAsia="Arial" w:cs="Arial"/>
                <w:b w:val="0"/>
                <w:bCs w:val="0"/>
                <w:color w:val="000000" w:themeColor="text1"/>
                <w:sz w:val="22"/>
                <w:szCs w:val="22"/>
                <w:lang w:val="es-MX"/>
              </w:rPr>
            </w:pPr>
          </w:p>
          <w:p w14:paraId="074F7FB1" w14:textId="77777777" w:rsidR="007B7514" w:rsidRDefault="007B7514" w:rsidP="00A6302C">
            <w:pPr>
              <w:jc w:val="center"/>
            </w:pPr>
            <w:r w:rsidRPr="31FF9146">
              <w:rPr>
                <w:rFonts w:eastAsia="Arial" w:cs="Arial"/>
                <w:color w:val="000000" w:themeColor="text1"/>
                <w:sz w:val="22"/>
                <w:szCs w:val="22"/>
                <w:lang w:val="es-MX"/>
              </w:rPr>
              <w:t>CONPES 3819</w:t>
            </w:r>
          </w:p>
        </w:tc>
        <w:tc>
          <w:tcPr>
            <w:tcW w:w="4062" w:type="dxa"/>
          </w:tcPr>
          <w:p w14:paraId="0FE24ED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77F7680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695E607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64A73DD8"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1CE5C5DE" w14:textId="77777777" w:rsidR="00DF7344" w:rsidRDefault="00DF734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7EFC8366" w14:textId="77777777" w:rsidR="007B7514" w:rsidRDefault="00A6302C"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hyperlink r:id="rId95" w:anchor="collDocumento_19">
              <w:r w:rsidR="007B7514" w:rsidRPr="31FF9146">
                <w:rPr>
                  <w:rFonts w:eastAsia="Arial"/>
                  <w:color w:val="000000" w:themeColor="text1"/>
                  <w:sz w:val="22"/>
                  <w:szCs w:val="22"/>
                  <w:lang w:val="es-MX"/>
                </w:rPr>
                <w:t>Política Nacional para la Consolidación del Sistema de Ciudades</w:t>
              </w:r>
            </w:hyperlink>
            <w:r w:rsidR="007B7514" w:rsidRPr="31FF9146">
              <w:rPr>
                <w:rFonts w:eastAsia="Arial" w:cs="Arial"/>
                <w:color w:val="000000" w:themeColor="text1"/>
                <w:sz w:val="22"/>
                <w:szCs w:val="22"/>
                <w:lang w:val="es-MX"/>
              </w:rPr>
              <w:t>.</w:t>
            </w:r>
          </w:p>
        </w:tc>
        <w:tc>
          <w:tcPr>
            <w:tcW w:w="3827" w:type="dxa"/>
          </w:tcPr>
          <w:p w14:paraId="3849CA87"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lang w:val="es"/>
              </w:rPr>
              <w:t>El DANE y el IGAC, con el apoyo del DNP y el MinHacienda, priorizarán y trabajarán en la ampliación y homologación de las coberturas de información estadística y espacial de manera armónica con la definición preliminar de las 18 ciudades funcionales o aglomeraciones urbanas, de acuerdo con los lineamientos establecidos en el presente documento CONPES.</w:t>
            </w:r>
          </w:p>
        </w:tc>
      </w:tr>
      <w:tr w:rsidR="007B7514" w14:paraId="480C6B42" w14:textId="77777777" w:rsidTr="00952B7A">
        <w:tc>
          <w:tcPr>
            <w:cnfStyle w:val="001000000000" w:firstRow="0" w:lastRow="0" w:firstColumn="1" w:lastColumn="0" w:oddVBand="0" w:evenVBand="0" w:oddHBand="0" w:evenHBand="0" w:firstRowFirstColumn="0" w:firstRowLastColumn="0" w:lastRowFirstColumn="0" w:lastRowLastColumn="0"/>
            <w:tcW w:w="1745" w:type="dxa"/>
            <w:tcBorders>
              <w:left w:val="none" w:sz="0" w:space="0" w:color="auto"/>
            </w:tcBorders>
            <w:shd w:val="clear" w:color="auto" w:fill="FFFFFF" w:themeFill="background1"/>
          </w:tcPr>
          <w:p w14:paraId="41E34646" w14:textId="77777777" w:rsidR="007B7514" w:rsidRDefault="007B7514" w:rsidP="00A6302C">
            <w:pPr>
              <w:jc w:val="center"/>
              <w:rPr>
                <w:rFonts w:eastAsia="Arial" w:cs="Arial"/>
                <w:b w:val="0"/>
                <w:bCs w:val="0"/>
                <w:color w:val="000000" w:themeColor="text1"/>
                <w:sz w:val="22"/>
                <w:szCs w:val="22"/>
                <w:lang w:val="es-MX"/>
              </w:rPr>
            </w:pPr>
          </w:p>
          <w:p w14:paraId="470BBBFB" w14:textId="77777777" w:rsidR="007B7514" w:rsidRDefault="007B7514" w:rsidP="00A6302C">
            <w:pPr>
              <w:jc w:val="center"/>
              <w:rPr>
                <w:rFonts w:eastAsia="Arial" w:cs="Arial"/>
                <w:color w:val="000000" w:themeColor="text1"/>
                <w:sz w:val="22"/>
                <w:szCs w:val="22"/>
                <w:lang w:val="es-MX"/>
              </w:rPr>
            </w:pPr>
          </w:p>
          <w:p w14:paraId="283760C8" w14:textId="77777777" w:rsidR="007B7514" w:rsidRDefault="007B7514" w:rsidP="00A6302C">
            <w:pPr>
              <w:jc w:val="center"/>
              <w:rPr>
                <w:rFonts w:eastAsia="Arial" w:cs="Arial"/>
                <w:color w:val="000000" w:themeColor="text1"/>
                <w:sz w:val="22"/>
                <w:szCs w:val="22"/>
                <w:lang w:val="es-MX"/>
              </w:rPr>
            </w:pPr>
          </w:p>
          <w:p w14:paraId="6F888EE7" w14:textId="77777777" w:rsidR="007B7514" w:rsidRDefault="007B7514" w:rsidP="00A6302C">
            <w:pPr>
              <w:jc w:val="center"/>
              <w:rPr>
                <w:rFonts w:eastAsia="Arial" w:cs="Arial"/>
                <w:b w:val="0"/>
                <w:bCs w:val="0"/>
                <w:color w:val="000000" w:themeColor="text1"/>
                <w:sz w:val="22"/>
                <w:szCs w:val="22"/>
                <w:lang w:val="es-MX"/>
              </w:rPr>
            </w:pPr>
          </w:p>
          <w:p w14:paraId="64DF213D" w14:textId="77777777" w:rsidR="007B7514" w:rsidRDefault="007B7514" w:rsidP="00A6302C">
            <w:pPr>
              <w:jc w:val="center"/>
            </w:pPr>
            <w:r w:rsidRPr="31FF9146">
              <w:rPr>
                <w:rFonts w:eastAsia="Arial" w:cs="Arial"/>
                <w:color w:val="000000" w:themeColor="text1"/>
                <w:sz w:val="22"/>
                <w:szCs w:val="22"/>
                <w:lang w:val="es-MX"/>
              </w:rPr>
              <w:t>CONPES 3951</w:t>
            </w:r>
          </w:p>
        </w:tc>
        <w:tc>
          <w:tcPr>
            <w:tcW w:w="4062" w:type="dxa"/>
            <w:shd w:val="clear" w:color="auto" w:fill="FFFFFF" w:themeFill="background1"/>
          </w:tcPr>
          <w:p w14:paraId="5F0AFB9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4362FFA3"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47F5EF00"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40DEA43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Lineamientos de Política para la adopción e implementación de un catastro multipropósito rural-urbano</w:t>
            </w:r>
          </w:p>
        </w:tc>
        <w:tc>
          <w:tcPr>
            <w:tcW w:w="3827" w:type="dxa"/>
            <w:shd w:val="clear" w:color="auto" w:fill="FFFFFF" w:themeFill="background1"/>
          </w:tcPr>
          <w:p w14:paraId="384EF4A7"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En el marco de estas operaciones de crédito, el IGAC será el responsable de los insumos geodésicos y cartográficos para realizar los levantamientos catastrales; la SNR será la responsable de los insumos registrales y la ANT de los procesos del ordenamiento social de la propiedad rural (OSPR</w:t>
            </w:r>
            <w:r w:rsidRPr="31FF9146">
              <w:rPr>
                <w:rFonts w:eastAsia="Arial" w:cs="Arial"/>
                <w:color w:val="000000" w:themeColor="text1"/>
                <w:lang w:val="es-MX"/>
              </w:rPr>
              <w:t>).</w:t>
            </w:r>
          </w:p>
        </w:tc>
      </w:tr>
      <w:tr w:rsidR="007B7514" w14:paraId="28E7BAAE" w14:textId="77777777" w:rsidTr="00952B7A">
        <w:tc>
          <w:tcPr>
            <w:cnfStyle w:val="001000000000" w:firstRow="0" w:lastRow="0" w:firstColumn="1" w:lastColumn="0" w:oddVBand="0" w:evenVBand="0" w:oddHBand="0" w:evenHBand="0" w:firstRowFirstColumn="0" w:firstRowLastColumn="0" w:lastRowFirstColumn="0" w:lastRowLastColumn="0"/>
            <w:tcW w:w="1745" w:type="dxa"/>
            <w:tcBorders>
              <w:left w:val="none" w:sz="0" w:space="0" w:color="auto"/>
              <w:bottom w:val="none" w:sz="0" w:space="0" w:color="auto"/>
            </w:tcBorders>
            <w:shd w:val="clear" w:color="auto" w:fill="DBE5F1" w:themeFill="accent1" w:themeFillTint="33"/>
          </w:tcPr>
          <w:p w14:paraId="1F7B8C7C" w14:textId="77777777" w:rsidR="007B7514" w:rsidRDefault="007B7514" w:rsidP="00A6302C">
            <w:pPr>
              <w:jc w:val="center"/>
              <w:rPr>
                <w:rFonts w:eastAsia="Arial" w:cs="Arial"/>
                <w:b w:val="0"/>
                <w:bCs w:val="0"/>
                <w:color w:val="000000" w:themeColor="text1"/>
                <w:sz w:val="22"/>
                <w:szCs w:val="22"/>
                <w:lang w:val="es-MX"/>
              </w:rPr>
            </w:pPr>
          </w:p>
          <w:p w14:paraId="61C92BCA" w14:textId="77777777" w:rsidR="007B7514" w:rsidRDefault="007B7514" w:rsidP="00A6302C">
            <w:pPr>
              <w:jc w:val="center"/>
              <w:rPr>
                <w:rFonts w:eastAsia="Arial" w:cs="Arial"/>
                <w:b w:val="0"/>
                <w:bCs w:val="0"/>
                <w:color w:val="000000" w:themeColor="text1"/>
                <w:sz w:val="22"/>
                <w:szCs w:val="22"/>
                <w:lang w:val="es-MX"/>
              </w:rPr>
            </w:pPr>
          </w:p>
          <w:p w14:paraId="7DA1CDCE" w14:textId="77777777" w:rsidR="007B7514" w:rsidRDefault="007B7514" w:rsidP="00A6302C">
            <w:pPr>
              <w:jc w:val="center"/>
              <w:rPr>
                <w:rFonts w:eastAsia="Arial" w:cs="Arial"/>
                <w:b w:val="0"/>
                <w:bCs w:val="0"/>
                <w:color w:val="000000" w:themeColor="text1"/>
                <w:sz w:val="22"/>
                <w:szCs w:val="22"/>
                <w:lang w:val="es-MX"/>
              </w:rPr>
            </w:pPr>
          </w:p>
          <w:p w14:paraId="4361477B" w14:textId="77777777" w:rsidR="007B7514" w:rsidRDefault="007B7514" w:rsidP="00A6302C">
            <w:pPr>
              <w:jc w:val="center"/>
              <w:rPr>
                <w:rFonts w:eastAsia="Arial" w:cs="Arial"/>
                <w:b w:val="0"/>
                <w:bCs w:val="0"/>
                <w:color w:val="000000" w:themeColor="text1"/>
                <w:sz w:val="22"/>
                <w:szCs w:val="22"/>
                <w:lang w:val="es-MX"/>
              </w:rPr>
            </w:pPr>
          </w:p>
          <w:p w14:paraId="0600060A" w14:textId="77777777" w:rsidR="007B7514" w:rsidRDefault="007B7514" w:rsidP="00A6302C">
            <w:pPr>
              <w:jc w:val="center"/>
            </w:pPr>
            <w:r w:rsidRPr="31FF9146">
              <w:rPr>
                <w:rFonts w:eastAsia="Arial" w:cs="Arial"/>
                <w:color w:val="000000" w:themeColor="text1"/>
                <w:sz w:val="22"/>
                <w:szCs w:val="22"/>
                <w:lang w:val="es-MX"/>
              </w:rPr>
              <w:t>CONPES 3859</w:t>
            </w:r>
          </w:p>
        </w:tc>
        <w:tc>
          <w:tcPr>
            <w:tcW w:w="4062" w:type="dxa"/>
          </w:tcPr>
          <w:p w14:paraId="49F464A1"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lang w:val="es-MX"/>
              </w:rPr>
            </w:pPr>
          </w:p>
          <w:p w14:paraId="3FC55AC4"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Lineamientos de política para la implementación de un sistema catastral multipropósito completo, actualizado, confiable, consistente con el sistema de registro de la propiedad inmueble, e integrado con otros sistemas de información</w:t>
            </w:r>
          </w:p>
        </w:tc>
        <w:tc>
          <w:tcPr>
            <w:tcW w:w="3827" w:type="dxa"/>
          </w:tcPr>
          <w:p w14:paraId="1137E8B9" w14:textId="77777777" w:rsidR="007B7514" w:rsidRDefault="007B7514"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2"/>
                <w:szCs w:val="22"/>
                <w:lang w:val="es-MX"/>
              </w:rPr>
              <w:t>Los productos cartográficos para usos catastrales deben responder a todas las necesidades de las instancias del nivel nacional y territorial (públicas y privadas); apoyar la identificación preliminar de los predios como la unidad básica del catastro, y su posterior representación.</w:t>
            </w:r>
          </w:p>
        </w:tc>
      </w:tr>
    </w:tbl>
    <w:p w14:paraId="602A8ACF" w14:textId="0355F0B0" w:rsidR="007F6DE4" w:rsidRPr="00A93FC3" w:rsidRDefault="00111554" w:rsidP="00A93FC3">
      <w:pPr>
        <w:jc w:val="center"/>
        <w:rPr>
          <w:rFonts w:eastAsia="Arial" w:cs="Arial"/>
          <w:b/>
          <w:bCs/>
          <w:color w:val="000000" w:themeColor="text1"/>
          <w:sz w:val="16"/>
          <w:szCs w:val="16"/>
          <w:lang w:val="es"/>
        </w:rPr>
      </w:pPr>
      <w:r w:rsidRPr="00111554">
        <w:rPr>
          <w:rFonts w:eastAsia="Arial" w:cs="Arial"/>
          <w:b/>
          <w:bCs/>
          <w:color w:val="000000" w:themeColor="text1"/>
          <w:sz w:val="16"/>
          <w:szCs w:val="16"/>
          <w:lang w:val="es"/>
        </w:rPr>
        <w:t>Fuente: Dirección de Ge</w:t>
      </w:r>
      <w:r w:rsidR="00A93FC3">
        <w:rPr>
          <w:rFonts w:eastAsia="Arial" w:cs="Arial"/>
          <w:b/>
          <w:bCs/>
          <w:color w:val="000000" w:themeColor="text1"/>
          <w:sz w:val="16"/>
          <w:szCs w:val="16"/>
          <w:lang w:val="es"/>
        </w:rPr>
        <w:t>stión de Información Geográfica</w:t>
      </w:r>
    </w:p>
    <w:p w14:paraId="4F50C695" w14:textId="77777777" w:rsidR="009360B4" w:rsidRDefault="009360B4" w:rsidP="007B7514">
      <w:pPr>
        <w:rPr>
          <w:b/>
          <w:bCs/>
        </w:rPr>
      </w:pPr>
    </w:p>
    <w:p w14:paraId="4E01ED8C" w14:textId="334D0AB1" w:rsidR="00A129BF" w:rsidRDefault="00A93FC3" w:rsidP="007B7514">
      <w:pPr>
        <w:pStyle w:val="Prrafodelista"/>
        <w:numPr>
          <w:ilvl w:val="2"/>
          <w:numId w:val="22"/>
        </w:numPr>
        <w:rPr>
          <w:b/>
          <w:bCs/>
        </w:rPr>
      </w:pPr>
      <w:r>
        <w:rPr>
          <w:b/>
          <w:bCs/>
        </w:rPr>
        <w:t>LISTADO DE INFORMES</w:t>
      </w:r>
    </w:p>
    <w:p w14:paraId="2DA002E4" w14:textId="77777777" w:rsidR="00A93FC3" w:rsidRPr="00A93FC3" w:rsidRDefault="00A93FC3" w:rsidP="00A93FC3">
      <w:pPr>
        <w:pStyle w:val="Lista"/>
      </w:pP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18"/>
        <w:gridCol w:w="2376"/>
        <w:gridCol w:w="3865"/>
        <w:gridCol w:w="2085"/>
      </w:tblGrid>
      <w:tr w:rsidR="00CA11E8" w14:paraId="5B621813" w14:textId="77777777" w:rsidTr="005428A3">
        <w:trPr>
          <w:trHeight w:val="585"/>
        </w:trPr>
        <w:tc>
          <w:tcPr>
            <w:tcW w:w="1018" w:type="dxa"/>
            <w:vMerge w:val="restart"/>
            <w:tcBorders>
              <w:top w:val="single" w:sz="6" w:space="0" w:color="FFFFFF"/>
              <w:left w:val="single" w:sz="6" w:space="0" w:color="FFFFFF"/>
              <w:bottom w:val="single" w:sz="6" w:space="0" w:color="FFFFFF"/>
              <w:right w:val="nil"/>
            </w:tcBorders>
            <w:shd w:val="clear" w:color="auto" w:fill="4F81BD"/>
            <w:vAlign w:val="center"/>
            <w:hideMark/>
          </w:tcPr>
          <w:p w14:paraId="2CB19E81" w14:textId="77777777" w:rsidR="00CA11E8" w:rsidRPr="00952B7A" w:rsidRDefault="00C27D35">
            <w:pPr>
              <w:suppressAutoHyphens w:val="0"/>
              <w:jc w:val="center"/>
              <w:textAlignment w:val="baseline"/>
              <w:rPr>
                <w:rFonts w:ascii="Times New Roman" w:hAnsi="Times New Roman"/>
                <w:color w:val="FFFFFF"/>
                <w:sz w:val="22"/>
                <w:szCs w:val="22"/>
                <w:lang w:val="es-CO" w:eastAsia="es-CO"/>
              </w:rPr>
            </w:pPr>
            <w:r w:rsidRPr="00952B7A">
              <w:rPr>
                <w:rFonts w:cs="Arial"/>
                <w:color w:val="FFFFFF"/>
                <w:sz w:val="22"/>
                <w:szCs w:val="22"/>
                <w:lang w:val="es-MX" w:eastAsia="es-CO"/>
              </w:rPr>
              <w:t>Internos</w:t>
            </w:r>
            <w:r w:rsidRPr="00952B7A">
              <w:rPr>
                <w:rFonts w:cs="Arial"/>
                <w:color w:val="FFFFFF"/>
                <w:sz w:val="22"/>
                <w:szCs w:val="22"/>
                <w:lang w:val="es-CO" w:eastAsia="es-CO"/>
              </w:rPr>
              <w:t> </w:t>
            </w:r>
          </w:p>
        </w:tc>
        <w:tc>
          <w:tcPr>
            <w:tcW w:w="2376" w:type="dxa"/>
            <w:tcBorders>
              <w:top w:val="single" w:sz="6" w:space="0" w:color="FFFFFF"/>
              <w:left w:val="nil"/>
              <w:bottom w:val="single" w:sz="6" w:space="0" w:color="FFFFFF"/>
              <w:right w:val="nil"/>
            </w:tcBorders>
            <w:shd w:val="clear" w:color="auto" w:fill="4F81BD"/>
            <w:vAlign w:val="center"/>
            <w:hideMark/>
          </w:tcPr>
          <w:p w14:paraId="351A730F" w14:textId="77777777" w:rsidR="00CA11E8" w:rsidRPr="00952B7A" w:rsidRDefault="00C27D35">
            <w:pPr>
              <w:suppressAutoHyphens w:val="0"/>
              <w:jc w:val="center"/>
              <w:textAlignment w:val="baseline"/>
              <w:rPr>
                <w:rFonts w:ascii="Times New Roman" w:hAnsi="Times New Roman"/>
                <w:color w:val="FFFFFF"/>
                <w:sz w:val="22"/>
                <w:szCs w:val="22"/>
                <w:lang w:val="es-CO" w:eastAsia="es-CO"/>
              </w:rPr>
            </w:pPr>
            <w:r w:rsidRPr="00952B7A">
              <w:rPr>
                <w:rFonts w:cs="Arial"/>
                <w:color w:val="FFFFFF"/>
                <w:sz w:val="22"/>
                <w:szCs w:val="22"/>
                <w:lang w:val="es-MX" w:eastAsia="es-CO"/>
              </w:rPr>
              <w:t>Informe</w:t>
            </w:r>
            <w:r w:rsidRPr="00952B7A">
              <w:rPr>
                <w:rFonts w:cs="Arial"/>
                <w:color w:val="FFFFFF"/>
                <w:sz w:val="22"/>
                <w:szCs w:val="22"/>
                <w:lang w:val="es-CO" w:eastAsia="es-CO"/>
              </w:rPr>
              <w:t> </w:t>
            </w:r>
          </w:p>
        </w:tc>
        <w:tc>
          <w:tcPr>
            <w:tcW w:w="3865" w:type="dxa"/>
            <w:tcBorders>
              <w:top w:val="single" w:sz="6" w:space="0" w:color="FFFFFF"/>
              <w:left w:val="nil"/>
              <w:bottom w:val="single" w:sz="6" w:space="0" w:color="FFFFFF"/>
              <w:right w:val="nil"/>
            </w:tcBorders>
            <w:shd w:val="clear" w:color="auto" w:fill="4F81BD"/>
            <w:vAlign w:val="center"/>
            <w:hideMark/>
          </w:tcPr>
          <w:p w14:paraId="52BCE921" w14:textId="77777777" w:rsidR="00CA11E8" w:rsidRPr="00E274CE" w:rsidRDefault="00C27D35">
            <w:pPr>
              <w:suppressAutoHyphens w:val="0"/>
              <w:jc w:val="center"/>
              <w:textAlignment w:val="baseline"/>
              <w:rPr>
                <w:rFonts w:ascii="Times New Roman" w:hAnsi="Times New Roman"/>
                <w:b/>
                <w:bCs/>
                <w:color w:val="FFFFFF"/>
                <w:sz w:val="22"/>
                <w:szCs w:val="22"/>
                <w:lang w:val="es-CO" w:eastAsia="es-CO"/>
              </w:rPr>
            </w:pPr>
            <w:r w:rsidRPr="00E274CE">
              <w:rPr>
                <w:rFonts w:cs="Arial"/>
                <w:b/>
                <w:bCs/>
                <w:color w:val="FFFFFF"/>
                <w:sz w:val="22"/>
                <w:szCs w:val="22"/>
                <w:lang w:val="es-MX" w:eastAsia="es-CO"/>
              </w:rPr>
              <w:t>Responsable</w:t>
            </w:r>
            <w:r w:rsidRPr="00E274CE">
              <w:rPr>
                <w:rFonts w:cs="Arial"/>
                <w:b/>
                <w:bCs/>
                <w:color w:val="FFFFFF"/>
                <w:sz w:val="22"/>
                <w:szCs w:val="22"/>
                <w:lang w:val="es-CO" w:eastAsia="es-CO"/>
              </w:rPr>
              <w:t> </w:t>
            </w:r>
          </w:p>
        </w:tc>
        <w:tc>
          <w:tcPr>
            <w:tcW w:w="2085" w:type="dxa"/>
            <w:tcBorders>
              <w:top w:val="single" w:sz="6" w:space="0" w:color="FFFFFF"/>
              <w:left w:val="nil"/>
              <w:bottom w:val="single" w:sz="6" w:space="0" w:color="FFFFFF"/>
              <w:right w:val="single" w:sz="6" w:space="0" w:color="FFFFFF"/>
            </w:tcBorders>
            <w:shd w:val="clear" w:color="auto" w:fill="4F81BD"/>
            <w:vAlign w:val="center"/>
            <w:hideMark/>
          </w:tcPr>
          <w:p w14:paraId="3448794C" w14:textId="77777777" w:rsidR="00CA11E8" w:rsidRPr="00E274CE" w:rsidRDefault="00C27D35">
            <w:pPr>
              <w:suppressAutoHyphens w:val="0"/>
              <w:jc w:val="center"/>
              <w:textAlignment w:val="baseline"/>
              <w:rPr>
                <w:rFonts w:ascii="Times New Roman" w:hAnsi="Times New Roman"/>
                <w:b/>
                <w:bCs/>
                <w:color w:val="FFFFFF"/>
                <w:sz w:val="22"/>
                <w:szCs w:val="22"/>
                <w:lang w:val="es-CO" w:eastAsia="es-CO"/>
              </w:rPr>
            </w:pPr>
            <w:r w:rsidRPr="00E274CE">
              <w:rPr>
                <w:rFonts w:cs="Arial"/>
                <w:b/>
                <w:bCs/>
                <w:color w:val="FFFFFF"/>
                <w:sz w:val="22"/>
                <w:szCs w:val="22"/>
                <w:lang w:val="es-MX" w:eastAsia="es-CO"/>
              </w:rPr>
              <w:t>Entrega y Publicación</w:t>
            </w:r>
            <w:r w:rsidRPr="00E274CE">
              <w:rPr>
                <w:rFonts w:cs="Arial"/>
                <w:b/>
                <w:bCs/>
                <w:color w:val="FFFFFF"/>
                <w:sz w:val="22"/>
                <w:szCs w:val="22"/>
                <w:lang w:val="es-CO" w:eastAsia="es-CO"/>
              </w:rPr>
              <w:t> </w:t>
            </w:r>
          </w:p>
        </w:tc>
      </w:tr>
      <w:tr w:rsidR="00CA11E8" w14:paraId="6F9B77A1" w14:textId="77777777" w:rsidTr="005428A3">
        <w:trPr>
          <w:trHeight w:val="510"/>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5D4264F8" w14:textId="77777777" w:rsidR="00CA11E8" w:rsidRPr="00E274CE" w:rsidRDefault="00CA11E8">
            <w:pPr>
              <w:suppressAutoHyphens w:val="0"/>
              <w:rPr>
                <w:rFonts w:ascii="Times New Roman" w:hAnsi="Times New Roman"/>
                <w:b/>
                <w:bCs/>
                <w:color w:val="FFFFFF"/>
                <w:sz w:val="22"/>
                <w:szCs w:val="22"/>
                <w:lang w:val="es-CO" w:eastAsia="es-CO"/>
              </w:rPr>
            </w:pPr>
          </w:p>
        </w:tc>
        <w:tc>
          <w:tcPr>
            <w:tcW w:w="2376"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572876A7"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Plan de Acción Anual</w:t>
            </w:r>
            <w:r w:rsidRPr="005428A3">
              <w:rPr>
                <w:rFonts w:cs="Arial"/>
                <w:sz w:val="20"/>
                <w:szCs w:val="20"/>
                <w:lang w:val="es-CO" w:eastAsia="es-CO"/>
              </w:rPr>
              <w:t> </w:t>
            </w:r>
          </w:p>
        </w:tc>
        <w:tc>
          <w:tcPr>
            <w:tcW w:w="386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465CC879"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 Dirección de Gestión de información</w:t>
            </w:r>
            <w:r w:rsidRPr="005428A3">
              <w:rPr>
                <w:rFonts w:cs="Arial"/>
                <w:sz w:val="20"/>
                <w:szCs w:val="20"/>
                <w:lang w:val="es-CO" w:eastAsia="es-CO"/>
              </w:rPr>
              <w:t> </w:t>
            </w:r>
          </w:p>
          <w:p w14:paraId="7083A1B2"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Geográfica</w:t>
            </w:r>
            <w:r w:rsidRPr="005428A3">
              <w:rPr>
                <w:rFonts w:cs="Arial"/>
                <w:sz w:val="20"/>
                <w:szCs w:val="20"/>
                <w:lang w:val="es-CO" w:eastAsia="es-CO"/>
              </w:rPr>
              <w:t> </w:t>
            </w:r>
          </w:p>
          <w:p w14:paraId="04DF1E68"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Cartográfica y Geodésica</w:t>
            </w:r>
            <w:r w:rsidRPr="005428A3">
              <w:rPr>
                <w:rFonts w:cs="Arial"/>
                <w:sz w:val="20"/>
                <w:szCs w:val="20"/>
                <w:lang w:val="es-CO" w:eastAsia="es-CO"/>
              </w:rPr>
              <w:t> </w:t>
            </w:r>
          </w:p>
          <w:p w14:paraId="7E9E2F41"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Geografía</w:t>
            </w:r>
            <w:r w:rsidRPr="005428A3">
              <w:rPr>
                <w:rFonts w:cs="Arial"/>
                <w:sz w:val="20"/>
                <w:szCs w:val="20"/>
                <w:lang w:val="es-CO" w:eastAsia="es-CO"/>
              </w:rPr>
              <w:t> </w:t>
            </w:r>
          </w:p>
          <w:p w14:paraId="1587C8A7"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Agrología</w:t>
            </w:r>
            <w:r w:rsidRPr="005428A3">
              <w:rPr>
                <w:rFonts w:cs="Arial"/>
                <w:sz w:val="20"/>
                <w:szCs w:val="20"/>
                <w:lang w:val="es-CO" w:eastAsia="es-CO"/>
              </w:rPr>
              <w:t> </w:t>
            </w:r>
          </w:p>
        </w:tc>
        <w:tc>
          <w:tcPr>
            <w:tcW w:w="208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152961D9"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color w:val="000000"/>
                <w:sz w:val="20"/>
                <w:szCs w:val="20"/>
                <w:lang w:val="es-MX" w:eastAsia="es-CO"/>
              </w:rPr>
              <w:t>Trimestral – PLANIGAC se publica en la página Web del IGAC</w:t>
            </w:r>
            <w:r w:rsidRPr="005428A3">
              <w:rPr>
                <w:rFonts w:cs="Arial"/>
                <w:color w:val="000000"/>
                <w:sz w:val="20"/>
                <w:szCs w:val="20"/>
                <w:lang w:val="es-CO" w:eastAsia="es-CO"/>
              </w:rPr>
              <w:t> </w:t>
            </w:r>
          </w:p>
        </w:tc>
      </w:tr>
      <w:tr w:rsidR="00CA11E8" w14:paraId="28465DCE" w14:textId="77777777" w:rsidTr="005428A3">
        <w:trPr>
          <w:trHeight w:val="510"/>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3A49455D" w14:textId="77777777" w:rsidR="00CA11E8" w:rsidRPr="00E274CE" w:rsidRDefault="00CA11E8">
            <w:pPr>
              <w:suppressAutoHyphens w:val="0"/>
              <w:rPr>
                <w:rFonts w:ascii="Times New Roman" w:hAnsi="Times New Roman"/>
                <w:b/>
                <w:bCs/>
                <w:color w:val="FFFFFF"/>
                <w:sz w:val="22"/>
                <w:szCs w:val="22"/>
                <w:lang w:val="es-CO" w:eastAsia="es-CO"/>
              </w:rPr>
            </w:pPr>
          </w:p>
        </w:tc>
        <w:tc>
          <w:tcPr>
            <w:tcW w:w="2376"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27F6CD97"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Seguimiento a los controles de Riesgos</w:t>
            </w:r>
            <w:r w:rsidRPr="005428A3">
              <w:rPr>
                <w:rFonts w:cs="Arial"/>
                <w:sz w:val="20"/>
                <w:szCs w:val="20"/>
                <w:lang w:val="es-CO" w:eastAsia="es-CO"/>
              </w:rPr>
              <w:t> </w:t>
            </w:r>
          </w:p>
        </w:tc>
        <w:tc>
          <w:tcPr>
            <w:tcW w:w="3865"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4239D44D"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 Dirección de Gestión de información</w:t>
            </w:r>
            <w:r w:rsidRPr="005428A3">
              <w:rPr>
                <w:rFonts w:cs="Arial"/>
                <w:sz w:val="20"/>
                <w:szCs w:val="20"/>
                <w:lang w:val="es-CO" w:eastAsia="es-CO"/>
              </w:rPr>
              <w:t> </w:t>
            </w:r>
          </w:p>
          <w:p w14:paraId="3F925B86"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geográfica</w:t>
            </w:r>
            <w:r w:rsidRPr="005428A3">
              <w:rPr>
                <w:rFonts w:cs="Arial"/>
                <w:sz w:val="20"/>
                <w:szCs w:val="20"/>
                <w:lang w:val="es-CO" w:eastAsia="es-CO"/>
              </w:rPr>
              <w:t> </w:t>
            </w:r>
          </w:p>
          <w:p w14:paraId="6CCDFD71"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Cartográfica y Geodésica</w:t>
            </w:r>
            <w:r w:rsidRPr="005428A3">
              <w:rPr>
                <w:rFonts w:cs="Arial"/>
                <w:sz w:val="20"/>
                <w:szCs w:val="20"/>
                <w:lang w:val="es-CO" w:eastAsia="es-CO"/>
              </w:rPr>
              <w:t> </w:t>
            </w:r>
          </w:p>
          <w:p w14:paraId="3580C91E"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Geografía</w:t>
            </w:r>
            <w:r w:rsidRPr="005428A3">
              <w:rPr>
                <w:rFonts w:cs="Arial"/>
                <w:sz w:val="20"/>
                <w:szCs w:val="20"/>
                <w:lang w:val="es-CO" w:eastAsia="es-CO"/>
              </w:rPr>
              <w:t> </w:t>
            </w:r>
          </w:p>
          <w:p w14:paraId="28B0617C"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Agrología</w:t>
            </w:r>
            <w:r w:rsidRPr="005428A3">
              <w:rPr>
                <w:rFonts w:cs="Arial"/>
                <w:sz w:val="20"/>
                <w:szCs w:val="20"/>
                <w:lang w:val="es-CO" w:eastAsia="es-CO"/>
              </w:rPr>
              <w:t> </w:t>
            </w:r>
          </w:p>
        </w:tc>
        <w:tc>
          <w:tcPr>
            <w:tcW w:w="2085"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1198A6DE"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color w:val="000000"/>
                <w:sz w:val="20"/>
                <w:szCs w:val="20"/>
                <w:lang w:val="es-MX" w:eastAsia="es-CO"/>
              </w:rPr>
              <w:t>Trimestral – PLANIGAC se publica en la página Web del IGAC</w:t>
            </w:r>
            <w:r w:rsidRPr="005428A3">
              <w:rPr>
                <w:rFonts w:cs="Arial"/>
                <w:color w:val="000000"/>
                <w:sz w:val="20"/>
                <w:szCs w:val="20"/>
                <w:lang w:val="es-CO" w:eastAsia="es-CO"/>
              </w:rPr>
              <w:t> </w:t>
            </w:r>
          </w:p>
        </w:tc>
      </w:tr>
      <w:tr w:rsidR="00CA11E8" w14:paraId="613386A9" w14:textId="77777777" w:rsidTr="005428A3">
        <w:trPr>
          <w:trHeight w:val="990"/>
        </w:trPr>
        <w:tc>
          <w:tcPr>
            <w:tcW w:w="1018" w:type="dxa"/>
            <w:vMerge w:val="restart"/>
            <w:tcBorders>
              <w:top w:val="single" w:sz="6" w:space="0" w:color="FFFFFF"/>
              <w:left w:val="single" w:sz="6" w:space="0" w:color="FFFFFF"/>
              <w:bottom w:val="single" w:sz="6" w:space="0" w:color="FFFFFF"/>
              <w:right w:val="single" w:sz="6" w:space="0" w:color="FFFFFF"/>
            </w:tcBorders>
            <w:shd w:val="clear" w:color="auto" w:fill="4F81BD"/>
            <w:vAlign w:val="center"/>
            <w:hideMark/>
          </w:tcPr>
          <w:p w14:paraId="2E89626E" w14:textId="77777777" w:rsidR="00CA11E8" w:rsidRPr="00E274CE" w:rsidRDefault="00C27D35">
            <w:pPr>
              <w:suppressAutoHyphens w:val="0"/>
              <w:jc w:val="center"/>
              <w:textAlignment w:val="baseline"/>
              <w:rPr>
                <w:rFonts w:ascii="Times New Roman" w:hAnsi="Times New Roman"/>
                <w:b/>
                <w:bCs/>
                <w:color w:val="FFFFFF"/>
                <w:sz w:val="22"/>
                <w:szCs w:val="22"/>
                <w:lang w:val="es-CO" w:eastAsia="es-CO"/>
              </w:rPr>
            </w:pPr>
            <w:r w:rsidRPr="00E274CE">
              <w:rPr>
                <w:rFonts w:cs="Arial"/>
                <w:b/>
                <w:bCs/>
                <w:color w:val="FFFFFF"/>
                <w:sz w:val="22"/>
                <w:szCs w:val="22"/>
                <w:lang w:val="es-MX" w:eastAsia="es-CO"/>
              </w:rPr>
              <w:t>Externos</w:t>
            </w:r>
            <w:r w:rsidRPr="00E274CE">
              <w:rPr>
                <w:rFonts w:cs="Arial"/>
                <w:b/>
                <w:bCs/>
                <w:color w:val="FFFFFF"/>
                <w:sz w:val="22"/>
                <w:szCs w:val="22"/>
                <w:lang w:val="es-CO" w:eastAsia="es-CO"/>
              </w:rPr>
              <w:t> </w:t>
            </w:r>
          </w:p>
        </w:tc>
        <w:tc>
          <w:tcPr>
            <w:tcW w:w="2376"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6791F172"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Sinergia</w:t>
            </w:r>
            <w:r w:rsidRPr="005428A3">
              <w:rPr>
                <w:rFonts w:cs="Arial"/>
                <w:sz w:val="20"/>
                <w:szCs w:val="20"/>
                <w:lang w:val="es-CO" w:eastAsia="es-CO"/>
              </w:rPr>
              <w:t> </w:t>
            </w:r>
          </w:p>
        </w:tc>
        <w:tc>
          <w:tcPr>
            <w:tcW w:w="386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64E89A4C"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 Dirección de Gestión de información</w:t>
            </w:r>
            <w:r w:rsidRPr="005428A3">
              <w:rPr>
                <w:rFonts w:cs="Arial"/>
                <w:sz w:val="20"/>
                <w:szCs w:val="20"/>
                <w:lang w:val="es-CO" w:eastAsia="es-CO"/>
              </w:rPr>
              <w:t> </w:t>
            </w:r>
          </w:p>
          <w:p w14:paraId="4A74476D"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Geográfica</w:t>
            </w:r>
            <w:r w:rsidRPr="005428A3">
              <w:rPr>
                <w:rFonts w:cs="Arial"/>
                <w:sz w:val="20"/>
                <w:szCs w:val="20"/>
                <w:lang w:val="es-CO" w:eastAsia="es-CO"/>
              </w:rPr>
              <w:t> </w:t>
            </w:r>
          </w:p>
          <w:p w14:paraId="69E4F710"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Cartográfica y Geodésica</w:t>
            </w:r>
            <w:r w:rsidRPr="005428A3">
              <w:rPr>
                <w:rFonts w:cs="Arial"/>
                <w:sz w:val="20"/>
                <w:szCs w:val="20"/>
                <w:lang w:val="es-CO" w:eastAsia="es-CO"/>
              </w:rPr>
              <w:t> </w:t>
            </w:r>
          </w:p>
          <w:p w14:paraId="0FE7122F"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Geografía</w:t>
            </w:r>
            <w:r w:rsidRPr="005428A3">
              <w:rPr>
                <w:rFonts w:cs="Arial"/>
                <w:sz w:val="20"/>
                <w:szCs w:val="20"/>
                <w:lang w:val="es-CO" w:eastAsia="es-CO"/>
              </w:rPr>
              <w:t> </w:t>
            </w:r>
          </w:p>
        </w:tc>
        <w:tc>
          <w:tcPr>
            <w:tcW w:w="208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2EB141BC"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color w:val="000000"/>
                <w:sz w:val="20"/>
                <w:szCs w:val="20"/>
                <w:lang w:val="es-MX" w:eastAsia="es-CO"/>
              </w:rPr>
              <w:t>Mensual – se publica en la Plataforma SINERGIA</w:t>
            </w:r>
            <w:r w:rsidRPr="005428A3">
              <w:rPr>
                <w:rFonts w:cs="Arial"/>
                <w:color w:val="000000"/>
                <w:sz w:val="20"/>
                <w:szCs w:val="20"/>
                <w:lang w:val="es-CO" w:eastAsia="es-CO"/>
              </w:rPr>
              <w:t> </w:t>
            </w:r>
          </w:p>
        </w:tc>
      </w:tr>
      <w:tr w:rsidR="00CA11E8" w14:paraId="3AAF401C" w14:textId="77777777" w:rsidTr="005428A3">
        <w:trPr>
          <w:trHeight w:val="990"/>
        </w:trPr>
        <w:tc>
          <w:tcPr>
            <w:tcW w:w="0" w:type="auto"/>
            <w:vMerge/>
            <w:tcBorders>
              <w:top w:val="single" w:sz="6" w:space="0" w:color="FFFFFF"/>
              <w:left w:val="single" w:sz="6" w:space="0" w:color="FFFFFF"/>
              <w:bottom w:val="single" w:sz="6" w:space="0" w:color="FFFFFF"/>
              <w:right w:val="single" w:sz="6" w:space="0" w:color="FFFFFF"/>
            </w:tcBorders>
            <w:shd w:val="clear" w:color="auto" w:fill="auto"/>
            <w:vAlign w:val="center"/>
            <w:hideMark/>
          </w:tcPr>
          <w:p w14:paraId="10C1F889" w14:textId="77777777" w:rsidR="00CA11E8" w:rsidRDefault="00CA11E8">
            <w:pPr>
              <w:suppressAutoHyphens w:val="0"/>
              <w:rPr>
                <w:rFonts w:ascii="Times New Roman" w:hAnsi="Times New Roman"/>
                <w:b/>
                <w:bCs/>
                <w:color w:val="FFFFFF"/>
                <w:lang w:val="es-CO" w:eastAsia="es-CO"/>
              </w:rPr>
            </w:pPr>
          </w:p>
        </w:tc>
        <w:tc>
          <w:tcPr>
            <w:tcW w:w="2376"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7C684BE6"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SPI</w:t>
            </w:r>
            <w:r w:rsidRPr="005428A3">
              <w:rPr>
                <w:rFonts w:cs="Arial"/>
                <w:sz w:val="20"/>
                <w:szCs w:val="20"/>
                <w:lang w:val="es-CO" w:eastAsia="es-CO"/>
              </w:rPr>
              <w:t> </w:t>
            </w:r>
          </w:p>
        </w:tc>
        <w:tc>
          <w:tcPr>
            <w:tcW w:w="3865"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4834B63B"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 Dirección de Gestión de información</w:t>
            </w:r>
            <w:r w:rsidRPr="005428A3">
              <w:rPr>
                <w:rFonts w:cs="Arial"/>
                <w:sz w:val="20"/>
                <w:szCs w:val="20"/>
                <w:lang w:val="es-CO" w:eastAsia="es-CO"/>
              </w:rPr>
              <w:t> </w:t>
            </w:r>
          </w:p>
          <w:p w14:paraId="293FE30E"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Geográfica</w:t>
            </w:r>
            <w:r w:rsidRPr="005428A3">
              <w:rPr>
                <w:rFonts w:cs="Arial"/>
                <w:sz w:val="20"/>
                <w:szCs w:val="20"/>
                <w:lang w:val="es-CO" w:eastAsia="es-CO"/>
              </w:rPr>
              <w:t> </w:t>
            </w:r>
          </w:p>
          <w:p w14:paraId="12F65FF6"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Cartográfica y Geodésica</w:t>
            </w:r>
            <w:r w:rsidRPr="005428A3">
              <w:rPr>
                <w:rFonts w:cs="Arial"/>
                <w:sz w:val="20"/>
                <w:szCs w:val="20"/>
                <w:lang w:val="es-CO" w:eastAsia="es-CO"/>
              </w:rPr>
              <w:t> </w:t>
            </w:r>
          </w:p>
          <w:p w14:paraId="10CC2BF9"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Geografía</w:t>
            </w:r>
            <w:r w:rsidRPr="005428A3">
              <w:rPr>
                <w:rFonts w:cs="Arial"/>
                <w:sz w:val="20"/>
                <w:szCs w:val="20"/>
                <w:lang w:val="es-CO" w:eastAsia="es-CO"/>
              </w:rPr>
              <w:t> </w:t>
            </w:r>
          </w:p>
          <w:p w14:paraId="03BFAD80"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Agrología</w:t>
            </w:r>
            <w:r w:rsidRPr="005428A3">
              <w:rPr>
                <w:rFonts w:cs="Arial"/>
                <w:sz w:val="20"/>
                <w:szCs w:val="20"/>
                <w:lang w:val="es-CO" w:eastAsia="es-CO"/>
              </w:rPr>
              <w:t> </w:t>
            </w:r>
          </w:p>
        </w:tc>
        <w:tc>
          <w:tcPr>
            <w:tcW w:w="2085"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6B6FCA42"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color w:val="000000"/>
                <w:sz w:val="20"/>
                <w:szCs w:val="20"/>
                <w:lang w:val="es-MX" w:eastAsia="es-CO"/>
              </w:rPr>
              <w:t>Mensual – se publica en la Plataforma SPI</w:t>
            </w:r>
            <w:r w:rsidRPr="005428A3">
              <w:rPr>
                <w:rFonts w:cs="Arial"/>
                <w:color w:val="000000"/>
                <w:sz w:val="20"/>
                <w:szCs w:val="20"/>
                <w:shd w:val="clear" w:color="auto" w:fill="DBE5F1"/>
                <w:lang w:eastAsia="es-CO"/>
              </w:rPr>
              <w:t> </w:t>
            </w:r>
            <w:r w:rsidRPr="005428A3">
              <w:rPr>
                <w:rFonts w:cs="Arial"/>
                <w:color w:val="000000"/>
                <w:sz w:val="20"/>
                <w:szCs w:val="20"/>
                <w:lang w:val="es-CO" w:eastAsia="es-CO"/>
              </w:rPr>
              <w:t> </w:t>
            </w:r>
          </w:p>
        </w:tc>
      </w:tr>
      <w:tr w:rsidR="00CA11E8" w14:paraId="2301E164" w14:textId="77777777" w:rsidTr="005428A3">
        <w:trPr>
          <w:trHeight w:val="990"/>
        </w:trPr>
        <w:tc>
          <w:tcPr>
            <w:tcW w:w="0" w:type="auto"/>
            <w:vMerge/>
            <w:tcBorders>
              <w:top w:val="single" w:sz="6" w:space="0" w:color="FFFFFF"/>
              <w:left w:val="single" w:sz="6" w:space="0" w:color="FFFFFF"/>
              <w:bottom w:val="single" w:sz="6" w:space="0" w:color="FFFFFF"/>
              <w:right w:val="single" w:sz="6" w:space="0" w:color="FFFFFF"/>
            </w:tcBorders>
            <w:shd w:val="clear" w:color="auto" w:fill="auto"/>
            <w:vAlign w:val="center"/>
            <w:hideMark/>
          </w:tcPr>
          <w:p w14:paraId="703B4F01" w14:textId="77777777" w:rsidR="00CA11E8" w:rsidRDefault="00CA11E8">
            <w:pPr>
              <w:suppressAutoHyphens w:val="0"/>
              <w:rPr>
                <w:rFonts w:ascii="Times New Roman" w:hAnsi="Times New Roman"/>
                <w:b/>
                <w:bCs/>
                <w:color w:val="FFFFFF"/>
                <w:lang w:val="es-CO" w:eastAsia="es-CO"/>
              </w:rPr>
            </w:pPr>
          </w:p>
        </w:tc>
        <w:tc>
          <w:tcPr>
            <w:tcW w:w="2376"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2E52DB97"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SISCONPES</w:t>
            </w:r>
            <w:r w:rsidRPr="005428A3">
              <w:rPr>
                <w:rFonts w:cs="Arial"/>
                <w:sz w:val="20"/>
                <w:szCs w:val="20"/>
                <w:lang w:val="es-CO" w:eastAsia="es-CO"/>
              </w:rPr>
              <w:t> </w:t>
            </w:r>
          </w:p>
        </w:tc>
        <w:tc>
          <w:tcPr>
            <w:tcW w:w="386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3BBEFE02"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 Dirección de Gestión de información</w:t>
            </w:r>
            <w:r w:rsidRPr="005428A3">
              <w:rPr>
                <w:rFonts w:cs="Arial"/>
                <w:sz w:val="20"/>
                <w:szCs w:val="20"/>
                <w:lang w:val="es-CO" w:eastAsia="es-CO"/>
              </w:rPr>
              <w:t> </w:t>
            </w:r>
          </w:p>
          <w:p w14:paraId="29235783"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Geográfica</w:t>
            </w:r>
            <w:r w:rsidRPr="005428A3">
              <w:rPr>
                <w:rFonts w:cs="Arial"/>
                <w:sz w:val="20"/>
                <w:szCs w:val="20"/>
                <w:lang w:val="es-CO" w:eastAsia="es-CO"/>
              </w:rPr>
              <w:t> </w:t>
            </w:r>
          </w:p>
          <w:p w14:paraId="4BE10CB0"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Cartográfica y Geodésica</w:t>
            </w:r>
            <w:r w:rsidRPr="005428A3">
              <w:rPr>
                <w:rFonts w:cs="Arial"/>
                <w:sz w:val="20"/>
                <w:szCs w:val="20"/>
                <w:lang w:val="es-CO" w:eastAsia="es-CO"/>
              </w:rPr>
              <w:t> </w:t>
            </w:r>
          </w:p>
          <w:p w14:paraId="13B09C73"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sz w:val="20"/>
                <w:szCs w:val="20"/>
                <w:lang w:val="es-MX" w:eastAsia="es-CO"/>
              </w:rPr>
              <w:t>-Subdirección de Geografía</w:t>
            </w:r>
            <w:r w:rsidRPr="005428A3">
              <w:rPr>
                <w:rFonts w:cs="Arial"/>
                <w:sz w:val="20"/>
                <w:szCs w:val="20"/>
                <w:lang w:val="es-CO" w:eastAsia="es-CO"/>
              </w:rPr>
              <w:t> </w:t>
            </w:r>
          </w:p>
        </w:tc>
        <w:tc>
          <w:tcPr>
            <w:tcW w:w="2085"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796E9974" w14:textId="77777777" w:rsidR="00CA11E8" w:rsidRPr="005428A3" w:rsidRDefault="00C27D35">
            <w:pPr>
              <w:suppressAutoHyphens w:val="0"/>
              <w:textAlignment w:val="baseline"/>
              <w:rPr>
                <w:rFonts w:ascii="Times New Roman" w:hAnsi="Times New Roman"/>
                <w:sz w:val="20"/>
                <w:szCs w:val="20"/>
                <w:lang w:val="es-CO" w:eastAsia="es-CO"/>
              </w:rPr>
            </w:pPr>
            <w:r w:rsidRPr="005428A3">
              <w:rPr>
                <w:rFonts w:cs="Arial"/>
                <w:color w:val="000000"/>
                <w:sz w:val="20"/>
                <w:szCs w:val="20"/>
                <w:lang w:val="es-MX" w:eastAsia="es-CO"/>
              </w:rPr>
              <w:t>Semestral – se publica en la plataforma SISCONPES </w:t>
            </w:r>
            <w:r w:rsidRPr="005428A3">
              <w:rPr>
                <w:rFonts w:cs="Arial"/>
                <w:color w:val="000000"/>
                <w:sz w:val="20"/>
                <w:szCs w:val="20"/>
                <w:lang w:val="es-CO" w:eastAsia="es-CO"/>
              </w:rPr>
              <w:t> </w:t>
            </w:r>
          </w:p>
        </w:tc>
      </w:tr>
    </w:tbl>
    <w:p w14:paraId="6532BF23" w14:textId="368DBA5D" w:rsidR="0073716E" w:rsidRPr="00CA10E9" w:rsidRDefault="00C27D35" w:rsidP="00CA10E9">
      <w:pPr>
        <w:jc w:val="center"/>
        <w:rPr>
          <w:rFonts w:eastAsia="Arial" w:cs="Arial"/>
          <w:b/>
          <w:bCs/>
          <w:color w:val="000000" w:themeColor="text1"/>
          <w:sz w:val="16"/>
          <w:szCs w:val="16"/>
          <w:lang w:val="es"/>
        </w:rPr>
      </w:pPr>
      <w:r w:rsidRPr="5E3F7ADD">
        <w:rPr>
          <w:rFonts w:ascii="Times New Roman" w:hAnsi="Times New Roman"/>
          <w:lang w:val="es-CO" w:eastAsia="es-CO"/>
        </w:rPr>
        <w:t> </w:t>
      </w:r>
      <w:r w:rsidR="47DC0A4A" w:rsidRPr="5E3F7ADD">
        <w:rPr>
          <w:rFonts w:eastAsia="Arial" w:cs="Arial"/>
          <w:b/>
          <w:bCs/>
          <w:color w:val="000000" w:themeColor="text1"/>
          <w:sz w:val="16"/>
          <w:szCs w:val="16"/>
          <w:lang w:val="es"/>
        </w:rPr>
        <w:t>Fuente: Dirección de Gestión de Información Geográfica</w:t>
      </w:r>
    </w:p>
    <w:p w14:paraId="0D6292C4" w14:textId="47CDA49B" w:rsidR="009360B4" w:rsidRPr="006679CF" w:rsidRDefault="009360B4" w:rsidP="006679CF">
      <w:pPr>
        <w:suppressAutoHyphens w:val="0"/>
        <w:ind w:left="360"/>
        <w:jc w:val="both"/>
        <w:textAlignment w:val="baseline"/>
        <w:rPr>
          <w:rFonts w:cs="Arial"/>
          <w:sz w:val="22"/>
          <w:szCs w:val="22"/>
          <w:lang w:val="es-CO" w:eastAsia="es-CO"/>
        </w:rPr>
      </w:pPr>
    </w:p>
    <w:p w14:paraId="33B8B488" w14:textId="00305A8D" w:rsidR="00852CCA" w:rsidRPr="00852CCA" w:rsidRDefault="007B7514" w:rsidP="00A129BF">
      <w:pPr>
        <w:pStyle w:val="Prrafodelista"/>
        <w:numPr>
          <w:ilvl w:val="2"/>
          <w:numId w:val="22"/>
        </w:numPr>
        <w:suppressAutoHyphens w:val="0"/>
        <w:rPr>
          <w:b/>
          <w:bCs/>
        </w:rPr>
      </w:pPr>
      <w:r w:rsidRPr="009755B5">
        <w:rPr>
          <w:b/>
          <w:bCs/>
        </w:rPr>
        <w:t>RECOMENDACIONES</w:t>
      </w:r>
    </w:p>
    <w:p w14:paraId="4FF28B3D" w14:textId="77777777" w:rsidR="007B7514" w:rsidRDefault="007B7514" w:rsidP="007B7514">
      <w:pPr>
        <w:jc w:val="both"/>
        <w:rPr>
          <w:rFonts w:cs="Arial"/>
          <w:sz w:val="22"/>
          <w:szCs w:val="22"/>
        </w:rPr>
      </w:pPr>
    </w:p>
    <w:p w14:paraId="26D48817" w14:textId="77777777" w:rsidR="007B7514" w:rsidRPr="002D2F11" w:rsidRDefault="007B7514" w:rsidP="007B7514">
      <w:pPr>
        <w:jc w:val="both"/>
        <w:rPr>
          <w:rFonts w:eastAsia="Arial" w:cs="Arial"/>
          <w:b/>
          <w:bCs/>
          <w:color w:val="000000" w:themeColor="text1"/>
          <w:sz w:val="22"/>
          <w:szCs w:val="22"/>
          <w:lang w:val="es"/>
        </w:rPr>
      </w:pPr>
    </w:p>
    <w:p w14:paraId="4275A788"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Avanzar con el cumplimiento de los compromisos establecidos por el Gobierno Nacional, asociados con cartografía a escalas y temporalidades adecuadas, así como con caracterizaciones territoriales, a partir del trabajo articulado y coordinado con diferentes entidades y organismos.</w:t>
      </w:r>
    </w:p>
    <w:p w14:paraId="36A8E9B1" w14:textId="77777777" w:rsidR="007B7514" w:rsidRPr="002D2F11" w:rsidRDefault="007B7514" w:rsidP="007B7514">
      <w:pPr>
        <w:ind w:firstLine="60"/>
        <w:jc w:val="both"/>
        <w:rPr>
          <w:rFonts w:eastAsia="Arial" w:cs="Arial"/>
          <w:color w:val="000000" w:themeColor="text1"/>
          <w:sz w:val="22"/>
          <w:szCs w:val="22"/>
          <w:lang w:val="es"/>
        </w:rPr>
      </w:pPr>
    </w:p>
    <w:p w14:paraId="091A0A9D" w14:textId="77777777" w:rsidR="007B7514" w:rsidRPr="002D2F11" w:rsidRDefault="007B7514" w:rsidP="000A20EE">
      <w:pPr>
        <w:pStyle w:val="Prrafodelista"/>
        <w:numPr>
          <w:ilvl w:val="0"/>
          <w:numId w:val="220"/>
        </w:numPr>
        <w:rPr>
          <w:rFonts w:eastAsia="Arial" w:cs="Arial"/>
          <w:sz w:val="22"/>
          <w:szCs w:val="22"/>
        </w:rPr>
      </w:pPr>
      <w:r w:rsidRPr="31FF9146">
        <w:rPr>
          <w:rFonts w:eastAsia="Arial" w:cs="Arial"/>
          <w:sz w:val="22"/>
          <w:szCs w:val="22"/>
          <w:lang w:val="es"/>
        </w:rPr>
        <w:t>Definir un modelo de negocio entorno a los servicios geodésicos que se proveerán a través del Centro de Control de la Red Geodésica, que permita la autosostenibilidad y mantenimiento de la red.</w:t>
      </w:r>
    </w:p>
    <w:p w14:paraId="4715DE4F" w14:textId="77777777" w:rsidR="007B7514" w:rsidRPr="002D2F11" w:rsidRDefault="007B7514" w:rsidP="007B7514">
      <w:pPr>
        <w:ind w:firstLine="60"/>
        <w:jc w:val="both"/>
        <w:rPr>
          <w:rFonts w:eastAsia="Arial" w:cs="Arial"/>
          <w:color w:val="000000" w:themeColor="text1"/>
          <w:sz w:val="22"/>
          <w:szCs w:val="22"/>
          <w:lang w:val="es"/>
        </w:rPr>
      </w:pPr>
    </w:p>
    <w:p w14:paraId="2CFE5C29"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Liderar la creación de un laboratorio de Geodesia Espacial con el objetivo de promover el uso innovador de los datos y recursos geodésicos, a partir de nuevas tecnologías, y en conjunto con la academia desarrollar productos y servicios de valor agregado para el país.</w:t>
      </w:r>
    </w:p>
    <w:p w14:paraId="3522541B"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01016707"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 xml:space="preserve">Priorizar la actualización del Modelo Geoidal para Colombia, el cual permitirá reducir costos significativos relacionados con el levantamiento de información y densificación de redes de medición. Un modelo geoidal actualizado con la suficiente resolución permite realizar transformaciones de alturas, predicciones de valores de gravedad, definición de sistemas de referencia verticales y estudios de movimientos verticales, por mencionar algunas de sus aplicaciones. </w:t>
      </w:r>
    </w:p>
    <w:p w14:paraId="2DDA3B81"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2829940A"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Mantener la gestión para la adquisición de un sensor fotogramétrico de alta resolución y de un sensor LIDAR para la generación y/o actualización de información geográfica multipropósito.</w:t>
      </w:r>
    </w:p>
    <w:p w14:paraId="5E21103F" w14:textId="77777777" w:rsidR="007B7514" w:rsidRPr="002D2F11" w:rsidRDefault="007B7514" w:rsidP="007B7514">
      <w:pPr>
        <w:ind w:firstLine="60"/>
        <w:jc w:val="both"/>
        <w:rPr>
          <w:rFonts w:eastAsia="Arial" w:cs="Arial"/>
          <w:color w:val="000000" w:themeColor="text1"/>
          <w:sz w:val="22"/>
          <w:szCs w:val="22"/>
          <w:lang w:val="es"/>
        </w:rPr>
      </w:pPr>
    </w:p>
    <w:p w14:paraId="35792375"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Invertir en la actualización de los equipos del Observatorio de Fúquene con el propósito de contar con mayor precisión, y fortalecer el liderazgo, promover la competitividad, y lograr mayor reconocimiento del IGAC, como responsable y autoridad a nivel Latinoamérica</w:t>
      </w:r>
    </w:p>
    <w:p w14:paraId="03520424"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7C759B3D"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 xml:space="preserve">Seguir apostando por la implementación de nuevas metodologías y herramientas que permitan optimizar, en tiempo y costos, el proceso y monitoreo de producción y validación cartográfica, así como fortalecer las existentes. </w:t>
      </w:r>
    </w:p>
    <w:p w14:paraId="46D15BEA"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68BFE803"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Continuar con esquemas que faciliten la formalización e implementación de alianzas públicas y privadas que promuevan la generación, adquisición e intercambio de insumos cartográficos, geográficos, geodésicos y agrológicos para el país, de manera oportuna.</w:t>
      </w:r>
    </w:p>
    <w:p w14:paraId="2534AA49"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70757B46" w14:textId="77777777" w:rsidR="007B7514" w:rsidRPr="002D2F11" w:rsidRDefault="007B7514" w:rsidP="000A20EE">
      <w:pPr>
        <w:pStyle w:val="Prrafodelista"/>
        <w:numPr>
          <w:ilvl w:val="0"/>
          <w:numId w:val="220"/>
        </w:numPr>
        <w:rPr>
          <w:rFonts w:eastAsia="Arial" w:cs="Arial"/>
          <w:sz w:val="22"/>
          <w:szCs w:val="22"/>
        </w:rPr>
      </w:pPr>
      <w:r w:rsidRPr="31FF9146">
        <w:rPr>
          <w:rFonts w:eastAsia="Arial" w:cs="Arial"/>
          <w:sz w:val="22"/>
          <w:szCs w:val="22"/>
          <w:lang w:val="es"/>
        </w:rPr>
        <w:lastRenderedPageBreak/>
        <w:t>Insistir en la importancia de definir los límites fronterizos ante el Ministerio de Relaciones Exteriores, a partir de planes de trabajo concretos y con objetivos a corto plazo.</w:t>
      </w:r>
    </w:p>
    <w:p w14:paraId="66071494" w14:textId="77777777" w:rsidR="007B7514" w:rsidRPr="002D2F11" w:rsidRDefault="007B7514" w:rsidP="007B7514">
      <w:pPr>
        <w:ind w:firstLine="60"/>
        <w:jc w:val="both"/>
        <w:rPr>
          <w:rFonts w:eastAsia="Arial" w:cs="Arial"/>
          <w:color w:val="000000" w:themeColor="text1"/>
          <w:sz w:val="22"/>
          <w:szCs w:val="22"/>
          <w:lang w:val="es"/>
        </w:rPr>
      </w:pPr>
    </w:p>
    <w:p w14:paraId="38AD5E30"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Continuar con la apertura y operación de deslinde y/o amojonamiento municipales y departamentales. Para este proceso es indispensable fortalecer el equipo desde el punto de vista jurídico.</w:t>
      </w:r>
    </w:p>
    <w:p w14:paraId="6E032AE8"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0A91ED76"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Continuar promoviendo la integración de las diferentes plataformas al interior del IGAC, así como la centralización de la información misional. Implementar y definir esquemas de actualización y permanencia de bases de datos corporativas que salvaguarden la información producida en el IGAC.</w:t>
      </w:r>
    </w:p>
    <w:p w14:paraId="1B4F7FFE"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53EDE89F"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 xml:space="preserve">Implementar nuevas funcionalidades en Colombia en Mapas. Darle capacidades de analítica y comercio electrónico que permita que los usuarios vean los indicadores de desempeño más importantes de cada dato y así mismo puedan acceder a los diferentes productos geográficos de la tienda en línea. </w:t>
      </w:r>
    </w:p>
    <w:p w14:paraId="69020230"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0D1AD0E5" w14:textId="77777777" w:rsidR="007B7514" w:rsidRPr="002D2F11" w:rsidRDefault="007B7514" w:rsidP="000A20EE">
      <w:pPr>
        <w:pStyle w:val="Prrafodelista"/>
        <w:numPr>
          <w:ilvl w:val="0"/>
          <w:numId w:val="220"/>
        </w:numPr>
        <w:spacing w:line="254" w:lineRule="exact"/>
        <w:rPr>
          <w:rFonts w:eastAsia="Arial" w:cs="Arial"/>
          <w:sz w:val="22"/>
          <w:szCs w:val="22"/>
        </w:rPr>
      </w:pPr>
      <w:r w:rsidRPr="31FF9146">
        <w:rPr>
          <w:rFonts w:eastAsia="Arial" w:cs="Arial"/>
          <w:sz w:val="22"/>
          <w:szCs w:val="22"/>
          <w:lang w:val="es"/>
        </w:rPr>
        <w:t>Implementar estrategia comercial para posicionar a Colombia en Mapas como una Software as a Service (SaaS) permitiendo ofrecer a las entidades Colombia en Mapas como una plataforma lista para alojar y disponer su información geográfica que los libera de actividades de diseño, desarrollo y soporte tecnológico.</w:t>
      </w:r>
    </w:p>
    <w:p w14:paraId="58CC926B"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3B19F9AC"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Garantizar el suministro de materiales e insumos para el Laboratorio Nacional de Suelos, así como el mantenimiento y la calibración de los equipos agrológicos, topográficos, geodésicos y cartográficos.</w:t>
      </w:r>
    </w:p>
    <w:p w14:paraId="6E8C1D6A" w14:textId="77777777" w:rsidR="007B7514" w:rsidRPr="002D2F11" w:rsidRDefault="007B7514" w:rsidP="007B7514">
      <w:pPr>
        <w:ind w:firstLine="60"/>
        <w:jc w:val="both"/>
        <w:rPr>
          <w:rFonts w:eastAsia="Arial" w:cs="Arial"/>
          <w:color w:val="000000" w:themeColor="text1"/>
          <w:sz w:val="22"/>
          <w:szCs w:val="22"/>
          <w:lang w:val="es"/>
        </w:rPr>
      </w:pPr>
    </w:p>
    <w:p w14:paraId="105154DC" w14:textId="77777777" w:rsidR="007B7514" w:rsidRPr="002D2F11" w:rsidRDefault="007B7514" w:rsidP="000A20EE">
      <w:pPr>
        <w:pStyle w:val="Prrafodelista"/>
        <w:numPr>
          <w:ilvl w:val="0"/>
          <w:numId w:val="220"/>
        </w:numPr>
        <w:rPr>
          <w:rFonts w:eastAsia="Arial" w:cs="Arial"/>
          <w:sz w:val="22"/>
          <w:szCs w:val="22"/>
        </w:rPr>
      </w:pPr>
      <w:r w:rsidRPr="31FF9146">
        <w:rPr>
          <w:rFonts w:eastAsia="Arial" w:cs="Arial"/>
          <w:sz w:val="22"/>
          <w:szCs w:val="22"/>
          <w:lang w:val="es"/>
        </w:rPr>
        <w:t>Finalizar la actualización del mapa nacional de suelos a escala 1:100.000, pero teniendo presente las bases de datos de perfiles y la actualización de geomorfología, para el cual falta alrededor del 40%.</w:t>
      </w:r>
    </w:p>
    <w:p w14:paraId="1B313E63" w14:textId="77777777" w:rsidR="007B7514" w:rsidRPr="002D2F11" w:rsidRDefault="007B7514" w:rsidP="007B7514">
      <w:pPr>
        <w:ind w:firstLine="60"/>
        <w:jc w:val="both"/>
        <w:rPr>
          <w:rFonts w:eastAsia="Arial" w:cs="Arial"/>
          <w:color w:val="000000" w:themeColor="text1"/>
          <w:sz w:val="22"/>
          <w:szCs w:val="22"/>
          <w:lang w:val="es"/>
        </w:rPr>
      </w:pPr>
    </w:p>
    <w:p w14:paraId="4B3313DC" w14:textId="77777777" w:rsidR="007B7514" w:rsidRPr="002D2F11" w:rsidRDefault="007B7514" w:rsidP="000A20EE">
      <w:pPr>
        <w:pStyle w:val="Prrafodelista"/>
        <w:numPr>
          <w:ilvl w:val="0"/>
          <w:numId w:val="220"/>
        </w:numPr>
        <w:rPr>
          <w:rFonts w:eastAsia="Arial" w:cs="Arial"/>
          <w:sz w:val="22"/>
          <w:szCs w:val="22"/>
        </w:rPr>
      </w:pPr>
      <w:r w:rsidRPr="31FF9146">
        <w:rPr>
          <w:rFonts w:eastAsia="Arial" w:cs="Arial"/>
          <w:sz w:val="22"/>
          <w:szCs w:val="22"/>
          <w:lang w:val="es"/>
        </w:rPr>
        <w:t>Continuar con consolidación de información en bases de datos de los perfiles de los estudios detallados, semidetallados y generales que ha realizado el IGAC a través de los últimos 40 años de labor, con información cualitativa (base de datos de perfiles) y cuantitativa (base de datos de laboratorio) de perfiles, las cuales se componen en alrededor de 700 columnas de información.</w:t>
      </w:r>
    </w:p>
    <w:p w14:paraId="018DCC19" w14:textId="77777777" w:rsidR="007B7514" w:rsidRPr="002D2F11" w:rsidRDefault="007B7514" w:rsidP="007B7514">
      <w:pPr>
        <w:ind w:firstLine="60"/>
        <w:jc w:val="both"/>
        <w:rPr>
          <w:rFonts w:eastAsia="Arial" w:cs="Arial"/>
          <w:color w:val="000000" w:themeColor="text1"/>
          <w:sz w:val="22"/>
          <w:szCs w:val="22"/>
          <w:lang w:val="es"/>
        </w:rPr>
      </w:pPr>
    </w:p>
    <w:p w14:paraId="37DB8125"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Fortalecer la generación de aplicaciones agrológicas (Cambio Climático, erosión, degradación, Usos del Suelo, Contaminación y planificación Ambiental del suelo –manejo y conservación de suelos).</w:t>
      </w:r>
    </w:p>
    <w:p w14:paraId="7AF64CC5" w14:textId="77777777" w:rsidR="007B7514" w:rsidRPr="002D2F11" w:rsidRDefault="007B7514" w:rsidP="007B7514">
      <w:pPr>
        <w:spacing w:line="254" w:lineRule="exact"/>
        <w:ind w:firstLine="60"/>
        <w:jc w:val="both"/>
        <w:rPr>
          <w:rFonts w:eastAsia="Arial" w:cs="Arial"/>
          <w:color w:val="000000" w:themeColor="text1"/>
          <w:sz w:val="22"/>
          <w:szCs w:val="22"/>
          <w:lang w:val="es"/>
        </w:rPr>
      </w:pPr>
    </w:p>
    <w:p w14:paraId="55EC0F2F"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 xml:space="preserve">Continuar con la formación de los funcionarios en temas cartográficos, geodésicos, geográficos y agrológicos, principalmente en el uso de tecnologías geoespaciales. </w:t>
      </w:r>
    </w:p>
    <w:p w14:paraId="5C0F7462" w14:textId="77777777" w:rsidR="007B7514" w:rsidRPr="002D2F11" w:rsidRDefault="007B7514" w:rsidP="007B7514">
      <w:pPr>
        <w:ind w:firstLine="60"/>
        <w:jc w:val="both"/>
        <w:rPr>
          <w:rFonts w:eastAsia="Arial" w:cs="Arial"/>
          <w:color w:val="000000" w:themeColor="text1"/>
          <w:sz w:val="22"/>
          <w:szCs w:val="22"/>
          <w:lang w:val="es"/>
        </w:rPr>
      </w:pPr>
    </w:p>
    <w:p w14:paraId="57F0CC89"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Posicionar la Sección Nacional del IPGH en Colombia, a partir de la conformación de las 4 Comisiones Técnicas y establecimiento de un plan de trabajo para 2022, resaltando actividades de comunicación y capacitación, foros, eventos, publicaciones y seguimiento a proyectos, en alianza con la Vicepresidencia. Así mismo, gestionar y desarrollar un espacio dentro de la página web oficial del Instituto, específicamente para contenidos del IPGH y los cuatro temas misionales, a través de las comisiones correspondientes.</w:t>
      </w:r>
    </w:p>
    <w:p w14:paraId="4BE3840D" w14:textId="77777777" w:rsidR="007B7514" w:rsidRPr="002D2F11" w:rsidRDefault="007B7514" w:rsidP="007B7514">
      <w:pPr>
        <w:ind w:firstLine="60"/>
        <w:jc w:val="both"/>
        <w:rPr>
          <w:rFonts w:eastAsia="Arial" w:cs="Arial"/>
          <w:color w:val="000000" w:themeColor="text1"/>
          <w:sz w:val="22"/>
          <w:szCs w:val="22"/>
          <w:lang w:val="es"/>
        </w:rPr>
      </w:pPr>
    </w:p>
    <w:p w14:paraId="724DD038" w14:textId="77777777" w:rsidR="007B7514" w:rsidRPr="002D2F11" w:rsidRDefault="007B7514" w:rsidP="000A20EE">
      <w:pPr>
        <w:pStyle w:val="Prrafodelista"/>
        <w:numPr>
          <w:ilvl w:val="0"/>
          <w:numId w:val="220"/>
        </w:numPr>
        <w:rPr>
          <w:rFonts w:eastAsia="Arial" w:cs="Arial"/>
          <w:sz w:val="22"/>
          <w:szCs w:val="22"/>
        </w:rPr>
      </w:pPr>
      <w:r w:rsidRPr="31FF9146">
        <w:rPr>
          <w:rFonts w:eastAsia="Arial" w:cs="Arial"/>
          <w:sz w:val="22"/>
          <w:szCs w:val="22"/>
          <w:lang w:val="es"/>
        </w:rPr>
        <w:lastRenderedPageBreak/>
        <w:t xml:space="preserve">Modernizar el Museo Nacional de Geografía y Cartografía, disponiendo experiencias con el material histórico y procesos de producción cartográficos y geográficos, a través de la reestructuración y rediseño de espacio existente, o la formalización de alianzas con diferentes interesados. </w:t>
      </w:r>
    </w:p>
    <w:p w14:paraId="2E39EAF5" w14:textId="77777777" w:rsidR="007B7514" w:rsidRPr="002D2F11" w:rsidRDefault="007B7514" w:rsidP="007B7514">
      <w:pPr>
        <w:ind w:firstLine="45"/>
        <w:jc w:val="both"/>
        <w:rPr>
          <w:rFonts w:ascii="Calibri" w:eastAsia="Calibri" w:hAnsi="Calibri" w:cs="Calibri"/>
          <w:color w:val="FF0000"/>
          <w:sz w:val="22"/>
          <w:szCs w:val="22"/>
          <w:lang w:val="es"/>
        </w:rPr>
      </w:pPr>
    </w:p>
    <w:p w14:paraId="7EF78128"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Posicionar al IGAC como el principal gestor de información geográfica del país, a través del cual se genera, articula, integra, dispone y promueve el uso de esta información para los diferentes propósitos.</w:t>
      </w:r>
    </w:p>
    <w:p w14:paraId="7822D8A9" w14:textId="77777777" w:rsidR="007B7514" w:rsidRPr="002D2F11" w:rsidRDefault="007B7514" w:rsidP="007B7514">
      <w:pPr>
        <w:ind w:firstLine="60"/>
        <w:jc w:val="both"/>
        <w:rPr>
          <w:rFonts w:eastAsia="Arial" w:cs="Arial"/>
          <w:color w:val="000000" w:themeColor="text1"/>
          <w:sz w:val="22"/>
          <w:szCs w:val="22"/>
          <w:lang w:val="es"/>
        </w:rPr>
      </w:pPr>
    </w:p>
    <w:p w14:paraId="6BDEB26B" w14:textId="77777777" w:rsidR="007B7514" w:rsidRPr="009755B5" w:rsidRDefault="007B7514" w:rsidP="000A20EE">
      <w:pPr>
        <w:pStyle w:val="Prrafodelista"/>
        <w:numPr>
          <w:ilvl w:val="0"/>
          <w:numId w:val="220"/>
        </w:numPr>
        <w:rPr>
          <w:rFonts w:eastAsia="Arial" w:cs="Arial"/>
          <w:sz w:val="22"/>
          <w:szCs w:val="22"/>
          <w:lang w:val="es"/>
        </w:rPr>
      </w:pPr>
      <w:r w:rsidRPr="009755B5">
        <w:rPr>
          <w:rFonts w:eastAsia="Arial" w:cs="Arial"/>
          <w:sz w:val="22"/>
          <w:szCs w:val="22"/>
          <w:lang w:val="es"/>
        </w:rPr>
        <w:t>Establecer alianzas interinstitucionales para el robustecimiento del repositorio de planes de ordenamiento territorial, en términos de garantizar la oportunidad, calidad y estandarización de la información.</w:t>
      </w:r>
    </w:p>
    <w:p w14:paraId="596FA9C8" w14:textId="77777777" w:rsidR="007B7514" w:rsidRPr="002D2F11" w:rsidRDefault="007B7514" w:rsidP="007B7514">
      <w:pPr>
        <w:spacing w:line="254" w:lineRule="exact"/>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 </w:t>
      </w:r>
    </w:p>
    <w:p w14:paraId="2BD141B0" w14:textId="77777777" w:rsidR="007B7514" w:rsidRPr="002D2F11" w:rsidRDefault="007B7514" w:rsidP="000A20EE">
      <w:pPr>
        <w:pStyle w:val="Prrafodelista"/>
        <w:numPr>
          <w:ilvl w:val="0"/>
          <w:numId w:val="221"/>
        </w:numPr>
        <w:rPr>
          <w:rFonts w:eastAsia="Arial" w:cs="Arial"/>
          <w:sz w:val="22"/>
          <w:szCs w:val="22"/>
        </w:rPr>
      </w:pPr>
      <w:r w:rsidRPr="31FF9146">
        <w:rPr>
          <w:rFonts w:eastAsia="Arial" w:cs="Arial"/>
          <w:sz w:val="22"/>
          <w:szCs w:val="22"/>
          <w:lang w:val="es"/>
        </w:rPr>
        <w:t>Reiterar con entes externos, el alcance del apoyo técnico y participación de IGAC en la delimitación de fronteras, resguardos y territorios colectivos. Pese a la implementación de diferentes estrategias, aún se identifica al IGAC como responsable de esos temas.</w:t>
      </w:r>
    </w:p>
    <w:p w14:paraId="15D1C339" w14:textId="77777777" w:rsidR="007B7514" w:rsidRPr="002D2F11" w:rsidRDefault="007B7514" w:rsidP="007B7514">
      <w:pPr>
        <w:ind w:firstLine="60"/>
        <w:jc w:val="both"/>
        <w:rPr>
          <w:rFonts w:eastAsia="Arial" w:cs="Arial"/>
          <w:color w:val="000000" w:themeColor="text1"/>
          <w:sz w:val="22"/>
          <w:szCs w:val="22"/>
          <w:lang w:val="es"/>
        </w:rPr>
      </w:pPr>
    </w:p>
    <w:p w14:paraId="453C945C" w14:textId="3730A168" w:rsidR="003B57C3" w:rsidRDefault="007B7514" w:rsidP="00A93FC3">
      <w:pPr>
        <w:pStyle w:val="Prrafodelista"/>
        <w:numPr>
          <w:ilvl w:val="0"/>
          <w:numId w:val="221"/>
        </w:numPr>
        <w:rPr>
          <w:rFonts w:eastAsia="Arial" w:cs="Arial"/>
          <w:sz w:val="22"/>
          <w:szCs w:val="22"/>
          <w:lang w:val="es"/>
        </w:rPr>
      </w:pPr>
      <w:r w:rsidRPr="31FF9146">
        <w:rPr>
          <w:rFonts w:eastAsia="Arial" w:cs="Arial"/>
          <w:sz w:val="22"/>
          <w:szCs w:val="22"/>
          <w:lang w:val="es"/>
        </w:rPr>
        <w:t>Con respecto a los compromisos establecidos en el Plan Nacional de Desarrollo y en el Decreto 1500 de 2018 frente a la delimitación de la Línea Negra, es necesario que desde el IGAC se continúe con la atención de los diferentes requerimientos, basado en la posición institucional (compartida por la Secretaría Jurídica de Presidencia de la República) relacionada con que no existe el anexo del Decreto 1500 de 2018, así como que el Instituto no tiene competencia para delimitar espacios sagrados ni culturales; así como continuar con la gestión ante Ministerio del Interior para coordinar y alinear la posición como Gobierno para responder a las autoridades indígenas en la Mesa Permanente de Concertación (MPC).</w:t>
      </w:r>
    </w:p>
    <w:p w14:paraId="5FACD71D" w14:textId="04C5668E" w:rsidR="006679CF" w:rsidRDefault="006679CF" w:rsidP="006679CF">
      <w:pPr>
        <w:pStyle w:val="Lista"/>
        <w:rPr>
          <w:rFonts w:eastAsia="Arial"/>
          <w:lang w:val="es"/>
        </w:rPr>
      </w:pPr>
    </w:p>
    <w:p w14:paraId="23FC0218" w14:textId="15E92884" w:rsidR="006679CF" w:rsidRDefault="006679CF" w:rsidP="006679CF">
      <w:pPr>
        <w:pStyle w:val="Lista"/>
        <w:rPr>
          <w:rFonts w:eastAsia="Arial"/>
          <w:lang w:val="es"/>
        </w:rPr>
      </w:pPr>
    </w:p>
    <w:p w14:paraId="2CC4029B" w14:textId="76A4C60D" w:rsidR="006679CF" w:rsidRDefault="006679CF" w:rsidP="006679CF">
      <w:pPr>
        <w:pStyle w:val="Lista"/>
        <w:rPr>
          <w:rFonts w:eastAsia="Arial"/>
          <w:lang w:val="es"/>
        </w:rPr>
      </w:pPr>
    </w:p>
    <w:p w14:paraId="2A4EE772" w14:textId="3011CAAB" w:rsidR="006679CF" w:rsidRDefault="006679CF" w:rsidP="006679CF">
      <w:pPr>
        <w:pStyle w:val="Lista"/>
        <w:rPr>
          <w:rFonts w:eastAsia="Arial"/>
          <w:lang w:val="es"/>
        </w:rPr>
      </w:pPr>
    </w:p>
    <w:p w14:paraId="3598DC30" w14:textId="4443DDA7" w:rsidR="006679CF" w:rsidRDefault="006679CF" w:rsidP="006679CF">
      <w:pPr>
        <w:pStyle w:val="Lista"/>
        <w:rPr>
          <w:rFonts w:eastAsia="Arial"/>
          <w:lang w:val="es"/>
        </w:rPr>
      </w:pPr>
    </w:p>
    <w:p w14:paraId="7A9B1CB1" w14:textId="2BA8A804" w:rsidR="006679CF" w:rsidRDefault="006679CF" w:rsidP="006679CF">
      <w:pPr>
        <w:pStyle w:val="Lista"/>
        <w:rPr>
          <w:rFonts w:eastAsia="Arial"/>
          <w:lang w:val="es"/>
        </w:rPr>
      </w:pPr>
    </w:p>
    <w:p w14:paraId="004262B8" w14:textId="0DD1E857" w:rsidR="006679CF" w:rsidRDefault="006679CF" w:rsidP="006679CF">
      <w:pPr>
        <w:pStyle w:val="Lista"/>
        <w:rPr>
          <w:rFonts w:eastAsia="Arial"/>
          <w:lang w:val="es"/>
        </w:rPr>
      </w:pPr>
    </w:p>
    <w:p w14:paraId="48CB0DA0" w14:textId="30D687ED" w:rsidR="006679CF" w:rsidRDefault="006679CF" w:rsidP="006679CF">
      <w:pPr>
        <w:pStyle w:val="Lista"/>
        <w:rPr>
          <w:rFonts w:eastAsia="Arial"/>
          <w:lang w:val="es"/>
        </w:rPr>
      </w:pPr>
    </w:p>
    <w:p w14:paraId="3129621F" w14:textId="1BA5FCA1" w:rsidR="006679CF" w:rsidRDefault="006679CF" w:rsidP="006679CF">
      <w:pPr>
        <w:pStyle w:val="Lista"/>
        <w:rPr>
          <w:rFonts w:eastAsia="Arial"/>
          <w:lang w:val="es"/>
        </w:rPr>
      </w:pPr>
    </w:p>
    <w:p w14:paraId="49D97D43" w14:textId="37A745D6" w:rsidR="006679CF" w:rsidRDefault="006679CF" w:rsidP="006679CF">
      <w:pPr>
        <w:pStyle w:val="Lista"/>
        <w:rPr>
          <w:rFonts w:eastAsia="Arial"/>
          <w:lang w:val="es"/>
        </w:rPr>
      </w:pPr>
    </w:p>
    <w:p w14:paraId="272EFC0F" w14:textId="508892B5" w:rsidR="006679CF" w:rsidRDefault="006679CF" w:rsidP="006679CF">
      <w:pPr>
        <w:pStyle w:val="Lista"/>
        <w:rPr>
          <w:rFonts w:eastAsia="Arial"/>
          <w:lang w:val="es"/>
        </w:rPr>
      </w:pPr>
    </w:p>
    <w:p w14:paraId="2270F9A1" w14:textId="63256117" w:rsidR="006679CF" w:rsidRDefault="006679CF" w:rsidP="006679CF">
      <w:pPr>
        <w:pStyle w:val="Lista"/>
        <w:rPr>
          <w:rFonts w:eastAsia="Arial"/>
          <w:lang w:val="es"/>
        </w:rPr>
      </w:pPr>
    </w:p>
    <w:p w14:paraId="2C0A93C3" w14:textId="2CD3629A" w:rsidR="006679CF" w:rsidRDefault="006679CF" w:rsidP="006679CF">
      <w:pPr>
        <w:pStyle w:val="Lista"/>
        <w:rPr>
          <w:rFonts w:eastAsia="Arial"/>
          <w:lang w:val="es"/>
        </w:rPr>
      </w:pPr>
    </w:p>
    <w:p w14:paraId="447A81B7" w14:textId="2ACF262B" w:rsidR="006679CF" w:rsidRDefault="006679CF" w:rsidP="006679CF">
      <w:pPr>
        <w:pStyle w:val="Lista"/>
        <w:rPr>
          <w:rFonts w:eastAsia="Arial"/>
          <w:lang w:val="es"/>
        </w:rPr>
      </w:pPr>
    </w:p>
    <w:p w14:paraId="67F80D8B" w14:textId="322C8A1A" w:rsidR="006679CF" w:rsidRDefault="006679CF" w:rsidP="006679CF">
      <w:pPr>
        <w:pStyle w:val="Lista"/>
        <w:rPr>
          <w:rFonts w:eastAsia="Arial"/>
          <w:lang w:val="es"/>
        </w:rPr>
      </w:pPr>
    </w:p>
    <w:p w14:paraId="71BAE3E7" w14:textId="1D7180FF" w:rsidR="006679CF" w:rsidRDefault="006679CF" w:rsidP="006679CF">
      <w:pPr>
        <w:pStyle w:val="Lista"/>
        <w:rPr>
          <w:rFonts w:eastAsia="Arial"/>
          <w:lang w:val="es"/>
        </w:rPr>
      </w:pPr>
    </w:p>
    <w:p w14:paraId="266E761A" w14:textId="76B59783" w:rsidR="006679CF" w:rsidRDefault="006679CF" w:rsidP="006679CF">
      <w:pPr>
        <w:pStyle w:val="Lista"/>
        <w:rPr>
          <w:rFonts w:eastAsia="Arial"/>
          <w:lang w:val="es"/>
        </w:rPr>
      </w:pPr>
    </w:p>
    <w:p w14:paraId="2F827527" w14:textId="3AD516AF" w:rsidR="006679CF" w:rsidRDefault="006679CF" w:rsidP="006679CF">
      <w:pPr>
        <w:pStyle w:val="Lista"/>
        <w:rPr>
          <w:rFonts w:eastAsia="Arial"/>
          <w:lang w:val="es"/>
        </w:rPr>
      </w:pPr>
    </w:p>
    <w:p w14:paraId="1BD41649" w14:textId="3267B8C6" w:rsidR="006679CF" w:rsidRDefault="006679CF" w:rsidP="006679CF">
      <w:pPr>
        <w:pStyle w:val="Lista"/>
        <w:rPr>
          <w:rFonts w:eastAsia="Arial"/>
          <w:lang w:val="es"/>
        </w:rPr>
      </w:pPr>
    </w:p>
    <w:p w14:paraId="50285DFE" w14:textId="37AABFDA" w:rsidR="006679CF" w:rsidRDefault="006679CF" w:rsidP="006679CF">
      <w:pPr>
        <w:pStyle w:val="Lista"/>
        <w:rPr>
          <w:rFonts w:eastAsia="Arial"/>
          <w:lang w:val="es"/>
        </w:rPr>
      </w:pPr>
    </w:p>
    <w:p w14:paraId="2C8EDB39" w14:textId="7F7CE90D" w:rsidR="006679CF" w:rsidRDefault="006679CF" w:rsidP="006679CF">
      <w:pPr>
        <w:pStyle w:val="Lista"/>
        <w:rPr>
          <w:rFonts w:eastAsia="Arial"/>
          <w:lang w:val="es"/>
        </w:rPr>
      </w:pPr>
    </w:p>
    <w:p w14:paraId="7605A5A2" w14:textId="51B03941" w:rsidR="006679CF" w:rsidRDefault="006679CF" w:rsidP="006679CF">
      <w:pPr>
        <w:pStyle w:val="Lista"/>
        <w:rPr>
          <w:rFonts w:eastAsia="Arial"/>
          <w:lang w:val="es"/>
        </w:rPr>
      </w:pPr>
    </w:p>
    <w:p w14:paraId="709140C3" w14:textId="0F6E63FE" w:rsidR="006679CF" w:rsidRDefault="006679CF" w:rsidP="006679CF">
      <w:pPr>
        <w:pStyle w:val="Lista"/>
        <w:rPr>
          <w:rFonts w:eastAsia="Arial"/>
          <w:lang w:val="es"/>
        </w:rPr>
      </w:pPr>
    </w:p>
    <w:p w14:paraId="18FEB129" w14:textId="7DDF39F9" w:rsidR="006679CF" w:rsidRDefault="006679CF" w:rsidP="006679CF">
      <w:pPr>
        <w:pStyle w:val="Lista"/>
        <w:rPr>
          <w:rFonts w:eastAsia="Arial"/>
          <w:lang w:val="es"/>
        </w:rPr>
      </w:pPr>
    </w:p>
    <w:p w14:paraId="77BFFB9E" w14:textId="1B24C779" w:rsidR="006679CF" w:rsidRDefault="006679CF" w:rsidP="006679CF">
      <w:pPr>
        <w:pStyle w:val="Lista"/>
        <w:rPr>
          <w:rFonts w:eastAsia="Arial"/>
          <w:lang w:val="es"/>
        </w:rPr>
      </w:pPr>
    </w:p>
    <w:p w14:paraId="6D053629" w14:textId="77777777" w:rsidR="006679CF" w:rsidRPr="006679CF" w:rsidRDefault="006679CF" w:rsidP="006679CF">
      <w:pPr>
        <w:pStyle w:val="Lista"/>
        <w:rPr>
          <w:rFonts w:eastAsia="Arial"/>
          <w:lang w:val="es"/>
        </w:rPr>
      </w:pPr>
    </w:p>
    <w:p w14:paraId="3848BEE6" w14:textId="368DBA5D" w:rsidR="009A372D" w:rsidRPr="00B75FD3" w:rsidRDefault="404CC5CC" w:rsidP="000A20EE">
      <w:pPr>
        <w:pStyle w:val="Ttulo2"/>
        <w:numPr>
          <w:ilvl w:val="1"/>
          <w:numId w:val="22"/>
        </w:numPr>
        <w:spacing w:line="240" w:lineRule="auto"/>
        <w:jc w:val="left"/>
        <w:rPr>
          <w:sz w:val="22"/>
          <w:szCs w:val="22"/>
        </w:rPr>
      </w:pPr>
      <w:bookmarkStart w:id="126" w:name="_Toc88677058"/>
      <w:r w:rsidRPr="5E3F7ADD">
        <w:rPr>
          <w:sz w:val="22"/>
          <w:szCs w:val="22"/>
        </w:rPr>
        <w:lastRenderedPageBreak/>
        <w:t>DIRECCIÓN DE INVESTIGACIÓN Y PROSPECTIVA</w:t>
      </w:r>
      <w:r w:rsidR="6B4B426E" w:rsidRPr="5E3F7ADD">
        <w:rPr>
          <w:sz w:val="22"/>
          <w:szCs w:val="22"/>
        </w:rPr>
        <w:t xml:space="preserve"> - DIP</w:t>
      </w:r>
      <w:bookmarkEnd w:id="126"/>
    </w:p>
    <w:p w14:paraId="55BB9D29" w14:textId="368DBA5D" w:rsidR="001A609E" w:rsidRDefault="3DEE8DC0" w:rsidP="000A20EE">
      <w:pPr>
        <w:pStyle w:val="Prrafodelista"/>
        <w:numPr>
          <w:ilvl w:val="2"/>
          <w:numId w:val="22"/>
        </w:numPr>
        <w:rPr>
          <w:b/>
          <w:bCs/>
          <w:sz w:val="22"/>
          <w:szCs w:val="22"/>
        </w:rPr>
      </w:pPr>
      <w:r w:rsidRPr="5E3F7ADD">
        <w:rPr>
          <w:b/>
          <w:bCs/>
          <w:sz w:val="22"/>
          <w:szCs w:val="22"/>
        </w:rPr>
        <w:t xml:space="preserve">GENERALIDADES </w:t>
      </w:r>
    </w:p>
    <w:p w14:paraId="1653D750" w14:textId="368DBA5D" w:rsidR="00A569D2" w:rsidRDefault="00A569D2" w:rsidP="00C72779">
      <w:pPr>
        <w:pStyle w:val="Lista"/>
      </w:pPr>
    </w:p>
    <w:p w14:paraId="07724D57" w14:textId="7C5D07F8" w:rsidR="00A569D2" w:rsidRPr="000C5C3C" w:rsidRDefault="00A569D2" w:rsidP="00C72779">
      <w:pPr>
        <w:jc w:val="both"/>
        <w:rPr>
          <w:rFonts w:eastAsia="Arial" w:cs="Arial"/>
          <w:sz w:val="22"/>
          <w:szCs w:val="22"/>
          <w:lang w:val="es-MX" w:eastAsia="en-US"/>
        </w:rPr>
      </w:pPr>
      <w:r w:rsidRPr="000C5C3C">
        <w:rPr>
          <w:rFonts w:eastAsia="Arial" w:cs="Arial"/>
          <w:sz w:val="22"/>
          <w:szCs w:val="22"/>
          <w:lang w:val="es-MX" w:eastAsia="en-US"/>
        </w:rPr>
        <w:t>La Dirección de Investigación y Prospectiva</w:t>
      </w:r>
      <w:r w:rsidR="00B75FD3">
        <w:rPr>
          <w:rFonts w:eastAsia="Arial" w:cs="Arial"/>
          <w:sz w:val="22"/>
          <w:szCs w:val="22"/>
          <w:lang w:val="es-MX" w:eastAsia="en-US"/>
        </w:rPr>
        <w:t xml:space="preserve"> – DIP,</w:t>
      </w:r>
      <w:r w:rsidRPr="000C5C3C">
        <w:rPr>
          <w:rFonts w:eastAsia="Arial" w:cs="Arial"/>
          <w:sz w:val="22"/>
          <w:szCs w:val="22"/>
          <w:lang w:val="es-MX" w:eastAsia="en-US"/>
        </w:rPr>
        <w:t xml:space="preserve"> tiene a cargo el proceso “Innovación y gestión del conocimiento aplicado”, que tiene por objeto realizar estudios de prospectiva y dinámica inmobiliaria, a partir de diferentes fuentes de información y basados en ciencia de datos, así como formular y ejecutar investigaciones, estudios y proyectos de innovación sobre metodologías, sistemas y procedimientos que aseguren la apropiación de nuevas tecnologías, aprovechamiento de la información y la optimización de procesos de producción de productos y servicios catastrales, cartográficos, geodésicos, agrológicos y geográficos del Instituto, que permitan además, brindar apoyo a procesos de planificación para el desarrollo territorial sostenible, de acuerdo con los lineamientos  y los procedimientos establecidos.</w:t>
      </w:r>
    </w:p>
    <w:p w14:paraId="470DC212" w14:textId="77777777" w:rsidR="00A569D2" w:rsidRPr="000C5C3C" w:rsidRDefault="00A569D2" w:rsidP="00C72779">
      <w:pPr>
        <w:jc w:val="both"/>
        <w:rPr>
          <w:rFonts w:eastAsia="Arial" w:cs="Arial"/>
          <w:sz w:val="22"/>
          <w:szCs w:val="22"/>
          <w:lang w:val="es" w:eastAsia="en-US"/>
        </w:rPr>
      </w:pPr>
    </w:p>
    <w:p w14:paraId="75DB009B" w14:textId="77777777" w:rsidR="00A569D2" w:rsidRPr="000C5C3C" w:rsidRDefault="00A569D2" w:rsidP="00C72779">
      <w:pPr>
        <w:jc w:val="both"/>
        <w:rPr>
          <w:rFonts w:eastAsia="Arial" w:cs="Arial"/>
          <w:sz w:val="22"/>
          <w:szCs w:val="22"/>
          <w:lang w:val="es"/>
        </w:rPr>
      </w:pPr>
      <w:r w:rsidRPr="000C5C3C">
        <w:rPr>
          <w:rFonts w:eastAsia="Arial" w:cs="Arial"/>
          <w:sz w:val="22"/>
          <w:szCs w:val="22"/>
          <w:lang w:val="es" w:eastAsia="en-US"/>
        </w:rPr>
        <w:t>Lo anterior permite generar competencias y capacidades en el campo geográfico en los ámbitos multisectorial y multinivel, incluyendo el establecimiento de estrategias de uso y apropiación de los recursos geográficos, así como la promoción en el uso de la información geográfica entre la ciudadanía y las diferentes entidades del país.</w:t>
      </w:r>
    </w:p>
    <w:p w14:paraId="6DB332DE" w14:textId="77777777" w:rsidR="00A569D2" w:rsidRPr="000C5C3C" w:rsidRDefault="00A569D2" w:rsidP="00C72779">
      <w:pPr>
        <w:rPr>
          <w:rFonts w:ascii="Calibri" w:eastAsia="Calibri" w:hAnsi="Calibri" w:cs="Arial"/>
          <w:sz w:val="22"/>
          <w:szCs w:val="22"/>
          <w:lang w:val="es-MX"/>
        </w:rPr>
      </w:pPr>
    </w:p>
    <w:p w14:paraId="46B097BF" w14:textId="0168F322" w:rsidR="00887D1D" w:rsidRPr="000C5C3C" w:rsidRDefault="00887D1D" w:rsidP="00C72779">
      <w:pPr>
        <w:rPr>
          <w:rFonts w:eastAsia="Arial"/>
          <w:b/>
          <w:bCs/>
          <w:sz w:val="22"/>
          <w:szCs w:val="22"/>
          <w:lang w:val="es-MX"/>
        </w:rPr>
      </w:pPr>
      <w:r w:rsidRPr="000C5C3C">
        <w:rPr>
          <w:rFonts w:eastAsia="Arial"/>
          <w:b/>
          <w:bCs/>
          <w:sz w:val="22"/>
          <w:szCs w:val="22"/>
          <w:lang w:val="es-MX"/>
        </w:rPr>
        <w:t>Oportunidades de Mejora:</w:t>
      </w:r>
    </w:p>
    <w:p w14:paraId="7FBA5B7D" w14:textId="77777777" w:rsidR="00887D1D" w:rsidRPr="000C5C3C" w:rsidRDefault="00887D1D" w:rsidP="00C72779">
      <w:pPr>
        <w:rPr>
          <w:b/>
          <w:bCs/>
          <w:sz w:val="22"/>
          <w:szCs w:val="22"/>
          <w:lang w:val="es-MX"/>
        </w:rPr>
      </w:pPr>
    </w:p>
    <w:p w14:paraId="71439FE1" w14:textId="6A89F71B" w:rsidR="00887D1D" w:rsidRPr="00B75FD3" w:rsidRDefault="00887D1D" w:rsidP="000A20EE">
      <w:pPr>
        <w:pStyle w:val="Prrafodelista"/>
        <w:numPr>
          <w:ilvl w:val="0"/>
          <w:numId w:val="55"/>
        </w:numPr>
        <w:suppressAutoHyphens w:val="0"/>
        <w:overflowPunct/>
        <w:autoSpaceDE/>
        <w:spacing w:after="160"/>
        <w:contextualSpacing/>
        <w:textAlignment w:val="auto"/>
        <w:rPr>
          <w:rFonts w:eastAsia="Arial" w:cs="Arial"/>
          <w:sz w:val="22"/>
          <w:szCs w:val="22"/>
          <w:lang w:val="es-MX"/>
        </w:rPr>
      </w:pPr>
      <w:r w:rsidRPr="000C5C3C">
        <w:rPr>
          <w:rFonts w:eastAsia="Arial" w:cs="Arial"/>
          <w:sz w:val="22"/>
          <w:szCs w:val="22"/>
          <w:lang w:val="es-MX"/>
        </w:rPr>
        <w:t>Articulación con las direcciones técnicas para un mayor entendimiento y mejor respuesta a sus requerimientos, especialmente frente a la implementación de la política de catastro multipropósito.</w:t>
      </w:r>
    </w:p>
    <w:p w14:paraId="64CE6CE1" w14:textId="22054D3A" w:rsidR="00887D1D" w:rsidRPr="00B75FD3" w:rsidRDefault="00887D1D" w:rsidP="000A20EE">
      <w:pPr>
        <w:pStyle w:val="Prrafodelista"/>
        <w:numPr>
          <w:ilvl w:val="0"/>
          <w:numId w:val="55"/>
        </w:numPr>
        <w:suppressAutoHyphens w:val="0"/>
        <w:overflowPunct/>
        <w:autoSpaceDE/>
        <w:spacing w:after="160"/>
        <w:contextualSpacing/>
        <w:textAlignment w:val="auto"/>
        <w:rPr>
          <w:rFonts w:eastAsia="Arial" w:cs="Arial"/>
          <w:sz w:val="22"/>
          <w:szCs w:val="22"/>
          <w:lang w:val="es-MX"/>
        </w:rPr>
      </w:pPr>
      <w:r w:rsidRPr="000C5C3C">
        <w:rPr>
          <w:rFonts w:eastAsia="Arial" w:cs="Arial"/>
          <w:sz w:val="22"/>
          <w:szCs w:val="22"/>
          <w:lang w:val="es-MX"/>
        </w:rPr>
        <w:t>Gestión y realización de asesorías y consultorías en tecnologías de la información geográfica de mayor impacto.</w:t>
      </w:r>
    </w:p>
    <w:p w14:paraId="09A0DC0C" w14:textId="76759033" w:rsidR="00887D1D" w:rsidRPr="00B75FD3" w:rsidRDefault="00887D1D" w:rsidP="000A20EE">
      <w:pPr>
        <w:pStyle w:val="Prrafodelista"/>
        <w:numPr>
          <w:ilvl w:val="0"/>
          <w:numId w:val="55"/>
        </w:numPr>
        <w:suppressAutoHyphens w:val="0"/>
        <w:overflowPunct/>
        <w:autoSpaceDE/>
        <w:spacing w:after="160"/>
        <w:contextualSpacing/>
        <w:textAlignment w:val="auto"/>
        <w:rPr>
          <w:rFonts w:eastAsia="Arial" w:cs="Arial"/>
          <w:sz w:val="22"/>
          <w:szCs w:val="22"/>
          <w:lang w:val="es-MX"/>
        </w:rPr>
      </w:pPr>
      <w:r w:rsidRPr="000C5C3C">
        <w:rPr>
          <w:rFonts w:eastAsia="Arial" w:cs="Arial"/>
          <w:sz w:val="22"/>
          <w:szCs w:val="22"/>
          <w:lang w:val="es-MX"/>
        </w:rPr>
        <w:t>Organización, actualización y evaluación del estado de los convenios que se encuentran bajo responsabilidad de la dependencia, su operatividad y análisis del costo/beneficio para la entidad de acuerdo con las funciones actuales.</w:t>
      </w:r>
    </w:p>
    <w:p w14:paraId="747D56A7" w14:textId="04968831" w:rsidR="00A569D2" w:rsidRDefault="00887D1D" w:rsidP="000A20EE">
      <w:pPr>
        <w:pStyle w:val="Prrafodelista"/>
        <w:numPr>
          <w:ilvl w:val="0"/>
          <w:numId w:val="55"/>
        </w:numPr>
        <w:suppressAutoHyphens w:val="0"/>
        <w:overflowPunct/>
        <w:autoSpaceDE/>
        <w:spacing w:after="160"/>
        <w:contextualSpacing/>
        <w:textAlignment w:val="auto"/>
        <w:rPr>
          <w:rFonts w:eastAsia="Arial" w:cs="Arial"/>
          <w:sz w:val="22"/>
          <w:szCs w:val="22"/>
          <w:lang w:val="es-MX"/>
        </w:rPr>
      </w:pPr>
      <w:r w:rsidRPr="000C5C3C">
        <w:rPr>
          <w:rFonts w:eastAsia="Arial" w:cs="Arial"/>
          <w:sz w:val="22"/>
          <w:szCs w:val="22"/>
          <w:lang w:val="es-MX"/>
        </w:rPr>
        <w:t>La visibilidad y posicionamiento del quehacer de la Dirección de Investigación y Prospectiva frente a las direcciones técnicas y los actores o clientes externos.</w:t>
      </w:r>
    </w:p>
    <w:p w14:paraId="64CD9B44" w14:textId="77777777" w:rsidR="0004619E" w:rsidRPr="0004619E" w:rsidRDefault="0004619E" w:rsidP="00C72779">
      <w:pPr>
        <w:pStyle w:val="Lista"/>
        <w:rPr>
          <w:lang w:val="es-MX"/>
        </w:rPr>
      </w:pPr>
    </w:p>
    <w:p w14:paraId="198903EA" w14:textId="2FB7E6EA" w:rsidR="001A609E" w:rsidRDefault="0004619E" w:rsidP="000A20EE">
      <w:pPr>
        <w:pStyle w:val="Prrafodelista"/>
        <w:numPr>
          <w:ilvl w:val="3"/>
          <w:numId w:val="22"/>
        </w:numPr>
        <w:rPr>
          <w:b/>
          <w:bCs/>
          <w:sz w:val="22"/>
          <w:szCs w:val="22"/>
        </w:rPr>
      </w:pPr>
      <w:r w:rsidRPr="002D2F11">
        <w:rPr>
          <w:b/>
          <w:bCs/>
          <w:sz w:val="22"/>
          <w:szCs w:val="22"/>
        </w:rPr>
        <w:t xml:space="preserve">PRINCIPALES FUNCIONES </w:t>
      </w:r>
    </w:p>
    <w:p w14:paraId="094E39E1" w14:textId="77777777" w:rsidR="00887D1D" w:rsidRDefault="00887D1D" w:rsidP="00C72779">
      <w:pPr>
        <w:pStyle w:val="Lista"/>
      </w:pPr>
    </w:p>
    <w:p w14:paraId="28906C5D" w14:textId="30229B55" w:rsidR="00887D1D" w:rsidRPr="00B75FD3"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000C5C3C">
        <w:rPr>
          <w:rFonts w:cs="Arial"/>
          <w:sz w:val="22"/>
          <w:szCs w:val="22"/>
          <w:lang w:val="es-MX"/>
        </w:rPr>
        <w:t>Coordinar y dirigir la investigación, el desarrollo, la innovación y la gestión del conocimiento geográfico y el uso de tecnologías geoespaciales, emergentes y colaborativas, ante los organismos e instancias técnico-científicos nacionales e internacionales de acuerdo con el Sistema Nacional de Ciencias y los lineamientos establecidos por el Instituto.</w:t>
      </w:r>
    </w:p>
    <w:p w14:paraId="79892BCC" w14:textId="73425A19" w:rsidR="00887D1D" w:rsidRPr="00B75FD3"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000C5C3C">
        <w:rPr>
          <w:rFonts w:cs="Arial"/>
          <w:sz w:val="22"/>
          <w:szCs w:val="22"/>
          <w:lang w:val="es-MX"/>
        </w:rPr>
        <w:t>Formular y desarrollar proyectos de investigación aplicada que permitan el aprovechamiento de la información generada por el Instituto en los procesos de planificación territorial.</w:t>
      </w:r>
    </w:p>
    <w:p w14:paraId="1E621C2F" w14:textId="77777777" w:rsidR="00887D1D" w:rsidRPr="000C5C3C"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618EB737">
        <w:rPr>
          <w:rFonts w:eastAsia="Arial" w:cs="Arial"/>
          <w:sz w:val="22"/>
          <w:szCs w:val="22"/>
          <w:lang w:val="es-MX"/>
        </w:rPr>
        <w:t>Identificar</w:t>
      </w:r>
      <w:r w:rsidRPr="618EB737">
        <w:rPr>
          <w:rFonts w:eastAsia="Arial" w:cs="Arial"/>
          <w:color w:val="333333"/>
          <w:sz w:val="22"/>
          <w:szCs w:val="22"/>
          <w:lang w:val="es-MX"/>
        </w:rPr>
        <w:t xml:space="preserve"> e integrar fuentes de información externas que permitan fortalecer los procesos de producción de información catastral, cartográfica, agrológica y geográfica del país de conformidad con los procedimientos definidos para tal fin y el marco normativo vigente.</w:t>
      </w:r>
    </w:p>
    <w:p w14:paraId="3BAE0C3B" w14:textId="1C3D6459" w:rsidR="00887D1D" w:rsidRPr="00B75FD3"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000C5C3C">
        <w:rPr>
          <w:rFonts w:cs="Arial"/>
          <w:sz w:val="22"/>
          <w:szCs w:val="22"/>
          <w:lang w:val="es-MX"/>
        </w:rPr>
        <w:t>Desarrollar procesos de analítica de datos que permitan entender el estado actual del país en materia catastral, cartográfica, agrológica y geográfica con el objetivo de plantear escenarios futuros para la toma de decisiones institucionales e incidir en la gestión territorial.</w:t>
      </w:r>
    </w:p>
    <w:p w14:paraId="7874D327" w14:textId="272B3152" w:rsidR="00887D1D" w:rsidRPr="00B75FD3"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000C5C3C">
        <w:rPr>
          <w:rFonts w:cs="Arial"/>
          <w:sz w:val="22"/>
          <w:szCs w:val="22"/>
          <w:lang w:val="es-MX"/>
        </w:rPr>
        <w:lastRenderedPageBreak/>
        <w:t>Realizar la identificación, recopilación y gestión administrativa de fuentes de información de ofertas, transacciones, costos de construcción y productividad del suelo, entre otras que permitan determinar la valoración de los inmuebles.</w:t>
      </w:r>
    </w:p>
    <w:p w14:paraId="7D95707B" w14:textId="7CC1450F" w:rsidR="00887D1D" w:rsidRPr="00B75FD3" w:rsidRDefault="00887D1D" w:rsidP="000A20EE">
      <w:pPr>
        <w:pStyle w:val="Prrafodelista"/>
        <w:numPr>
          <w:ilvl w:val="0"/>
          <w:numId w:val="56"/>
        </w:numPr>
        <w:suppressAutoHyphens w:val="0"/>
        <w:overflowPunct/>
        <w:autoSpaceDE/>
        <w:spacing w:after="160"/>
        <w:contextualSpacing/>
        <w:textAlignment w:val="auto"/>
        <w:rPr>
          <w:rFonts w:eastAsia="Arial" w:cs="Arial"/>
          <w:sz w:val="22"/>
          <w:szCs w:val="22"/>
          <w:lang w:val="es-MX"/>
        </w:rPr>
      </w:pPr>
      <w:r w:rsidRPr="000C5C3C">
        <w:rPr>
          <w:rFonts w:cs="Arial"/>
          <w:sz w:val="22"/>
          <w:szCs w:val="22"/>
          <w:lang w:val="es-MX"/>
        </w:rPr>
        <w:t>Desarrollar las herramientas necesarias para integrar las fuentes de información que permitan determinar la dinámica inmobiliaria urbana y rural como insumo para la gestión catastral.</w:t>
      </w:r>
    </w:p>
    <w:p w14:paraId="3956C3CF" w14:textId="3239D712" w:rsidR="00E40009" w:rsidRDefault="00887D1D" w:rsidP="000A20EE">
      <w:pPr>
        <w:pStyle w:val="Prrafodelista"/>
        <w:numPr>
          <w:ilvl w:val="0"/>
          <w:numId w:val="56"/>
        </w:numPr>
        <w:suppressAutoHyphens w:val="0"/>
        <w:overflowPunct/>
        <w:autoSpaceDE/>
        <w:spacing w:after="160"/>
        <w:contextualSpacing/>
        <w:textAlignment w:val="auto"/>
        <w:rPr>
          <w:rFonts w:cs="Arial"/>
          <w:sz w:val="22"/>
          <w:szCs w:val="22"/>
          <w:lang w:val="es-MX"/>
        </w:rPr>
      </w:pPr>
      <w:r w:rsidRPr="000C5C3C">
        <w:rPr>
          <w:rFonts w:cs="Arial"/>
          <w:sz w:val="22"/>
          <w:szCs w:val="22"/>
          <w:lang w:val="es-MX"/>
        </w:rPr>
        <w:t>Realizar proyectos de asesoría y consultoría en tecnologías geoespaciales y sus aplicaciones.</w:t>
      </w:r>
    </w:p>
    <w:p w14:paraId="6FFC917F" w14:textId="77777777" w:rsidR="00B75FD3" w:rsidRPr="00B75FD3" w:rsidRDefault="00B75FD3" w:rsidP="00C72779">
      <w:pPr>
        <w:pStyle w:val="Lista"/>
        <w:rPr>
          <w:lang w:val="es-MX"/>
        </w:rPr>
      </w:pPr>
    </w:p>
    <w:p w14:paraId="35C65306" w14:textId="73CA1097" w:rsidR="00E40009" w:rsidRDefault="005F249A" w:rsidP="000A20EE">
      <w:pPr>
        <w:pStyle w:val="Prrafodelista"/>
        <w:numPr>
          <w:ilvl w:val="3"/>
          <w:numId w:val="22"/>
        </w:numPr>
        <w:rPr>
          <w:b/>
          <w:sz w:val="22"/>
          <w:szCs w:val="22"/>
        </w:rPr>
      </w:pPr>
      <w:r>
        <w:rPr>
          <w:b/>
          <w:bCs/>
          <w:sz w:val="22"/>
          <w:szCs w:val="22"/>
        </w:rPr>
        <w:t>ESTRUCTURA FUNCIONAL DE LA DIRECCIÓN DE INVESTIGACIÓN Y PROSPECTIVA</w:t>
      </w:r>
    </w:p>
    <w:p w14:paraId="588CF89D" w14:textId="77777777" w:rsidR="00B75FD3" w:rsidRPr="00B75FD3" w:rsidRDefault="00B75FD3" w:rsidP="00C72779">
      <w:pPr>
        <w:pStyle w:val="Lista"/>
      </w:pPr>
    </w:p>
    <w:p w14:paraId="2FDC3F56" w14:textId="332A7847" w:rsidR="00E40009" w:rsidRDefault="00E40009" w:rsidP="00C72779">
      <w:pPr>
        <w:jc w:val="both"/>
        <w:rPr>
          <w:sz w:val="22"/>
          <w:szCs w:val="22"/>
        </w:rPr>
      </w:pPr>
      <w:r w:rsidRPr="000C5C3C">
        <w:rPr>
          <w:sz w:val="22"/>
          <w:szCs w:val="22"/>
        </w:rPr>
        <w:t xml:space="preserve">Para garantizar la operación constante y eficiente de la dependencia, la Dirección se encuentra en operación bajo un enfoque basado en proceso y subprocesos, de tal manera que cada uno de estos frentes de trabajo logre cumplir tanto con las funciones misionales como los objetivos estratégicos fijados por la Dirección General. En tal contexto en cada uno de los subprocesos explicados en apartados anteriores, se encuentra un equipo humano destinado a la operación. A continuación, se presenta la estructura definida para el área. </w:t>
      </w:r>
    </w:p>
    <w:p w14:paraId="6D4A6818" w14:textId="77777777" w:rsidR="00FD4313" w:rsidRDefault="00FD4313" w:rsidP="00EF3360">
      <w:pPr>
        <w:pStyle w:val="Descripcin"/>
      </w:pPr>
    </w:p>
    <w:p w14:paraId="7F54FC14" w14:textId="55183E65" w:rsidR="008F6424" w:rsidRPr="00FD4313" w:rsidRDefault="00A93FC3" w:rsidP="00FD4313">
      <w:pPr>
        <w:pStyle w:val="Descripcin"/>
        <w:jc w:val="center"/>
        <w:rPr>
          <w:rFonts w:ascii="Arial" w:hAnsi="Arial" w:cs="Arial"/>
          <w:b/>
          <w:i w:val="0"/>
          <w:color w:val="000000" w:themeColor="text1"/>
          <w:sz w:val="16"/>
          <w:szCs w:val="16"/>
        </w:rPr>
      </w:pPr>
      <w:bookmarkStart w:id="127" w:name="_Toc88677195"/>
      <w:r w:rsidRPr="000070D1">
        <w:rPr>
          <w:rFonts w:ascii="Arial" w:hAnsi="Arial" w:cs="Arial"/>
          <w:b/>
          <w:i w:val="0"/>
          <w:noProof/>
          <w:color w:val="auto"/>
          <w:sz w:val="16"/>
          <w:szCs w:val="16"/>
          <w:lang w:eastAsia="es-CO"/>
        </w:rPr>
        <w:drawing>
          <wp:anchor distT="0" distB="0" distL="114300" distR="114300" simplePos="0" relativeHeight="251658274" behindDoc="0" locked="0" layoutInCell="1" allowOverlap="1" wp14:anchorId="15F9DAFE" wp14:editId="24DBBB56">
            <wp:simplePos x="0" y="0"/>
            <wp:positionH relativeFrom="margin">
              <wp:align>center</wp:align>
            </wp:positionH>
            <wp:positionV relativeFrom="margin">
              <wp:posOffset>3563620</wp:posOffset>
            </wp:positionV>
            <wp:extent cx="5550070" cy="4085402"/>
            <wp:effectExtent l="0" t="0" r="0" b="0"/>
            <wp:wrapSquare wrapText="bothSides"/>
            <wp:docPr id="49" name="Imagen 49"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nterfaz de usuario gráfica, Texto, Aplicación, Correo electrónico&#10;&#10;Descripción generada automáticamente"/>
                    <pic:cNvPicPr/>
                  </pic:nvPicPr>
                  <pic:blipFill>
                    <a:blip r:embed="rId96">
                      <a:extLst>
                        <a:ext uri="{28A0092B-C50C-407E-A947-70E740481C1C}">
                          <a14:useLocalDpi xmlns:a14="http://schemas.microsoft.com/office/drawing/2010/main" val="0"/>
                        </a:ext>
                      </a:extLst>
                    </a:blip>
                    <a:stretch>
                      <a:fillRect/>
                    </a:stretch>
                  </pic:blipFill>
                  <pic:spPr>
                    <a:xfrm>
                      <a:off x="0" y="0"/>
                      <a:ext cx="5550070" cy="4085402"/>
                    </a:xfrm>
                    <a:prstGeom prst="rect">
                      <a:avLst/>
                    </a:prstGeom>
                  </pic:spPr>
                </pic:pic>
              </a:graphicData>
            </a:graphic>
            <wp14:sizeRelH relativeFrom="margin">
              <wp14:pctWidth>0</wp14:pctWidth>
            </wp14:sizeRelH>
            <wp14:sizeRelV relativeFrom="margin">
              <wp14:pctHeight>0</wp14:pctHeight>
            </wp14:sizeRelV>
          </wp:anchor>
        </w:drawing>
      </w:r>
      <w:r w:rsidR="00EF3360" w:rsidRPr="00FD4313">
        <w:rPr>
          <w:rFonts w:ascii="Arial" w:hAnsi="Arial" w:cs="Arial"/>
          <w:b/>
          <w:i w:val="0"/>
          <w:color w:val="000000" w:themeColor="text1"/>
          <w:sz w:val="16"/>
          <w:szCs w:val="16"/>
        </w:rPr>
        <w:t xml:space="preserve">Ilustración </w:t>
      </w:r>
      <w:r w:rsidR="00EF3360" w:rsidRPr="00FD4313">
        <w:rPr>
          <w:rFonts w:ascii="Arial" w:hAnsi="Arial" w:cs="Arial"/>
          <w:b/>
          <w:i w:val="0"/>
          <w:color w:val="000000" w:themeColor="text1"/>
          <w:sz w:val="16"/>
          <w:szCs w:val="16"/>
        </w:rPr>
        <w:fldChar w:fldCharType="begin"/>
      </w:r>
      <w:r w:rsidR="00EF3360" w:rsidRPr="00FD4313">
        <w:rPr>
          <w:rFonts w:ascii="Arial" w:hAnsi="Arial" w:cs="Arial"/>
          <w:b/>
          <w:i w:val="0"/>
          <w:color w:val="000000" w:themeColor="text1"/>
          <w:sz w:val="16"/>
          <w:szCs w:val="16"/>
        </w:rPr>
        <w:instrText xml:space="preserve"> SEQ Ilustración \* ARABIC </w:instrText>
      </w:r>
      <w:r w:rsidR="00EF3360" w:rsidRPr="00FD4313">
        <w:rPr>
          <w:rFonts w:ascii="Arial" w:hAnsi="Arial" w:cs="Arial"/>
          <w:b/>
          <w:i w:val="0"/>
          <w:color w:val="000000" w:themeColor="text1"/>
          <w:sz w:val="16"/>
          <w:szCs w:val="16"/>
        </w:rPr>
        <w:fldChar w:fldCharType="separate"/>
      </w:r>
      <w:r w:rsidR="005D5B0E">
        <w:rPr>
          <w:rFonts w:ascii="Arial" w:hAnsi="Arial" w:cs="Arial"/>
          <w:b/>
          <w:i w:val="0"/>
          <w:noProof/>
          <w:color w:val="000000" w:themeColor="text1"/>
          <w:sz w:val="16"/>
          <w:szCs w:val="16"/>
        </w:rPr>
        <w:t>39</w:t>
      </w:r>
      <w:r w:rsidR="00EF3360" w:rsidRPr="00FD4313">
        <w:rPr>
          <w:rFonts w:ascii="Arial" w:hAnsi="Arial" w:cs="Arial"/>
          <w:b/>
          <w:i w:val="0"/>
          <w:color w:val="000000" w:themeColor="text1"/>
          <w:sz w:val="16"/>
          <w:szCs w:val="16"/>
        </w:rPr>
        <w:fldChar w:fldCharType="end"/>
      </w:r>
      <w:r w:rsidR="00EF3360" w:rsidRPr="00FD4313">
        <w:rPr>
          <w:rFonts w:ascii="Arial" w:hAnsi="Arial" w:cs="Arial"/>
          <w:b/>
          <w:i w:val="0"/>
          <w:color w:val="000000" w:themeColor="text1"/>
          <w:sz w:val="16"/>
          <w:szCs w:val="16"/>
        </w:rPr>
        <w:t>. Estructura Funcional de la DIP</w:t>
      </w:r>
      <w:bookmarkEnd w:id="127"/>
    </w:p>
    <w:p w14:paraId="09524642" w14:textId="2E1B7CD9" w:rsidR="00FE63FD" w:rsidRPr="00AF1326" w:rsidRDefault="341E69D9" w:rsidP="00A93FC3">
      <w:pPr>
        <w:pStyle w:val="Descripcin"/>
        <w:jc w:val="center"/>
        <w:rPr>
          <w:rFonts w:ascii="Arial" w:hAnsi="Arial" w:cs="Arial"/>
          <w:b/>
          <w:bCs/>
          <w:i w:val="0"/>
          <w:iCs w:val="0"/>
          <w:color w:val="auto"/>
          <w:sz w:val="16"/>
          <w:szCs w:val="16"/>
        </w:rPr>
      </w:pPr>
      <w:r w:rsidRPr="5E3F7ADD">
        <w:rPr>
          <w:rFonts w:ascii="Arial" w:eastAsia="Arial" w:hAnsi="Arial" w:cs="Arial"/>
          <w:b/>
          <w:bCs/>
          <w:i w:val="0"/>
          <w:iCs w:val="0"/>
          <w:color w:val="auto"/>
          <w:sz w:val="16"/>
          <w:szCs w:val="16"/>
          <w:lang w:val="es-MX"/>
        </w:rPr>
        <w:t>Fuente: Dirección de Investigación y Prospectiva</w:t>
      </w:r>
    </w:p>
    <w:p w14:paraId="39DD10B3" w14:textId="368DBA5D" w:rsidR="00B15030" w:rsidRDefault="00B15030" w:rsidP="00C72779">
      <w:pPr>
        <w:rPr>
          <w:b/>
          <w:bCs/>
          <w:sz w:val="22"/>
          <w:szCs w:val="22"/>
        </w:rPr>
      </w:pPr>
    </w:p>
    <w:p w14:paraId="5EF62673" w14:textId="368DBA5D" w:rsidR="00B75FD3" w:rsidRDefault="00B75FD3" w:rsidP="00C72779">
      <w:pPr>
        <w:jc w:val="both"/>
        <w:rPr>
          <w:rFonts w:eastAsia="Arial" w:cs="Arial"/>
          <w:sz w:val="22"/>
          <w:szCs w:val="22"/>
          <w:lang w:val="es-MX" w:eastAsia="en-US"/>
        </w:rPr>
      </w:pPr>
    </w:p>
    <w:p w14:paraId="742E4536" w14:textId="368DBA5D" w:rsidR="0050481C" w:rsidRPr="00DA728C" w:rsidRDefault="7DDB9A05" w:rsidP="00C72779">
      <w:pPr>
        <w:jc w:val="both"/>
        <w:rPr>
          <w:rFonts w:eastAsia="Arial" w:cs="Arial"/>
          <w:sz w:val="22"/>
          <w:szCs w:val="22"/>
          <w:lang w:val="es-MX" w:eastAsia="en-US"/>
        </w:rPr>
      </w:pPr>
      <w:r w:rsidRPr="5E3F7ADD">
        <w:rPr>
          <w:rFonts w:eastAsia="Arial" w:cs="Arial"/>
          <w:sz w:val="22"/>
          <w:szCs w:val="22"/>
          <w:lang w:val="es-MX" w:eastAsia="en-US"/>
        </w:rPr>
        <w:lastRenderedPageBreak/>
        <w:t xml:space="preserve">Con lo anterior, y de conformidad con lo expuesto en la Resolución 552 de 2021 </w:t>
      </w:r>
      <w:r w:rsidRPr="5E3F7ADD">
        <w:rPr>
          <w:rFonts w:eastAsia="Arial" w:cs="Arial"/>
          <w:i/>
          <w:iCs/>
          <w:sz w:val="22"/>
          <w:szCs w:val="22"/>
          <w:lang w:val="es-MX" w:eastAsia="en-US"/>
        </w:rPr>
        <w:t>“Por la cual se distribuyen los cargos de la planta global del Instituto Geográfico Agustín Codazzi”</w:t>
      </w:r>
      <w:r w:rsidRPr="5E3F7ADD">
        <w:rPr>
          <w:rFonts w:eastAsia="Arial" w:cs="Arial"/>
          <w:sz w:val="22"/>
          <w:szCs w:val="22"/>
          <w:lang w:val="es-MX" w:eastAsia="en-US"/>
        </w:rPr>
        <w:t>, la Dirección de Investigación y Prospectiva tiene una planta de persona de veinticinco (26) cargos, de los cuales diez y nueve (18) cargos son de la Dirección de Investigación y Prospectiva, Ocho (8) cargos del Observatorio Inmobiliario y catorce (14) contratistas, distribuidos de acuerdo con cada subproceso.</w:t>
      </w:r>
    </w:p>
    <w:p w14:paraId="2E222885" w14:textId="77777777" w:rsidR="0050481C" w:rsidRPr="00DA728C" w:rsidRDefault="0050481C" w:rsidP="00C72779">
      <w:pPr>
        <w:jc w:val="both"/>
        <w:rPr>
          <w:rFonts w:eastAsia="Arial" w:cs="Arial"/>
          <w:sz w:val="22"/>
          <w:szCs w:val="22"/>
          <w:lang w:val="es-MX" w:eastAsia="en-US"/>
        </w:rPr>
      </w:pPr>
    </w:p>
    <w:p w14:paraId="6F79528D" w14:textId="3059D7C3" w:rsidR="0050481C" w:rsidRPr="00DA728C" w:rsidRDefault="0050481C" w:rsidP="00C72779">
      <w:pPr>
        <w:jc w:val="both"/>
        <w:rPr>
          <w:sz w:val="22"/>
          <w:szCs w:val="22"/>
        </w:rPr>
      </w:pPr>
      <w:r w:rsidRPr="00DA728C">
        <w:rPr>
          <w:sz w:val="22"/>
          <w:szCs w:val="22"/>
        </w:rPr>
        <w:t>Es importante indicar que existen algunos cargos que se encuentran en proceso de encargo para completar el número de funcionarios de planta asignados por resolución. Con respecto a los contratistas del observatorio, es necesario indicar que se encuentran programados para su contratación de forma conjunta entre las Direcciones de Investigación y Prospectiva, Dirección de Gestión Catastral y Dirección de Tecnologías de la Información.</w:t>
      </w:r>
    </w:p>
    <w:p w14:paraId="5E5BD21B" w14:textId="368DBA5D" w:rsidR="0050481C" w:rsidRDefault="0050481C" w:rsidP="00C72779">
      <w:pPr>
        <w:jc w:val="both"/>
        <w:rPr>
          <w:b/>
          <w:bCs/>
          <w:sz w:val="22"/>
          <w:szCs w:val="22"/>
        </w:rPr>
      </w:pPr>
    </w:p>
    <w:p w14:paraId="67EF9D85" w14:textId="368DBA5D" w:rsidR="00087F32" w:rsidRPr="00AF1326" w:rsidRDefault="31BB3035" w:rsidP="000A20EE">
      <w:pPr>
        <w:pStyle w:val="Prrafodelista"/>
        <w:numPr>
          <w:ilvl w:val="4"/>
          <w:numId w:val="23"/>
        </w:numPr>
        <w:rPr>
          <w:b/>
          <w:bCs/>
          <w:sz w:val="22"/>
          <w:szCs w:val="22"/>
        </w:rPr>
      </w:pPr>
      <w:r w:rsidRPr="5E3F7ADD">
        <w:rPr>
          <w:b/>
          <w:bCs/>
          <w:sz w:val="22"/>
          <w:szCs w:val="22"/>
        </w:rPr>
        <w:t>EQUIPO Y ROLES</w:t>
      </w:r>
    </w:p>
    <w:p w14:paraId="7AFAF8E8" w14:textId="7BFBAE7D" w:rsidR="007957A6" w:rsidRPr="00D4528A" w:rsidRDefault="007957A6" w:rsidP="5E3F7ADD">
      <w:pPr>
        <w:pStyle w:val="Descripcin"/>
        <w:jc w:val="center"/>
        <w:rPr>
          <w:rFonts w:ascii="Arial" w:hAnsi="Arial" w:cs="Arial"/>
          <w:b/>
          <w:bCs/>
          <w:i w:val="0"/>
          <w:iCs w:val="0"/>
          <w:color w:val="auto"/>
          <w:sz w:val="16"/>
          <w:szCs w:val="16"/>
        </w:rPr>
      </w:pPr>
    </w:p>
    <w:tbl>
      <w:tblPr>
        <w:tblStyle w:val="Tabladecuadrcula4-nfasis1"/>
        <w:tblW w:w="9424" w:type="dxa"/>
        <w:tblLook w:val="04A0" w:firstRow="1" w:lastRow="0" w:firstColumn="1" w:lastColumn="0" w:noHBand="0" w:noVBand="1"/>
      </w:tblPr>
      <w:tblGrid>
        <w:gridCol w:w="703"/>
        <w:gridCol w:w="1617"/>
        <w:gridCol w:w="5211"/>
        <w:gridCol w:w="1893"/>
      </w:tblGrid>
      <w:tr w:rsidR="004F75E8" w:rsidRPr="000957F4" w14:paraId="137FEE30" w14:textId="77777777" w:rsidTr="31FF9146">
        <w:trPr>
          <w:cnfStyle w:val="100000000000" w:firstRow="1" w:lastRow="0" w:firstColumn="0" w:lastColumn="0" w:oddVBand="0" w:evenVBand="0" w:oddHBand="0" w:evenHBand="0" w:firstRowFirstColumn="0" w:firstRowLastColumn="0" w:lastRowFirstColumn="0" w:lastRowLastColumn="0"/>
          <w:trHeight w:val="387"/>
          <w:tblHeader/>
        </w:trPr>
        <w:tc>
          <w:tcPr>
            <w:cnfStyle w:val="001000000000" w:firstRow="0" w:lastRow="0" w:firstColumn="1" w:lastColumn="0" w:oddVBand="0" w:evenVBand="0" w:oddHBand="0" w:evenHBand="0" w:firstRowFirstColumn="0" w:firstRowLastColumn="0" w:lastRowFirstColumn="0" w:lastRowLastColumn="0"/>
            <w:tcW w:w="703" w:type="dxa"/>
            <w:vAlign w:val="center"/>
          </w:tcPr>
          <w:p w14:paraId="1EDB90B0" w14:textId="77777777" w:rsidR="0073053D" w:rsidRPr="000957F4" w:rsidRDefault="0073053D" w:rsidP="00C72779">
            <w:pPr>
              <w:jc w:val="center"/>
              <w:rPr>
                <w:rFonts w:cs="Arial"/>
                <w:b w:val="0"/>
                <w:sz w:val="20"/>
                <w:szCs w:val="20"/>
              </w:rPr>
            </w:pPr>
            <w:r w:rsidRPr="000957F4">
              <w:rPr>
                <w:rFonts w:eastAsia="Arial" w:cs="Arial"/>
                <w:sz w:val="20"/>
                <w:szCs w:val="20"/>
              </w:rPr>
              <w:t>Cant</w:t>
            </w:r>
          </w:p>
        </w:tc>
        <w:tc>
          <w:tcPr>
            <w:tcW w:w="1617" w:type="dxa"/>
            <w:vAlign w:val="center"/>
          </w:tcPr>
          <w:p w14:paraId="684A8188" w14:textId="77777777" w:rsidR="0073053D" w:rsidRPr="000957F4" w:rsidRDefault="0073053D" w:rsidP="00C72779">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0957F4">
              <w:rPr>
                <w:rFonts w:eastAsia="Arial" w:cs="Arial"/>
                <w:sz w:val="20"/>
                <w:szCs w:val="20"/>
              </w:rPr>
              <w:t>Funcionario o Contratista</w:t>
            </w:r>
          </w:p>
        </w:tc>
        <w:tc>
          <w:tcPr>
            <w:tcW w:w="5211" w:type="dxa"/>
            <w:vAlign w:val="center"/>
          </w:tcPr>
          <w:p w14:paraId="0D583732" w14:textId="77777777" w:rsidR="0073053D" w:rsidRPr="000957F4" w:rsidRDefault="0073053D" w:rsidP="00C72779">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0957F4">
              <w:rPr>
                <w:rFonts w:eastAsia="Arial" w:cs="Arial"/>
                <w:sz w:val="20"/>
                <w:szCs w:val="20"/>
              </w:rPr>
              <w:t>Rol</w:t>
            </w:r>
          </w:p>
        </w:tc>
        <w:tc>
          <w:tcPr>
            <w:tcW w:w="1893" w:type="dxa"/>
            <w:vAlign w:val="center"/>
          </w:tcPr>
          <w:p w14:paraId="0C4A2527" w14:textId="77777777" w:rsidR="0073053D" w:rsidRPr="000957F4" w:rsidRDefault="0073053D" w:rsidP="00C72779">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0957F4">
              <w:rPr>
                <w:rFonts w:eastAsia="Arial" w:cs="Arial"/>
                <w:sz w:val="20"/>
                <w:szCs w:val="20"/>
              </w:rPr>
              <w:t>Subproceso</w:t>
            </w:r>
          </w:p>
        </w:tc>
      </w:tr>
      <w:tr w:rsidR="0073053D" w:rsidRPr="000957F4" w14:paraId="31BC88E8" w14:textId="77777777" w:rsidTr="31FF9146">
        <w:trPr>
          <w:cnfStyle w:val="000000100000" w:firstRow="0" w:lastRow="0" w:firstColumn="0" w:lastColumn="0" w:oddVBand="0" w:evenVBand="0" w:oddHBand="1" w:evenHBand="0" w:firstRowFirstColumn="0" w:firstRowLastColumn="0" w:lastRowFirstColumn="0" w:lastRowLastColumn="0"/>
          <w:trHeight w:val="1038"/>
        </w:trPr>
        <w:tc>
          <w:tcPr>
            <w:cnfStyle w:val="001000000000" w:firstRow="0" w:lastRow="0" w:firstColumn="1" w:lastColumn="0" w:oddVBand="0" w:evenVBand="0" w:oddHBand="0" w:evenHBand="0" w:firstRowFirstColumn="0" w:firstRowLastColumn="0" w:lastRowFirstColumn="0" w:lastRowLastColumn="0"/>
            <w:tcW w:w="703" w:type="dxa"/>
            <w:vAlign w:val="center"/>
          </w:tcPr>
          <w:p w14:paraId="03ACE68D"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1B1573C9"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p w14:paraId="2107A137"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p>
        </w:tc>
        <w:tc>
          <w:tcPr>
            <w:tcW w:w="5211" w:type="dxa"/>
            <w:vAlign w:val="center"/>
          </w:tcPr>
          <w:p w14:paraId="40346F54" w14:textId="4D7AED74"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Profesional Investigador Líder en Tecnologías Geoespaciales:</w:t>
            </w:r>
          </w:p>
          <w:p w14:paraId="369FB7F7" w14:textId="77777777" w:rsidR="0073053D" w:rsidRPr="000957F4" w:rsidRDefault="0073053D" w:rsidP="000A20EE">
            <w:pPr>
              <w:pStyle w:val="Prrafodelista"/>
              <w:numPr>
                <w:ilvl w:val="0"/>
                <w:numId w:val="57"/>
              </w:numPr>
              <w:suppressAutoHyphens w:val="0"/>
              <w:overflowPunct/>
              <w:autoSpaceDE/>
              <w:spacing w:after="160"/>
              <w:ind w:left="226" w:hanging="141"/>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Liderar y articular los proyectos de investigación aplicada en tecnologías geoespaciales que se realicen para las áreas misionales y clientes externos.</w:t>
            </w:r>
          </w:p>
          <w:p w14:paraId="3A953EF1" w14:textId="5F288621" w:rsidR="0073053D" w:rsidRPr="000957F4" w:rsidRDefault="0073053D" w:rsidP="000A20EE">
            <w:pPr>
              <w:pStyle w:val="Prrafodelista"/>
              <w:numPr>
                <w:ilvl w:val="0"/>
                <w:numId w:val="57"/>
              </w:numPr>
              <w:suppressAutoHyphens w:val="0"/>
              <w:overflowPunct/>
              <w:autoSpaceDE/>
              <w:spacing w:after="160"/>
              <w:ind w:left="226" w:hanging="141"/>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Evaluar e implementar de los resultados obtenidos en los proyectos desarrollados con las áreas misionales.</w:t>
            </w:r>
          </w:p>
        </w:tc>
        <w:tc>
          <w:tcPr>
            <w:tcW w:w="1893" w:type="dxa"/>
            <w:vAlign w:val="center"/>
          </w:tcPr>
          <w:p w14:paraId="0A9C8590"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eastAsia="Arial" w:cs="Arial"/>
                <w:b/>
                <w:sz w:val="20"/>
                <w:szCs w:val="20"/>
              </w:rPr>
              <w:t>Investigación e innovación</w:t>
            </w:r>
          </w:p>
        </w:tc>
      </w:tr>
      <w:tr w:rsidR="0073053D" w:rsidRPr="000957F4" w14:paraId="388BB6FC" w14:textId="77777777" w:rsidTr="31FF9146">
        <w:trPr>
          <w:trHeight w:val="1264"/>
        </w:trPr>
        <w:tc>
          <w:tcPr>
            <w:cnfStyle w:val="001000000000" w:firstRow="0" w:lastRow="0" w:firstColumn="1" w:lastColumn="0" w:oddVBand="0" w:evenVBand="0" w:oddHBand="0" w:evenHBand="0" w:firstRowFirstColumn="0" w:firstRowLastColumn="0" w:lastRowFirstColumn="0" w:lastRowLastColumn="0"/>
            <w:tcW w:w="703" w:type="dxa"/>
            <w:vAlign w:val="center"/>
          </w:tcPr>
          <w:p w14:paraId="28DCEA79"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3E1BF4A8"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0DD3F763" w14:textId="4AF8E611"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Profesional Investigación Aplicada e Innovación en Tecnolo</w:t>
            </w:r>
            <w:r w:rsidR="00087F32" w:rsidRPr="000957F4">
              <w:rPr>
                <w:rFonts w:cs="Arial"/>
                <w:b/>
                <w:sz w:val="20"/>
                <w:szCs w:val="20"/>
              </w:rPr>
              <w:t>gías Geoespaciales y Emergentes</w:t>
            </w:r>
          </w:p>
          <w:p w14:paraId="17C657DA" w14:textId="77777777" w:rsidR="0073053D" w:rsidRPr="000957F4" w:rsidRDefault="0073053D" w:rsidP="000A20EE">
            <w:pPr>
              <w:pStyle w:val="Prrafodelista"/>
              <w:numPr>
                <w:ilvl w:val="0"/>
                <w:numId w:val="58"/>
              </w:numPr>
              <w:suppressAutoHyphens w:val="0"/>
              <w:overflowPunct/>
              <w:autoSpaceDE/>
              <w:spacing w:after="160"/>
              <w:ind w:left="226" w:hanging="141"/>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Realizar proyectos de investigación aplicada e innovación que se realicen para las áreas misionales y clientes externos.</w:t>
            </w:r>
          </w:p>
          <w:p w14:paraId="3793D847" w14:textId="70FE9430" w:rsidR="0073053D" w:rsidRPr="000957F4" w:rsidRDefault="0073053D" w:rsidP="000A20EE">
            <w:pPr>
              <w:pStyle w:val="Prrafodelista"/>
              <w:numPr>
                <w:ilvl w:val="0"/>
                <w:numId w:val="58"/>
              </w:numPr>
              <w:suppressAutoHyphens w:val="0"/>
              <w:overflowPunct/>
              <w:autoSpaceDE/>
              <w:spacing w:after="160"/>
              <w:ind w:left="226" w:hanging="141"/>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Generar producción técnica y científica (Metodologías, Artículos, Conceptos técnicos).</w:t>
            </w:r>
          </w:p>
        </w:tc>
        <w:tc>
          <w:tcPr>
            <w:tcW w:w="1893" w:type="dxa"/>
            <w:vAlign w:val="center"/>
          </w:tcPr>
          <w:p w14:paraId="4BC0A521" w14:textId="39F19C20"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eastAsia="Arial" w:cs="Arial"/>
                <w:b/>
                <w:sz w:val="20"/>
                <w:szCs w:val="20"/>
              </w:rPr>
              <w:t>Investigación e innovación</w:t>
            </w:r>
          </w:p>
        </w:tc>
      </w:tr>
      <w:tr w:rsidR="0073053D" w:rsidRPr="000957F4" w14:paraId="5D24BB7E" w14:textId="77777777" w:rsidTr="31FF9146">
        <w:trPr>
          <w:cnfStyle w:val="000000100000" w:firstRow="0" w:lastRow="0" w:firstColumn="0" w:lastColumn="0" w:oddVBand="0" w:evenVBand="0" w:oddHBand="1" w:evenHBand="0" w:firstRowFirstColumn="0" w:firstRowLastColumn="0" w:lastRowFirstColumn="0" w:lastRowLastColumn="0"/>
          <w:trHeight w:val="1397"/>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2F7ACC6" w14:textId="77777777" w:rsidR="0073053D" w:rsidRPr="000957F4" w:rsidRDefault="0073053D" w:rsidP="00C72779">
            <w:pPr>
              <w:jc w:val="center"/>
              <w:rPr>
                <w:rFonts w:eastAsia="Arial" w:cs="Arial"/>
                <w:sz w:val="20"/>
                <w:szCs w:val="20"/>
              </w:rPr>
            </w:pPr>
          </w:p>
          <w:p w14:paraId="52AC0FDB" w14:textId="77777777" w:rsidR="0073053D" w:rsidRPr="000957F4" w:rsidRDefault="0073053D" w:rsidP="00C72779">
            <w:pPr>
              <w:jc w:val="center"/>
              <w:rPr>
                <w:rFonts w:eastAsia="Arial" w:cs="Arial"/>
                <w:sz w:val="20"/>
                <w:szCs w:val="20"/>
              </w:rPr>
            </w:pPr>
          </w:p>
          <w:p w14:paraId="2DE91BED" w14:textId="77777777" w:rsidR="0073053D" w:rsidRPr="000957F4" w:rsidRDefault="0073053D" w:rsidP="00C72779">
            <w:pPr>
              <w:jc w:val="center"/>
              <w:rPr>
                <w:rFonts w:eastAsia="Arial" w:cs="Arial"/>
                <w:sz w:val="20"/>
                <w:szCs w:val="20"/>
              </w:rPr>
            </w:pPr>
          </w:p>
          <w:p w14:paraId="62E124FE"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44B62CE7" w14:textId="69BA97C3" w:rsidR="0073053D" w:rsidRPr="000957F4" w:rsidRDefault="0073053D" w:rsidP="00C72779">
            <w:pP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p>
          <w:p w14:paraId="1BE566DF"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33E18500" w14:textId="7AE8CEC4"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Profesional Estructuración y procesamiento de datos geoespaciales</w:t>
            </w:r>
          </w:p>
          <w:p w14:paraId="6DB82B83" w14:textId="77777777" w:rsidR="0073053D" w:rsidRPr="000957F4" w:rsidRDefault="0073053D" w:rsidP="000A20EE">
            <w:pPr>
              <w:pStyle w:val="Prrafodelista"/>
              <w:numPr>
                <w:ilvl w:val="0"/>
                <w:numId w:val="59"/>
              </w:numPr>
              <w:tabs>
                <w:tab w:val="left" w:pos="226"/>
              </w:tabs>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Estructurar, procesar y analizar los datos requeridos por los proyectos de investigación e innovación.</w:t>
            </w:r>
          </w:p>
          <w:p w14:paraId="4D6A2A9D" w14:textId="4A6069EF" w:rsidR="0073053D" w:rsidRPr="000957F4" w:rsidRDefault="0073053D" w:rsidP="000A20EE">
            <w:pPr>
              <w:pStyle w:val="Prrafodelista"/>
              <w:numPr>
                <w:ilvl w:val="0"/>
                <w:numId w:val="59"/>
              </w:numPr>
              <w:tabs>
                <w:tab w:val="left" w:pos="226"/>
              </w:tabs>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Transferir el conocimiento resultado el desarrollo de los proyectos de investigación e innovación.</w:t>
            </w:r>
          </w:p>
        </w:tc>
        <w:tc>
          <w:tcPr>
            <w:tcW w:w="1893" w:type="dxa"/>
            <w:vAlign w:val="center"/>
          </w:tcPr>
          <w:p w14:paraId="7CF1A3C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eastAsia="Arial" w:cs="Arial"/>
                <w:b/>
                <w:sz w:val="20"/>
                <w:szCs w:val="20"/>
              </w:rPr>
              <w:t>Investigación e innovación</w:t>
            </w:r>
          </w:p>
        </w:tc>
      </w:tr>
      <w:tr w:rsidR="0073053D" w:rsidRPr="000957F4" w14:paraId="1DE7B308" w14:textId="77777777" w:rsidTr="31FF9146">
        <w:trPr>
          <w:trHeight w:val="59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539C596"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745DEC26"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Universitario</w:t>
            </w:r>
          </w:p>
        </w:tc>
        <w:tc>
          <w:tcPr>
            <w:tcW w:w="5211" w:type="dxa"/>
            <w:vAlign w:val="center"/>
          </w:tcPr>
          <w:p w14:paraId="7C5001BC" w14:textId="6808378E"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Profesional procesamiento de datos y construc</w:t>
            </w:r>
            <w:r w:rsidR="00087F32" w:rsidRPr="000957F4">
              <w:rPr>
                <w:rFonts w:cs="Arial"/>
                <w:b/>
                <w:sz w:val="20"/>
                <w:szCs w:val="20"/>
              </w:rPr>
              <w:t>ción herramientas tecnológicas.</w:t>
            </w:r>
          </w:p>
          <w:p w14:paraId="245F8096" w14:textId="77777777" w:rsidR="0073053D" w:rsidRPr="000957F4" w:rsidRDefault="0073053D" w:rsidP="000A20EE">
            <w:pPr>
              <w:pStyle w:val="Prrafodelista"/>
              <w:numPr>
                <w:ilvl w:val="0"/>
                <w:numId w:val="60"/>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Recopilar los insumos requeridos para el desarrollo de los proyectos.</w:t>
            </w:r>
          </w:p>
          <w:p w14:paraId="7ED4B48F" w14:textId="77777777" w:rsidR="0073053D" w:rsidRPr="000957F4" w:rsidRDefault="0073053D" w:rsidP="000A20EE">
            <w:pPr>
              <w:pStyle w:val="Prrafodelista"/>
              <w:numPr>
                <w:ilvl w:val="0"/>
                <w:numId w:val="60"/>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Realizar el análisis y el procesamiento de información catastral, cartográfica, agrológica, geográfica y de datos de observación de la tierra.</w:t>
            </w:r>
          </w:p>
        </w:tc>
        <w:tc>
          <w:tcPr>
            <w:tcW w:w="1893" w:type="dxa"/>
            <w:vAlign w:val="center"/>
          </w:tcPr>
          <w:p w14:paraId="411FC963"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eastAsia="Arial" w:cs="Arial"/>
                <w:b/>
                <w:sz w:val="20"/>
                <w:szCs w:val="20"/>
              </w:rPr>
              <w:t>Investigación e innovación</w:t>
            </w:r>
          </w:p>
          <w:p w14:paraId="7B7DA31E"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p>
        </w:tc>
      </w:tr>
      <w:tr w:rsidR="0073053D" w:rsidRPr="000957F4" w14:paraId="50F930CD" w14:textId="77777777" w:rsidTr="31FF9146">
        <w:trPr>
          <w:cnfStyle w:val="000000100000" w:firstRow="0" w:lastRow="0" w:firstColumn="0" w:lastColumn="0" w:oddVBand="0" w:evenVBand="0" w:oddHBand="1" w:evenHBand="0" w:firstRowFirstColumn="0" w:firstRowLastColumn="0" w:lastRowFirstColumn="0" w:lastRowLastColumn="0"/>
          <w:trHeight w:val="699"/>
        </w:trPr>
        <w:tc>
          <w:tcPr>
            <w:cnfStyle w:val="001000000000" w:firstRow="0" w:lastRow="0" w:firstColumn="1" w:lastColumn="0" w:oddVBand="0" w:evenVBand="0" w:oddHBand="0" w:evenHBand="0" w:firstRowFirstColumn="0" w:firstRowLastColumn="0" w:lastRowFirstColumn="0" w:lastRowLastColumn="0"/>
            <w:tcW w:w="703" w:type="dxa"/>
            <w:vAlign w:val="center"/>
          </w:tcPr>
          <w:p w14:paraId="5CCBFA91" w14:textId="77777777" w:rsidR="0073053D" w:rsidRPr="000957F4" w:rsidRDefault="0073053D" w:rsidP="00C72779">
            <w:pPr>
              <w:jc w:val="center"/>
              <w:rPr>
                <w:rFonts w:cs="Arial"/>
                <w:sz w:val="20"/>
                <w:szCs w:val="20"/>
              </w:rPr>
            </w:pPr>
            <w:r w:rsidRPr="000957F4">
              <w:rPr>
                <w:rFonts w:cs="Arial"/>
                <w:sz w:val="20"/>
                <w:szCs w:val="20"/>
              </w:rPr>
              <w:t>1</w:t>
            </w:r>
          </w:p>
        </w:tc>
        <w:tc>
          <w:tcPr>
            <w:tcW w:w="1617" w:type="dxa"/>
            <w:vAlign w:val="center"/>
          </w:tcPr>
          <w:p w14:paraId="18588384"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Auxiliar Administrativo</w:t>
            </w:r>
          </w:p>
        </w:tc>
        <w:tc>
          <w:tcPr>
            <w:tcW w:w="5211" w:type="dxa"/>
            <w:vAlign w:val="center"/>
          </w:tcPr>
          <w:p w14:paraId="7BDA9233" w14:textId="1FF20560" w:rsidR="0073053D" w:rsidRPr="000957F4" w:rsidRDefault="00087F32"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Auxiliar Administrativo</w:t>
            </w:r>
          </w:p>
          <w:p w14:paraId="0B279AA7" w14:textId="77777777" w:rsidR="0073053D" w:rsidRPr="000957F4" w:rsidRDefault="0073053D" w:rsidP="000A20EE">
            <w:pPr>
              <w:pStyle w:val="Prrafodelista"/>
              <w:numPr>
                <w:ilvl w:val="0"/>
                <w:numId w:val="61"/>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Clasificar, tramitar y archivar la correspondencia y documentos de la dependencia</w:t>
            </w:r>
          </w:p>
        </w:tc>
        <w:tc>
          <w:tcPr>
            <w:tcW w:w="1893" w:type="dxa"/>
            <w:vAlign w:val="center"/>
          </w:tcPr>
          <w:p w14:paraId="0964B058"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eastAsia="Arial" w:cs="Arial"/>
                <w:b/>
                <w:sz w:val="20"/>
                <w:szCs w:val="20"/>
              </w:rPr>
              <w:t>Investigación e innovación</w:t>
            </w:r>
          </w:p>
          <w:p w14:paraId="76CDD1DE"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p>
        </w:tc>
      </w:tr>
      <w:tr w:rsidR="0073053D" w:rsidRPr="000957F4" w14:paraId="407A70B6" w14:textId="77777777" w:rsidTr="31FF9146">
        <w:trPr>
          <w:trHeight w:val="95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02D20BC2" w14:textId="77777777" w:rsidR="0073053D" w:rsidRPr="000957F4" w:rsidRDefault="0073053D" w:rsidP="00C72779">
            <w:pPr>
              <w:jc w:val="center"/>
              <w:rPr>
                <w:rFonts w:cs="Arial"/>
                <w:sz w:val="20"/>
                <w:szCs w:val="20"/>
              </w:rPr>
            </w:pPr>
            <w:r w:rsidRPr="000957F4">
              <w:rPr>
                <w:rFonts w:eastAsia="Arial" w:cs="Arial"/>
                <w:sz w:val="20"/>
                <w:szCs w:val="20"/>
              </w:rPr>
              <w:lastRenderedPageBreak/>
              <w:t>1</w:t>
            </w:r>
          </w:p>
        </w:tc>
        <w:tc>
          <w:tcPr>
            <w:tcW w:w="1617" w:type="dxa"/>
            <w:vAlign w:val="center"/>
          </w:tcPr>
          <w:p w14:paraId="4F19B870"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eastAsia="Arial" w:cs="Arial"/>
                <w:b/>
                <w:sz w:val="20"/>
                <w:szCs w:val="20"/>
              </w:rPr>
              <w:t>Profesional Especializado</w:t>
            </w:r>
          </w:p>
        </w:tc>
        <w:tc>
          <w:tcPr>
            <w:tcW w:w="5211" w:type="dxa"/>
            <w:vAlign w:val="center"/>
          </w:tcPr>
          <w:p w14:paraId="3D9557B7" w14:textId="1D73976E"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Profesional</w:t>
            </w:r>
            <w:r w:rsidR="00087F32" w:rsidRPr="000957F4">
              <w:rPr>
                <w:rFonts w:cs="Arial"/>
                <w:b/>
                <w:sz w:val="20"/>
                <w:szCs w:val="20"/>
              </w:rPr>
              <w:t xml:space="preserve"> Investigador Líder Prospectiva</w:t>
            </w:r>
          </w:p>
          <w:p w14:paraId="2552DACD" w14:textId="77777777" w:rsidR="0073053D" w:rsidRPr="000957F4" w:rsidRDefault="0073053D" w:rsidP="000A20EE">
            <w:pPr>
              <w:pStyle w:val="Prrafodelista"/>
              <w:numPr>
                <w:ilvl w:val="0"/>
                <w:numId w:val="61"/>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Liderar y articular el subproceso de prospectiva de acuerdo con las necesidades de las áreas misionales.</w:t>
            </w:r>
          </w:p>
        </w:tc>
        <w:tc>
          <w:tcPr>
            <w:tcW w:w="1893" w:type="dxa"/>
            <w:vAlign w:val="center"/>
          </w:tcPr>
          <w:p w14:paraId="76A0C3B6"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Prospectiva</w:t>
            </w:r>
          </w:p>
          <w:p w14:paraId="108103C6"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p>
        </w:tc>
      </w:tr>
      <w:tr w:rsidR="0073053D" w:rsidRPr="000957F4" w14:paraId="4A0EF172" w14:textId="77777777" w:rsidTr="31FF9146">
        <w:trPr>
          <w:cnfStyle w:val="000000100000" w:firstRow="0" w:lastRow="0" w:firstColumn="0" w:lastColumn="0" w:oddVBand="0" w:evenVBand="0" w:oddHBand="1" w:evenHBand="0" w:firstRowFirstColumn="0" w:firstRowLastColumn="0" w:lastRowFirstColumn="0" w:lastRowLastColumn="0"/>
          <w:trHeight w:val="697"/>
        </w:trPr>
        <w:tc>
          <w:tcPr>
            <w:cnfStyle w:val="001000000000" w:firstRow="0" w:lastRow="0" w:firstColumn="1" w:lastColumn="0" w:oddVBand="0" w:evenVBand="0" w:oddHBand="0" w:evenHBand="0" w:firstRowFirstColumn="0" w:firstRowLastColumn="0" w:lastRowFirstColumn="0" w:lastRowLastColumn="0"/>
            <w:tcW w:w="703" w:type="dxa"/>
            <w:vAlign w:val="center"/>
          </w:tcPr>
          <w:p w14:paraId="3442CF48" w14:textId="77777777" w:rsidR="0073053D" w:rsidRPr="000957F4" w:rsidRDefault="0073053D" w:rsidP="00C72779">
            <w:pPr>
              <w:jc w:val="center"/>
              <w:rPr>
                <w:rFonts w:eastAsia="Arial" w:cs="Arial"/>
                <w:sz w:val="20"/>
                <w:szCs w:val="20"/>
              </w:rPr>
            </w:pPr>
            <w:r w:rsidRPr="000957F4">
              <w:rPr>
                <w:rFonts w:eastAsia="Arial" w:cs="Arial"/>
                <w:sz w:val="20"/>
                <w:szCs w:val="20"/>
              </w:rPr>
              <w:t>2</w:t>
            </w:r>
          </w:p>
        </w:tc>
        <w:tc>
          <w:tcPr>
            <w:tcW w:w="1617" w:type="dxa"/>
            <w:vAlign w:val="center"/>
          </w:tcPr>
          <w:p w14:paraId="0216DCD8"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5332E190" w14:textId="4B4B6C33"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w:t>
            </w:r>
            <w:r w:rsidR="00087F32" w:rsidRPr="000957F4">
              <w:rPr>
                <w:rFonts w:cs="Arial"/>
                <w:b/>
                <w:sz w:val="20"/>
                <w:szCs w:val="20"/>
              </w:rPr>
              <w:t>rofesionales lideres proyectos.</w:t>
            </w:r>
          </w:p>
          <w:p w14:paraId="62042D66" w14:textId="77777777" w:rsidR="0073053D" w:rsidRPr="000957F4" w:rsidRDefault="0073053D" w:rsidP="000A20EE">
            <w:pPr>
              <w:pStyle w:val="Prrafodelista"/>
              <w:numPr>
                <w:ilvl w:val="0"/>
                <w:numId w:val="61"/>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Liderar el desarrollo de los proyectos de investigación prospectiva.</w:t>
            </w:r>
          </w:p>
        </w:tc>
        <w:tc>
          <w:tcPr>
            <w:tcW w:w="1893" w:type="dxa"/>
            <w:vAlign w:val="center"/>
          </w:tcPr>
          <w:p w14:paraId="554E84F6"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p>
          <w:p w14:paraId="404FA237"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Prospectiva</w:t>
            </w:r>
          </w:p>
        </w:tc>
      </w:tr>
      <w:tr w:rsidR="0073053D" w:rsidRPr="000957F4" w14:paraId="5AFE12F0" w14:textId="77777777" w:rsidTr="31FF9146">
        <w:trPr>
          <w:trHeight w:val="816"/>
        </w:trPr>
        <w:tc>
          <w:tcPr>
            <w:cnfStyle w:val="001000000000" w:firstRow="0" w:lastRow="0" w:firstColumn="1" w:lastColumn="0" w:oddVBand="0" w:evenVBand="0" w:oddHBand="0" w:evenHBand="0" w:firstRowFirstColumn="0" w:firstRowLastColumn="0" w:lastRowFirstColumn="0" w:lastRowLastColumn="0"/>
            <w:tcW w:w="703" w:type="dxa"/>
            <w:vAlign w:val="center"/>
          </w:tcPr>
          <w:p w14:paraId="3A51779C"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6266634D"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Técnico operativo</w:t>
            </w:r>
          </w:p>
        </w:tc>
        <w:tc>
          <w:tcPr>
            <w:tcW w:w="5211" w:type="dxa"/>
            <w:vAlign w:val="center"/>
          </w:tcPr>
          <w:p w14:paraId="4BEF044C" w14:textId="08A420B7"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Técn</w:t>
            </w:r>
            <w:r w:rsidR="00087F32" w:rsidRPr="000957F4">
              <w:rPr>
                <w:rFonts w:cs="Arial"/>
                <w:b/>
                <w:sz w:val="20"/>
                <w:szCs w:val="20"/>
              </w:rPr>
              <w:t>ico limpieza y depuración datos</w:t>
            </w:r>
          </w:p>
          <w:p w14:paraId="2B84BDE3" w14:textId="77777777" w:rsidR="0073053D" w:rsidRPr="000957F4" w:rsidRDefault="0073053D" w:rsidP="000A20EE">
            <w:pPr>
              <w:pStyle w:val="Prrafodelista"/>
              <w:numPr>
                <w:ilvl w:val="0"/>
                <w:numId w:val="61"/>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Realizar la limpieza y depuración de datos para investigación prospectiva.</w:t>
            </w:r>
          </w:p>
          <w:p w14:paraId="1E7584FC" w14:textId="77777777" w:rsidR="0073053D" w:rsidRPr="000957F4" w:rsidRDefault="0073053D" w:rsidP="000A20EE">
            <w:pPr>
              <w:pStyle w:val="Prrafodelista"/>
              <w:numPr>
                <w:ilvl w:val="0"/>
                <w:numId w:val="61"/>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Atender los requerimientos de información.</w:t>
            </w:r>
          </w:p>
          <w:p w14:paraId="1D7B7105" w14:textId="77777777" w:rsidR="0073053D" w:rsidRPr="000957F4" w:rsidRDefault="0073053D" w:rsidP="000A20EE">
            <w:pPr>
              <w:pStyle w:val="Prrafodelista"/>
              <w:numPr>
                <w:ilvl w:val="0"/>
                <w:numId w:val="61"/>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Gestión de información, teniendo en cuenta los requerimientos técnicos y administrativos.</w:t>
            </w:r>
          </w:p>
          <w:p w14:paraId="23AB8C82" w14:textId="77777777" w:rsidR="0073053D" w:rsidRPr="000957F4" w:rsidRDefault="0073053D" w:rsidP="000A20EE">
            <w:pPr>
              <w:pStyle w:val="Prrafodelista"/>
              <w:numPr>
                <w:ilvl w:val="0"/>
                <w:numId w:val="61"/>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Apoyar la gestión logística de la dependencia (inventarios, articulación con almacén y servicios administrativos)</w:t>
            </w:r>
          </w:p>
        </w:tc>
        <w:tc>
          <w:tcPr>
            <w:tcW w:w="1893" w:type="dxa"/>
            <w:vAlign w:val="center"/>
          </w:tcPr>
          <w:p w14:paraId="073A19D7"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Prospectiva</w:t>
            </w:r>
          </w:p>
        </w:tc>
      </w:tr>
      <w:tr w:rsidR="0073053D" w:rsidRPr="000957F4" w14:paraId="07FBC69A" w14:textId="77777777" w:rsidTr="31FF9146">
        <w:trPr>
          <w:cnfStyle w:val="000000100000" w:firstRow="0" w:lastRow="0" w:firstColumn="0" w:lastColumn="0" w:oddVBand="0" w:evenVBand="0" w:oddHBand="1" w:evenHBand="0" w:firstRowFirstColumn="0" w:firstRowLastColumn="0" w:lastRowFirstColumn="0" w:lastRowLastColumn="0"/>
          <w:trHeight w:val="658"/>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029661D"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2C6F6831" w14:textId="2744A804"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2713F307" w14:textId="375693F9"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Profesiona</w:t>
            </w:r>
            <w:r w:rsidR="00087F32" w:rsidRPr="000957F4">
              <w:rPr>
                <w:rFonts w:cs="Arial"/>
                <w:b/>
                <w:sz w:val="20"/>
                <w:szCs w:val="20"/>
              </w:rPr>
              <w:t>l Experto Ciencia de Datos.</w:t>
            </w:r>
          </w:p>
          <w:p w14:paraId="435F0CA3" w14:textId="77777777" w:rsidR="0073053D" w:rsidRPr="000957F4" w:rsidRDefault="0073053D" w:rsidP="000A20EE">
            <w:pPr>
              <w:pStyle w:val="Prrafodelista"/>
              <w:numPr>
                <w:ilvl w:val="0"/>
                <w:numId w:val="62"/>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Proponer e implementar metodologías y herramientas de procesamiento y analítica de datos.</w:t>
            </w:r>
          </w:p>
        </w:tc>
        <w:tc>
          <w:tcPr>
            <w:tcW w:w="1893" w:type="dxa"/>
            <w:vAlign w:val="center"/>
          </w:tcPr>
          <w:p w14:paraId="3074B2CA"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Prospectiva</w:t>
            </w:r>
          </w:p>
        </w:tc>
      </w:tr>
      <w:tr w:rsidR="0073053D" w:rsidRPr="000957F4" w14:paraId="2F0BA1C7" w14:textId="77777777" w:rsidTr="31FF9146">
        <w:trPr>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0FEC5E7"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28FB2575"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267C1352" w14:textId="4FCE4255"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P</w:t>
            </w:r>
            <w:r w:rsidR="00087F32" w:rsidRPr="000957F4">
              <w:rPr>
                <w:rFonts w:cs="Arial"/>
                <w:b/>
                <w:sz w:val="20"/>
                <w:szCs w:val="20"/>
              </w:rPr>
              <w:t>rofesional Experto Prospectiva.</w:t>
            </w:r>
          </w:p>
          <w:p w14:paraId="00FDF50E" w14:textId="77777777" w:rsidR="0073053D" w:rsidRPr="000957F4" w:rsidRDefault="0073053D" w:rsidP="000A20EE">
            <w:pPr>
              <w:pStyle w:val="Prrafodelista"/>
              <w:numPr>
                <w:ilvl w:val="0"/>
                <w:numId w:val="62"/>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Desarrollar e implementar ejercicios de prospectiva a partir del monitoreo de prácticas y estándares internacionales, el procesamientos y análisis de datos.</w:t>
            </w:r>
          </w:p>
        </w:tc>
        <w:tc>
          <w:tcPr>
            <w:tcW w:w="1893" w:type="dxa"/>
            <w:vAlign w:val="center"/>
          </w:tcPr>
          <w:p w14:paraId="29AEB968"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Prospectiva</w:t>
            </w:r>
          </w:p>
        </w:tc>
      </w:tr>
      <w:tr w:rsidR="0073053D" w:rsidRPr="000957F4" w14:paraId="052045D2" w14:textId="77777777" w:rsidTr="31FF9146">
        <w:trPr>
          <w:cnfStyle w:val="000000100000" w:firstRow="0" w:lastRow="0" w:firstColumn="0" w:lastColumn="0" w:oddVBand="0" w:evenVBand="0" w:oddHBand="1" w:evenHBand="0" w:firstRowFirstColumn="0" w:firstRowLastColumn="0" w:lastRowFirstColumn="0" w:lastRowLastColumn="0"/>
          <w:trHeight w:val="1302"/>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C4A09D9"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6F68B504"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41D81C7E" w14:textId="69796722"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Profes</w:t>
            </w:r>
            <w:r w:rsidR="00087F32" w:rsidRPr="000957F4">
              <w:rPr>
                <w:rFonts w:cs="Arial"/>
                <w:b/>
                <w:sz w:val="20"/>
                <w:szCs w:val="20"/>
              </w:rPr>
              <w:t>ional Gerencia de Proyectos TIG</w:t>
            </w:r>
          </w:p>
          <w:p w14:paraId="1AC9D39C" w14:textId="77777777" w:rsidR="0073053D" w:rsidRPr="000957F4" w:rsidRDefault="0073053D" w:rsidP="000A20EE">
            <w:pPr>
              <w:pStyle w:val="Prrafodelista"/>
              <w:numPr>
                <w:ilvl w:val="0"/>
                <w:numId w:val="62"/>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Liderar y articular los proyectos en aplicaciones de las tecnologías de información geográfica (Percepción, remota, SIG, entre otras) que se realicen para las áreas misionales y clientes externos.</w:t>
            </w:r>
          </w:p>
          <w:p w14:paraId="6AE0C387" w14:textId="69E8CEE7" w:rsidR="0073053D" w:rsidRPr="000957F4" w:rsidRDefault="0073053D" w:rsidP="000A20EE">
            <w:pPr>
              <w:pStyle w:val="Prrafodelista"/>
              <w:numPr>
                <w:ilvl w:val="0"/>
                <w:numId w:val="62"/>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lang w:val="es-CO"/>
              </w:rPr>
            </w:pPr>
            <w:r w:rsidRPr="000957F4">
              <w:rPr>
                <w:rFonts w:cs="Arial"/>
                <w:lang w:val="es-MX"/>
              </w:rPr>
              <w:t>Realizar la supervisión de contratos y convenios interadministrativos con clientes externos.</w:t>
            </w:r>
          </w:p>
        </w:tc>
        <w:tc>
          <w:tcPr>
            <w:tcW w:w="1893" w:type="dxa"/>
            <w:vAlign w:val="center"/>
          </w:tcPr>
          <w:p w14:paraId="4BB9F15A"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p>
          <w:p w14:paraId="376CE55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w:t>
            </w:r>
          </w:p>
          <w:p w14:paraId="67A6CD56"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TIG</w:t>
            </w:r>
          </w:p>
        </w:tc>
      </w:tr>
      <w:tr w:rsidR="0073053D" w:rsidRPr="000957F4" w14:paraId="48E9F0C4" w14:textId="77777777" w:rsidTr="31FF9146">
        <w:trPr>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42233A24"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5C7A6166"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7A739454" w14:textId="02AFCEA9"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Pr</w:t>
            </w:r>
            <w:r w:rsidR="00087F32" w:rsidRPr="000957F4">
              <w:rPr>
                <w:rFonts w:cs="Arial"/>
                <w:b/>
                <w:sz w:val="20"/>
                <w:szCs w:val="20"/>
              </w:rPr>
              <w:t>ofesional Arquitectura Software</w:t>
            </w:r>
          </w:p>
          <w:p w14:paraId="3F0E54CD" w14:textId="77777777" w:rsidR="0073053D" w:rsidRPr="000957F4" w:rsidRDefault="0073053D" w:rsidP="000A20EE">
            <w:pPr>
              <w:pStyle w:val="Prrafodelista"/>
              <w:numPr>
                <w:ilvl w:val="0"/>
                <w:numId w:val="63"/>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Liderar proyectos de Desarrollo de herramientas tecnológicas para clientes externos.</w:t>
            </w:r>
          </w:p>
          <w:p w14:paraId="23D800BC" w14:textId="77777777" w:rsidR="0073053D" w:rsidRPr="000957F4" w:rsidRDefault="0073053D" w:rsidP="000A20EE">
            <w:pPr>
              <w:pStyle w:val="Prrafodelista"/>
              <w:numPr>
                <w:ilvl w:val="0"/>
                <w:numId w:val="63"/>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Apoyar procesos de arquitectura de software en los proyectos de Aplicaciones en Tecnologías de la Información Geográfica.</w:t>
            </w:r>
          </w:p>
          <w:p w14:paraId="30A0F1FB" w14:textId="77777777" w:rsidR="0073053D" w:rsidRPr="000957F4" w:rsidRDefault="0073053D" w:rsidP="000A20EE">
            <w:pPr>
              <w:pStyle w:val="Prrafodelista"/>
              <w:numPr>
                <w:ilvl w:val="0"/>
                <w:numId w:val="63"/>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lang w:val="es-MX"/>
              </w:rPr>
              <w:t>Realizar la supervisión de contratos y convenios interadministrativos con clientes externos.</w:t>
            </w:r>
          </w:p>
        </w:tc>
        <w:tc>
          <w:tcPr>
            <w:tcW w:w="1893" w:type="dxa"/>
            <w:vAlign w:val="center"/>
          </w:tcPr>
          <w:p w14:paraId="2970012D"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0EA3BD46" w14:textId="77777777" w:rsidTr="31FF9146">
        <w:trPr>
          <w:cnfStyle w:val="000000100000" w:firstRow="0" w:lastRow="0" w:firstColumn="0" w:lastColumn="0" w:oddVBand="0" w:evenVBand="0" w:oddHBand="1" w:evenHBand="0" w:firstRowFirstColumn="0" w:firstRowLastColumn="0" w:lastRowFirstColumn="0" w:lastRowLastColumn="0"/>
          <w:trHeight w:val="132"/>
        </w:trPr>
        <w:tc>
          <w:tcPr>
            <w:cnfStyle w:val="001000000000" w:firstRow="0" w:lastRow="0" w:firstColumn="1" w:lastColumn="0" w:oddVBand="0" w:evenVBand="0" w:oddHBand="0" w:evenHBand="0" w:firstRowFirstColumn="0" w:firstRowLastColumn="0" w:lastRowFirstColumn="0" w:lastRowLastColumn="0"/>
            <w:tcW w:w="703" w:type="dxa"/>
            <w:vAlign w:val="center"/>
          </w:tcPr>
          <w:p w14:paraId="51C66BBD"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44201803"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7FEA281C" w14:textId="75E50A11"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 xml:space="preserve">Profesional </w:t>
            </w:r>
            <w:r w:rsidR="00087F32" w:rsidRPr="000957F4">
              <w:rPr>
                <w:rFonts w:cs="Arial"/>
                <w:b/>
                <w:sz w:val="20"/>
                <w:szCs w:val="20"/>
              </w:rPr>
              <w:t>Levantamiento de requerimientos</w:t>
            </w:r>
          </w:p>
          <w:p w14:paraId="5511C6F6" w14:textId="77777777" w:rsidR="0073053D" w:rsidRPr="000957F4" w:rsidRDefault="0073053D" w:rsidP="000A20EE">
            <w:pPr>
              <w:pStyle w:val="Prrafodelista"/>
              <w:numPr>
                <w:ilvl w:val="0"/>
                <w:numId w:val="64"/>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Realizar el levantamiento y análisis de requerimientos.</w:t>
            </w:r>
          </w:p>
          <w:p w14:paraId="260AB0E6" w14:textId="77777777" w:rsidR="0073053D" w:rsidRPr="000957F4" w:rsidRDefault="0073053D" w:rsidP="000A20EE">
            <w:pPr>
              <w:pStyle w:val="Prrafodelista"/>
              <w:numPr>
                <w:ilvl w:val="0"/>
                <w:numId w:val="64"/>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cs="Arial"/>
              </w:rPr>
            </w:pPr>
            <w:r w:rsidRPr="000957F4">
              <w:rPr>
                <w:rFonts w:cs="Arial"/>
              </w:rPr>
              <w:t>Documentar los casos de uso de los proyectos de desarrollo de aplicaciones en TIG.</w:t>
            </w:r>
          </w:p>
          <w:p w14:paraId="03311FC1" w14:textId="77777777"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p>
        </w:tc>
        <w:tc>
          <w:tcPr>
            <w:tcW w:w="1893" w:type="dxa"/>
            <w:vAlign w:val="center"/>
          </w:tcPr>
          <w:p w14:paraId="0E9BEB6F"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04A99453" w14:textId="77777777" w:rsidTr="31FF9146">
        <w:trPr>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3AA0D689"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475310C6"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Técnico</w:t>
            </w:r>
          </w:p>
        </w:tc>
        <w:tc>
          <w:tcPr>
            <w:tcW w:w="5211" w:type="dxa"/>
            <w:vAlign w:val="center"/>
          </w:tcPr>
          <w:p w14:paraId="0B5CA403" w14:textId="6A7B9BE9" w:rsidR="0073053D" w:rsidRPr="000957F4" w:rsidRDefault="00087F32" w:rsidP="00C72779">
            <w:pPr>
              <w:jc w:val="both"/>
              <w:cnfStyle w:val="000000000000" w:firstRow="0" w:lastRow="0" w:firstColumn="0" w:lastColumn="0" w:oddVBand="0" w:evenVBand="0" w:oddHBand="0" w:evenHBand="0" w:firstRowFirstColumn="0" w:firstRowLastColumn="0" w:lastRowFirstColumn="0" w:lastRowLastColumn="0"/>
              <w:rPr>
                <w:rFonts w:cs="Arial"/>
                <w:b/>
                <w:sz w:val="20"/>
                <w:szCs w:val="20"/>
              </w:rPr>
            </w:pPr>
            <w:r w:rsidRPr="000957F4">
              <w:rPr>
                <w:rFonts w:cs="Arial"/>
                <w:b/>
                <w:sz w:val="20"/>
                <w:szCs w:val="20"/>
              </w:rPr>
              <w:t>Técnico Apoyo Pruebas</w:t>
            </w:r>
          </w:p>
          <w:p w14:paraId="7C0CB17F" w14:textId="77777777" w:rsidR="0073053D" w:rsidRPr="000957F4" w:rsidRDefault="0073053D" w:rsidP="000A20EE">
            <w:pPr>
              <w:pStyle w:val="Prrafodelista"/>
              <w:numPr>
                <w:ilvl w:val="0"/>
                <w:numId w:val="65"/>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Apoyar los procesos de pruebas de aplicaciones desarrolladas.</w:t>
            </w:r>
          </w:p>
          <w:p w14:paraId="09770908" w14:textId="7A0881EF" w:rsidR="0073053D" w:rsidRPr="000957F4" w:rsidRDefault="0073053D" w:rsidP="000A20EE">
            <w:pPr>
              <w:pStyle w:val="Prrafodelista"/>
              <w:numPr>
                <w:ilvl w:val="0"/>
                <w:numId w:val="65"/>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Atender lo</w:t>
            </w:r>
            <w:r w:rsidR="00087F32" w:rsidRPr="000957F4">
              <w:rPr>
                <w:rFonts w:cs="Arial"/>
              </w:rPr>
              <w:t>s requerimientos de información.</w:t>
            </w:r>
          </w:p>
        </w:tc>
        <w:tc>
          <w:tcPr>
            <w:tcW w:w="1893" w:type="dxa"/>
            <w:vAlign w:val="center"/>
          </w:tcPr>
          <w:p w14:paraId="36A21FC5"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76B8001C" w14:textId="77777777" w:rsidTr="31FF9146">
        <w:trPr>
          <w:cnfStyle w:val="000000100000" w:firstRow="0" w:lastRow="0" w:firstColumn="0" w:lastColumn="0" w:oddVBand="0" w:evenVBand="0" w:oddHBand="1" w:evenHBand="0"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703" w:type="dxa"/>
            <w:vAlign w:val="center"/>
          </w:tcPr>
          <w:p w14:paraId="78ABD9C3" w14:textId="77777777" w:rsidR="0073053D" w:rsidRPr="000957F4" w:rsidRDefault="0073053D" w:rsidP="00C72779">
            <w:pPr>
              <w:jc w:val="center"/>
              <w:rPr>
                <w:rFonts w:eastAsia="Arial" w:cs="Arial"/>
                <w:sz w:val="20"/>
                <w:szCs w:val="20"/>
              </w:rPr>
            </w:pPr>
            <w:r w:rsidRPr="000957F4">
              <w:rPr>
                <w:rFonts w:eastAsia="Arial" w:cs="Arial"/>
                <w:sz w:val="20"/>
                <w:szCs w:val="20"/>
              </w:rPr>
              <w:lastRenderedPageBreak/>
              <w:t>1</w:t>
            </w:r>
          </w:p>
        </w:tc>
        <w:tc>
          <w:tcPr>
            <w:tcW w:w="1617" w:type="dxa"/>
            <w:vAlign w:val="center"/>
          </w:tcPr>
          <w:p w14:paraId="73CE151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Secretario</w:t>
            </w:r>
          </w:p>
        </w:tc>
        <w:tc>
          <w:tcPr>
            <w:tcW w:w="5211" w:type="dxa"/>
            <w:vAlign w:val="center"/>
          </w:tcPr>
          <w:p w14:paraId="120E742E" w14:textId="20601535"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Sec</w:t>
            </w:r>
            <w:r w:rsidR="00087F32" w:rsidRPr="000957F4">
              <w:rPr>
                <w:rFonts w:eastAsia="Arial" w:cs="Arial"/>
                <w:b/>
                <w:sz w:val="20"/>
                <w:szCs w:val="20"/>
              </w:rPr>
              <w:t>retario de apoyo administrativo</w:t>
            </w:r>
          </w:p>
          <w:p w14:paraId="4F8BD6A3" w14:textId="77777777" w:rsidR="0073053D" w:rsidRPr="000957F4" w:rsidRDefault="0073053D" w:rsidP="000A20EE">
            <w:pPr>
              <w:pStyle w:val="Prrafodelista"/>
              <w:numPr>
                <w:ilvl w:val="0"/>
                <w:numId w:val="66"/>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Recibir, redactar, direccionar y archivar los documentos y correspondencia propios de la dependencia.</w:t>
            </w:r>
          </w:p>
        </w:tc>
        <w:tc>
          <w:tcPr>
            <w:tcW w:w="1893" w:type="dxa"/>
            <w:vAlign w:val="center"/>
          </w:tcPr>
          <w:p w14:paraId="5B62C1F7" w14:textId="74F41813"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74097924" w14:textId="77777777" w:rsidTr="31FF9146">
        <w:trPr>
          <w:trHeight w:val="107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0BE93B25" w14:textId="77777777" w:rsidR="0073053D" w:rsidRPr="000957F4" w:rsidRDefault="0073053D" w:rsidP="00C72779">
            <w:pPr>
              <w:jc w:val="center"/>
              <w:rPr>
                <w:rFonts w:eastAsia="Arial" w:cs="Arial"/>
                <w:sz w:val="20"/>
                <w:szCs w:val="20"/>
              </w:rPr>
            </w:pPr>
            <w:r w:rsidRPr="000957F4">
              <w:rPr>
                <w:rFonts w:eastAsia="Arial" w:cs="Arial"/>
                <w:sz w:val="20"/>
                <w:szCs w:val="20"/>
              </w:rPr>
              <w:t>3</w:t>
            </w:r>
          </w:p>
        </w:tc>
        <w:tc>
          <w:tcPr>
            <w:tcW w:w="1617" w:type="dxa"/>
            <w:vAlign w:val="center"/>
          </w:tcPr>
          <w:p w14:paraId="0D8EAF6B"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4816DF33" w14:textId="6484A556"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Profesionales Desarrollo de so</w:t>
            </w:r>
            <w:r w:rsidR="00087F32" w:rsidRPr="000957F4">
              <w:rPr>
                <w:rFonts w:eastAsia="Arial" w:cs="Arial"/>
                <w:b/>
                <w:sz w:val="20"/>
                <w:szCs w:val="20"/>
              </w:rPr>
              <w:t>ftware-Componentes geográficos</w:t>
            </w:r>
          </w:p>
          <w:p w14:paraId="307D7D3F" w14:textId="77777777" w:rsidR="0073053D" w:rsidRPr="000957F4" w:rsidRDefault="0073053D" w:rsidP="000A20EE">
            <w:pPr>
              <w:pStyle w:val="Prrafodelista"/>
              <w:numPr>
                <w:ilvl w:val="0"/>
                <w:numId w:val="66"/>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0957F4">
              <w:rPr>
                <w:rFonts w:cs="Arial"/>
              </w:rPr>
              <w:t>Desarrollar, ajustar y documentar las funcionalidades y servicios Web.</w:t>
            </w:r>
          </w:p>
          <w:p w14:paraId="593AABEF" w14:textId="77777777" w:rsidR="0073053D" w:rsidRPr="000957F4" w:rsidRDefault="0073053D" w:rsidP="000A20EE">
            <w:pPr>
              <w:pStyle w:val="Prrafodelista"/>
              <w:numPr>
                <w:ilvl w:val="0"/>
                <w:numId w:val="66"/>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Theme="minorHAnsi" w:cs="Arial"/>
              </w:rPr>
            </w:pPr>
            <w:r w:rsidRPr="000957F4">
              <w:rPr>
                <w:rFonts w:cs="Arial"/>
              </w:rPr>
              <w:t>Desarrollar, ajustar y documentar las funcionalidades de visualización, navegación, aplicación, generación de indicadores y/o mapas temáticos y consulta de acuerdo con los requerimientos de los clientes.</w:t>
            </w:r>
          </w:p>
        </w:tc>
        <w:tc>
          <w:tcPr>
            <w:tcW w:w="1893" w:type="dxa"/>
            <w:vAlign w:val="center"/>
          </w:tcPr>
          <w:p w14:paraId="28C6F749" w14:textId="5313130E"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30094DC6" w14:textId="77777777" w:rsidTr="31FF9146">
        <w:trPr>
          <w:cnfStyle w:val="000000100000" w:firstRow="0" w:lastRow="0" w:firstColumn="0" w:lastColumn="0" w:oddVBand="0" w:evenVBand="0" w:oddHBand="1" w:evenHBand="0" w:firstRowFirstColumn="0" w:firstRowLastColumn="0" w:lastRowFirstColumn="0" w:lastRowLastColumn="0"/>
          <w:trHeight w:val="154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2A79612D"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0D91C202"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601F7B8D" w14:textId="549959BA" w:rsidR="0073053D" w:rsidRPr="000957F4" w:rsidRDefault="00087F32" w:rsidP="00C72779">
            <w:pPr>
              <w:jc w:val="both"/>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Base de Datos</w:t>
            </w:r>
          </w:p>
          <w:p w14:paraId="32D3B1A1" w14:textId="77777777" w:rsidR="0073053D" w:rsidRPr="000957F4" w:rsidRDefault="0073053D" w:rsidP="000A20EE">
            <w:pPr>
              <w:pStyle w:val="Prrafodelista"/>
              <w:numPr>
                <w:ilvl w:val="0"/>
                <w:numId w:val="67"/>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Elaborar los modelos conceptual, lógico y físico de base de datos espaciales y/o alfanuméricas de la etapa de diseño de los proyectos de sistemas de información geográfica.</w:t>
            </w:r>
          </w:p>
          <w:p w14:paraId="7E524C6B" w14:textId="77777777" w:rsidR="0073053D" w:rsidRPr="000957F4" w:rsidRDefault="0073053D" w:rsidP="000A20EE">
            <w:pPr>
              <w:pStyle w:val="Prrafodelista"/>
              <w:numPr>
                <w:ilvl w:val="0"/>
                <w:numId w:val="67"/>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Elaborar diccionarios de datos de las bases de datos que contenga la especificación de los objetos de base de datos geográficas.</w:t>
            </w:r>
          </w:p>
        </w:tc>
        <w:tc>
          <w:tcPr>
            <w:tcW w:w="1893" w:type="dxa"/>
            <w:vAlign w:val="center"/>
          </w:tcPr>
          <w:p w14:paraId="6977B28A" w14:textId="000CCC72"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16A0900C" w14:textId="77777777" w:rsidTr="31FF9146">
        <w:trPr>
          <w:trHeight w:val="89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FF95F25"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4CC413D0"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35954E9D" w14:textId="59EFB686" w:rsidR="00087F32"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Gest</w:t>
            </w:r>
            <w:r w:rsidR="00087F32" w:rsidRPr="000957F4">
              <w:rPr>
                <w:rFonts w:eastAsia="Arial" w:cs="Arial"/>
                <w:b/>
                <w:sz w:val="20"/>
                <w:szCs w:val="20"/>
              </w:rPr>
              <w:t>ión de Información Geográfica.</w:t>
            </w:r>
          </w:p>
          <w:p w14:paraId="33030AD1" w14:textId="6FCCD6A1" w:rsidR="0073053D" w:rsidRPr="000957F4" w:rsidRDefault="0073053D" w:rsidP="000A20EE">
            <w:pPr>
              <w:pStyle w:val="Prrafodelista"/>
              <w:numPr>
                <w:ilvl w:val="0"/>
                <w:numId w:val="68"/>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Estructuración de Información Geográfica.</w:t>
            </w:r>
          </w:p>
          <w:p w14:paraId="16C2B2DE" w14:textId="77777777" w:rsidR="0073053D" w:rsidRPr="000957F4" w:rsidRDefault="0073053D" w:rsidP="000A20EE">
            <w:pPr>
              <w:pStyle w:val="Prrafodelista"/>
              <w:numPr>
                <w:ilvl w:val="0"/>
                <w:numId w:val="68"/>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Análisis y modelamiento espacial.</w:t>
            </w:r>
          </w:p>
          <w:p w14:paraId="4654B84E" w14:textId="77777777" w:rsidR="0073053D" w:rsidRPr="000957F4" w:rsidRDefault="0073053D" w:rsidP="000A20EE">
            <w:pPr>
              <w:pStyle w:val="Prrafodelista"/>
              <w:numPr>
                <w:ilvl w:val="0"/>
                <w:numId w:val="68"/>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Gestión Información Geográfica</w:t>
            </w:r>
          </w:p>
        </w:tc>
        <w:tc>
          <w:tcPr>
            <w:tcW w:w="1893" w:type="dxa"/>
            <w:vAlign w:val="center"/>
          </w:tcPr>
          <w:p w14:paraId="451A223E" w14:textId="5440DBDF"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172140DB" w14:textId="77777777" w:rsidTr="31FF9146">
        <w:trPr>
          <w:cnfStyle w:val="000000100000" w:firstRow="0" w:lastRow="0" w:firstColumn="0" w:lastColumn="0" w:oddVBand="0" w:evenVBand="0" w:oddHBand="1" w:evenHBand="0" w:firstRowFirstColumn="0" w:firstRowLastColumn="0" w:lastRowFirstColumn="0" w:lastRowLastColumn="0"/>
          <w:trHeight w:val="852"/>
        </w:trPr>
        <w:tc>
          <w:tcPr>
            <w:cnfStyle w:val="001000000000" w:firstRow="0" w:lastRow="0" w:firstColumn="1" w:lastColumn="0" w:oddVBand="0" w:evenVBand="0" w:oddHBand="0" w:evenHBand="0" w:firstRowFirstColumn="0" w:firstRowLastColumn="0" w:lastRowFirstColumn="0" w:lastRowLastColumn="0"/>
            <w:tcW w:w="703" w:type="dxa"/>
            <w:vAlign w:val="center"/>
          </w:tcPr>
          <w:p w14:paraId="28C2E8F0"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586F0B17"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p>
          <w:p w14:paraId="37094B4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Tecnologías Geoespaciales</w:t>
            </w:r>
          </w:p>
        </w:tc>
        <w:tc>
          <w:tcPr>
            <w:tcW w:w="5211" w:type="dxa"/>
            <w:vAlign w:val="center"/>
          </w:tcPr>
          <w:p w14:paraId="6B38EB05" w14:textId="55E9390A"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cs="Arial"/>
                <w:b/>
                <w:sz w:val="20"/>
                <w:szCs w:val="20"/>
              </w:rPr>
            </w:pPr>
            <w:r w:rsidRPr="000957F4">
              <w:rPr>
                <w:rFonts w:cs="Arial"/>
                <w:b/>
                <w:sz w:val="20"/>
                <w:szCs w:val="20"/>
              </w:rPr>
              <w:t>Profes</w:t>
            </w:r>
            <w:r w:rsidR="00087F32" w:rsidRPr="000957F4">
              <w:rPr>
                <w:rFonts w:cs="Arial"/>
                <w:b/>
                <w:sz w:val="20"/>
                <w:szCs w:val="20"/>
              </w:rPr>
              <w:t>ional Tecnologías geoespaciales</w:t>
            </w:r>
          </w:p>
          <w:p w14:paraId="019D13EF" w14:textId="77777777" w:rsidR="0073053D" w:rsidRPr="000957F4" w:rsidRDefault="0073053D" w:rsidP="000A20EE">
            <w:pPr>
              <w:pStyle w:val="Prrafodelista"/>
              <w:numPr>
                <w:ilvl w:val="0"/>
                <w:numId w:val="69"/>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b/>
              </w:rPr>
            </w:pPr>
            <w:r w:rsidRPr="000957F4">
              <w:rPr>
                <w:rFonts w:cs="Arial"/>
              </w:rPr>
              <w:t>Procesamiento y análisis de datos de observación de la tierra, estructuración y gestión de proyectos en tecnologías geoespaciales.</w:t>
            </w:r>
          </w:p>
        </w:tc>
        <w:tc>
          <w:tcPr>
            <w:tcW w:w="1893" w:type="dxa"/>
            <w:vAlign w:val="center"/>
          </w:tcPr>
          <w:p w14:paraId="021267B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Estudios y Aplicaciones TIG</w:t>
            </w:r>
          </w:p>
        </w:tc>
      </w:tr>
      <w:tr w:rsidR="0073053D" w:rsidRPr="000957F4" w14:paraId="08419F15" w14:textId="77777777" w:rsidTr="31FF9146">
        <w:trPr>
          <w:trHeight w:val="267"/>
        </w:trPr>
        <w:tc>
          <w:tcPr>
            <w:cnfStyle w:val="001000000000" w:firstRow="0" w:lastRow="0" w:firstColumn="1" w:lastColumn="0" w:oddVBand="0" w:evenVBand="0" w:oddHBand="0" w:evenHBand="0" w:firstRowFirstColumn="0" w:firstRowLastColumn="0" w:lastRowFirstColumn="0" w:lastRowLastColumn="0"/>
            <w:tcW w:w="703" w:type="dxa"/>
            <w:vAlign w:val="center"/>
          </w:tcPr>
          <w:p w14:paraId="71C1D613"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343E9785"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604787E1" w14:textId="77777777"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Jefe Observatorio Inmobiliario</w:t>
            </w:r>
          </w:p>
        </w:tc>
        <w:tc>
          <w:tcPr>
            <w:tcW w:w="1893" w:type="dxa"/>
            <w:vAlign w:val="center"/>
          </w:tcPr>
          <w:p w14:paraId="3334B647"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r w:rsidR="0073053D" w:rsidRPr="000957F4" w14:paraId="14A1A003" w14:textId="77777777" w:rsidTr="31FF9146">
        <w:trPr>
          <w:cnfStyle w:val="000000100000" w:firstRow="0" w:lastRow="0" w:firstColumn="0" w:lastColumn="0" w:oddVBand="0" w:evenVBand="0" w:oddHBand="1" w:evenHBand="0" w:firstRowFirstColumn="0" w:firstRowLastColumn="0" w:lastRowFirstColumn="0" w:lastRowLastColumn="0"/>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5880A193" w14:textId="77777777" w:rsidR="0073053D" w:rsidRPr="000957F4" w:rsidRDefault="0073053D" w:rsidP="00C72779">
            <w:pPr>
              <w:jc w:val="center"/>
              <w:rPr>
                <w:rFonts w:eastAsia="Arial" w:cs="Arial"/>
                <w:sz w:val="20"/>
                <w:szCs w:val="20"/>
              </w:rPr>
            </w:pPr>
            <w:r w:rsidRPr="000957F4">
              <w:rPr>
                <w:rFonts w:eastAsia="Arial" w:cs="Arial"/>
                <w:sz w:val="20"/>
                <w:szCs w:val="20"/>
              </w:rPr>
              <w:t>2</w:t>
            </w:r>
          </w:p>
        </w:tc>
        <w:tc>
          <w:tcPr>
            <w:tcW w:w="1617" w:type="dxa"/>
            <w:vAlign w:val="center"/>
          </w:tcPr>
          <w:p w14:paraId="59C3600A"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69A93EED" w14:textId="32901B97"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 xml:space="preserve">Profesionales análisis </w:t>
            </w:r>
            <w:r w:rsidR="00087F32" w:rsidRPr="000957F4">
              <w:rPr>
                <w:rFonts w:eastAsia="Arial" w:cs="Arial"/>
                <w:b/>
                <w:sz w:val="20"/>
                <w:szCs w:val="20"/>
              </w:rPr>
              <w:t>y estudios de valuación predial</w:t>
            </w:r>
          </w:p>
          <w:p w14:paraId="1CE007AE" w14:textId="77777777" w:rsidR="0073053D" w:rsidRPr="000957F4" w:rsidRDefault="0073053D" w:rsidP="000A20EE">
            <w:pPr>
              <w:pStyle w:val="Prrafodelista"/>
              <w:numPr>
                <w:ilvl w:val="0"/>
                <w:numId w:val="69"/>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Desarrollar procesos de valoración predial</w:t>
            </w:r>
          </w:p>
          <w:p w14:paraId="5993622B" w14:textId="77777777" w:rsidR="0073053D" w:rsidRPr="000957F4" w:rsidRDefault="0073053D" w:rsidP="000A20EE">
            <w:pPr>
              <w:pStyle w:val="Prrafodelista"/>
              <w:numPr>
                <w:ilvl w:val="0"/>
                <w:numId w:val="69"/>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Realizar análisis y reportes asociados a los resultados y desarrollo de los modelos de valoración predial</w:t>
            </w:r>
          </w:p>
        </w:tc>
        <w:tc>
          <w:tcPr>
            <w:tcW w:w="1893" w:type="dxa"/>
            <w:vAlign w:val="center"/>
          </w:tcPr>
          <w:p w14:paraId="062A0229"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r w:rsidR="0073053D" w:rsidRPr="000957F4" w14:paraId="051F67D4" w14:textId="77777777" w:rsidTr="31FF9146">
        <w:trPr>
          <w:trHeight w:val="274"/>
        </w:trPr>
        <w:tc>
          <w:tcPr>
            <w:cnfStyle w:val="001000000000" w:firstRow="0" w:lastRow="0" w:firstColumn="1" w:lastColumn="0" w:oddVBand="0" w:evenVBand="0" w:oddHBand="0" w:evenHBand="0" w:firstRowFirstColumn="0" w:firstRowLastColumn="0" w:lastRowFirstColumn="0" w:lastRowLastColumn="0"/>
            <w:tcW w:w="703" w:type="dxa"/>
            <w:vAlign w:val="center"/>
          </w:tcPr>
          <w:p w14:paraId="178440A6" w14:textId="77777777" w:rsidR="0073053D" w:rsidRPr="000957F4" w:rsidRDefault="0073053D" w:rsidP="00C72779">
            <w:pPr>
              <w:jc w:val="center"/>
              <w:rPr>
                <w:rFonts w:eastAsia="Arial" w:cs="Arial"/>
                <w:sz w:val="20"/>
                <w:szCs w:val="20"/>
              </w:rPr>
            </w:pPr>
            <w:r w:rsidRPr="000957F4">
              <w:rPr>
                <w:rFonts w:eastAsia="Arial" w:cs="Arial"/>
                <w:sz w:val="20"/>
                <w:szCs w:val="20"/>
              </w:rPr>
              <w:t>2</w:t>
            </w:r>
          </w:p>
        </w:tc>
        <w:tc>
          <w:tcPr>
            <w:tcW w:w="1617" w:type="dxa"/>
            <w:vAlign w:val="center"/>
          </w:tcPr>
          <w:p w14:paraId="47B0E490"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Especializado</w:t>
            </w:r>
          </w:p>
        </w:tc>
        <w:tc>
          <w:tcPr>
            <w:tcW w:w="5211" w:type="dxa"/>
            <w:vAlign w:val="center"/>
          </w:tcPr>
          <w:p w14:paraId="683D545B" w14:textId="77777777"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análisis y estudios información</w:t>
            </w:r>
          </w:p>
          <w:p w14:paraId="32B3CBED" w14:textId="1E8678E9" w:rsidR="0073053D" w:rsidRPr="000957F4" w:rsidRDefault="00087F32"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Inmobiliaria.</w:t>
            </w:r>
          </w:p>
          <w:p w14:paraId="36A31FA3" w14:textId="77777777" w:rsidR="0073053D" w:rsidRPr="000957F4" w:rsidRDefault="0073053D" w:rsidP="000A20EE">
            <w:pPr>
              <w:pStyle w:val="Prrafodelista"/>
              <w:numPr>
                <w:ilvl w:val="0"/>
                <w:numId w:val="70"/>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Realizar estudios y análisis de la dinámica inmobiliaria</w:t>
            </w:r>
          </w:p>
          <w:p w14:paraId="2B017035" w14:textId="77777777" w:rsidR="0073053D" w:rsidRPr="000957F4" w:rsidRDefault="0073053D" w:rsidP="000A20EE">
            <w:pPr>
              <w:pStyle w:val="Prrafodelista"/>
              <w:numPr>
                <w:ilvl w:val="0"/>
                <w:numId w:val="70"/>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Realizar el seguimiento a la calidad y evaluación de los modelos de valoración predial de acuerdo con los procedimientos del instituto.</w:t>
            </w:r>
          </w:p>
          <w:p w14:paraId="66839396" w14:textId="2BB45566" w:rsidR="0073053D" w:rsidRPr="000957F4" w:rsidRDefault="0073053D" w:rsidP="000A20EE">
            <w:pPr>
              <w:pStyle w:val="Prrafodelista"/>
              <w:numPr>
                <w:ilvl w:val="0"/>
                <w:numId w:val="70"/>
              </w:numPr>
              <w:suppressAutoHyphens w:val="0"/>
              <w:overflowPunct/>
              <w:autoSpaceDE/>
              <w:spacing w:after="160"/>
              <w:ind w:left="226" w:hanging="226"/>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Evaluar cambios normativos a</w:t>
            </w:r>
            <w:r w:rsidR="00087F32" w:rsidRPr="000957F4">
              <w:rPr>
                <w:rFonts w:eastAsia="Arial" w:cs="Arial"/>
              </w:rPr>
              <w:t>sociados a la gestión catastral.</w:t>
            </w:r>
          </w:p>
        </w:tc>
        <w:tc>
          <w:tcPr>
            <w:tcW w:w="1893" w:type="dxa"/>
            <w:vAlign w:val="center"/>
          </w:tcPr>
          <w:p w14:paraId="60C1C7EB"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r w:rsidR="0073053D" w:rsidRPr="000957F4" w14:paraId="3556E779" w14:textId="77777777" w:rsidTr="31FF9146">
        <w:trPr>
          <w:cnfStyle w:val="000000100000" w:firstRow="0" w:lastRow="0" w:firstColumn="0" w:lastColumn="0" w:oddVBand="0" w:evenVBand="0" w:oddHBand="1" w:evenHBand="0" w:firstRowFirstColumn="0" w:firstRowLastColumn="0" w:lastRowFirstColumn="0" w:lastRowLastColumn="0"/>
          <w:trHeight w:val="1686"/>
        </w:trPr>
        <w:tc>
          <w:tcPr>
            <w:cnfStyle w:val="001000000000" w:firstRow="0" w:lastRow="0" w:firstColumn="1" w:lastColumn="0" w:oddVBand="0" w:evenVBand="0" w:oddHBand="0" w:evenHBand="0" w:firstRowFirstColumn="0" w:firstRowLastColumn="0" w:lastRowFirstColumn="0" w:lastRowLastColumn="0"/>
            <w:tcW w:w="703" w:type="dxa"/>
            <w:vAlign w:val="center"/>
          </w:tcPr>
          <w:p w14:paraId="20DEE13F" w14:textId="77777777" w:rsidR="0073053D" w:rsidRPr="000957F4" w:rsidRDefault="0073053D" w:rsidP="00C72779">
            <w:pPr>
              <w:jc w:val="center"/>
              <w:rPr>
                <w:rFonts w:eastAsia="Arial" w:cs="Arial"/>
                <w:sz w:val="20"/>
                <w:szCs w:val="20"/>
              </w:rPr>
            </w:pPr>
            <w:r w:rsidRPr="000957F4">
              <w:rPr>
                <w:rFonts w:eastAsia="Arial" w:cs="Arial"/>
                <w:sz w:val="20"/>
                <w:szCs w:val="20"/>
              </w:rPr>
              <w:lastRenderedPageBreak/>
              <w:t>1</w:t>
            </w:r>
          </w:p>
        </w:tc>
        <w:tc>
          <w:tcPr>
            <w:tcW w:w="1617" w:type="dxa"/>
            <w:vAlign w:val="center"/>
          </w:tcPr>
          <w:p w14:paraId="2173EE54"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w:t>
            </w:r>
          </w:p>
          <w:p w14:paraId="778AC815"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Universitario</w:t>
            </w:r>
          </w:p>
        </w:tc>
        <w:tc>
          <w:tcPr>
            <w:tcW w:w="5211" w:type="dxa"/>
            <w:vAlign w:val="center"/>
          </w:tcPr>
          <w:p w14:paraId="5BBA7DA5" w14:textId="084F816A" w:rsidR="0073053D" w:rsidRPr="000957F4" w:rsidRDefault="0073053D" w:rsidP="00C72779">
            <w:pPr>
              <w:jc w:val="both"/>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Profesional gestión de fuentes de informació</w:t>
            </w:r>
            <w:r w:rsidR="00087F32" w:rsidRPr="000957F4">
              <w:rPr>
                <w:rFonts w:eastAsia="Arial" w:cs="Arial"/>
                <w:b/>
                <w:sz w:val="20"/>
                <w:szCs w:val="20"/>
              </w:rPr>
              <w:t>n del observatorio inmobiliario</w:t>
            </w:r>
          </w:p>
          <w:p w14:paraId="1C730134" w14:textId="77777777" w:rsidR="0073053D" w:rsidRPr="000957F4" w:rsidRDefault="0073053D" w:rsidP="000A20EE">
            <w:pPr>
              <w:pStyle w:val="Prrafodelista"/>
              <w:numPr>
                <w:ilvl w:val="0"/>
                <w:numId w:val="71"/>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Realizar la gestión técnica y administrativa requerida para acceder a las fuentes de información requerida para los análisis de dinámica inmobiliaria.</w:t>
            </w:r>
          </w:p>
          <w:p w14:paraId="0301EEB4" w14:textId="77777777" w:rsidR="0073053D" w:rsidRPr="000957F4" w:rsidRDefault="0073053D" w:rsidP="000A20EE">
            <w:pPr>
              <w:pStyle w:val="Prrafodelista"/>
              <w:numPr>
                <w:ilvl w:val="0"/>
                <w:numId w:val="71"/>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Generar las bases, salidas, servicios de información y mapas correspondientes a la información del Observatorio Inmobiliario.</w:t>
            </w:r>
          </w:p>
        </w:tc>
        <w:tc>
          <w:tcPr>
            <w:tcW w:w="1893" w:type="dxa"/>
            <w:vAlign w:val="center"/>
          </w:tcPr>
          <w:p w14:paraId="7C2F1573"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r w:rsidR="0073053D" w:rsidRPr="000957F4" w14:paraId="26E31B06" w14:textId="77777777" w:rsidTr="31FF9146">
        <w:trPr>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61FADFC0"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7066BDEF"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w:t>
            </w:r>
          </w:p>
          <w:p w14:paraId="30917D53"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Universitario</w:t>
            </w:r>
          </w:p>
        </w:tc>
        <w:tc>
          <w:tcPr>
            <w:tcW w:w="5211" w:type="dxa"/>
            <w:vAlign w:val="center"/>
          </w:tcPr>
          <w:p w14:paraId="017A9A6F" w14:textId="1A9DCAE3" w:rsidR="0073053D" w:rsidRPr="000957F4" w:rsidRDefault="0073053D" w:rsidP="00C72779">
            <w:pPr>
              <w:jc w:val="both"/>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Profesional Disposición de Inform</w:t>
            </w:r>
            <w:r w:rsidR="00087F32" w:rsidRPr="000957F4">
              <w:rPr>
                <w:rFonts w:eastAsia="Arial" w:cs="Arial"/>
                <w:b/>
                <w:sz w:val="20"/>
                <w:szCs w:val="20"/>
              </w:rPr>
              <w:t>ación – Verificación de Calidad</w:t>
            </w:r>
          </w:p>
          <w:p w14:paraId="5783488C" w14:textId="77777777" w:rsidR="0073053D" w:rsidRPr="000957F4" w:rsidRDefault="0073053D" w:rsidP="000A20EE">
            <w:pPr>
              <w:pStyle w:val="Prrafodelista"/>
              <w:numPr>
                <w:ilvl w:val="0"/>
                <w:numId w:val="72"/>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Realizar control de calidad de los datos y la información gestionada por el Observatorio Inmobiliario.</w:t>
            </w:r>
          </w:p>
          <w:p w14:paraId="599D7433" w14:textId="3667A471" w:rsidR="0073053D" w:rsidRPr="000957F4" w:rsidRDefault="0073053D" w:rsidP="000A20EE">
            <w:pPr>
              <w:pStyle w:val="Prrafodelista"/>
              <w:numPr>
                <w:ilvl w:val="0"/>
                <w:numId w:val="72"/>
              </w:numPr>
              <w:suppressAutoHyphens w:val="0"/>
              <w:overflowPunct/>
              <w:autoSpaceDE/>
              <w:spacing w:after="160"/>
              <w:ind w:left="226" w:hanging="283"/>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rPr>
            </w:pPr>
            <w:r w:rsidRPr="000957F4">
              <w:rPr>
                <w:rFonts w:eastAsia="Arial" w:cs="Arial"/>
              </w:rPr>
              <w:t>Generar las bases, salidas, servicios de información y mapas correspondientes a la información del Observatorio Inmobiliario.</w:t>
            </w:r>
          </w:p>
        </w:tc>
        <w:tc>
          <w:tcPr>
            <w:tcW w:w="1893" w:type="dxa"/>
            <w:vAlign w:val="center"/>
          </w:tcPr>
          <w:p w14:paraId="087FB8D9" w14:textId="77777777" w:rsidR="0073053D" w:rsidRPr="000957F4" w:rsidRDefault="0073053D"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r w:rsidR="0073053D" w:rsidRPr="000957F4" w14:paraId="578EAB9A" w14:textId="77777777" w:rsidTr="31FF9146">
        <w:trPr>
          <w:cnfStyle w:val="000000100000" w:firstRow="0" w:lastRow="0" w:firstColumn="0" w:lastColumn="0" w:oddVBand="0" w:evenVBand="0" w:oddHBand="1" w:evenHBand="0" w:firstRowFirstColumn="0" w:firstRowLastColumn="0" w:lastRowFirstColumn="0" w:lastRowLastColumn="0"/>
          <w:trHeight w:val="1023"/>
        </w:trPr>
        <w:tc>
          <w:tcPr>
            <w:cnfStyle w:val="001000000000" w:firstRow="0" w:lastRow="0" w:firstColumn="1" w:lastColumn="0" w:oddVBand="0" w:evenVBand="0" w:oddHBand="0" w:evenHBand="0" w:firstRowFirstColumn="0" w:firstRowLastColumn="0" w:lastRowFirstColumn="0" w:lastRowLastColumn="0"/>
            <w:tcW w:w="703" w:type="dxa"/>
            <w:vAlign w:val="center"/>
          </w:tcPr>
          <w:p w14:paraId="719085E0" w14:textId="77777777" w:rsidR="0073053D" w:rsidRPr="000957F4" w:rsidRDefault="0073053D" w:rsidP="00C72779">
            <w:pPr>
              <w:jc w:val="center"/>
              <w:rPr>
                <w:rFonts w:eastAsia="Arial" w:cs="Arial"/>
                <w:sz w:val="20"/>
                <w:szCs w:val="20"/>
              </w:rPr>
            </w:pPr>
            <w:r w:rsidRPr="000957F4">
              <w:rPr>
                <w:rFonts w:eastAsia="Arial" w:cs="Arial"/>
                <w:sz w:val="20"/>
                <w:szCs w:val="20"/>
              </w:rPr>
              <w:t>1</w:t>
            </w:r>
          </w:p>
        </w:tc>
        <w:tc>
          <w:tcPr>
            <w:tcW w:w="1617" w:type="dxa"/>
            <w:vAlign w:val="center"/>
          </w:tcPr>
          <w:p w14:paraId="506CD444"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Secretario</w:t>
            </w:r>
          </w:p>
        </w:tc>
        <w:tc>
          <w:tcPr>
            <w:tcW w:w="5211" w:type="dxa"/>
            <w:vAlign w:val="center"/>
          </w:tcPr>
          <w:p w14:paraId="087CB5F7" w14:textId="5CD7751C" w:rsidR="0073053D" w:rsidRPr="000957F4" w:rsidRDefault="00087F32" w:rsidP="00C72779">
            <w:pPr>
              <w:jc w:val="both"/>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Secretario apoyo administrativo</w:t>
            </w:r>
          </w:p>
          <w:p w14:paraId="335D71EA" w14:textId="77777777" w:rsidR="0073053D" w:rsidRPr="000957F4" w:rsidRDefault="0073053D" w:rsidP="000A20EE">
            <w:pPr>
              <w:pStyle w:val="Prrafodelista"/>
              <w:numPr>
                <w:ilvl w:val="0"/>
                <w:numId w:val="73"/>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Realizar seguimiento a las peticiones, quejas y reclamos.</w:t>
            </w:r>
          </w:p>
          <w:p w14:paraId="22E7E5CB" w14:textId="77777777" w:rsidR="0073053D" w:rsidRPr="000957F4" w:rsidRDefault="0073053D" w:rsidP="000A20EE">
            <w:pPr>
              <w:pStyle w:val="Prrafodelista"/>
              <w:numPr>
                <w:ilvl w:val="0"/>
                <w:numId w:val="73"/>
              </w:numPr>
              <w:suppressAutoHyphens w:val="0"/>
              <w:overflowPunct/>
              <w:autoSpaceDE/>
              <w:spacing w:after="160"/>
              <w:ind w:left="226" w:hanging="226"/>
              <w:contextualSpacing/>
              <w:textAlignment w:val="auto"/>
              <w:cnfStyle w:val="000000100000" w:firstRow="0" w:lastRow="0" w:firstColumn="0" w:lastColumn="0" w:oddVBand="0" w:evenVBand="0" w:oddHBand="1" w:evenHBand="0" w:firstRowFirstColumn="0" w:firstRowLastColumn="0" w:lastRowFirstColumn="0" w:lastRowLastColumn="0"/>
              <w:rPr>
                <w:rFonts w:eastAsia="Arial" w:cs="Arial"/>
              </w:rPr>
            </w:pPr>
            <w:r w:rsidRPr="000957F4">
              <w:rPr>
                <w:rFonts w:eastAsia="Arial" w:cs="Arial"/>
              </w:rPr>
              <w:t>Apoyar la administración de los suministros de papelería que requiera la dependencia.</w:t>
            </w:r>
          </w:p>
        </w:tc>
        <w:tc>
          <w:tcPr>
            <w:tcW w:w="1893" w:type="dxa"/>
            <w:vAlign w:val="center"/>
          </w:tcPr>
          <w:p w14:paraId="356750AC" w14:textId="77777777" w:rsidR="0073053D" w:rsidRPr="000957F4" w:rsidRDefault="0073053D"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0"/>
                <w:szCs w:val="20"/>
              </w:rPr>
            </w:pPr>
            <w:r w:rsidRPr="000957F4">
              <w:rPr>
                <w:rFonts w:eastAsia="Arial" w:cs="Arial"/>
                <w:b/>
                <w:sz w:val="20"/>
                <w:szCs w:val="20"/>
              </w:rPr>
              <w:t>Observatorio Inmobiliario</w:t>
            </w:r>
          </w:p>
        </w:tc>
      </w:tr>
    </w:tbl>
    <w:p w14:paraId="2AE06F7E" w14:textId="1D8FBB91" w:rsidR="00EE777A" w:rsidRPr="00EE777A" w:rsidRDefault="00EE777A" w:rsidP="00A93FC3">
      <w:pPr>
        <w:jc w:val="center"/>
        <w:rPr>
          <w:rFonts w:eastAsia="Arial" w:cs="Arial"/>
          <w:b/>
          <w:bCs/>
          <w:sz w:val="18"/>
          <w:szCs w:val="22"/>
          <w:lang w:val="es"/>
        </w:rPr>
      </w:pPr>
      <w:r w:rsidRPr="00EE777A">
        <w:rPr>
          <w:rFonts w:eastAsia="Arial" w:cs="Arial"/>
          <w:b/>
          <w:bCs/>
          <w:sz w:val="18"/>
          <w:szCs w:val="22"/>
          <w:lang w:val="es"/>
        </w:rPr>
        <w:t>Fuente: Dirección de Investigación y Prospectiva</w:t>
      </w:r>
    </w:p>
    <w:p w14:paraId="53D16F80" w14:textId="77777777" w:rsidR="0050481C" w:rsidRPr="0050481C" w:rsidRDefault="0050481C" w:rsidP="00C72779">
      <w:pPr>
        <w:pStyle w:val="Lista"/>
      </w:pPr>
    </w:p>
    <w:p w14:paraId="127716A9" w14:textId="791A207C" w:rsidR="007957A6" w:rsidRPr="007957A6" w:rsidRDefault="000B3885" w:rsidP="000A20EE">
      <w:pPr>
        <w:pStyle w:val="Prrafodelista"/>
        <w:numPr>
          <w:ilvl w:val="2"/>
          <w:numId w:val="23"/>
        </w:numPr>
        <w:rPr>
          <w:b/>
          <w:bCs/>
          <w:sz w:val="22"/>
          <w:szCs w:val="22"/>
        </w:rPr>
      </w:pPr>
      <w:r w:rsidRPr="002D2F11">
        <w:rPr>
          <w:b/>
          <w:bCs/>
          <w:sz w:val="22"/>
          <w:szCs w:val="22"/>
        </w:rPr>
        <w:t xml:space="preserve">PROCESOS A CARGO </w:t>
      </w:r>
    </w:p>
    <w:p w14:paraId="7A97078F" w14:textId="77777777" w:rsidR="008A10AE" w:rsidRDefault="008A10AE" w:rsidP="00C72779">
      <w:pPr>
        <w:ind w:left="180"/>
        <w:rPr>
          <w:rFonts w:eastAsia="Arial" w:cs="Arial"/>
          <w:sz w:val="22"/>
          <w:szCs w:val="22"/>
          <w:lang w:val="es-MX" w:eastAsia="en-US"/>
        </w:rPr>
      </w:pPr>
    </w:p>
    <w:p w14:paraId="469B4801" w14:textId="158C77C1" w:rsidR="008A10AE" w:rsidRDefault="008A10AE" w:rsidP="00C72779">
      <w:pPr>
        <w:ind w:left="180"/>
        <w:jc w:val="both"/>
        <w:rPr>
          <w:rFonts w:eastAsia="Arial" w:cs="Arial"/>
          <w:sz w:val="22"/>
          <w:szCs w:val="22"/>
          <w:lang w:val="es" w:eastAsia="en-US"/>
        </w:rPr>
      </w:pPr>
      <w:r w:rsidRPr="008A10AE">
        <w:rPr>
          <w:rFonts w:eastAsia="Arial" w:cs="Arial"/>
          <w:sz w:val="22"/>
          <w:szCs w:val="22"/>
          <w:lang w:val="es-MX" w:eastAsia="en-US"/>
        </w:rPr>
        <w:t>La Dirección de Investigación y Prospectiva tiene a cargo el proceso de “Innovación y gestión del conocimiento aplicado”, así mismo, l</w:t>
      </w:r>
      <w:r w:rsidRPr="008A10AE">
        <w:rPr>
          <w:rFonts w:eastAsia="Arial" w:cs="Arial"/>
          <w:sz w:val="22"/>
          <w:szCs w:val="22"/>
          <w:lang w:val="es" w:eastAsia="en-US"/>
        </w:rPr>
        <w:t xml:space="preserve">os subprocesos que se encuentran bajo la responsabilidad de la Dependencia son:  </w:t>
      </w:r>
    </w:p>
    <w:p w14:paraId="48DAE681" w14:textId="7D946388" w:rsidR="007957A6" w:rsidRPr="00A93FC3" w:rsidRDefault="007957A6" w:rsidP="00A93FC3">
      <w:pPr>
        <w:ind w:left="180"/>
        <w:jc w:val="center"/>
        <w:rPr>
          <w:rFonts w:cs="Arial"/>
          <w:b/>
          <w:bCs/>
          <w:color w:val="000000" w:themeColor="text1"/>
          <w:sz w:val="20"/>
          <w:szCs w:val="22"/>
        </w:rPr>
      </w:pPr>
    </w:p>
    <w:p w14:paraId="40BB5264" w14:textId="27BA3F56" w:rsidR="00A93FC3" w:rsidRPr="00A93FC3" w:rsidRDefault="00A93FC3" w:rsidP="00A93FC3">
      <w:pPr>
        <w:pStyle w:val="Descripcin"/>
        <w:jc w:val="center"/>
        <w:rPr>
          <w:rFonts w:ascii="Arial" w:hAnsi="Arial" w:cs="Arial"/>
          <w:b/>
          <w:bCs/>
          <w:i w:val="0"/>
          <w:color w:val="000000" w:themeColor="text1"/>
          <w:sz w:val="20"/>
          <w:szCs w:val="22"/>
        </w:rPr>
      </w:pPr>
      <w:bookmarkStart w:id="128" w:name="_Toc88677196"/>
      <w:r w:rsidRPr="00A93FC3">
        <w:rPr>
          <w:rFonts w:ascii="Arial" w:hAnsi="Arial" w:cs="Arial"/>
          <w:b/>
          <w:i w:val="0"/>
          <w:color w:val="000000" w:themeColor="text1"/>
          <w:sz w:val="16"/>
        </w:rPr>
        <w:t xml:space="preserve">Ilustración </w:t>
      </w:r>
      <w:r w:rsidRPr="00A93FC3">
        <w:rPr>
          <w:rFonts w:ascii="Arial" w:hAnsi="Arial" w:cs="Arial"/>
          <w:b/>
          <w:i w:val="0"/>
          <w:color w:val="000000" w:themeColor="text1"/>
          <w:sz w:val="16"/>
        </w:rPr>
        <w:fldChar w:fldCharType="begin"/>
      </w:r>
      <w:r w:rsidRPr="00A93FC3">
        <w:rPr>
          <w:rFonts w:ascii="Arial" w:hAnsi="Arial" w:cs="Arial"/>
          <w:b/>
          <w:i w:val="0"/>
          <w:color w:val="000000" w:themeColor="text1"/>
          <w:sz w:val="16"/>
        </w:rPr>
        <w:instrText xml:space="preserve"> SEQ Ilustración \* ARABIC </w:instrText>
      </w:r>
      <w:r w:rsidRPr="00A93FC3">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40</w:t>
      </w:r>
      <w:r w:rsidRPr="00A93FC3">
        <w:rPr>
          <w:rFonts w:ascii="Arial" w:hAnsi="Arial" w:cs="Arial"/>
          <w:b/>
          <w:i w:val="0"/>
          <w:color w:val="000000" w:themeColor="text1"/>
          <w:sz w:val="16"/>
        </w:rPr>
        <w:fldChar w:fldCharType="end"/>
      </w:r>
      <w:r w:rsidRPr="00A93FC3">
        <w:rPr>
          <w:rFonts w:ascii="Arial" w:hAnsi="Arial" w:cs="Arial"/>
          <w:b/>
          <w:i w:val="0"/>
          <w:color w:val="000000" w:themeColor="text1"/>
          <w:sz w:val="16"/>
        </w:rPr>
        <w:t>. Subprocesos</w:t>
      </w:r>
      <w:bookmarkEnd w:id="128"/>
    </w:p>
    <w:p w14:paraId="4E261D90" w14:textId="77777777" w:rsidR="008A10AE" w:rsidRPr="00DA728C" w:rsidRDefault="008A10AE" w:rsidP="00C72779">
      <w:pPr>
        <w:jc w:val="center"/>
        <w:rPr>
          <w:rFonts w:asciiTheme="minorHAnsi" w:eastAsiaTheme="minorEastAsia" w:hAnsiTheme="minorHAnsi" w:cstheme="minorBidi"/>
          <w:sz w:val="22"/>
          <w:szCs w:val="22"/>
          <w:lang w:val="es" w:eastAsia="en-US"/>
        </w:rPr>
      </w:pPr>
      <w:r w:rsidRPr="00DA728C">
        <w:rPr>
          <w:noProof/>
          <w:sz w:val="22"/>
          <w:szCs w:val="22"/>
          <w:lang w:val="es-CO" w:eastAsia="es-CO"/>
        </w:rPr>
        <w:drawing>
          <wp:inline distT="0" distB="0" distL="0" distR="0" wp14:anchorId="430E047B" wp14:editId="67660DA4">
            <wp:extent cx="4294579" cy="1216855"/>
            <wp:effectExtent l="0" t="0" r="0" b="2540"/>
            <wp:docPr id="7541265" name="Imagen 984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84132"/>
                    <pic:cNvPicPr/>
                  </pic:nvPicPr>
                  <pic:blipFill rotWithShape="1">
                    <a:blip r:embed="rId97">
                      <a:extLst>
                        <a:ext uri="{28A0092B-C50C-407E-A947-70E740481C1C}">
                          <a14:useLocalDpi xmlns:a14="http://schemas.microsoft.com/office/drawing/2010/main" val="0"/>
                        </a:ext>
                      </a:extLst>
                    </a:blip>
                    <a:srcRect t="23942" b="7015"/>
                    <a:stretch/>
                  </pic:blipFill>
                  <pic:spPr bwMode="auto">
                    <a:xfrm>
                      <a:off x="0" y="0"/>
                      <a:ext cx="4307589" cy="1220541"/>
                    </a:xfrm>
                    <a:prstGeom prst="rect">
                      <a:avLst/>
                    </a:prstGeom>
                    <a:ln>
                      <a:noFill/>
                    </a:ln>
                    <a:extLst>
                      <a:ext uri="{53640926-AAD7-44D8-BBD7-CCE9431645EC}">
                        <a14:shadowObscured xmlns:a14="http://schemas.microsoft.com/office/drawing/2010/main"/>
                      </a:ext>
                    </a:extLst>
                  </pic:spPr>
                </pic:pic>
              </a:graphicData>
            </a:graphic>
          </wp:inline>
        </w:drawing>
      </w:r>
    </w:p>
    <w:p w14:paraId="2AA8C418" w14:textId="77777777" w:rsidR="00EE777A" w:rsidRPr="00EE777A" w:rsidRDefault="00EE777A" w:rsidP="00C72779">
      <w:pPr>
        <w:jc w:val="center"/>
        <w:rPr>
          <w:rFonts w:eastAsia="Arial" w:cs="Arial"/>
          <w:b/>
          <w:sz w:val="18"/>
          <w:szCs w:val="22"/>
          <w:lang w:val="es"/>
        </w:rPr>
      </w:pPr>
      <w:r w:rsidRPr="00EE777A">
        <w:rPr>
          <w:rFonts w:eastAsia="Arial" w:cs="Arial"/>
          <w:b/>
          <w:sz w:val="18"/>
          <w:szCs w:val="22"/>
          <w:lang w:val="es"/>
        </w:rPr>
        <w:t xml:space="preserve">Fuente: Dirección de Investigación y Prospectiva </w:t>
      </w:r>
    </w:p>
    <w:p w14:paraId="3535C53B" w14:textId="77777777" w:rsidR="008A10AE" w:rsidRPr="00DA728C" w:rsidRDefault="008A10AE" w:rsidP="00C72779">
      <w:pPr>
        <w:rPr>
          <w:sz w:val="22"/>
          <w:szCs w:val="22"/>
        </w:rPr>
      </w:pPr>
    </w:p>
    <w:p w14:paraId="07BD5250" w14:textId="235B5175" w:rsidR="00DC2B66" w:rsidRPr="007957A6" w:rsidRDefault="008A10AE" w:rsidP="000A20EE">
      <w:pPr>
        <w:pStyle w:val="Prrafodelista"/>
        <w:numPr>
          <w:ilvl w:val="0"/>
          <w:numId w:val="74"/>
        </w:numPr>
        <w:suppressAutoHyphens w:val="0"/>
        <w:overflowPunct/>
        <w:autoSpaceDE/>
        <w:spacing w:after="160"/>
        <w:contextualSpacing/>
        <w:textAlignment w:val="auto"/>
        <w:rPr>
          <w:rFonts w:eastAsia="Arial" w:cs="Arial"/>
          <w:sz w:val="22"/>
          <w:szCs w:val="22"/>
          <w:lang w:val="es"/>
        </w:rPr>
      </w:pPr>
      <w:r w:rsidRPr="00DA728C">
        <w:rPr>
          <w:rFonts w:eastAsia="Arial" w:cs="Arial"/>
          <w:b/>
          <w:bCs/>
          <w:sz w:val="22"/>
          <w:szCs w:val="22"/>
          <w:lang w:val="es"/>
        </w:rPr>
        <w:t>Investigación e Innovación:</w:t>
      </w:r>
      <w:r w:rsidRPr="00DA728C">
        <w:rPr>
          <w:rFonts w:eastAsia="Arial" w:cs="Arial"/>
          <w:sz w:val="22"/>
          <w:szCs w:val="22"/>
          <w:lang w:val="es"/>
        </w:rPr>
        <w:t xml:space="preserve"> Dirigir y llevar a cabo proyectos de investigación, desarrollo e innovación que permitan la gestión del conocimiento geográfico y el uso de tecnologías geoespaciales, emergentes y colaborativas, en beneficio de los procesos misionales y en contribución con  organismos e instancias técnico-científicos nacionales e internacionales de acuerdo con el Sistema Nacional de Ciencias e Innovación y los lineamientos establecidos por  la Entidad y  El Ministerio de Ciencia, Tecnología e Innovación.</w:t>
      </w:r>
    </w:p>
    <w:p w14:paraId="2600FF71" w14:textId="59983797" w:rsidR="00DC2B66" w:rsidRPr="007957A6" w:rsidRDefault="008A10AE" w:rsidP="000A20EE">
      <w:pPr>
        <w:pStyle w:val="Prrafodelista"/>
        <w:numPr>
          <w:ilvl w:val="0"/>
          <w:numId w:val="74"/>
        </w:numPr>
        <w:suppressAutoHyphens w:val="0"/>
        <w:overflowPunct/>
        <w:autoSpaceDE/>
        <w:spacing w:after="160"/>
        <w:contextualSpacing/>
        <w:textAlignment w:val="auto"/>
        <w:rPr>
          <w:rFonts w:eastAsia="Arial" w:cs="Arial"/>
          <w:sz w:val="22"/>
          <w:szCs w:val="22"/>
          <w:lang w:val="es"/>
        </w:rPr>
      </w:pPr>
      <w:r w:rsidRPr="00DA728C">
        <w:rPr>
          <w:rFonts w:eastAsia="Arial" w:cs="Arial"/>
          <w:b/>
          <w:sz w:val="22"/>
          <w:szCs w:val="22"/>
          <w:lang w:val="es"/>
        </w:rPr>
        <w:t>Estudios y Aplicaciones TIG.</w:t>
      </w:r>
      <w:r w:rsidRPr="00DA728C">
        <w:rPr>
          <w:rFonts w:eastAsia="Arial" w:cs="Arial"/>
          <w:color w:val="FFFFFF" w:themeColor="background1"/>
          <w:sz w:val="22"/>
          <w:szCs w:val="22"/>
          <w:lang w:val="es"/>
        </w:rPr>
        <w:t xml:space="preserve"> </w:t>
      </w:r>
      <w:r w:rsidRPr="00DA728C">
        <w:rPr>
          <w:rFonts w:eastAsia="Arial" w:cs="Arial"/>
          <w:sz w:val="22"/>
          <w:szCs w:val="22"/>
          <w:lang w:val="es"/>
        </w:rPr>
        <w:t xml:space="preserve">Formular y ejecutar estudios y aplicaciones en Tecnologías de la Información Geográfica – TIG, que permitan el aprovechamiento de la información catastral, geográfica, agrológica, datos de observación de la tierra y otras </w:t>
      </w:r>
      <w:r w:rsidRPr="00DA728C">
        <w:rPr>
          <w:rFonts w:eastAsia="Arial" w:cs="Arial"/>
          <w:sz w:val="22"/>
          <w:szCs w:val="22"/>
          <w:lang w:val="es"/>
        </w:rPr>
        <w:lastRenderedPageBreak/>
        <w:t>fuentes para generar información que facilite la toma de decisiones y el apoyo a procesos de planificación para el desarrollo territorial sostenible atendiendo los requerimientos de usuarios internos y externos.</w:t>
      </w:r>
    </w:p>
    <w:p w14:paraId="3334ED17" w14:textId="5913424A" w:rsidR="00DC2B66" w:rsidRPr="007957A6" w:rsidRDefault="008A10AE" w:rsidP="000A20EE">
      <w:pPr>
        <w:pStyle w:val="Prrafodelista"/>
        <w:numPr>
          <w:ilvl w:val="0"/>
          <w:numId w:val="74"/>
        </w:numPr>
        <w:suppressAutoHyphens w:val="0"/>
        <w:overflowPunct/>
        <w:autoSpaceDE/>
        <w:spacing w:after="160"/>
        <w:contextualSpacing/>
        <w:textAlignment w:val="auto"/>
        <w:rPr>
          <w:rFonts w:eastAsia="Arial" w:cs="Arial"/>
          <w:sz w:val="22"/>
          <w:szCs w:val="22"/>
          <w:lang w:val="es"/>
        </w:rPr>
      </w:pPr>
      <w:r w:rsidRPr="00DA728C">
        <w:rPr>
          <w:rFonts w:eastAsia="Arial" w:cs="Arial"/>
          <w:b/>
          <w:sz w:val="22"/>
          <w:szCs w:val="22"/>
          <w:lang w:val="es"/>
        </w:rPr>
        <w:t xml:space="preserve">Prospectiva. </w:t>
      </w:r>
      <w:r w:rsidRPr="00DA728C">
        <w:rPr>
          <w:rFonts w:eastAsia="Arial" w:cs="Arial"/>
          <w:sz w:val="22"/>
          <w:szCs w:val="22"/>
          <w:lang w:val="es"/>
        </w:rPr>
        <w:t>Identificar potenciales escenarios futuros que contribuyan al fortalecimiento del instituto y del país por medio de la formulación y ejecución de estudios e investigaciones aplicadas, empleando diferentes metodologías, técnicas y  ciencia de datos, que permitan mejorar la competitividad, el aprovechamiento de la información catastral, geográfica, agrológica, datos de observación de la tierra y otras fuentes , generando información como apoyo a procesos de planificación para el desarrollo territorial sostenible de acuerdo con los lineamientos establecidos por la Dirección General.</w:t>
      </w:r>
    </w:p>
    <w:p w14:paraId="5BBB7F43" w14:textId="77777777" w:rsidR="008A10AE" w:rsidRPr="00DA728C" w:rsidRDefault="008A10AE" w:rsidP="000A20EE">
      <w:pPr>
        <w:pStyle w:val="Prrafodelista"/>
        <w:numPr>
          <w:ilvl w:val="0"/>
          <w:numId w:val="74"/>
        </w:numPr>
        <w:suppressAutoHyphens w:val="0"/>
        <w:overflowPunct/>
        <w:autoSpaceDE/>
        <w:spacing w:after="160"/>
        <w:contextualSpacing/>
        <w:textAlignment w:val="auto"/>
        <w:rPr>
          <w:rFonts w:eastAsia="Arial" w:cs="Arial"/>
          <w:sz w:val="22"/>
          <w:szCs w:val="22"/>
          <w:lang w:val="es"/>
        </w:rPr>
      </w:pPr>
      <w:r w:rsidRPr="00DA728C">
        <w:rPr>
          <w:rFonts w:eastAsia="Arial" w:cs="Arial"/>
          <w:b/>
          <w:bCs/>
          <w:sz w:val="22"/>
          <w:szCs w:val="22"/>
          <w:lang w:val="es"/>
        </w:rPr>
        <w:t xml:space="preserve">Dinámica Inmobiliaria. </w:t>
      </w:r>
      <w:r w:rsidRPr="00DA728C">
        <w:rPr>
          <w:rFonts w:eastAsia="Arial" w:cs="Arial"/>
          <w:sz w:val="22"/>
          <w:szCs w:val="22"/>
          <w:lang w:val="es"/>
        </w:rPr>
        <w:t>Realizar la identificación, recopilación, gestión, integración y disposición de información, así como la construcción de modelos que contribuyan a la determinación del valor de los inmuebles en la gestión catastral multipropósito e investigar el mercado y la dinámica inmobiliaria del país facilitando la toma de decisiones y los procesos de planificación territorial.</w:t>
      </w:r>
    </w:p>
    <w:p w14:paraId="7E53993C" w14:textId="77777777" w:rsidR="008A10AE" w:rsidRPr="008A10AE" w:rsidRDefault="008A10AE" w:rsidP="00C72779">
      <w:pPr>
        <w:pStyle w:val="Lista"/>
      </w:pPr>
    </w:p>
    <w:p w14:paraId="6630A975" w14:textId="53DAF6C4" w:rsidR="00AF1FCC" w:rsidRPr="00AF1FCC" w:rsidRDefault="003D1D50" w:rsidP="00AF1FCC">
      <w:pPr>
        <w:pStyle w:val="Prrafodelista"/>
        <w:numPr>
          <w:ilvl w:val="2"/>
          <w:numId w:val="23"/>
        </w:numPr>
        <w:rPr>
          <w:b/>
          <w:sz w:val="22"/>
        </w:rPr>
      </w:pPr>
      <w:r w:rsidRPr="00AF1FCC">
        <w:rPr>
          <w:b/>
          <w:sz w:val="22"/>
        </w:rPr>
        <w:t>RESULTADOS Y LOGROS</w:t>
      </w:r>
    </w:p>
    <w:p w14:paraId="7ED2CF6E" w14:textId="15047096" w:rsidR="00FE17E7" w:rsidRPr="00C07EF6" w:rsidRDefault="00FE17E7" w:rsidP="00C72779">
      <w:pPr>
        <w:jc w:val="both"/>
        <w:rPr>
          <w:rFonts w:eastAsia="Arial" w:cs="Arial"/>
          <w:sz w:val="22"/>
          <w:szCs w:val="22"/>
          <w:lang w:val="es"/>
        </w:rPr>
      </w:pPr>
    </w:p>
    <w:p w14:paraId="786C9922" w14:textId="77777777" w:rsidR="00FE17E7" w:rsidRPr="00C07EF6" w:rsidRDefault="00FE17E7" w:rsidP="00C72779">
      <w:pPr>
        <w:jc w:val="both"/>
        <w:rPr>
          <w:rFonts w:eastAsia="Arial" w:cs="Arial"/>
          <w:sz w:val="22"/>
          <w:szCs w:val="22"/>
          <w:lang w:val="es"/>
        </w:rPr>
      </w:pPr>
      <w:r w:rsidRPr="00C07EF6">
        <w:rPr>
          <w:rFonts w:eastAsia="Arial" w:cs="Arial"/>
          <w:sz w:val="22"/>
          <w:szCs w:val="22"/>
          <w:lang w:val="es"/>
        </w:rPr>
        <w:t>Los resultados y logros obtenidos son presentados por cada una de las líneas de acción bajo la cual se desarrolló el proceso de gestión de la dependencia en función tanto de las metas establecidas como de los recursos asignados, los principales logros obtenidos son:</w:t>
      </w:r>
    </w:p>
    <w:p w14:paraId="793B9606" w14:textId="77777777" w:rsidR="00FE17E7" w:rsidRPr="00C07EF6" w:rsidRDefault="00FE17E7" w:rsidP="00C72779">
      <w:pPr>
        <w:jc w:val="center"/>
        <w:rPr>
          <w:rFonts w:eastAsia="Arial" w:cs="Arial"/>
          <w:b/>
          <w:bCs/>
          <w:sz w:val="22"/>
          <w:szCs w:val="22"/>
          <w:lang w:val="es"/>
        </w:rPr>
      </w:pPr>
    </w:p>
    <w:p w14:paraId="7DF75AF0" w14:textId="4E8B3636" w:rsidR="00FE17E7" w:rsidRPr="00AF1FCC" w:rsidRDefault="00FE17E7" w:rsidP="00AF1FCC">
      <w:pPr>
        <w:rPr>
          <w:rFonts w:eastAsia="Arial"/>
          <w:b/>
          <w:sz w:val="22"/>
          <w:lang w:val="es"/>
        </w:rPr>
      </w:pPr>
      <w:bookmarkStart w:id="129" w:name="_Toc87622110"/>
      <w:r w:rsidRPr="00AF1FCC">
        <w:rPr>
          <w:rFonts w:eastAsia="Arial"/>
          <w:b/>
          <w:sz w:val="22"/>
          <w:lang w:val="es"/>
        </w:rPr>
        <w:t>PROYECTOS DE INVESTIGACIÓN, DESARROLLO E INNOVACIÓN</w:t>
      </w:r>
      <w:bookmarkEnd w:id="129"/>
    </w:p>
    <w:p w14:paraId="4DAB9E24" w14:textId="77777777" w:rsidR="00EE777A" w:rsidRPr="00EE777A" w:rsidRDefault="00EE777A" w:rsidP="00C72779">
      <w:pPr>
        <w:rPr>
          <w:lang w:val="es"/>
        </w:rPr>
      </w:pPr>
    </w:p>
    <w:p w14:paraId="1568A5A5" w14:textId="77777777" w:rsidR="00FE17E7" w:rsidRPr="00C07EF6" w:rsidRDefault="00FE17E7" w:rsidP="00C72779">
      <w:pPr>
        <w:jc w:val="both"/>
        <w:rPr>
          <w:rFonts w:eastAsia="Arial" w:cs="Arial"/>
          <w:sz w:val="22"/>
          <w:szCs w:val="22"/>
          <w:lang w:val="es"/>
        </w:rPr>
      </w:pPr>
      <w:r w:rsidRPr="00C07EF6">
        <w:rPr>
          <w:rFonts w:eastAsia="Arial" w:cs="Arial"/>
          <w:sz w:val="22"/>
          <w:szCs w:val="22"/>
          <w:lang w:val="es"/>
        </w:rPr>
        <w:t xml:space="preserve">Con relación al desarrollo de proyectos de investigación y procedimientos innovadores para el uso y aplicación de las tecnologías de la Información Geográfica, se realizaron veinte (20) proyectos. A continuación, se relacionan los nombres de las metodologías obtenidas como resultado: </w:t>
      </w:r>
    </w:p>
    <w:p w14:paraId="6AA7798A" w14:textId="77777777" w:rsidR="00FE17E7" w:rsidRPr="00C07EF6" w:rsidRDefault="00FE17E7" w:rsidP="00C72779">
      <w:pPr>
        <w:jc w:val="both"/>
        <w:rPr>
          <w:rFonts w:eastAsia="Arial" w:cs="Arial"/>
          <w:sz w:val="22"/>
          <w:szCs w:val="22"/>
          <w:lang w:val="es"/>
        </w:rPr>
      </w:pPr>
    </w:p>
    <w:p w14:paraId="35EE91BA"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para el análisis y extracción de información de imágenes satelitales en la nube por medio de Google Earth Engine.</w:t>
      </w:r>
    </w:p>
    <w:p w14:paraId="1C596A4F"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sz w:val="22"/>
          <w:szCs w:val="22"/>
          <w:lang w:val="es"/>
        </w:rPr>
      </w:pPr>
      <w:r w:rsidRPr="00C07EF6">
        <w:rPr>
          <w:rFonts w:eastAsia="Arial" w:cs="Arial"/>
          <w:sz w:val="22"/>
          <w:szCs w:val="22"/>
          <w:lang w:val="es"/>
        </w:rPr>
        <w:t>Metodología de procesamiento de imágenes ópticas y Radar Sentinel 1 y 2 para la identificación de zonas de manglar.</w:t>
      </w:r>
    </w:p>
    <w:p w14:paraId="2D501518"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sz w:val="22"/>
          <w:szCs w:val="22"/>
          <w:lang w:val="es"/>
        </w:rPr>
      </w:pPr>
      <w:r w:rsidRPr="00C07EF6">
        <w:rPr>
          <w:rFonts w:eastAsia="Arial" w:cs="Arial"/>
          <w:sz w:val="22"/>
          <w:szCs w:val="22"/>
          <w:lang w:val="es"/>
        </w:rPr>
        <w:t>Metodología para el monitoreo y seguimiento de los cambios en los ecosistemas marino-costeros colombianos.</w:t>
      </w:r>
    </w:p>
    <w:p w14:paraId="7445FCA0"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sz w:val="22"/>
          <w:szCs w:val="22"/>
          <w:lang w:val="es"/>
        </w:rPr>
      </w:pPr>
      <w:r w:rsidRPr="00C07EF6">
        <w:rPr>
          <w:rFonts w:eastAsia="Arial" w:cs="Arial"/>
          <w:sz w:val="22"/>
          <w:szCs w:val="22"/>
          <w:lang w:val="es"/>
        </w:rPr>
        <w:t>Metodología para proveer herramientas tecnológicas que apoyen la gestión de la amenaza de incendios y la protección del medio ambiente, las personas y su infraestructura.</w:t>
      </w:r>
    </w:p>
    <w:p w14:paraId="3BF98E32"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Theme="minorEastAsia"/>
          <w:sz w:val="22"/>
          <w:szCs w:val="22"/>
          <w:lang w:val="es"/>
        </w:rPr>
      </w:pPr>
      <w:r w:rsidRPr="00C07EF6">
        <w:rPr>
          <w:rFonts w:eastAsia="Arial" w:cs="Arial"/>
          <w:sz w:val="22"/>
          <w:szCs w:val="22"/>
          <w:lang w:val="es"/>
        </w:rPr>
        <w:t xml:space="preserve">Metodología para la “Obtención de información vectorial para escalas pequeñas usando algoritmos de aprendizaje de máquina y procesamiento en la nube caso de estudio: municipio de Cumaribo, Vichada”. </w:t>
      </w:r>
    </w:p>
    <w:p w14:paraId="6FD0E89B"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para evaluar la clasificación de imágenes basada en objetos para la generación de cartografía básica a escalas detalladas (1:10.000).</w:t>
      </w:r>
    </w:p>
    <w:p w14:paraId="3C787759"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 xml:space="preserve">Metodología para evaluación y propuesta metodológica para la generación de ortofotomosaicos (Comixta Perú). </w:t>
      </w:r>
    </w:p>
    <w:p w14:paraId="748760AE"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para la “obtención de vectores de coberturas usando GOOGLE ENGINE”.</w:t>
      </w:r>
    </w:p>
    <w:p w14:paraId="0894DAC4"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Theme="minorEastAsia"/>
          <w:sz w:val="22"/>
          <w:szCs w:val="22"/>
          <w:lang w:val="es"/>
        </w:rPr>
      </w:pPr>
      <w:r w:rsidRPr="00C07EF6">
        <w:rPr>
          <w:rFonts w:eastAsia="Arial" w:cs="Arial"/>
          <w:sz w:val="22"/>
          <w:szCs w:val="22"/>
          <w:lang w:val="es"/>
        </w:rPr>
        <w:t>Metodología para el “Postproceso de datos GNSS – INS".</w:t>
      </w:r>
    </w:p>
    <w:p w14:paraId="519945E1"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Theme="minorEastAsia"/>
          <w:sz w:val="22"/>
          <w:szCs w:val="22"/>
          <w:lang w:val="es"/>
        </w:rPr>
      </w:pPr>
      <w:r w:rsidRPr="00C07EF6">
        <w:rPr>
          <w:rFonts w:eastAsia="Arial" w:cs="Arial"/>
          <w:sz w:val="22"/>
          <w:szCs w:val="22"/>
          <w:lang w:val="es"/>
        </w:rPr>
        <w:lastRenderedPageBreak/>
        <w:t>Metodológica para la evaluación de exactitud temática de la cartografía geomorfológica y de cobertura de la tierra generada por la Subdirección de Agrología del IGAC.</w:t>
      </w:r>
    </w:p>
    <w:p w14:paraId="001A96D1"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ascii="Calibri" w:eastAsia="Calibri" w:hAnsi="Calibri" w:cs="Calibri"/>
          <w:sz w:val="22"/>
          <w:szCs w:val="22"/>
          <w:lang w:val="es"/>
        </w:rPr>
      </w:pPr>
      <w:r w:rsidRPr="00C07EF6">
        <w:rPr>
          <w:rFonts w:eastAsia="Arial" w:cs="Arial"/>
          <w:sz w:val="22"/>
          <w:szCs w:val="22"/>
          <w:lang w:val="es"/>
        </w:rPr>
        <w:t>Metodología de Mapeo Digital de Suelos, con base en el aprendizaje maquinas en tres variables de importancia (pH, gran grupo y familia textural) en un área prioritaria para la política de tierras en los departamentos de Cesar/Magdalena.</w:t>
      </w:r>
    </w:p>
    <w:p w14:paraId="17188DBF"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Theme="minorEastAsia"/>
          <w:sz w:val="22"/>
          <w:szCs w:val="22"/>
          <w:lang w:val="es"/>
        </w:rPr>
      </w:pPr>
      <w:r w:rsidRPr="00C07EF6">
        <w:rPr>
          <w:rFonts w:eastAsia="Arial" w:cs="Arial"/>
          <w:sz w:val="22"/>
          <w:szCs w:val="22"/>
          <w:lang w:val="es"/>
        </w:rPr>
        <w:t>Metodología para el proceso automatizado para la identificación y captura de construcciones y su cambio a través del tiempo en ámbitos rurales y límites del perímetro urbano municipal a escala 1:10000 empleando la infraestructura del Google Earth Engine.</w:t>
      </w:r>
    </w:p>
    <w:p w14:paraId="2402863F"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sz w:val="22"/>
          <w:szCs w:val="22"/>
          <w:lang w:val="es"/>
        </w:rPr>
      </w:pPr>
      <w:r w:rsidRPr="00C07EF6">
        <w:rPr>
          <w:rFonts w:eastAsia="Arial" w:cs="Arial"/>
          <w:sz w:val="22"/>
          <w:szCs w:val="22"/>
          <w:lang w:val="es"/>
        </w:rPr>
        <w:t>Metodología para la obtención de información inmobiliaria de fuentes alternativas</w:t>
      </w:r>
    </w:p>
    <w:p w14:paraId="0FE4E707"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sz w:val="22"/>
          <w:szCs w:val="22"/>
          <w:lang w:val="es"/>
        </w:rPr>
      </w:pPr>
      <w:r w:rsidRPr="00C07EF6">
        <w:rPr>
          <w:rFonts w:eastAsia="Arial" w:cs="Arial"/>
          <w:sz w:val="22"/>
          <w:szCs w:val="22"/>
          <w:lang w:val="es"/>
        </w:rPr>
        <w:t>Metodología para la “Detección de cambios (área construida - área no construida en dos fechas distintas y comparar) mediante GOOGLE ENGINE”.</w:t>
      </w:r>
    </w:p>
    <w:p w14:paraId="5B7FAFD0"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“Deep learning aplicado a la identificación de tipología de construcción en el ámbito rural (DLTC)”.</w:t>
      </w:r>
    </w:p>
    <w:p w14:paraId="4C88A836"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“Control de la calidad de la información primaria generada en los levantamientos de suelos”.</w:t>
      </w:r>
    </w:p>
    <w:p w14:paraId="31A9FDCE" w14:textId="77777777" w:rsidR="00FE17E7" w:rsidRPr="00C07EF6" w:rsidRDefault="00FE17E7" w:rsidP="000A20EE">
      <w:pPr>
        <w:pStyle w:val="Prrafodelista"/>
        <w:numPr>
          <w:ilvl w:val="0"/>
          <w:numId w:val="77"/>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Metodología "Teledetección, Espectroradiometría y Segmentación de Imágenes Multiespectrales a través de Autómatas Celulares” (</w:t>
      </w:r>
      <w:r w:rsidRPr="00C07EF6">
        <w:rPr>
          <w:rFonts w:eastAsia="Arial" w:cs="Arial"/>
          <w:i/>
          <w:iCs/>
          <w:sz w:val="22"/>
          <w:szCs w:val="22"/>
          <w:lang w:val="es"/>
        </w:rPr>
        <w:t>avance al 90%</w:t>
      </w:r>
      <w:r w:rsidRPr="00C07EF6">
        <w:rPr>
          <w:rFonts w:eastAsia="Arial" w:cs="Arial"/>
          <w:sz w:val="22"/>
          <w:szCs w:val="22"/>
          <w:lang w:val="es"/>
        </w:rPr>
        <w:t>).</w:t>
      </w:r>
    </w:p>
    <w:p w14:paraId="617A87AC" w14:textId="77777777" w:rsidR="00FE17E7" w:rsidRPr="00C07EF6" w:rsidRDefault="00FE17E7" w:rsidP="00C72779">
      <w:pPr>
        <w:jc w:val="both"/>
        <w:rPr>
          <w:sz w:val="22"/>
          <w:szCs w:val="22"/>
        </w:rPr>
      </w:pPr>
      <w:r w:rsidRPr="00C07EF6">
        <w:rPr>
          <w:rFonts w:eastAsia="Arial" w:cs="Arial"/>
          <w:sz w:val="22"/>
          <w:szCs w:val="22"/>
          <w:lang w:val="es"/>
        </w:rPr>
        <w:t>Por otra parte, en el contexto de la cooperación internacional y dando cumplimiento a las actas de acuerdo del país en el marco de las comixtas con los países de Perú, México y Argentina, se desarrollaron 3 proyectos de cooperación técnica internacional para el aprovechamiento de Tecnologías de la Información Geográfica, especialmente las de observación de la tierra, para el fortalecimiento de capacidades del Instituto y sus instituciones aliadas en la región. A continuación, se relacionan los nombres de los proyectos realizados.</w:t>
      </w:r>
    </w:p>
    <w:p w14:paraId="34B3C866" w14:textId="77777777" w:rsidR="00FE17E7" w:rsidRPr="00C07EF6" w:rsidRDefault="00FE17E7" w:rsidP="00C72779">
      <w:pPr>
        <w:rPr>
          <w:sz w:val="22"/>
          <w:szCs w:val="22"/>
        </w:rPr>
      </w:pPr>
      <w:r w:rsidRPr="00C07EF6">
        <w:rPr>
          <w:rFonts w:eastAsia="Arial" w:cs="Arial"/>
          <w:sz w:val="22"/>
          <w:szCs w:val="22"/>
          <w:lang w:val="es"/>
        </w:rPr>
        <w:t xml:space="preserve"> </w:t>
      </w:r>
    </w:p>
    <w:p w14:paraId="701BAEA5" w14:textId="77777777" w:rsidR="00FE17E7" w:rsidRPr="00C07EF6" w:rsidRDefault="00FE17E7" w:rsidP="000A20EE">
      <w:pPr>
        <w:pStyle w:val="Prrafodelista"/>
        <w:numPr>
          <w:ilvl w:val="0"/>
          <w:numId w:val="76"/>
        </w:numPr>
        <w:suppressAutoHyphens w:val="0"/>
        <w:overflowPunct/>
        <w:autoSpaceDE/>
        <w:spacing w:after="160"/>
        <w:contextualSpacing/>
        <w:textAlignment w:val="auto"/>
        <w:rPr>
          <w:rFonts w:eastAsiaTheme="minorEastAsia"/>
          <w:sz w:val="22"/>
          <w:szCs w:val="22"/>
        </w:rPr>
      </w:pPr>
      <w:r w:rsidRPr="00C07EF6">
        <w:rPr>
          <w:rFonts w:eastAsia="Arial" w:cs="Arial"/>
          <w:sz w:val="22"/>
          <w:szCs w:val="22"/>
          <w:lang w:val="es"/>
        </w:rPr>
        <w:t xml:space="preserve">Metodología para el </w:t>
      </w:r>
      <w:r w:rsidRPr="00C07EF6">
        <w:rPr>
          <w:rFonts w:eastAsia="Arial" w:cs="Arial"/>
          <w:i/>
          <w:iCs/>
          <w:sz w:val="22"/>
          <w:szCs w:val="22"/>
          <w:lang w:val="es"/>
        </w:rPr>
        <w:t>“</w:t>
      </w:r>
      <w:r w:rsidRPr="00C07EF6">
        <w:rPr>
          <w:rFonts w:eastAsia="Arial" w:cs="Arial"/>
          <w:sz w:val="22"/>
          <w:szCs w:val="22"/>
          <w:lang w:val="es"/>
        </w:rPr>
        <w:t>Fortalecimiento de sistemas de monitoreo de cambios en ecosistemas marino-costeros y de manglar” (Colombia - México).</w:t>
      </w:r>
    </w:p>
    <w:p w14:paraId="7107D59E" w14:textId="77777777" w:rsidR="00FE17E7" w:rsidRPr="00C07EF6" w:rsidRDefault="00FE17E7" w:rsidP="000A20EE">
      <w:pPr>
        <w:pStyle w:val="Prrafodelista"/>
        <w:numPr>
          <w:ilvl w:val="0"/>
          <w:numId w:val="76"/>
        </w:numPr>
        <w:suppressAutoHyphens w:val="0"/>
        <w:overflowPunct/>
        <w:autoSpaceDE/>
        <w:spacing w:after="160"/>
        <w:contextualSpacing/>
        <w:textAlignment w:val="auto"/>
        <w:rPr>
          <w:rFonts w:eastAsiaTheme="minorEastAsia"/>
          <w:sz w:val="22"/>
          <w:szCs w:val="22"/>
        </w:rPr>
      </w:pPr>
      <w:r w:rsidRPr="00C07EF6">
        <w:rPr>
          <w:rFonts w:eastAsia="Arial" w:cs="Arial"/>
          <w:sz w:val="22"/>
          <w:szCs w:val="22"/>
          <w:lang w:val="es"/>
        </w:rPr>
        <w:t>Metodología para “Proveer herramientas tecnológicas que apoyen la gestión de la amenaza de incendios y la protección del medio ambiente, las personas y su infraestructura” (Colombia – Argentina)</w:t>
      </w:r>
    </w:p>
    <w:p w14:paraId="549AFAF8" w14:textId="77777777" w:rsidR="00FE17E7" w:rsidRPr="00C07EF6" w:rsidRDefault="00FE17E7" w:rsidP="000A20EE">
      <w:pPr>
        <w:pStyle w:val="Prrafodelista"/>
        <w:numPr>
          <w:ilvl w:val="0"/>
          <w:numId w:val="76"/>
        </w:numPr>
        <w:suppressAutoHyphens w:val="0"/>
        <w:overflowPunct/>
        <w:autoSpaceDE/>
        <w:spacing w:after="160"/>
        <w:contextualSpacing/>
        <w:textAlignment w:val="auto"/>
        <w:rPr>
          <w:rFonts w:eastAsiaTheme="minorEastAsia"/>
          <w:sz w:val="22"/>
          <w:szCs w:val="22"/>
        </w:rPr>
      </w:pPr>
      <w:r w:rsidRPr="00C07EF6">
        <w:rPr>
          <w:rFonts w:eastAsia="Arial" w:cs="Arial"/>
          <w:sz w:val="22"/>
          <w:szCs w:val="22"/>
          <w:lang w:val="es"/>
        </w:rPr>
        <w:t>Metodología para la “Estimación de áreas afectadas por sequias con imágenes del sistema PerúSat-1 e información complementaria, para la gestión del riesgo de desastres” (Colombia - Perú).</w:t>
      </w:r>
    </w:p>
    <w:p w14:paraId="4833364E" w14:textId="03A9476D" w:rsidR="00FE17E7" w:rsidRDefault="00FE17E7" w:rsidP="00C72779">
      <w:pPr>
        <w:rPr>
          <w:rFonts w:eastAsia="Calibri"/>
          <w:sz w:val="22"/>
          <w:szCs w:val="22"/>
          <w:lang w:val="es"/>
        </w:rPr>
      </w:pPr>
      <w:r w:rsidRPr="00C07EF6">
        <w:rPr>
          <w:rFonts w:eastAsia="Calibri"/>
          <w:sz w:val="22"/>
          <w:szCs w:val="22"/>
          <w:lang w:val="es"/>
        </w:rPr>
        <w:t>En la siguiente tabla se presenta el resumen de la cantidad de proyectos desarrollados año a</w:t>
      </w:r>
      <w:r w:rsidR="00A93FC3">
        <w:rPr>
          <w:rFonts w:eastAsia="Calibri"/>
          <w:sz w:val="22"/>
          <w:szCs w:val="22"/>
          <w:lang w:val="es"/>
        </w:rPr>
        <w:t xml:space="preserve"> año para el periodo reportado.</w:t>
      </w:r>
    </w:p>
    <w:p w14:paraId="1025C76A" w14:textId="77777777" w:rsidR="00A93FC3" w:rsidRPr="006679CF" w:rsidRDefault="00A93FC3" w:rsidP="006679CF">
      <w:pPr>
        <w:jc w:val="center"/>
        <w:rPr>
          <w:rFonts w:eastAsia="Calibri" w:cs="Arial"/>
          <w:b/>
          <w:color w:val="000000" w:themeColor="text1"/>
          <w:sz w:val="20"/>
          <w:szCs w:val="22"/>
          <w:lang w:val="es"/>
        </w:rPr>
      </w:pPr>
    </w:p>
    <w:p w14:paraId="469F67EC" w14:textId="22CE78C4" w:rsidR="00EE777A" w:rsidRPr="006679CF" w:rsidRDefault="006679CF" w:rsidP="006679CF">
      <w:pPr>
        <w:pStyle w:val="Descripcin"/>
        <w:jc w:val="center"/>
        <w:rPr>
          <w:rFonts w:ascii="Arial" w:hAnsi="Arial" w:cs="Arial"/>
          <w:b/>
          <w:i w:val="0"/>
          <w:color w:val="000000" w:themeColor="text1"/>
          <w:sz w:val="14"/>
          <w:szCs w:val="16"/>
          <w:lang w:val="es"/>
        </w:rPr>
      </w:pPr>
      <w:bookmarkStart w:id="130" w:name="_Toc88677119"/>
      <w:r w:rsidRPr="006679CF">
        <w:rPr>
          <w:rFonts w:ascii="Arial" w:hAnsi="Arial" w:cs="Arial"/>
          <w:b/>
          <w:i w:val="0"/>
          <w:color w:val="000000" w:themeColor="text1"/>
          <w:sz w:val="16"/>
        </w:rPr>
        <w:t xml:space="preserve">Tabla </w:t>
      </w:r>
      <w:r w:rsidRPr="006679CF">
        <w:rPr>
          <w:rFonts w:ascii="Arial" w:hAnsi="Arial" w:cs="Arial"/>
          <w:b/>
          <w:i w:val="0"/>
          <w:color w:val="000000" w:themeColor="text1"/>
          <w:sz w:val="16"/>
        </w:rPr>
        <w:fldChar w:fldCharType="begin"/>
      </w:r>
      <w:r w:rsidRPr="006679CF">
        <w:rPr>
          <w:rFonts w:ascii="Arial" w:hAnsi="Arial" w:cs="Arial"/>
          <w:b/>
          <w:i w:val="0"/>
          <w:color w:val="000000" w:themeColor="text1"/>
          <w:sz w:val="16"/>
        </w:rPr>
        <w:instrText xml:space="preserve"> SEQ Tabla \* ARABIC </w:instrText>
      </w:r>
      <w:r w:rsidRPr="006679CF">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47</w:t>
      </w:r>
      <w:r w:rsidRPr="006679CF">
        <w:rPr>
          <w:rFonts w:ascii="Arial" w:hAnsi="Arial" w:cs="Arial"/>
          <w:b/>
          <w:i w:val="0"/>
          <w:color w:val="000000" w:themeColor="text1"/>
          <w:sz w:val="16"/>
        </w:rPr>
        <w:fldChar w:fldCharType="end"/>
      </w:r>
      <w:r w:rsidRPr="006679CF">
        <w:rPr>
          <w:rFonts w:ascii="Arial" w:hAnsi="Arial" w:cs="Arial"/>
          <w:b/>
          <w:i w:val="0"/>
          <w:color w:val="000000" w:themeColor="text1"/>
          <w:sz w:val="16"/>
        </w:rPr>
        <w:t>. Proyectos Desarrollados</w:t>
      </w:r>
      <w:bookmarkEnd w:id="130"/>
    </w:p>
    <w:tbl>
      <w:tblPr>
        <w:tblStyle w:val="Tabladecuadrcula4-nfasis1"/>
        <w:tblW w:w="0" w:type="auto"/>
        <w:jc w:val="center"/>
        <w:tblLayout w:type="fixed"/>
        <w:tblLook w:val="06A0" w:firstRow="1" w:lastRow="0" w:firstColumn="1" w:lastColumn="0" w:noHBand="1" w:noVBand="1"/>
      </w:tblPr>
      <w:tblGrid>
        <w:gridCol w:w="1365"/>
        <w:gridCol w:w="1425"/>
        <w:gridCol w:w="1440"/>
      </w:tblGrid>
      <w:tr w:rsidR="00EE777A" w:rsidRPr="00C07EF6" w14:paraId="20C08020" w14:textId="77777777" w:rsidTr="00EE777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60BB15F3" w14:textId="77777777" w:rsidR="00EE777A" w:rsidRPr="00EE777A" w:rsidRDefault="00EE777A" w:rsidP="00C72779">
            <w:pPr>
              <w:jc w:val="center"/>
              <w:rPr>
                <w:sz w:val="22"/>
                <w:szCs w:val="22"/>
              </w:rPr>
            </w:pPr>
            <w:r w:rsidRPr="00EE777A">
              <w:rPr>
                <w:rFonts w:eastAsia="Arial" w:cs="Arial"/>
                <w:sz w:val="22"/>
                <w:szCs w:val="22"/>
                <w:lang w:val="es"/>
              </w:rPr>
              <w:t>2019</w:t>
            </w:r>
          </w:p>
        </w:tc>
        <w:tc>
          <w:tcPr>
            <w:tcW w:w="1425" w:type="dxa"/>
            <w:vAlign w:val="center"/>
          </w:tcPr>
          <w:p w14:paraId="0445EF9C" w14:textId="77777777" w:rsidR="00EE777A" w:rsidRPr="00EE777A" w:rsidRDefault="00EE777A" w:rsidP="00C72779">
            <w:pPr>
              <w:jc w:val="center"/>
              <w:cnfStyle w:val="100000000000" w:firstRow="1" w:lastRow="0" w:firstColumn="0" w:lastColumn="0" w:oddVBand="0" w:evenVBand="0" w:oddHBand="0" w:evenHBand="0" w:firstRowFirstColumn="0" w:firstRowLastColumn="0" w:lastRowFirstColumn="0" w:lastRowLastColumn="0"/>
              <w:rPr>
                <w:sz w:val="22"/>
                <w:szCs w:val="22"/>
              </w:rPr>
            </w:pPr>
            <w:r w:rsidRPr="00EE777A">
              <w:rPr>
                <w:rFonts w:eastAsia="Arial" w:cs="Arial"/>
                <w:sz w:val="22"/>
                <w:szCs w:val="22"/>
                <w:lang w:val="es"/>
              </w:rPr>
              <w:t>2020</w:t>
            </w:r>
          </w:p>
        </w:tc>
        <w:tc>
          <w:tcPr>
            <w:tcW w:w="1440" w:type="dxa"/>
            <w:vAlign w:val="center"/>
          </w:tcPr>
          <w:p w14:paraId="0A05EF78" w14:textId="77777777" w:rsidR="00EE777A" w:rsidRPr="00EE777A" w:rsidRDefault="00EE777A" w:rsidP="00C72779">
            <w:pPr>
              <w:jc w:val="center"/>
              <w:cnfStyle w:val="100000000000" w:firstRow="1" w:lastRow="0" w:firstColumn="0" w:lastColumn="0" w:oddVBand="0" w:evenVBand="0" w:oddHBand="0" w:evenHBand="0" w:firstRowFirstColumn="0" w:firstRowLastColumn="0" w:lastRowFirstColumn="0" w:lastRowLastColumn="0"/>
              <w:rPr>
                <w:sz w:val="22"/>
                <w:szCs w:val="22"/>
              </w:rPr>
            </w:pPr>
            <w:r w:rsidRPr="00EE777A">
              <w:rPr>
                <w:rFonts w:eastAsia="Arial" w:cs="Arial"/>
                <w:sz w:val="22"/>
                <w:szCs w:val="22"/>
                <w:lang w:val="es"/>
              </w:rPr>
              <w:t>2021</w:t>
            </w:r>
          </w:p>
        </w:tc>
      </w:tr>
      <w:tr w:rsidR="00EE777A" w:rsidRPr="00EE777A" w14:paraId="2EF2CC1A" w14:textId="77777777" w:rsidTr="009A7D0A">
        <w:trPr>
          <w:trHeight w:val="133"/>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5F4935D9" w14:textId="77777777" w:rsidR="00EE777A" w:rsidRPr="00EE777A" w:rsidRDefault="00EE777A" w:rsidP="00C72779">
            <w:pPr>
              <w:jc w:val="center"/>
              <w:rPr>
                <w:sz w:val="22"/>
                <w:szCs w:val="22"/>
              </w:rPr>
            </w:pPr>
            <w:r w:rsidRPr="00EE777A">
              <w:rPr>
                <w:rFonts w:eastAsia="Arial" w:cs="Arial"/>
                <w:sz w:val="22"/>
                <w:szCs w:val="22"/>
                <w:lang w:val="es"/>
              </w:rPr>
              <w:t>4</w:t>
            </w:r>
          </w:p>
        </w:tc>
        <w:tc>
          <w:tcPr>
            <w:tcW w:w="1425" w:type="dxa"/>
            <w:vAlign w:val="center"/>
          </w:tcPr>
          <w:p w14:paraId="16A3B0AF" w14:textId="77777777" w:rsidR="00EE777A" w:rsidRPr="00EE777A"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2"/>
                <w:szCs w:val="22"/>
              </w:rPr>
            </w:pPr>
            <w:r w:rsidRPr="00EE777A">
              <w:rPr>
                <w:rFonts w:eastAsia="Arial" w:cs="Arial"/>
                <w:b/>
                <w:sz w:val="22"/>
                <w:szCs w:val="22"/>
                <w:lang w:val="es"/>
              </w:rPr>
              <w:t>14</w:t>
            </w:r>
          </w:p>
        </w:tc>
        <w:tc>
          <w:tcPr>
            <w:tcW w:w="1440" w:type="dxa"/>
            <w:vAlign w:val="center"/>
          </w:tcPr>
          <w:p w14:paraId="20BDDDCD" w14:textId="77777777" w:rsidR="00EE777A" w:rsidRPr="00EE777A"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2"/>
                <w:szCs w:val="22"/>
              </w:rPr>
            </w:pPr>
            <w:r w:rsidRPr="00EE777A">
              <w:rPr>
                <w:rFonts w:eastAsia="Arial" w:cs="Arial"/>
                <w:b/>
                <w:sz w:val="22"/>
                <w:szCs w:val="22"/>
                <w:lang w:val="es"/>
              </w:rPr>
              <w:t>2</w:t>
            </w:r>
          </w:p>
        </w:tc>
      </w:tr>
    </w:tbl>
    <w:p w14:paraId="338CD7FD" w14:textId="77777777" w:rsidR="00FE17E7" w:rsidRPr="00EE777A" w:rsidRDefault="00FE17E7" w:rsidP="00C72779">
      <w:pPr>
        <w:jc w:val="center"/>
        <w:rPr>
          <w:rFonts w:eastAsia="Arial" w:cs="Arial"/>
          <w:b/>
          <w:sz w:val="18"/>
          <w:szCs w:val="22"/>
          <w:lang w:val="es"/>
        </w:rPr>
      </w:pPr>
      <w:r w:rsidRPr="00EE777A">
        <w:rPr>
          <w:rFonts w:eastAsia="Arial" w:cs="Arial"/>
          <w:b/>
          <w:sz w:val="18"/>
          <w:szCs w:val="22"/>
          <w:lang w:val="es"/>
        </w:rPr>
        <w:t xml:space="preserve">Fuente: Dirección de Investigación y Prospectiva </w:t>
      </w:r>
    </w:p>
    <w:p w14:paraId="3D46D6E2" w14:textId="77777777" w:rsidR="00FE17E7" w:rsidRPr="00C07EF6" w:rsidRDefault="00FE17E7" w:rsidP="00C72779">
      <w:pPr>
        <w:jc w:val="center"/>
        <w:rPr>
          <w:rFonts w:eastAsia="Arial" w:cs="Arial"/>
          <w:b/>
          <w:bCs/>
          <w:sz w:val="22"/>
          <w:szCs w:val="22"/>
          <w:lang w:val="es"/>
        </w:rPr>
      </w:pPr>
    </w:p>
    <w:p w14:paraId="61AE6B00" w14:textId="77777777" w:rsidR="00FE17E7" w:rsidRPr="00AF1FCC" w:rsidRDefault="00FE17E7" w:rsidP="00AF1FCC">
      <w:pPr>
        <w:rPr>
          <w:rFonts w:eastAsia="Arial"/>
          <w:b/>
          <w:sz w:val="22"/>
          <w:lang w:val="es"/>
        </w:rPr>
      </w:pPr>
      <w:bookmarkStart w:id="131" w:name="_Toc87622111"/>
      <w:r w:rsidRPr="00AF1FCC">
        <w:rPr>
          <w:rFonts w:eastAsia="Arial"/>
          <w:b/>
          <w:sz w:val="22"/>
          <w:lang w:val="es"/>
        </w:rPr>
        <w:t>EVENTOS DE DIFUSIÓN DE INFORMACIÓN TÉCNICO CIENTÍFICA</w:t>
      </w:r>
      <w:bookmarkEnd w:id="131"/>
    </w:p>
    <w:p w14:paraId="7B4BC31A" w14:textId="77777777" w:rsidR="00FE17E7" w:rsidRPr="00C07EF6" w:rsidRDefault="00FE17E7" w:rsidP="00C72779">
      <w:pPr>
        <w:jc w:val="center"/>
        <w:rPr>
          <w:rFonts w:eastAsia="Arial" w:cs="Arial"/>
          <w:b/>
          <w:bCs/>
          <w:sz w:val="22"/>
          <w:szCs w:val="22"/>
          <w:lang w:val="es"/>
        </w:rPr>
      </w:pPr>
    </w:p>
    <w:p w14:paraId="2488B010" w14:textId="77777777" w:rsidR="00FE17E7" w:rsidRPr="00C07EF6" w:rsidRDefault="00FE17E7" w:rsidP="00C72779">
      <w:pPr>
        <w:jc w:val="both"/>
        <w:rPr>
          <w:sz w:val="22"/>
          <w:szCs w:val="22"/>
        </w:rPr>
      </w:pPr>
      <w:r w:rsidRPr="00C07EF6">
        <w:rPr>
          <w:rFonts w:eastAsia="Arial" w:cs="Arial"/>
          <w:color w:val="000000" w:themeColor="text1"/>
          <w:sz w:val="22"/>
          <w:szCs w:val="22"/>
          <w:lang w:val="es"/>
        </w:rPr>
        <w:t>Las jornadas técnico-científicas son espacios de gestión del conocimiento que buscan compartir las experiencias, aprendizajes y fortalecer las habilidades y competencias de la entidad en temas relacionados con la misionalidad del IGAC.</w:t>
      </w:r>
    </w:p>
    <w:p w14:paraId="2AD713C8" w14:textId="77777777" w:rsidR="00FE17E7" w:rsidRPr="00C07EF6" w:rsidRDefault="00FE17E7" w:rsidP="00C72779">
      <w:pPr>
        <w:jc w:val="both"/>
        <w:rPr>
          <w:rFonts w:eastAsia="Arial" w:cs="Arial"/>
          <w:sz w:val="22"/>
          <w:szCs w:val="22"/>
          <w:lang w:val="es"/>
        </w:rPr>
      </w:pPr>
    </w:p>
    <w:p w14:paraId="181E9B74" w14:textId="77777777" w:rsidR="00FE17E7" w:rsidRPr="00C07EF6" w:rsidRDefault="00FE17E7" w:rsidP="00C72779">
      <w:pPr>
        <w:jc w:val="both"/>
        <w:rPr>
          <w:rFonts w:eastAsia="Arial" w:cs="Arial"/>
          <w:color w:val="000000" w:themeColor="text1"/>
          <w:sz w:val="22"/>
          <w:szCs w:val="22"/>
          <w:lang w:val="es"/>
        </w:rPr>
      </w:pPr>
      <w:r w:rsidRPr="00C07EF6">
        <w:rPr>
          <w:rFonts w:eastAsia="Arial" w:cs="Arial"/>
          <w:sz w:val="22"/>
          <w:szCs w:val="22"/>
          <w:lang w:val="es"/>
        </w:rPr>
        <w:lastRenderedPageBreak/>
        <w:t xml:space="preserve">Con respecto a esta actividad, </w:t>
      </w:r>
      <w:r w:rsidRPr="00C07EF6">
        <w:rPr>
          <w:rFonts w:eastAsia="Arial" w:cs="Arial"/>
          <w:color w:val="000000" w:themeColor="text1"/>
          <w:sz w:val="22"/>
          <w:szCs w:val="22"/>
          <w:lang w:val="es"/>
        </w:rPr>
        <w:t>se realizaron catorce (14) jornadas técnico-científicas dirigidas tanto a usuarios conocedores de las tecnologías de la información geográfica como a la ciudadanía en general, las cuales se detallan a continuación:</w:t>
      </w:r>
    </w:p>
    <w:p w14:paraId="693E62AB" w14:textId="77777777" w:rsidR="00FE17E7" w:rsidRPr="00C07EF6" w:rsidRDefault="00FE17E7" w:rsidP="00C72779">
      <w:pPr>
        <w:jc w:val="both"/>
        <w:rPr>
          <w:rFonts w:eastAsia="Arial" w:cs="Arial"/>
          <w:color w:val="000000" w:themeColor="text1"/>
          <w:sz w:val="22"/>
          <w:szCs w:val="22"/>
          <w:lang w:val="es"/>
        </w:rPr>
      </w:pPr>
    </w:p>
    <w:p w14:paraId="195C166F"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sz w:val="22"/>
          <w:szCs w:val="22"/>
          <w:lang w:val="es"/>
        </w:rPr>
        <w:t>Socialización de los proyectos de investigación y asistencia técnica.</w:t>
      </w:r>
    </w:p>
    <w:p w14:paraId="7CD571C5"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sz w:val="22"/>
          <w:szCs w:val="22"/>
          <w:lang w:val="es"/>
        </w:rPr>
        <w:t>Socialización proyectos de cooperación internacional en tecnologías geoespaciales.</w:t>
      </w:r>
    </w:p>
    <w:p w14:paraId="237A7D6B"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sz w:val="22"/>
          <w:szCs w:val="22"/>
          <w:lang w:val="es"/>
        </w:rPr>
        <w:t>VIII Simposio colombo-mexicano de investigación geográfica. Saberes geográficos del sur Global. Realizada en el marco del convenio IGAC-UPTC con participación de la Universidad de Quintana Roo – UQRoo (México).</w:t>
      </w:r>
    </w:p>
    <w:p w14:paraId="2D2A263F"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sz w:val="22"/>
          <w:szCs w:val="22"/>
          <w:lang w:val="es"/>
        </w:rPr>
        <w:t>Socialización proyecto “Fortalecimiento de los sistemas de monitoreo de cambios en ecosistemas marino-costeros y de manglar” (Comixta México- Colombia).</w:t>
      </w:r>
    </w:p>
    <w:p w14:paraId="450A1774"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Manejo y uso de imágenes PeruSAT-1 para la Gestión del Territorio</w:t>
      </w:r>
    </w:p>
    <w:p w14:paraId="2F328B71"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Necesidades de proyectos de I+D+I y la Subdirección de Agrología.</w:t>
      </w:r>
    </w:p>
    <w:p w14:paraId="411C40C6"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Soluciones de Alta Resolución.</w:t>
      </w:r>
    </w:p>
    <w:p w14:paraId="73EDB3C8"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Metodología para caracterizar el bosque de Manglar usando imágenes satelitales Sentinel 1.</w:t>
      </w:r>
    </w:p>
    <w:p w14:paraId="01170748"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Metodología en el monitoreo de ecosistemas marinos con Sentinel 2 y GEE.</w:t>
      </w:r>
    </w:p>
    <w:p w14:paraId="6B7EFFF0"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sz w:val="22"/>
          <w:szCs w:val="22"/>
          <w:lang w:val="es"/>
        </w:rPr>
        <w:t>Octava edición de la Semana Geomática: “Tecnologías al servicio del desarrollo territorial.</w:t>
      </w:r>
    </w:p>
    <w:p w14:paraId="022D8F88"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Primer Webinar:  Uso de la tecnología satelital en la investigación para la gestión del riesgo de desastres. Organizado por CONIDA con participación del IGAC y en el marco de los compromisos de la COMIXTA Perú - Colombia.</w:t>
      </w:r>
    </w:p>
    <w:p w14:paraId="28E7FE4B" w14:textId="77777777" w:rsidR="00FE17E7" w:rsidRPr="00C07EF6" w:rsidRDefault="00FE17E7" w:rsidP="000A20EE">
      <w:pPr>
        <w:pStyle w:val="Prrafodelista"/>
        <w:numPr>
          <w:ilvl w:val="0"/>
          <w:numId w:val="79"/>
        </w:numPr>
        <w:suppressAutoHyphens w:val="0"/>
        <w:overflowPunct/>
        <w:autoSpaceDE/>
        <w:spacing w:after="160"/>
        <w:ind w:left="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 xml:space="preserve">Segundo evento para la difusión y transferencia de conocimiento especializado a través de conferencia sobre el Sistema de Referencia Geodésico Nacional se contó con la participación de 42 personas. </w:t>
      </w:r>
    </w:p>
    <w:p w14:paraId="67134B54" w14:textId="77777777" w:rsidR="00FE17E7" w:rsidRPr="00C07EF6" w:rsidRDefault="00FE17E7" w:rsidP="000A20EE">
      <w:pPr>
        <w:pStyle w:val="Prrafodelista"/>
        <w:numPr>
          <w:ilvl w:val="3"/>
          <w:numId w:val="75"/>
        </w:numPr>
        <w:suppressAutoHyphens w:val="0"/>
        <w:overflowPunct/>
        <w:autoSpaceDE/>
        <w:ind w:left="448" w:hanging="448"/>
        <w:contextualSpacing/>
        <w:textAlignment w:val="auto"/>
        <w:rPr>
          <w:rFonts w:eastAsia="Arial"/>
          <w:sz w:val="22"/>
          <w:szCs w:val="22"/>
          <w:lang w:val="es"/>
        </w:rPr>
      </w:pPr>
      <w:r w:rsidRPr="00C07EF6">
        <w:rPr>
          <w:rFonts w:eastAsia="Arial" w:cs="Arial"/>
          <w:color w:val="000000" w:themeColor="text1"/>
          <w:sz w:val="22"/>
          <w:szCs w:val="22"/>
          <w:lang w:val="es"/>
        </w:rPr>
        <w:t>Tercer evento técnico científico Foro "CATASTRO MULTIPROPÓSITO, NUEVOS RETOS, NUEVOS PROFESIONALES", que contó con la participación de 270 asistentes, representantes de universidades públicas y privadas, así como de instituciones de formación técnica y tecnológica.</w:t>
      </w:r>
    </w:p>
    <w:p w14:paraId="6A3DBC51" w14:textId="77777777" w:rsidR="00FE17E7" w:rsidRPr="00C07EF6" w:rsidRDefault="00FE17E7" w:rsidP="000A20EE">
      <w:pPr>
        <w:pStyle w:val="Prrafodelista"/>
        <w:numPr>
          <w:ilvl w:val="3"/>
          <w:numId w:val="75"/>
        </w:numPr>
        <w:suppressAutoHyphens w:val="0"/>
        <w:overflowPunct/>
        <w:autoSpaceDE/>
        <w:spacing w:after="160"/>
        <w:ind w:left="450" w:hanging="450"/>
        <w:contextualSpacing/>
        <w:textAlignment w:val="auto"/>
        <w:rPr>
          <w:rFonts w:eastAsia="Arial" w:cs="Arial"/>
          <w:color w:val="000000" w:themeColor="text1"/>
          <w:sz w:val="22"/>
          <w:szCs w:val="22"/>
          <w:lang w:val="es"/>
        </w:rPr>
      </w:pPr>
      <w:r w:rsidRPr="00C07EF6">
        <w:rPr>
          <w:rFonts w:eastAsia="Arial" w:cs="Arial"/>
          <w:color w:val="000000" w:themeColor="text1"/>
          <w:sz w:val="22"/>
          <w:szCs w:val="22"/>
          <w:lang w:val="es"/>
        </w:rPr>
        <w:t>Facebook Live para socializar la política de catastro multipropósito y los retos de los profesionales en su implementación, que contó con la asistencia en vivo de 200 personas aproximadamente y ha tenido más de 3.700 visualizaciones.</w:t>
      </w:r>
    </w:p>
    <w:p w14:paraId="5D6E515B" w14:textId="07BA635A" w:rsidR="00FE17E7" w:rsidRDefault="00FE17E7" w:rsidP="00C72779">
      <w:pPr>
        <w:jc w:val="both"/>
        <w:rPr>
          <w:rFonts w:eastAsia="Calibri"/>
          <w:sz w:val="22"/>
          <w:szCs w:val="22"/>
          <w:lang w:val="es"/>
        </w:rPr>
      </w:pPr>
      <w:r w:rsidRPr="00C07EF6">
        <w:rPr>
          <w:rFonts w:eastAsia="Calibri"/>
          <w:sz w:val="22"/>
          <w:szCs w:val="22"/>
          <w:lang w:val="es"/>
        </w:rPr>
        <w:t>En la siguiente tabla se presenta el resumen de la cantidad de eventos de difusión técnico-científicas desarrollados, año a año para el periodo reportado.</w:t>
      </w:r>
    </w:p>
    <w:p w14:paraId="14822620" w14:textId="368DBA5D" w:rsidR="00EE777A" w:rsidRPr="00424584" w:rsidRDefault="00EE777A" w:rsidP="5E3F7ADD">
      <w:pPr>
        <w:jc w:val="both"/>
        <w:rPr>
          <w:rFonts w:eastAsia="Calibri" w:cs="Arial"/>
          <w:b/>
          <w:bCs/>
          <w:sz w:val="16"/>
          <w:szCs w:val="16"/>
          <w:lang w:val="es"/>
        </w:rPr>
      </w:pPr>
    </w:p>
    <w:p w14:paraId="6C33F968" w14:textId="13C9ECD1" w:rsidR="00FE17E7" w:rsidRPr="00424584" w:rsidRDefault="00424584" w:rsidP="00424584">
      <w:pPr>
        <w:pStyle w:val="Descripcin"/>
        <w:jc w:val="center"/>
        <w:rPr>
          <w:rFonts w:ascii="Arial" w:eastAsia="Arial" w:hAnsi="Arial" w:cs="Arial"/>
          <w:b/>
          <w:i w:val="0"/>
          <w:color w:val="auto"/>
          <w:sz w:val="16"/>
          <w:szCs w:val="16"/>
          <w:lang w:val="es"/>
        </w:rPr>
      </w:pPr>
      <w:bookmarkStart w:id="132" w:name="_Toc88677120"/>
      <w:r w:rsidRPr="00424584">
        <w:rPr>
          <w:rFonts w:ascii="Arial" w:hAnsi="Arial" w:cs="Arial"/>
          <w:b/>
          <w:i w:val="0"/>
          <w:color w:val="auto"/>
          <w:sz w:val="16"/>
          <w:szCs w:val="16"/>
        </w:rPr>
        <w:t xml:space="preserve">Tabla </w:t>
      </w:r>
      <w:r w:rsidRPr="00424584">
        <w:rPr>
          <w:rFonts w:ascii="Arial" w:hAnsi="Arial" w:cs="Arial"/>
          <w:b/>
          <w:i w:val="0"/>
          <w:color w:val="auto"/>
          <w:sz w:val="16"/>
          <w:szCs w:val="16"/>
        </w:rPr>
        <w:fldChar w:fldCharType="begin"/>
      </w:r>
      <w:r w:rsidRPr="00424584">
        <w:rPr>
          <w:rFonts w:ascii="Arial" w:hAnsi="Arial" w:cs="Arial"/>
          <w:b/>
          <w:i w:val="0"/>
          <w:color w:val="auto"/>
          <w:sz w:val="16"/>
          <w:szCs w:val="16"/>
        </w:rPr>
        <w:instrText xml:space="preserve"> SEQ Tabla \* ARABIC </w:instrText>
      </w:r>
      <w:r w:rsidRPr="00424584">
        <w:rPr>
          <w:rFonts w:ascii="Arial" w:hAnsi="Arial" w:cs="Arial"/>
          <w:b/>
          <w:i w:val="0"/>
          <w:color w:val="auto"/>
          <w:sz w:val="16"/>
          <w:szCs w:val="16"/>
        </w:rPr>
        <w:fldChar w:fldCharType="separate"/>
      </w:r>
      <w:r w:rsidR="004D4C6A">
        <w:rPr>
          <w:rFonts w:ascii="Arial" w:hAnsi="Arial" w:cs="Arial"/>
          <w:b/>
          <w:i w:val="0"/>
          <w:noProof/>
          <w:color w:val="auto"/>
          <w:sz w:val="16"/>
          <w:szCs w:val="16"/>
        </w:rPr>
        <w:t>48</w:t>
      </w:r>
      <w:r w:rsidRPr="00424584">
        <w:rPr>
          <w:rFonts w:ascii="Arial" w:hAnsi="Arial" w:cs="Arial"/>
          <w:b/>
          <w:i w:val="0"/>
          <w:color w:val="auto"/>
          <w:sz w:val="16"/>
          <w:szCs w:val="16"/>
        </w:rPr>
        <w:fldChar w:fldCharType="end"/>
      </w:r>
      <w:r w:rsidRPr="00424584">
        <w:rPr>
          <w:rFonts w:ascii="Arial" w:hAnsi="Arial" w:cs="Arial"/>
          <w:b/>
          <w:i w:val="0"/>
          <w:color w:val="auto"/>
          <w:sz w:val="16"/>
          <w:szCs w:val="16"/>
        </w:rPr>
        <w:t xml:space="preserve">. </w:t>
      </w:r>
      <w:r w:rsidR="00EE777A" w:rsidRPr="00424584">
        <w:rPr>
          <w:rFonts w:ascii="Arial" w:hAnsi="Arial" w:cs="Arial"/>
          <w:b/>
          <w:i w:val="0"/>
          <w:color w:val="auto"/>
          <w:sz w:val="16"/>
          <w:szCs w:val="16"/>
        </w:rPr>
        <w:t>Cantidad de eventos desarrollados</w:t>
      </w:r>
      <w:bookmarkEnd w:id="132"/>
    </w:p>
    <w:tbl>
      <w:tblPr>
        <w:tblStyle w:val="Tabladecuadrcula4-nfasis1"/>
        <w:tblW w:w="0" w:type="auto"/>
        <w:jc w:val="center"/>
        <w:tblLayout w:type="fixed"/>
        <w:tblLook w:val="06A0" w:firstRow="1" w:lastRow="0" w:firstColumn="1" w:lastColumn="0" w:noHBand="1" w:noVBand="1"/>
      </w:tblPr>
      <w:tblGrid>
        <w:gridCol w:w="1365"/>
        <w:gridCol w:w="1425"/>
        <w:gridCol w:w="1440"/>
      </w:tblGrid>
      <w:tr w:rsidR="00EE777A" w:rsidRPr="001F242B" w14:paraId="1780D0C6" w14:textId="77777777"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49CF9FE7" w14:textId="77777777" w:rsidR="00EE777A" w:rsidRPr="001F242B" w:rsidRDefault="00EE777A" w:rsidP="00C72779">
            <w:pPr>
              <w:jc w:val="center"/>
              <w:rPr>
                <w:sz w:val="20"/>
                <w:szCs w:val="22"/>
              </w:rPr>
            </w:pPr>
            <w:r w:rsidRPr="001F242B">
              <w:rPr>
                <w:rFonts w:eastAsia="Arial" w:cs="Arial"/>
                <w:sz w:val="20"/>
                <w:szCs w:val="22"/>
                <w:lang w:val="es"/>
              </w:rPr>
              <w:t>2019</w:t>
            </w:r>
          </w:p>
        </w:tc>
        <w:tc>
          <w:tcPr>
            <w:tcW w:w="1425" w:type="dxa"/>
            <w:vAlign w:val="center"/>
          </w:tcPr>
          <w:p w14:paraId="3D3636F0" w14:textId="77777777" w:rsidR="00EE777A" w:rsidRPr="001F242B" w:rsidRDefault="00EE777A" w:rsidP="00C72779">
            <w:pPr>
              <w:jc w:val="center"/>
              <w:cnfStyle w:val="100000000000" w:firstRow="1" w:lastRow="0" w:firstColumn="0" w:lastColumn="0" w:oddVBand="0" w:evenVBand="0" w:oddHBand="0" w:evenHBand="0" w:firstRowFirstColumn="0" w:firstRowLastColumn="0" w:lastRowFirstColumn="0" w:lastRowLastColumn="0"/>
              <w:rPr>
                <w:sz w:val="20"/>
                <w:szCs w:val="22"/>
              </w:rPr>
            </w:pPr>
            <w:r w:rsidRPr="001F242B">
              <w:rPr>
                <w:rFonts w:eastAsia="Arial" w:cs="Arial"/>
                <w:sz w:val="20"/>
                <w:szCs w:val="22"/>
                <w:lang w:val="es"/>
              </w:rPr>
              <w:t>2020</w:t>
            </w:r>
          </w:p>
        </w:tc>
        <w:tc>
          <w:tcPr>
            <w:tcW w:w="1440" w:type="dxa"/>
            <w:vAlign w:val="center"/>
          </w:tcPr>
          <w:p w14:paraId="63E65CBE" w14:textId="77777777" w:rsidR="00EE777A" w:rsidRPr="001F242B" w:rsidRDefault="00EE777A" w:rsidP="00C72779">
            <w:pPr>
              <w:jc w:val="center"/>
              <w:cnfStyle w:val="100000000000" w:firstRow="1" w:lastRow="0" w:firstColumn="0" w:lastColumn="0" w:oddVBand="0" w:evenVBand="0" w:oddHBand="0" w:evenHBand="0" w:firstRowFirstColumn="0" w:firstRowLastColumn="0" w:lastRowFirstColumn="0" w:lastRowLastColumn="0"/>
              <w:rPr>
                <w:sz w:val="20"/>
                <w:szCs w:val="22"/>
              </w:rPr>
            </w:pPr>
            <w:r w:rsidRPr="001F242B">
              <w:rPr>
                <w:rFonts w:eastAsia="Arial" w:cs="Arial"/>
                <w:sz w:val="20"/>
                <w:szCs w:val="22"/>
                <w:lang w:val="es"/>
              </w:rPr>
              <w:t>2021</w:t>
            </w:r>
          </w:p>
        </w:tc>
      </w:tr>
      <w:tr w:rsidR="00EE777A" w:rsidRPr="001F242B" w14:paraId="1A65813F" w14:textId="77777777" w:rsidTr="31FF9146">
        <w:trPr>
          <w:trHeight w:val="241"/>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02736D44" w14:textId="77777777" w:rsidR="00EE777A" w:rsidRPr="001F242B" w:rsidRDefault="00EE777A" w:rsidP="00C72779">
            <w:pPr>
              <w:jc w:val="center"/>
              <w:rPr>
                <w:rFonts w:eastAsia="Arial" w:cs="Arial"/>
                <w:sz w:val="20"/>
                <w:szCs w:val="22"/>
                <w:lang w:val="es"/>
              </w:rPr>
            </w:pPr>
            <w:r w:rsidRPr="001F242B">
              <w:rPr>
                <w:rFonts w:eastAsia="Arial" w:cs="Arial"/>
                <w:sz w:val="20"/>
                <w:szCs w:val="22"/>
                <w:lang w:val="es"/>
              </w:rPr>
              <w:t>4</w:t>
            </w:r>
          </w:p>
        </w:tc>
        <w:tc>
          <w:tcPr>
            <w:tcW w:w="1425" w:type="dxa"/>
            <w:vAlign w:val="center"/>
          </w:tcPr>
          <w:p w14:paraId="21337E61" w14:textId="77777777" w:rsidR="00EE777A" w:rsidRPr="001F242B"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0"/>
                <w:szCs w:val="22"/>
              </w:rPr>
            </w:pPr>
            <w:r w:rsidRPr="001F242B">
              <w:rPr>
                <w:rFonts w:eastAsia="Arial" w:cs="Arial"/>
                <w:b/>
                <w:sz w:val="20"/>
                <w:szCs w:val="22"/>
                <w:lang w:val="es"/>
              </w:rPr>
              <w:t>6</w:t>
            </w:r>
          </w:p>
        </w:tc>
        <w:tc>
          <w:tcPr>
            <w:tcW w:w="1440" w:type="dxa"/>
            <w:vAlign w:val="center"/>
          </w:tcPr>
          <w:p w14:paraId="4F841D51" w14:textId="77777777" w:rsidR="00EE777A" w:rsidRPr="001F242B"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0"/>
                <w:szCs w:val="22"/>
              </w:rPr>
            </w:pPr>
            <w:r w:rsidRPr="001F242B">
              <w:rPr>
                <w:rFonts w:eastAsia="Arial" w:cs="Arial"/>
                <w:b/>
                <w:sz w:val="20"/>
                <w:szCs w:val="22"/>
                <w:lang w:val="es"/>
              </w:rPr>
              <w:t>4</w:t>
            </w:r>
          </w:p>
        </w:tc>
      </w:tr>
    </w:tbl>
    <w:p w14:paraId="29D16DD0" w14:textId="31D0B715" w:rsidR="31FF9146" w:rsidRDefault="31FF9146"/>
    <w:p w14:paraId="431C190A" w14:textId="69CA499C" w:rsidR="00FE17E7" w:rsidRPr="00EE777A" w:rsidRDefault="00FE17E7" w:rsidP="00C72779">
      <w:pPr>
        <w:jc w:val="center"/>
        <w:rPr>
          <w:rFonts w:eastAsia="Arial" w:cs="Arial"/>
          <w:b/>
          <w:sz w:val="18"/>
          <w:szCs w:val="18"/>
          <w:lang w:val="es"/>
        </w:rPr>
      </w:pPr>
      <w:r w:rsidRPr="46032A88">
        <w:rPr>
          <w:rFonts w:eastAsia="Arial" w:cs="Arial"/>
          <w:b/>
          <w:sz w:val="18"/>
          <w:szCs w:val="18"/>
          <w:lang w:val="es"/>
        </w:rPr>
        <w:t xml:space="preserve">Fuente: Dirección de Investigación y Prospectiva </w:t>
      </w:r>
    </w:p>
    <w:p w14:paraId="39823A68" w14:textId="77777777" w:rsidR="00EE777A" w:rsidRDefault="00EE777A" w:rsidP="00C72779">
      <w:pPr>
        <w:rPr>
          <w:rFonts w:eastAsia="Arial"/>
          <w:lang w:val="es"/>
        </w:rPr>
      </w:pPr>
      <w:bookmarkStart w:id="133" w:name="_Toc87622112"/>
    </w:p>
    <w:p w14:paraId="2820FD58" w14:textId="507BD409" w:rsidR="00FE17E7" w:rsidRPr="00166211" w:rsidRDefault="00FE17E7" w:rsidP="00C72779">
      <w:pPr>
        <w:rPr>
          <w:b/>
          <w:sz w:val="22"/>
        </w:rPr>
      </w:pPr>
      <w:r w:rsidRPr="00166211">
        <w:rPr>
          <w:rFonts w:eastAsia="Arial"/>
          <w:b/>
          <w:sz w:val="22"/>
          <w:lang w:val="es"/>
        </w:rPr>
        <w:t>TRANSFERENCIA DE CONOCIMIENTO PRESENCIAL Y VIRTUAL</w:t>
      </w:r>
      <w:bookmarkEnd w:id="133"/>
    </w:p>
    <w:p w14:paraId="14A3EA7E" w14:textId="511AE6C1" w:rsidR="00FE17E7" w:rsidRDefault="00FE17E7" w:rsidP="00C72779">
      <w:pPr>
        <w:jc w:val="both"/>
        <w:rPr>
          <w:rFonts w:eastAsia="Arial" w:cs="Arial"/>
          <w:sz w:val="22"/>
          <w:szCs w:val="22"/>
          <w:lang w:val="es"/>
        </w:rPr>
      </w:pPr>
      <w:r w:rsidRPr="00C07EF6">
        <w:rPr>
          <w:rFonts w:eastAsia="Arial" w:cs="Arial"/>
          <w:sz w:val="22"/>
          <w:szCs w:val="22"/>
          <w:lang w:val="es"/>
        </w:rPr>
        <w:t xml:space="preserve">En cuanto a la transferencia de conocimiento en modalidad presencial y virtual </w:t>
      </w:r>
      <w:r w:rsidR="00EE777A">
        <w:rPr>
          <w:rFonts w:eastAsia="Arial" w:cs="Arial"/>
          <w:sz w:val="22"/>
          <w:szCs w:val="22"/>
          <w:lang w:val="es"/>
        </w:rPr>
        <w:t xml:space="preserve">se realizaron veinticuatro </w:t>
      </w:r>
      <w:r w:rsidRPr="00C07EF6">
        <w:rPr>
          <w:rFonts w:eastAsia="Arial" w:cs="Arial"/>
          <w:sz w:val="22"/>
          <w:szCs w:val="22"/>
          <w:lang w:val="es"/>
        </w:rPr>
        <w:t>cursos en los siguientes temas relacionados:</w:t>
      </w:r>
    </w:p>
    <w:p w14:paraId="57B3B92D" w14:textId="4F089DCD" w:rsidR="00EE777A" w:rsidRDefault="00EE777A" w:rsidP="00C72779">
      <w:pPr>
        <w:rPr>
          <w:rFonts w:eastAsia="Arial" w:cs="Arial"/>
          <w:b/>
          <w:sz w:val="18"/>
          <w:szCs w:val="18"/>
          <w:lang w:val="es"/>
        </w:rPr>
      </w:pPr>
    </w:p>
    <w:p w14:paraId="4DC36849" w14:textId="1409A166" w:rsidR="00166211" w:rsidRDefault="00166211" w:rsidP="00C72779">
      <w:pPr>
        <w:rPr>
          <w:rFonts w:eastAsia="Arial" w:cs="Arial"/>
          <w:b/>
          <w:sz w:val="18"/>
          <w:szCs w:val="18"/>
          <w:lang w:val="es"/>
        </w:rPr>
      </w:pPr>
    </w:p>
    <w:p w14:paraId="72E8ECEC" w14:textId="3006AFD6" w:rsidR="00166211" w:rsidRDefault="00166211" w:rsidP="00C72779">
      <w:pPr>
        <w:rPr>
          <w:rFonts w:eastAsia="Arial" w:cs="Arial"/>
          <w:b/>
          <w:sz w:val="18"/>
          <w:szCs w:val="18"/>
          <w:lang w:val="es"/>
        </w:rPr>
      </w:pPr>
    </w:p>
    <w:p w14:paraId="088B787D" w14:textId="5AC3FFFD" w:rsidR="00166211" w:rsidRDefault="00166211" w:rsidP="00C72779">
      <w:pPr>
        <w:rPr>
          <w:rFonts w:eastAsia="Arial" w:cs="Arial"/>
          <w:b/>
          <w:sz w:val="18"/>
          <w:szCs w:val="18"/>
          <w:lang w:val="es"/>
        </w:rPr>
      </w:pPr>
    </w:p>
    <w:p w14:paraId="7D9842D1" w14:textId="17E670FB" w:rsidR="00166211" w:rsidRDefault="00166211" w:rsidP="00C72779">
      <w:pPr>
        <w:rPr>
          <w:rFonts w:eastAsia="Arial" w:cs="Arial"/>
          <w:b/>
          <w:sz w:val="18"/>
          <w:szCs w:val="18"/>
          <w:lang w:val="es"/>
        </w:rPr>
      </w:pPr>
    </w:p>
    <w:p w14:paraId="7DB91A86" w14:textId="64811553" w:rsidR="00166211" w:rsidRDefault="00166211" w:rsidP="00C72779">
      <w:pPr>
        <w:rPr>
          <w:rFonts w:eastAsia="Arial" w:cs="Arial"/>
          <w:b/>
          <w:sz w:val="18"/>
          <w:szCs w:val="18"/>
          <w:lang w:val="es"/>
        </w:rPr>
      </w:pPr>
    </w:p>
    <w:p w14:paraId="79E6DB85" w14:textId="6485172F" w:rsidR="00166211" w:rsidRDefault="00166211" w:rsidP="00C72779">
      <w:pPr>
        <w:rPr>
          <w:rFonts w:eastAsia="Arial" w:cs="Arial"/>
          <w:b/>
          <w:sz w:val="18"/>
          <w:szCs w:val="18"/>
          <w:lang w:val="es"/>
        </w:rPr>
      </w:pPr>
    </w:p>
    <w:p w14:paraId="6E0BA9BE" w14:textId="368DBA5D" w:rsidR="00EE777A" w:rsidRDefault="00EE777A" w:rsidP="5E3F7ADD">
      <w:pPr>
        <w:jc w:val="center"/>
        <w:rPr>
          <w:rFonts w:eastAsia="Arial" w:cs="Arial"/>
          <w:b/>
          <w:bCs/>
          <w:sz w:val="18"/>
          <w:szCs w:val="18"/>
          <w:lang w:val="es"/>
        </w:rPr>
      </w:pPr>
    </w:p>
    <w:p w14:paraId="6F67AF39" w14:textId="155123FF" w:rsidR="00FE17E7" w:rsidRPr="00424584" w:rsidRDefault="00424584" w:rsidP="00424584">
      <w:pPr>
        <w:pStyle w:val="Descripcin"/>
        <w:jc w:val="center"/>
        <w:rPr>
          <w:rFonts w:ascii="Arial" w:eastAsia="Arial" w:hAnsi="Arial" w:cs="Arial"/>
          <w:b/>
          <w:i w:val="0"/>
          <w:color w:val="auto"/>
          <w:sz w:val="16"/>
          <w:szCs w:val="16"/>
          <w:lang w:val="es"/>
        </w:rPr>
      </w:pPr>
      <w:bookmarkStart w:id="134" w:name="_Toc88677121"/>
      <w:r w:rsidRPr="00424584">
        <w:rPr>
          <w:rFonts w:ascii="Arial" w:hAnsi="Arial" w:cs="Arial"/>
          <w:b/>
          <w:i w:val="0"/>
          <w:color w:val="auto"/>
          <w:sz w:val="16"/>
          <w:szCs w:val="16"/>
        </w:rPr>
        <w:lastRenderedPageBreak/>
        <w:t xml:space="preserve">Tabla </w:t>
      </w:r>
      <w:r w:rsidRPr="00424584">
        <w:rPr>
          <w:rFonts w:ascii="Arial" w:hAnsi="Arial" w:cs="Arial"/>
          <w:b/>
          <w:i w:val="0"/>
          <w:color w:val="auto"/>
          <w:sz w:val="16"/>
          <w:szCs w:val="16"/>
        </w:rPr>
        <w:fldChar w:fldCharType="begin"/>
      </w:r>
      <w:r w:rsidRPr="00424584">
        <w:rPr>
          <w:rFonts w:ascii="Arial" w:hAnsi="Arial" w:cs="Arial"/>
          <w:b/>
          <w:i w:val="0"/>
          <w:color w:val="auto"/>
          <w:sz w:val="16"/>
          <w:szCs w:val="16"/>
        </w:rPr>
        <w:instrText xml:space="preserve"> SEQ Tabla \* ARABIC </w:instrText>
      </w:r>
      <w:r w:rsidRPr="00424584">
        <w:rPr>
          <w:rFonts w:ascii="Arial" w:hAnsi="Arial" w:cs="Arial"/>
          <w:b/>
          <w:i w:val="0"/>
          <w:color w:val="auto"/>
          <w:sz w:val="16"/>
          <w:szCs w:val="16"/>
        </w:rPr>
        <w:fldChar w:fldCharType="separate"/>
      </w:r>
      <w:r w:rsidR="004D4C6A">
        <w:rPr>
          <w:rFonts w:ascii="Arial" w:hAnsi="Arial" w:cs="Arial"/>
          <w:b/>
          <w:i w:val="0"/>
          <w:noProof/>
          <w:color w:val="auto"/>
          <w:sz w:val="16"/>
          <w:szCs w:val="16"/>
        </w:rPr>
        <w:t>49</w:t>
      </w:r>
      <w:r w:rsidRPr="00424584">
        <w:rPr>
          <w:rFonts w:ascii="Arial" w:hAnsi="Arial" w:cs="Arial"/>
          <w:b/>
          <w:i w:val="0"/>
          <w:color w:val="auto"/>
          <w:sz w:val="16"/>
          <w:szCs w:val="16"/>
        </w:rPr>
        <w:fldChar w:fldCharType="end"/>
      </w:r>
      <w:r w:rsidRPr="00424584">
        <w:rPr>
          <w:rFonts w:ascii="Arial" w:hAnsi="Arial" w:cs="Arial"/>
          <w:b/>
          <w:i w:val="0"/>
          <w:color w:val="auto"/>
          <w:sz w:val="16"/>
          <w:szCs w:val="16"/>
        </w:rPr>
        <w:t xml:space="preserve">. </w:t>
      </w:r>
      <w:r w:rsidR="00EE777A" w:rsidRPr="00424584">
        <w:rPr>
          <w:rFonts w:ascii="Arial" w:hAnsi="Arial" w:cs="Arial"/>
          <w:b/>
          <w:i w:val="0"/>
          <w:color w:val="auto"/>
          <w:sz w:val="16"/>
          <w:szCs w:val="16"/>
        </w:rPr>
        <w:t>Cursos realizados</w:t>
      </w:r>
      <w:bookmarkEnd w:id="134"/>
    </w:p>
    <w:tbl>
      <w:tblPr>
        <w:tblStyle w:val="Tabladecuadrcula4-nfasis1"/>
        <w:tblW w:w="0" w:type="auto"/>
        <w:jc w:val="center"/>
        <w:tblLayout w:type="fixed"/>
        <w:tblLook w:val="06A0" w:firstRow="1" w:lastRow="0" w:firstColumn="1" w:lastColumn="0" w:noHBand="1" w:noVBand="1"/>
      </w:tblPr>
      <w:tblGrid>
        <w:gridCol w:w="855"/>
        <w:gridCol w:w="6090"/>
      </w:tblGrid>
      <w:tr w:rsidR="00FE17E7" w:rsidRPr="001F242B" w14:paraId="3A87308D" w14:textId="77777777"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55" w:type="dxa"/>
          </w:tcPr>
          <w:p w14:paraId="77BA1A89"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No</w:t>
            </w:r>
          </w:p>
        </w:tc>
        <w:tc>
          <w:tcPr>
            <w:tcW w:w="6090" w:type="dxa"/>
          </w:tcPr>
          <w:p w14:paraId="3998EB49" w14:textId="77777777" w:rsidR="00FE17E7" w:rsidRPr="001F242B" w:rsidRDefault="00FE17E7"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Cursos</w:t>
            </w:r>
          </w:p>
        </w:tc>
      </w:tr>
      <w:tr w:rsidR="00FE17E7" w:rsidRPr="001F242B" w14:paraId="3692FDF0"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6F5E73AD"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1</w:t>
            </w:r>
          </w:p>
        </w:tc>
        <w:tc>
          <w:tcPr>
            <w:tcW w:w="6090" w:type="dxa"/>
          </w:tcPr>
          <w:p w14:paraId="1588A79D"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Modelo LADM</w:t>
            </w:r>
          </w:p>
        </w:tc>
      </w:tr>
      <w:tr w:rsidR="00FE17E7" w:rsidRPr="001F242B" w14:paraId="2C813143"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4024BA1A"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2</w:t>
            </w:r>
          </w:p>
        </w:tc>
        <w:tc>
          <w:tcPr>
            <w:tcW w:w="6090" w:type="dxa"/>
          </w:tcPr>
          <w:p w14:paraId="5C045016"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Marco Institucional y Normativo de Catastro Multipropósito</w:t>
            </w:r>
          </w:p>
        </w:tc>
      </w:tr>
      <w:tr w:rsidR="00FE17E7" w:rsidRPr="001F242B" w14:paraId="38219464"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734BA5F0"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3</w:t>
            </w:r>
          </w:p>
        </w:tc>
        <w:tc>
          <w:tcPr>
            <w:tcW w:w="6090" w:type="dxa"/>
          </w:tcPr>
          <w:p w14:paraId="3829D6C8"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Como ser gestor catastral</w:t>
            </w:r>
          </w:p>
        </w:tc>
      </w:tr>
      <w:tr w:rsidR="00FE17E7" w:rsidRPr="001F242B" w14:paraId="5FE590B3"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7B46A315"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4</w:t>
            </w:r>
          </w:p>
        </w:tc>
        <w:tc>
          <w:tcPr>
            <w:tcW w:w="6090" w:type="dxa"/>
          </w:tcPr>
          <w:p w14:paraId="5FEB45E7"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Machine Learning aplicado al PDI de sensores remotos</w:t>
            </w:r>
          </w:p>
        </w:tc>
      </w:tr>
      <w:tr w:rsidR="00FE17E7" w:rsidRPr="001F242B" w14:paraId="35FFACE2"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04ECFE72"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5</w:t>
            </w:r>
          </w:p>
        </w:tc>
        <w:tc>
          <w:tcPr>
            <w:tcW w:w="6090" w:type="dxa"/>
          </w:tcPr>
          <w:p w14:paraId="12E9FF9C"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Procesos catastrales con enfoque multipropósito</w:t>
            </w:r>
          </w:p>
        </w:tc>
      </w:tr>
      <w:tr w:rsidR="00FE17E7" w:rsidRPr="001F242B" w14:paraId="23BC9391"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2C983032"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6</w:t>
            </w:r>
          </w:p>
        </w:tc>
        <w:tc>
          <w:tcPr>
            <w:tcW w:w="6090" w:type="dxa"/>
          </w:tcPr>
          <w:p w14:paraId="657DBCB0"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Cartografía digital</w:t>
            </w:r>
          </w:p>
        </w:tc>
      </w:tr>
      <w:tr w:rsidR="00FE17E7" w:rsidRPr="001F242B" w14:paraId="473DF5CC"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1475DD2C"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7</w:t>
            </w:r>
          </w:p>
        </w:tc>
        <w:tc>
          <w:tcPr>
            <w:tcW w:w="6090" w:type="dxa"/>
          </w:tcPr>
          <w:p w14:paraId="08B29D01"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Gestión de calidad de información geográfica para el catastro multipropósito</w:t>
            </w:r>
          </w:p>
        </w:tc>
      </w:tr>
      <w:tr w:rsidR="00FE17E7" w:rsidRPr="001F242B" w14:paraId="613AE519"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2F0B630F"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8</w:t>
            </w:r>
          </w:p>
        </w:tc>
        <w:tc>
          <w:tcPr>
            <w:tcW w:w="6090" w:type="dxa"/>
          </w:tcPr>
          <w:p w14:paraId="62E40905"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Fundamentos IDE</w:t>
            </w:r>
          </w:p>
        </w:tc>
      </w:tr>
      <w:tr w:rsidR="00FE17E7" w:rsidRPr="001F242B" w14:paraId="3A61C652"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2B73D995"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9</w:t>
            </w:r>
          </w:p>
        </w:tc>
        <w:tc>
          <w:tcPr>
            <w:tcW w:w="6090" w:type="dxa"/>
          </w:tcPr>
          <w:p w14:paraId="166EF961"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Análisis y modelamiento SIG con aplicaciones en medio ambiente</w:t>
            </w:r>
          </w:p>
        </w:tc>
      </w:tr>
      <w:tr w:rsidR="00FE17E7" w:rsidRPr="001F242B" w14:paraId="65BBD3EF"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855" w:type="dxa"/>
          </w:tcPr>
          <w:p w14:paraId="54020796"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10</w:t>
            </w:r>
          </w:p>
        </w:tc>
        <w:tc>
          <w:tcPr>
            <w:tcW w:w="6090" w:type="dxa"/>
          </w:tcPr>
          <w:p w14:paraId="6CE9F07D"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Fundamentos de sistemas de información geográfica (SIG)</w:t>
            </w:r>
          </w:p>
        </w:tc>
      </w:tr>
      <w:tr w:rsidR="00FE17E7" w:rsidRPr="001F242B" w14:paraId="0D65E7A3" w14:textId="77777777" w:rsidTr="31FF9146">
        <w:trPr>
          <w:trHeight w:val="285"/>
          <w:jc w:val="center"/>
        </w:trPr>
        <w:tc>
          <w:tcPr>
            <w:cnfStyle w:val="001000000000" w:firstRow="0" w:lastRow="0" w:firstColumn="1" w:lastColumn="0" w:oddVBand="0" w:evenVBand="0" w:oddHBand="0" w:evenHBand="0" w:firstRowFirstColumn="0" w:firstRowLastColumn="0" w:lastRowFirstColumn="0" w:lastRowLastColumn="0"/>
            <w:tcW w:w="855" w:type="dxa"/>
          </w:tcPr>
          <w:p w14:paraId="71BE60A5"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11</w:t>
            </w:r>
          </w:p>
        </w:tc>
        <w:tc>
          <w:tcPr>
            <w:tcW w:w="6090" w:type="dxa"/>
          </w:tcPr>
          <w:p w14:paraId="2F8E9E91"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 xml:space="preserve">Identificador Predial Urbano - Rural         </w:t>
            </w:r>
          </w:p>
        </w:tc>
      </w:tr>
      <w:tr w:rsidR="00FE17E7" w:rsidRPr="001F242B" w14:paraId="308F4D15" w14:textId="77777777" w:rsidTr="31FF9146">
        <w:trPr>
          <w:trHeight w:val="285"/>
          <w:jc w:val="center"/>
        </w:trPr>
        <w:tc>
          <w:tcPr>
            <w:cnfStyle w:val="001000000000" w:firstRow="0" w:lastRow="0" w:firstColumn="1" w:lastColumn="0" w:oddVBand="0" w:evenVBand="0" w:oddHBand="0" w:evenHBand="0" w:firstRowFirstColumn="0" w:firstRowLastColumn="0" w:lastRowFirstColumn="0" w:lastRowLastColumn="0"/>
            <w:tcW w:w="855" w:type="dxa"/>
          </w:tcPr>
          <w:p w14:paraId="19740C38"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12</w:t>
            </w:r>
          </w:p>
        </w:tc>
        <w:tc>
          <w:tcPr>
            <w:tcW w:w="6090" w:type="dxa"/>
          </w:tcPr>
          <w:p w14:paraId="14057612"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Fotogrametría digital</w:t>
            </w:r>
          </w:p>
        </w:tc>
      </w:tr>
      <w:tr w:rsidR="00FE17E7" w:rsidRPr="001F242B" w14:paraId="047A9838" w14:textId="77777777" w:rsidTr="31FF9146">
        <w:trPr>
          <w:trHeight w:val="285"/>
          <w:jc w:val="center"/>
        </w:trPr>
        <w:tc>
          <w:tcPr>
            <w:cnfStyle w:val="001000000000" w:firstRow="0" w:lastRow="0" w:firstColumn="1" w:lastColumn="0" w:oddVBand="0" w:evenVBand="0" w:oddHBand="0" w:evenHBand="0" w:firstRowFirstColumn="0" w:firstRowLastColumn="0" w:lastRowFirstColumn="0" w:lastRowLastColumn="0"/>
            <w:tcW w:w="855" w:type="dxa"/>
          </w:tcPr>
          <w:p w14:paraId="048CEF7B" w14:textId="77777777" w:rsidR="00FE17E7" w:rsidRPr="001F242B" w:rsidRDefault="00FE17E7" w:rsidP="00C72779">
            <w:pPr>
              <w:jc w:val="center"/>
              <w:rPr>
                <w:rFonts w:eastAsia="Arial" w:cs="Arial"/>
                <w:sz w:val="20"/>
                <w:szCs w:val="22"/>
                <w:lang w:val="es"/>
              </w:rPr>
            </w:pPr>
            <w:r w:rsidRPr="001F242B">
              <w:rPr>
                <w:rFonts w:eastAsia="Arial" w:cs="Arial"/>
                <w:sz w:val="20"/>
                <w:szCs w:val="22"/>
                <w:lang w:val="es"/>
              </w:rPr>
              <w:t>13</w:t>
            </w:r>
          </w:p>
        </w:tc>
        <w:tc>
          <w:tcPr>
            <w:tcW w:w="6090" w:type="dxa"/>
          </w:tcPr>
          <w:p w14:paraId="2DCBF4C9" w14:textId="77777777" w:rsidR="00FE17E7" w:rsidRPr="001F242B" w:rsidRDefault="00FE17E7" w:rsidP="00C72779">
            <w:pPr>
              <w:cnfStyle w:val="000000000000" w:firstRow="0"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Percepción remota y procesamiento digital y de imágenes</w:t>
            </w:r>
          </w:p>
        </w:tc>
      </w:tr>
    </w:tbl>
    <w:p w14:paraId="6241FD19" w14:textId="35CFBB74" w:rsidR="31FF9146" w:rsidRDefault="31FF9146"/>
    <w:p w14:paraId="6E2E3D9C" w14:textId="77777777" w:rsidR="00FE17E7" w:rsidRPr="00EE777A" w:rsidRDefault="00FE17E7" w:rsidP="00C72779">
      <w:pPr>
        <w:jc w:val="center"/>
        <w:rPr>
          <w:rFonts w:eastAsia="Arial" w:cs="Arial"/>
          <w:b/>
          <w:bCs/>
          <w:sz w:val="22"/>
          <w:szCs w:val="22"/>
          <w:lang w:val="es"/>
        </w:rPr>
      </w:pPr>
      <w:r w:rsidRPr="00EE777A">
        <w:rPr>
          <w:rFonts w:eastAsia="Arial" w:cs="Arial"/>
          <w:b/>
          <w:sz w:val="18"/>
          <w:szCs w:val="22"/>
          <w:lang w:val="es"/>
        </w:rPr>
        <w:t xml:space="preserve">Fuente: Dirección de Investigación y Prospectiva </w:t>
      </w:r>
    </w:p>
    <w:p w14:paraId="7EFE7C62" w14:textId="77777777" w:rsidR="00FE17E7" w:rsidRPr="00C07EF6" w:rsidRDefault="00FE17E7" w:rsidP="00C72779">
      <w:pPr>
        <w:rPr>
          <w:rFonts w:eastAsia="Arial" w:cs="Arial"/>
          <w:sz w:val="22"/>
          <w:szCs w:val="22"/>
          <w:lang w:val="es"/>
        </w:rPr>
      </w:pPr>
    </w:p>
    <w:p w14:paraId="03F6BF68" w14:textId="66D33DFE" w:rsidR="00FE17E7" w:rsidRPr="00C07EF6" w:rsidRDefault="00FE17E7" w:rsidP="00C72779">
      <w:pPr>
        <w:jc w:val="both"/>
        <w:rPr>
          <w:rFonts w:eastAsia="Arial" w:cs="Arial"/>
          <w:sz w:val="22"/>
          <w:szCs w:val="22"/>
          <w:lang w:val="es"/>
        </w:rPr>
      </w:pPr>
      <w:r w:rsidRPr="00C07EF6">
        <w:rPr>
          <w:rFonts w:eastAsia="Arial" w:cs="Arial"/>
          <w:sz w:val="22"/>
          <w:szCs w:val="22"/>
          <w:lang w:val="es"/>
        </w:rPr>
        <w:t>Cabe resaltar</w:t>
      </w:r>
      <w:r w:rsidR="00EE777A">
        <w:rPr>
          <w:rFonts w:eastAsia="Arial" w:cs="Arial"/>
          <w:sz w:val="22"/>
          <w:szCs w:val="22"/>
          <w:lang w:val="es"/>
        </w:rPr>
        <w:t xml:space="preserve"> que se desarrollaron siete </w:t>
      </w:r>
      <w:r w:rsidRPr="00C07EF6">
        <w:rPr>
          <w:rFonts w:eastAsia="Arial" w:cs="Arial"/>
          <w:sz w:val="22"/>
          <w:szCs w:val="22"/>
          <w:lang w:val="es"/>
        </w:rPr>
        <w:t>cursos nuevos para ser ofertados en el programa académico en temas de castro multipropósito, los cuales son:</w:t>
      </w:r>
    </w:p>
    <w:p w14:paraId="2C199960" w14:textId="77777777" w:rsidR="00FE17E7" w:rsidRPr="00C07EF6" w:rsidRDefault="00FE17E7" w:rsidP="00C72779">
      <w:pPr>
        <w:jc w:val="both"/>
        <w:rPr>
          <w:rFonts w:eastAsia="Arial" w:cs="Arial"/>
          <w:sz w:val="22"/>
          <w:szCs w:val="22"/>
          <w:lang w:val="es"/>
        </w:rPr>
      </w:pPr>
    </w:p>
    <w:p w14:paraId="7B9FFCD1" w14:textId="7777777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Como ser gestor catastral.</w:t>
      </w:r>
    </w:p>
    <w:p w14:paraId="1FDFAEF2" w14:textId="6F9AE5F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Marco institucional y normativo de catastro multipropósito.</w:t>
      </w:r>
    </w:p>
    <w:p w14:paraId="11B1C926" w14:textId="7777777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Procesos catastrales con enfoque multipropósito.</w:t>
      </w:r>
    </w:p>
    <w:p w14:paraId="04B8A28B" w14:textId="7777777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Estándares para la implementación del catastro multipropósito.</w:t>
      </w:r>
    </w:p>
    <w:p w14:paraId="31C13D27" w14:textId="7777777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Especificaciones técnicas para la operación del catastro multipropósito.</w:t>
      </w:r>
    </w:p>
    <w:p w14:paraId="5F4E0981" w14:textId="77777777" w:rsid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Gestión de calidad de información geográfica para el catastro multipropósito.</w:t>
      </w:r>
    </w:p>
    <w:p w14:paraId="3A664B91" w14:textId="52FD6D11" w:rsidR="00FE17E7" w:rsidRPr="00EE777A" w:rsidRDefault="00FE17E7" w:rsidP="000A20EE">
      <w:pPr>
        <w:pStyle w:val="Prrafodelista"/>
        <w:numPr>
          <w:ilvl w:val="6"/>
          <w:numId w:val="79"/>
        </w:numPr>
        <w:rPr>
          <w:rFonts w:eastAsia="Arial" w:cs="Arial"/>
          <w:sz w:val="22"/>
          <w:szCs w:val="22"/>
          <w:lang w:val="es"/>
        </w:rPr>
      </w:pPr>
      <w:r w:rsidRPr="00EE777A">
        <w:rPr>
          <w:rFonts w:eastAsia="Arial" w:cs="Arial"/>
          <w:sz w:val="22"/>
          <w:szCs w:val="22"/>
          <w:lang w:val="es"/>
        </w:rPr>
        <w:t>Tecnologías de la información geográfica del catastro multipropósito.</w:t>
      </w:r>
    </w:p>
    <w:p w14:paraId="016DD7CA" w14:textId="77777777" w:rsidR="00FE17E7" w:rsidRPr="00C07EF6" w:rsidRDefault="00FE17E7" w:rsidP="00C72779">
      <w:pPr>
        <w:jc w:val="both"/>
        <w:rPr>
          <w:rFonts w:eastAsia="Arial" w:cs="Arial"/>
          <w:sz w:val="22"/>
          <w:szCs w:val="22"/>
          <w:lang w:val="es"/>
        </w:rPr>
      </w:pPr>
    </w:p>
    <w:p w14:paraId="6C5B6446" w14:textId="63C75983" w:rsidR="00FE17E7" w:rsidRPr="00EE777A" w:rsidRDefault="00FE17E7" w:rsidP="00C72779">
      <w:pPr>
        <w:jc w:val="both"/>
        <w:rPr>
          <w:rFonts w:eastAsia="Arial" w:cs="Arial"/>
          <w:sz w:val="22"/>
          <w:szCs w:val="22"/>
          <w:lang w:val="es"/>
        </w:rPr>
      </w:pPr>
      <w:r w:rsidRPr="00C07EF6">
        <w:rPr>
          <w:rFonts w:eastAsia="Arial" w:cs="Arial"/>
          <w:sz w:val="22"/>
          <w:szCs w:val="22"/>
          <w:lang w:val="es"/>
        </w:rPr>
        <w:t>Así mismo, se consolido la información y se generaron las piezas gráficas para disponer en la plataforma Telecentro Regional los</w:t>
      </w:r>
      <w:r w:rsidR="00EE777A">
        <w:rPr>
          <w:rFonts w:eastAsia="Arial" w:cs="Arial"/>
          <w:sz w:val="22"/>
          <w:szCs w:val="22"/>
          <w:lang w:val="es"/>
        </w:rPr>
        <w:t xml:space="preserve"> siguientes talleres: </w:t>
      </w:r>
      <w:r w:rsidRPr="00C07EF6">
        <w:rPr>
          <w:rFonts w:eastAsia="Arial" w:cs="Arial"/>
          <w:sz w:val="22"/>
          <w:szCs w:val="22"/>
          <w:lang w:val="es"/>
        </w:rPr>
        <w:t>El Catastro multipropósito en el marco del Ordenami</w:t>
      </w:r>
      <w:r w:rsidR="00EE777A">
        <w:rPr>
          <w:rFonts w:eastAsia="Arial" w:cs="Arial"/>
          <w:sz w:val="22"/>
          <w:szCs w:val="22"/>
          <w:lang w:val="es"/>
        </w:rPr>
        <w:t xml:space="preserve">ento Territorial y </w:t>
      </w:r>
      <w:r w:rsidRPr="00C07EF6">
        <w:rPr>
          <w:rFonts w:eastAsia="Arial" w:cs="Arial"/>
          <w:sz w:val="22"/>
          <w:szCs w:val="22"/>
          <w:lang w:val="es"/>
        </w:rPr>
        <w:t>Los Sistemas de información Geográfica como herramientas para el Ordenamiento Territorial.</w:t>
      </w:r>
      <w:r w:rsidR="00EE777A">
        <w:rPr>
          <w:rFonts w:eastAsia="Arial" w:cs="Arial"/>
          <w:sz w:val="22"/>
          <w:szCs w:val="22"/>
          <w:lang w:val="es"/>
        </w:rPr>
        <w:t xml:space="preserve"> </w:t>
      </w:r>
      <w:r w:rsidRPr="00C07EF6">
        <w:rPr>
          <w:rFonts w:eastAsia="Arial" w:cs="Arial"/>
          <w:color w:val="000000" w:themeColor="text1"/>
          <w:sz w:val="22"/>
          <w:szCs w:val="22"/>
        </w:rPr>
        <w:t>Por otra parte, se realizaron acciones orientadas al mejoramiento de la plataforma de capacitación virtual (Telecentro regional), así como a la organización de procesos para el usuario, estas son:</w:t>
      </w:r>
    </w:p>
    <w:p w14:paraId="0922B9A9" w14:textId="77777777" w:rsidR="00FE17E7" w:rsidRPr="00C07EF6" w:rsidRDefault="00FE17E7" w:rsidP="00C72779">
      <w:pPr>
        <w:jc w:val="both"/>
        <w:rPr>
          <w:sz w:val="22"/>
          <w:szCs w:val="22"/>
        </w:rPr>
      </w:pPr>
      <w:r w:rsidRPr="00C07EF6">
        <w:rPr>
          <w:rFonts w:eastAsia="Arial" w:cs="Arial"/>
          <w:b/>
          <w:bCs/>
          <w:sz w:val="22"/>
          <w:szCs w:val="22"/>
        </w:rPr>
        <w:t xml:space="preserve"> </w:t>
      </w:r>
    </w:p>
    <w:p w14:paraId="14392EFC" w14:textId="77777777" w:rsidR="00FE17E7" w:rsidRPr="00C07EF6" w:rsidRDefault="00FE17E7" w:rsidP="00C72779">
      <w:pPr>
        <w:jc w:val="both"/>
        <w:rPr>
          <w:rFonts w:eastAsia="Arial" w:cs="Arial"/>
          <w:sz w:val="22"/>
          <w:szCs w:val="22"/>
          <w:lang w:val="es"/>
        </w:rPr>
      </w:pPr>
      <w:r w:rsidRPr="00C07EF6">
        <w:rPr>
          <w:rFonts w:eastAsia="Arial" w:cs="Arial"/>
          <w:b/>
          <w:bCs/>
          <w:color w:val="000000" w:themeColor="text1"/>
          <w:sz w:val="22"/>
          <w:szCs w:val="22"/>
        </w:rPr>
        <w:t>Plataforma Telecentro</w:t>
      </w:r>
      <w:r w:rsidRPr="00C07EF6">
        <w:rPr>
          <w:rFonts w:eastAsia="Arial" w:cs="Arial"/>
          <w:color w:val="000000" w:themeColor="text1"/>
          <w:sz w:val="22"/>
          <w:szCs w:val="22"/>
        </w:rPr>
        <w:t xml:space="preserve">:  </w:t>
      </w:r>
      <w:r w:rsidRPr="00C07EF6">
        <w:rPr>
          <w:rFonts w:eastAsia="Arial" w:cs="Arial"/>
          <w:sz w:val="22"/>
          <w:szCs w:val="22"/>
          <w:lang w:val="es"/>
        </w:rPr>
        <w:t>Se rediseño y actualizó la plataforma de enseñanza virtual con ampliación de su capacidad para fortalecer procesos de capacitación institucional. Para lo anterior instaló la nueva plataforma de Moodle con 4 servidores configurados alta disponibilidad y balanceo de cargas. Con versión de Moodle 3.9 la cual incluye nuevas herramientas actualizaciones. syllabus, guías didácticas, apoyo pedagógico, diseño gráfico y corrección de estilo.</w:t>
      </w:r>
    </w:p>
    <w:p w14:paraId="70CC41ED" w14:textId="77777777" w:rsidR="00FE17E7" w:rsidRPr="00C07EF6" w:rsidRDefault="00FE17E7" w:rsidP="00C72779">
      <w:pPr>
        <w:jc w:val="both"/>
        <w:rPr>
          <w:rFonts w:cs="Arial"/>
          <w:sz w:val="22"/>
          <w:szCs w:val="22"/>
          <w:lang w:val="es"/>
        </w:rPr>
      </w:pPr>
      <w:r w:rsidRPr="00C07EF6">
        <w:rPr>
          <w:rFonts w:eastAsia="Arial" w:cs="Arial"/>
          <w:sz w:val="22"/>
          <w:szCs w:val="22"/>
          <w:lang w:val="es"/>
        </w:rPr>
        <w:t xml:space="preserve"> </w:t>
      </w:r>
    </w:p>
    <w:p w14:paraId="0977152A" w14:textId="688F3082" w:rsidR="00FE17E7" w:rsidRDefault="00FE17E7" w:rsidP="00C72779">
      <w:pPr>
        <w:spacing w:after="16"/>
        <w:jc w:val="both"/>
        <w:rPr>
          <w:rFonts w:eastAsia="Calibri"/>
          <w:sz w:val="22"/>
          <w:szCs w:val="22"/>
          <w:lang w:val="es"/>
        </w:rPr>
      </w:pPr>
      <w:r w:rsidRPr="00C07EF6">
        <w:rPr>
          <w:rFonts w:eastAsia="Arial" w:cs="Arial"/>
          <w:b/>
          <w:bCs/>
          <w:color w:val="000000" w:themeColor="text1"/>
          <w:sz w:val="22"/>
          <w:szCs w:val="22"/>
        </w:rPr>
        <w:t>Procesos para el usuario</w:t>
      </w:r>
      <w:r w:rsidRPr="00C07EF6">
        <w:rPr>
          <w:rFonts w:eastAsia="Arial" w:cs="Arial"/>
          <w:color w:val="000000" w:themeColor="text1"/>
          <w:sz w:val="22"/>
          <w:szCs w:val="22"/>
        </w:rPr>
        <w:t xml:space="preserve">: </w:t>
      </w:r>
      <w:r w:rsidRPr="00C07EF6">
        <w:rPr>
          <w:rFonts w:eastAsia="Arial" w:cs="Arial"/>
          <w:sz w:val="22"/>
          <w:szCs w:val="22"/>
          <w:lang w:val="es"/>
        </w:rPr>
        <w:t>Se realizaron actividades de rediseño, actualización de trámites administrativos con el objetivo de eliminar trámites análogos.  A la fecha, el programa académico del CIAF se encuentra sistematizado y publicado en página WEB logrando tener una base de datos de personas interesadas en programas convirtiéndose en un punto de apoyo para toma de decisiones.</w:t>
      </w:r>
      <w:r w:rsidR="00EE777A">
        <w:rPr>
          <w:sz w:val="22"/>
          <w:szCs w:val="22"/>
        </w:rPr>
        <w:t xml:space="preserve"> </w:t>
      </w:r>
      <w:r w:rsidRPr="00C07EF6">
        <w:rPr>
          <w:rFonts w:eastAsia="Calibri"/>
          <w:sz w:val="22"/>
          <w:szCs w:val="22"/>
          <w:lang w:val="es"/>
        </w:rPr>
        <w:t>En la siguiente tabla se presenta el resumen de la cantidad de cursos desarrollados año a año para el periodo reportado.</w:t>
      </w:r>
    </w:p>
    <w:p w14:paraId="5844D1F4" w14:textId="368DBA5D" w:rsidR="00EE777A" w:rsidRDefault="00EE777A" w:rsidP="00C72779">
      <w:pPr>
        <w:spacing w:after="16"/>
        <w:jc w:val="both"/>
        <w:rPr>
          <w:rFonts w:eastAsia="Calibri"/>
          <w:sz w:val="22"/>
          <w:szCs w:val="22"/>
          <w:lang w:val="es"/>
        </w:rPr>
      </w:pPr>
    </w:p>
    <w:p w14:paraId="38739C70" w14:textId="3428FD18" w:rsidR="00FE17E7" w:rsidRPr="003E7465" w:rsidRDefault="00EC27C3" w:rsidP="00EC27C3">
      <w:pPr>
        <w:pStyle w:val="Descripcin"/>
        <w:jc w:val="center"/>
        <w:rPr>
          <w:rFonts w:ascii="Arial" w:hAnsi="Arial" w:cs="Arial"/>
          <w:b/>
          <w:i w:val="0"/>
          <w:color w:val="auto"/>
          <w:sz w:val="16"/>
          <w:szCs w:val="16"/>
        </w:rPr>
      </w:pPr>
      <w:bookmarkStart w:id="135" w:name="_Toc88677122"/>
      <w:r w:rsidRPr="003E7465">
        <w:rPr>
          <w:rFonts w:ascii="Arial" w:hAnsi="Arial" w:cs="Arial"/>
          <w:b/>
          <w:i w:val="0"/>
          <w:color w:val="auto"/>
          <w:sz w:val="16"/>
          <w:szCs w:val="16"/>
        </w:rPr>
        <w:t xml:space="preserve">Tabla </w:t>
      </w:r>
      <w:r w:rsidRPr="003E7465">
        <w:rPr>
          <w:rFonts w:ascii="Arial" w:hAnsi="Arial" w:cs="Arial"/>
          <w:b/>
          <w:i w:val="0"/>
          <w:color w:val="auto"/>
          <w:sz w:val="16"/>
          <w:szCs w:val="16"/>
        </w:rPr>
        <w:fldChar w:fldCharType="begin"/>
      </w:r>
      <w:r w:rsidRPr="003E7465">
        <w:rPr>
          <w:rFonts w:ascii="Arial" w:hAnsi="Arial" w:cs="Arial"/>
          <w:b/>
          <w:i w:val="0"/>
          <w:color w:val="auto"/>
          <w:sz w:val="16"/>
          <w:szCs w:val="16"/>
        </w:rPr>
        <w:instrText xml:space="preserve"> SEQ Tabla \* ARABIC </w:instrText>
      </w:r>
      <w:r w:rsidRPr="003E7465">
        <w:rPr>
          <w:rFonts w:ascii="Arial" w:hAnsi="Arial" w:cs="Arial"/>
          <w:b/>
          <w:i w:val="0"/>
          <w:color w:val="auto"/>
          <w:sz w:val="16"/>
          <w:szCs w:val="16"/>
        </w:rPr>
        <w:fldChar w:fldCharType="separate"/>
      </w:r>
      <w:r w:rsidR="004D4C6A">
        <w:rPr>
          <w:rFonts w:ascii="Arial" w:hAnsi="Arial" w:cs="Arial"/>
          <w:b/>
          <w:i w:val="0"/>
          <w:noProof/>
          <w:color w:val="auto"/>
          <w:sz w:val="16"/>
          <w:szCs w:val="16"/>
        </w:rPr>
        <w:t>50</w:t>
      </w:r>
      <w:r w:rsidRPr="003E7465">
        <w:rPr>
          <w:rFonts w:ascii="Arial" w:hAnsi="Arial" w:cs="Arial"/>
          <w:b/>
          <w:i w:val="0"/>
          <w:color w:val="auto"/>
          <w:sz w:val="16"/>
          <w:szCs w:val="16"/>
        </w:rPr>
        <w:fldChar w:fldCharType="end"/>
      </w:r>
      <w:r w:rsidRPr="003E7465">
        <w:rPr>
          <w:rFonts w:ascii="Arial" w:hAnsi="Arial" w:cs="Arial"/>
          <w:b/>
          <w:i w:val="0"/>
          <w:color w:val="auto"/>
          <w:sz w:val="16"/>
          <w:szCs w:val="16"/>
        </w:rPr>
        <w:t xml:space="preserve">. </w:t>
      </w:r>
      <w:r w:rsidR="00EE777A" w:rsidRPr="003E7465">
        <w:rPr>
          <w:rFonts w:ascii="Arial" w:hAnsi="Arial" w:cs="Arial"/>
          <w:b/>
          <w:i w:val="0"/>
          <w:color w:val="auto"/>
          <w:sz w:val="16"/>
          <w:szCs w:val="16"/>
        </w:rPr>
        <w:t>Cursos desarrollados</w:t>
      </w:r>
      <w:bookmarkEnd w:id="135"/>
    </w:p>
    <w:tbl>
      <w:tblPr>
        <w:tblStyle w:val="Tabladecuadrcula4-nfasis1"/>
        <w:tblW w:w="0" w:type="auto"/>
        <w:jc w:val="center"/>
        <w:tblLayout w:type="fixed"/>
        <w:tblLook w:val="06A0" w:firstRow="1" w:lastRow="0" w:firstColumn="1" w:lastColumn="0" w:noHBand="1" w:noVBand="1"/>
      </w:tblPr>
      <w:tblGrid>
        <w:gridCol w:w="1365"/>
        <w:gridCol w:w="1425"/>
        <w:gridCol w:w="1440"/>
      </w:tblGrid>
      <w:tr w:rsidR="00EE777A" w:rsidRPr="00166211" w14:paraId="65E9662B" w14:textId="77777777"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6AB4904B" w14:textId="77777777" w:rsidR="00EE777A" w:rsidRPr="00166211" w:rsidRDefault="00EE777A" w:rsidP="00C72779">
            <w:pPr>
              <w:jc w:val="center"/>
              <w:rPr>
                <w:sz w:val="20"/>
                <w:szCs w:val="22"/>
              </w:rPr>
            </w:pPr>
            <w:r w:rsidRPr="00166211">
              <w:rPr>
                <w:rFonts w:eastAsia="Arial" w:cs="Arial"/>
                <w:sz w:val="20"/>
                <w:szCs w:val="22"/>
                <w:lang w:val="es"/>
              </w:rPr>
              <w:t>2019</w:t>
            </w:r>
          </w:p>
        </w:tc>
        <w:tc>
          <w:tcPr>
            <w:tcW w:w="1425" w:type="dxa"/>
            <w:vAlign w:val="center"/>
          </w:tcPr>
          <w:p w14:paraId="2C10715A" w14:textId="77777777" w:rsidR="00EE777A" w:rsidRPr="00166211" w:rsidRDefault="00EE777A" w:rsidP="00C72779">
            <w:pPr>
              <w:jc w:val="center"/>
              <w:cnfStyle w:val="100000000000" w:firstRow="1" w:lastRow="0" w:firstColumn="0" w:lastColumn="0" w:oddVBand="0" w:evenVBand="0" w:oddHBand="0" w:evenHBand="0" w:firstRowFirstColumn="0" w:firstRowLastColumn="0" w:lastRowFirstColumn="0" w:lastRowLastColumn="0"/>
              <w:rPr>
                <w:sz w:val="20"/>
                <w:szCs w:val="22"/>
              </w:rPr>
            </w:pPr>
            <w:r w:rsidRPr="00166211">
              <w:rPr>
                <w:rFonts w:eastAsia="Arial" w:cs="Arial"/>
                <w:sz w:val="20"/>
                <w:szCs w:val="22"/>
                <w:lang w:val="es"/>
              </w:rPr>
              <w:t>2020</w:t>
            </w:r>
          </w:p>
        </w:tc>
        <w:tc>
          <w:tcPr>
            <w:tcW w:w="1440" w:type="dxa"/>
            <w:vAlign w:val="center"/>
          </w:tcPr>
          <w:p w14:paraId="0DD956F3" w14:textId="77777777" w:rsidR="00EE777A" w:rsidRPr="00166211" w:rsidRDefault="00EE777A" w:rsidP="00C72779">
            <w:pPr>
              <w:jc w:val="center"/>
              <w:cnfStyle w:val="100000000000" w:firstRow="1" w:lastRow="0" w:firstColumn="0" w:lastColumn="0" w:oddVBand="0" w:evenVBand="0" w:oddHBand="0" w:evenHBand="0" w:firstRowFirstColumn="0" w:firstRowLastColumn="0" w:lastRowFirstColumn="0" w:lastRowLastColumn="0"/>
              <w:rPr>
                <w:sz w:val="20"/>
                <w:szCs w:val="22"/>
              </w:rPr>
            </w:pPr>
            <w:r w:rsidRPr="00166211">
              <w:rPr>
                <w:rFonts w:eastAsia="Arial" w:cs="Arial"/>
                <w:sz w:val="20"/>
                <w:szCs w:val="22"/>
                <w:lang w:val="es"/>
              </w:rPr>
              <w:t>2021</w:t>
            </w:r>
          </w:p>
        </w:tc>
      </w:tr>
      <w:tr w:rsidR="00EE777A" w:rsidRPr="00166211" w14:paraId="437BF6AD" w14:textId="77777777" w:rsidTr="31FF9146">
        <w:trPr>
          <w:trHeight w:val="403"/>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3D059336" w14:textId="77777777" w:rsidR="00EE777A" w:rsidRPr="00166211" w:rsidRDefault="00EE777A" w:rsidP="00C72779">
            <w:pPr>
              <w:jc w:val="center"/>
              <w:rPr>
                <w:sz w:val="20"/>
                <w:szCs w:val="22"/>
              </w:rPr>
            </w:pPr>
            <w:r w:rsidRPr="00166211">
              <w:rPr>
                <w:rFonts w:eastAsia="Arial" w:cs="Arial"/>
                <w:sz w:val="20"/>
                <w:szCs w:val="22"/>
                <w:lang w:val="es"/>
              </w:rPr>
              <w:t>10</w:t>
            </w:r>
          </w:p>
        </w:tc>
        <w:tc>
          <w:tcPr>
            <w:tcW w:w="1425" w:type="dxa"/>
            <w:vAlign w:val="center"/>
          </w:tcPr>
          <w:p w14:paraId="19ED5A8F" w14:textId="77777777" w:rsidR="00EE777A" w:rsidRPr="00166211"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0"/>
                <w:szCs w:val="22"/>
              </w:rPr>
            </w:pPr>
            <w:r w:rsidRPr="00166211">
              <w:rPr>
                <w:rFonts w:eastAsia="Arial" w:cs="Arial"/>
                <w:b/>
                <w:sz w:val="20"/>
                <w:szCs w:val="22"/>
                <w:lang w:val="es"/>
              </w:rPr>
              <w:t>11</w:t>
            </w:r>
          </w:p>
        </w:tc>
        <w:tc>
          <w:tcPr>
            <w:tcW w:w="1440" w:type="dxa"/>
            <w:vAlign w:val="center"/>
          </w:tcPr>
          <w:p w14:paraId="41B7CE8E" w14:textId="77777777" w:rsidR="00EE777A" w:rsidRPr="00166211" w:rsidRDefault="00EE777A" w:rsidP="00C72779">
            <w:pPr>
              <w:jc w:val="center"/>
              <w:cnfStyle w:val="000000000000" w:firstRow="0" w:lastRow="0" w:firstColumn="0" w:lastColumn="0" w:oddVBand="0" w:evenVBand="0" w:oddHBand="0" w:evenHBand="0" w:firstRowFirstColumn="0" w:firstRowLastColumn="0" w:lastRowFirstColumn="0" w:lastRowLastColumn="0"/>
              <w:rPr>
                <w:b/>
                <w:sz w:val="20"/>
                <w:szCs w:val="22"/>
              </w:rPr>
            </w:pPr>
            <w:r w:rsidRPr="00166211">
              <w:rPr>
                <w:rFonts w:eastAsia="Arial" w:cs="Arial"/>
                <w:b/>
                <w:sz w:val="20"/>
                <w:szCs w:val="22"/>
                <w:lang w:val="es"/>
              </w:rPr>
              <w:t>3</w:t>
            </w:r>
          </w:p>
        </w:tc>
      </w:tr>
    </w:tbl>
    <w:p w14:paraId="3CA146CA" w14:textId="752CC296" w:rsidR="31FF9146" w:rsidRDefault="31FF9146"/>
    <w:p w14:paraId="05B32391" w14:textId="77777777" w:rsidR="00FE17E7" w:rsidRPr="00EE777A" w:rsidRDefault="00FE17E7" w:rsidP="00C72779">
      <w:pPr>
        <w:jc w:val="center"/>
        <w:rPr>
          <w:rFonts w:eastAsia="Arial" w:cs="Arial"/>
          <w:b/>
          <w:sz w:val="18"/>
          <w:szCs w:val="22"/>
          <w:lang w:val="es"/>
        </w:rPr>
      </w:pPr>
      <w:r w:rsidRPr="00EE777A">
        <w:rPr>
          <w:rFonts w:eastAsia="Arial" w:cs="Arial"/>
          <w:b/>
          <w:sz w:val="18"/>
          <w:szCs w:val="22"/>
          <w:lang w:val="es"/>
        </w:rPr>
        <w:t xml:space="preserve">Fuente: Dirección de Investigación y Prospectiva </w:t>
      </w:r>
    </w:p>
    <w:p w14:paraId="7D289ECF" w14:textId="37201CCE" w:rsidR="00EE777A" w:rsidRPr="00C07EF6" w:rsidRDefault="00EE777A" w:rsidP="00C72779">
      <w:pPr>
        <w:rPr>
          <w:rFonts w:eastAsia="Arial" w:cs="Arial"/>
          <w:b/>
          <w:sz w:val="22"/>
          <w:szCs w:val="22"/>
          <w:lang w:val="es"/>
        </w:rPr>
      </w:pPr>
    </w:p>
    <w:p w14:paraId="32EDBFFF" w14:textId="77777777" w:rsidR="00FE17E7" w:rsidRPr="00166211" w:rsidRDefault="00FE17E7" w:rsidP="00C72779">
      <w:pPr>
        <w:rPr>
          <w:b/>
          <w:sz w:val="22"/>
        </w:rPr>
      </w:pPr>
      <w:bookmarkStart w:id="136" w:name="_Toc87622113"/>
      <w:r w:rsidRPr="00166211">
        <w:rPr>
          <w:rFonts w:eastAsia="Arial"/>
          <w:b/>
          <w:sz w:val="22"/>
          <w:lang w:val="es"/>
        </w:rPr>
        <w:t>SISTEMAS DE INFOMACIÓN GEOGRÁFICA</w:t>
      </w:r>
      <w:bookmarkEnd w:id="136"/>
    </w:p>
    <w:p w14:paraId="65EB73D9" w14:textId="6CF695B9" w:rsidR="00FE17E7" w:rsidRPr="00C07EF6" w:rsidRDefault="00FE17E7" w:rsidP="00C72779">
      <w:pPr>
        <w:jc w:val="both"/>
        <w:rPr>
          <w:sz w:val="22"/>
          <w:szCs w:val="22"/>
        </w:rPr>
      </w:pPr>
      <w:r w:rsidRPr="00C07EF6">
        <w:rPr>
          <w:rFonts w:eastAsia="Arial" w:cs="Arial"/>
          <w:sz w:val="22"/>
          <w:szCs w:val="22"/>
          <w:lang w:val="es"/>
        </w:rPr>
        <w:t>Con respecto a los Sistemas de Información Geográf</w:t>
      </w:r>
      <w:r w:rsidR="00EE777A">
        <w:rPr>
          <w:rFonts w:eastAsia="Arial" w:cs="Arial"/>
          <w:sz w:val="22"/>
          <w:szCs w:val="22"/>
          <w:lang w:val="es"/>
        </w:rPr>
        <w:t xml:space="preserve">ica se han desarrollado </w:t>
      </w:r>
      <w:r w:rsidR="00166211">
        <w:rPr>
          <w:rFonts w:eastAsia="Arial" w:cs="Arial"/>
          <w:sz w:val="22"/>
          <w:szCs w:val="22"/>
          <w:lang w:val="es"/>
        </w:rPr>
        <w:t>dos sistemas</w:t>
      </w:r>
      <w:r w:rsidRPr="00C07EF6">
        <w:rPr>
          <w:rFonts w:eastAsia="Arial" w:cs="Arial"/>
          <w:sz w:val="22"/>
          <w:szCs w:val="22"/>
          <w:lang w:val="es"/>
        </w:rPr>
        <w:t xml:space="preserve"> de información, uno como apoyo al cumplimiento de los compromisos del Gobierno Nacional con los grupos étnicos y otro como Apoyo al Sistema Nacional de Reparación de Víctimas -SNARIV, para lo cual se presentaron los siguientes resultados:</w:t>
      </w:r>
    </w:p>
    <w:p w14:paraId="14C84059" w14:textId="77777777" w:rsidR="00FE17E7" w:rsidRPr="00C07EF6" w:rsidRDefault="00FE17E7" w:rsidP="00C72779">
      <w:pPr>
        <w:jc w:val="both"/>
        <w:rPr>
          <w:sz w:val="22"/>
          <w:szCs w:val="22"/>
        </w:rPr>
      </w:pPr>
      <w:r w:rsidRPr="00C07EF6">
        <w:rPr>
          <w:rFonts w:eastAsia="Arial" w:cs="Arial"/>
          <w:sz w:val="22"/>
          <w:szCs w:val="22"/>
          <w:lang w:val="es"/>
        </w:rPr>
        <w:t xml:space="preserve"> </w:t>
      </w:r>
    </w:p>
    <w:p w14:paraId="61595B1D" w14:textId="77777777" w:rsidR="00FE17E7" w:rsidRPr="00C07EF6" w:rsidRDefault="00FE17E7" w:rsidP="000A20EE">
      <w:pPr>
        <w:pStyle w:val="Prrafodelista"/>
        <w:numPr>
          <w:ilvl w:val="0"/>
          <w:numId w:val="78"/>
        </w:numPr>
        <w:suppressAutoHyphens w:val="0"/>
        <w:overflowPunct/>
        <w:autoSpaceDE/>
        <w:spacing w:after="160"/>
        <w:contextualSpacing/>
        <w:textAlignment w:val="auto"/>
        <w:rPr>
          <w:rFonts w:eastAsiaTheme="minorEastAsia"/>
          <w:b/>
          <w:bCs/>
          <w:sz w:val="22"/>
          <w:szCs w:val="22"/>
        </w:rPr>
      </w:pPr>
      <w:r w:rsidRPr="00C07EF6">
        <w:rPr>
          <w:rFonts w:eastAsia="Arial" w:cs="Arial"/>
          <w:b/>
          <w:bCs/>
          <w:sz w:val="22"/>
          <w:szCs w:val="22"/>
        </w:rPr>
        <w:t>SIG INDÍGENAS:</w:t>
      </w:r>
    </w:p>
    <w:p w14:paraId="3C095DFF" w14:textId="77777777" w:rsidR="00FE17E7" w:rsidRPr="00C07EF6" w:rsidRDefault="00FE17E7" w:rsidP="00C72779">
      <w:pPr>
        <w:jc w:val="both"/>
        <w:rPr>
          <w:sz w:val="22"/>
          <w:szCs w:val="22"/>
        </w:rPr>
      </w:pPr>
      <w:r w:rsidRPr="00C07EF6">
        <w:rPr>
          <w:rFonts w:eastAsia="Arial" w:cs="Arial"/>
          <w:sz w:val="22"/>
          <w:szCs w:val="22"/>
          <w:lang w:val="es"/>
        </w:rPr>
        <w:t>Se realizó el análisis y actualización del documento de especificación de requerimientos con las nuevas funcionalidades para el SIG Indígenas, se generó documento con los casos de uso para las diferentes herramientas que serán implementadas en el SIG Indígenas y se realizó la actualización del documento de análisis para la fase II del proyecto.</w:t>
      </w:r>
    </w:p>
    <w:p w14:paraId="4E67E025" w14:textId="77777777" w:rsidR="00FE17E7" w:rsidRPr="00C07EF6" w:rsidRDefault="00FE17E7" w:rsidP="00C72779">
      <w:pPr>
        <w:jc w:val="both"/>
        <w:rPr>
          <w:rFonts w:eastAsia="Arial" w:cs="Arial"/>
          <w:sz w:val="22"/>
          <w:szCs w:val="22"/>
          <w:lang w:val="es"/>
        </w:rPr>
      </w:pPr>
    </w:p>
    <w:p w14:paraId="020EC37C" w14:textId="77777777" w:rsidR="00FE17E7" w:rsidRPr="00C07EF6" w:rsidRDefault="00FE17E7" w:rsidP="00C72779">
      <w:pPr>
        <w:jc w:val="both"/>
        <w:rPr>
          <w:rFonts w:eastAsia="Arial" w:cs="Arial"/>
          <w:sz w:val="22"/>
          <w:szCs w:val="22"/>
          <w:lang w:val="es"/>
        </w:rPr>
      </w:pPr>
      <w:r w:rsidRPr="00C07EF6">
        <w:rPr>
          <w:rFonts w:eastAsia="Arial" w:cs="Arial"/>
          <w:sz w:val="22"/>
          <w:szCs w:val="22"/>
          <w:lang w:val="es"/>
        </w:rPr>
        <w:t>Así mismo, se finalizó el desarrollo de la funcionalidad de registro de solicitudes de terrenos pretendidos por la Comisión Nacional de Territorios Indígenas - CNTI ante la Agencia Nacional de Tierras – ANT en el visor geográfico de la aplicación. Así mismo, se avanzó en la creación del formulario para actualizar las solicitudes en el módulo alfanumérico y en el desarrollo de la funcionalidad buscador de solicitudes del visor geográfico del Sistema de información SIG Indígenas.</w:t>
      </w:r>
    </w:p>
    <w:p w14:paraId="0B6E2FEF" w14:textId="77777777" w:rsidR="00FE17E7" w:rsidRPr="00C07EF6" w:rsidRDefault="00FE17E7" w:rsidP="00C72779">
      <w:pPr>
        <w:jc w:val="both"/>
        <w:rPr>
          <w:rFonts w:eastAsia="Arial" w:cs="Arial"/>
          <w:sz w:val="22"/>
          <w:szCs w:val="22"/>
          <w:lang w:val="es"/>
        </w:rPr>
      </w:pPr>
    </w:p>
    <w:p w14:paraId="1D31AD09" w14:textId="77777777" w:rsidR="00FE17E7" w:rsidRPr="00C07EF6" w:rsidRDefault="00FE17E7" w:rsidP="00C72779">
      <w:pPr>
        <w:jc w:val="both"/>
        <w:rPr>
          <w:sz w:val="22"/>
          <w:szCs w:val="22"/>
        </w:rPr>
      </w:pPr>
      <w:r w:rsidRPr="00C07EF6">
        <w:rPr>
          <w:rFonts w:eastAsia="Arial" w:cs="Arial"/>
          <w:sz w:val="22"/>
          <w:szCs w:val="22"/>
          <w:lang w:val="es"/>
        </w:rPr>
        <w:t>Adicionalmente, se generó el material didáctico y Syllabus para el desarrollo del curso virtual de fundamentos de la información geográfica para pueblos indígenas, el cual contó con la participación de 20 personas de diferentes comunidades indígenas y con personal de la Comisión Nacional de Territorios Indígenas - CNTI. Se realizó el curso virtual Fundamentos SIG a diferentes miembros de las comunidades indígenas según estrategia definida por la Comisión Nacional de Territorios Indígenas. Así mismo, se realizó la capacitación en administración (cargue de capas de información geográfica al sistema) y publicación de servicios web a funcionarios de la Comisión Nacional de Territorios Indígenas y se realizó el curso de Fundamentos IDE.</w:t>
      </w:r>
    </w:p>
    <w:p w14:paraId="15C7E823" w14:textId="77777777" w:rsidR="00FE17E7" w:rsidRPr="00C07EF6" w:rsidRDefault="00FE17E7" w:rsidP="00C72779">
      <w:pPr>
        <w:jc w:val="both"/>
        <w:rPr>
          <w:sz w:val="22"/>
          <w:szCs w:val="22"/>
        </w:rPr>
      </w:pPr>
      <w:r w:rsidRPr="00C07EF6">
        <w:rPr>
          <w:rFonts w:eastAsia="Arial" w:cs="Arial"/>
          <w:sz w:val="22"/>
          <w:szCs w:val="22"/>
          <w:lang w:val="es"/>
        </w:rPr>
        <w:t xml:space="preserve"> </w:t>
      </w:r>
    </w:p>
    <w:p w14:paraId="312141F2" w14:textId="77777777" w:rsidR="00FE17E7" w:rsidRPr="00C07EF6" w:rsidRDefault="00FE17E7" w:rsidP="00C72779">
      <w:pPr>
        <w:jc w:val="both"/>
        <w:rPr>
          <w:sz w:val="22"/>
          <w:szCs w:val="22"/>
        </w:rPr>
      </w:pPr>
      <w:r w:rsidRPr="00C07EF6">
        <w:rPr>
          <w:rFonts w:eastAsia="Arial" w:cs="Arial"/>
          <w:sz w:val="22"/>
          <w:szCs w:val="22"/>
          <w:lang w:val="es"/>
        </w:rPr>
        <w:t>Por otra parte, se brindó soporte y mantenimiento permanente a la plataforma tecnológica del Sistema de información dando solución a las incidencias presentadas durante la vigencia.</w:t>
      </w:r>
    </w:p>
    <w:p w14:paraId="63EBBE16" w14:textId="77777777" w:rsidR="00FE17E7" w:rsidRPr="00C07EF6" w:rsidRDefault="00FE17E7" w:rsidP="00C72779">
      <w:pPr>
        <w:jc w:val="both"/>
        <w:rPr>
          <w:sz w:val="22"/>
          <w:szCs w:val="22"/>
        </w:rPr>
      </w:pPr>
      <w:r w:rsidRPr="00C07EF6">
        <w:rPr>
          <w:rFonts w:eastAsia="Arial" w:cs="Arial"/>
          <w:sz w:val="22"/>
          <w:szCs w:val="22"/>
          <w:lang w:val="es"/>
        </w:rPr>
        <w:t xml:space="preserve"> </w:t>
      </w:r>
    </w:p>
    <w:p w14:paraId="65E83A07" w14:textId="77777777" w:rsidR="00FE17E7" w:rsidRPr="00C07EF6" w:rsidRDefault="00FE17E7" w:rsidP="000A20EE">
      <w:pPr>
        <w:pStyle w:val="Prrafodelista"/>
        <w:numPr>
          <w:ilvl w:val="0"/>
          <w:numId w:val="78"/>
        </w:numPr>
        <w:suppressAutoHyphens w:val="0"/>
        <w:overflowPunct/>
        <w:autoSpaceDE/>
        <w:spacing w:after="160"/>
        <w:contextualSpacing/>
        <w:textAlignment w:val="auto"/>
        <w:rPr>
          <w:rFonts w:eastAsiaTheme="minorEastAsia"/>
          <w:b/>
          <w:bCs/>
          <w:sz w:val="22"/>
          <w:szCs w:val="22"/>
        </w:rPr>
      </w:pPr>
      <w:r w:rsidRPr="00C07EF6">
        <w:rPr>
          <w:rFonts w:eastAsia="Arial" w:cs="Arial"/>
          <w:b/>
          <w:bCs/>
          <w:sz w:val="22"/>
          <w:szCs w:val="22"/>
        </w:rPr>
        <w:t>SIG APOYO A LA POLÍTICA INTEGRAL DE TIERRAS:</w:t>
      </w:r>
    </w:p>
    <w:p w14:paraId="3F870A54" w14:textId="36327233" w:rsidR="00FE17E7" w:rsidRPr="00E722D8" w:rsidRDefault="00FE17E7" w:rsidP="00C72779">
      <w:pPr>
        <w:jc w:val="both"/>
        <w:rPr>
          <w:rFonts w:eastAsia="Arial" w:cs="Arial"/>
          <w:sz w:val="22"/>
          <w:szCs w:val="22"/>
          <w:lang w:val="es"/>
        </w:rPr>
      </w:pPr>
      <w:r w:rsidRPr="00C07EF6">
        <w:rPr>
          <w:rFonts w:eastAsia="Arial" w:cs="Arial"/>
          <w:sz w:val="22"/>
          <w:szCs w:val="22"/>
          <w:lang w:val="es"/>
        </w:rPr>
        <w:t>En el Sistema de Información Geográfica SIG - apoyo a la política integral de tierras, se realizó el desarrollo de las siguientes funcionalidades las cuales fueron incorporadas al sistema para su mejoramiento:</w:t>
      </w:r>
    </w:p>
    <w:p w14:paraId="3AA41221" w14:textId="77777777" w:rsidR="00FE17E7" w:rsidRPr="00C07EF6" w:rsidRDefault="00FE17E7" w:rsidP="000A20EE">
      <w:pPr>
        <w:pStyle w:val="Prrafodelista"/>
        <w:numPr>
          <w:ilvl w:val="0"/>
          <w:numId w:val="80"/>
        </w:numPr>
        <w:suppressAutoHyphens w:val="0"/>
        <w:overflowPunct/>
        <w:autoSpaceDE/>
        <w:spacing w:after="160"/>
        <w:contextualSpacing/>
        <w:textAlignment w:val="auto"/>
        <w:rPr>
          <w:rFonts w:cs="Arial"/>
          <w:sz w:val="22"/>
          <w:szCs w:val="22"/>
        </w:rPr>
      </w:pPr>
      <w:r w:rsidRPr="00C07EF6">
        <w:rPr>
          <w:rFonts w:eastAsia="Arial" w:cs="Arial"/>
          <w:sz w:val="22"/>
          <w:szCs w:val="22"/>
          <w:lang w:val="es"/>
        </w:rPr>
        <w:t>Contador de visitas del sistema</w:t>
      </w:r>
    </w:p>
    <w:p w14:paraId="43585F1E" w14:textId="77777777" w:rsidR="00FE17E7" w:rsidRPr="00C07EF6" w:rsidRDefault="00FE17E7" w:rsidP="000A20EE">
      <w:pPr>
        <w:pStyle w:val="Prrafodelista"/>
        <w:numPr>
          <w:ilvl w:val="0"/>
          <w:numId w:val="80"/>
        </w:numPr>
        <w:suppressAutoHyphens w:val="0"/>
        <w:overflowPunct/>
        <w:autoSpaceDE/>
        <w:spacing w:after="160"/>
        <w:contextualSpacing/>
        <w:textAlignment w:val="auto"/>
        <w:rPr>
          <w:rFonts w:cs="Arial"/>
          <w:sz w:val="22"/>
          <w:szCs w:val="22"/>
        </w:rPr>
      </w:pPr>
      <w:r w:rsidRPr="00C07EF6">
        <w:rPr>
          <w:rFonts w:eastAsia="Arial" w:cs="Arial"/>
          <w:sz w:val="22"/>
          <w:szCs w:val="22"/>
          <w:lang w:val="es"/>
        </w:rPr>
        <w:t>Banco documental</w:t>
      </w:r>
    </w:p>
    <w:p w14:paraId="3045E7A7" w14:textId="77777777" w:rsidR="00FE17E7" w:rsidRPr="00C07EF6" w:rsidRDefault="00FE17E7" w:rsidP="000A20EE">
      <w:pPr>
        <w:pStyle w:val="Prrafodelista"/>
        <w:numPr>
          <w:ilvl w:val="0"/>
          <w:numId w:val="80"/>
        </w:numPr>
        <w:suppressAutoHyphens w:val="0"/>
        <w:overflowPunct/>
        <w:autoSpaceDE/>
        <w:spacing w:after="160"/>
        <w:contextualSpacing/>
        <w:textAlignment w:val="auto"/>
        <w:rPr>
          <w:rFonts w:cs="Arial"/>
          <w:sz w:val="22"/>
          <w:szCs w:val="22"/>
        </w:rPr>
      </w:pPr>
      <w:r w:rsidRPr="00C07EF6">
        <w:rPr>
          <w:rFonts w:eastAsia="Arial" w:cs="Arial"/>
          <w:sz w:val="22"/>
          <w:szCs w:val="22"/>
          <w:lang w:val="es"/>
        </w:rPr>
        <w:t>Documentación de metadatos de las capas</w:t>
      </w:r>
    </w:p>
    <w:p w14:paraId="04D4BEC6" w14:textId="77777777" w:rsidR="00FE17E7" w:rsidRPr="00C07EF6" w:rsidRDefault="00FE17E7" w:rsidP="000A20EE">
      <w:pPr>
        <w:pStyle w:val="Prrafodelista"/>
        <w:numPr>
          <w:ilvl w:val="0"/>
          <w:numId w:val="80"/>
        </w:numPr>
        <w:suppressAutoHyphens w:val="0"/>
        <w:overflowPunct/>
        <w:autoSpaceDE/>
        <w:spacing w:after="160"/>
        <w:contextualSpacing/>
        <w:textAlignment w:val="auto"/>
        <w:rPr>
          <w:rFonts w:cs="Arial"/>
          <w:sz w:val="22"/>
          <w:szCs w:val="22"/>
        </w:rPr>
      </w:pPr>
      <w:r w:rsidRPr="00C07EF6">
        <w:rPr>
          <w:rFonts w:eastAsia="Arial" w:cs="Arial"/>
          <w:sz w:val="22"/>
          <w:szCs w:val="22"/>
          <w:lang w:val="es"/>
        </w:rPr>
        <w:t>Documentación de metadatos de los geoservicios</w:t>
      </w:r>
    </w:p>
    <w:p w14:paraId="6062FE88" w14:textId="2D241FD6" w:rsidR="00FE17E7" w:rsidRPr="002F677C" w:rsidRDefault="00FE17E7" w:rsidP="000A20EE">
      <w:pPr>
        <w:pStyle w:val="Prrafodelista"/>
        <w:numPr>
          <w:ilvl w:val="0"/>
          <w:numId w:val="80"/>
        </w:numPr>
        <w:suppressAutoHyphens w:val="0"/>
        <w:overflowPunct/>
        <w:autoSpaceDE/>
        <w:spacing w:after="160"/>
        <w:contextualSpacing/>
        <w:textAlignment w:val="auto"/>
        <w:rPr>
          <w:rFonts w:eastAsia="Arial" w:cs="Arial"/>
          <w:sz w:val="22"/>
          <w:szCs w:val="22"/>
        </w:rPr>
      </w:pPr>
      <w:r w:rsidRPr="00C07EF6">
        <w:rPr>
          <w:rFonts w:eastAsia="Arial" w:cs="Arial"/>
          <w:sz w:val="22"/>
          <w:szCs w:val="22"/>
          <w:lang w:val="es"/>
        </w:rPr>
        <w:t>Actualización del módulo de ayudas de la tabla de contenido</w:t>
      </w:r>
    </w:p>
    <w:p w14:paraId="50CB82BE" w14:textId="77777777" w:rsidR="00FE17E7" w:rsidRPr="00C07EF6" w:rsidRDefault="00FE17E7" w:rsidP="00C72779">
      <w:pPr>
        <w:jc w:val="both"/>
        <w:rPr>
          <w:rFonts w:eastAsia="Arial" w:cs="Arial"/>
          <w:sz w:val="22"/>
          <w:szCs w:val="22"/>
          <w:lang w:val="es"/>
        </w:rPr>
      </w:pPr>
      <w:r w:rsidRPr="00C07EF6">
        <w:rPr>
          <w:rFonts w:eastAsia="Arial" w:cs="Arial"/>
          <w:sz w:val="22"/>
          <w:szCs w:val="22"/>
          <w:lang w:val="es"/>
        </w:rPr>
        <w:lastRenderedPageBreak/>
        <w:t xml:space="preserve">Así mismo, se realizó la verificación de los servicios WEB geográficos que alimentan al sistema tomando como base el inventario de información geográfica, con el propósito de determinar los servicios que deben ser reemplazados. </w:t>
      </w:r>
    </w:p>
    <w:p w14:paraId="2A639CF9" w14:textId="77777777" w:rsidR="00FE17E7" w:rsidRPr="00C07EF6" w:rsidRDefault="00FE17E7" w:rsidP="00C72779">
      <w:pPr>
        <w:jc w:val="both"/>
        <w:rPr>
          <w:rFonts w:eastAsia="Arial" w:cs="Arial"/>
          <w:sz w:val="22"/>
          <w:szCs w:val="22"/>
          <w:lang w:val="es"/>
        </w:rPr>
      </w:pPr>
      <w:r w:rsidRPr="00C07EF6">
        <w:rPr>
          <w:rFonts w:eastAsia="Arial" w:cs="Arial"/>
          <w:sz w:val="22"/>
          <w:szCs w:val="22"/>
          <w:lang w:val="es"/>
        </w:rPr>
        <w:t xml:space="preserve"> </w:t>
      </w:r>
    </w:p>
    <w:p w14:paraId="24033DE3" w14:textId="65A0FD67" w:rsidR="00FE17E7" w:rsidRPr="00C07EF6" w:rsidRDefault="00FE17E7" w:rsidP="00C72779">
      <w:pPr>
        <w:jc w:val="both"/>
        <w:rPr>
          <w:rFonts w:eastAsia="Arial" w:cs="Arial"/>
          <w:sz w:val="22"/>
          <w:szCs w:val="22"/>
          <w:lang w:val="es"/>
        </w:rPr>
      </w:pPr>
      <w:r w:rsidRPr="00C07EF6">
        <w:rPr>
          <w:rFonts w:eastAsia="Arial" w:cs="Arial"/>
          <w:sz w:val="22"/>
          <w:szCs w:val="22"/>
          <w:lang w:val="es"/>
        </w:rPr>
        <w:t xml:space="preserve">Por otra parte, se realizó la actualización de capas geográficas a partir de servicios web geográficos de otras entidades cuya temática puede ser importante para la ley de víctimas en el momento de ubicar un predio; producto de esta actividad se cargaron 31 capas nuevas generadas por el Servicio Geológico Colombiano - SGC, la Oficina de Naciones Unidas contra la Droga y el Delito - UNODC, la Autoridad Nacional de Licencias Ambientales - ANLA y el Instituto Amazónico de Investigaciones Científicas -SINCHI. De igual forma, se realizó la depuración y organización de la documentación técnica dispuesta en el repositorio documental del SIG, las temáticas definidas son: </w:t>
      </w:r>
    </w:p>
    <w:p w14:paraId="2B69FF83" w14:textId="77777777" w:rsidR="00FE17E7" w:rsidRPr="00C07EF6"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 xml:space="preserve">Normatividad: Decretos </w:t>
      </w:r>
    </w:p>
    <w:p w14:paraId="1C7C1A76" w14:textId="77777777" w:rsidR="00FE17E7" w:rsidRPr="00C07EF6"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 xml:space="preserve">Normatividad: Leyes </w:t>
      </w:r>
    </w:p>
    <w:p w14:paraId="600FDA7C" w14:textId="77777777" w:rsidR="00FE17E7" w:rsidRPr="00C07EF6"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Normatividad: Resoluciones</w:t>
      </w:r>
    </w:p>
    <w:p w14:paraId="5B3DBB09" w14:textId="77777777" w:rsidR="00FE17E7" w:rsidRPr="00C07EF6"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Normatividad: Decreto-Ley</w:t>
      </w:r>
    </w:p>
    <w:p w14:paraId="6A3D2900" w14:textId="77777777" w:rsidR="00FE17E7" w:rsidRPr="00C07EF6"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Documentos de investigación</w:t>
      </w:r>
    </w:p>
    <w:p w14:paraId="02350ECE" w14:textId="4B5A2012" w:rsidR="00FE17E7" w:rsidRPr="002F677C" w:rsidRDefault="00FE17E7" w:rsidP="000A20EE">
      <w:pPr>
        <w:pStyle w:val="Prrafodelista"/>
        <w:numPr>
          <w:ilvl w:val="0"/>
          <w:numId w:val="81"/>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Cartillas y otros</w:t>
      </w:r>
    </w:p>
    <w:p w14:paraId="6CC93B52" w14:textId="7118E247" w:rsidR="00FE17E7" w:rsidRDefault="00FE17E7" w:rsidP="00C72779">
      <w:pPr>
        <w:jc w:val="both"/>
        <w:rPr>
          <w:rFonts w:eastAsia="Calibri"/>
          <w:sz w:val="22"/>
          <w:szCs w:val="22"/>
          <w:lang w:val="es"/>
        </w:rPr>
      </w:pPr>
      <w:r w:rsidRPr="00C07EF6">
        <w:rPr>
          <w:rFonts w:eastAsia="Arial" w:cs="Arial"/>
          <w:sz w:val="22"/>
          <w:szCs w:val="22"/>
          <w:lang w:val="es"/>
        </w:rPr>
        <w:t>Adicionalmente, se realizó el ajuste de los descriptores de la documentación cargada en el repositorio documental del sistema desde la base de datos alfanumérica, se realizó el despliegue de la herramienta debido a que se encontraba caída por cambios en el servidor de aplicación y se realizó la verificación en el fu</w:t>
      </w:r>
      <w:r w:rsidR="002F677C">
        <w:rPr>
          <w:rFonts w:eastAsia="Arial" w:cs="Arial"/>
          <w:sz w:val="22"/>
          <w:szCs w:val="22"/>
          <w:lang w:val="es"/>
        </w:rPr>
        <w:t xml:space="preserve">ncionamiento de la herramienta. </w:t>
      </w:r>
      <w:r w:rsidRPr="00C07EF6">
        <w:rPr>
          <w:rFonts w:eastAsia="Calibri"/>
          <w:sz w:val="22"/>
          <w:szCs w:val="22"/>
          <w:lang w:val="es"/>
        </w:rPr>
        <w:t>En la siguiente tabla se presenta el resumen de la cantidad de sistemas de información geográfica, desarrollados año a año para el periodo reportado.</w:t>
      </w:r>
    </w:p>
    <w:p w14:paraId="62ADBB72" w14:textId="60EDBA89" w:rsidR="002F677C" w:rsidRDefault="002F677C" w:rsidP="00C72779">
      <w:pPr>
        <w:jc w:val="both"/>
        <w:rPr>
          <w:rFonts w:eastAsia="Calibri"/>
          <w:sz w:val="22"/>
          <w:szCs w:val="22"/>
          <w:lang w:val="es"/>
        </w:rPr>
      </w:pPr>
    </w:p>
    <w:p w14:paraId="7EF5A37C" w14:textId="443AF13A" w:rsidR="00FE17E7" w:rsidRPr="00F86295" w:rsidRDefault="00F86295" w:rsidP="00F86295">
      <w:pPr>
        <w:pStyle w:val="Descripcin"/>
        <w:jc w:val="center"/>
        <w:rPr>
          <w:rFonts w:ascii="Arial" w:hAnsi="Arial" w:cs="Arial"/>
          <w:b/>
          <w:i w:val="0"/>
          <w:color w:val="auto"/>
          <w:sz w:val="16"/>
          <w:szCs w:val="16"/>
        </w:rPr>
      </w:pPr>
      <w:bookmarkStart w:id="137" w:name="_Toc88677123"/>
      <w:r w:rsidRPr="00F86295">
        <w:rPr>
          <w:rFonts w:ascii="Arial" w:hAnsi="Arial" w:cs="Arial"/>
          <w:b/>
          <w:i w:val="0"/>
          <w:color w:val="auto"/>
          <w:sz w:val="16"/>
          <w:szCs w:val="16"/>
        </w:rPr>
        <w:t xml:space="preserve">Tabla </w:t>
      </w:r>
      <w:r w:rsidRPr="00F86295">
        <w:rPr>
          <w:rFonts w:ascii="Arial" w:hAnsi="Arial" w:cs="Arial"/>
          <w:b/>
          <w:i w:val="0"/>
          <w:color w:val="auto"/>
          <w:sz w:val="16"/>
          <w:szCs w:val="16"/>
        </w:rPr>
        <w:fldChar w:fldCharType="begin"/>
      </w:r>
      <w:r w:rsidRPr="00F86295">
        <w:rPr>
          <w:rFonts w:ascii="Arial" w:hAnsi="Arial" w:cs="Arial"/>
          <w:b/>
          <w:i w:val="0"/>
          <w:color w:val="auto"/>
          <w:sz w:val="16"/>
          <w:szCs w:val="16"/>
        </w:rPr>
        <w:instrText xml:space="preserve"> SEQ Tabla \* ARABIC </w:instrText>
      </w:r>
      <w:r w:rsidRPr="00F86295">
        <w:rPr>
          <w:rFonts w:ascii="Arial" w:hAnsi="Arial" w:cs="Arial"/>
          <w:b/>
          <w:i w:val="0"/>
          <w:color w:val="auto"/>
          <w:sz w:val="16"/>
          <w:szCs w:val="16"/>
        </w:rPr>
        <w:fldChar w:fldCharType="separate"/>
      </w:r>
      <w:r w:rsidR="004D4C6A">
        <w:rPr>
          <w:rFonts w:ascii="Arial" w:hAnsi="Arial" w:cs="Arial"/>
          <w:b/>
          <w:i w:val="0"/>
          <w:noProof/>
          <w:color w:val="auto"/>
          <w:sz w:val="16"/>
          <w:szCs w:val="16"/>
        </w:rPr>
        <w:t>51</w:t>
      </w:r>
      <w:r w:rsidRPr="00F86295">
        <w:rPr>
          <w:rFonts w:ascii="Arial" w:hAnsi="Arial" w:cs="Arial"/>
          <w:b/>
          <w:i w:val="0"/>
          <w:color w:val="auto"/>
          <w:sz w:val="16"/>
          <w:szCs w:val="16"/>
        </w:rPr>
        <w:fldChar w:fldCharType="end"/>
      </w:r>
      <w:r w:rsidRPr="00F86295">
        <w:rPr>
          <w:rFonts w:ascii="Arial" w:hAnsi="Arial" w:cs="Arial"/>
          <w:b/>
          <w:i w:val="0"/>
          <w:color w:val="auto"/>
          <w:sz w:val="16"/>
          <w:szCs w:val="16"/>
        </w:rPr>
        <w:t xml:space="preserve">. </w:t>
      </w:r>
      <w:r w:rsidR="002F677C" w:rsidRPr="00F86295">
        <w:rPr>
          <w:rFonts w:ascii="Arial" w:hAnsi="Arial" w:cs="Arial"/>
          <w:b/>
          <w:i w:val="0"/>
          <w:color w:val="auto"/>
          <w:sz w:val="16"/>
          <w:szCs w:val="16"/>
        </w:rPr>
        <w:t>SIG desarrollados y actualizados</w:t>
      </w:r>
      <w:bookmarkEnd w:id="137"/>
    </w:p>
    <w:tbl>
      <w:tblPr>
        <w:tblStyle w:val="Tabladecuadrcula4-nfasis1"/>
        <w:tblW w:w="0" w:type="auto"/>
        <w:jc w:val="center"/>
        <w:tblLayout w:type="fixed"/>
        <w:tblLook w:val="06A0" w:firstRow="1" w:lastRow="0" w:firstColumn="1" w:lastColumn="0" w:noHBand="1" w:noVBand="1"/>
      </w:tblPr>
      <w:tblGrid>
        <w:gridCol w:w="1365"/>
        <w:gridCol w:w="1425"/>
        <w:gridCol w:w="1440"/>
      </w:tblGrid>
      <w:tr w:rsidR="002F677C" w:rsidRPr="001F242B" w14:paraId="6DFE0E48" w14:textId="77777777"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48E79BC2" w14:textId="77777777" w:rsidR="002F677C" w:rsidRPr="001F242B" w:rsidRDefault="002F677C" w:rsidP="00C72779">
            <w:pPr>
              <w:jc w:val="center"/>
              <w:rPr>
                <w:sz w:val="20"/>
                <w:szCs w:val="22"/>
              </w:rPr>
            </w:pPr>
            <w:r w:rsidRPr="001F242B">
              <w:rPr>
                <w:rFonts w:eastAsia="Arial" w:cs="Arial"/>
                <w:sz w:val="20"/>
                <w:szCs w:val="22"/>
                <w:lang w:val="es"/>
              </w:rPr>
              <w:t>2019</w:t>
            </w:r>
          </w:p>
        </w:tc>
        <w:tc>
          <w:tcPr>
            <w:tcW w:w="1425" w:type="dxa"/>
            <w:vAlign w:val="center"/>
          </w:tcPr>
          <w:p w14:paraId="784F3E3C" w14:textId="77777777" w:rsidR="002F677C" w:rsidRPr="001F242B" w:rsidRDefault="002F677C"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2020</w:t>
            </w:r>
          </w:p>
        </w:tc>
        <w:tc>
          <w:tcPr>
            <w:tcW w:w="1440" w:type="dxa"/>
            <w:vAlign w:val="center"/>
          </w:tcPr>
          <w:p w14:paraId="13137F0F" w14:textId="77777777" w:rsidR="002F677C" w:rsidRPr="001F242B" w:rsidRDefault="002F677C"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2021</w:t>
            </w:r>
          </w:p>
        </w:tc>
      </w:tr>
      <w:tr w:rsidR="002F677C" w:rsidRPr="001F242B" w14:paraId="0507A4F6"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55488C1B" w14:textId="77777777" w:rsidR="002F677C" w:rsidRPr="001F242B" w:rsidRDefault="002F677C" w:rsidP="00C72779">
            <w:pPr>
              <w:jc w:val="center"/>
              <w:rPr>
                <w:sz w:val="20"/>
                <w:szCs w:val="22"/>
              </w:rPr>
            </w:pPr>
            <w:r w:rsidRPr="001F242B">
              <w:rPr>
                <w:rFonts w:eastAsia="Arial" w:cs="Arial"/>
                <w:sz w:val="20"/>
                <w:szCs w:val="22"/>
                <w:lang w:val="es"/>
              </w:rPr>
              <w:t>2</w:t>
            </w:r>
          </w:p>
        </w:tc>
        <w:tc>
          <w:tcPr>
            <w:tcW w:w="1425" w:type="dxa"/>
            <w:vAlign w:val="center"/>
          </w:tcPr>
          <w:p w14:paraId="5B33DC8C" w14:textId="77777777"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eastAsia="Arial" w:cs="Arial"/>
                <w:b/>
                <w:sz w:val="20"/>
                <w:szCs w:val="22"/>
                <w:lang w:val="es"/>
              </w:rPr>
              <w:t>2</w:t>
            </w:r>
          </w:p>
        </w:tc>
        <w:tc>
          <w:tcPr>
            <w:tcW w:w="1440" w:type="dxa"/>
            <w:vAlign w:val="center"/>
          </w:tcPr>
          <w:p w14:paraId="6FA0C08C" w14:textId="77777777"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eastAsia="Arial" w:cs="Arial"/>
                <w:b/>
                <w:sz w:val="20"/>
                <w:szCs w:val="22"/>
                <w:lang w:val="es"/>
              </w:rPr>
              <w:t>2</w:t>
            </w:r>
          </w:p>
        </w:tc>
      </w:tr>
    </w:tbl>
    <w:p w14:paraId="7B5C2183" w14:textId="189D79CA" w:rsidR="31FF9146" w:rsidRDefault="31FF9146"/>
    <w:p w14:paraId="26A6891B" w14:textId="01F5D58A" w:rsidR="00DC2B66" w:rsidRPr="002F677C" w:rsidRDefault="00FE17E7" w:rsidP="00C72779">
      <w:pPr>
        <w:jc w:val="center"/>
        <w:rPr>
          <w:rFonts w:eastAsia="Arial" w:cs="Arial"/>
          <w:b/>
          <w:sz w:val="22"/>
          <w:szCs w:val="22"/>
          <w:lang w:val="es"/>
        </w:rPr>
      </w:pPr>
      <w:r w:rsidRPr="002F677C">
        <w:rPr>
          <w:rFonts w:eastAsia="Arial" w:cs="Arial"/>
          <w:b/>
          <w:sz w:val="18"/>
          <w:szCs w:val="22"/>
          <w:lang w:val="es"/>
        </w:rPr>
        <w:t xml:space="preserve">Fuente: Dirección de Investigación y Prospectiva </w:t>
      </w:r>
    </w:p>
    <w:p w14:paraId="7230D660" w14:textId="77777777" w:rsidR="00DC2B66" w:rsidRDefault="00DC2B66" w:rsidP="00C72779">
      <w:pPr>
        <w:pStyle w:val="Lista"/>
      </w:pPr>
    </w:p>
    <w:p w14:paraId="637DD1CE" w14:textId="77777777" w:rsidR="00A54D5F" w:rsidRPr="00166211" w:rsidRDefault="00A54D5F" w:rsidP="00C72779">
      <w:pPr>
        <w:jc w:val="both"/>
        <w:rPr>
          <w:rFonts w:eastAsia="Arial"/>
          <w:b/>
          <w:sz w:val="22"/>
        </w:rPr>
      </w:pPr>
      <w:bookmarkStart w:id="138" w:name="_Toc87622114"/>
      <w:r w:rsidRPr="00166211">
        <w:rPr>
          <w:rFonts w:eastAsia="Arial"/>
          <w:b/>
          <w:sz w:val="22"/>
        </w:rPr>
        <w:t>PROGRAMA PARA LA ADOPCIÓN E IMPLEMENTACIÓN DE UN CATASTRO MULTIPROPÓSITO URBANO – RURAL. COMPONENTES FORTALECIMIENTO DE LA ICDE</w:t>
      </w:r>
      <w:bookmarkEnd w:id="138"/>
    </w:p>
    <w:p w14:paraId="21AA7F37" w14:textId="77777777" w:rsidR="00A54D5F" w:rsidRDefault="00A54D5F" w:rsidP="00C72779">
      <w:pPr>
        <w:rPr>
          <w:rFonts w:eastAsiaTheme="minorEastAsia"/>
          <w:sz w:val="22"/>
          <w:szCs w:val="22"/>
          <w:lang w:val="es"/>
        </w:rPr>
      </w:pPr>
    </w:p>
    <w:p w14:paraId="6CE6AF0A" w14:textId="2DC96167" w:rsidR="00A54D5F" w:rsidRPr="00C07EF6" w:rsidRDefault="00A54D5F" w:rsidP="00C72779">
      <w:pPr>
        <w:jc w:val="both"/>
        <w:rPr>
          <w:rFonts w:eastAsiaTheme="minorEastAsia"/>
          <w:sz w:val="22"/>
          <w:szCs w:val="22"/>
          <w:lang w:val="es"/>
        </w:rPr>
      </w:pPr>
      <w:r w:rsidRPr="00C07EF6">
        <w:rPr>
          <w:rFonts w:eastAsiaTheme="minorEastAsia"/>
          <w:sz w:val="22"/>
          <w:szCs w:val="22"/>
          <w:lang w:val="es"/>
        </w:rPr>
        <w:t>Con relación a esta línea de acción, es importante mencionar que, con la expedición y puesta en operación de la política de catastro multipropósito, el CONPES 3951 de 2018, definió el denominado Subcomponente 2.4 Fortalecimiento de la ICDE, el cual busca mejorar los procesos de gestión de información geográfica como apoyo a la implementación de la política mencionada.</w:t>
      </w:r>
    </w:p>
    <w:p w14:paraId="68D5FF5A" w14:textId="77777777" w:rsidR="00A54D5F" w:rsidRPr="00C07EF6" w:rsidRDefault="00A54D5F" w:rsidP="00C72779">
      <w:pPr>
        <w:jc w:val="both"/>
        <w:rPr>
          <w:rFonts w:eastAsiaTheme="minorEastAsia"/>
          <w:sz w:val="22"/>
          <w:szCs w:val="22"/>
          <w:lang w:val="es"/>
        </w:rPr>
      </w:pPr>
    </w:p>
    <w:p w14:paraId="74B20F1C" w14:textId="77777777" w:rsidR="00A54D5F" w:rsidRPr="00C07EF6" w:rsidRDefault="00A54D5F" w:rsidP="00C72779">
      <w:pPr>
        <w:jc w:val="both"/>
        <w:rPr>
          <w:rFonts w:eastAsiaTheme="minorEastAsia"/>
          <w:sz w:val="22"/>
          <w:szCs w:val="22"/>
          <w:lang w:val="es"/>
        </w:rPr>
      </w:pPr>
      <w:r w:rsidRPr="00C07EF6">
        <w:rPr>
          <w:rFonts w:eastAsiaTheme="minorEastAsia"/>
          <w:sz w:val="22"/>
          <w:szCs w:val="22"/>
          <w:lang w:val="es"/>
        </w:rPr>
        <w:t>A partir de lo anterior y de conformidad con el Reglamento Operativo del “Programa para la adopción de un catastro multipropósito urbano – rural”, el cual soporta la ejecución de los recursos de crédito, se definió el documento de planeación denominado Plan Estratégico Plurianual y Plan Operativo Anual, PEP- POA correspondiente al instrumento que define las líneas de acción y los recursos asignados para la vigencia de ejecución del Programa.</w:t>
      </w:r>
    </w:p>
    <w:p w14:paraId="6DFAA931" w14:textId="77777777" w:rsidR="00A54D5F" w:rsidRPr="00C07EF6" w:rsidRDefault="00A54D5F" w:rsidP="00C72779">
      <w:pPr>
        <w:jc w:val="both"/>
        <w:rPr>
          <w:rFonts w:eastAsiaTheme="minorEastAsia"/>
          <w:sz w:val="22"/>
          <w:szCs w:val="22"/>
          <w:lang w:val="es"/>
        </w:rPr>
      </w:pPr>
    </w:p>
    <w:p w14:paraId="4439BF1A" w14:textId="345CDE28" w:rsidR="00A54D5F" w:rsidRPr="00C07EF6" w:rsidRDefault="00A54D5F" w:rsidP="00C72779">
      <w:pPr>
        <w:jc w:val="both"/>
        <w:rPr>
          <w:rFonts w:eastAsiaTheme="minorEastAsia"/>
          <w:sz w:val="22"/>
          <w:szCs w:val="22"/>
          <w:lang w:val="es"/>
        </w:rPr>
      </w:pPr>
      <w:r w:rsidRPr="00C07EF6">
        <w:rPr>
          <w:rFonts w:eastAsiaTheme="minorEastAsia"/>
          <w:sz w:val="22"/>
          <w:szCs w:val="22"/>
          <w:lang w:val="es"/>
        </w:rPr>
        <w:t>Así las cosas, hasta el mes de junio del 2020, se logró a aprobación del PEP-POA puesto que la decisión demandó que entre enero y junio de 2020 se realizarán los diferentes espacio</w:t>
      </w:r>
      <w:r w:rsidR="002F677C">
        <w:rPr>
          <w:rFonts w:eastAsiaTheme="minorEastAsia"/>
          <w:sz w:val="22"/>
          <w:szCs w:val="22"/>
          <w:lang w:val="es"/>
        </w:rPr>
        <w:t xml:space="preserve">s de concertación entre el IGAC, </w:t>
      </w:r>
      <w:r w:rsidRPr="00C07EF6">
        <w:rPr>
          <w:rFonts w:eastAsiaTheme="minorEastAsia"/>
          <w:sz w:val="22"/>
          <w:szCs w:val="22"/>
          <w:lang w:val="es"/>
        </w:rPr>
        <w:t xml:space="preserve">el DANE y el DNP para definir las estrategias que serías desarrolladas a través del Subcomponente 2.4, cabe mencionar que antes de este periodo no </w:t>
      </w:r>
      <w:r w:rsidRPr="00C07EF6">
        <w:rPr>
          <w:rFonts w:eastAsiaTheme="minorEastAsia"/>
          <w:sz w:val="22"/>
          <w:szCs w:val="22"/>
          <w:lang w:val="es"/>
        </w:rPr>
        <w:lastRenderedPageBreak/>
        <w:t>contaba con un instrumento de planeación aprobados que permitiera el logro de los objetivos y la ejecución de los recursos.</w:t>
      </w:r>
    </w:p>
    <w:p w14:paraId="76651D7C" w14:textId="77777777" w:rsidR="00A54D5F" w:rsidRPr="00C07EF6" w:rsidRDefault="00A54D5F" w:rsidP="00C72779">
      <w:pPr>
        <w:jc w:val="both"/>
        <w:rPr>
          <w:rFonts w:eastAsiaTheme="minorEastAsia"/>
          <w:sz w:val="22"/>
          <w:szCs w:val="22"/>
          <w:lang w:val="es"/>
        </w:rPr>
      </w:pPr>
    </w:p>
    <w:p w14:paraId="20292478" w14:textId="59FA777A" w:rsidR="00A54D5F" w:rsidRPr="00C07EF6" w:rsidRDefault="00A54D5F" w:rsidP="00C72779">
      <w:pPr>
        <w:jc w:val="both"/>
        <w:rPr>
          <w:sz w:val="22"/>
          <w:szCs w:val="22"/>
        </w:rPr>
      </w:pPr>
      <w:r w:rsidRPr="00C07EF6">
        <w:rPr>
          <w:sz w:val="22"/>
          <w:szCs w:val="22"/>
        </w:rPr>
        <w:t xml:space="preserve">Para la formulación de las líneas de acción requeridas para Subcomponente 2.4, se configuraron tres frentes estructurales que permitieran definir acciones a desarrollar durante la vigencia del crédito; que en términos generales se resumen </w:t>
      </w:r>
      <w:r w:rsidR="002F677C">
        <w:rPr>
          <w:sz w:val="22"/>
          <w:szCs w:val="22"/>
        </w:rPr>
        <w:t>así:</w:t>
      </w:r>
    </w:p>
    <w:p w14:paraId="6568E456" w14:textId="77777777" w:rsidR="00A54D5F" w:rsidRPr="00C07EF6" w:rsidRDefault="00A54D5F" w:rsidP="00C72779">
      <w:pPr>
        <w:rPr>
          <w:rFonts w:eastAsiaTheme="minorEastAsia"/>
          <w:sz w:val="22"/>
          <w:szCs w:val="22"/>
          <w:lang w:val="es"/>
        </w:rPr>
      </w:pPr>
    </w:p>
    <w:p w14:paraId="73A7A775" w14:textId="558441AE" w:rsidR="00A54D5F" w:rsidRPr="002F677C" w:rsidRDefault="00A54D5F" w:rsidP="000A20EE">
      <w:pPr>
        <w:pStyle w:val="Prrafodelista"/>
        <w:numPr>
          <w:ilvl w:val="0"/>
          <w:numId w:val="84"/>
        </w:numPr>
        <w:suppressAutoHyphens w:val="0"/>
        <w:overflowPunct/>
        <w:autoSpaceDE/>
        <w:spacing w:after="160"/>
        <w:contextualSpacing/>
        <w:textAlignment w:val="auto"/>
        <w:rPr>
          <w:rFonts w:cs="Arial"/>
          <w:sz w:val="22"/>
          <w:szCs w:val="22"/>
        </w:rPr>
      </w:pPr>
      <w:r w:rsidRPr="00C07EF6">
        <w:rPr>
          <w:rFonts w:cs="Arial"/>
          <w:b/>
          <w:sz w:val="22"/>
          <w:szCs w:val="22"/>
        </w:rPr>
        <w:t>Gobernanza</w:t>
      </w:r>
      <w:r w:rsidRPr="00C07EF6">
        <w:rPr>
          <w:rFonts w:cs="Arial"/>
          <w:sz w:val="22"/>
          <w:szCs w:val="22"/>
        </w:rPr>
        <w:t xml:space="preserve">:  Corresponde al proceso bajo el cual se fortalecen los procesos de gobierno de la Infraestructura Colombiana de Datos Espacial – ICDE con énfasis en dos vías estratégicas del IGIF (gobernanza e instituciones y legal y político). Cabe mencionar que las vías estratégicas del IGIF han sido adoptadas para Colombia a través del Marco de Referencia Geoespacial de la ICDE enmarcado en el Marco de Arquitectura de TI del Ministerio de Tecnologías de la Información y las Comunicaciones. </w:t>
      </w:r>
    </w:p>
    <w:p w14:paraId="2B8D563B" w14:textId="0F03F358" w:rsidR="00A54D5F" w:rsidRPr="002F677C" w:rsidRDefault="00A54D5F" w:rsidP="000A20EE">
      <w:pPr>
        <w:pStyle w:val="Prrafodelista"/>
        <w:numPr>
          <w:ilvl w:val="0"/>
          <w:numId w:val="84"/>
        </w:numPr>
        <w:suppressAutoHyphens w:val="0"/>
        <w:overflowPunct/>
        <w:autoSpaceDE/>
        <w:spacing w:after="160"/>
        <w:contextualSpacing/>
        <w:textAlignment w:val="auto"/>
        <w:rPr>
          <w:rFonts w:cs="Arial"/>
          <w:sz w:val="22"/>
          <w:szCs w:val="22"/>
        </w:rPr>
      </w:pPr>
      <w:r w:rsidRPr="00C07EF6">
        <w:rPr>
          <w:rFonts w:cs="Arial"/>
          <w:b/>
          <w:sz w:val="22"/>
          <w:szCs w:val="22"/>
        </w:rPr>
        <w:t>Gestión de Datos</w:t>
      </w:r>
      <w:r w:rsidRPr="00C07EF6">
        <w:rPr>
          <w:rFonts w:cs="Arial"/>
          <w:sz w:val="22"/>
          <w:szCs w:val="22"/>
        </w:rPr>
        <w:t xml:space="preserve">: se orienta al desarrollas de las actividades requeridas para la identificación, levantamiento e integración a través de la ICDE de los datos fundamentales y los objetos territoriales que son requeridos para la operación de la ICDE y la implementación de las políticas de catastro multipropósito y administración territorial. </w:t>
      </w:r>
    </w:p>
    <w:p w14:paraId="6831CF21" w14:textId="77777777" w:rsidR="00A54D5F" w:rsidRPr="00C07EF6" w:rsidRDefault="00A54D5F" w:rsidP="000A20EE">
      <w:pPr>
        <w:pStyle w:val="Prrafodelista"/>
        <w:numPr>
          <w:ilvl w:val="0"/>
          <w:numId w:val="84"/>
        </w:numPr>
        <w:suppressAutoHyphens w:val="0"/>
        <w:overflowPunct/>
        <w:autoSpaceDE/>
        <w:spacing w:after="160"/>
        <w:contextualSpacing/>
        <w:textAlignment w:val="auto"/>
        <w:rPr>
          <w:rFonts w:cs="Arial"/>
          <w:sz w:val="22"/>
          <w:szCs w:val="22"/>
        </w:rPr>
      </w:pPr>
      <w:r w:rsidRPr="00C07EF6">
        <w:rPr>
          <w:rFonts w:cs="Arial"/>
          <w:b/>
          <w:sz w:val="22"/>
          <w:szCs w:val="22"/>
        </w:rPr>
        <w:t>Innovación Tecnológica</w:t>
      </w:r>
      <w:r w:rsidRPr="00C07EF6">
        <w:rPr>
          <w:rFonts w:cs="Arial"/>
          <w:sz w:val="22"/>
          <w:szCs w:val="22"/>
        </w:rPr>
        <w:t>: centrado en el desarrollo de las soluciones tecnológicas o de software requeridas para la integración de datos provenientes de múltiples fuentes (sistemas de información) y su disposición a través de servicios para el uso y aprovechamiento de datos oficiales, estandarizados e interoperables.</w:t>
      </w:r>
    </w:p>
    <w:p w14:paraId="3D1915CC" w14:textId="32B102EC" w:rsidR="00A54D5F" w:rsidRPr="00834AF9" w:rsidRDefault="00834AF9" w:rsidP="00834AF9">
      <w:pPr>
        <w:suppressAutoHyphens w:val="0"/>
        <w:spacing w:after="160" w:line="259" w:lineRule="auto"/>
        <w:jc w:val="both"/>
        <w:rPr>
          <w:rFonts w:eastAsiaTheme="minorEastAsia" w:cs="Arial"/>
          <w:sz w:val="22"/>
          <w:szCs w:val="22"/>
          <w:lang w:val="es" w:eastAsia="en-US"/>
        </w:rPr>
      </w:pPr>
      <w:bookmarkStart w:id="139" w:name="_Hlk88675074"/>
      <w:r w:rsidRPr="00834AF9">
        <w:rPr>
          <w:rFonts w:eastAsiaTheme="minorEastAsia" w:cs="Arial"/>
          <w:sz w:val="22"/>
          <w:szCs w:val="22"/>
          <w:lang w:val="es" w:eastAsia="en-US"/>
        </w:rPr>
        <w:t xml:space="preserve">A partir de elementos anteriores, se definió y aprobó en las instancias correspondientes el PEP-POA que se encuentra en el archivo </w:t>
      </w:r>
      <w:bookmarkEnd w:id="139"/>
      <w:r w:rsidRPr="00834AF9">
        <w:rPr>
          <w:rFonts w:eastAsiaTheme="minorEastAsia" w:cs="Arial"/>
          <w:sz w:val="22"/>
          <w:szCs w:val="22"/>
          <w:lang w:val="es" w:eastAsia="en-US"/>
        </w:rPr>
        <w:t xml:space="preserve">(Ver detalle en </w:t>
      </w:r>
      <w:r w:rsidRPr="00834AF9">
        <w:rPr>
          <w:rFonts w:eastAsiaTheme="minorEastAsia" w:cs="Arial"/>
          <w:b/>
          <w:bCs/>
          <w:sz w:val="22"/>
          <w:szCs w:val="22"/>
          <w:lang w:val="es" w:eastAsia="en-US"/>
        </w:rPr>
        <w:t>Anexo 1. PEP POA ICDE)</w:t>
      </w:r>
      <w:r w:rsidRPr="00834AF9">
        <w:rPr>
          <w:rFonts w:eastAsiaTheme="minorEastAsia" w:cs="Arial"/>
          <w:sz w:val="22"/>
          <w:szCs w:val="22"/>
          <w:lang w:val="es" w:eastAsia="en-US"/>
        </w:rPr>
        <w:t xml:space="preserve"> y que a la fecha de elaboración del presente informe (noviembre 2021) se encuentra vigente y en ejecución. Ahora bien, a partir de la aprobación del PEP- POA se formuló e inicio la contratación requerida para el logro de los objetivos e indicadores fijados en el subcomponente 2.4, cabe mencionar que el balance integral de la contratación es presentado en capítulo correspondiente de este informe.</w:t>
      </w:r>
    </w:p>
    <w:p w14:paraId="0666083B" w14:textId="77777777" w:rsidR="00A54D5F" w:rsidRPr="00C07EF6" w:rsidRDefault="00A54D5F" w:rsidP="00C72779">
      <w:pPr>
        <w:jc w:val="both"/>
        <w:rPr>
          <w:rFonts w:eastAsiaTheme="minorEastAsia"/>
          <w:sz w:val="22"/>
          <w:szCs w:val="22"/>
          <w:lang w:val="es"/>
        </w:rPr>
      </w:pPr>
      <w:r w:rsidRPr="00C07EF6">
        <w:rPr>
          <w:rFonts w:eastAsiaTheme="minorEastAsia"/>
          <w:sz w:val="22"/>
          <w:szCs w:val="22"/>
          <w:lang w:val="es"/>
        </w:rPr>
        <w:t>Con lo anterior, a partir de la ejecución de las líneas de acción presentadas en el PEP-POA se inicia un proceso de gestión que permite la obtención de diferentes resultados y avances significativos en el marco del desarrollo del Subcomponente 2.4, se presentan a continuación.</w:t>
      </w:r>
    </w:p>
    <w:p w14:paraId="1356801A" w14:textId="77777777" w:rsidR="00A54D5F" w:rsidRPr="00C07EF6" w:rsidRDefault="00A54D5F" w:rsidP="00C72779">
      <w:pPr>
        <w:jc w:val="both"/>
        <w:rPr>
          <w:rFonts w:eastAsiaTheme="minorEastAsia"/>
          <w:sz w:val="22"/>
          <w:szCs w:val="22"/>
          <w:lang w:val="es"/>
        </w:rPr>
      </w:pPr>
    </w:p>
    <w:p w14:paraId="787D0F8D" w14:textId="1EA1DB7F" w:rsidR="00A54D5F" w:rsidRPr="00166211" w:rsidRDefault="00A54D5F" w:rsidP="00C72779">
      <w:pPr>
        <w:rPr>
          <w:rFonts w:eastAsia="Arial"/>
          <w:b/>
          <w:sz w:val="22"/>
        </w:rPr>
      </w:pPr>
      <w:r w:rsidRPr="00166211">
        <w:rPr>
          <w:rFonts w:eastAsia="Arial"/>
          <w:b/>
          <w:sz w:val="22"/>
        </w:rPr>
        <w:t>Actualizar el marco de referencia de la ICDE a partir del modelo IGIF acatando las directrices de arq</w:t>
      </w:r>
      <w:r w:rsidR="002F677C" w:rsidRPr="00166211">
        <w:rPr>
          <w:rFonts w:eastAsia="Arial"/>
          <w:b/>
          <w:sz w:val="22"/>
        </w:rPr>
        <w:t>uitectura empresarial de MINTIC</w:t>
      </w:r>
    </w:p>
    <w:p w14:paraId="70CA9792" w14:textId="77777777" w:rsidR="00A54D5F" w:rsidRPr="00C07EF6" w:rsidRDefault="00A54D5F" w:rsidP="00C72779">
      <w:pPr>
        <w:jc w:val="both"/>
        <w:rPr>
          <w:rFonts w:eastAsia="Arial"/>
          <w:sz w:val="22"/>
          <w:szCs w:val="22"/>
          <w:lang w:val="es-ES_tradnl" w:eastAsia="he-IL" w:bidi="he-IL"/>
        </w:rPr>
      </w:pPr>
    </w:p>
    <w:p w14:paraId="2725A5EA" w14:textId="43628E87" w:rsidR="00A54D5F" w:rsidRPr="00C07EF6" w:rsidRDefault="00A54D5F" w:rsidP="00C72779">
      <w:pPr>
        <w:jc w:val="both"/>
        <w:rPr>
          <w:rFonts w:eastAsia="Arial" w:cs="Arial"/>
          <w:color w:val="000000" w:themeColor="text1"/>
          <w:sz w:val="22"/>
          <w:szCs w:val="22"/>
        </w:rPr>
      </w:pPr>
      <w:r w:rsidRPr="00C07EF6">
        <w:rPr>
          <w:sz w:val="22"/>
          <w:szCs w:val="22"/>
          <w:lang w:val="es-MX"/>
        </w:rPr>
        <w:t xml:space="preserve">Recoge parcialmente acciones desarrolladas en las líneas de acción del PEP-POA 2.4.1. </w:t>
      </w:r>
      <w:r w:rsidRPr="00C07EF6">
        <w:rPr>
          <w:rFonts w:eastAsia="Arial" w:cs="Arial"/>
          <w:color w:val="000000" w:themeColor="text1"/>
          <w:sz w:val="22"/>
          <w:szCs w:val="22"/>
        </w:rPr>
        <w:t xml:space="preserve">A partir del análisis del marco integrado de información geoespacial y en línea con el Lineamiento 5 del dominico de información incluido en el Marco de Referencia de Arquitectura TI del Ministerio de Tecnologías, se realizó la actualización del Marco de Referencia Geoespacial en las 7 vías estratégicas adoptadas. </w:t>
      </w:r>
    </w:p>
    <w:p w14:paraId="6D6F4FD5" w14:textId="77777777" w:rsidR="002F677C" w:rsidRPr="00C07EF6" w:rsidRDefault="002F677C" w:rsidP="00C72779">
      <w:pPr>
        <w:jc w:val="both"/>
        <w:rPr>
          <w:rFonts w:eastAsia="Arial" w:cs="Arial"/>
          <w:color w:val="000000" w:themeColor="text1"/>
          <w:sz w:val="22"/>
          <w:szCs w:val="22"/>
        </w:rPr>
      </w:pPr>
    </w:p>
    <w:p w14:paraId="38BCBC02"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de Gobernanza</w:t>
      </w:r>
      <w:r w:rsidRPr="00C07EF6">
        <w:rPr>
          <w:rFonts w:eastAsia="Arial" w:cs="Arial"/>
          <w:color w:val="000000" w:themeColor="text1"/>
          <w:sz w:val="22"/>
          <w:szCs w:val="22"/>
        </w:rPr>
        <w:t xml:space="preserve">: Lineamientos encaminados a establecer el liderazgo, las alianzas institucionales y la propuesta de valor para fortalecer la integración de los actores y generar el compromiso y respaldo político, acogiendo los mandatos institucionales para construir un entorno de intercambio de datos.  </w:t>
      </w:r>
    </w:p>
    <w:p w14:paraId="3B856647"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de Gestión de datos</w:t>
      </w:r>
      <w:r w:rsidRPr="00C07EF6">
        <w:rPr>
          <w:rFonts w:eastAsia="Arial" w:cs="Arial"/>
          <w:color w:val="000000" w:themeColor="text1"/>
          <w:sz w:val="22"/>
          <w:szCs w:val="22"/>
        </w:rPr>
        <w:t xml:space="preserve">: Lineamientos que buscan establecer las condiciones para el intercambio de datos geoespaciales y las pautas para la recopilación y gestión de mejores prácticas de información geoespacial para la colaboración intersectorial, el intercambio y reutilización de datos con el gobierno y los ciudadanos.  </w:t>
      </w:r>
    </w:p>
    <w:p w14:paraId="07B18B90"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lastRenderedPageBreak/>
        <w:t>Vía estratégica de Estándares de información:</w:t>
      </w:r>
      <w:r w:rsidRPr="00C07EF6">
        <w:rPr>
          <w:rFonts w:eastAsia="Arial" w:cs="Arial"/>
          <w:color w:val="000000" w:themeColor="text1"/>
          <w:sz w:val="22"/>
          <w:szCs w:val="22"/>
        </w:rPr>
        <w:t xml:space="preserve"> Los lineamientos de esta vía ofrecen las pautas para la adopción de estándares que permitan la interoperabilidad de datos y proporcionen a los usuarios acceso y uso a la información geoespacial. </w:t>
      </w:r>
    </w:p>
    <w:p w14:paraId="4143B7A7"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de Comunicación</w:t>
      </w:r>
      <w:r w:rsidRPr="00C07EF6">
        <w:rPr>
          <w:rFonts w:eastAsia="Arial" w:cs="Arial"/>
          <w:color w:val="000000" w:themeColor="text1"/>
          <w:sz w:val="22"/>
          <w:szCs w:val="22"/>
        </w:rPr>
        <w:t xml:space="preserve">: Los lineamientos de esta vía establecen procesos de comunicación efectivos y eficientes para fomentar una mayor participación de los actores interesados y así lograr procesos transparentes que aporten a la toma de decisiones en el gobierno y los territorios. </w:t>
      </w:r>
    </w:p>
    <w:p w14:paraId="5DE95F2D"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de Fortalecimiento de capacidades territoriales</w:t>
      </w:r>
      <w:r w:rsidRPr="00C07EF6">
        <w:rPr>
          <w:rFonts w:eastAsia="Arial" w:cs="Arial"/>
          <w:color w:val="000000" w:themeColor="text1"/>
          <w:sz w:val="22"/>
          <w:szCs w:val="22"/>
        </w:rPr>
        <w:t>: Los lineamientos de esta vía brindan herramientas para la comprensión de la información geoespacial en las comunidades, con el fin de fortalecer las habilidades, procesos y recursos que los territorios requieren en el uso de la información geoespacial para la toma decisiones.</w:t>
      </w:r>
    </w:p>
    <w:p w14:paraId="5CF5358F"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de Innovación - ICDE</w:t>
      </w:r>
      <w:r w:rsidRPr="00C07EF6">
        <w:rPr>
          <w:rFonts w:eastAsia="Arial" w:cs="Arial"/>
          <w:color w:val="000000" w:themeColor="text1"/>
          <w:sz w:val="22"/>
          <w:szCs w:val="22"/>
        </w:rPr>
        <w:t xml:space="preserve">: Los lineamientos de esta vía se fundamentan en el cierre de la brecha digital. Por eso ofrecen procesos, mejoras e innovaciones de última generación, para que los actores puedan hacer uso de información geoespacial actualizada y a la vanguardia de sus necesidades. </w:t>
      </w:r>
    </w:p>
    <w:p w14:paraId="4614A496" w14:textId="77777777" w:rsidR="00A54D5F" w:rsidRPr="00C07EF6" w:rsidRDefault="00A54D5F" w:rsidP="000A20EE">
      <w:pPr>
        <w:pStyle w:val="Prrafodelista"/>
        <w:numPr>
          <w:ilvl w:val="0"/>
          <w:numId w:val="83"/>
        </w:numPr>
        <w:suppressAutoHyphens w:val="0"/>
        <w:overflowPunct/>
        <w:autoSpaceDE/>
        <w:spacing w:after="160"/>
        <w:contextualSpacing/>
        <w:textAlignment w:val="auto"/>
        <w:rPr>
          <w:rFonts w:eastAsia="Arial" w:cs="Arial"/>
          <w:color w:val="000000" w:themeColor="text1"/>
          <w:sz w:val="22"/>
          <w:szCs w:val="22"/>
        </w:rPr>
      </w:pPr>
      <w:r w:rsidRPr="00C07EF6">
        <w:rPr>
          <w:rFonts w:eastAsia="Arial" w:cs="Arial"/>
          <w:b/>
          <w:color w:val="000000" w:themeColor="text1"/>
          <w:sz w:val="22"/>
          <w:szCs w:val="22"/>
        </w:rPr>
        <w:t>Vía estratégica Financiera</w:t>
      </w:r>
      <w:r w:rsidRPr="00C07EF6">
        <w:rPr>
          <w:rFonts w:eastAsia="Arial" w:cs="Arial"/>
          <w:color w:val="000000" w:themeColor="text1"/>
          <w:sz w:val="22"/>
          <w:szCs w:val="22"/>
        </w:rPr>
        <w:t xml:space="preserve">: Los lineamientos de esta vía se orientan al modelo de operación de la ICDE y las estrategias de financiamiento requeridas para sostener de manera eficiente la gestión integrada de la información geoespacial en Colombia. </w:t>
      </w:r>
    </w:p>
    <w:p w14:paraId="20FAEF14" w14:textId="77777777" w:rsidR="00A54D5F" w:rsidRDefault="00A54D5F" w:rsidP="00C72779">
      <w:pPr>
        <w:pStyle w:val="Ttulo4"/>
        <w:ind w:left="864" w:hanging="864"/>
        <w:rPr>
          <w:sz w:val="22"/>
          <w:szCs w:val="22"/>
        </w:rPr>
      </w:pPr>
      <w:r w:rsidRPr="00C07EF6">
        <w:rPr>
          <w:sz w:val="22"/>
          <w:szCs w:val="22"/>
        </w:rPr>
        <w:t>Gobernanza</w:t>
      </w:r>
    </w:p>
    <w:p w14:paraId="2139CEF9" w14:textId="77777777" w:rsidR="00A54D5F" w:rsidRPr="00A54D5F" w:rsidRDefault="00A54D5F" w:rsidP="00C72779">
      <w:pPr>
        <w:rPr>
          <w:lang w:val="es-ES_tradnl" w:eastAsia="he-IL" w:bidi="he-IL"/>
        </w:rPr>
      </w:pPr>
    </w:p>
    <w:p w14:paraId="55B28AE9" w14:textId="77777777" w:rsidR="00A54D5F" w:rsidRPr="00C07EF6" w:rsidRDefault="00A54D5F" w:rsidP="00C72779">
      <w:pPr>
        <w:jc w:val="both"/>
        <w:rPr>
          <w:sz w:val="22"/>
          <w:szCs w:val="22"/>
          <w:lang w:val="es-MX"/>
        </w:rPr>
      </w:pPr>
      <w:r w:rsidRPr="00C07EF6">
        <w:rPr>
          <w:sz w:val="22"/>
          <w:szCs w:val="22"/>
          <w:lang w:val="es-MX"/>
        </w:rPr>
        <w:t xml:space="preserve">Recoge acciones parciales desarrolladas en línea de acción del PEP-POA 2.4.1. Se adelantó el diseño y construcción de manera conjunta con el DANE, la visión del acto administrativo (propuesta de decreto) recoge las acciones, propósitos y manifestaciones institucionales de los últimos veinte años, ordenándolas y reglamentando en un marco definido para el funcionamiento de la Infraestructura de manera que pueda avanzar en su fortalecimiento. Dicha norma define y consolida los roles y las responsabilidades de los actores vinculados, de manera que las funciones asignadas a cada uno puedan ser desarrolladas de manera efectiva y se pueda generar el liderazgo que requiere la gestión de la información geográfica nacional. </w:t>
      </w:r>
    </w:p>
    <w:p w14:paraId="3D87F2C6" w14:textId="77777777" w:rsidR="00A54D5F" w:rsidRPr="00C07EF6" w:rsidRDefault="00A54D5F" w:rsidP="00C72779">
      <w:pPr>
        <w:jc w:val="both"/>
        <w:rPr>
          <w:sz w:val="22"/>
          <w:szCs w:val="22"/>
          <w:lang w:val="es-MX"/>
        </w:rPr>
      </w:pPr>
    </w:p>
    <w:p w14:paraId="23795F83" w14:textId="77777777" w:rsidR="00A54D5F" w:rsidRPr="00C07EF6" w:rsidRDefault="00A54D5F" w:rsidP="00C72779">
      <w:pPr>
        <w:jc w:val="both"/>
        <w:rPr>
          <w:sz w:val="22"/>
          <w:szCs w:val="22"/>
          <w:lang w:val="es-MX"/>
        </w:rPr>
      </w:pPr>
      <w:r w:rsidRPr="00C07EF6">
        <w:rPr>
          <w:sz w:val="22"/>
          <w:szCs w:val="22"/>
          <w:lang w:val="es-MX"/>
        </w:rPr>
        <w:t xml:space="preserve">La propuesta de decreto se encuentra acompañada de las propuestas de reglamentación para el funcionamiento de las instancias decisoria (Comisión Intersectorial de Información Geográfica) y técnica (Comité Técnico Operativo) de la ICDE, en desarrollo del modelo de gobernanza establecido. </w:t>
      </w:r>
    </w:p>
    <w:p w14:paraId="0251E64E" w14:textId="77777777" w:rsidR="00A54D5F" w:rsidRPr="00C07EF6" w:rsidRDefault="00A54D5F" w:rsidP="00C72779">
      <w:pPr>
        <w:jc w:val="both"/>
        <w:rPr>
          <w:sz w:val="22"/>
          <w:szCs w:val="22"/>
          <w:lang w:val="es-MX"/>
        </w:rPr>
      </w:pPr>
    </w:p>
    <w:p w14:paraId="1AFCFD47" w14:textId="77777777" w:rsidR="00A54D5F" w:rsidRPr="00C07EF6" w:rsidRDefault="00A54D5F" w:rsidP="00C72779">
      <w:pPr>
        <w:jc w:val="both"/>
        <w:rPr>
          <w:sz w:val="22"/>
          <w:szCs w:val="22"/>
          <w:lang w:val="es-MX"/>
        </w:rPr>
      </w:pPr>
      <w:r w:rsidRPr="00C07EF6">
        <w:rPr>
          <w:sz w:val="22"/>
          <w:szCs w:val="22"/>
          <w:lang w:val="es-MX"/>
        </w:rPr>
        <w:t xml:space="preserve">De otra parte, pero bajo la misma lógica de gobernanza, se estructuró y publicó el nuevo Marco de Referencia Geoespacial de la ICDE, en desarrollo de lo establecido en los lineamientos del Marco de Referencia de Arquitectura de TI y con base en las recomendaciones de la ruta estratégica propuesta por la ONU para la administración y el fortalecimiento de los recursos geográficos. El nuevo Marco de Referencia Geoespacial proporciona a las entidades del orden nacional y territorial, directrices y lineamientos encaminados a facilitar y optimizar los procesos de gestión geoespacial, que incluyen la planeación, producción, armonización, mantenimiento, actualización, disposición y reutilización de recursos geoespaciales del territorio colombiano. </w:t>
      </w:r>
    </w:p>
    <w:p w14:paraId="768D5672" w14:textId="77777777" w:rsidR="00A54D5F" w:rsidRPr="00C07EF6" w:rsidRDefault="00A54D5F" w:rsidP="00C72779">
      <w:pPr>
        <w:jc w:val="both"/>
        <w:rPr>
          <w:sz w:val="22"/>
          <w:szCs w:val="22"/>
          <w:lang w:val="es-MX"/>
        </w:rPr>
      </w:pPr>
    </w:p>
    <w:p w14:paraId="273A5976" w14:textId="77777777" w:rsidR="00A54D5F" w:rsidRPr="00C07EF6" w:rsidRDefault="00A54D5F" w:rsidP="00C72779">
      <w:pPr>
        <w:jc w:val="both"/>
        <w:rPr>
          <w:sz w:val="22"/>
          <w:szCs w:val="22"/>
          <w:lang w:val="es-MX"/>
        </w:rPr>
      </w:pPr>
      <w:r w:rsidRPr="00C07EF6">
        <w:rPr>
          <w:sz w:val="22"/>
          <w:szCs w:val="22"/>
          <w:lang w:val="es-MX"/>
        </w:rPr>
        <w:t>Por último, se ha liderado el proceso para de construcción de los instrumentos de gobernanza de gestión de datos del modelo LADM_COL (Modelo núcleo y Modelos extendidos), que definen objetos, ámbitos de aplicación, definiciones, principios, instancias de coordinación y responsabilidades. Estos instrumentos incluyen una propuesta modificatoria de la Resolución Conjunta IGAC 642 – SNR 5731 de 2018, que adopta el esquema de gobernanza para la gestión del Modelo núcleo y la coordinación de los Modelos extendidos; y una guía para que las entidades responsables adopten los instrumentos de gobierno de sus Modelos extendidos LADM-COL.</w:t>
      </w:r>
    </w:p>
    <w:p w14:paraId="0486DC10" w14:textId="77777777" w:rsidR="00A54D5F" w:rsidRPr="00C07EF6" w:rsidRDefault="00A54D5F" w:rsidP="00C72779">
      <w:pPr>
        <w:jc w:val="both"/>
        <w:rPr>
          <w:sz w:val="22"/>
          <w:szCs w:val="22"/>
          <w:lang w:val="es-ES_tradnl" w:eastAsia="he-IL" w:bidi="he-IL"/>
        </w:rPr>
      </w:pPr>
    </w:p>
    <w:p w14:paraId="44B4FD45" w14:textId="07DAD1DD" w:rsidR="00A54D5F" w:rsidRDefault="002F677C" w:rsidP="00C72779">
      <w:pPr>
        <w:pStyle w:val="Ttulo4"/>
        <w:ind w:left="864" w:hanging="864"/>
        <w:rPr>
          <w:sz w:val="22"/>
          <w:szCs w:val="22"/>
        </w:rPr>
      </w:pPr>
      <w:r>
        <w:rPr>
          <w:sz w:val="22"/>
          <w:szCs w:val="22"/>
        </w:rPr>
        <w:t>Comunicación Estratégica</w:t>
      </w:r>
    </w:p>
    <w:p w14:paraId="62C163E5" w14:textId="77777777" w:rsidR="00A54D5F" w:rsidRPr="00A54D5F" w:rsidRDefault="00A54D5F" w:rsidP="00C72779">
      <w:pPr>
        <w:rPr>
          <w:lang w:val="es-ES_tradnl" w:eastAsia="he-IL" w:bidi="he-IL"/>
        </w:rPr>
      </w:pPr>
    </w:p>
    <w:p w14:paraId="6E652764" w14:textId="77777777" w:rsidR="00A54D5F" w:rsidRPr="00C07EF6" w:rsidRDefault="00A54D5F" w:rsidP="00C72779">
      <w:pPr>
        <w:jc w:val="both"/>
        <w:rPr>
          <w:rFonts w:cs="Arial"/>
          <w:sz w:val="22"/>
          <w:szCs w:val="22"/>
        </w:rPr>
      </w:pPr>
      <w:r w:rsidRPr="00C07EF6">
        <w:rPr>
          <w:rFonts w:cs="Arial"/>
          <w:sz w:val="22"/>
          <w:szCs w:val="22"/>
          <w:lang w:val="es-MX"/>
        </w:rPr>
        <w:t>Recoge acciones parciales desarrolladas en línea de acción del PEP-POA 2.4.1.</w:t>
      </w:r>
      <w:r w:rsidRPr="00C07EF6">
        <w:rPr>
          <w:rFonts w:eastAsiaTheme="minorEastAsia" w:cs="Arial"/>
          <w:sz w:val="22"/>
          <w:szCs w:val="22"/>
          <w:lang w:val="es"/>
        </w:rPr>
        <w:t xml:space="preserve"> </w:t>
      </w:r>
      <w:r w:rsidRPr="00C07EF6">
        <w:rPr>
          <w:rFonts w:cs="Arial"/>
          <w:sz w:val="22"/>
          <w:szCs w:val="22"/>
        </w:rPr>
        <w:t>En el marco de la ejecución de los lineamientos contemplados en la Vía de Comunicaciones Estratégicas del Marco de Referencia Geoespacial de la ICDE, instrumento que proporciona las directrices encaminadas a facilitar y optimizar los procesos de gestión geoespacial, durante esta vigencia se han adelantado las siguientes actividades y se han obtenido los siguientes logros, encaminados a generar y fortalecer capacidades en las entidades nacionales y territoriales priorizadas para habilitarlas en la gestión de recursos geoespaciales y fortalecer los procesos de administración de tierras o del territorio mediante el fortalecimiento de la Infraestructura Colombiana de Datos Espaciales.</w:t>
      </w:r>
    </w:p>
    <w:p w14:paraId="39A513AD" w14:textId="77777777" w:rsidR="00A54D5F" w:rsidRPr="00C07EF6" w:rsidRDefault="00A54D5F" w:rsidP="00C72779">
      <w:pPr>
        <w:tabs>
          <w:tab w:val="num" w:pos="720"/>
        </w:tabs>
        <w:jc w:val="both"/>
        <w:rPr>
          <w:rFonts w:cs="Arial"/>
          <w:b/>
          <w:bCs/>
          <w:sz w:val="22"/>
          <w:szCs w:val="22"/>
        </w:rPr>
      </w:pPr>
    </w:p>
    <w:p w14:paraId="0CF0A081" w14:textId="77777777" w:rsidR="00A54D5F" w:rsidRPr="00C07EF6" w:rsidRDefault="00A54D5F" w:rsidP="000A20EE">
      <w:pPr>
        <w:pStyle w:val="Prrafodelista"/>
        <w:numPr>
          <w:ilvl w:val="0"/>
          <w:numId w:val="87"/>
        </w:numPr>
        <w:suppressAutoHyphens w:val="0"/>
        <w:overflowPunct/>
        <w:autoSpaceDE/>
        <w:spacing w:after="360"/>
        <w:contextualSpacing/>
        <w:textAlignment w:val="auto"/>
        <w:rPr>
          <w:rFonts w:cs="Arial"/>
          <w:sz w:val="22"/>
          <w:szCs w:val="22"/>
        </w:rPr>
      </w:pPr>
      <w:r w:rsidRPr="00C07EF6">
        <w:rPr>
          <w:rFonts w:cs="Arial"/>
          <w:sz w:val="22"/>
          <w:szCs w:val="22"/>
        </w:rPr>
        <w:t xml:space="preserve">Articulación con entidades del orden nacional: Desarrollar de manera conjunta con actores responsables de la gestión de información geoespacial, procesos de comunicación estratégica enfocados en la difusión de datos, información y conocimiento geográfico. </w:t>
      </w:r>
    </w:p>
    <w:p w14:paraId="064A2160" w14:textId="77777777" w:rsidR="00A54D5F" w:rsidRPr="00C07EF6" w:rsidRDefault="00A54D5F" w:rsidP="000A20EE">
      <w:pPr>
        <w:pStyle w:val="Prrafodelista"/>
        <w:numPr>
          <w:ilvl w:val="0"/>
          <w:numId w:val="87"/>
        </w:numPr>
        <w:tabs>
          <w:tab w:val="num" w:pos="720"/>
        </w:tabs>
        <w:suppressAutoHyphens w:val="0"/>
        <w:overflowPunct/>
        <w:autoSpaceDE/>
        <w:spacing w:after="360"/>
        <w:contextualSpacing/>
        <w:textAlignment w:val="auto"/>
        <w:rPr>
          <w:rFonts w:cs="Arial"/>
          <w:sz w:val="22"/>
          <w:szCs w:val="22"/>
        </w:rPr>
      </w:pPr>
      <w:r w:rsidRPr="00C07EF6">
        <w:rPr>
          <w:rFonts w:cs="Arial"/>
          <w:sz w:val="22"/>
          <w:szCs w:val="22"/>
        </w:rPr>
        <w:t>Se ha venido desarrollando un trabajo articulado con el fin de concentrar a las entidades productoras de información geográfica en un primer evento, denominado:  Primera sesión Plenaria ICDE del año 2021, la cual se realizó de manera virtual el viernes 21 de mayo. Este espacio tuvo como propósito socializar la ICDE y su proyecto de fortalecimiento para el mejoramiento de la disponibilidad y acceso de información geográfica, con una mirada focalizada en el Catastro Multipropósito y la Administración del Territorio.</w:t>
      </w:r>
    </w:p>
    <w:p w14:paraId="64EF0F4D" w14:textId="77777777" w:rsidR="00A54D5F" w:rsidRPr="00C07EF6" w:rsidRDefault="00A54D5F" w:rsidP="000A20EE">
      <w:pPr>
        <w:pStyle w:val="Prrafodelista"/>
        <w:numPr>
          <w:ilvl w:val="0"/>
          <w:numId w:val="87"/>
        </w:numPr>
        <w:suppressAutoHyphens w:val="0"/>
        <w:overflowPunct/>
        <w:autoSpaceDE/>
        <w:spacing w:after="360"/>
        <w:contextualSpacing/>
        <w:textAlignment w:val="auto"/>
        <w:rPr>
          <w:rFonts w:cs="Arial"/>
          <w:sz w:val="22"/>
          <w:szCs w:val="22"/>
        </w:rPr>
      </w:pPr>
      <w:r w:rsidRPr="00C07EF6">
        <w:rPr>
          <w:rFonts w:cs="Arial"/>
          <w:sz w:val="22"/>
          <w:szCs w:val="22"/>
        </w:rPr>
        <w:t>Asimismo, se ha logrado abrir importantes espacios con entidades del orden nacional y territorial, involucrándolos en la producción de las ediciones No 6 y 7 del Boletín Cultura GEO, un producto comunicativo de la ICDE que busca mostrar gestión y avances acerca de los programas y proyectos que se adelantan al interior de la ICDE para beneficio de la información geográfica del país, con el propósito de difundir el conocimiento sobre estos temas e incentivar el uso de la información, recursos y servicios dispuestos a través de la ICDE.</w:t>
      </w:r>
    </w:p>
    <w:p w14:paraId="422AFC5A" w14:textId="77777777" w:rsidR="00A54D5F" w:rsidRPr="00C07EF6" w:rsidRDefault="00A54D5F" w:rsidP="000A20EE">
      <w:pPr>
        <w:pStyle w:val="Prrafodelista"/>
        <w:numPr>
          <w:ilvl w:val="0"/>
          <w:numId w:val="88"/>
        </w:numPr>
        <w:suppressAutoHyphens w:val="0"/>
        <w:overflowPunct/>
        <w:autoSpaceDE/>
        <w:spacing w:after="360"/>
        <w:contextualSpacing/>
        <w:textAlignment w:val="auto"/>
        <w:rPr>
          <w:rFonts w:cs="Arial"/>
          <w:sz w:val="22"/>
          <w:szCs w:val="22"/>
        </w:rPr>
      </w:pPr>
      <w:r w:rsidRPr="00C07EF6">
        <w:rPr>
          <w:rFonts w:cs="Arial"/>
          <w:sz w:val="22"/>
          <w:szCs w:val="22"/>
        </w:rPr>
        <w:t>Diseñar y ejecutar una estrategia de comunicación para fortalecer los procesos de uso y aprovechamiento de la información geográfica dispuestos en la ICDE.</w:t>
      </w:r>
    </w:p>
    <w:p w14:paraId="061FDA72" w14:textId="77777777" w:rsidR="00A54D5F" w:rsidRPr="00C07EF6" w:rsidRDefault="00A54D5F" w:rsidP="000A20EE">
      <w:pPr>
        <w:pStyle w:val="Prrafodelista"/>
        <w:numPr>
          <w:ilvl w:val="0"/>
          <w:numId w:val="88"/>
        </w:numPr>
        <w:suppressAutoHyphens w:val="0"/>
        <w:overflowPunct/>
        <w:autoSpaceDE/>
        <w:spacing w:after="360"/>
        <w:contextualSpacing/>
        <w:textAlignment w:val="auto"/>
        <w:rPr>
          <w:rFonts w:cs="Arial"/>
          <w:sz w:val="22"/>
          <w:szCs w:val="22"/>
        </w:rPr>
      </w:pPr>
      <w:r w:rsidRPr="00C07EF6">
        <w:rPr>
          <w:rFonts w:cs="Arial"/>
          <w:sz w:val="22"/>
          <w:szCs w:val="22"/>
        </w:rPr>
        <w:t xml:space="preserve">Se planificó una estrategia de comunicaciones general que permitió indicar las acciones clave para implementar la hoja de ruta de la Infraestructura (estrategia y plan de comunicaciones), la cual tiene como objetivo generar liderazgo, participación y dirección hacia otros actores productores de información geoespacial, por medio de mensajes estratégicos en diferentes tácticas comunicativas. </w:t>
      </w:r>
    </w:p>
    <w:p w14:paraId="0F0C0169" w14:textId="77777777" w:rsidR="00A54D5F" w:rsidRPr="00C07EF6" w:rsidRDefault="00A54D5F" w:rsidP="000A20EE">
      <w:pPr>
        <w:pStyle w:val="Prrafodelista"/>
        <w:numPr>
          <w:ilvl w:val="0"/>
          <w:numId w:val="88"/>
        </w:numPr>
        <w:suppressAutoHyphens w:val="0"/>
        <w:overflowPunct/>
        <w:autoSpaceDE/>
        <w:spacing w:after="360"/>
        <w:contextualSpacing/>
        <w:textAlignment w:val="auto"/>
        <w:rPr>
          <w:rFonts w:cs="Arial"/>
          <w:sz w:val="22"/>
          <w:szCs w:val="22"/>
        </w:rPr>
      </w:pPr>
      <w:r w:rsidRPr="00C07EF6">
        <w:rPr>
          <w:rFonts w:cs="Arial"/>
          <w:sz w:val="22"/>
          <w:szCs w:val="22"/>
        </w:rPr>
        <w:t>En el marco de la ejecución de esta estrategia se han producido alrededor de 54 parrillas de mensajes con información de interés de la ICDE y su plataforma, que, de manera coordinada con la Oficina de Comunicaciones, han sido diseñadas y publicadas respectivamente en las redes sociales del IGAC.</w:t>
      </w:r>
    </w:p>
    <w:p w14:paraId="5A9EE33F" w14:textId="77777777" w:rsidR="00A54D5F" w:rsidRPr="00C07EF6" w:rsidRDefault="00A54D5F" w:rsidP="000A20EE">
      <w:pPr>
        <w:pStyle w:val="Prrafodelista"/>
        <w:numPr>
          <w:ilvl w:val="0"/>
          <w:numId w:val="88"/>
        </w:numPr>
        <w:suppressAutoHyphens w:val="0"/>
        <w:overflowPunct/>
        <w:autoSpaceDE/>
        <w:spacing w:after="360"/>
        <w:contextualSpacing/>
        <w:textAlignment w:val="auto"/>
        <w:rPr>
          <w:rFonts w:cs="Arial"/>
          <w:sz w:val="22"/>
          <w:szCs w:val="22"/>
        </w:rPr>
      </w:pPr>
      <w:r w:rsidRPr="00C07EF6">
        <w:rPr>
          <w:rFonts w:cs="Arial"/>
          <w:sz w:val="22"/>
          <w:szCs w:val="22"/>
        </w:rPr>
        <w:t xml:space="preserve">De igual forma se ha generado la redacción de 13 comunicados de prensa, de temas y eventos que tienen que ver directamente con la gestión de la Infraestructura Colombiana de Datos Espaciales, los cuales fueron publicados tanto en Plataforma ICDE </w:t>
      </w:r>
      <w:hyperlink r:id="rId98" w:history="1">
        <w:r w:rsidRPr="00C07EF6">
          <w:rPr>
            <w:rStyle w:val="Hipervnculo"/>
            <w:rFonts w:cs="Arial"/>
            <w:sz w:val="22"/>
            <w:szCs w:val="22"/>
          </w:rPr>
          <w:t>www.icde.gov.co</w:t>
        </w:r>
      </w:hyperlink>
      <w:r w:rsidRPr="00C07EF6">
        <w:rPr>
          <w:rFonts w:cs="Arial"/>
          <w:sz w:val="22"/>
          <w:szCs w:val="22"/>
        </w:rPr>
        <w:t xml:space="preserve"> como en portal IGAC </w:t>
      </w:r>
      <w:hyperlink r:id="rId99" w:history="1">
        <w:r w:rsidRPr="00C07EF6">
          <w:rPr>
            <w:rStyle w:val="Hipervnculo"/>
            <w:rFonts w:cs="Arial"/>
            <w:sz w:val="22"/>
            <w:szCs w:val="22"/>
          </w:rPr>
          <w:t>www.igac.gov.co</w:t>
        </w:r>
      </w:hyperlink>
      <w:r w:rsidRPr="00C07EF6">
        <w:rPr>
          <w:rFonts w:cs="Arial"/>
          <w:sz w:val="22"/>
          <w:szCs w:val="22"/>
        </w:rPr>
        <w:t>.</w:t>
      </w:r>
    </w:p>
    <w:p w14:paraId="1C80DA61" w14:textId="77777777" w:rsidR="00A54D5F" w:rsidRPr="00C07EF6" w:rsidRDefault="00A54D5F" w:rsidP="000A20EE">
      <w:pPr>
        <w:pStyle w:val="Prrafodelista"/>
        <w:numPr>
          <w:ilvl w:val="0"/>
          <w:numId w:val="88"/>
        </w:numPr>
        <w:suppressAutoHyphens w:val="0"/>
        <w:overflowPunct/>
        <w:autoSpaceDE/>
        <w:spacing w:after="360"/>
        <w:contextualSpacing/>
        <w:textAlignment w:val="auto"/>
        <w:rPr>
          <w:rFonts w:cs="Arial"/>
          <w:sz w:val="22"/>
          <w:szCs w:val="22"/>
        </w:rPr>
      </w:pPr>
      <w:r w:rsidRPr="00C07EF6">
        <w:rPr>
          <w:rFonts w:cs="Arial"/>
          <w:sz w:val="22"/>
          <w:szCs w:val="22"/>
        </w:rPr>
        <w:t xml:space="preserve">Por último, y como parte de las tácticas planteadas en la estrategia macro de comunicaciones para la ICDE se han redactado 5 columnas de opinión firmadas por la Dirección General del IGAC, las cuales fueron publicadas en la plataforma digital del medio de comunicación Canal RCN, </w:t>
      </w:r>
      <w:hyperlink r:id="rId100" w:history="1">
        <w:r w:rsidRPr="00C07EF6">
          <w:rPr>
            <w:rStyle w:val="Hipervnculo"/>
            <w:rFonts w:cs="Arial"/>
            <w:sz w:val="22"/>
            <w:szCs w:val="22"/>
          </w:rPr>
          <w:t>www.canalrcn.com</w:t>
        </w:r>
      </w:hyperlink>
      <w:r w:rsidRPr="00C07EF6">
        <w:rPr>
          <w:rFonts w:cs="Arial"/>
          <w:sz w:val="22"/>
          <w:szCs w:val="22"/>
        </w:rPr>
        <w:t xml:space="preserve"> </w:t>
      </w:r>
    </w:p>
    <w:p w14:paraId="2A370FF1" w14:textId="6F2A6EA8" w:rsidR="00A54D5F" w:rsidRPr="00C07EF6" w:rsidRDefault="00A54D5F" w:rsidP="00C72779">
      <w:pPr>
        <w:spacing w:after="360"/>
        <w:jc w:val="both"/>
        <w:rPr>
          <w:rFonts w:cs="Arial"/>
          <w:sz w:val="22"/>
          <w:szCs w:val="22"/>
        </w:rPr>
      </w:pPr>
      <w:r w:rsidRPr="00C07EF6">
        <w:rPr>
          <w:rFonts w:cs="Arial"/>
          <w:sz w:val="22"/>
          <w:szCs w:val="22"/>
        </w:rPr>
        <w:lastRenderedPageBreak/>
        <w:t>Con lo anterior, con el fin de promover la creación y formalización de acuerdos para el acceso y uso de recursos geográficos entre organismos públicos, privados, la academia y la sociedad civil, se tiene:</w:t>
      </w:r>
    </w:p>
    <w:p w14:paraId="1D6B66F2" w14:textId="77777777" w:rsidR="00A54D5F" w:rsidRPr="00C07EF6" w:rsidRDefault="00A54D5F" w:rsidP="000A20EE">
      <w:pPr>
        <w:pStyle w:val="Prrafodelista"/>
        <w:numPr>
          <w:ilvl w:val="0"/>
          <w:numId w:val="89"/>
        </w:numPr>
        <w:suppressAutoHyphens w:val="0"/>
        <w:overflowPunct/>
        <w:autoSpaceDE/>
        <w:spacing w:after="360"/>
        <w:contextualSpacing/>
        <w:textAlignment w:val="auto"/>
        <w:rPr>
          <w:rFonts w:cs="Arial"/>
          <w:sz w:val="22"/>
          <w:szCs w:val="22"/>
        </w:rPr>
      </w:pPr>
      <w:r w:rsidRPr="00C07EF6">
        <w:rPr>
          <w:rFonts w:cs="Arial"/>
          <w:sz w:val="22"/>
          <w:szCs w:val="22"/>
        </w:rPr>
        <w:t xml:space="preserve">Desde este frente, se ha participado de manera activa y articulada, a través de la Oficina de Comunicaciones del IGAC, en la mesa de comunicaciones del Proyecto Catastro Multipropósito, espacio que ha permitido identificar temáticas de interés de la ciudadanía para realizar campañas de comunicaciones que incentiven el uso de la plataforma ICDE, difundir los recursos, servicios y datos que se encuentran desde la plataforma y resaltar el trabajo colaborativo entre las entidades aliadas de la ICDE. </w:t>
      </w:r>
    </w:p>
    <w:p w14:paraId="3C5915F3" w14:textId="77777777" w:rsidR="00A54D5F" w:rsidRPr="00C07EF6" w:rsidRDefault="00A54D5F" w:rsidP="00C72779">
      <w:pPr>
        <w:spacing w:after="360"/>
        <w:jc w:val="both"/>
        <w:rPr>
          <w:rFonts w:cs="Arial"/>
          <w:sz w:val="22"/>
          <w:szCs w:val="22"/>
        </w:rPr>
      </w:pPr>
      <w:r w:rsidRPr="00C07EF6">
        <w:rPr>
          <w:rFonts w:cs="Arial"/>
          <w:sz w:val="22"/>
          <w:szCs w:val="22"/>
        </w:rPr>
        <w:t xml:space="preserve">Por su parte, con el fin de desarrollar procesos de comunicación estratégica con énfasis en las necesidades del territorio, con el fin de fortalecer el uso y aprovechamiento de la información geoespacial, aumentar la participación de los actores territoriales y lograr procesos de toma eficiente de decisiones.  </w:t>
      </w:r>
    </w:p>
    <w:p w14:paraId="40ABE26B" w14:textId="77777777" w:rsidR="00A54D5F" w:rsidRPr="00C07EF6" w:rsidRDefault="00A54D5F" w:rsidP="000A20EE">
      <w:pPr>
        <w:pStyle w:val="Prrafodelista"/>
        <w:numPr>
          <w:ilvl w:val="0"/>
          <w:numId w:val="89"/>
        </w:numPr>
        <w:suppressAutoHyphens w:val="0"/>
        <w:overflowPunct/>
        <w:autoSpaceDE/>
        <w:spacing w:after="360"/>
        <w:contextualSpacing/>
        <w:textAlignment w:val="auto"/>
        <w:rPr>
          <w:rFonts w:cs="Arial"/>
          <w:sz w:val="22"/>
          <w:szCs w:val="22"/>
        </w:rPr>
      </w:pPr>
      <w:r w:rsidRPr="00C07EF6">
        <w:rPr>
          <w:rFonts w:cs="Arial"/>
          <w:sz w:val="22"/>
          <w:szCs w:val="22"/>
        </w:rPr>
        <w:t>Como parte de los resultados de este lineamiento se ha logrado articular con la vía estratégica de Fortalecimiento de Capacidades Territoriales, la llegada a territorios priorizados en la etapa No 1 de la Política de Catastro Multipropósito (Boyacá), para lo cual se han diseñado estrategias puntuales para mostrar los resultados de estos procesos, mediante canales de comunicación dispuestos para tal fin como la plataforma ICDE y las redes sociales, eventos, talleres, etc.</w:t>
      </w:r>
    </w:p>
    <w:p w14:paraId="1D1A063A" w14:textId="77777777" w:rsidR="00A54D5F" w:rsidRPr="00C07EF6" w:rsidRDefault="00A54D5F" w:rsidP="00C72779">
      <w:pPr>
        <w:spacing w:after="360"/>
        <w:jc w:val="both"/>
        <w:rPr>
          <w:rFonts w:cs="Arial"/>
          <w:sz w:val="22"/>
          <w:szCs w:val="22"/>
        </w:rPr>
      </w:pPr>
      <w:r w:rsidRPr="00C07EF6">
        <w:rPr>
          <w:rFonts w:cs="Arial"/>
          <w:sz w:val="22"/>
          <w:szCs w:val="22"/>
        </w:rPr>
        <w:t xml:space="preserve">Por último, para crear y posicionar la marca ICDE como herramienta mediante la cual se comunica la conciencia y el valor de la información geoespacial a nivel nacional.  </w:t>
      </w:r>
    </w:p>
    <w:p w14:paraId="0A6DB35E" w14:textId="77777777" w:rsidR="00A54D5F" w:rsidRPr="00C07EF6" w:rsidRDefault="00A54D5F" w:rsidP="000A20EE">
      <w:pPr>
        <w:pStyle w:val="Prrafodelista"/>
        <w:numPr>
          <w:ilvl w:val="0"/>
          <w:numId w:val="89"/>
        </w:numPr>
        <w:suppressAutoHyphens w:val="0"/>
        <w:overflowPunct/>
        <w:autoSpaceDE/>
        <w:spacing w:after="360"/>
        <w:contextualSpacing/>
        <w:textAlignment w:val="auto"/>
        <w:rPr>
          <w:rFonts w:cs="Arial"/>
          <w:sz w:val="22"/>
          <w:szCs w:val="22"/>
        </w:rPr>
      </w:pPr>
      <w:r w:rsidRPr="00C07EF6">
        <w:rPr>
          <w:rFonts w:cs="Arial"/>
          <w:sz w:val="22"/>
          <w:szCs w:val="22"/>
        </w:rPr>
        <w:t>Se ha avanzado en el proceso de rediseño de la marca ICDE, con el fin de generar una nueva imagen que de la mano con el rediseño de la plataforma ICDE, pudiera darle una nueva visión de que en adelante se trabaja y se proyecta para la ICDE.</w:t>
      </w:r>
    </w:p>
    <w:p w14:paraId="2D86DDE3" w14:textId="77777777" w:rsidR="00A54D5F" w:rsidRPr="00C07EF6" w:rsidRDefault="00A54D5F" w:rsidP="000A20EE">
      <w:pPr>
        <w:pStyle w:val="Prrafodelista"/>
        <w:numPr>
          <w:ilvl w:val="0"/>
          <w:numId w:val="89"/>
        </w:numPr>
        <w:suppressAutoHyphens w:val="0"/>
        <w:overflowPunct/>
        <w:autoSpaceDE/>
        <w:spacing w:after="360"/>
        <w:contextualSpacing/>
        <w:textAlignment w:val="auto"/>
        <w:rPr>
          <w:rFonts w:cs="Arial"/>
          <w:sz w:val="22"/>
          <w:szCs w:val="22"/>
        </w:rPr>
      </w:pPr>
      <w:r w:rsidRPr="00C07EF6">
        <w:rPr>
          <w:rFonts w:cs="Arial"/>
          <w:sz w:val="22"/>
          <w:szCs w:val="22"/>
        </w:rPr>
        <w:t>Desde la vía de comunicación estratégica se previó ejecutar una estrategia de posicionamiento, que permitiera crear y posicionar la marca ICDE como herramienta mediante la cual se comunica la conciencia y el valor de la información geoespacial a nivel nacional, para que, en adelante, se establezcan y genere su uso y apropiación logrando así su recordación y posicionamiento.</w:t>
      </w:r>
    </w:p>
    <w:p w14:paraId="22C3B126" w14:textId="5EC09532" w:rsidR="00A54D5F" w:rsidRPr="002F677C" w:rsidRDefault="00A54D5F" w:rsidP="000A20EE">
      <w:pPr>
        <w:pStyle w:val="Prrafodelista"/>
        <w:numPr>
          <w:ilvl w:val="0"/>
          <w:numId w:val="89"/>
        </w:numPr>
        <w:suppressAutoHyphens w:val="0"/>
        <w:overflowPunct/>
        <w:autoSpaceDE/>
        <w:spacing w:after="360"/>
        <w:contextualSpacing/>
        <w:textAlignment w:val="auto"/>
        <w:rPr>
          <w:rFonts w:cs="Arial"/>
          <w:sz w:val="22"/>
          <w:szCs w:val="22"/>
        </w:rPr>
      </w:pPr>
      <w:r w:rsidRPr="00C07EF6">
        <w:rPr>
          <w:rFonts w:cs="Arial"/>
          <w:sz w:val="22"/>
          <w:szCs w:val="22"/>
        </w:rPr>
        <w:t xml:space="preserve">Desde esta vía, también se ha logrado fidelizar a los usuarios de la ICDE a través de una comunicación asertiva que permita mantener informados a los miembros de la comunidad ICDE, logrando un liderazgo, participación y dirección hacia los actores productores de información geoespacial, por medio de eventos, mensajes estratégicos en diferentes canales de comunicación. Para el posicionamiento de la marca ICDE se plantearon cinco ejes estratégicos: </w:t>
      </w:r>
    </w:p>
    <w:p w14:paraId="486FC29D" w14:textId="77777777" w:rsidR="00A54D5F" w:rsidRPr="00C07EF6" w:rsidRDefault="00A54D5F" w:rsidP="000A20EE">
      <w:pPr>
        <w:pStyle w:val="Prrafodelista"/>
        <w:numPr>
          <w:ilvl w:val="0"/>
          <w:numId w:val="90"/>
        </w:numPr>
        <w:suppressAutoHyphens w:val="0"/>
        <w:overflowPunct/>
        <w:autoSpaceDE/>
        <w:spacing w:after="360"/>
        <w:contextualSpacing/>
        <w:textAlignment w:val="auto"/>
        <w:rPr>
          <w:rFonts w:cs="Arial"/>
          <w:sz w:val="22"/>
          <w:szCs w:val="22"/>
        </w:rPr>
      </w:pPr>
      <w:r w:rsidRPr="00C07EF6">
        <w:rPr>
          <w:rFonts w:cs="Arial"/>
          <w:sz w:val="22"/>
          <w:szCs w:val="22"/>
        </w:rPr>
        <w:t>Estrategia de marketing digital.</w:t>
      </w:r>
    </w:p>
    <w:p w14:paraId="0289E9A4" w14:textId="77777777" w:rsidR="00A54D5F" w:rsidRPr="00C07EF6" w:rsidRDefault="00A54D5F" w:rsidP="000A20EE">
      <w:pPr>
        <w:pStyle w:val="Prrafodelista"/>
        <w:numPr>
          <w:ilvl w:val="0"/>
          <w:numId w:val="90"/>
        </w:numPr>
        <w:suppressAutoHyphens w:val="0"/>
        <w:overflowPunct/>
        <w:autoSpaceDE/>
        <w:spacing w:after="360"/>
        <w:contextualSpacing/>
        <w:textAlignment w:val="auto"/>
        <w:rPr>
          <w:rFonts w:cs="Arial"/>
          <w:sz w:val="22"/>
          <w:szCs w:val="22"/>
        </w:rPr>
      </w:pPr>
      <w:r w:rsidRPr="00C07EF6">
        <w:rPr>
          <w:rFonts w:cs="Arial"/>
          <w:sz w:val="22"/>
          <w:szCs w:val="22"/>
        </w:rPr>
        <w:t xml:space="preserve">Estrategia de redes sociales y administración de canales digitales. </w:t>
      </w:r>
    </w:p>
    <w:p w14:paraId="7FD4DB91" w14:textId="77777777" w:rsidR="00A54D5F" w:rsidRPr="00C07EF6" w:rsidRDefault="00A54D5F" w:rsidP="000A20EE">
      <w:pPr>
        <w:pStyle w:val="Prrafodelista"/>
        <w:numPr>
          <w:ilvl w:val="0"/>
          <w:numId w:val="90"/>
        </w:numPr>
        <w:suppressAutoHyphens w:val="0"/>
        <w:overflowPunct/>
        <w:autoSpaceDE/>
        <w:spacing w:after="360"/>
        <w:contextualSpacing/>
        <w:textAlignment w:val="auto"/>
        <w:rPr>
          <w:rFonts w:cs="Arial"/>
          <w:sz w:val="22"/>
          <w:szCs w:val="22"/>
        </w:rPr>
      </w:pPr>
      <w:r w:rsidRPr="00C07EF6">
        <w:rPr>
          <w:rFonts w:cs="Arial"/>
          <w:sz w:val="22"/>
          <w:szCs w:val="22"/>
        </w:rPr>
        <w:t xml:space="preserve">Estrategia de promoción, participación y colaboración ciudadana. 4. Caracterización de clientes y usuarios. </w:t>
      </w:r>
    </w:p>
    <w:p w14:paraId="23F84337" w14:textId="77777777" w:rsidR="00A54D5F" w:rsidRPr="00C07EF6" w:rsidRDefault="00A54D5F" w:rsidP="000A20EE">
      <w:pPr>
        <w:pStyle w:val="Prrafodelista"/>
        <w:numPr>
          <w:ilvl w:val="0"/>
          <w:numId w:val="90"/>
        </w:numPr>
        <w:suppressAutoHyphens w:val="0"/>
        <w:overflowPunct/>
        <w:autoSpaceDE/>
        <w:spacing w:after="360"/>
        <w:contextualSpacing/>
        <w:textAlignment w:val="auto"/>
        <w:rPr>
          <w:rFonts w:cs="Arial"/>
          <w:sz w:val="22"/>
          <w:szCs w:val="22"/>
        </w:rPr>
      </w:pPr>
      <w:r w:rsidRPr="00C07EF6">
        <w:rPr>
          <w:rFonts w:cs="Arial"/>
          <w:sz w:val="22"/>
          <w:szCs w:val="22"/>
        </w:rPr>
        <w:t>Estrategia de analítica e impacto en redes y canales digitales.</w:t>
      </w:r>
    </w:p>
    <w:p w14:paraId="06375100" w14:textId="77777777" w:rsidR="00A54D5F" w:rsidRPr="00C07EF6" w:rsidRDefault="00A54D5F" w:rsidP="00C72779">
      <w:pPr>
        <w:pStyle w:val="Ttulo4"/>
        <w:ind w:left="864" w:hanging="864"/>
        <w:rPr>
          <w:sz w:val="22"/>
          <w:szCs w:val="22"/>
        </w:rPr>
      </w:pPr>
      <w:r w:rsidRPr="00C07EF6">
        <w:rPr>
          <w:sz w:val="22"/>
          <w:szCs w:val="22"/>
        </w:rPr>
        <w:t xml:space="preserve">Fortalecimiento Territorial </w:t>
      </w:r>
    </w:p>
    <w:p w14:paraId="132B3370" w14:textId="77777777" w:rsidR="00A54D5F" w:rsidRPr="00C07EF6" w:rsidRDefault="00A54D5F" w:rsidP="00C72779">
      <w:pPr>
        <w:rPr>
          <w:sz w:val="22"/>
          <w:szCs w:val="22"/>
          <w:lang w:val="es-ES_tradnl" w:eastAsia="he-IL" w:bidi="he-IL"/>
        </w:rPr>
      </w:pPr>
    </w:p>
    <w:p w14:paraId="7B60F945" w14:textId="77777777" w:rsidR="00A54D5F" w:rsidRPr="00C07EF6" w:rsidRDefault="00A54D5F" w:rsidP="00C72779">
      <w:pPr>
        <w:jc w:val="both"/>
        <w:rPr>
          <w:sz w:val="22"/>
          <w:szCs w:val="22"/>
          <w:lang w:val="es-MX"/>
        </w:rPr>
      </w:pPr>
      <w:r w:rsidRPr="00C07EF6">
        <w:rPr>
          <w:sz w:val="22"/>
          <w:szCs w:val="22"/>
          <w:lang w:val="es-MX"/>
        </w:rPr>
        <w:lastRenderedPageBreak/>
        <w:t>Recoge las acciones desarrolladas en las líneas de acción del PEP-POA 2.4.2. La estrategia de Fortalecimiento Territorial la cual tiene por objetivo mejorar los procesos de uso y explotación de datos y recursos geográficos por parte delos municipios en los cuales se implementa la política de catastro multipropósito por parte del IGAC en su rol de Gestor  y Autoridad Catastral, se planificó y ejecutó el desarrollo de una estrategia para el abordaje de los territorios priorizados, es decir, de los municipios que son intervenidos en el marco de los procesos implementación de la política.</w:t>
      </w:r>
    </w:p>
    <w:p w14:paraId="5247C500" w14:textId="77777777" w:rsidR="00A54D5F" w:rsidRPr="00C07EF6" w:rsidRDefault="00A54D5F" w:rsidP="00C72779">
      <w:pPr>
        <w:jc w:val="both"/>
        <w:rPr>
          <w:sz w:val="22"/>
          <w:szCs w:val="22"/>
          <w:lang w:val="es-MX"/>
        </w:rPr>
      </w:pPr>
    </w:p>
    <w:p w14:paraId="265D716F" w14:textId="77777777" w:rsidR="00A54D5F" w:rsidRPr="00C07EF6" w:rsidRDefault="00A54D5F" w:rsidP="00C72779">
      <w:pPr>
        <w:jc w:val="both"/>
        <w:rPr>
          <w:sz w:val="22"/>
          <w:szCs w:val="22"/>
          <w:lang w:val="es-MX"/>
        </w:rPr>
      </w:pPr>
      <w:r w:rsidRPr="00C07EF6">
        <w:rPr>
          <w:sz w:val="22"/>
          <w:szCs w:val="22"/>
          <w:lang w:val="es-MX"/>
        </w:rPr>
        <w:t>Para tal fin, dentro de la plataforma ICDE se construyó un componente tecnológico dedicado a la disposición de contenidos técnicos especializados y se construyeron los contenidos requeridos los cuales se resumen a continuación.</w:t>
      </w:r>
    </w:p>
    <w:p w14:paraId="69D58065" w14:textId="77777777" w:rsidR="00A54D5F" w:rsidRPr="00C07EF6" w:rsidRDefault="00A54D5F" w:rsidP="00C72779">
      <w:pPr>
        <w:jc w:val="both"/>
        <w:rPr>
          <w:sz w:val="22"/>
          <w:szCs w:val="22"/>
          <w:lang w:val="es-MX"/>
        </w:rPr>
      </w:pPr>
    </w:p>
    <w:p w14:paraId="3EAB9110" w14:textId="77777777"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lang w:val="es-MX"/>
        </w:rPr>
      </w:pPr>
      <w:r w:rsidRPr="00C07EF6">
        <w:rPr>
          <w:rFonts w:cs="Arial"/>
          <w:b/>
          <w:sz w:val="22"/>
          <w:szCs w:val="22"/>
          <w:lang w:val="es-MX"/>
        </w:rPr>
        <w:t>Unidad 1 Normatividad</w:t>
      </w:r>
      <w:r w:rsidRPr="00C07EF6">
        <w:rPr>
          <w:rFonts w:cs="Arial"/>
          <w:sz w:val="22"/>
          <w:szCs w:val="22"/>
          <w:lang w:val="es-MX"/>
        </w:rPr>
        <w:t>: A través de esta Unidad podrá conocer los principales antecedentes legales y normativos asociados a la Política de Catastro Multipropósito y Administración del Territorio en Colombia, lo que le permitirá fundamentar y justificar las actividades y procesos en el ámbito local.</w:t>
      </w:r>
    </w:p>
    <w:p w14:paraId="56E8DBA4" w14:textId="77777777"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lang w:val="es-MX"/>
        </w:rPr>
      </w:pPr>
      <w:r w:rsidRPr="00C07EF6">
        <w:rPr>
          <w:rFonts w:cs="Arial"/>
          <w:b/>
          <w:sz w:val="22"/>
          <w:szCs w:val="22"/>
          <w:lang w:val="es-MX"/>
        </w:rPr>
        <w:t>Unidad 2 ICDE</w:t>
      </w:r>
      <w:r w:rsidRPr="00C07EF6">
        <w:rPr>
          <w:rFonts w:cs="Arial"/>
          <w:sz w:val="22"/>
          <w:szCs w:val="22"/>
          <w:lang w:val="es-MX"/>
        </w:rPr>
        <w:t>: Esta Unidad contiene la información necesaria para conocer la Infraestructura Colombiana de Datos Espaciales - ICDE, así como la relación de servicios y beneficios que esta ofrece para apoyar y fortalecer la implementación de la política de Catastro Multipropósito y Administración del Territorio.</w:t>
      </w:r>
    </w:p>
    <w:p w14:paraId="3E3F11B2" w14:textId="77777777"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lang w:val="es-MX"/>
        </w:rPr>
      </w:pPr>
      <w:r w:rsidRPr="00C07EF6">
        <w:rPr>
          <w:rFonts w:cs="Arial"/>
          <w:b/>
          <w:sz w:val="22"/>
          <w:szCs w:val="22"/>
          <w:lang w:val="es-MX"/>
        </w:rPr>
        <w:t>Unidad 3 Catastro Multipropósito</w:t>
      </w:r>
      <w:r w:rsidRPr="00C07EF6">
        <w:rPr>
          <w:rFonts w:cs="Arial"/>
          <w:sz w:val="22"/>
          <w:szCs w:val="22"/>
          <w:lang w:val="es-MX"/>
        </w:rPr>
        <w:t>: En esta Unidad se hace referencia a los temas relacionados con el Catastro con enfoque Multipropósito, sus conceptos, beneficios, así como los retos relacionados con el proceso de implementación y actualización catastral en cada territorio.</w:t>
      </w:r>
    </w:p>
    <w:p w14:paraId="1496C1D1" w14:textId="77777777"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lang w:val="es-MX"/>
        </w:rPr>
      </w:pPr>
      <w:r w:rsidRPr="00C07EF6">
        <w:rPr>
          <w:rFonts w:cs="Arial"/>
          <w:b/>
          <w:sz w:val="22"/>
          <w:szCs w:val="22"/>
          <w:lang w:val="es-MX"/>
        </w:rPr>
        <w:t>Unidad 4 Fortalecimiento de Capacidades Territoriales</w:t>
      </w:r>
      <w:r w:rsidRPr="00C07EF6">
        <w:rPr>
          <w:rFonts w:cs="Arial"/>
          <w:sz w:val="22"/>
          <w:szCs w:val="22"/>
          <w:lang w:val="es-MX"/>
        </w:rPr>
        <w:t>: A través de esta Unidad se pone a disposición del país y de sus usuarios, de información, herramientas y guías de referencia para fortalecer y complementar el proceso de implementación de la Política de Catastro Multipropósito y Administración del Territorio, teniendo como enfoque el fortalecimiento de las capacidades institucionales y técnicas de los usuarios en el ámbito territorial</w:t>
      </w:r>
    </w:p>
    <w:p w14:paraId="769634D5" w14:textId="77777777" w:rsidR="00A54D5F" w:rsidRPr="00C07EF6" w:rsidRDefault="00A54D5F" w:rsidP="00C72779">
      <w:pPr>
        <w:jc w:val="both"/>
        <w:rPr>
          <w:sz w:val="22"/>
          <w:szCs w:val="22"/>
          <w:lang w:val="es-MX"/>
        </w:rPr>
      </w:pPr>
      <w:r w:rsidRPr="00C07EF6">
        <w:rPr>
          <w:sz w:val="22"/>
          <w:szCs w:val="22"/>
          <w:lang w:val="es-MX"/>
        </w:rPr>
        <w:t>Así mismo, de conformidad con la planeación y las actividades de articulación establecidas de manera conjunta con el Departamento Nacional de Planeación - DNP, se realizó la socialización y presentación del enfoque de la estrategia territorial en el marco del Subcomponente 2.4 (Fortalecimiento de la ICDE). La actividad fue ejecutada en el municipio de Duitama, con la participación de los siete (7) municipios priorizados para el 2021 en materia de la implementación de la política de catastro multipropósito del departamento de Boyacá, a saber: Sativasur, Busbanzá, Beteitiva, Corrales, Socotá, Tasco y Socha, así como a la Gobernación de Boyacá y a delegados del operador catastral en el departamento - Telespazio.</w:t>
      </w:r>
    </w:p>
    <w:p w14:paraId="7B75BB46" w14:textId="77777777" w:rsidR="00A54D5F" w:rsidRPr="00C07EF6" w:rsidRDefault="00A54D5F" w:rsidP="00C72779">
      <w:pPr>
        <w:jc w:val="both"/>
        <w:rPr>
          <w:sz w:val="22"/>
          <w:szCs w:val="22"/>
          <w:lang w:val="es-MX"/>
        </w:rPr>
      </w:pPr>
      <w:r w:rsidRPr="00C07EF6">
        <w:rPr>
          <w:sz w:val="22"/>
          <w:szCs w:val="22"/>
          <w:lang w:val="es-MX"/>
        </w:rPr>
        <w:t>La jornada de socialización tuvo como énfasis los temas presentados a continuación, y su ejecución se cumplió según lo programado. Se espera desarrollar una nueva jornada en territorio durante el mes de noviembre de 2021.</w:t>
      </w:r>
    </w:p>
    <w:p w14:paraId="6E9E5BD8" w14:textId="77777777" w:rsidR="00A54D5F" w:rsidRPr="00C07EF6"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Introducción al “Programa para la Adopción e Implementación de un Catastro Multipropósito Rural – Urbano”</w:t>
      </w:r>
    </w:p>
    <w:p w14:paraId="4C367191" w14:textId="77777777" w:rsidR="00A54D5F" w:rsidRPr="00C07EF6"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Innovación tecnológica para la Administración del Territorio</w:t>
      </w:r>
    </w:p>
    <w:p w14:paraId="5FAFAA81" w14:textId="77777777" w:rsidR="00A54D5F" w:rsidRPr="00C07EF6"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Sistema de Administración del Territorio y Catastro Multipropósito</w:t>
      </w:r>
    </w:p>
    <w:p w14:paraId="712D071A" w14:textId="77777777" w:rsidR="00A54D5F" w:rsidRPr="00C07EF6"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Presentación del proyecto de Fortalecimiento de la ICDE</w:t>
      </w:r>
    </w:p>
    <w:p w14:paraId="67767464" w14:textId="77777777" w:rsidR="00A54D5F" w:rsidRPr="00C07EF6"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Enfoque de Género y Catastro Multipropósito</w:t>
      </w:r>
    </w:p>
    <w:p w14:paraId="569B1B9D" w14:textId="149C9689" w:rsidR="00A54D5F" w:rsidRPr="002F677C" w:rsidRDefault="00A54D5F" w:rsidP="000A20EE">
      <w:pPr>
        <w:pStyle w:val="Prrafodelista"/>
        <w:numPr>
          <w:ilvl w:val="0"/>
          <w:numId w:val="86"/>
        </w:numPr>
        <w:suppressAutoHyphens w:val="0"/>
        <w:overflowPunct/>
        <w:autoSpaceDE/>
        <w:spacing w:after="160"/>
        <w:contextualSpacing/>
        <w:textAlignment w:val="auto"/>
        <w:rPr>
          <w:rFonts w:cs="Arial"/>
          <w:sz w:val="22"/>
          <w:szCs w:val="22"/>
          <w:lang w:val="es-MX"/>
        </w:rPr>
      </w:pPr>
      <w:r w:rsidRPr="00C07EF6">
        <w:rPr>
          <w:rFonts w:cs="Arial"/>
          <w:sz w:val="22"/>
          <w:szCs w:val="22"/>
          <w:lang w:val="es-MX"/>
        </w:rPr>
        <w:t>Compromiso para el abordaje y transferencia de conocimiento en campo, en torno al acceso, uso y aprovechamiento de la información dispuesta por la ICDE para los territorios.</w:t>
      </w:r>
    </w:p>
    <w:p w14:paraId="177F32E0" w14:textId="77777777" w:rsidR="00A54D5F" w:rsidRDefault="00A54D5F" w:rsidP="00C72779">
      <w:pPr>
        <w:pStyle w:val="Ttulo4"/>
        <w:ind w:left="864" w:hanging="864"/>
        <w:rPr>
          <w:sz w:val="22"/>
          <w:szCs w:val="22"/>
        </w:rPr>
      </w:pPr>
      <w:r w:rsidRPr="00C07EF6">
        <w:rPr>
          <w:sz w:val="22"/>
          <w:szCs w:val="22"/>
        </w:rPr>
        <w:lastRenderedPageBreak/>
        <w:t>Gestión de Datos</w:t>
      </w:r>
    </w:p>
    <w:p w14:paraId="293B362C" w14:textId="77777777" w:rsidR="00A54D5F" w:rsidRPr="00A54D5F" w:rsidRDefault="00A54D5F" w:rsidP="00C72779">
      <w:pPr>
        <w:rPr>
          <w:lang w:val="es-ES_tradnl" w:eastAsia="he-IL" w:bidi="he-IL"/>
        </w:rPr>
      </w:pPr>
    </w:p>
    <w:p w14:paraId="05CF70E1" w14:textId="77777777" w:rsidR="00A54D5F" w:rsidRPr="00C07EF6" w:rsidRDefault="00A54D5F" w:rsidP="00C72779">
      <w:pPr>
        <w:jc w:val="both"/>
        <w:rPr>
          <w:sz w:val="22"/>
          <w:szCs w:val="22"/>
          <w:lang w:val="es-MX"/>
        </w:rPr>
      </w:pPr>
      <w:r w:rsidRPr="00C07EF6">
        <w:rPr>
          <w:sz w:val="22"/>
          <w:szCs w:val="22"/>
          <w:lang w:val="es-MX"/>
        </w:rPr>
        <w:t>Recoge las acciones desarrolladas en las líneas de acción del PEP-POA 2.4.3, 2.4.4. En el marco de la gestión de datos para el fortalecimiento de la ICDE se ha avanzado en dos líneas centrales para mejorar el acceso a más y mejor información requerida para como estrategia de apoyo al programa de adopción de un catastro multipropósito.</w:t>
      </w:r>
    </w:p>
    <w:p w14:paraId="022A0F61" w14:textId="77777777" w:rsidR="00A54D5F" w:rsidRPr="00C07EF6" w:rsidRDefault="00A54D5F" w:rsidP="00C72779">
      <w:pPr>
        <w:rPr>
          <w:sz w:val="22"/>
          <w:szCs w:val="22"/>
          <w:lang w:val="es-MX"/>
        </w:rPr>
      </w:pPr>
    </w:p>
    <w:p w14:paraId="229CB317" w14:textId="77777777"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rPr>
      </w:pPr>
      <w:r w:rsidRPr="00C07EF6">
        <w:rPr>
          <w:rFonts w:cs="Arial"/>
          <w:b/>
          <w:sz w:val="22"/>
          <w:szCs w:val="22"/>
          <w:lang w:val="es-MX"/>
        </w:rPr>
        <w:t>Línea de gestión de datos fundamentales</w:t>
      </w:r>
      <w:r w:rsidRPr="00C07EF6">
        <w:rPr>
          <w:rFonts w:cs="Arial"/>
          <w:sz w:val="22"/>
          <w:szCs w:val="22"/>
          <w:lang w:val="es-MX"/>
        </w:rPr>
        <w:t>: Son la base sobre la cual se construyen otros datos geoespaciales, permiten la localización espacial de datos, la generación de productos geográficos temáticos, la integración de distintas fuentes de información y un mejor análisis de datos estadísticos. Su definición se toma con base en lo definido en Marco Integrado de Información Geoespacial (IGIF por su sigla en inglés)</w:t>
      </w:r>
    </w:p>
    <w:p w14:paraId="708F2B55" w14:textId="52672097" w:rsidR="00A54D5F" w:rsidRDefault="00A54D5F" w:rsidP="00C72779">
      <w:pPr>
        <w:jc w:val="both"/>
        <w:rPr>
          <w:sz w:val="22"/>
          <w:szCs w:val="22"/>
          <w:lang w:val="es-MX"/>
        </w:rPr>
      </w:pPr>
      <w:r w:rsidRPr="31FF9146">
        <w:rPr>
          <w:sz w:val="22"/>
          <w:szCs w:val="22"/>
          <w:lang w:val="es-MX"/>
        </w:rPr>
        <w:t>A partir del trabajo desarrollado en el marco del Subcomponente 2.4 se han identificado y priorizado los datos definidos en la siguiente tabla</w:t>
      </w:r>
      <w:r w:rsidR="002F677C" w:rsidRPr="31FF9146">
        <w:rPr>
          <w:sz w:val="22"/>
          <w:szCs w:val="22"/>
          <w:lang w:val="es-MX"/>
        </w:rPr>
        <w:t>:</w:t>
      </w:r>
    </w:p>
    <w:p w14:paraId="4875A1FE" w14:textId="336BD940" w:rsidR="31FF9146" w:rsidRDefault="31FF9146" w:rsidP="31FF9146">
      <w:pPr>
        <w:jc w:val="both"/>
        <w:rPr>
          <w:b/>
          <w:bCs/>
          <w:sz w:val="18"/>
          <w:szCs w:val="18"/>
          <w:lang w:val="es-MX"/>
        </w:rPr>
      </w:pPr>
    </w:p>
    <w:p w14:paraId="0F9E609D" w14:textId="14B649C1" w:rsidR="002F677C" w:rsidRPr="00526300" w:rsidRDefault="0DC6A86C" w:rsidP="00526300">
      <w:pPr>
        <w:pStyle w:val="Descripcin"/>
        <w:jc w:val="center"/>
        <w:rPr>
          <w:rFonts w:ascii="Arial" w:hAnsi="Arial" w:cs="Arial"/>
          <w:b/>
          <w:i w:val="0"/>
          <w:color w:val="auto"/>
          <w:sz w:val="16"/>
          <w:szCs w:val="16"/>
          <w:lang w:val="es-MX"/>
        </w:rPr>
      </w:pPr>
      <w:bookmarkStart w:id="140" w:name="_Toc88677124"/>
      <w:r w:rsidRPr="00526300">
        <w:rPr>
          <w:rFonts w:ascii="Arial" w:hAnsi="Arial" w:cs="Arial"/>
          <w:b/>
          <w:i w:val="0"/>
          <w:color w:val="auto"/>
          <w:sz w:val="16"/>
          <w:szCs w:val="16"/>
        </w:rPr>
        <w:t xml:space="preserve">Tabla </w:t>
      </w:r>
      <w:r w:rsidR="00526300" w:rsidRPr="00526300">
        <w:rPr>
          <w:rFonts w:ascii="Arial" w:hAnsi="Arial" w:cs="Arial"/>
          <w:b/>
          <w:i w:val="0"/>
          <w:color w:val="auto"/>
          <w:sz w:val="16"/>
          <w:szCs w:val="16"/>
        </w:rPr>
        <w:fldChar w:fldCharType="begin"/>
      </w:r>
      <w:r w:rsidR="00526300" w:rsidRPr="00526300">
        <w:rPr>
          <w:rFonts w:ascii="Arial" w:hAnsi="Arial" w:cs="Arial"/>
          <w:b/>
          <w:i w:val="0"/>
          <w:color w:val="auto"/>
          <w:sz w:val="16"/>
          <w:szCs w:val="16"/>
        </w:rPr>
        <w:instrText xml:space="preserve"> SEQ Tabla \* ARABIC </w:instrText>
      </w:r>
      <w:r w:rsidR="00526300" w:rsidRPr="00526300">
        <w:rPr>
          <w:rFonts w:ascii="Arial" w:hAnsi="Arial" w:cs="Arial"/>
          <w:b/>
          <w:i w:val="0"/>
          <w:color w:val="auto"/>
          <w:sz w:val="16"/>
          <w:szCs w:val="16"/>
        </w:rPr>
        <w:fldChar w:fldCharType="separate"/>
      </w:r>
      <w:r w:rsidR="004D4C6A">
        <w:rPr>
          <w:rFonts w:ascii="Arial" w:hAnsi="Arial" w:cs="Arial"/>
          <w:b/>
          <w:i w:val="0"/>
          <w:noProof/>
          <w:color w:val="auto"/>
          <w:sz w:val="16"/>
          <w:szCs w:val="16"/>
        </w:rPr>
        <w:t>52</w:t>
      </w:r>
      <w:r w:rsidR="00526300" w:rsidRPr="00526300">
        <w:rPr>
          <w:rFonts w:ascii="Arial" w:hAnsi="Arial" w:cs="Arial"/>
          <w:b/>
          <w:i w:val="0"/>
          <w:color w:val="auto"/>
          <w:sz w:val="16"/>
          <w:szCs w:val="16"/>
        </w:rPr>
        <w:fldChar w:fldCharType="end"/>
      </w:r>
      <w:r w:rsidR="00526300" w:rsidRPr="00526300">
        <w:rPr>
          <w:rFonts w:ascii="Arial" w:hAnsi="Arial" w:cs="Arial"/>
          <w:b/>
          <w:i w:val="0"/>
          <w:color w:val="auto"/>
          <w:sz w:val="16"/>
          <w:szCs w:val="16"/>
        </w:rPr>
        <w:t>.</w:t>
      </w:r>
      <w:r w:rsidRPr="00526300">
        <w:rPr>
          <w:rFonts w:ascii="Arial" w:hAnsi="Arial" w:cs="Arial"/>
          <w:b/>
          <w:i w:val="0"/>
          <w:color w:val="auto"/>
          <w:sz w:val="16"/>
          <w:szCs w:val="16"/>
        </w:rPr>
        <w:t xml:space="preserve"> </w:t>
      </w:r>
      <w:r w:rsidR="002F677C" w:rsidRPr="00526300">
        <w:rPr>
          <w:rFonts w:ascii="Arial" w:hAnsi="Arial" w:cs="Arial"/>
          <w:b/>
          <w:i w:val="0"/>
          <w:color w:val="auto"/>
          <w:sz w:val="16"/>
          <w:szCs w:val="16"/>
        </w:rPr>
        <w:t>Datos Priorizados</w:t>
      </w:r>
      <w:bookmarkEnd w:id="140"/>
    </w:p>
    <w:tbl>
      <w:tblPr>
        <w:tblStyle w:val="Tabladecuadrcula4-nfasis1"/>
        <w:tblW w:w="9503" w:type="dxa"/>
        <w:jc w:val="center"/>
        <w:tblLayout w:type="fixed"/>
        <w:tblLook w:val="06A0" w:firstRow="1" w:lastRow="0" w:firstColumn="1" w:lastColumn="0" w:noHBand="1" w:noVBand="1"/>
      </w:tblPr>
      <w:tblGrid>
        <w:gridCol w:w="4957"/>
        <w:gridCol w:w="1417"/>
        <w:gridCol w:w="2126"/>
        <w:gridCol w:w="1003"/>
      </w:tblGrid>
      <w:tr w:rsidR="002F677C" w:rsidRPr="001F242B" w14:paraId="2181CE3C" w14:textId="6A021FB0"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1E8837D8" w14:textId="41F88673" w:rsidR="002F677C" w:rsidRPr="001F242B" w:rsidRDefault="002F677C" w:rsidP="00C72779">
            <w:pPr>
              <w:jc w:val="center"/>
              <w:rPr>
                <w:sz w:val="20"/>
                <w:szCs w:val="22"/>
              </w:rPr>
            </w:pPr>
            <w:r w:rsidRPr="001F242B">
              <w:rPr>
                <w:rFonts w:cs="Arial"/>
                <w:bCs w:val="0"/>
                <w:sz w:val="20"/>
                <w:szCs w:val="22"/>
                <w:lang w:val="es-CO"/>
              </w:rPr>
              <w:t>Tema Fundamental</w:t>
            </w:r>
          </w:p>
        </w:tc>
        <w:tc>
          <w:tcPr>
            <w:tcW w:w="1417" w:type="dxa"/>
            <w:vAlign w:val="center"/>
          </w:tcPr>
          <w:p w14:paraId="6AD316FC" w14:textId="2D6A7422" w:rsidR="002F677C" w:rsidRPr="001F242B" w:rsidRDefault="002F677C"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cs="Arial"/>
                <w:bCs w:val="0"/>
                <w:sz w:val="20"/>
                <w:szCs w:val="22"/>
                <w:lang w:val="es-CO"/>
              </w:rPr>
              <w:t>Conjuntos de datos</w:t>
            </w:r>
          </w:p>
        </w:tc>
        <w:tc>
          <w:tcPr>
            <w:tcW w:w="2126" w:type="dxa"/>
            <w:vAlign w:val="center"/>
          </w:tcPr>
          <w:p w14:paraId="3F25A042" w14:textId="632C1099" w:rsidR="002F677C" w:rsidRPr="001F242B" w:rsidRDefault="002F677C"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cs="Arial"/>
                <w:bCs w:val="0"/>
                <w:sz w:val="20"/>
                <w:szCs w:val="22"/>
                <w:lang w:val="es-CO"/>
              </w:rPr>
              <w:t>Representatividad</w:t>
            </w:r>
          </w:p>
        </w:tc>
        <w:tc>
          <w:tcPr>
            <w:tcW w:w="1003" w:type="dxa"/>
            <w:vAlign w:val="center"/>
          </w:tcPr>
          <w:p w14:paraId="6E868551" w14:textId="2C859D1E" w:rsidR="002F677C" w:rsidRPr="001F242B" w:rsidRDefault="002F677C"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cs="Arial"/>
                <w:bCs w:val="0"/>
                <w:sz w:val="20"/>
                <w:szCs w:val="22"/>
                <w:lang w:val="es-CO"/>
              </w:rPr>
              <w:t>Avance</w:t>
            </w:r>
          </w:p>
        </w:tc>
      </w:tr>
      <w:tr w:rsidR="002F677C" w:rsidRPr="001F242B" w14:paraId="138A8095" w14:textId="39B56139"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0BD18780" w14:textId="3ACEC4B5" w:rsidR="002F677C" w:rsidRPr="001F242B" w:rsidRDefault="002F677C" w:rsidP="00C72779">
            <w:pPr>
              <w:jc w:val="both"/>
              <w:rPr>
                <w:sz w:val="20"/>
                <w:szCs w:val="22"/>
              </w:rPr>
            </w:pPr>
            <w:r w:rsidRPr="001F242B">
              <w:rPr>
                <w:rFonts w:cs="Arial"/>
                <w:sz w:val="20"/>
                <w:szCs w:val="22"/>
                <w:lang w:val="es-CO"/>
              </w:rPr>
              <w:t>Áreas funcionales</w:t>
            </w:r>
          </w:p>
        </w:tc>
        <w:tc>
          <w:tcPr>
            <w:tcW w:w="1417" w:type="dxa"/>
            <w:vAlign w:val="center"/>
          </w:tcPr>
          <w:p w14:paraId="0047F9B8" w14:textId="7315FB25"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80</w:t>
            </w:r>
          </w:p>
        </w:tc>
        <w:tc>
          <w:tcPr>
            <w:tcW w:w="2126" w:type="dxa"/>
            <w:vAlign w:val="center"/>
          </w:tcPr>
          <w:p w14:paraId="6443AE81" w14:textId="08CDEF0A"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39%</w:t>
            </w:r>
          </w:p>
        </w:tc>
        <w:tc>
          <w:tcPr>
            <w:tcW w:w="1003" w:type="dxa"/>
            <w:vAlign w:val="center"/>
          </w:tcPr>
          <w:p w14:paraId="7E5F97A7" w14:textId="5F5810D2"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21</w:t>
            </w:r>
          </w:p>
        </w:tc>
      </w:tr>
      <w:tr w:rsidR="002F677C" w:rsidRPr="001F242B" w14:paraId="43378D25"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6B1B4F6F" w14:textId="508A3F59" w:rsidR="002F677C" w:rsidRPr="001F242B" w:rsidRDefault="002F677C" w:rsidP="00C72779">
            <w:pPr>
              <w:jc w:val="both"/>
              <w:rPr>
                <w:rFonts w:eastAsia="Arial" w:cs="Arial"/>
                <w:b w:val="0"/>
                <w:sz w:val="20"/>
                <w:szCs w:val="22"/>
                <w:lang w:val="es"/>
              </w:rPr>
            </w:pPr>
            <w:r w:rsidRPr="001F242B">
              <w:rPr>
                <w:rFonts w:cs="Arial"/>
                <w:sz w:val="20"/>
                <w:szCs w:val="22"/>
                <w:lang w:val="es-CO"/>
              </w:rPr>
              <w:t>Infraestructura física</w:t>
            </w:r>
          </w:p>
        </w:tc>
        <w:tc>
          <w:tcPr>
            <w:tcW w:w="1417" w:type="dxa"/>
            <w:vAlign w:val="center"/>
          </w:tcPr>
          <w:p w14:paraId="11C34B31" w14:textId="62AD2B39"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24</w:t>
            </w:r>
          </w:p>
        </w:tc>
        <w:tc>
          <w:tcPr>
            <w:tcW w:w="2126" w:type="dxa"/>
            <w:vAlign w:val="center"/>
          </w:tcPr>
          <w:p w14:paraId="0C283FA4" w14:textId="28600725"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12%</w:t>
            </w:r>
          </w:p>
        </w:tc>
        <w:tc>
          <w:tcPr>
            <w:tcW w:w="1003" w:type="dxa"/>
            <w:vAlign w:val="center"/>
          </w:tcPr>
          <w:p w14:paraId="7F1E29D3" w14:textId="06FEDD54"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0</w:t>
            </w:r>
          </w:p>
        </w:tc>
      </w:tr>
      <w:tr w:rsidR="002F677C" w:rsidRPr="001F242B" w14:paraId="026DBC1A"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2101263B" w14:textId="7A7D8C8B" w:rsidR="002F677C" w:rsidRPr="001F242B" w:rsidRDefault="002F677C" w:rsidP="00C72779">
            <w:pPr>
              <w:jc w:val="both"/>
              <w:rPr>
                <w:rFonts w:eastAsia="Arial" w:cs="Arial"/>
                <w:b w:val="0"/>
                <w:sz w:val="20"/>
                <w:szCs w:val="22"/>
                <w:lang w:val="es"/>
              </w:rPr>
            </w:pPr>
            <w:r w:rsidRPr="001F242B">
              <w:rPr>
                <w:rFonts w:cs="Arial"/>
                <w:sz w:val="20"/>
                <w:szCs w:val="22"/>
                <w:lang w:val="es-CO"/>
              </w:rPr>
              <w:t>Hidrografía, Hidrología e Hidrometeorología</w:t>
            </w:r>
          </w:p>
        </w:tc>
        <w:tc>
          <w:tcPr>
            <w:tcW w:w="1417" w:type="dxa"/>
            <w:vAlign w:val="center"/>
          </w:tcPr>
          <w:p w14:paraId="44245769" w14:textId="3D85B711"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21</w:t>
            </w:r>
          </w:p>
        </w:tc>
        <w:tc>
          <w:tcPr>
            <w:tcW w:w="2126" w:type="dxa"/>
            <w:vAlign w:val="center"/>
          </w:tcPr>
          <w:p w14:paraId="413A36E7" w14:textId="4DCCE9B5"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10%</w:t>
            </w:r>
          </w:p>
        </w:tc>
        <w:tc>
          <w:tcPr>
            <w:tcW w:w="1003" w:type="dxa"/>
            <w:vAlign w:val="center"/>
          </w:tcPr>
          <w:p w14:paraId="71591B00" w14:textId="492E991F"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r>
      <w:tr w:rsidR="002F677C" w:rsidRPr="001F242B" w14:paraId="5E3A9D82"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2E991A85" w14:textId="1BB52855" w:rsidR="002F677C" w:rsidRPr="001F242B" w:rsidRDefault="002F677C" w:rsidP="00C72779">
            <w:pPr>
              <w:jc w:val="both"/>
              <w:rPr>
                <w:rFonts w:eastAsia="Arial" w:cs="Arial"/>
                <w:b w:val="0"/>
                <w:sz w:val="20"/>
                <w:szCs w:val="22"/>
                <w:lang w:val="es"/>
              </w:rPr>
            </w:pPr>
            <w:r w:rsidRPr="001F242B">
              <w:rPr>
                <w:rFonts w:cs="Arial"/>
                <w:sz w:val="20"/>
                <w:szCs w:val="22"/>
                <w:lang w:val="es-CO"/>
              </w:rPr>
              <w:t>Geología y suelos</w:t>
            </w:r>
          </w:p>
        </w:tc>
        <w:tc>
          <w:tcPr>
            <w:tcW w:w="1417" w:type="dxa"/>
            <w:vAlign w:val="center"/>
          </w:tcPr>
          <w:p w14:paraId="429B2EB1" w14:textId="0FD91834"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21</w:t>
            </w:r>
          </w:p>
        </w:tc>
        <w:tc>
          <w:tcPr>
            <w:tcW w:w="2126" w:type="dxa"/>
            <w:vAlign w:val="center"/>
          </w:tcPr>
          <w:p w14:paraId="565B217E" w14:textId="168235C5"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10%</w:t>
            </w:r>
          </w:p>
        </w:tc>
        <w:tc>
          <w:tcPr>
            <w:tcW w:w="1003" w:type="dxa"/>
            <w:vAlign w:val="center"/>
          </w:tcPr>
          <w:p w14:paraId="0120B133" w14:textId="1C5586DB"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r>
      <w:tr w:rsidR="002F677C" w:rsidRPr="001F242B" w14:paraId="432B3F4F"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09B975F9" w14:textId="1823538E" w:rsidR="002F677C" w:rsidRPr="001F242B" w:rsidRDefault="002F677C" w:rsidP="00C72779">
            <w:pPr>
              <w:jc w:val="both"/>
              <w:rPr>
                <w:rFonts w:eastAsia="Arial" w:cs="Arial"/>
                <w:b w:val="0"/>
                <w:sz w:val="20"/>
                <w:szCs w:val="22"/>
                <w:lang w:val="es"/>
              </w:rPr>
            </w:pPr>
            <w:r w:rsidRPr="001F242B">
              <w:rPr>
                <w:rFonts w:cs="Arial"/>
                <w:sz w:val="20"/>
                <w:szCs w:val="22"/>
                <w:lang w:val="es-CO"/>
              </w:rPr>
              <w:t>Transporte</w:t>
            </w:r>
          </w:p>
        </w:tc>
        <w:tc>
          <w:tcPr>
            <w:tcW w:w="1417" w:type="dxa"/>
            <w:vAlign w:val="center"/>
          </w:tcPr>
          <w:p w14:paraId="2AEF860F" w14:textId="1E4939D1"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12</w:t>
            </w:r>
          </w:p>
        </w:tc>
        <w:tc>
          <w:tcPr>
            <w:tcW w:w="2126" w:type="dxa"/>
            <w:vAlign w:val="center"/>
          </w:tcPr>
          <w:p w14:paraId="41F6B48E" w14:textId="7A3BC87C"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6%</w:t>
            </w:r>
          </w:p>
        </w:tc>
        <w:tc>
          <w:tcPr>
            <w:tcW w:w="1003" w:type="dxa"/>
            <w:vAlign w:val="center"/>
          </w:tcPr>
          <w:p w14:paraId="307993E3" w14:textId="62873AC6"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3</w:t>
            </w:r>
          </w:p>
        </w:tc>
      </w:tr>
      <w:tr w:rsidR="002F677C" w:rsidRPr="001F242B" w14:paraId="0AA5E798"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6D289D5A" w14:textId="78E6B656" w:rsidR="002F677C" w:rsidRPr="001F242B" w:rsidRDefault="002F677C" w:rsidP="00C72779">
            <w:pPr>
              <w:jc w:val="both"/>
              <w:rPr>
                <w:rFonts w:eastAsia="Arial" w:cs="Arial"/>
                <w:b w:val="0"/>
                <w:sz w:val="20"/>
                <w:szCs w:val="22"/>
                <w:lang w:val="es"/>
              </w:rPr>
            </w:pPr>
            <w:r w:rsidRPr="001F242B">
              <w:rPr>
                <w:rFonts w:cs="Arial"/>
                <w:sz w:val="20"/>
                <w:szCs w:val="22"/>
                <w:lang w:val="es-MX"/>
              </w:rPr>
              <w:t>Cobertura y Uso del Suelo</w:t>
            </w:r>
          </w:p>
        </w:tc>
        <w:tc>
          <w:tcPr>
            <w:tcW w:w="1417" w:type="dxa"/>
            <w:vAlign w:val="center"/>
          </w:tcPr>
          <w:p w14:paraId="4A2975DD" w14:textId="45EDFD79"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11</w:t>
            </w:r>
          </w:p>
        </w:tc>
        <w:tc>
          <w:tcPr>
            <w:tcW w:w="2126" w:type="dxa"/>
            <w:vAlign w:val="center"/>
          </w:tcPr>
          <w:p w14:paraId="339B75FA" w14:textId="5621EB17"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5%</w:t>
            </w:r>
          </w:p>
        </w:tc>
        <w:tc>
          <w:tcPr>
            <w:tcW w:w="1003" w:type="dxa"/>
            <w:vAlign w:val="center"/>
          </w:tcPr>
          <w:p w14:paraId="6E09D7BA" w14:textId="6E44ACEA"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5</w:t>
            </w:r>
          </w:p>
        </w:tc>
      </w:tr>
      <w:tr w:rsidR="002F677C" w:rsidRPr="001F242B" w14:paraId="524E7065"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7623557F" w14:textId="5BAA8BDC" w:rsidR="002F677C" w:rsidRPr="001F242B" w:rsidRDefault="002F677C" w:rsidP="00C72779">
            <w:pPr>
              <w:jc w:val="both"/>
              <w:rPr>
                <w:rFonts w:eastAsia="Arial" w:cs="Arial"/>
                <w:b w:val="0"/>
                <w:sz w:val="20"/>
                <w:szCs w:val="22"/>
                <w:lang w:val="es"/>
              </w:rPr>
            </w:pPr>
            <w:r w:rsidRPr="001F242B">
              <w:rPr>
                <w:rFonts w:cs="Arial"/>
                <w:sz w:val="20"/>
                <w:szCs w:val="22"/>
                <w:lang w:val="es-CO"/>
              </w:rPr>
              <w:t>Construcciones y asentamientos</w:t>
            </w:r>
          </w:p>
        </w:tc>
        <w:tc>
          <w:tcPr>
            <w:tcW w:w="1417" w:type="dxa"/>
            <w:vAlign w:val="center"/>
          </w:tcPr>
          <w:p w14:paraId="4493EAD6" w14:textId="38C464B1"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7</w:t>
            </w:r>
          </w:p>
        </w:tc>
        <w:tc>
          <w:tcPr>
            <w:tcW w:w="2126" w:type="dxa"/>
            <w:vAlign w:val="center"/>
          </w:tcPr>
          <w:p w14:paraId="79A4FDC3" w14:textId="6157B81C"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3%</w:t>
            </w:r>
          </w:p>
        </w:tc>
        <w:tc>
          <w:tcPr>
            <w:tcW w:w="1003" w:type="dxa"/>
            <w:vAlign w:val="center"/>
          </w:tcPr>
          <w:p w14:paraId="49A822DE" w14:textId="7D3EF3E4"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0</w:t>
            </w:r>
          </w:p>
        </w:tc>
      </w:tr>
      <w:tr w:rsidR="002F677C" w:rsidRPr="001F242B" w14:paraId="474F12D5"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263AB30D" w14:textId="731F7D58" w:rsidR="002F677C" w:rsidRPr="001F242B" w:rsidRDefault="002F677C" w:rsidP="00C72779">
            <w:pPr>
              <w:jc w:val="both"/>
              <w:rPr>
                <w:rFonts w:eastAsia="Arial" w:cs="Arial"/>
                <w:b w:val="0"/>
                <w:sz w:val="20"/>
                <w:szCs w:val="22"/>
                <w:lang w:val="es"/>
              </w:rPr>
            </w:pPr>
            <w:r w:rsidRPr="001F242B">
              <w:rPr>
                <w:rFonts w:cs="Arial"/>
                <w:sz w:val="20"/>
                <w:szCs w:val="22"/>
                <w:lang w:val="es-CO"/>
              </w:rPr>
              <w:t>Catastro</w:t>
            </w:r>
          </w:p>
        </w:tc>
        <w:tc>
          <w:tcPr>
            <w:tcW w:w="1417" w:type="dxa"/>
            <w:vAlign w:val="center"/>
          </w:tcPr>
          <w:p w14:paraId="34F3C3D4" w14:textId="1A187B34"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7</w:t>
            </w:r>
          </w:p>
        </w:tc>
        <w:tc>
          <w:tcPr>
            <w:tcW w:w="2126" w:type="dxa"/>
            <w:vAlign w:val="center"/>
          </w:tcPr>
          <w:p w14:paraId="06AC6826" w14:textId="383B3276"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3%</w:t>
            </w:r>
          </w:p>
        </w:tc>
        <w:tc>
          <w:tcPr>
            <w:tcW w:w="1003" w:type="dxa"/>
            <w:vAlign w:val="center"/>
          </w:tcPr>
          <w:p w14:paraId="1F241BE6" w14:textId="520BB806"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r>
      <w:tr w:rsidR="002F677C" w:rsidRPr="001F242B" w14:paraId="76BFD071"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3F924BC6" w14:textId="269FB23F" w:rsidR="002F677C" w:rsidRPr="001F242B" w:rsidRDefault="002F677C" w:rsidP="00C72779">
            <w:pPr>
              <w:jc w:val="both"/>
              <w:rPr>
                <w:rFonts w:eastAsia="Arial" w:cs="Arial"/>
                <w:b w:val="0"/>
                <w:sz w:val="20"/>
                <w:szCs w:val="22"/>
                <w:lang w:val="es"/>
              </w:rPr>
            </w:pPr>
            <w:r w:rsidRPr="001F242B">
              <w:rPr>
                <w:rFonts w:cs="Arial"/>
                <w:sz w:val="20"/>
                <w:szCs w:val="22"/>
                <w:lang w:val="es-CO"/>
              </w:rPr>
              <w:t>Relieve</w:t>
            </w:r>
          </w:p>
        </w:tc>
        <w:tc>
          <w:tcPr>
            <w:tcW w:w="1417" w:type="dxa"/>
            <w:vAlign w:val="center"/>
          </w:tcPr>
          <w:p w14:paraId="6A71AEF6" w14:textId="5785DC39"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6</w:t>
            </w:r>
          </w:p>
        </w:tc>
        <w:tc>
          <w:tcPr>
            <w:tcW w:w="2126" w:type="dxa"/>
            <w:vAlign w:val="center"/>
          </w:tcPr>
          <w:p w14:paraId="265210E0" w14:textId="455E5F88"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3%</w:t>
            </w:r>
          </w:p>
        </w:tc>
        <w:tc>
          <w:tcPr>
            <w:tcW w:w="1003" w:type="dxa"/>
            <w:vAlign w:val="center"/>
          </w:tcPr>
          <w:p w14:paraId="355E1E5E" w14:textId="5083C2AA"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r>
      <w:tr w:rsidR="002F677C" w:rsidRPr="001F242B" w14:paraId="3700DDBC"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6F8744E4" w14:textId="69CFE0ED" w:rsidR="002F677C" w:rsidRPr="001F242B" w:rsidRDefault="002F677C" w:rsidP="00C72779">
            <w:pPr>
              <w:jc w:val="both"/>
              <w:rPr>
                <w:rFonts w:eastAsia="Arial" w:cs="Arial"/>
                <w:b w:val="0"/>
                <w:sz w:val="20"/>
                <w:szCs w:val="22"/>
                <w:lang w:val="es"/>
              </w:rPr>
            </w:pPr>
            <w:r w:rsidRPr="001F242B">
              <w:rPr>
                <w:rFonts w:cs="Arial"/>
                <w:sz w:val="20"/>
                <w:szCs w:val="22"/>
                <w:lang w:val="es-CO"/>
              </w:rPr>
              <w:t>Nombres geográficos</w:t>
            </w:r>
          </w:p>
        </w:tc>
        <w:tc>
          <w:tcPr>
            <w:tcW w:w="1417" w:type="dxa"/>
            <w:vAlign w:val="center"/>
          </w:tcPr>
          <w:p w14:paraId="336AC64E" w14:textId="66F4D6E3"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4</w:t>
            </w:r>
          </w:p>
        </w:tc>
        <w:tc>
          <w:tcPr>
            <w:tcW w:w="2126" w:type="dxa"/>
            <w:vAlign w:val="center"/>
          </w:tcPr>
          <w:p w14:paraId="22467255" w14:textId="59E4A6CB"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c>
          <w:tcPr>
            <w:tcW w:w="1003" w:type="dxa"/>
            <w:vAlign w:val="center"/>
          </w:tcPr>
          <w:p w14:paraId="039CF21C" w14:textId="33DF9BE7"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r>
      <w:tr w:rsidR="002F677C" w:rsidRPr="001F242B" w14:paraId="55873C18"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37474CAA" w14:textId="246CC4D0" w:rsidR="002F677C" w:rsidRPr="001F242B" w:rsidRDefault="002F677C" w:rsidP="00C72779">
            <w:pPr>
              <w:jc w:val="both"/>
              <w:rPr>
                <w:rFonts w:eastAsia="Arial" w:cs="Arial"/>
                <w:b w:val="0"/>
                <w:sz w:val="20"/>
                <w:szCs w:val="22"/>
                <w:lang w:val="es"/>
              </w:rPr>
            </w:pPr>
            <w:r w:rsidRPr="001F242B">
              <w:rPr>
                <w:rFonts w:cs="Arial"/>
                <w:sz w:val="20"/>
                <w:szCs w:val="22"/>
                <w:lang w:val="es-CO"/>
              </w:rPr>
              <w:t>Sistema de Referencia Geodésico</w:t>
            </w:r>
          </w:p>
        </w:tc>
        <w:tc>
          <w:tcPr>
            <w:tcW w:w="1417" w:type="dxa"/>
            <w:vAlign w:val="center"/>
          </w:tcPr>
          <w:p w14:paraId="4554E7A8" w14:textId="7BC71582"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4</w:t>
            </w:r>
          </w:p>
        </w:tc>
        <w:tc>
          <w:tcPr>
            <w:tcW w:w="2126" w:type="dxa"/>
            <w:vAlign w:val="center"/>
          </w:tcPr>
          <w:p w14:paraId="6547DFF6" w14:textId="1F91140A"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c>
          <w:tcPr>
            <w:tcW w:w="1003" w:type="dxa"/>
            <w:vAlign w:val="center"/>
          </w:tcPr>
          <w:p w14:paraId="1167C898" w14:textId="1BBA8832"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4</w:t>
            </w:r>
          </w:p>
        </w:tc>
      </w:tr>
      <w:tr w:rsidR="002F677C" w:rsidRPr="001F242B" w14:paraId="6F586513"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40194C7F" w14:textId="5E07A15B" w:rsidR="002F677C" w:rsidRPr="001F242B" w:rsidRDefault="002F677C" w:rsidP="00C72779">
            <w:pPr>
              <w:jc w:val="both"/>
              <w:rPr>
                <w:rFonts w:eastAsia="Arial" w:cs="Arial"/>
                <w:b w:val="0"/>
                <w:sz w:val="20"/>
                <w:szCs w:val="22"/>
                <w:lang w:val="es"/>
              </w:rPr>
            </w:pPr>
            <w:r w:rsidRPr="001F242B">
              <w:rPr>
                <w:rFonts w:cs="Arial"/>
                <w:sz w:val="20"/>
                <w:szCs w:val="22"/>
                <w:lang w:val="es-CO"/>
              </w:rPr>
              <w:t>Distribución de la población</w:t>
            </w:r>
          </w:p>
        </w:tc>
        <w:tc>
          <w:tcPr>
            <w:tcW w:w="1417" w:type="dxa"/>
            <w:vAlign w:val="center"/>
          </w:tcPr>
          <w:p w14:paraId="25986D92" w14:textId="65C60CED"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4</w:t>
            </w:r>
          </w:p>
        </w:tc>
        <w:tc>
          <w:tcPr>
            <w:tcW w:w="2126" w:type="dxa"/>
            <w:vAlign w:val="center"/>
          </w:tcPr>
          <w:p w14:paraId="63B02DD0" w14:textId="79EADD60"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c>
          <w:tcPr>
            <w:tcW w:w="1003" w:type="dxa"/>
            <w:vAlign w:val="center"/>
          </w:tcPr>
          <w:p w14:paraId="78DA721B" w14:textId="423BA0B0"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w:t>
            </w:r>
          </w:p>
        </w:tc>
      </w:tr>
      <w:tr w:rsidR="002F677C" w:rsidRPr="001F242B" w14:paraId="7FB521CB"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7A0B983C" w14:textId="049060AD" w:rsidR="002F677C" w:rsidRPr="001F242B" w:rsidRDefault="002F677C" w:rsidP="00C72779">
            <w:pPr>
              <w:jc w:val="both"/>
              <w:rPr>
                <w:rFonts w:eastAsia="Arial" w:cs="Arial"/>
                <w:b w:val="0"/>
                <w:sz w:val="20"/>
                <w:szCs w:val="22"/>
                <w:lang w:val="es"/>
              </w:rPr>
            </w:pPr>
            <w:r w:rsidRPr="001F242B">
              <w:rPr>
                <w:rFonts w:cs="Arial"/>
                <w:sz w:val="20"/>
                <w:szCs w:val="22"/>
                <w:lang w:val="es-CO"/>
              </w:rPr>
              <w:t>Direcciones</w:t>
            </w:r>
          </w:p>
        </w:tc>
        <w:tc>
          <w:tcPr>
            <w:tcW w:w="1417" w:type="dxa"/>
            <w:vAlign w:val="center"/>
          </w:tcPr>
          <w:p w14:paraId="29DC2F68" w14:textId="31D96D11"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c>
          <w:tcPr>
            <w:tcW w:w="2126" w:type="dxa"/>
            <w:vAlign w:val="center"/>
          </w:tcPr>
          <w:p w14:paraId="7F137B20" w14:textId="7D3A030F"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0,5%</w:t>
            </w:r>
          </w:p>
        </w:tc>
        <w:tc>
          <w:tcPr>
            <w:tcW w:w="1003" w:type="dxa"/>
            <w:vAlign w:val="center"/>
          </w:tcPr>
          <w:p w14:paraId="29676C5E" w14:textId="35944724"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0</w:t>
            </w:r>
          </w:p>
        </w:tc>
      </w:tr>
      <w:tr w:rsidR="002F677C" w:rsidRPr="001F242B" w14:paraId="579E8F5B"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62DE6C2B" w14:textId="147A111D" w:rsidR="002F677C" w:rsidRPr="001F242B" w:rsidRDefault="002F677C" w:rsidP="00C72779">
            <w:pPr>
              <w:jc w:val="both"/>
              <w:rPr>
                <w:rFonts w:eastAsia="Arial" w:cs="Arial"/>
                <w:b w:val="0"/>
                <w:sz w:val="20"/>
                <w:szCs w:val="22"/>
                <w:lang w:val="es"/>
              </w:rPr>
            </w:pPr>
            <w:r w:rsidRPr="001F242B">
              <w:rPr>
                <w:rFonts w:cs="Arial"/>
                <w:sz w:val="20"/>
                <w:szCs w:val="22"/>
                <w:lang w:val="es-CO"/>
              </w:rPr>
              <w:t>Imágenes provenientes de sensores remotos</w:t>
            </w:r>
          </w:p>
        </w:tc>
        <w:tc>
          <w:tcPr>
            <w:tcW w:w="1417" w:type="dxa"/>
            <w:vAlign w:val="center"/>
          </w:tcPr>
          <w:p w14:paraId="09E89E8B" w14:textId="29EF41A1"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c>
          <w:tcPr>
            <w:tcW w:w="2126" w:type="dxa"/>
            <w:vAlign w:val="center"/>
          </w:tcPr>
          <w:p w14:paraId="3C16E3B5" w14:textId="5AB58AE3"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0,5%</w:t>
            </w:r>
          </w:p>
        </w:tc>
        <w:tc>
          <w:tcPr>
            <w:tcW w:w="1003" w:type="dxa"/>
            <w:vAlign w:val="center"/>
          </w:tcPr>
          <w:p w14:paraId="552A6CD8" w14:textId="019E18A9"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w:t>
            </w:r>
          </w:p>
        </w:tc>
      </w:tr>
      <w:tr w:rsidR="002F677C" w:rsidRPr="001F242B" w14:paraId="69EDB304"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4957" w:type="dxa"/>
            <w:vAlign w:val="center"/>
          </w:tcPr>
          <w:p w14:paraId="78EE7DAE" w14:textId="2924B7FB" w:rsidR="002F677C" w:rsidRPr="001F242B" w:rsidRDefault="002F677C" w:rsidP="00C72779">
            <w:pPr>
              <w:jc w:val="center"/>
              <w:rPr>
                <w:rFonts w:eastAsia="Arial" w:cs="Arial"/>
                <w:b w:val="0"/>
                <w:sz w:val="20"/>
                <w:szCs w:val="22"/>
                <w:lang w:val="es"/>
              </w:rPr>
            </w:pPr>
            <w:r w:rsidRPr="001F242B">
              <w:rPr>
                <w:rFonts w:cs="Arial"/>
                <w:sz w:val="20"/>
                <w:szCs w:val="22"/>
                <w:lang w:val="es-CO"/>
              </w:rPr>
              <w:t>TOTAL</w:t>
            </w:r>
          </w:p>
        </w:tc>
        <w:tc>
          <w:tcPr>
            <w:tcW w:w="1417" w:type="dxa"/>
            <w:vAlign w:val="center"/>
          </w:tcPr>
          <w:p w14:paraId="7058846E" w14:textId="00B2CE96"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203</w:t>
            </w:r>
          </w:p>
        </w:tc>
        <w:tc>
          <w:tcPr>
            <w:tcW w:w="2126" w:type="dxa"/>
            <w:vAlign w:val="center"/>
          </w:tcPr>
          <w:p w14:paraId="0EDD527F" w14:textId="66AC0A86"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100%</w:t>
            </w:r>
          </w:p>
        </w:tc>
        <w:tc>
          <w:tcPr>
            <w:tcW w:w="1003" w:type="dxa"/>
            <w:vAlign w:val="center"/>
          </w:tcPr>
          <w:p w14:paraId="5BB28037" w14:textId="711C9773" w:rsidR="002F677C" w:rsidRPr="001F242B" w:rsidRDefault="002F677C"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cs="Arial"/>
                <w:sz w:val="20"/>
                <w:szCs w:val="22"/>
                <w:lang w:val="es-CO"/>
              </w:rPr>
              <w:t>43</w:t>
            </w:r>
          </w:p>
        </w:tc>
      </w:tr>
    </w:tbl>
    <w:p w14:paraId="1ACC5670" w14:textId="57047CF4" w:rsidR="00A54D5F" w:rsidRPr="00E722D8" w:rsidRDefault="00A54D5F" w:rsidP="00E722D8">
      <w:pPr>
        <w:jc w:val="center"/>
        <w:rPr>
          <w:rFonts w:eastAsia="Arial" w:cs="Arial"/>
          <w:b/>
          <w:bCs/>
          <w:sz w:val="20"/>
          <w:szCs w:val="22"/>
          <w:lang w:val="es"/>
        </w:rPr>
      </w:pPr>
      <w:r w:rsidRPr="00E722D8">
        <w:rPr>
          <w:rFonts w:eastAsia="Arial" w:cs="Arial"/>
          <w:b/>
          <w:sz w:val="16"/>
          <w:szCs w:val="18"/>
          <w:lang w:val="es"/>
        </w:rPr>
        <w:t>Fuente: Dirección de Investigación y Prospectiva</w:t>
      </w:r>
      <w:r w:rsidRPr="00E722D8">
        <w:rPr>
          <w:rFonts w:eastAsia="Arial" w:cs="Arial"/>
          <w:b/>
          <w:bCs/>
          <w:sz w:val="16"/>
          <w:szCs w:val="18"/>
          <w:lang w:val="es"/>
        </w:rPr>
        <w:t xml:space="preserve"> </w:t>
      </w:r>
    </w:p>
    <w:p w14:paraId="2C1CC9FA" w14:textId="77777777" w:rsidR="00A54D5F" w:rsidRPr="00C07EF6" w:rsidRDefault="00A54D5F" w:rsidP="00C72779">
      <w:pPr>
        <w:ind w:left="360"/>
        <w:rPr>
          <w:rFonts w:cs="Arial"/>
          <w:sz w:val="22"/>
          <w:szCs w:val="22"/>
          <w:lang w:val="es"/>
        </w:rPr>
      </w:pPr>
    </w:p>
    <w:p w14:paraId="677D33A4" w14:textId="7593BD09" w:rsidR="00A54D5F" w:rsidRPr="00C07EF6" w:rsidRDefault="00A54D5F" w:rsidP="000A20EE">
      <w:pPr>
        <w:pStyle w:val="Prrafodelista"/>
        <w:numPr>
          <w:ilvl w:val="0"/>
          <w:numId w:val="85"/>
        </w:numPr>
        <w:suppressAutoHyphens w:val="0"/>
        <w:overflowPunct/>
        <w:autoSpaceDE/>
        <w:spacing w:after="160"/>
        <w:contextualSpacing/>
        <w:textAlignment w:val="auto"/>
        <w:rPr>
          <w:rFonts w:cs="Arial"/>
          <w:sz w:val="22"/>
          <w:szCs w:val="22"/>
        </w:rPr>
      </w:pPr>
      <w:r w:rsidRPr="00AF3756">
        <w:rPr>
          <w:rFonts w:cs="Arial"/>
          <w:b/>
          <w:sz w:val="22"/>
          <w:szCs w:val="22"/>
        </w:rPr>
        <w:t>Línea de gestión de objetos territoriales (</w:t>
      </w:r>
      <w:r w:rsidR="00AF3756" w:rsidRPr="00AF3756">
        <w:rPr>
          <w:rFonts w:cs="Arial"/>
          <w:b/>
          <w:sz w:val="22"/>
          <w:szCs w:val="22"/>
        </w:rPr>
        <w:t>CONPES</w:t>
      </w:r>
      <w:r w:rsidRPr="00AF3756">
        <w:rPr>
          <w:rFonts w:cs="Arial"/>
          <w:b/>
          <w:sz w:val="22"/>
          <w:szCs w:val="22"/>
        </w:rPr>
        <w:t xml:space="preserve"> 4007:2020):</w:t>
      </w:r>
      <w:r w:rsidRPr="00C07EF6">
        <w:rPr>
          <w:rFonts w:cs="Arial"/>
          <w:sz w:val="22"/>
          <w:szCs w:val="22"/>
        </w:rPr>
        <w:t xml:space="preserve">  Un objeto territorial es una porción de territorio en el cual existen condiciones homogéneas dentro de sus límites. Estas condiciones están normalmente definidas por ley y reflejan las reglas que cada sociedad crea para la coexistencia de sus miembros. Estas reglas definen cómo una sociedad entenderá el fenómeno dentro del área en la cual vive y definen los derechos y obligaciones de los miembros de una sociedad. Como ejemplo de objetos territoriales se tienen predios (parcelas), zonas de usos del suelo, áreas de protección ambiental, zonas de patrimonio cultural o arqueológico, etc. </w:t>
      </w:r>
    </w:p>
    <w:p w14:paraId="493300C8" w14:textId="77777777" w:rsidR="00A54D5F" w:rsidRPr="00C07EF6" w:rsidRDefault="00A54D5F" w:rsidP="00C72779">
      <w:pPr>
        <w:pStyle w:val="Prrafodelista"/>
        <w:rPr>
          <w:rFonts w:cs="Arial"/>
          <w:sz w:val="22"/>
          <w:szCs w:val="22"/>
        </w:rPr>
      </w:pPr>
    </w:p>
    <w:p w14:paraId="7380B3D8" w14:textId="76DAB9CD" w:rsidR="00A54D5F" w:rsidRPr="00AF3756" w:rsidRDefault="00A54D5F" w:rsidP="00C72779">
      <w:pPr>
        <w:pStyle w:val="Prrafodelista"/>
        <w:rPr>
          <w:rFonts w:cs="Arial"/>
          <w:sz w:val="22"/>
          <w:szCs w:val="22"/>
        </w:rPr>
      </w:pPr>
      <w:r w:rsidRPr="00C07EF6">
        <w:rPr>
          <w:rFonts w:cs="Arial"/>
          <w:sz w:val="22"/>
          <w:szCs w:val="22"/>
          <w:lang w:val="es-MX"/>
        </w:rPr>
        <w:t>Las principales características de los objetos territoriales en relación con el desarrollo de los modelos extendidos es determinar a partir de una base legal, los posibles derechos, restricciones o responsabilidades (DRR), dentro del área que conforma el objeto y aplicable a los predios que interseca de la base catastral.</w:t>
      </w:r>
      <w:r w:rsidR="00AF3756">
        <w:rPr>
          <w:rFonts w:cs="Arial"/>
          <w:sz w:val="22"/>
          <w:szCs w:val="22"/>
          <w:lang w:val="es-MX"/>
        </w:rPr>
        <w:t xml:space="preserve"> </w:t>
      </w:r>
      <w:r w:rsidRPr="00C07EF6">
        <w:rPr>
          <w:sz w:val="22"/>
          <w:szCs w:val="22"/>
          <w:lang w:val="es-MX"/>
        </w:rPr>
        <w:t>A partir de la definición de la semántica que describa un objeto territorial de interés para una entidad, este será su guía para el desarrollo del modelo extendido, teniendo en cuenta el modelo núcleo y en caso de desarrollar un modelo de aplicación.</w:t>
      </w:r>
    </w:p>
    <w:p w14:paraId="2B804B26" w14:textId="77777777" w:rsidR="00A54D5F" w:rsidRPr="00C07EF6" w:rsidRDefault="00A54D5F" w:rsidP="00C72779">
      <w:pPr>
        <w:jc w:val="both"/>
        <w:rPr>
          <w:sz w:val="22"/>
          <w:szCs w:val="22"/>
          <w:lang w:val="es-MX"/>
        </w:rPr>
      </w:pPr>
    </w:p>
    <w:p w14:paraId="73CFB702" w14:textId="77777777" w:rsidR="00A54D5F" w:rsidRPr="00C07EF6" w:rsidRDefault="00A54D5F" w:rsidP="00C72779">
      <w:pPr>
        <w:jc w:val="both"/>
        <w:rPr>
          <w:sz w:val="22"/>
          <w:szCs w:val="22"/>
          <w:lang w:val="es-MX"/>
        </w:rPr>
      </w:pPr>
      <w:r w:rsidRPr="00C07EF6">
        <w:rPr>
          <w:sz w:val="22"/>
          <w:szCs w:val="22"/>
          <w:lang w:val="es-MX"/>
        </w:rPr>
        <w:lastRenderedPageBreak/>
        <w:t>A través de las mesas técnicas sectoriales y en trabajo conjunto con DNP y Cooperación suiza se han validado los objetos territoriales preliminarmente identificados.  A la fecha se cuenta con 71 objetos territoriales identificados.</w:t>
      </w:r>
    </w:p>
    <w:p w14:paraId="02ACCF80" w14:textId="4E4F9537" w:rsidR="00A54D5F" w:rsidRDefault="00A54D5F" w:rsidP="00C72779">
      <w:pPr>
        <w:rPr>
          <w:sz w:val="22"/>
          <w:szCs w:val="22"/>
          <w:lang w:val="es-MX"/>
        </w:rPr>
      </w:pPr>
    </w:p>
    <w:p w14:paraId="248712BB" w14:textId="07E4AD10" w:rsidR="00AF3756" w:rsidRPr="00C379FC" w:rsidRDefault="376C0B36" w:rsidP="00C379FC">
      <w:pPr>
        <w:pStyle w:val="Descripcin"/>
        <w:jc w:val="center"/>
        <w:rPr>
          <w:rFonts w:ascii="Arial" w:hAnsi="Arial" w:cs="Arial"/>
          <w:b/>
          <w:i w:val="0"/>
          <w:color w:val="auto"/>
          <w:sz w:val="16"/>
          <w:szCs w:val="16"/>
          <w:lang w:val="es-MX"/>
        </w:rPr>
      </w:pPr>
      <w:bookmarkStart w:id="141" w:name="_Toc88677125"/>
      <w:r w:rsidRPr="00C379FC">
        <w:rPr>
          <w:rFonts w:ascii="Arial" w:hAnsi="Arial" w:cs="Arial"/>
          <w:b/>
          <w:i w:val="0"/>
          <w:color w:val="auto"/>
          <w:sz w:val="16"/>
          <w:szCs w:val="16"/>
        </w:rPr>
        <w:t xml:space="preserve">Tabla </w:t>
      </w:r>
      <w:r w:rsidR="00C379FC" w:rsidRPr="00C379FC">
        <w:rPr>
          <w:rFonts w:ascii="Arial" w:hAnsi="Arial" w:cs="Arial"/>
          <w:b/>
          <w:i w:val="0"/>
          <w:color w:val="auto"/>
          <w:sz w:val="16"/>
          <w:szCs w:val="16"/>
        </w:rPr>
        <w:fldChar w:fldCharType="begin"/>
      </w:r>
      <w:r w:rsidR="00C379FC" w:rsidRPr="00C379FC">
        <w:rPr>
          <w:rFonts w:ascii="Arial" w:hAnsi="Arial" w:cs="Arial"/>
          <w:b/>
          <w:i w:val="0"/>
          <w:color w:val="auto"/>
          <w:sz w:val="16"/>
          <w:szCs w:val="16"/>
        </w:rPr>
        <w:instrText xml:space="preserve"> SEQ Tabla \* ARABIC </w:instrText>
      </w:r>
      <w:r w:rsidR="00C379FC" w:rsidRPr="00C379FC">
        <w:rPr>
          <w:rFonts w:ascii="Arial" w:hAnsi="Arial" w:cs="Arial"/>
          <w:b/>
          <w:i w:val="0"/>
          <w:color w:val="auto"/>
          <w:sz w:val="16"/>
          <w:szCs w:val="16"/>
        </w:rPr>
        <w:fldChar w:fldCharType="separate"/>
      </w:r>
      <w:r w:rsidR="004D4C6A">
        <w:rPr>
          <w:rFonts w:ascii="Arial" w:hAnsi="Arial" w:cs="Arial"/>
          <w:b/>
          <w:i w:val="0"/>
          <w:noProof/>
          <w:color w:val="auto"/>
          <w:sz w:val="16"/>
          <w:szCs w:val="16"/>
        </w:rPr>
        <w:t>53</w:t>
      </w:r>
      <w:r w:rsidR="00C379FC" w:rsidRPr="00C379FC">
        <w:rPr>
          <w:rFonts w:ascii="Arial" w:hAnsi="Arial" w:cs="Arial"/>
          <w:b/>
          <w:i w:val="0"/>
          <w:color w:val="auto"/>
          <w:sz w:val="16"/>
          <w:szCs w:val="16"/>
        </w:rPr>
        <w:fldChar w:fldCharType="end"/>
      </w:r>
      <w:r w:rsidR="00C379FC" w:rsidRPr="00C379FC">
        <w:rPr>
          <w:rFonts w:ascii="Arial" w:hAnsi="Arial" w:cs="Arial"/>
          <w:b/>
          <w:i w:val="0"/>
          <w:color w:val="auto"/>
          <w:sz w:val="16"/>
          <w:szCs w:val="16"/>
        </w:rPr>
        <w:t>.</w:t>
      </w:r>
      <w:r w:rsidRPr="00C379FC">
        <w:rPr>
          <w:rFonts w:ascii="Arial" w:hAnsi="Arial" w:cs="Arial"/>
          <w:b/>
          <w:i w:val="0"/>
          <w:color w:val="auto"/>
          <w:sz w:val="16"/>
          <w:szCs w:val="16"/>
        </w:rPr>
        <w:t xml:space="preserve"> </w:t>
      </w:r>
      <w:r w:rsidR="00AF3756" w:rsidRPr="00C379FC">
        <w:rPr>
          <w:rFonts w:ascii="Arial" w:hAnsi="Arial" w:cs="Arial"/>
          <w:b/>
          <w:i w:val="0"/>
          <w:color w:val="auto"/>
          <w:sz w:val="16"/>
          <w:szCs w:val="16"/>
        </w:rPr>
        <w:t>Objetos Territoriales</w:t>
      </w:r>
      <w:bookmarkEnd w:id="141"/>
    </w:p>
    <w:tbl>
      <w:tblPr>
        <w:tblStyle w:val="Tabladecuadrcula4-nfasis1"/>
        <w:tblW w:w="5246" w:type="dxa"/>
        <w:jc w:val="center"/>
        <w:tblLook w:val="04A0" w:firstRow="1" w:lastRow="0" w:firstColumn="1" w:lastColumn="0" w:noHBand="0" w:noVBand="1"/>
      </w:tblPr>
      <w:tblGrid>
        <w:gridCol w:w="2390"/>
        <w:gridCol w:w="2856"/>
      </w:tblGrid>
      <w:tr w:rsidR="00A54D5F" w:rsidRPr="001F242B" w14:paraId="1E04CEBC" w14:textId="77777777" w:rsidTr="00E722D8">
        <w:trPr>
          <w:cnfStyle w:val="100000000000" w:firstRow="1" w:lastRow="0" w:firstColumn="0" w:lastColumn="0" w:oddVBand="0" w:evenVBand="0" w:oddHBand="0" w:evenHBand="0" w:firstRowFirstColumn="0" w:firstRowLastColumn="0" w:lastRowFirstColumn="0" w:lastRowLastColumn="0"/>
          <w:trHeight w:val="449"/>
          <w:tblHeader/>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3AA11A12" w14:textId="77777777" w:rsidR="00A54D5F" w:rsidRPr="001F242B" w:rsidRDefault="00A54D5F" w:rsidP="00C72779">
            <w:pPr>
              <w:suppressAutoHyphens w:val="0"/>
              <w:jc w:val="center"/>
              <w:rPr>
                <w:rFonts w:cs="Arial"/>
                <w:bCs w:val="0"/>
                <w:sz w:val="20"/>
                <w:szCs w:val="22"/>
                <w:lang w:val="es-CO" w:eastAsia="ko-KR"/>
              </w:rPr>
            </w:pPr>
            <w:r w:rsidRPr="001F242B">
              <w:rPr>
                <w:rFonts w:cs="Arial"/>
                <w:bCs w:val="0"/>
                <w:sz w:val="20"/>
                <w:szCs w:val="22"/>
                <w:lang w:val="es-CO" w:eastAsia="ko-KR"/>
              </w:rPr>
              <w:t>Sector</w:t>
            </w:r>
          </w:p>
        </w:tc>
        <w:tc>
          <w:tcPr>
            <w:tcW w:w="2856" w:type="dxa"/>
            <w:noWrap/>
            <w:vAlign w:val="center"/>
            <w:hideMark/>
          </w:tcPr>
          <w:p w14:paraId="517203B3" w14:textId="77777777" w:rsidR="00A54D5F" w:rsidRPr="001F242B" w:rsidRDefault="00A54D5F"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Cs w:val="0"/>
                <w:sz w:val="20"/>
                <w:szCs w:val="22"/>
                <w:lang w:val="es-CO" w:eastAsia="ko-KR"/>
              </w:rPr>
            </w:pPr>
            <w:r w:rsidRPr="001F242B">
              <w:rPr>
                <w:rFonts w:cs="Arial"/>
                <w:bCs w:val="0"/>
                <w:sz w:val="20"/>
                <w:szCs w:val="22"/>
                <w:lang w:val="es-CO" w:eastAsia="ko-KR"/>
              </w:rPr>
              <w:t>Objetos territoriales</w:t>
            </w:r>
          </w:p>
        </w:tc>
      </w:tr>
      <w:tr w:rsidR="00A54D5F" w:rsidRPr="001F242B" w14:paraId="5B7DEC56" w14:textId="77777777" w:rsidTr="00AF3756">
        <w:trPr>
          <w:cnfStyle w:val="000000100000" w:firstRow="0" w:lastRow="0" w:firstColumn="0" w:lastColumn="0" w:oddVBand="0" w:evenVBand="0" w:oddHBand="1" w:evenHBand="0" w:firstRowFirstColumn="0" w:firstRowLastColumn="0" w:lastRowFirstColumn="0" w:lastRowLastColumn="0"/>
          <w:trHeight w:val="281"/>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397BBA92"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Ambiental</w:t>
            </w:r>
          </w:p>
        </w:tc>
        <w:tc>
          <w:tcPr>
            <w:tcW w:w="2856" w:type="dxa"/>
            <w:noWrap/>
            <w:vAlign w:val="center"/>
            <w:hideMark/>
          </w:tcPr>
          <w:p w14:paraId="5AB13653" w14:textId="77777777" w:rsidR="00A54D5F" w:rsidRPr="001F242B"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40</w:t>
            </w:r>
          </w:p>
        </w:tc>
      </w:tr>
      <w:tr w:rsidR="00A54D5F" w:rsidRPr="001F242B" w14:paraId="5A855F52" w14:textId="77777777" w:rsidTr="00AF3756">
        <w:trPr>
          <w:trHeight w:val="257"/>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08E08573"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Ordenamiento</w:t>
            </w:r>
          </w:p>
        </w:tc>
        <w:tc>
          <w:tcPr>
            <w:tcW w:w="2856" w:type="dxa"/>
            <w:noWrap/>
            <w:vAlign w:val="center"/>
            <w:hideMark/>
          </w:tcPr>
          <w:p w14:paraId="286C36F7" w14:textId="77777777" w:rsidR="00A54D5F" w:rsidRPr="001F242B"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9</w:t>
            </w:r>
          </w:p>
        </w:tc>
      </w:tr>
      <w:tr w:rsidR="00A54D5F" w:rsidRPr="001F242B" w14:paraId="39469902" w14:textId="77777777" w:rsidTr="00AF3756">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49A6B277"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Agropecuario</w:t>
            </w:r>
          </w:p>
        </w:tc>
        <w:tc>
          <w:tcPr>
            <w:tcW w:w="2856" w:type="dxa"/>
            <w:noWrap/>
            <w:vAlign w:val="center"/>
            <w:hideMark/>
          </w:tcPr>
          <w:p w14:paraId="1B196BBB" w14:textId="77777777" w:rsidR="00A54D5F" w:rsidRPr="001F242B"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8</w:t>
            </w:r>
          </w:p>
        </w:tc>
      </w:tr>
      <w:tr w:rsidR="00A54D5F" w:rsidRPr="001F242B" w14:paraId="408DBF46" w14:textId="77777777" w:rsidTr="00AF3756">
        <w:trPr>
          <w:trHeight w:val="137"/>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6468C4C8"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Catastro</w:t>
            </w:r>
          </w:p>
        </w:tc>
        <w:tc>
          <w:tcPr>
            <w:tcW w:w="2856" w:type="dxa"/>
            <w:noWrap/>
            <w:vAlign w:val="center"/>
            <w:hideMark/>
          </w:tcPr>
          <w:p w14:paraId="22520B71" w14:textId="77777777" w:rsidR="00A54D5F" w:rsidRPr="001F242B"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5</w:t>
            </w:r>
          </w:p>
        </w:tc>
      </w:tr>
      <w:tr w:rsidR="00A54D5F" w:rsidRPr="001F242B" w14:paraId="52C03BBC" w14:textId="77777777" w:rsidTr="00AF3756">
        <w:trPr>
          <w:cnfStyle w:val="000000100000" w:firstRow="0" w:lastRow="0" w:firstColumn="0" w:lastColumn="0" w:oddVBand="0" w:evenVBand="0" w:oddHBand="1" w:evenHBand="0" w:firstRowFirstColumn="0" w:firstRowLastColumn="0" w:lastRowFirstColumn="0" w:lastRowLastColumn="0"/>
          <w:trHeight w:val="297"/>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18EFB660"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Marino Costero</w:t>
            </w:r>
          </w:p>
        </w:tc>
        <w:tc>
          <w:tcPr>
            <w:tcW w:w="2856" w:type="dxa"/>
            <w:noWrap/>
            <w:vAlign w:val="center"/>
            <w:hideMark/>
          </w:tcPr>
          <w:p w14:paraId="3F344177" w14:textId="77777777" w:rsidR="00A54D5F" w:rsidRPr="001F242B"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4</w:t>
            </w:r>
          </w:p>
        </w:tc>
      </w:tr>
      <w:tr w:rsidR="00A54D5F" w:rsidRPr="001F242B" w14:paraId="6B367BBF" w14:textId="77777777" w:rsidTr="00AF3756">
        <w:trPr>
          <w:trHeight w:val="273"/>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33C07C68"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Minero Energético</w:t>
            </w:r>
          </w:p>
        </w:tc>
        <w:tc>
          <w:tcPr>
            <w:tcW w:w="2856" w:type="dxa"/>
            <w:noWrap/>
            <w:vAlign w:val="center"/>
            <w:hideMark/>
          </w:tcPr>
          <w:p w14:paraId="7A7164D7" w14:textId="77777777" w:rsidR="00A54D5F" w:rsidRPr="001F242B"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2</w:t>
            </w:r>
          </w:p>
        </w:tc>
      </w:tr>
      <w:tr w:rsidR="00A54D5F" w:rsidRPr="001F242B" w14:paraId="68A727FB" w14:textId="77777777" w:rsidTr="00AF3756">
        <w:trPr>
          <w:cnfStyle w:val="000000100000" w:firstRow="0" w:lastRow="0" w:firstColumn="0" w:lastColumn="0" w:oddVBand="0" w:evenVBand="0" w:oddHBand="1" w:evenHBand="0" w:firstRowFirstColumn="0" w:firstRowLastColumn="0" w:lastRowFirstColumn="0" w:lastRowLastColumn="0"/>
          <w:trHeight w:val="449"/>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2436411B"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Áreas administrativas</w:t>
            </w:r>
          </w:p>
        </w:tc>
        <w:tc>
          <w:tcPr>
            <w:tcW w:w="2856" w:type="dxa"/>
            <w:noWrap/>
            <w:vAlign w:val="center"/>
            <w:hideMark/>
          </w:tcPr>
          <w:p w14:paraId="506C5FE1" w14:textId="77777777" w:rsidR="00A54D5F" w:rsidRPr="001F242B"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1</w:t>
            </w:r>
          </w:p>
        </w:tc>
      </w:tr>
      <w:tr w:rsidR="00A54D5F" w:rsidRPr="001F242B" w14:paraId="25B56702" w14:textId="77777777" w:rsidTr="00AF3756">
        <w:trPr>
          <w:trHeight w:val="327"/>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6FB5C1F1"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Infraestructura</w:t>
            </w:r>
          </w:p>
        </w:tc>
        <w:tc>
          <w:tcPr>
            <w:tcW w:w="2856" w:type="dxa"/>
            <w:noWrap/>
            <w:vAlign w:val="center"/>
            <w:hideMark/>
          </w:tcPr>
          <w:p w14:paraId="2ADE1AC3" w14:textId="77777777" w:rsidR="00A54D5F" w:rsidRPr="001F242B"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1</w:t>
            </w:r>
          </w:p>
        </w:tc>
      </w:tr>
      <w:tr w:rsidR="00A54D5F" w:rsidRPr="001F242B" w14:paraId="4BBEB2B4" w14:textId="77777777" w:rsidTr="00AF3756">
        <w:trPr>
          <w:cnfStyle w:val="000000100000" w:firstRow="0" w:lastRow="0" w:firstColumn="0" w:lastColumn="0" w:oddVBand="0" w:evenVBand="0" w:oddHBand="1" w:evenHBand="0" w:firstRowFirstColumn="0" w:firstRowLastColumn="0" w:lastRowFirstColumn="0" w:lastRowLastColumn="0"/>
          <w:trHeight w:val="261"/>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3B3D8C19" w14:textId="77777777" w:rsidR="00A54D5F" w:rsidRPr="001F242B" w:rsidRDefault="00A54D5F" w:rsidP="00C72779">
            <w:pPr>
              <w:suppressAutoHyphens w:val="0"/>
              <w:jc w:val="center"/>
              <w:rPr>
                <w:rFonts w:cs="Arial"/>
                <w:color w:val="000000"/>
                <w:sz w:val="20"/>
                <w:szCs w:val="22"/>
                <w:lang w:val="es-CO" w:eastAsia="ko-KR"/>
              </w:rPr>
            </w:pPr>
            <w:r w:rsidRPr="001F242B">
              <w:rPr>
                <w:rFonts w:cs="Arial"/>
                <w:color w:val="000000"/>
                <w:sz w:val="20"/>
                <w:szCs w:val="22"/>
                <w:lang w:val="es-CO" w:eastAsia="ko-KR"/>
              </w:rPr>
              <w:t>Geológico</w:t>
            </w:r>
          </w:p>
        </w:tc>
        <w:tc>
          <w:tcPr>
            <w:tcW w:w="2856" w:type="dxa"/>
            <w:noWrap/>
            <w:vAlign w:val="center"/>
            <w:hideMark/>
          </w:tcPr>
          <w:p w14:paraId="433462CA" w14:textId="77777777" w:rsidR="00A54D5F" w:rsidRPr="001F242B"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val="es-CO" w:eastAsia="ko-KR"/>
              </w:rPr>
            </w:pPr>
            <w:r w:rsidRPr="001F242B">
              <w:rPr>
                <w:rFonts w:cs="Arial"/>
                <w:color w:val="000000"/>
                <w:sz w:val="20"/>
                <w:szCs w:val="22"/>
                <w:lang w:val="es-CO" w:eastAsia="ko-KR"/>
              </w:rPr>
              <w:t>1</w:t>
            </w:r>
          </w:p>
        </w:tc>
      </w:tr>
      <w:tr w:rsidR="00A54D5F" w:rsidRPr="001F242B" w14:paraId="08A7203A" w14:textId="77777777" w:rsidTr="00AF3756">
        <w:trPr>
          <w:trHeight w:val="137"/>
          <w:jc w:val="center"/>
        </w:trPr>
        <w:tc>
          <w:tcPr>
            <w:cnfStyle w:val="001000000000" w:firstRow="0" w:lastRow="0" w:firstColumn="1" w:lastColumn="0" w:oddVBand="0" w:evenVBand="0" w:oddHBand="0" w:evenHBand="0" w:firstRowFirstColumn="0" w:firstRowLastColumn="0" w:lastRowFirstColumn="0" w:lastRowLastColumn="0"/>
            <w:tcW w:w="2390" w:type="dxa"/>
            <w:noWrap/>
            <w:vAlign w:val="center"/>
            <w:hideMark/>
          </w:tcPr>
          <w:p w14:paraId="6DDA7CA1" w14:textId="3014EE46" w:rsidR="00A54D5F" w:rsidRPr="001F242B" w:rsidRDefault="00A54D5F" w:rsidP="00C72779">
            <w:pPr>
              <w:suppressAutoHyphens w:val="0"/>
              <w:jc w:val="center"/>
              <w:rPr>
                <w:rFonts w:cs="Arial"/>
                <w:bCs w:val="0"/>
                <w:color w:val="000000"/>
                <w:sz w:val="20"/>
                <w:szCs w:val="22"/>
                <w:lang w:val="es-CO" w:eastAsia="ko-KR"/>
              </w:rPr>
            </w:pPr>
            <w:r w:rsidRPr="001F242B">
              <w:rPr>
                <w:rFonts w:cs="Arial"/>
                <w:bCs w:val="0"/>
                <w:color w:val="000000"/>
                <w:sz w:val="20"/>
                <w:szCs w:val="22"/>
                <w:lang w:val="es-CO" w:eastAsia="ko-KR"/>
              </w:rPr>
              <w:t>Total</w:t>
            </w:r>
          </w:p>
        </w:tc>
        <w:tc>
          <w:tcPr>
            <w:tcW w:w="2856" w:type="dxa"/>
            <w:noWrap/>
            <w:vAlign w:val="center"/>
            <w:hideMark/>
          </w:tcPr>
          <w:p w14:paraId="71EC1323" w14:textId="77777777" w:rsidR="00A54D5F" w:rsidRPr="001F242B" w:rsidRDefault="00A54D5F" w:rsidP="00C72779">
            <w:pPr>
              <w:keepNext/>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20"/>
                <w:szCs w:val="22"/>
                <w:lang w:val="es-CO" w:eastAsia="ko-KR"/>
              </w:rPr>
            </w:pPr>
            <w:r w:rsidRPr="001F242B">
              <w:rPr>
                <w:rFonts w:cs="Arial"/>
                <w:b/>
                <w:bCs/>
                <w:color w:val="000000"/>
                <w:sz w:val="20"/>
                <w:szCs w:val="22"/>
                <w:lang w:val="es-CO" w:eastAsia="ko-KR"/>
              </w:rPr>
              <w:t>71</w:t>
            </w:r>
          </w:p>
        </w:tc>
      </w:tr>
    </w:tbl>
    <w:p w14:paraId="0E8C03F3" w14:textId="77777777" w:rsidR="00A54D5F" w:rsidRPr="00E722D8" w:rsidRDefault="00A54D5F" w:rsidP="31FF9146">
      <w:pPr>
        <w:jc w:val="center"/>
        <w:rPr>
          <w:rFonts w:eastAsia="Arial" w:cs="Arial"/>
          <w:b/>
          <w:sz w:val="16"/>
          <w:szCs w:val="18"/>
          <w:lang w:val="es"/>
        </w:rPr>
      </w:pPr>
      <w:r w:rsidRPr="00E722D8">
        <w:rPr>
          <w:rFonts w:eastAsia="Arial" w:cs="Arial"/>
          <w:b/>
          <w:sz w:val="16"/>
          <w:szCs w:val="18"/>
          <w:lang w:val="es"/>
        </w:rPr>
        <w:t xml:space="preserve">Fuente: Dirección de Investigación y Prospectiva </w:t>
      </w:r>
    </w:p>
    <w:p w14:paraId="2C804191" w14:textId="77777777" w:rsidR="00A54D5F" w:rsidRPr="00C07EF6" w:rsidRDefault="00A54D5F" w:rsidP="00C72779">
      <w:pPr>
        <w:rPr>
          <w:sz w:val="22"/>
          <w:szCs w:val="22"/>
          <w:lang w:val="es-CO"/>
        </w:rPr>
      </w:pPr>
    </w:p>
    <w:p w14:paraId="18F19E0C" w14:textId="3136BBFA" w:rsidR="00A54D5F" w:rsidRPr="00C07EF6" w:rsidRDefault="00A54D5F" w:rsidP="00C72779">
      <w:pPr>
        <w:jc w:val="both"/>
        <w:rPr>
          <w:sz w:val="22"/>
          <w:szCs w:val="22"/>
          <w:lang w:val="es-CO"/>
        </w:rPr>
      </w:pPr>
      <w:r w:rsidRPr="00C07EF6">
        <w:rPr>
          <w:sz w:val="22"/>
          <w:szCs w:val="22"/>
          <w:lang w:val="es-CO"/>
        </w:rPr>
        <w:t>De los objetos territoriales identificados para el sector ambiental se han modelado 17 objetos territoriales y en proceso de implementación con soporte técnico de Cooperación Suiza, así mismo para ordenamiento han modelado 9 objetos territoriales. Por su parte el IGAC se encuentra en proceso de modelamiento de un objeto territorial para el sector ambiente y dos obje</w:t>
      </w:r>
      <w:r w:rsidR="00AF3756">
        <w:rPr>
          <w:sz w:val="22"/>
          <w:szCs w:val="22"/>
          <w:lang w:val="es-CO"/>
        </w:rPr>
        <w:t xml:space="preserve">tos en el sector agropecuario. </w:t>
      </w:r>
      <w:r w:rsidRPr="00C07EF6">
        <w:rPr>
          <w:sz w:val="22"/>
          <w:szCs w:val="22"/>
          <w:lang w:val="es-CO"/>
        </w:rPr>
        <w:t>Adicionalmente se viene adelantando el modelamiento de un objeto territoriales del sector geológico y se encuentra en la identificación de tres objetos territoriales en el sector marino costero.</w:t>
      </w:r>
    </w:p>
    <w:p w14:paraId="0B60196B" w14:textId="6BD3ED5E" w:rsidR="00AF3756" w:rsidRPr="00862BB4" w:rsidRDefault="00AF3756" w:rsidP="00C72779">
      <w:pPr>
        <w:rPr>
          <w:rFonts w:cs="Arial"/>
          <w:b/>
          <w:sz w:val="16"/>
          <w:szCs w:val="16"/>
          <w:lang w:val="es-CO"/>
        </w:rPr>
      </w:pPr>
    </w:p>
    <w:p w14:paraId="6F4738AE" w14:textId="27B5991C" w:rsidR="00A54D5F" w:rsidRPr="00862BB4" w:rsidRDefault="506F2CA5" w:rsidP="31FF9146">
      <w:pPr>
        <w:pStyle w:val="Descripcin"/>
        <w:jc w:val="center"/>
        <w:rPr>
          <w:rFonts w:ascii="Arial" w:eastAsia="Arial" w:hAnsi="Arial" w:cs="Arial"/>
          <w:b/>
          <w:i w:val="0"/>
          <w:color w:val="auto"/>
          <w:sz w:val="16"/>
          <w:szCs w:val="16"/>
        </w:rPr>
      </w:pPr>
      <w:bookmarkStart w:id="142" w:name="_Toc88677126"/>
      <w:r w:rsidRPr="00862BB4">
        <w:rPr>
          <w:rFonts w:ascii="Arial" w:hAnsi="Arial" w:cs="Arial"/>
          <w:b/>
          <w:i w:val="0"/>
          <w:color w:val="auto"/>
          <w:sz w:val="16"/>
          <w:szCs w:val="16"/>
        </w:rPr>
        <w:t xml:space="preserve">Tabla </w:t>
      </w:r>
      <w:r w:rsidR="00862BB4" w:rsidRPr="00862BB4">
        <w:rPr>
          <w:rFonts w:ascii="Arial" w:hAnsi="Arial" w:cs="Arial"/>
          <w:b/>
          <w:i w:val="0"/>
          <w:color w:val="auto"/>
          <w:sz w:val="16"/>
          <w:szCs w:val="16"/>
        </w:rPr>
        <w:fldChar w:fldCharType="begin"/>
      </w:r>
      <w:r w:rsidR="00862BB4" w:rsidRPr="00862BB4">
        <w:rPr>
          <w:rFonts w:ascii="Arial" w:hAnsi="Arial" w:cs="Arial"/>
          <w:b/>
          <w:i w:val="0"/>
          <w:color w:val="auto"/>
          <w:sz w:val="16"/>
          <w:szCs w:val="16"/>
        </w:rPr>
        <w:instrText xml:space="preserve"> SEQ Tabla \* ARABIC </w:instrText>
      </w:r>
      <w:r w:rsidR="00862BB4" w:rsidRPr="00862BB4">
        <w:rPr>
          <w:rFonts w:ascii="Arial" w:hAnsi="Arial" w:cs="Arial"/>
          <w:b/>
          <w:i w:val="0"/>
          <w:color w:val="auto"/>
          <w:sz w:val="16"/>
          <w:szCs w:val="16"/>
        </w:rPr>
        <w:fldChar w:fldCharType="separate"/>
      </w:r>
      <w:r w:rsidR="004D4C6A">
        <w:rPr>
          <w:rFonts w:ascii="Arial" w:hAnsi="Arial" w:cs="Arial"/>
          <w:b/>
          <w:i w:val="0"/>
          <w:noProof/>
          <w:color w:val="auto"/>
          <w:sz w:val="16"/>
          <w:szCs w:val="16"/>
        </w:rPr>
        <w:t>54</w:t>
      </w:r>
      <w:r w:rsidR="00862BB4" w:rsidRPr="00862BB4">
        <w:rPr>
          <w:rFonts w:ascii="Arial" w:hAnsi="Arial" w:cs="Arial"/>
          <w:b/>
          <w:i w:val="0"/>
          <w:color w:val="auto"/>
          <w:sz w:val="16"/>
          <w:szCs w:val="16"/>
        </w:rPr>
        <w:fldChar w:fldCharType="end"/>
      </w:r>
      <w:r w:rsidR="00862BB4" w:rsidRPr="00862BB4">
        <w:rPr>
          <w:rFonts w:ascii="Arial" w:hAnsi="Arial" w:cs="Arial"/>
          <w:b/>
          <w:i w:val="0"/>
          <w:color w:val="auto"/>
          <w:sz w:val="16"/>
          <w:szCs w:val="16"/>
        </w:rPr>
        <w:t>.</w:t>
      </w:r>
      <w:r w:rsidRPr="00862BB4">
        <w:rPr>
          <w:rFonts w:ascii="Arial" w:hAnsi="Arial" w:cs="Arial"/>
          <w:b/>
          <w:i w:val="0"/>
          <w:color w:val="auto"/>
          <w:sz w:val="16"/>
          <w:szCs w:val="16"/>
        </w:rPr>
        <w:t xml:space="preserve"> </w:t>
      </w:r>
      <w:r w:rsidR="00A54D5F" w:rsidRPr="00862BB4">
        <w:rPr>
          <w:rFonts w:ascii="Arial" w:hAnsi="Arial" w:cs="Arial"/>
          <w:b/>
          <w:i w:val="0"/>
          <w:color w:val="auto"/>
          <w:sz w:val="16"/>
          <w:szCs w:val="16"/>
        </w:rPr>
        <w:t>Resumen de avance de gestión de objetos territoriales por parte del IGAC</w:t>
      </w:r>
      <w:bookmarkEnd w:id="142"/>
    </w:p>
    <w:tbl>
      <w:tblPr>
        <w:tblStyle w:val="Tabladecuadrcula4-nfasis1"/>
        <w:tblW w:w="8384" w:type="dxa"/>
        <w:jc w:val="center"/>
        <w:tblLook w:val="04A0" w:firstRow="1" w:lastRow="0" w:firstColumn="1" w:lastColumn="0" w:noHBand="0" w:noVBand="1"/>
      </w:tblPr>
      <w:tblGrid>
        <w:gridCol w:w="3309"/>
        <w:gridCol w:w="1950"/>
        <w:gridCol w:w="1691"/>
        <w:gridCol w:w="1434"/>
      </w:tblGrid>
      <w:tr w:rsidR="00A54D5F" w:rsidRPr="00535D8E" w14:paraId="483654CA" w14:textId="77777777" w:rsidTr="00AF3756">
        <w:trPr>
          <w:cnfStyle w:val="100000000000" w:firstRow="1" w:lastRow="0" w:firstColumn="0" w:lastColumn="0" w:oddVBand="0" w:evenVBand="0" w:oddHBand="0" w:evenHBand="0" w:firstRowFirstColumn="0" w:firstRowLastColumn="0" w:lastRowFirstColumn="0" w:lastRowLastColumn="0"/>
          <w:trHeight w:val="738"/>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1A565982" w14:textId="77777777" w:rsidR="00A54D5F" w:rsidRPr="00535D8E" w:rsidRDefault="00A54D5F" w:rsidP="00C72779">
            <w:pPr>
              <w:suppressAutoHyphens w:val="0"/>
              <w:jc w:val="center"/>
              <w:rPr>
                <w:rFonts w:cs="Arial"/>
                <w:bCs w:val="0"/>
                <w:sz w:val="20"/>
                <w:szCs w:val="22"/>
                <w:lang w:val="es-CO" w:eastAsia="ko-KR"/>
              </w:rPr>
            </w:pPr>
            <w:r w:rsidRPr="00535D8E">
              <w:rPr>
                <w:rFonts w:cs="Arial"/>
                <w:bCs w:val="0"/>
                <w:sz w:val="20"/>
                <w:szCs w:val="22"/>
                <w:lang w:val="es-CO" w:eastAsia="ko-KR"/>
              </w:rPr>
              <w:t>Objeto Territorial</w:t>
            </w:r>
          </w:p>
        </w:tc>
        <w:tc>
          <w:tcPr>
            <w:tcW w:w="1843" w:type="dxa"/>
            <w:vAlign w:val="center"/>
            <w:hideMark/>
          </w:tcPr>
          <w:p w14:paraId="7DB49216" w14:textId="77777777" w:rsidR="00A54D5F" w:rsidRPr="00535D8E" w:rsidRDefault="00A54D5F"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Cs w:val="0"/>
                <w:sz w:val="20"/>
                <w:szCs w:val="22"/>
                <w:lang w:val="es-CO" w:eastAsia="ko-KR"/>
              </w:rPr>
            </w:pPr>
            <w:r w:rsidRPr="00535D8E">
              <w:rPr>
                <w:rFonts w:cs="Arial"/>
                <w:bCs w:val="0"/>
                <w:sz w:val="20"/>
                <w:szCs w:val="22"/>
                <w:lang w:val="es-CO" w:eastAsia="ko-KR"/>
              </w:rPr>
              <w:t>Capacitación y conceptualización</w:t>
            </w:r>
          </w:p>
        </w:tc>
        <w:tc>
          <w:tcPr>
            <w:tcW w:w="1701" w:type="dxa"/>
            <w:vAlign w:val="center"/>
            <w:hideMark/>
          </w:tcPr>
          <w:p w14:paraId="1355493C" w14:textId="77777777" w:rsidR="00A54D5F" w:rsidRPr="00535D8E" w:rsidRDefault="00A54D5F"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Cs w:val="0"/>
                <w:sz w:val="20"/>
                <w:szCs w:val="22"/>
                <w:lang w:val="es-CO" w:eastAsia="ko-KR"/>
              </w:rPr>
            </w:pPr>
            <w:r w:rsidRPr="00535D8E">
              <w:rPr>
                <w:rFonts w:cs="Arial"/>
                <w:bCs w:val="0"/>
                <w:sz w:val="20"/>
                <w:szCs w:val="22"/>
                <w:lang w:val="es-CO" w:eastAsia="ko-KR"/>
              </w:rPr>
              <w:t>Identificación de OT</w:t>
            </w:r>
          </w:p>
        </w:tc>
        <w:tc>
          <w:tcPr>
            <w:tcW w:w="1443" w:type="dxa"/>
            <w:vAlign w:val="center"/>
            <w:hideMark/>
          </w:tcPr>
          <w:p w14:paraId="49E7445C" w14:textId="77777777" w:rsidR="00A54D5F" w:rsidRPr="00535D8E" w:rsidRDefault="00A54D5F"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bCs w:val="0"/>
                <w:sz w:val="20"/>
                <w:szCs w:val="22"/>
                <w:lang w:val="es-CO" w:eastAsia="ko-KR"/>
              </w:rPr>
            </w:pPr>
            <w:r w:rsidRPr="00535D8E">
              <w:rPr>
                <w:rFonts w:cs="Arial"/>
                <w:bCs w:val="0"/>
                <w:sz w:val="20"/>
                <w:szCs w:val="22"/>
                <w:lang w:val="es-CO" w:eastAsia="ko-KR"/>
              </w:rPr>
              <w:t>Modelo conceptual LADM</w:t>
            </w:r>
          </w:p>
        </w:tc>
      </w:tr>
      <w:tr w:rsidR="00A54D5F" w:rsidRPr="00535D8E" w14:paraId="1D1B521F" w14:textId="77777777" w:rsidTr="00AF3756">
        <w:trPr>
          <w:cnfStyle w:val="000000100000" w:firstRow="0" w:lastRow="0" w:firstColumn="0" w:lastColumn="0" w:oddVBand="0" w:evenVBand="0" w:oddHBand="1" w:evenHBand="0" w:firstRowFirstColumn="0" w:firstRowLastColumn="0" w:lastRowFirstColumn="0" w:lastRowLastColumn="0"/>
          <w:trHeight w:val="410"/>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675F9B47"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Páramos</w:t>
            </w:r>
          </w:p>
        </w:tc>
        <w:tc>
          <w:tcPr>
            <w:tcW w:w="1843" w:type="dxa"/>
            <w:vAlign w:val="center"/>
            <w:hideMark/>
          </w:tcPr>
          <w:p w14:paraId="59D4E116"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56CBF137"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68F1BE38"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30%</w:t>
            </w:r>
          </w:p>
        </w:tc>
      </w:tr>
      <w:tr w:rsidR="00A54D5F" w:rsidRPr="00535D8E" w14:paraId="36EB351E" w14:textId="77777777" w:rsidTr="00AF3756">
        <w:trPr>
          <w:trHeight w:val="572"/>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3C2A38B1"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Zonas de conservación geológica y paleontológica</w:t>
            </w:r>
          </w:p>
        </w:tc>
        <w:tc>
          <w:tcPr>
            <w:tcW w:w="1843" w:type="dxa"/>
            <w:vAlign w:val="center"/>
            <w:hideMark/>
          </w:tcPr>
          <w:p w14:paraId="3ACDB871"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01298E3D"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32425CB4"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30%</w:t>
            </w:r>
          </w:p>
        </w:tc>
      </w:tr>
      <w:tr w:rsidR="00A54D5F" w:rsidRPr="00535D8E" w14:paraId="5665A96E" w14:textId="77777777" w:rsidTr="00AF3756">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78618910"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Frontera Agrícola</w:t>
            </w:r>
          </w:p>
        </w:tc>
        <w:tc>
          <w:tcPr>
            <w:tcW w:w="1843" w:type="dxa"/>
            <w:vAlign w:val="center"/>
            <w:hideMark/>
          </w:tcPr>
          <w:p w14:paraId="50D42625"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75C832AE"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1C4D23DD"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20%</w:t>
            </w:r>
          </w:p>
        </w:tc>
      </w:tr>
      <w:tr w:rsidR="00A54D5F" w:rsidRPr="00535D8E" w14:paraId="2F7EB8BE" w14:textId="77777777" w:rsidTr="00382FEE">
        <w:trPr>
          <w:trHeight w:val="651"/>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1521BA21"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Zonas de Interés de Desarrollo Rural, Económico y Social (Zidres)</w:t>
            </w:r>
          </w:p>
        </w:tc>
        <w:tc>
          <w:tcPr>
            <w:tcW w:w="1843" w:type="dxa"/>
            <w:vAlign w:val="center"/>
            <w:hideMark/>
          </w:tcPr>
          <w:p w14:paraId="49EE3D4F"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53B2D7D0"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0F0E37C8"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20%</w:t>
            </w:r>
          </w:p>
        </w:tc>
      </w:tr>
      <w:tr w:rsidR="00A54D5F" w:rsidRPr="00535D8E" w14:paraId="09551280" w14:textId="77777777" w:rsidTr="00AF3756">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2B8216A2"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Costas</w:t>
            </w:r>
          </w:p>
        </w:tc>
        <w:tc>
          <w:tcPr>
            <w:tcW w:w="1843" w:type="dxa"/>
            <w:vAlign w:val="center"/>
            <w:hideMark/>
          </w:tcPr>
          <w:p w14:paraId="38AB14E0"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164CAEEB"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16DF232C" w14:textId="6C2D7F22"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p>
        </w:tc>
      </w:tr>
      <w:tr w:rsidR="00A54D5F" w:rsidRPr="00535D8E" w14:paraId="168DD23A" w14:textId="77777777" w:rsidTr="00AF3756">
        <w:trPr>
          <w:trHeight w:val="420"/>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1FB35EDE" w14:textId="77777777"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Playas</w:t>
            </w:r>
          </w:p>
        </w:tc>
        <w:tc>
          <w:tcPr>
            <w:tcW w:w="1843" w:type="dxa"/>
            <w:vAlign w:val="center"/>
            <w:hideMark/>
          </w:tcPr>
          <w:p w14:paraId="3F4B1E20"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3FCF834C" w14:textId="77777777"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16ECD400" w14:textId="28732BE6" w:rsidR="00A54D5F" w:rsidRPr="00535D8E" w:rsidRDefault="00A54D5F"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CO" w:eastAsia="ko-KR"/>
              </w:rPr>
            </w:pPr>
          </w:p>
        </w:tc>
      </w:tr>
      <w:tr w:rsidR="00A54D5F" w:rsidRPr="00535D8E" w14:paraId="76D3B68C" w14:textId="77777777" w:rsidTr="00AF3756">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3397" w:type="dxa"/>
            <w:vAlign w:val="center"/>
            <w:hideMark/>
          </w:tcPr>
          <w:p w14:paraId="59C6C6D2" w14:textId="6567DA5D" w:rsidR="00A54D5F" w:rsidRPr="00535D8E" w:rsidRDefault="00A54D5F" w:rsidP="00C72779">
            <w:pPr>
              <w:suppressAutoHyphens w:val="0"/>
              <w:jc w:val="center"/>
              <w:rPr>
                <w:rFonts w:cs="Arial"/>
                <w:sz w:val="20"/>
                <w:szCs w:val="22"/>
                <w:lang w:val="es-CO" w:eastAsia="ko-KR"/>
              </w:rPr>
            </w:pPr>
            <w:r w:rsidRPr="00535D8E">
              <w:rPr>
                <w:rFonts w:cs="Arial"/>
                <w:sz w:val="20"/>
                <w:szCs w:val="22"/>
                <w:lang w:val="es-CO" w:eastAsia="ko-KR"/>
              </w:rPr>
              <w:t>Territorios insulares</w:t>
            </w:r>
          </w:p>
        </w:tc>
        <w:tc>
          <w:tcPr>
            <w:tcW w:w="1843" w:type="dxa"/>
            <w:vAlign w:val="center"/>
            <w:hideMark/>
          </w:tcPr>
          <w:p w14:paraId="39C658A1"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701" w:type="dxa"/>
            <w:vAlign w:val="center"/>
            <w:hideMark/>
          </w:tcPr>
          <w:p w14:paraId="0942F960" w14:textId="77777777" w:rsidR="00A54D5F" w:rsidRPr="00535D8E" w:rsidRDefault="00A54D5F"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r w:rsidRPr="00535D8E">
              <w:rPr>
                <w:rFonts w:cs="Arial"/>
                <w:sz w:val="20"/>
                <w:szCs w:val="22"/>
                <w:lang w:val="es-CO" w:eastAsia="ko-KR"/>
              </w:rPr>
              <w:t>100%</w:t>
            </w:r>
          </w:p>
        </w:tc>
        <w:tc>
          <w:tcPr>
            <w:tcW w:w="1443" w:type="dxa"/>
            <w:vAlign w:val="center"/>
            <w:hideMark/>
          </w:tcPr>
          <w:p w14:paraId="69658607" w14:textId="5C310A62" w:rsidR="00A54D5F" w:rsidRPr="00535D8E" w:rsidRDefault="00A54D5F" w:rsidP="00C72779">
            <w:pPr>
              <w:keepNext/>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CO" w:eastAsia="ko-KR"/>
              </w:rPr>
            </w:pPr>
          </w:p>
        </w:tc>
      </w:tr>
    </w:tbl>
    <w:p w14:paraId="330F0A4D" w14:textId="77777777" w:rsidR="00A54D5F" w:rsidRPr="00E722D8" w:rsidRDefault="00A54D5F" w:rsidP="31FF9146">
      <w:pPr>
        <w:jc w:val="center"/>
        <w:rPr>
          <w:b/>
          <w:sz w:val="20"/>
          <w:szCs w:val="22"/>
          <w:lang w:val="es-CO"/>
        </w:rPr>
      </w:pPr>
      <w:r w:rsidRPr="00E722D8">
        <w:rPr>
          <w:b/>
          <w:sz w:val="16"/>
          <w:szCs w:val="18"/>
          <w:lang w:val="es-CO"/>
        </w:rPr>
        <w:t xml:space="preserve">Fuente: Dirección de Investigación y prospectiva </w:t>
      </w:r>
    </w:p>
    <w:p w14:paraId="38F64DB8" w14:textId="145FE46F" w:rsidR="00A54D5F" w:rsidRDefault="00A54D5F" w:rsidP="00C72779">
      <w:pPr>
        <w:rPr>
          <w:sz w:val="22"/>
          <w:szCs w:val="22"/>
          <w:lang w:val="es-CO"/>
        </w:rPr>
      </w:pPr>
    </w:p>
    <w:p w14:paraId="3DCB2F45" w14:textId="44871368" w:rsidR="00A93FC3" w:rsidRDefault="00A93FC3" w:rsidP="00C72779">
      <w:pPr>
        <w:rPr>
          <w:sz w:val="22"/>
          <w:szCs w:val="22"/>
          <w:lang w:val="es-CO"/>
        </w:rPr>
      </w:pPr>
    </w:p>
    <w:p w14:paraId="0D005413" w14:textId="77777777" w:rsidR="00A93FC3" w:rsidRPr="00C07EF6" w:rsidRDefault="00A93FC3" w:rsidP="00C72779">
      <w:pPr>
        <w:rPr>
          <w:sz w:val="22"/>
          <w:szCs w:val="22"/>
          <w:lang w:val="es-CO"/>
        </w:rPr>
      </w:pPr>
    </w:p>
    <w:p w14:paraId="5C1054BF" w14:textId="77777777" w:rsidR="00A54D5F" w:rsidRPr="00C07EF6" w:rsidRDefault="00A54D5F" w:rsidP="00C72779">
      <w:pPr>
        <w:pStyle w:val="Ttulo4"/>
        <w:rPr>
          <w:rFonts w:eastAsia="Arial"/>
          <w:sz w:val="22"/>
          <w:szCs w:val="22"/>
        </w:rPr>
      </w:pPr>
      <w:bookmarkStart w:id="143" w:name="_Hlk87611036"/>
      <w:r w:rsidRPr="00C07EF6">
        <w:rPr>
          <w:rFonts w:eastAsia="Arial"/>
          <w:sz w:val="22"/>
          <w:szCs w:val="22"/>
        </w:rPr>
        <w:lastRenderedPageBreak/>
        <w:t xml:space="preserve">Gestionar y disponer datos de observación de la tierra y otros datos geográficos para la gestión territorial. </w:t>
      </w:r>
    </w:p>
    <w:p w14:paraId="79901978" w14:textId="77777777" w:rsidR="00A54D5F" w:rsidRPr="00C07EF6" w:rsidRDefault="00A54D5F" w:rsidP="00C72779">
      <w:pPr>
        <w:rPr>
          <w:rFonts w:eastAsia="Arial" w:cs="Arial"/>
          <w:color w:val="000000" w:themeColor="text1"/>
          <w:sz w:val="22"/>
          <w:szCs w:val="22"/>
        </w:rPr>
      </w:pPr>
    </w:p>
    <w:p w14:paraId="282E1AFD" w14:textId="77777777" w:rsidR="00A54D5F" w:rsidRPr="00C07EF6" w:rsidRDefault="00A54D5F" w:rsidP="00C72779">
      <w:pPr>
        <w:pStyle w:val="NormalWeb"/>
        <w:shd w:val="clear" w:color="auto" w:fill="FFFFFF"/>
        <w:spacing w:before="0" w:beforeAutospacing="0" w:after="0" w:afterAutospacing="0"/>
        <w:jc w:val="both"/>
        <w:rPr>
          <w:rFonts w:ascii="Calibri" w:hAnsi="Calibri"/>
          <w:color w:val="212121"/>
          <w:sz w:val="22"/>
          <w:szCs w:val="22"/>
          <w:lang w:eastAsia="es-419"/>
        </w:rPr>
      </w:pPr>
      <w:r w:rsidRPr="00C07EF6">
        <w:rPr>
          <w:color w:val="212121"/>
          <w:sz w:val="22"/>
          <w:szCs w:val="22"/>
          <w:lang w:val="es-MX"/>
        </w:rPr>
        <w:t>Recoge las acciones desarrolladas en la línea de acción del PEP-POA 2.4.5. </w:t>
      </w:r>
      <w:r w:rsidRPr="00C07EF6">
        <w:rPr>
          <w:color w:val="000000"/>
          <w:sz w:val="22"/>
          <w:szCs w:val="22"/>
        </w:rPr>
        <w:t>Para el desarrollo de esta línea de trabajo se realizó la estructuración de un proyecto orientado a la adquisición de datos de observación de la tierra entendidos estos como imágenes oblicuas, datos lidar u otros datos capturados mediante sensores remotos, que permitan la generación de productos derivados para apoyar el desarrollo de los métodos indirectos del proceso catastral, se espera iniciar el desarrollo de las pruebas técnicas.</w:t>
      </w:r>
    </w:p>
    <w:p w14:paraId="0BCE2245" w14:textId="77777777" w:rsidR="00A54D5F" w:rsidRPr="00C07EF6" w:rsidRDefault="00A54D5F" w:rsidP="00C72779">
      <w:pPr>
        <w:shd w:val="clear" w:color="auto" w:fill="FFFFFF"/>
        <w:jc w:val="both"/>
        <w:rPr>
          <w:color w:val="212121"/>
          <w:sz w:val="22"/>
          <w:szCs w:val="22"/>
        </w:rPr>
      </w:pPr>
    </w:p>
    <w:p w14:paraId="7E057A0B" w14:textId="77777777" w:rsidR="00A54D5F" w:rsidRPr="00C07EF6" w:rsidRDefault="00A54D5F" w:rsidP="00C72779">
      <w:pPr>
        <w:shd w:val="clear" w:color="auto" w:fill="FFFFFF"/>
        <w:jc w:val="both"/>
        <w:rPr>
          <w:color w:val="212121"/>
          <w:sz w:val="22"/>
          <w:szCs w:val="22"/>
        </w:rPr>
      </w:pPr>
      <w:r w:rsidRPr="00C07EF6">
        <w:rPr>
          <w:color w:val="212121"/>
          <w:sz w:val="22"/>
          <w:szCs w:val="22"/>
        </w:rPr>
        <w:t>En esta apuesta, el proyecto pretende no solo estimar el alcance de la gestión de datos desde el ángulo de la adquisición de la información, sino también las incidencias de la toma decisiones a partir de la comprensión, uso y tratamiento de los datos capturados, para evaluar tipologías, costos, aprovechamiento de espacios y todas las implicaciones catastrales que puedan evaluarse.</w:t>
      </w:r>
    </w:p>
    <w:p w14:paraId="3327F50D" w14:textId="77777777" w:rsidR="00A54D5F" w:rsidRPr="00C07EF6" w:rsidRDefault="00A54D5F" w:rsidP="00C72779">
      <w:pPr>
        <w:shd w:val="clear" w:color="auto" w:fill="FFFFFF"/>
        <w:jc w:val="both"/>
        <w:rPr>
          <w:color w:val="212121"/>
          <w:sz w:val="22"/>
          <w:szCs w:val="22"/>
        </w:rPr>
      </w:pPr>
    </w:p>
    <w:p w14:paraId="1EF0D3B5" w14:textId="77777777" w:rsidR="00A54D5F" w:rsidRPr="00C07EF6" w:rsidRDefault="00A54D5F" w:rsidP="00C72779">
      <w:pPr>
        <w:shd w:val="clear" w:color="auto" w:fill="FFFFFF"/>
        <w:jc w:val="both"/>
        <w:rPr>
          <w:color w:val="212121"/>
          <w:sz w:val="22"/>
          <w:szCs w:val="22"/>
        </w:rPr>
      </w:pPr>
      <w:r w:rsidRPr="00C07EF6">
        <w:rPr>
          <w:color w:val="212121"/>
          <w:sz w:val="22"/>
          <w:szCs w:val="22"/>
        </w:rPr>
        <w:t>Por otra parte, la gestión de datos de observación de la tierra permite la evaluación de impactos socio económicos en los territorios, desde el ámbito de las políticas tributarias, impactos ambientales y sociales y proyección de políticas públicas, asociadas al uso eficiente de los territorios.</w:t>
      </w:r>
    </w:p>
    <w:p w14:paraId="17F69462" w14:textId="77777777" w:rsidR="00A54D5F" w:rsidRPr="00C07EF6" w:rsidRDefault="00A54D5F" w:rsidP="00C72779">
      <w:pPr>
        <w:shd w:val="clear" w:color="auto" w:fill="FFFFFF"/>
        <w:jc w:val="both"/>
        <w:rPr>
          <w:color w:val="212121"/>
          <w:sz w:val="22"/>
          <w:szCs w:val="22"/>
        </w:rPr>
      </w:pPr>
    </w:p>
    <w:p w14:paraId="69A72DF8" w14:textId="77777777" w:rsidR="00A54D5F" w:rsidRPr="00C07EF6" w:rsidRDefault="00A54D5F" w:rsidP="31FF9146">
      <w:pPr>
        <w:shd w:val="clear" w:color="auto" w:fill="FFFFFF" w:themeFill="background1"/>
        <w:jc w:val="both"/>
        <w:rPr>
          <w:color w:val="212121"/>
          <w:sz w:val="22"/>
          <w:szCs w:val="22"/>
        </w:rPr>
      </w:pPr>
      <w:r w:rsidRPr="31FF9146">
        <w:rPr>
          <w:color w:val="212121"/>
          <w:sz w:val="22"/>
          <w:szCs w:val="22"/>
        </w:rPr>
        <w:t>De igual manera, al identificar el potencial del método indirecto, cómo fuente de información con un alcance y potencial en continuo desarrollo, se facilita la interpretación de estrategias vinculadas con la administración eficiente de los recursos naturales y con la inversión financiera racional del presupuesto público, en común acuerdo con la generación de productos y resultados mejor diseñados.</w:t>
      </w:r>
    </w:p>
    <w:p w14:paraId="34684973" w14:textId="343CD3B6" w:rsidR="31FF9146" w:rsidRDefault="31FF9146" w:rsidP="31FF9146">
      <w:pPr>
        <w:shd w:val="clear" w:color="auto" w:fill="FFFFFF" w:themeFill="background1"/>
        <w:jc w:val="both"/>
        <w:rPr>
          <w:color w:val="212121"/>
        </w:rPr>
      </w:pPr>
    </w:p>
    <w:p w14:paraId="4D9B700A" w14:textId="77777777" w:rsidR="00A54D5F" w:rsidRPr="00C07EF6" w:rsidRDefault="00A54D5F" w:rsidP="00C72779">
      <w:pPr>
        <w:jc w:val="both"/>
        <w:rPr>
          <w:sz w:val="22"/>
          <w:szCs w:val="22"/>
        </w:rPr>
      </w:pPr>
      <w:r w:rsidRPr="00C07EF6">
        <w:rPr>
          <w:sz w:val="22"/>
          <w:szCs w:val="22"/>
        </w:rPr>
        <w:t>Al finalizar la vigencia 2021, se espera contar con la información base para identificar los costos y beneficios esperados de la captura de datos de observación de la tierra a partir de métodos indirectos, acompañado de un estudio de mercado y de sector que establezca los parámetros presupuestales requeridos para iniciar el proceso contractual asociado a la toma de dicha información, analizando los impactos e incidencias potenciales del tratamiento de dicha información capturada.</w:t>
      </w:r>
    </w:p>
    <w:bookmarkEnd w:id="143"/>
    <w:p w14:paraId="5F260D84" w14:textId="77777777" w:rsidR="00A54D5F" w:rsidRPr="00C07EF6" w:rsidRDefault="00A54D5F" w:rsidP="00C72779">
      <w:pPr>
        <w:pStyle w:val="Ttulo4"/>
        <w:rPr>
          <w:sz w:val="22"/>
          <w:szCs w:val="22"/>
        </w:rPr>
      </w:pPr>
    </w:p>
    <w:p w14:paraId="51E171A5" w14:textId="77777777" w:rsidR="00A54D5F" w:rsidRDefault="00A54D5F" w:rsidP="00C72779">
      <w:pPr>
        <w:pStyle w:val="Ttulo4"/>
        <w:rPr>
          <w:sz w:val="22"/>
          <w:szCs w:val="22"/>
        </w:rPr>
      </w:pPr>
      <w:r w:rsidRPr="00C07EF6">
        <w:rPr>
          <w:sz w:val="22"/>
          <w:szCs w:val="22"/>
        </w:rPr>
        <w:t>Implementación de la Plataforma Tecnológica ICDE</w:t>
      </w:r>
    </w:p>
    <w:p w14:paraId="779ED0E4" w14:textId="77777777" w:rsidR="00A54D5F" w:rsidRPr="00A54D5F" w:rsidRDefault="00A54D5F" w:rsidP="00C72779">
      <w:pPr>
        <w:rPr>
          <w:lang w:val="es-ES_tradnl" w:eastAsia="he-IL" w:bidi="he-IL"/>
        </w:rPr>
      </w:pPr>
    </w:p>
    <w:p w14:paraId="50D1A7F9" w14:textId="77777777" w:rsidR="00A54D5F" w:rsidRPr="00C07EF6" w:rsidRDefault="00A54D5F" w:rsidP="00C72779">
      <w:pPr>
        <w:jc w:val="both"/>
        <w:rPr>
          <w:sz w:val="22"/>
          <w:szCs w:val="22"/>
          <w:lang w:val="es-MX"/>
        </w:rPr>
      </w:pPr>
      <w:r w:rsidRPr="00C07EF6">
        <w:rPr>
          <w:sz w:val="22"/>
          <w:szCs w:val="22"/>
          <w:lang w:val="es-MX"/>
        </w:rPr>
        <w:t>Recoge las acciones desarrolladas en las líneas de acción del PEP-POA 2.4.6, 2.4.7, 2.4.8 y 2.4.9, esta última inicia su ejecución en el año 2022 según lo programado en el PEP-POA.</w:t>
      </w:r>
    </w:p>
    <w:p w14:paraId="1625DDEA" w14:textId="77777777" w:rsidR="00A54D5F" w:rsidRDefault="00A54D5F" w:rsidP="00C72779">
      <w:pPr>
        <w:jc w:val="both"/>
        <w:rPr>
          <w:sz w:val="22"/>
          <w:szCs w:val="22"/>
          <w:lang w:val="es-MX"/>
        </w:rPr>
      </w:pPr>
      <w:r w:rsidRPr="00C07EF6">
        <w:rPr>
          <w:sz w:val="22"/>
          <w:szCs w:val="22"/>
          <w:lang w:val="es-MX"/>
        </w:rPr>
        <w:t xml:space="preserve">En el frente de innovación tecnológica, se diseña e implementa la plataforma tecnológica de la ICDE, la cual puede ser accedida a través del </w:t>
      </w:r>
      <w:hyperlink r:id="rId101" w:history="1">
        <w:r w:rsidRPr="00C07EF6">
          <w:rPr>
            <w:rStyle w:val="Hipervnculo"/>
            <w:sz w:val="22"/>
            <w:szCs w:val="22"/>
            <w:lang w:val="es-MX"/>
          </w:rPr>
          <w:t>www.icde.gov.co</w:t>
        </w:r>
      </w:hyperlink>
      <w:r w:rsidRPr="00C07EF6">
        <w:rPr>
          <w:sz w:val="22"/>
          <w:szCs w:val="22"/>
          <w:lang w:val="es-MX"/>
        </w:rPr>
        <w:t>, un espacio en el cual se centralizan la gestión de datos geográficos para Colombia, en una puesta por fortalecer los procesos de gobierno y facilitar el acceso a la información geográfica de país con fines multipropósito.</w:t>
      </w:r>
    </w:p>
    <w:p w14:paraId="53251E12" w14:textId="77777777" w:rsidR="00A54D5F" w:rsidRPr="00C07EF6" w:rsidRDefault="00A54D5F" w:rsidP="00C72779">
      <w:pPr>
        <w:jc w:val="both"/>
        <w:rPr>
          <w:sz w:val="22"/>
          <w:szCs w:val="22"/>
          <w:lang w:val="es-MX"/>
        </w:rPr>
      </w:pPr>
    </w:p>
    <w:p w14:paraId="45BF2769" w14:textId="77777777" w:rsidR="00A54D5F" w:rsidRPr="00C07EF6" w:rsidRDefault="00A54D5F" w:rsidP="00C72779">
      <w:pPr>
        <w:jc w:val="both"/>
        <w:rPr>
          <w:sz w:val="22"/>
          <w:szCs w:val="22"/>
          <w:lang w:val="es-MX"/>
        </w:rPr>
      </w:pPr>
      <w:r w:rsidRPr="00C07EF6">
        <w:rPr>
          <w:sz w:val="22"/>
          <w:szCs w:val="22"/>
          <w:lang w:val="es-MX"/>
        </w:rPr>
        <w:t>La plataforma tecnológica es el acceso a diferentes recursos geográficos puestos a disposición de la administración del territorio. Allí, en la plataforma en adición a contar un espacio centralizador de datos geoespaciales, se implementan los lineamientos de gobierno en línea para sitio web siendo la ICDE un sitio GOVCO se apuesta por la transparencia y el acceso a la información pública. Entre los diferentes componentes de la plataforma ICDE, se cuenta con:</w:t>
      </w:r>
    </w:p>
    <w:p w14:paraId="5157B2F9" w14:textId="77777777" w:rsidR="00A54D5F" w:rsidRPr="00C07EF6" w:rsidRDefault="00A54D5F" w:rsidP="00C72779">
      <w:pPr>
        <w:rPr>
          <w:sz w:val="22"/>
          <w:szCs w:val="22"/>
          <w:lang w:val="es-MX"/>
        </w:rPr>
      </w:pPr>
    </w:p>
    <w:p w14:paraId="57C9C52E" w14:textId="13A9FFE4"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lastRenderedPageBreak/>
        <w:t>Repositorio de modelos extendidos (Gitlab)</w:t>
      </w:r>
      <w:r w:rsidRPr="00C07EF6">
        <w:rPr>
          <w:rFonts w:cs="Arial"/>
          <w:bCs/>
          <w:sz w:val="22"/>
          <w:szCs w:val="22"/>
        </w:rPr>
        <w:t>: corresponde al espacio tecnológico a través del cual se disponen los modelos extendidos LADM y se garantizará su disposición tecnológica y gobierno. Cabe mencionar que el repositorio fue iniciado por el equipo de trabajo de la cooperación suiza (Swiss tierras), posteriormente recibido por la antigua Subdirección de Catastro y se tiene como meta realizar las mejoras tecnológicas a que haya lugar junto con su integración y gobierno con la ICDE a través de la Subdirección de Información.</w:t>
      </w:r>
    </w:p>
    <w:p w14:paraId="3DA0EE6E" w14:textId="0C193531"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Sistema de gestión de metadatos (con capacidades extendidas a LADM)</w:t>
      </w:r>
      <w:r w:rsidRPr="00C07EF6">
        <w:rPr>
          <w:rFonts w:cs="Arial"/>
          <w:bCs/>
          <w:sz w:val="22"/>
          <w:szCs w:val="22"/>
        </w:rPr>
        <w:t>: componente tecnológico a través del cual se dispone la documentación técnica de los datos y de los servicios disponibles, al final se implementará geonetwork como soporte la actualización y mantenimiento de los metadatos geográficos del IGAC y de otras organizaciones de tal manera que sea posible consolidar un catálogo nacional de metadatos geográficos con ampliación a otros estándares geográficos (calidad, ladm, especificaciones técnicas)</w:t>
      </w:r>
    </w:p>
    <w:p w14:paraId="14F543F9" w14:textId="23D2395A"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Componente de fortalecimiento territorial (Kit Territorial)</w:t>
      </w:r>
      <w:r w:rsidRPr="00C07EF6">
        <w:rPr>
          <w:rFonts w:cs="Arial"/>
          <w:bCs/>
          <w:sz w:val="22"/>
          <w:szCs w:val="22"/>
        </w:rPr>
        <w:t>: Corresponde a la sección tecnológica de la plataforma ICDE para a la disposición de las unidades técnicas requeridas para el fortalecimiento de capacidades territoriales.</w:t>
      </w:r>
    </w:p>
    <w:p w14:paraId="70CFE6B6" w14:textId="74E91565"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Tablero de despliegue de análisis de datos</w:t>
      </w:r>
      <w:r w:rsidRPr="00C07EF6">
        <w:rPr>
          <w:rFonts w:cs="Arial"/>
          <w:bCs/>
          <w:sz w:val="22"/>
          <w:szCs w:val="22"/>
        </w:rPr>
        <w:t>: corresponde a un componente tecnológico desplegado para la disposición de análisis estadístico de la información integrada por la ICDE, el tablero implementa la librería 3d.js y se contempla avanzar en la implementación de Power BI de MS.</w:t>
      </w:r>
    </w:p>
    <w:p w14:paraId="1CEEA220" w14:textId="2065CD6F"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Catálogo de datos abiertos</w:t>
      </w:r>
      <w:r w:rsidRPr="00C07EF6">
        <w:rPr>
          <w:rFonts w:cs="Arial"/>
          <w:bCs/>
          <w:sz w:val="22"/>
          <w:szCs w:val="22"/>
        </w:rPr>
        <w:t>: corresponde a la implementación del componente Open Data de ESRI para la disposición de los datos abierto tanto del IGAC como de las demás entidades del orden nacional que integren sus datos con la ICDE como miras a múltiples procesos entre ellos datos abiertos.</w:t>
      </w:r>
    </w:p>
    <w:p w14:paraId="4E1476E8" w14:textId="328D56F1"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Servicio web para la geocodificación de dirección</w:t>
      </w:r>
      <w:r w:rsidRPr="00C07EF6">
        <w:rPr>
          <w:rFonts w:cs="Arial"/>
          <w:bCs/>
          <w:sz w:val="22"/>
          <w:szCs w:val="22"/>
        </w:rPr>
        <w:t>: corresponde al primer servicio de los fijados en los indicadores suscritos con el Banco Mundial. Permite que los municipios y demás actores vinculados con la implementación de la política de catastro multipropósito previa solicitud de acceso al servicio puedan realizar procesos análisis espacial para la focalización de la actuación catastral.</w:t>
      </w:r>
    </w:p>
    <w:p w14:paraId="0222AA5E" w14:textId="3ED1D0A6" w:rsidR="00A54D5F" w:rsidRPr="00674DD3"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Datos</w:t>
      </w:r>
      <w:r w:rsidRPr="00C07EF6">
        <w:rPr>
          <w:rFonts w:cs="Arial"/>
          <w:bCs/>
          <w:sz w:val="22"/>
          <w:szCs w:val="22"/>
        </w:rPr>
        <w:t>: corresponde al contenido técnico propiamente de datos, los cuales están organizados por tipo, y entre los cuales se encuentra los datos abiertos, fundamentales y objetos territoriales.</w:t>
      </w:r>
    </w:p>
    <w:p w14:paraId="06EE7B72" w14:textId="77777777" w:rsidR="00A54D5F" w:rsidRPr="00C07EF6" w:rsidRDefault="00A54D5F" w:rsidP="000A20EE">
      <w:pPr>
        <w:pStyle w:val="Prrafodelista"/>
        <w:widowControl w:val="0"/>
        <w:numPr>
          <w:ilvl w:val="0"/>
          <w:numId w:val="85"/>
        </w:numPr>
        <w:suppressAutoHyphens w:val="0"/>
        <w:overflowPunct/>
        <w:autoSpaceDN w:val="0"/>
        <w:spacing w:before="8"/>
        <w:textAlignment w:val="auto"/>
        <w:rPr>
          <w:rFonts w:cs="Arial"/>
          <w:bCs/>
          <w:sz w:val="22"/>
          <w:szCs w:val="22"/>
        </w:rPr>
      </w:pPr>
      <w:r w:rsidRPr="00C07EF6">
        <w:rPr>
          <w:rFonts w:cs="Arial"/>
          <w:b/>
          <w:bCs/>
          <w:sz w:val="22"/>
          <w:szCs w:val="22"/>
        </w:rPr>
        <w:t>Tablero de control y monitoreo de geoservicios (geohealthcheck)</w:t>
      </w:r>
      <w:r w:rsidRPr="00C07EF6">
        <w:rPr>
          <w:rFonts w:cs="Arial"/>
          <w:bCs/>
          <w:sz w:val="22"/>
          <w:szCs w:val="22"/>
        </w:rPr>
        <w:t>: En implementación, corresponde al conjunto de servicios web de mapas integrados en la ICDE y dispuestos por las diferentes entidades responsables de la producción de datos, la meta en adición a actualización tecnológica de la plataforma ICDE mediante la integración de geohealthcheck como componentes de monitoreo de servicios (en implementación).</w:t>
      </w:r>
    </w:p>
    <w:p w14:paraId="06027DBC" w14:textId="77777777" w:rsidR="00A54D5F" w:rsidRPr="00C07EF6" w:rsidRDefault="00A54D5F" w:rsidP="00C72779">
      <w:pPr>
        <w:rPr>
          <w:rFonts w:eastAsiaTheme="minorEastAsia"/>
          <w:b/>
          <w:bCs/>
          <w:sz w:val="22"/>
          <w:szCs w:val="22"/>
          <w:lang w:val="es"/>
        </w:rPr>
      </w:pPr>
    </w:p>
    <w:p w14:paraId="289E3F6D" w14:textId="77777777" w:rsidR="00A54D5F" w:rsidRDefault="00A54D5F" w:rsidP="00C72779">
      <w:pPr>
        <w:pStyle w:val="Ttulo4"/>
        <w:ind w:left="864" w:hanging="864"/>
        <w:rPr>
          <w:rFonts w:eastAsia="Arial"/>
          <w:sz w:val="22"/>
          <w:szCs w:val="22"/>
        </w:rPr>
      </w:pPr>
      <w:r w:rsidRPr="00C07EF6">
        <w:rPr>
          <w:rFonts w:eastAsia="Arial"/>
          <w:sz w:val="22"/>
          <w:szCs w:val="22"/>
        </w:rPr>
        <w:t xml:space="preserve">Documentos Normativos </w:t>
      </w:r>
    </w:p>
    <w:p w14:paraId="5226CA24" w14:textId="77777777" w:rsidR="00A54D5F" w:rsidRPr="00A54D5F" w:rsidRDefault="00A54D5F" w:rsidP="00C72779">
      <w:pPr>
        <w:rPr>
          <w:rFonts w:eastAsia="Arial"/>
          <w:lang w:val="es-ES_tradnl" w:eastAsia="he-IL" w:bidi="he-IL"/>
        </w:rPr>
      </w:pPr>
    </w:p>
    <w:p w14:paraId="59F40DBC" w14:textId="77777777" w:rsidR="00A54D5F" w:rsidRPr="00C07EF6" w:rsidRDefault="00A54D5F" w:rsidP="00C72779">
      <w:pPr>
        <w:jc w:val="both"/>
        <w:rPr>
          <w:rFonts w:ascii="Calibri" w:eastAsia="Calibri" w:hAnsi="Calibri"/>
          <w:sz w:val="22"/>
          <w:szCs w:val="22"/>
          <w:lang w:val="es"/>
        </w:rPr>
      </w:pPr>
      <w:r w:rsidRPr="00C07EF6">
        <w:rPr>
          <w:rFonts w:eastAsia="Arial" w:cs="Arial"/>
          <w:b/>
          <w:bCs/>
          <w:sz w:val="22"/>
          <w:szCs w:val="22"/>
          <w:lang w:val="es"/>
        </w:rPr>
        <w:t xml:space="preserve"> </w:t>
      </w:r>
      <w:r w:rsidRPr="00C07EF6">
        <w:rPr>
          <w:rFonts w:eastAsia="Arial" w:cs="Arial"/>
          <w:sz w:val="22"/>
          <w:szCs w:val="22"/>
          <w:lang w:val="es"/>
        </w:rPr>
        <w:t>En el desarrollo de los documentos normativos se realizaron las siguientes actividades:</w:t>
      </w:r>
    </w:p>
    <w:p w14:paraId="02BFC476" w14:textId="77777777" w:rsidR="00A54D5F" w:rsidRPr="00C07EF6" w:rsidRDefault="00A54D5F" w:rsidP="00C72779">
      <w:pPr>
        <w:jc w:val="both"/>
        <w:rPr>
          <w:rFonts w:ascii="Calibri" w:eastAsia="Calibri" w:hAnsi="Calibri"/>
          <w:sz w:val="22"/>
          <w:szCs w:val="22"/>
          <w:lang w:val="es"/>
        </w:rPr>
      </w:pPr>
    </w:p>
    <w:p w14:paraId="11E08A35" w14:textId="77777777" w:rsidR="00A54D5F" w:rsidRPr="00C07EF6" w:rsidRDefault="00A54D5F" w:rsidP="000A20EE">
      <w:pPr>
        <w:pStyle w:val="Prrafodelista"/>
        <w:numPr>
          <w:ilvl w:val="0"/>
          <w:numId w:val="82"/>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 xml:space="preserve">Documento normativo para los lineamientos de estandarización </w:t>
      </w:r>
    </w:p>
    <w:p w14:paraId="6E22D497" w14:textId="77777777" w:rsidR="00A54D5F" w:rsidRPr="00C07EF6" w:rsidRDefault="00A54D5F" w:rsidP="000A20EE">
      <w:pPr>
        <w:pStyle w:val="Prrafodelista"/>
        <w:numPr>
          <w:ilvl w:val="0"/>
          <w:numId w:val="82"/>
        </w:numPr>
        <w:suppressAutoHyphens w:val="0"/>
        <w:overflowPunct/>
        <w:autoSpaceDE/>
        <w:spacing w:after="160"/>
        <w:contextualSpacing/>
        <w:textAlignment w:val="auto"/>
        <w:rPr>
          <w:rFonts w:eastAsia="Arial" w:cs="Arial"/>
          <w:sz w:val="22"/>
          <w:szCs w:val="22"/>
          <w:lang w:val="es"/>
        </w:rPr>
      </w:pPr>
      <w:r w:rsidRPr="00C07EF6">
        <w:rPr>
          <w:rFonts w:eastAsia="Arial" w:cs="Arial"/>
          <w:sz w:val="22"/>
          <w:szCs w:val="22"/>
          <w:lang w:val="es"/>
        </w:rPr>
        <w:t>Documento normativo sobre el Marco de Referencia Geoespacial</w:t>
      </w:r>
    </w:p>
    <w:p w14:paraId="4942A4AF" w14:textId="77777777" w:rsidR="00A54D5F" w:rsidRPr="00C07EF6" w:rsidRDefault="00A54D5F" w:rsidP="000A20EE">
      <w:pPr>
        <w:pStyle w:val="Prrafodelista"/>
        <w:numPr>
          <w:ilvl w:val="0"/>
          <w:numId w:val="82"/>
        </w:numPr>
        <w:suppressAutoHyphens w:val="0"/>
        <w:overflowPunct/>
        <w:autoSpaceDE/>
        <w:spacing w:after="160"/>
        <w:contextualSpacing/>
        <w:textAlignment w:val="auto"/>
        <w:rPr>
          <w:rFonts w:eastAsia="Arial" w:cs="Arial"/>
          <w:b/>
          <w:bCs/>
          <w:sz w:val="22"/>
          <w:szCs w:val="22"/>
          <w:lang w:val="es"/>
        </w:rPr>
      </w:pPr>
      <w:r w:rsidRPr="00C07EF6">
        <w:rPr>
          <w:rFonts w:eastAsia="Arial" w:cs="Arial"/>
          <w:sz w:val="22"/>
          <w:szCs w:val="22"/>
          <w:lang w:val="es"/>
        </w:rPr>
        <w:t>Documento normativo sobre el modelo de gobernanza de modelos extendidos LADM_COL.</w:t>
      </w:r>
    </w:p>
    <w:p w14:paraId="1CB4A2EC" w14:textId="77777777" w:rsidR="00A54D5F" w:rsidRPr="00C07EF6" w:rsidRDefault="00A54D5F" w:rsidP="000A20EE">
      <w:pPr>
        <w:pStyle w:val="Prrafodelista"/>
        <w:numPr>
          <w:ilvl w:val="0"/>
          <w:numId w:val="82"/>
        </w:numPr>
        <w:suppressAutoHyphens w:val="0"/>
        <w:overflowPunct/>
        <w:autoSpaceDE/>
        <w:spacing w:after="160"/>
        <w:contextualSpacing/>
        <w:textAlignment w:val="auto"/>
        <w:rPr>
          <w:rFonts w:eastAsiaTheme="minorEastAsia"/>
          <w:sz w:val="22"/>
          <w:szCs w:val="22"/>
          <w:lang w:val="es"/>
        </w:rPr>
      </w:pPr>
      <w:r w:rsidRPr="00C07EF6">
        <w:rPr>
          <w:rFonts w:eastAsia="Arial" w:cs="Arial"/>
          <w:sz w:val="22"/>
          <w:szCs w:val="22"/>
          <w:lang w:val="es"/>
        </w:rPr>
        <w:t xml:space="preserve">Documento normativo de Gobernanza de la Infraestructura Colombiana de Datos Espaciales ICDE. </w:t>
      </w:r>
    </w:p>
    <w:p w14:paraId="58DAE6F0" w14:textId="77777777" w:rsidR="00A54D5F" w:rsidRPr="00C07EF6" w:rsidRDefault="00A54D5F" w:rsidP="00C72779">
      <w:pPr>
        <w:jc w:val="both"/>
        <w:rPr>
          <w:sz w:val="22"/>
          <w:szCs w:val="22"/>
        </w:rPr>
      </w:pPr>
      <w:r w:rsidRPr="00C07EF6">
        <w:rPr>
          <w:rFonts w:eastAsia="Arial" w:cs="Arial"/>
          <w:sz w:val="22"/>
          <w:szCs w:val="22"/>
          <w:lang w:val="es"/>
        </w:rPr>
        <w:lastRenderedPageBreak/>
        <w:t>Adicionalmente se realizó el documento de formulación del proyecto Consolidación IDE-IGAC, este documento es un instrumento de base para la caracterización de los datos fundamentales a cargo del IGAC.</w:t>
      </w:r>
    </w:p>
    <w:p w14:paraId="60DA6FA9" w14:textId="77777777" w:rsidR="00A54D5F" w:rsidRPr="00C07EF6" w:rsidRDefault="00A54D5F" w:rsidP="00C72779">
      <w:pPr>
        <w:jc w:val="both"/>
        <w:rPr>
          <w:sz w:val="22"/>
          <w:szCs w:val="22"/>
        </w:rPr>
      </w:pPr>
      <w:r w:rsidRPr="00C07EF6">
        <w:rPr>
          <w:rFonts w:eastAsia="Arial" w:cs="Arial"/>
          <w:sz w:val="22"/>
          <w:szCs w:val="22"/>
          <w:lang w:val="es"/>
        </w:rPr>
        <w:t xml:space="preserve"> </w:t>
      </w:r>
    </w:p>
    <w:p w14:paraId="36FA8481" w14:textId="77777777" w:rsidR="00A54D5F" w:rsidRPr="00C07EF6" w:rsidRDefault="00A54D5F" w:rsidP="00C72779">
      <w:pPr>
        <w:jc w:val="both"/>
        <w:rPr>
          <w:sz w:val="22"/>
          <w:szCs w:val="22"/>
        </w:rPr>
      </w:pPr>
      <w:r w:rsidRPr="00C07EF6">
        <w:rPr>
          <w:rFonts w:eastAsia="Arial" w:cs="Arial"/>
          <w:sz w:val="22"/>
          <w:szCs w:val="22"/>
          <w:lang w:val="es"/>
        </w:rPr>
        <w:t>En cuanto a los datos fundamentales del IGAC se actualizó el inventario de información geográfica del IGAC, incluidos datos no fundamentales. Para la disposición de datos fundamentales del IGAC se realizó un piloto de caracterización del dato, incluyendo metadato, informe de calidad y catálogo para la disposición a través del portal ICDE.</w:t>
      </w:r>
    </w:p>
    <w:p w14:paraId="43BA2819" w14:textId="77777777" w:rsidR="00A54D5F" w:rsidRPr="00C07EF6" w:rsidRDefault="00A54D5F" w:rsidP="00C72779">
      <w:pPr>
        <w:rPr>
          <w:rFonts w:cs="Arial"/>
          <w:color w:val="C00000"/>
          <w:sz w:val="22"/>
          <w:szCs w:val="22"/>
        </w:rPr>
      </w:pPr>
    </w:p>
    <w:p w14:paraId="57A11BC0" w14:textId="77777777" w:rsidR="00A54D5F" w:rsidRPr="00C07EF6" w:rsidRDefault="00A54D5F" w:rsidP="00C72779">
      <w:pPr>
        <w:rPr>
          <w:sz w:val="22"/>
          <w:szCs w:val="22"/>
        </w:rPr>
      </w:pPr>
      <w:r w:rsidRPr="00C07EF6">
        <w:rPr>
          <w:rFonts w:eastAsia="Arial" w:cs="Arial"/>
          <w:sz w:val="22"/>
          <w:szCs w:val="22"/>
          <w:lang w:val="es"/>
        </w:rPr>
        <w:t>En la siguiente tabla, se presenta un comparativo año a año sobre los documentos normativos.</w:t>
      </w:r>
    </w:p>
    <w:p w14:paraId="5AB27854" w14:textId="77777777" w:rsidR="00A54D5F" w:rsidRDefault="00A54D5F" w:rsidP="00C72779">
      <w:pPr>
        <w:rPr>
          <w:rFonts w:eastAsia="Arial" w:cs="Arial"/>
          <w:color w:val="000000" w:themeColor="text1"/>
          <w:sz w:val="22"/>
          <w:szCs w:val="22"/>
          <w:lang w:val="es"/>
        </w:rPr>
      </w:pPr>
      <w:r w:rsidRPr="00C07EF6">
        <w:rPr>
          <w:rFonts w:eastAsia="Arial" w:cs="Arial"/>
          <w:color w:val="000000" w:themeColor="text1"/>
          <w:sz w:val="22"/>
          <w:szCs w:val="22"/>
          <w:lang w:val="es"/>
        </w:rPr>
        <w:t xml:space="preserve"> </w:t>
      </w:r>
    </w:p>
    <w:p w14:paraId="100F0268" w14:textId="7629DAAF" w:rsidR="00C70724" w:rsidRPr="001F0818" w:rsidRDefault="5AEDBC1C" w:rsidP="001F0818">
      <w:pPr>
        <w:pStyle w:val="Descripcin"/>
        <w:jc w:val="center"/>
        <w:rPr>
          <w:rFonts w:ascii="Arial" w:eastAsia="Arial" w:hAnsi="Arial" w:cs="Arial"/>
          <w:b/>
          <w:i w:val="0"/>
          <w:color w:val="auto"/>
          <w:sz w:val="16"/>
          <w:szCs w:val="16"/>
          <w:lang w:val="es"/>
        </w:rPr>
      </w:pPr>
      <w:bookmarkStart w:id="144" w:name="_Toc88677127"/>
      <w:r w:rsidRPr="001F0818">
        <w:rPr>
          <w:rFonts w:ascii="Arial" w:hAnsi="Arial" w:cs="Arial"/>
          <w:b/>
          <w:i w:val="0"/>
          <w:color w:val="auto"/>
          <w:sz w:val="16"/>
          <w:szCs w:val="16"/>
        </w:rPr>
        <w:t xml:space="preserve">Tabla </w:t>
      </w:r>
      <w:r w:rsidR="001F0818" w:rsidRPr="001F0818">
        <w:rPr>
          <w:rFonts w:ascii="Arial" w:hAnsi="Arial" w:cs="Arial"/>
          <w:b/>
          <w:i w:val="0"/>
          <w:color w:val="auto"/>
          <w:sz w:val="16"/>
          <w:szCs w:val="16"/>
        </w:rPr>
        <w:fldChar w:fldCharType="begin"/>
      </w:r>
      <w:r w:rsidR="001F0818" w:rsidRPr="001F0818">
        <w:rPr>
          <w:rFonts w:ascii="Arial" w:hAnsi="Arial" w:cs="Arial"/>
          <w:b/>
          <w:i w:val="0"/>
          <w:color w:val="auto"/>
          <w:sz w:val="16"/>
          <w:szCs w:val="16"/>
        </w:rPr>
        <w:instrText xml:space="preserve"> SEQ Tabla \* ARABIC </w:instrText>
      </w:r>
      <w:r w:rsidR="001F0818" w:rsidRPr="001F0818">
        <w:rPr>
          <w:rFonts w:ascii="Arial" w:hAnsi="Arial" w:cs="Arial"/>
          <w:b/>
          <w:i w:val="0"/>
          <w:color w:val="auto"/>
          <w:sz w:val="16"/>
          <w:szCs w:val="16"/>
        </w:rPr>
        <w:fldChar w:fldCharType="separate"/>
      </w:r>
      <w:r w:rsidR="004D4C6A">
        <w:rPr>
          <w:rFonts w:ascii="Arial" w:hAnsi="Arial" w:cs="Arial"/>
          <w:b/>
          <w:i w:val="0"/>
          <w:noProof/>
          <w:color w:val="auto"/>
          <w:sz w:val="16"/>
          <w:szCs w:val="16"/>
        </w:rPr>
        <w:t>55</w:t>
      </w:r>
      <w:r w:rsidR="001F0818" w:rsidRPr="001F0818">
        <w:rPr>
          <w:rFonts w:ascii="Arial" w:hAnsi="Arial" w:cs="Arial"/>
          <w:b/>
          <w:i w:val="0"/>
          <w:color w:val="auto"/>
          <w:sz w:val="16"/>
          <w:szCs w:val="16"/>
        </w:rPr>
        <w:fldChar w:fldCharType="end"/>
      </w:r>
      <w:r w:rsidR="001F0818" w:rsidRPr="001F0818">
        <w:rPr>
          <w:rFonts w:ascii="Arial" w:hAnsi="Arial" w:cs="Arial"/>
          <w:b/>
          <w:i w:val="0"/>
          <w:color w:val="auto"/>
          <w:sz w:val="16"/>
          <w:szCs w:val="16"/>
        </w:rPr>
        <w:t>.</w:t>
      </w:r>
      <w:r w:rsidRPr="001F0818">
        <w:rPr>
          <w:rFonts w:ascii="Arial" w:hAnsi="Arial" w:cs="Arial"/>
          <w:b/>
          <w:i w:val="0"/>
          <w:color w:val="auto"/>
          <w:sz w:val="16"/>
          <w:szCs w:val="16"/>
        </w:rPr>
        <w:t xml:space="preserve"> </w:t>
      </w:r>
      <w:r w:rsidR="00C70724" w:rsidRPr="001F0818">
        <w:rPr>
          <w:rFonts w:ascii="Arial" w:hAnsi="Arial" w:cs="Arial"/>
          <w:b/>
          <w:i w:val="0"/>
          <w:color w:val="auto"/>
          <w:sz w:val="16"/>
          <w:szCs w:val="16"/>
        </w:rPr>
        <w:t>Documentos normativos desarrollados</w:t>
      </w:r>
      <w:bookmarkEnd w:id="144"/>
    </w:p>
    <w:tbl>
      <w:tblPr>
        <w:tblStyle w:val="Tabladecuadrcula4-nfasis1"/>
        <w:tblW w:w="0" w:type="auto"/>
        <w:jc w:val="center"/>
        <w:tblLayout w:type="fixed"/>
        <w:tblLook w:val="06A0" w:firstRow="1" w:lastRow="0" w:firstColumn="1" w:lastColumn="0" w:noHBand="1" w:noVBand="1"/>
      </w:tblPr>
      <w:tblGrid>
        <w:gridCol w:w="1365"/>
        <w:gridCol w:w="1425"/>
        <w:gridCol w:w="1440"/>
      </w:tblGrid>
      <w:tr w:rsidR="00C70724" w:rsidRPr="001F242B" w14:paraId="235334A3" w14:textId="77777777" w:rsidTr="00C7072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3CFDA238" w14:textId="77777777" w:rsidR="00C70724" w:rsidRPr="001F242B" w:rsidRDefault="00C70724" w:rsidP="00C72779">
            <w:pPr>
              <w:jc w:val="center"/>
              <w:rPr>
                <w:rFonts w:eastAsia="Arial" w:cs="Arial"/>
                <w:sz w:val="20"/>
                <w:szCs w:val="22"/>
                <w:lang w:val="es"/>
              </w:rPr>
            </w:pPr>
            <w:r w:rsidRPr="001F242B">
              <w:rPr>
                <w:rFonts w:eastAsia="Arial" w:cs="Arial"/>
                <w:sz w:val="20"/>
                <w:szCs w:val="22"/>
                <w:lang w:val="es"/>
              </w:rPr>
              <w:t>2019</w:t>
            </w:r>
          </w:p>
        </w:tc>
        <w:tc>
          <w:tcPr>
            <w:tcW w:w="1425" w:type="dxa"/>
            <w:vAlign w:val="center"/>
          </w:tcPr>
          <w:p w14:paraId="694516E8" w14:textId="77777777" w:rsidR="00C70724" w:rsidRPr="001F242B" w:rsidRDefault="00C70724" w:rsidP="00C72779">
            <w:pPr>
              <w:jc w:val="center"/>
              <w:cnfStyle w:val="100000000000" w:firstRow="1" w:lastRow="0" w:firstColumn="0" w:lastColumn="0" w:oddVBand="0" w:evenVBand="0" w:oddHBand="0" w:evenHBand="0" w:firstRowFirstColumn="0" w:firstRowLastColumn="0" w:lastRowFirstColumn="0" w:lastRowLastColumn="0"/>
              <w:rPr>
                <w:sz w:val="20"/>
                <w:szCs w:val="22"/>
              </w:rPr>
            </w:pPr>
            <w:r w:rsidRPr="001F242B">
              <w:rPr>
                <w:rFonts w:eastAsia="Arial" w:cs="Arial"/>
                <w:sz w:val="20"/>
                <w:szCs w:val="22"/>
                <w:lang w:val="es"/>
              </w:rPr>
              <w:t>2020</w:t>
            </w:r>
          </w:p>
        </w:tc>
        <w:tc>
          <w:tcPr>
            <w:tcW w:w="1440" w:type="dxa"/>
            <w:vAlign w:val="center"/>
          </w:tcPr>
          <w:p w14:paraId="1A8CB6F2" w14:textId="77777777" w:rsidR="00C70724" w:rsidRPr="001F242B" w:rsidRDefault="00C70724"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2"/>
                <w:lang w:val="es"/>
              </w:rPr>
            </w:pPr>
            <w:r w:rsidRPr="001F242B">
              <w:rPr>
                <w:rFonts w:eastAsia="Arial" w:cs="Arial"/>
                <w:sz w:val="20"/>
                <w:szCs w:val="22"/>
                <w:lang w:val="es"/>
              </w:rPr>
              <w:t>2021</w:t>
            </w:r>
          </w:p>
        </w:tc>
      </w:tr>
      <w:tr w:rsidR="00C70724" w:rsidRPr="001F242B" w14:paraId="718A0E70" w14:textId="77777777" w:rsidTr="00C70724">
        <w:trPr>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7329A8CB" w14:textId="77777777" w:rsidR="00C70724" w:rsidRPr="001F242B" w:rsidRDefault="00C70724" w:rsidP="00C72779">
            <w:pPr>
              <w:jc w:val="center"/>
              <w:rPr>
                <w:rFonts w:eastAsia="Arial" w:cs="Arial"/>
                <w:sz w:val="20"/>
                <w:szCs w:val="22"/>
                <w:lang w:val="es"/>
              </w:rPr>
            </w:pPr>
            <w:r w:rsidRPr="001F242B">
              <w:rPr>
                <w:rFonts w:eastAsia="Arial" w:cs="Arial"/>
                <w:sz w:val="20"/>
                <w:szCs w:val="22"/>
                <w:lang w:val="es"/>
              </w:rPr>
              <w:t>2</w:t>
            </w:r>
          </w:p>
        </w:tc>
        <w:tc>
          <w:tcPr>
            <w:tcW w:w="1425" w:type="dxa"/>
            <w:vAlign w:val="center"/>
          </w:tcPr>
          <w:p w14:paraId="203D6B1C" w14:textId="77777777" w:rsidR="00C70724" w:rsidRPr="001F242B" w:rsidRDefault="00C70724"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eastAsia="Arial" w:cs="Arial"/>
                <w:b/>
                <w:sz w:val="20"/>
                <w:szCs w:val="22"/>
                <w:lang w:val="es"/>
              </w:rPr>
              <w:t>2</w:t>
            </w:r>
          </w:p>
        </w:tc>
        <w:tc>
          <w:tcPr>
            <w:tcW w:w="1440" w:type="dxa"/>
            <w:vAlign w:val="center"/>
          </w:tcPr>
          <w:p w14:paraId="6F42D248" w14:textId="77777777" w:rsidR="00C70724" w:rsidRPr="001F242B" w:rsidRDefault="00C70724"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0"/>
                <w:szCs w:val="22"/>
                <w:lang w:val="es"/>
              </w:rPr>
            </w:pPr>
            <w:r w:rsidRPr="001F242B">
              <w:rPr>
                <w:rFonts w:eastAsia="Arial" w:cs="Arial"/>
                <w:b/>
                <w:sz w:val="20"/>
                <w:szCs w:val="22"/>
                <w:lang w:val="es"/>
              </w:rPr>
              <w:t>0</w:t>
            </w:r>
          </w:p>
        </w:tc>
      </w:tr>
    </w:tbl>
    <w:p w14:paraId="5858C94F" w14:textId="77777777" w:rsidR="00A54D5F" w:rsidRPr="00A93FC3" w:rsidRDefault="00A54D5F" w:rsidP="31FF9146">
      <w:pPr>
        <w:jc w:val="center"/>
        <w:rPr>
          <w:rFonts w:cs="Arial"/>
          <w:b/>
          <w:color w:val="C00000"/>
          <w:sz w:val="18"/>
          <w:szCs w:val="18"/>
        </w:rPr>
      </w:pPr>
      <w:r w:rsidRPr="00A93FC3">
        <w:rPr>
          <w:rFonts w:cs="Arial"/>
          <w:b/>
          <w:sz w:val="16"/>
          <w:szCs w:val="16"/>
        </w:rPr>
        <w:t>Fuente: Dirección de Investigación y Prospectiva</w:t>
      </w:r>
      <w:r w:rsidRPr="00A93FC3">
        <w:rPr>
          <w:rFonts w:cs="Arial"/>
          <w:b/>
          <w:color w:val="C00000"/>
          <w:sz w:val="16"/>
          <w:szCs w:val="16"/>
        </w:rPr>
        <w:t xml:space="preserve"> </w:t>
      </w:r>
    </w:p>
    <w:p w14:paraId="612FC7D2" w14:textId="77777777" w:rsidR="00A54D5F" w:rsidRPr="00C07EF6" w:rsidRDefault="00A54D5F" w:rsidP="00C72779">
      <w:pPr>
        <w:jc w:val="center"/>
        <w:rPr>
          <w:rFonts w:cs="Arial"/>
          <w:color w:val="C00000"/>
          <w:sz w:val="22"/>
          <w:szCs w:val="22"/>
        </w:rPr>
      </w:pPr>
    </w:p>
    <w:p w14:paraId="0111A141" w14:textId="77777777" w:rsidR="00A54D5F" w:rsidRPr="00C07EF6" w:rsidRDefault="00A54D5F" w:rsidP="00C72779">
      <w:pPr>
        <w:jc w:val="both"/>
        <w:rPr>
          <w:sz w:val="22"/>
          <w:szCs w:val="22"/>
        </w:rPr>
      </w:pPr>
      <w:r w:rsidRPr="31FF9146">
        <w:rPr>
          <w:rFonts w:eastAsia="Arial" w:cs="Arial"/>
          <w:sz w:val="22"/>
          <w:szCs w:val="22"/>
          <w:lang w:val="es"/>
        </w:rPr>
        <w:t>Adicionalmente se realizó el documento de formulación del proyecto Consolidación IDE-IGAC, este documento es un instrumento de base para la caracterización de los datos fundamentales a cargo del IGAC.</w:t>
      </w:r>
    </w:p>
    <w:p w14:paraId="1C63E58D" w14:textId="77777777" w:rsidR="00A54D5F" w:rsidRPr="00C07EF6" w:rsidRDefault="00A54D5F" w:rsidP="00C72779">
      <w:pPr>
        <w:jc w:val="both"/>
        <w:rPr>
          <w:sz w:val="22"/>
          <w:szCs w:val="22"/>
        </w:rPr>
      </w:pPr>
      <w:r w:rsidRPr="00C07EF6">
        <w:rPr>
          <w:rFonts w:eastAsia="Arial" w:cs="Arial"/>
          <w:sz w:val="22"/>
          <w:szCs w:val="22"/>
          <w:lang w:val="es"/>
        </w:rPr>
        <w:t xml:space="preserve"> </w:t>
      </w:r>
    </w:p>
    <w:p w14:paraId="3F6A08C6" w14:textId="77777777" w:rsidR="00A54D5F" w:rsidRPr="00C07EF6" w:rsidRDefault="00A54D5F" w:rsidP="00C72779">
      <w:pPr>
        <w:jc w:val="both"/>
        <w:rPr>
          <w:sz w:val="22"/>
          <w:szCs w:val="22"/>
        </w:rPr>
      </w:pPr>
      <w:r w:rsidRPr="00C07EF6">
        <w:rPr>
          <w:rFonts w:eastAsia="Arial" w:cs="Arial"/>
          <w:sz w:val="22"/>
          <w:szCs w:val="22"/>
          <w:lang w:val="es"/>
        </w:rPr>
        <w:t>En cuanto a los datos fundamentales del IGAC se actualizó el inventario de información geográfica del IGAC, incluidos datos no fundamentales. Para la disposición de datos fundamentales del IGAC se realizó un piloto de caracterización del dato, incluyendo metadato, informe de calidad y catálogo para la disposición a través del portal ICDE.</w:t>
      </w:r>
    </w:p>
    <w:p w14:paraId="61DF5BE6" w14:textId="77777777" w:rsidR="00A54D5F" w:rsidRPr="00C07EF6" w:rsidRDefault="00A54D5F" w:rsidP="00C72779">
      <w:pPr>
        <w:jc w:val="both"/>
        <w:rPr>
          <w:rFonts w:eastAsia="Arial" w:cs="Arial"/>
          <w:b/>
          <w:bCs/>
          <w:i/>
          <w:iCs/>
          <w:color w:val="000000" w:themeColor="text1"/>
          <w:sz w:val="22"/>
          <w:szCs w:val="22"/>
        </w:rPr>
      </w:pPr>
    </w:p>
    <w:p w14:paraId="50D55F1F" w14:textId="5C2964BF" w:rsidR="00A54D5F" w:rsidRPr="00C07EF6" w:rsidRDefault="00A54D5F" w:rsidP="00C72779">
      <w:pPr>
        <w:jc w:val="both"/>
        <w:rPr>
          <w:rFonts w:cs="Arial"/>
          <w:color w:val="000000" w:themeColor="text1"/>
          <w:sz w:val="22"/>
          <w:szCs w:val="22"/>
          <w:lang w:val="es"/>
        </w:rPr>
      </w:pPr>
      <w:r w:rsidRPr="00C07EF6">
        <w:rPr>
          <w:rFonts w:eastAsia="Arial" w:cs="Arial"/>
          <w:color w:val="000000" w:themeColor="text1"/>
          <w:sz w:val="22"/>
          <w:szCs w:val="22"/>
        </w:rPr>
        <w:t>Es importante indicar que a partir de la expedición de los decretos 846 y 847 de Julio de 2021, las funciones de la ICDE fueron trasladadas a la Dirección de Tecnologías de la Información y Comunicaciones, por lo tanto, se realizaron las sesiones de entrega y empalme de los avances y resultados para su continuidad desde la nueva dependencia.</w:t>
      </w:r>
    </w:p>
    <w:p w14:paraId="7F01E17E" w14:textId="77777777" w:rsidR="00A54D5F" w:rsidRDefault="00A54D5F" w:rsidP="00C72779">
      <w:pPr>
        <w:pStyle w:val="Lista"/>
      </w:pPr>
    </w:p>
    <w:p w14:paraId="0C6B8A06" w14:textId="77777777" w:rsidR="00A54D5F" w:rsidRPr="00AF1FCC" w:rsidRDefault="00A54D5F" w:rsidP="00AF1FCC">
      <w:pPr>
        <w:rPr>
          <w:rFonts w:eastAsia="Arial"/>
          <w:b/>
          <w:sz w:val="22"/>
        </w:rPr>
      </w:pPr>
      <w:bookmarkStart w:id="145" w:name="_Toc87622115"/>
      <w:bookmarkStart w:id="146" w:name="_Hlk87533780"/>
      <w:r w:rsidRPr="00AF1FCC">
        <w:rPr>
          <w:rFonts w:eastAsia="Arial"/>
          <w:b/>
          <w:sz w:val="22"/>
        </w:rPr>
        <w:t>OBSERVATORIO INMOBILIARIO</w:t>
      </w:r>
      <w:bookmarkEnd w:id="145"/>
      <w:r w:rsidRPr="00AF1FCC">
        <w:rPr>
          <w:rFonts w:eastAsia="Arial"/>
          <w:b/>
          <w:sz w:val="22"/>
        </w:rPr>
        <w:t xml:space="preserve"> </w:t>
      </w:r>
    </w:p>
    <w:p w14:paraId="149AC194" w14:textId="77777777" w:rsidR="00A54D5F" w:rsidRPr="00A00B68" w:rsidRDefault="00A54D5F" w:rsidP="00C72779">
      <w:pPr>
        <w:rPr>
          <w:rFonts w:eastAsia="Arial" w:cs="Arial"/>
          <w:b/>
          <w:bCs/>
          <w:color w:val="000000" w:themeColor="text1"/>
          <w:sz w:val="22"/>
          <w:szCs w:val="22"/>
          <w:highlight w:val="yellow"/>
        </w:rPr>
      </w:pPr>
    </w:p>
    <w:p w14:paraId="1001037D" w14:textId="77777777" w:rsidR="00A54D5F" w:rsidRPr="00A00B68" w:rsidRDefault="00A54D5F" w:rsidP="00C72779">
      <w:pPr>
        <w:jc w:val="both"/>
        <w:rPr>
          <w:color w:val="201F1E"/>
          <w:sz w:val="22"/>
          <w:szCs w:val="22"/>
        </w:rPr>
      </w:pPr>
      <w:r w:rsidRPr="00A00B68">
        <w:rPr>
          <w:sz w:val="22"/>
          <w:szCs w:val="22"/>
          <w:bdr w:val="none" w:sz="0" w:space="0" w:color="auto" w:frame="1"/>
        </w:rPr>
        <w:t>A partir de la expedición del Decreto 846 del 29 de Julio de 2021 por el cual se modifica la estructura del Instituto Geográfico Agustín Codazzi, se establecen las funciones del Observatorio Inmobiliario Catastral como parte de la Dirección de investigación y prospectiva; motivo por el cual se realizaron las sesiones de entrega y empalme por parte de la antigua Subdirección de Catastro, sobre los avances y resultados de la gestión adelantada en el proceso de creación y estructuración del Observatorio Inmobiliario Catastral.</w:t>
      </w:r>
    </w:p>
    <w:p w14:paraId="11EF9925" w14:textId="77777777" w:rsidR="00A54D5F" w:rsidRPr="00A00B68" w:rsidRDefault="00A54D5F" w:rsidP="00C72779">
      <w:pPr>
        <w:jc w:val="both"/>
        <w:rPr>
          <w:color w:val="201F1E"/>
          <w:sz w:val="22"/>
          <w:szCs w:val="22"/>
        </w:rPr>
      </w:pPr>
      <w:r w:rsidRPr="00A00B68">
        <w:rPr>
          <w:sz w:val="22"/>
          <w:szCs w:val="22"/>
          <w:bdr w:val="none" w:sz="0" w:space="0" w:color="auto" w:frame="1"/>
        </w:rPr>
        <w:t> </w:t>
      </w:r>
    </w:p>
    <w:p w14:paraId="2FD2E5E7" w14:textId="77777777" w:rsidR="00A54D5F" w:rsidRPr="00A00B68" w:rsidRDefault="00A54D5F" w:rsidP="00C72779">
      <w:pPr>
        <w:jc w:val="both"/>
        <w:rPr>
          <w:sz w:val="22"/>
          <w:szCs w:val="22"/>
          <w:bdr w:val="none" w:sz="0" w:space="0" w:color="auto" w:frame="1"/>
        </w:rPr>
      </w:pPr>
      <w:r w:rsidRPr="00A00B68">
        <w:rPr>
          <w:sz w:val="22"/>
          <w:szCs w:val="22"/>
          <w:bdr w:val="none" w:sz="0" w:space="0" w:color="auto" w:frame="1"/>
        </w:rPr>
        <w:t>Con la expedición del Decreto 148 de 2020, los gestores catastrales deben construir e implementar el Observatorio Inmobiliario Catastral, donde se recopile la información del mercado inmobiliario del área geográfica a su cargo. En virtud de dicha disposición, el IGAC desde abril del año 2020, inició la conformación de dicho observatorio con el envío de requerimientos de información tanto a entidades públicas como privadas, entre ellas entidades financieras, empresas de servicios inmobiliarios, lonjas, cámaras de comercio, empresas de servicios públicos etc., con el propósito de recaudar información útil en el desarrollo de sus procesos misionales, tales como avalúos comerciales, ofertas inmobiliarias de compra-venta y arriendo, licencias de construcción, estado de obras de edificación,  transacciones registrales, acometidas de servicios públicos, entre otros, a fin de contar con insumos que permitan la identificación de cambios en los territorios, la planeación del trabajo de campo, los métodos de intervención y los valores de mercado como referencia para la valoración predial.</w:t>
      </w:r>
    </w:p>
    <w:p w14:paraId="48CA9101" w14:textId="77777777" w:rsidR="00A54D5F" w:rsidRPr="00A00B68" w:rsidRDefault="00A54D5F" w:rsidP="00C72779">
      <w:pPr>
        <w:rPr>
          <w:color w:val="201F1E"/>
          <w:sz w:val="22"/>
          <w:szCs w:val="22"/>
        </w:rPr>
      </w:pPr>
    </w:p>
    <w:p w14:paraId="1E29B526" w14:textId="77777777" w:rsidR="00A54D5F" w:rsidRPr="00A00B68" w:rsidRDefault="00A54D5F" w:rsidP="00C72779">
      <w:pPr>
        <w:jc w:val="both"/>
        <w:rPr>
          <w:sz w:val="22"/>
          <w:szCs w:val="22"/>
          <w:bdr w:val="none" w:sz="0" w:space="0" w:color="auto" w:frame="1"/>
        </w:rPr>
      </w:pPr>
      <w:r w:rsidRPr="00A00B68">
        <w:rPr>
          <w:sz w:val="22"/>
          <w:szCs w:val="22"/>
          <w:bdr w:val="none" w:sz="0" w:space="0" w:color="auto" w:frame="1"/>
        </w:rPr>
        <w:t>Como parte de la ejecución de las actividades y gestiones adelantadas:</w:t>
      </w:r>
    </w:p>
    <w:p w14:paraId="411727DB" w14:textId="77777777" w:rsidR="00A54D5F" w:rsidRPr="00A00B68" w:rsidRDefault="00A54D5F" w:rsidP="00C72779">
      <w:pPr>
        <w:jc w:val="both"/>
        <w:rPr>
          <w:rFonts w:eastAsia="Arial" w:cs="Arial"/>
          <w:color w:val="000000" w:themeColor="text1"/>
          <w:sz w:val="22"/>
          <w:szCs w:val="22"/>
          <w:highlight w:val="yellow"/>
        </w:rPr>
      </w:pPr>
    </w:p>
    <w:p w14:paraId="0BC3731D" w14:textId="29129480" w:rsidR="00A54D5F" w:rsidRPr="003F0029" w:rsidRDefault="00A54D5F" w:rsidP="000A20EE">
      <w:pPr>
        <w:pStyle w:val="Prrafodelista"/>
        <w:numPr>
          <w:ilvl w:val="0"/>
          <w:numId w:val="110"/>
        </w:numPr>
        <w:rPr>
          <w:color w:val="201F1E"/>
          <w:sz w:val="22"/>
          <w:szCs w:val="22"/>
        </w:rPr>
      </w:pPr>
      <w:r w:rsidRPr="003F0029">
        <w:rPr>
          <w:sz w:val="22"/>
          <w:szCs w:val="22"/>
          <w:bdr w:val="none" w:sz="0" w:space="0" w:color="auto" w:frame="1"/>
        </w:rPr>
        <w:t>Durante la vigencia 2020, fueron remitidos 160 requerimientos de solicitud de información a las diferentes entidades y, para un mejor entendimiento de la información a reportar y de la estructura del reporte, se llevaron a cabo mesas de trabajo solicitadas con dichas entidades; es así, que se cierra la vigencia 2020 con aproximadamente 160.000 registros prediales con información de carácter físico y económico rela</w:t>
      </w:r>
      <w:r w:rsidR="003F0029">
        <w:rPr>
          <w:sz w:val="22"/>
          <w:szCs w:val="22"/>
          <w:bdr w:val="none" w:sz="0" w:space="0" w:color="auto" w:frame="1"/>
        </w:rPr>
        <w:t>tiva a la dinámica inmobiliaria</w:t>
      </w:r>
    </w:p>
    <w:p w14:paraId="4CD3323A" w14:textId="0DF2196B" w:rsidR="00A54D5F" w:rsidRPr="003F0029" w:rsidRDefault="00A54D5F" w:rsidP="000A20EE">
      <w:pPr>
        <w:pStyle w:val="Prrafodelista"/>
        <w:numPr>
          <w:ilvl w:val="0"/>
          <w:numId w:val="110"/>
        </w:numPr>
        <w:rPr>
          <w:sz w:val="22"/>
          <w:szCs w:val="22"/>
          <w:bdr w:val="none" w:sz="0" w:space="0" w:color="auto" w:frame="1"/>
        </w:rPr>
      </w:pPr>
      <w:r w:rsidRPr="003F0029">
        <w:rPr>
          <w:sz w:val="22"/>
          <w:szCs w:val="22"/>
          <w:bdr w:val="none" w:sz="0" w:space="0" w:color="auto" w:frame="1"/>
        </w:rPr>
        <w:t>La información recopilada, sirvió de insumo para identificar cambios en los municipios en los cuales se adelantaron los procesos de formación y actualización catastral en el 2020, para determinar los valores catastrales de los predios, en el marco de dichos procesos y para establecer el método y planeación de la intervención en campo.</w:t>
      </w:r>
    </w:p>
    <w:p w14:paraId="6CA3B874" w14:textId="5F6B7434" w:rsidR="00382FEE" w:rsidRPr="001F242B" w:rsidRDefault="00A54D5F" w:rsidP="000A20EE">
      <w:pPr>
        <w:pStyle w:val="Prrafodelista"/>
        <w:numPr>
          <w:ilvl w:val="0"/>
          <w:numId w:val="110"/>
        </w:numPr>
        <w:rPr>
          <w:sz w:val="22"/>
          <w:szCs w:val="22"/>
          <w:bdr w:val="none" w:sz="0" w:space="0" w:color="auto" w:frame="1"/>
        </w:rPr>
      </w:pPr>
      <w:r w:rsidRPr="003F0029">
        <w:rPr>
          <w:sz w:val="22"/>
          <w:szCs w:val="22"/>
          <w:bdr w:val="none" w:sz="0" w:space="0" w:color="auto" w:frame="1"/>
        </w:rPr>
        <w:t>De otra parte y paralelamente, se adelantó la estructuración y diseño conceptual del Observatorio Inmobiliario Catastral, con la definición inicial de fuentes y tipo de información, así como la identificación de estructuras y atributos de la información. Adicionalmente, en conjunto con el CIAF, se adelantó el desarrollo de la primera fase de un aplicativo específico para el cargue y validación de información masiva, según fuente y tipo de información y se proyectó un borrador de resolución mediante la cual el IGAC en calidad de gestor catastral define lineamientos generales para el suministro de la información para la gestión catastral.</w:t>
      </w:r>
    </w:p>
    <w:p w14:paraId="6A8053B7" w14:textId="77777777" w:rsidR="00382FEE" w:rsidRDefault="00382FEE" w:rsidP="00C72779">
      <w:pPr>
        <w:pStyle w:val="xmsonormal"/>
        <w:shd w:val="clear" w:color="auto" w:fill="FFFFFF" w:themeFill="background1"/>
        <w:spacing w:before="0" w:beforeAutospacing="0" w:after="0" w:afterAutospacing="0"/>
        <w:jc w:val="both"/>
        <w:rPr>
          <w:rFonts w:cs="Arial"/>
          <w:color w:val="000000"/>
          <w:sz w:val="22"/>
          <w:szCs w:val="22"/>
          <w:bdr w:val="none" w:sz="0" w:space="0" w:color="auto" w:frame="1"/>
        </w:rPr>
      </w:pPr>
    </w:p>
    <w:p w14:paraId="29EFB8B3" w14:textId="77777777" w:rsidR="00A54D5F" w:rsidRPr="00A00B68" w:rsidRDefault="00A54D5F" w:rsidP="00C72779">
      <w:pPr>
        <w:pStyle w:val="xmsonormal"/>
        <w:shd w:val="clear" w:color="auto" w:fill="FFFFFF" w:themeFill="background1"/>
        <w:spacing w:before="0" w:beforeAutospacing="0" w:after="0" w:afterAutospacing="0"/>
        <w:jc w:val="both"/>
        <w:rPr>
          <w:rFonts w:cs="Arial"/>
          <w:color w:val="000000"/>
          <w:sz w:val="22"/>
          <w:szCs w:val="22"/>
          <w:bdr w:val="none" w:sz="0" w:space="0" w:color="auto" w:frame="1"/>
        </w:rPr>
      </w:pPr>
      <w:r w:rsidRPr="00A00B68">
        <w:rPr>
          <w:rFonts w:cs="Arial"/>
          <w:color w:val="000000"/>
          <w:sz w:val="22"/>
          <w:szCs w:val="22"/>
          <w:bdr w:val="none" w:sz="0" w:space="0" w:color="auto" w:frame="1"/>
        </w:rPr>
        <w:t xml:space="preserve">Durante la vigencia 2021 se han realizado los siguientes avances: </w:t>
      </w:r>
    </w:p>
    <w:p w14:paraId="6C8D7175" w14:textId="77777777" w:rsidR="00A54D5F" w:rsidRPr="00A00B68" w:rsidRDefault="00A54D5F" w:rsidP="00C72779">
      <w:pPr>
        <w:pStyle w:val="xmsonormal"/>
        <w:shd w:val="clear" w:color="auto" w:fill="FFFFFF"/>
        <w:spacing w:before="0" w:beforeAutospacing="0" w:after="0" w:afterAutospacing="0"/>
        <w:jc w:val="both"/>
        <w:rPr>
          <w:rFonts w:cs="Arial"/>
          <w:color w:val="000000"/>
          <w:sz w:val="22"/>
          <w:szCs w:val="22"/>
          <w:bdr w:val="none" w:sz="0" w:space="0" w:color="auto" w:frame="1"/>
        </w:rPr>
      </w:pPr>
    </w:p>
    <w:p w14:paraId="09468BD2" w14:textId="77777777" w:rsidR="00A54D5F" w:rsidRPr="00A00B68" w:rsidRDefault="00A54D5F" w:rsidP="00C72779">
      <w:pPr>
        <w:pStyle w:val="xmsonormal"/>
        <w:shd w:val="clear" w:color="auto" w:fill="FFFFFF"/>
        <w:spacing w:before="0" w:beforeAutospacing="0" w:after="0" w:afterAutospacing="0"/>
        <w:jc w:val="both"/>
        <w:rPr>
          <w:rFonts w:cs="Arial"/>
          <w:b/>
          <w:iCs/>
          <w:color w:val="000000"/>
          <w:sz w:val="22"/>
          <w:szCs w:val="22"/>
          <w:bdr w:val="none" w:sz="0" w:space="0" w:color="auto" w:frame="1"/>
        </w:rPr>
      </w:pPr>
      <w:r w:rsidRPr="00A00B68">
        <w:rPr>
          <w:rFonts w:cs="Arial"/>
          <w:b/>
          <w:iCs/>
          <w:color w:val="000000"/>
          <w:sz w:val="22"/>
          <w:szCs w:val="22"/>
          <w:bdr w:val="none" w:sz="0" w:space="0" w:color="auto" w:frame="1"/>
        </w:rPr>
        <w:t xml:space="preserve">Diseño conceptual del Observatorio Inmobiliario Catastral (OIC). </w:t>
      </w:r>
    </w:p>
    <w:p w14:paraId="726EA392" w14:textId="77777777" w:rsidR="00A54D5F" w:rsidRPr="00A00B68" w:rsidRDefault="00A54D5F" w:rsidP="00C72779">
      <w:pPr>
        <w:pStyle w:val="xmsonormal"/>
        <w:shd w:val="clear" w:color="auto" w:fill="FFFFFF"/>
        <w:spacing w:before="0" w:beforeAutospacing="0" w:after="0" w:afterAutospacing="0"/>
        <w:jc w:val="both"/>
        <w:rPr>
          <w:rFonts w:cs="Arial"/>
          <w:color w:val="000000"/>
          <w:sz w:val="22"/>
          <w:szCs w:val="22"/>
          <w:bdr w:val="none" w:sz="0" w:space="0" w:color="auto" w:frame="1"/>
        </w:rPr>
      </w:pPr>
    </w:p>
    <w:p w14:paraId="1985FF4B" w14:textId="77777777" w:rsidR="00A54D5F" w:rsidRPr="00A00B68" w:rsidRDefault="00A54D5F" w:rsidP="00C72779">
      <w:pPr>
        <w:pStyle w:val="xmsonormal"/>
        <w:shd w:val="clear" w:color="auto" w:fill="FFFFFF"/>
        <w:spacing w:before="0" w:beforeAutospacing="0" w:after="0" w:afterAutospacing="0"/>
        <w:jc w:val="both"/>
        <w:rPr>
          <w:rFonts w:cs="Arial"/>
          <w:color w:val="000000"/>
          <w:sz w:val="22"/>
          <w:szCs w:val="22"/>
          <w:bdr w:val="none" w:sz="0" w:space="0" w:color="auto" w:frame="1"/>
        </w:rPr>
      </w:pPr>
      <w:r w:rsidRPr="00A00B68">
        <w:rPr>
          <w:rFonts w:cs="Arial"/>
          <w:color w:val="000000"/>
          <w:sz w:val="22"/>
          <w:szCs w:val="22"/>
          <w:bdr w:val="none" w:sz="0" w:space="0" w:color="auto" w:frame="1"/>
        </w:rPr>
        <w:t>Se elaboró documento de soporte donde se abordan los siguientes temas:</w:t>
      </w:r>
    </w:p>
    <w:p w14:paraId="449F9F69" w14:textId="77777777" w:rsidR="00A54D5F" w:rsidRPr="00A00B68" w:rsidRDefault="00A54D5F" w:rsidP="00C72779">
      <w:pPr>
        <w:pStyle w:val="xmsonormal"/>
        <w:shd w:val="clear" w:color="auto" w:fill="FFFFFF"/>
        <w:spacing w:before="0" w:beforeAutospacing="0" w:after="0" w:afterAutospacing="0"/>
        <w:ind w:firstLine="60"/>
        <w:jc w:val="both"/>
        <w:rPr>
          <w:rFonts w:cs="Arial"/>
          <w:color w:val="000000"/>
          <w:sz w:val="22"/>
          <w:szCs w:val="22"/>
          <w:bdr w:val="none" w:sz="0" w:space="0" w:color="auto" w:frame="1"/>
        </w:rPr>
      </w:pPr>
    </w:p>
    <w:p w14:paraId="3AB35DB4" w14:textId="77777777" w:rsidR="00A54D5F" w:rsidRPr="00A00B68" w:rsidRDefault="00A54D5F" w:rsidP="000A20EE">
      <w:pPr>
        <w:pStyle w:val="xmsolistparagraph"/>
        <w:numPr>
          <w:ilvl w:val="0"/>
          <w:numId w:val="93"/>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Identificación y rol de equipos de apoyo al interior del IGAC</w:t>
      </w:r>
    </w:p>
    <w:p w14:paraId="0E1EA513" w14:textId="77777777" w:rsidR="00A54D5F" w:rsidRPr="00A00B68" w:rsidRDefault="00A54D5F" w:rsidP="000A20EE">
      <w:pPr>
        <w:pStyle w:val="xmsolistparagraph"/>
        <w:numPr>
          <w:ilvl w:val="0"/>
          <w:numId w:val="93"/>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Elaboración del modelo de gobierno de datos: Áreas IGAC (por fuera al OIC), Gestores Catastrales, Fuentes secundarias, Ciudadanos.</w:t>
      </w:r>
    </w:p>
    <w:p w14:paraId="48AF85D8" w14:textId="77777777" w:rsidR="00A54D5F" w:rsidRPr="00A00B68" w:rsidRDefault="00A54D5F" w:rsidP="000A20EE">
      <w:pPr>
        <w:pStyle w:val="xmsolistparagraph"/>
        <w:numPr>
          <w:ilvl w:val="0"/>
          <w:numId w:val="93"/>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Elaboración de Temáticas de Información OIC</w:t>
      </w:r>
    </w:p>
    <w:p w14:paraId="10AE954D" w14:textId="77777777" w:rsidR="00A54D5F" w:rsidRPr="00A00B68" w:rsidRDefault="00A54D5F" w:rsidP="000A20EE">
      <w:pPr>
        <w:pStyle w:val="xmsolistparagraph"/>
        <w:numPr>
          <w:ilvl w:val="0"/>
          <w:numId w:val="93"/>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Visor preliminar del sistema de información</w:t>
      </w:r>
    </w:p>
    <w:p w14:paraId="3EEAD82F" w14:textId="77777777" w:rsidR="00B16E42" w:rsidRPr="00B16E42" w:rsidRDefault="00A54D5F" w:rsidP="00B16E42">
      <w:pPr>
        <w:pStyle w:val="xmsolistparagraph"/>
        <w:numPr>
          <w:ilvl w:val="0"/>
          <w:numId w:val="93"/>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Esquema de modelo de gestión de la información</w:t>
      </w:r>
    </w:p>
    <w:p w14:paraId="52688DD9" w14:textId="77777777" w:rsidR="00B16E42" w:rsidRDefault="00B16E42" w:rsidP="00B16E42">
      <w:pPr>
        <w:pStyle w:val="xmsolistparagraph"/>
        <w:shd w:val="clear" w:color="auto" w:fill="FFFFFF"/>
        <w:spacing w:before="0" w:beforeAutospacing="0" w:after="0" w:afterAutospacing="0"/>
        <w:jc w:val="both"/>
        <w:rPr>
          <w:rFonts w:cs="Arial"/>
          <w:color w:val="000000"/>
          <w:sz w:val="22"/>
          <w:szCs w:val="22"/>
          <w:bdr w:val="none" w:sz="0" w:space="0" w:color="auto" w:frame="1"/>
          <w:lang w:val="es-ES"/>
        </w:rPr>
      </w:pPr>
    </w:p>
    <w:p w14:paraId="3AF67341" w14:textId="336D2BBB" w:rsidR="00B16E42" w:rsidRPr="00A00B68" w:rsidRDefault="00B16E42" w:rsidP="00B16E42">
      <w:pPr>
        <w:pStyle w:val="xmsolistparagraph"/>
        <w:shd w:val="clear" w:color="auto" w:fill="FFFFFF"/>
        <w:spacing w:before="0" w:beforeAutospacing="0" w:after="0" w:afterAutospacing="0"/>
        <w:jc w:val="both"/>
        <w:rPr>
          <w:rFonts w:cs="Arial"/>
          <w:color w:val="000000"/>
          <w:sz w:val="22"/>
          <w:szCs w:val="22"/>
        </w:rPr>
      </w:pPr>
      <w:r w:rsidRPr="00B16E42">
        <w:rPr>
          <w:rFonts w:cs="Arial"/>
          <w:color w:val="000000"/>
          <w:sz w:val="22"/>
          <w:szCs w:val="22"/>
          <w:bdr w:val="none" w:sz="0" w:space="0" w:color="auto" w:frame="1"/>
        </w:rPr>
        <w:t xml:space="preserve">Ver detalle en </w:t>
      </w:r>
      <w:r w:rsidRPr="00B16E42">
        <w:rPr>
          <w:rFonts w:cs="Arial"/>
          <w:b/>
          <w:bCs/>
          <w:color w:val="000000"/>
          <w:sz w:val="22"/>
          <w:szCs w:val="22"/>
          <w:bdr w:val="none" w:sz="0" w:space="0" w:color="auto" w:frame="1"/>
        </w:rPr>
        <w:t>Anexo 2. Observatorio Inmobiliario</w:t>
      </w:r>
    </w:p>
    <w:p w14:paraId="3330DD69" w14:textId="77777777" w:rsidR="00A54D5F" w:rsidRPr="00A00B68" w:rsidRDefault="00A54D5F" w:rsidP="00C72779">
      <w:pPr>
        <w:pStyle w:val="xmsonormal"/>
        <w:shd w:val="clear" w:color="auto" w:fill="FFFFFF"/>
        <w:spacing w:before="0" w:beforeAutospacing="0" w:after="0" w:afterAutospacing="0"/>
        <w:jc w:val="both"/>
        <w:rPr>
          <w:rFonts w:cs="Arial"/>
          <w:color w:val="201F1E"/>
          <w:sz w:val="22"/>
          <w:szCs w:val="22"/>
        </w:rPr>
      </w:pPr>
      <w:r w:rsidRPr="00A00B68">
        <w:rPr>
          <w:rFonts w:cs="Arial"/>
          <w:color w:val="000000"/>
          <w:sz w:val="22"/>
          <w:szCs w:val="22"/>
          <w:bdr w:val="none" w:sz="0" w:space="0" w:color="auto" w:frame="1"/>
          <w:lang w:val="es-ES"/>
        </w:rPr>
        <w:t> </w:t>
      </w:r>
    </w:p>
    <w:p w14:paraId="74AAC295" w14:textId="77777777" w:rsidR="00A54D5F" w:rsidRPr="00A00B68" w:rsidRDefault="00A54D5F" w:rsidP="00C72779">
      <w:pPr>
        <w:pStyle w:val="xmsonormal"/>
        <w:shd w:val="clear" w:color="auto" w:fill="FFFFFF"/>
        <w:spacing w:before="0" w:beforeAutospacing="0" w:after="0" w:afterAutospacing="0"/>
        <w:jc w:val="both"/>
        <w:rPr>
          <w:rFonts w:cs="Arial"/>
          <w:color w:val="201F1E"/>
          <w:sz w:val="22"/>
          <w:szCs w:val="22"/>
        </w:rPr>
      </w:pPr>
      <w:r w:rsidRPr="00A00B68">
        <w:rPr>
          <w:rFonts w:cs="Arial"/>
          <w:b/>
          <w:iCs/>
          <w:color w:val="000000"/>
          <w:sz w:val="22"/>
          <w:szCs w:val="22"/>
          <w:bdr w:val="none" w:sz="0" w:space="0" w:color="auto" w:frame="1"/>
        </w:rPr>
        <w:t>Implementación del Observatorio a través de herramientas tecnológicas</w:t>
      </w:r>
      <w:r w:rsidRPr="00A00B68">
        <w:rPr>
          <w:rFonts w:cs="Arial"/>
          <w:i/>
          <w:iCs/>
          <w:color w:val="000000"/>
          <w:sz w:val="22"/>
          <w:szCs w:val="22"/>
          <w:bdr w:val="none" w:sz="0" w:space="0" w:color="auto" w:frame="1"/>
        </w:rPr>
        <w:t>:</w:t>
      </w:r>
    </w:p>
    <w:p w14:paraId="55F7CC3B" w14:textId="77777777" w:rsidR="00A54D5F" w:rsidRPr="00A00B68" w:rsidRDefault="00A54D5F" w:rsidP="00C72779">
      <w:pPr>
        <w:pStyle w:val="xmsonormal"/>
        <w:shd w:val="clear" w:color="auto" w:fill="FFFFFF"/>
        <w:spacing w:before="0" w:beforeAutospacing="0" w:after="0" w:afterAutospacing="0"/>
        <w:jc w:val="both"/>
        <w:rPr>
          <w:rFonts w:cs="Arial"/>
          <w:color w:val="201F1E"/>
          <w:sz w:val="22"/>
          <w:szCs w:val="22"/>
        </w:rPr>
      </w:pPr>
      <w:r w:rsidRPr="00A00B68">
        <w:rPr>
          <w:rFonts w:cs="Arial"/>
          <w:color w:val="201F1E"/>
          <w:sz w:val="22"/>
          <w:szCs w:val="22"/>
          <w:bdr w:val="none" w:sz="0" w:space="0" w:color="auto" w:frame="1"/>
        </w:rPr>
        <w:t> </w:t>
      </w:r>
    </w:p>
    <w:p w14:paraId="1E62E840" w14:textId="77777777" w:rsidR="00A54D5F" w:rsidRPr="00A00B68" w:rsidRDefault="00A54D5F" w:rsidP="000A20EE">
      <w:pPr>
        <w:pStyle w:val="xmsolistparagraph"/>
        <w:numPr>
          <w:ilvl w:val="0"/>
          <w:numId w:val="94"/>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Respecto a la estructuración del sistema completo del OIC, se inició el proceso metodológico y fase de entendimiento. Se acordó en conjunto con la Dirección de Tecnologías y Comunicaciones la elaboración conjunta de un cronograma y plan de trabajo.</w:t>
      </w:r>
    </w:p>
    <w:p w14:paraId="5374998B" w14:textId="77777777" w:rsidR="00A54D5F" w:rsidRPr="00A00B68" w:rsidRDefault="00A54D5F" w:rsidP="000A20EE">
      <w:pPr>
        <w:pStyle w:val="xmsolistparagraph"/>
        <w:numPr>
          <w:ilvl w:val="0"/>
          <w:numId w:val="94"/>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Respecto a la fase 1 de la implementación del Observatorio a través de herramientas tecnológicas, se inició la estructuración de un proyecto de analítica de datos con la elaboración de una propuesta de iniciativa con el fin de desarrollar un modelo para la "Determinación de los niveles de probabilidad de cambios físicos en el territorio" que fue presentada y entregada a la Dirección TIC. Se encuentra en proceso de elaboración documentación de soporte que define las variables a utilizar de cada fuente de información y las decisiones de cruce como base del proceso analítico.</w:t>
      </w:r>
    </w:p>
    <w:p w14:paraId="3B334F79" w14:textId="77777777" w:rsidR="00A54D5F" w:rsidRPr="00A00B68" w:rsidRDefault="00A54D5F" w:rsidP="000A20EE">
      <w:pPr>
        <w:pStyle w:val="xmsolistparagraph"/>
        <w:numPr>
          <w:ilvl w:val="0"/>
          <w:numId w:val="94"/>
        </w:numPr>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lastRenderedPageBreak/>
        <w:t xml:space="preserve">Respecto a la visualización de información del OIC, se avanzó en la previsualización de indicadores inmobiliarios en la plataforma ICDE para los municipios de Villavicencio y Popayán, a partir de información recopilada y generada por entidades externas al IGAC asociada a temáticas de interés del OIC. Se desarrollaron procesamientos geográficos que permitieron la interrelación de dicha información con los terrenos contenidos en la base catastral urbana de los municipios. Por otra parte, se encuentra en proceso de revisión y ajuste, diseño de maqueta sobre salida gráfica o plantilla para compartir información resultante del proceso de actualización a nivel municipal. </w:t>
      </w:r>
    </w:p>
    <w:p w14:paraId="3A7CB6F7" w14:textId="77777777" w:rsidR="00A54D5F" w:rsidRPr="00A00B68" w:rsidRDefault="00A54D5F" w:rsidP="00C72779">
      <w:pPr>
        <w:pStyle w:val="xmsolistparagraph"/>
        <w:shd w:val="clear" w:color="auto" w:fill="FFFFFF"/>
        <w:spacing w:before="0" w:beforeAutospacing="0" w:after="0" w:afterAutospacing="0"/>
        <w:ind w:left="720"/>
        <w:jc w:val="both"/>
        <w:rPr>
          <w:rFonts w:cs="Arial"/>
          <w:color w:val="000000"/>
          <w:sz w:val="22"/>
          <w:szCs w:val="22"/>
        </w:rPr>
      </w:pPr>
    </w:p>
    <w:p w14:paraId="5D83EBAF" w14:textId="77777777" w:rsidR="00A54D5F" w:rsidRPr="00A00B68" w:rsidRDefault="00A54D5F" w:rsidP="00C72779">
      <w:pPr>
        <w:pStyle w:val="xmsonormal"/>
        <w:shd w:val="clear" w:color="auto" w:fill="FFFFFF" w:themeFill="background1"/>
        <w:spacing w:before="0" w:beforeAutospacing="0" w:after="0" w:afterAutospacing="0"/>
        <w:jc w:val="both"/>
        <w:rPr>
          <w:rFonts w:cs="Arial"/>
          <w:b/>
          <w:bCs/>
          <w:color w:val="000000"/>
          <w:sz w:val="22"/>
          <w:szCs w:val="22"/>
          <w:bdr w:val="none" w:sz="0" w:space="0" w:color="auto" w:frame="1"/>
        </w:rPr>
      </w:pPr>
      <w:r w:rsidRPr="00A00B68">
        <w:rPr>
          <w:rFonts w:cs="Arial"/>
          <w:b/>
          <w:bCs/>
          <w:color w:val="000000"/>
          <w:sz w:val="22"/>
          <w:szCs w:val="22"/>
          <w:bdr w:val="none" w:sz="0" w:space="0" w:color="auto" w:frame="1"/>
        </w:rPr>
        <w:t>Gestión, consecución y análisis de información:</w:t>
      </w:r>
    </w:p>
    <w:p w14:paraId="28F57D21" w14:textId="77777777" w:rsidR="00A54D5F" w:rsidRPr="00A00B68" w:rsidRDefault="00A54D5F" w:rsidP="00C72779">
      <w:pPr>
        <w:pStyle w:val="xmsonormal"/>
        <w:shd w:val="clear" w:color="auto" w:fill="FFFFFF"/>
        <w:spacing w:before="0" w:beforeAutospacing="0" w:after="0" w:afterAutospacing="0"/>
        <w:jc w:val="both"/>
        <w:rPr>
          <w:rFonts w:cs="Arial"/>
          <w:i/>
          <w:iCs/>
          <w:color w:val="000000"/>
          <w:sz w:val="22"/>
          <w:szCs w:val="22"/>
          <w:bdr w:val="none" w:sz="0" w:space="0" w:color="auto" w:frame="1"/>
        </w:rPr>
      </w:pPr>
      <w:r w:rsidRPr="00A00B68">
        <w:rPr>
          <w:rFonts w:cs="Arial"/>
          <w:i/>
          <w:iCs/>
          <w:color w:val="000000"/>
          <w:sz w:val="22"/>
          <w:szCs w:val="22"/>
          <w:bdr w:val="none" w:sz="0" w:space="0" w:color="auto" w:frame="1"/>
        </w:rPr>
        <w:t> </w:t>
      </w:r>
    </w:p>
    <w:p w14:paraId="6CCE2BAF" w14:textId="77777777" w:rsidR="00A54D5F" w:rsidRPr="00A00B68" w:rsidRDefault="00A54D5F" w:rsidP="00C72779">
      <w:pPr>
        <w:pStyle w:val="xmsolistparagraph"/>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Se realizaron diferentes procesos de gestión, depuración y normalización de información de fuentes prioritarias como insumo para el equipo de actualización catastral, en sus componentes físico y económico, sobre los municipios en los cuales se adelantaron o se vienen realizando los procesos de formación y actualización catastral en el 2021. Entre la información requerida, depurada, normalizada y en los casos correspondientes, cruzada con bases catastrales del IGAC y POT, se encuentra la siguiente: </w:t>
      </w:r>
    </w:p>
    <w:p w14:paraId="3C6ECA77" w14:textId="77777777" w:rsidR="00A54D5F" w:rsidRPr="00A00B68" w:rsidRDefault="00A54D5F" w:rsidP="00C72779">
      <w:pPr>
        <w:pStyle w:val="xmsolistparagraph"/>
        <w:shd w:val="clear" w:color="auto" w:fill="FFFFFF"/>
        <w:spacing w:before="0" w:beforeAutospacing="0" w:after="0" w:afterAutospacing="0"/>
        <w:ind w:left="720"/>
        <w:jc w:val="both"/>
        <w:rPr>
          <w:rFonts w:cs="Arial"/>
          <w:color w:val="000000"/>
          <w:sz w:val="22"/>
          <w:szCs w:val="22"/>
          <w:bdr w:val="none" w:sz="0" w:space="0" w:color="auto" w:frame="1"/>
          <w:lang w:val="es-ES"/>
        </w:rPr>
      </w:pPr>
    </w:p>
    <w:p w14:paraId="015A14AC"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Ofertas inmobiliarias de CAMACOL - Coordenada Urbana, PROPERATI, FINCARAÍZ y METROCUADRADO.</w:t>
      </w:r>
    </w:p>
    <w:p w14:paraId="77D7AB00"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Licencias de Construcción reportadas por del DANE </w:t>
      </w:r>
    </w:p>
    <w:p w14:paraId="27C818C3"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Censo de Actividad Edificadora realizado por el DANE</w:t>
      </w:r>
    </w:p>
    <w:p w14:paraId="426AB64C"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Avalúos comerciales de entidades financieras (Davivienda, Caja Social, Banco Agrario, FNA, entre otras).</w:t>
      </w:r>
    </w:p>
    <w:p w14:paraId="12E06A10"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Información de estratificación, usos, acometidas y/o cobertura de servicios públicos de acueducto y alcantarillado de SUPERSERVICIOS</w:t>
      </w:r>
    </w:p>
    <w:p w14:paraId="4651A33B"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Costos de productividad del suelo de la UPRA </w:t>
      </w:r>
    </w:p>
    <w:p w14:paraId="44EFE9D9" w14:textId="77777777" w:rsidR="00A54D5F" w:rsidRPr="00A00B68" w:rsidRDefault="00A54D5F" w:rsidP="000A20EE">
      <w:pPr>
        <w:pStyle w:val="xmsolistparagraph"/>
        <w:numPr>
          <w:ilvl w:val="0"/>
          <w:numId w:val="95"/>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Reglamentos de PH </w:t>
      </w:r>
    </w:p>
    <w:p w14:paraId="42EAF463" w14:textId="77777777" w:rsidR="00A54D5F" w:rsidRPr="00A00B68" w:rsidRDefault="00A54D5F" w:rsidP="00C72779">
      <w:pPr>
        <w:pStyle w:val="xmsolistparagraph"/>
        <w:shd w:val="clear" w:color="auto" w:fill="FFFFFF"/>
        <w:spacing w:before="0" w:beforeAutospacing="0" w:after="0" w:afterAutospacing="0"/>
        <w:ind w:left="720"/>
        <w:jc w:val="both"/>
        <w:rPr>
          <w:rFonts w:cs="Arial"/>
          <w:color w:val="000000"/>
          <w:sz w:val="22"/>
          <w:szCs w:val="22"/>
        </w:rPr>
      </w:pPr>
    </w:p>
    <w:p w14:paraId="4AAE498A" w14:textId="77777777" w:rsidR="00A54D5F" w:rsidRPr="00A00B68" w:rsidRDefault="00A54D5F" w:rsidP="00C72779">
      <w:pPr>
        <w:pStyle w:val="xmsolistparagraph"/>
        <w:shd w:val="clear" w:color="auto" w:fill="FFFFFF"/>
        <w:spacing w:before="0" w:beforeAutospacing="0" w:after="0" w:afterAutospacing="0"/>
        <w:jc w:val="both"/>
        <w:rPr>
          <w:rFonts w:cs="Arial"/>
          <w:color w:val="000000"/>
          <w:sz w:val="22"/>
          <w:szCs w:val="22"/>
        </w:rPr>
      </w:pPr>
      <w:r w:rsidRPr="00A00B68">
        <w:rPr>
          <w:rFonts w:cs="Arial"/>
          <w:color w:val="000000"/>
          <w:sz w:val="22"/>
          <w:szCs w:val="22"/>
          <w:bdr w:val="none" w:sz="0" w:space="0" w:color="auto" w:frame="1"/>
          <w:lang w:val="es-ES"/>
        </w:rPr>
        <w:t>Respecto a la estructuración de protocolos de cruce: Se elaboró documentación de soporte sobre los procesos de cruce entre la información de las diferentes fuentes (internas y externas al IGAC) y generación de modelos de procesamiento de información según tipo y fuente de información;</w:t>
      </w:r>
    </w:p>
    <w:p w14:paraId="1B48093A" w14:textId="77777777" w:rsidR="00A54D5F" w:rsidRPr="00A00B68" w:rsidRDefault="00A54D5F" w:rsidP="00C72779">
      <w:pPr>
        <w:pStyle w:val="xmsolistparagraph"/>
        <w:shd w:val="clear" w:color="auto" w:fill="FFFFFF"/>
        <w:spacing w:before="0" w:beforeAutospacing="0" w:after="0" w:afterAutospacing="0"/>
        <w:ind w:left="720"/>
        <w:jc w:val="both"/>
        <w:rPr>
          <w:rFonts w:cs="Arial"/>
          <w:color w:val="000000"/>
          <w:sz w:val="22"/>
          <w:szCs w:val="22"/>
        </w:rPr>
      </w:pPr>
    </w:p>
    <w:p w14:paraId="3596C499" w14:textId="77777777" w:rsidR="00A54D5F" w:rsidRPr="00A00B68" w:rsidRDefault="00A54D5F" w:rsidP="000A20EE">
      <w:pPr>
        <w:pStyle w:val="xmsolistparagraph"/>
        <w:numPr>
          <w:ilvl w:val="0"/>
          <w:numId w:val="96"/>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Ofertas inmobiliarias de CAMACOL - Coordenada Urbana, PROPERATI, FINCARAÍZ y METROCUADRADO.</w:t>
      </w:r>
    </w:p>
    <w:p w14:paraId="7400E2D7" w14:textId="77777777" w:rsidR="00A54D5F" w:rsidRPr="00A00B68" w:rsidRDefault="00A54D5F" w:rsidP="000A20EE">
      <w:pPr>
        <w:pStyle w:val="xmsolistparagraph"/>
        <w:numPr>
          <w:ilvl w:val="0"/>
          <w:numId w:val="96"/>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Licencias de Construcción reportadas por del DANE y Censo de Actividad Edificadora realizado por el DANE</w:t>
      </w:r>
    </w:p>
    <w:p w14:paraId="610B5A53" w14:textId="77777777" w:rsidR="00A54D5F" w:rsidRPr="00A00B68" w:rsidRDefault="00A54D5F" w:rsidP="000A20EE">
      <w:pPr>
        <w:pStyle w:val="xmsolistparagraph"/>
        <w:numPr>
          <w:ilvl w:val="0"/>
          <w:numId w:val="96"/>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Avalúos comerciales de entidades financieras (Davivienda, Caja Social, Banco Agrario, FNA, entre otras).</w:t>
      </w:r>
    </w:p>
    <w:p w14:paraId="0B9504B0" w14:textId="77777777" w:rsidR="00A54D5F" w:rsidRPr="00A00B68" w:rsidRDefault="00A54D5F" w:rsidP="000A20EE">
      <w:pPr>
        <w:pStyle w:val="xmsolistparagraph"/>
        <w:numPr>
          <w:ilvl w:val="0"/>
          <w:numId w:val="96"/>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Información de estratificación, usos y acometidas y/o cobertura de servicios públicos de acueducto y alcantarillado de SUPERSERVICIOS</w:t>
      </w:r>
    </w:p>
    <w:p w14:paraId="6EE181F1" w14:textId="77777777" w:rsidR="00A54D5F" w:rsidRPr="00A00B68" w:rsidRDefault="00A54D5F" w:rsidP="000A20EE">
      <w:pPr>
        <w:pStyle w:val="xmsolistparagraph"/>
        <w:numPr>
          <w:ilvl w:val="0"/>
          <w:numId w:val="96"/>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Temáticas POT´s </w:t>
      </w:r>
    </w:p>
    <w:p w14:paraId="5C42E89E" w14:textId="77777777" w:rsidR="00A54D5F" w:rsidRPr="00A00B68" w:rsidRDefault="00A54D5F" w:rsidP="00C72779">
      <w:pPr>
        <w:pStyle w:val="xmsolistparagraph"/>
        <w:shd w:val="clear" w:color="auto" w:fill="FFFFFF" w:themeFill="background1"/>
        <w:spacing w:before="0" w:beforeAutospacing="0" w:after="0" w:afterAutospacing="0"/>
        <w:jc w:val="both"/>
        <w:rPr>
          <w:rFonts w:cs="Arial"/>
          <w:color w:val="000000" w:themeColor="text1"/>
          <w:sz w:val="22"/>
          <w:szCs w:val="22"/>
          <w:lang w:val="es-ES"/>
        </w:rPr>
      </w:pPr>
    </w:p>
    <w:p w14:paraId="0DE2EF29" w14:textId="77777777" w:rsidR="00A54D5F" w:rsidRPr="00A00B68" w:rsidRDefault="00A54D5F" w:rsidP="00C72779">
      <w:pPr>
        <w:pStyle w:val="xmsolistparagraph"/>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Respecto a la suscripción de Convenios y/o Acuerdos para el intercambio de información: </w:t>
      </w:r>
    </w:p>
    <w:p w14:paraId="55FDB1BD" w14:textId="77777777" w:rsidR="00A54D5F" w:rsidRPr="00A00B68" w:rsidRDefault="00A54D5F" w:rsidP="000A20EE">
      <w:pPr>
        <w:pStyle w:val="xmsolistparagraph"/>
        <w:numPr>
          <w:ilvl w:val="1"/>
          <w:numId w:val="92"/>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En conjunto con la Subdirección de información, se concluyó la definición y validación de información susceptible de intercambio.</w:t>
      </w:r>
    </w:p>
    <w:p w14:paraId="00988232" w14:textId="77777777" w:rsidR="00A54D5F" w:rsidRPr="00A00B68" w:rsidRDefault="00A54D5F" w:rsidP="000A20EE">
      <w:pPr>
        <w:pStyle w:val="xmsolistparagraph"/>
        <w:numPr>
          <w:ilvl w:val="1"/>
          <w:numId w:val="92"/>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 xml:space="preserve">Se elaboró modelo estándar de Acuerdo para el intercambio de Información. revisado por la Oficina Asesora Jurídica. Se encuentra pendiente enviarlo antes del 30 de noviembre de 2021 a diferentes empresas de servicios inmobiliarios con los que se pretende suscribir Acuerdos. </w:t>
      </w:r>
    </w:p>
    <w:p w14:paraId="75C7662B" w14:textId="77777777" w:rsidR="00A54D5F" w:rsidRPr="00A00B68" w:rsidRDefault="00A54D5F" w:rsidP="000A20EE">
      <w:pPr>
        <w:pStyle w:val="xmsolistparagraph"/>
        <w:numPr>
          <w:ilvl w:val="1"/>
          <w:numId w:val="92"/>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lastRenderedPageBreak/>
        <w:t xml:space="preserve">Se gestionó y se suscribió el 28 de septiembre de 2021, Acuerdo de Confidencialidad para el Intercambio de Información con CENIT TRANSPORTE Y LOGÍSTICA DE HIDROCARBUROS S.A.S. </w:t>
      </w:r>
    </w:p>
    <w:p w14:paraId="7DA76DB0" w14:textId="77777777" w:rsidR="00A54D5F" w:rsidRPr="00A00B68" w:rsidRDefault="00A54D5F" w:rsidP="000A20EE">
      <w:pPr>
        <w:pStyle w:val="xmsolistparagraph"/>
        <w:numPr>
          <w:ilvl w:val="1"/>
          <w:numId w:val="92"/>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Se gestionó y se firmó el 11 de agosto de 2021, Acuerdo de Confidencialidad y no divulgación con CAMACOL, sobre el suministro de una información específica de ofertas de mercado inmobiliario en los municipios de Villavicencio y Popayán.</w:t>
      </w:r>
    </w:p>
    <w:p w14:paraId="1B27FE3D" w14:textId="77777777" w:rsidR="00A54D5F" w:rsidRPr="00A00B68" w:rsidRDefault="00A54D5F" w:rsidP="000A20EE">
      <w:pPr>
        <w:pStyle w:val="xmsolistparagraph"/>
        <w:numPr>
          <w:ilvl w:val="1"/>
          <w:numId w:val="92"/>
        </w:numPr>
        <w:shd w:val="clear" w:color="auto" w:fill="FFFFFF"/>
        <w:spacing w:before="0" w:beforeAutospacing="0" w:after="0" w:afterAutospacing="0"/>
        <w:jc w:val="both"/>
        <w:rPr>
          <w:rFonts w:cs="Arial"/>
          <w:color w:val="000000"/>
          <w:sz w:val="22"/>
          <w:szCs w:val="22"/>
          <w:bdr w:val="none" w:sz="0" w:space="0" w:color="auto" w:frame="1"/>
          <w:lang w:val="es-ES"/>
        </w:rPr>
      </w:pPr>
      <w:r w:rsidRPr="00A00B68">
        <w:rPr>
          <w:rFonts w:cs="Arial"/>
          <w:color w:val="000000"/>
          <w:sz w:val="22"/>
          <w:szCs w:val="22"/>
          <w:bdr w:val="none" w:sz="0" w:space="0" w:color="auto" w:frame="1"/>
          <w:lang w:val="es-ES"/>
        </w:rPr>
        <w:t>Se gestionó y se estructuró convenio para el intercambio de información a suscribir con SAE. Se encuentra en proceso de validación y firmas por las partes.</w:t>
      </w:r>
    </w:p>
    <w:p w14:paraId="68512307" w14:textId="77777777" w:rsidR="00A54D5F" w:rsidRPr="00A00B68" w:rsidRDefault="00A54D5F" w:rsidP="00C72779">
      <w:pPr>
        <w:rPr>
          <w:rFonts w:eastAsia="Arial" w:cs="Arial"/>
          <w:color w:val="000000" w:themeColor="text1"/>
          <w:sz w:val="22"/>
          <w:szCs w:val="22"/>
          <w:highlight w:val="yellow"/>
        </w:rPr>
      </w:pPr>
    </w:p>
    <w:p w14:paraId="0BB9BE94" w14:textId="77777777" w:rsidR="00A54D5F" w:rsidRPr="00AF1FCC" w:rsidRDefault="00A54D5F" w:rsidP="00AF1FCC">
      <w:pPr>
        <w:rPr>
          <w:b/>
          <w:sz w:val="22"/>
        </w:rPr>
      </w:pPr>
      <w:bookmarkStart w:id="147" w:name="_Toc87622116"/>
      <w:bookmarkEnd w:id="146"/>
      <w:r w:rsidRPr="00AF1FCC">
        <w:rPr>
          <w:rFonts w:eastAsia="Arial"/>
          <w:b/>
          <w:sz w:val="22"/>
          <w:lang w:val="es"/>
        </w:rPr>
        <w:t>SERVICIOS DE ASISTENCIA TÉCNICA PARA LA GESTIÓN DE LOS RECURSOS GEOGRÁFICOS</w:t>
      </w:r>
      <w:bookmarkEnd w:id="147"/>
    </w:p>
    <w:p w14:paraId="6FD0F0FB" w14:textId="77777777" w:rsidR="00A54D5F" w:rsidRPr="00A00B68" w:rsidRDefault="00A54D5F" w:rsidP="00C72779">
      <w:pPr>
        <w:rPr>
          <w:sz w:val="22"/>
          <w:szCs w:val="22"/>
        </w:rPr>
      </w:pPr>
      <w:r w:rsidRPr="00A00B68">
        <w:rPr>
          <w:rFonts w:eastAsia="Arial" w:cs="Arial"/>
          <w:sz w:val="22"/>
          <w:szCs w:val="22"/>
          <w:lang w:val="es"/>
        </w:rPr>
        <w:t xml:space="preserve"> </w:t>
      </w:r>
    </w:p>
    <w:p w14:paraId="3DB9B662" w14:textId="77777777" w:rsidR="00A54D5F" w:rsidRPr="00A00B68" w:rsidRDefault="00A54D5F" w:rsidP="00C72779">
      <w:pPr>
        <w:jc w:val="both"/>
        <w:rPr>
          <w:sz w:val="22"/>
          <w:szCs w:val="22"/>
        </w:rPr>
      </w:pPr>
      <w:r w:rsidRPr="00A00B68">
        <w:rPr>
          <w:rFonts w:eastAsia="Arial" w:cs="Arial"/>
          <w:sz w:val="22"/>
          <w:szCs w:val="22"/>
          <w:lang w:val="es"/>
        </w:rPr>
        <w:t>Dentro de los servicios de asistencia técnica para la gestión de los recursos geográficos se realizaron quince (15) consultorías:</w:t>
      </w:r>
    </w:p>
    <w:p w14:paraId="1896A858" w14:textId="77777777" w:rsidR="00A54D5F" w:rsidRPr="00A00B68" w:rsidRDefault="00A54D5F" w:rsidP="00C72779">
      <w:pPr>
        <w:jc w:val="both"/>
        <w:rPr>
          <w:rFonts w:eastAsia="Arial" w:cs="Arial"/>
          <w:sz w:val="22"/>
          <w:szCs w:val="22"/>
          <w:lang w:val="es"/>
        </w:rPr>
      </w:pPr>
    </w:p>
    <w:p w14:paraId="66C4EA2B"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eastAsia="Arial" w:cs="Arial"/>
          <w:sz w:val="22"/>
          <w:szCs w:val="22"/>
          <w:lang w:val="es"/>
        </w:rPr>
      </w:pPr>
      <w:r w:rsidRPr="00A00B68">
        <w:rPr>
          <w:rFonts w:eastAsia="Arial" w:cs="Arial"/>
          <w:sz w:val="22"/>
          <w:szCs w:val="22"/>
          <w:lang w:val="es"/>
        </w:rPr>
        <w:t>Estudio multitemporal del sector nororiental de la ciudad de Bogotá / MEGATERRA S.A.S.</w:t>
      </w:r>
    </w:p>
    <w:p w14:paraId="2B586849"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Estudio multitemporal para la estimación del volumen de material de explotación de cantera removido y distribuido en el sector nor-occidental de la jurisdicción del municipio de Puerto Boyacá durante los años 1995 a 2015, IGAC - ALCALDÍA MUNICIPAL DE PUERTO BOYACÁ.</w:t>
      </w:r>
    </w:p>
    <w:p w14:paraId="79A58B3D"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Delegación de Competencias en Catastro - Convenio Específico No. 1 al Convenio Interadministrativo suscrito con el Área Metropolitana de Centro Occidente – AMCO.</w:t>
      </w:r>
    </w:p>
    <w:p w14:paraId="5EDB9161"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Desarrollo de la fase II del sistema de información geográfica del Instituto Colombiano de Bienestar Familiar –ICBF.</w:t>
      </w:r>
    </w:p>
    <w:p w14:paraId="28651792"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Desarrollo de la fase III del Sistema de Información Geográfica de la Corporación Autónoma regional del Quindío – SIG QUINDIO.</w:t>
      </w:r>
    </w:p>
    <w:p w14:paraId="49461401"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Mantenimiento y soporte del aplicativo SIGEO_CHÍA, con el fin de realizar mejoras de las funcionalidades existentes en el geoportal.</w:t>
      </w:r>
    </w:p>
    <w:p w14:paraId="207A4DA5"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lang w:val="es"/>
        </w:rPr>
      </w:pPr>
      <w:r w:rsidRPr="00A00B68">
        <w:rPr>
          <w:rFonts w:eastAsia="Arial" w:cs="Arial"/>
          <w:sz w:val="22"/>
          <w:szCs w:val="22"/>
          <w:lang w:val="es"/>
        </w:rPr>
        <w:t xml:space="preserve">Capacitación en el marco del proyecto “Fortalecimiento del ordenamiento ambiental y territorial” en la Jurisdicción de la Corpoguajira, La Guajira </w:t>
      </w:r>
    </w:p>
    <w:p w14:paraId="0F018045"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rPr>
      </w:pPr>
      <w:r w:rsidRPr="00A00B68">
        <w:rPr>
          <w:rFonts w:eastAsia="Arial" w:cs="Arial"/>
          <w:sz w:val="22"/>
          <w:szCs w:val="22"/>
          <w:lang w:val="es"/>
        </w:rPr>
        <w:t xml:space="preserve"> Estudio Multitemporal de una zona del municipio de Quipama (Boyacá) para la Promotora la Roca S.A.S. (consultoría continua en el año 2020).</w:t>
      </w:r>
    </w:p>
    <w:p w14:paraId="47A29BED"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rPr>
      </w:pPr>
      <w:r w:rsidRPr="00A00B68">
        <w:rPr>
          <w:rFonts w:eastAsia="Arial" w:cs="Arial"/>
          <w:sz w:val="22"/>
          <w:szCs w:val="22"/>
          <w:lang w:val="es"/>
        </w:rPr>
        <w:t xml:space="preserve">Elaboración del estudio multitemporal </w:t>
      </w:r>
      <w:r w:rsidRPr="00A00B68">
        <w:rPr>
          <w:rFonts w:eastAsia="Arial" w:cs="Arial"/>
          <w:sz w:val="22"/>
          <w:szCs w:val="22"/>
          <w:lang w:val="es-MX"/>
        </w:rPr>
        <w:t>del predio el Difícil, ubicado en el municipio de Quípama del departamento de Boyacá, para la empresa Promotora la Roca S.A.S.</w:t>
      </w:r>
    </w:p>
    <w:p w14:paraId="4444AA2A"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rPr>
      </w:pPr>
      <w:r w:rsidRPr="00A00B68">
        <w:rPr>
          <w:rFonts w:eastAsia="Arial" w:cs="Arial"/>
          <w:sz w:val="22"/>
          <w:szCs w:val="22"/>
          <w:lang w:val="es-MX"/>
        </w:rPr>
        <w:t>Ejecución de la Fase III del Sistema de Información Geográfica del Instituto Colombiano de Bienestar Familiar – ICBF.</w:t>
      </w:r>
    </w:p>
    <w:p w14:paraId="1940E9A6"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cs="Arial"/>
          <w:sz w:val="22"/>
          <w:szCs w:val="22"/>
        </w:rPr>
      </w:pPr>
      <w:r w:rsidRPr="00A00B68">
        <w:rPr>
          <w:rFonts w:eastAsia="Arial" w:cs="Arial"/>
          <w:sz w:val="22"/>
          <w:szCs w:val="22"/>
          <w:lang w:val="es-MX"/>
        </w:rPr>
        <w:t xml:space="preserve">Elaboración de los proyectos QGis y capacitación </w:t>
      </w:r>
      <w:r w:rsidRPr="00A00B68">
        <w:rPr>
          <w:rFonts w:eastAsia="Arial" w:cs="Arial"/>
          <w:color w:val="000000" w:themeColor="text1"/>
          <w:sz w:val="22"/>
          <w:szCs w:val="22"/>
          <w:lang w:val="es-MX"/>
        </w:rPr>
        <w:t>en temas de Cartografía, Sistemas de Información Geográfica y Análisis espacial para nueve municipios del departamento de Risaralda.</w:t>
      </w:r>
    </w:p>
    <w:p w14:paraId="6A50375B"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eastAsia="Arial" w:cs="Arial"/>
          <w:color w:val="000000" w:themeColor="text1"/>
          <w:sz w:val="22"/>
          <w:szCs w:val="22"/>
          <w:lang w:val="es-MX"/>
        </w:rPr>
      </w:pPr>
      <w:r w:rsidRPr="00A00B68">
        <w:rPr>
          <w:rFonts w:eastAsia="Arial" w:cs="Arial"/>
          <w:color w:val="000000" w:themeColor="text1"/>
          <w:sz w:val="22"/>
          <w:szCs w:val="22"/>
          <w:lang w:val="es-MX"/>
        </w:rPr>
        <w:t>Realizar el soporte y mantenimiento evolutivo de la plataforma de registro nacional de reducción de emisión de gases de efecto (RENARE FASE II) IDEAM-PATRIMONIO NATURAL.</w:t>
      </w:r>
    </w:p>
    <w:p w14:paraId="226884CA"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eastAsia="Arial" w:cs="Arial"/>
          <w:sz w:val="22"/>
          <w:szCs w:val="22"/>
          <w:lang w:val="es-MX"/>
        </w:rPr>
      </w:pPr>
      <w:r w:rsidRPr="00A00B68">
        <w:rPr>
          <w:rFonts w:eastAsia="Arial" w:cs="Arial"/>
          <w:sz w:val="22"/>
          <w:szCs w:val="22"/>
          <w:lang w:val="es-MX"/>
        </w:rPr>
        <w:t xml:space="preserve">Soporte y mantenimiento al Sistema de información SIGEO_CHIA actualizando información geográfica, alfanumérica y ajustando los formularios de gestión de datos (En ejecución). </w:t>
      </w:r>
    </w:p>
    <w:p w14:paraId="1EBAEDFC"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eastAsia="Arial" w:cs="Arial"/>
          <w:sz w:val="22"/>
          <w:szCs w:val="22"/>
          <w:lang w:val="es-MX"/>
        </w:rPr>
      </w:pPr>
      <w:r w:rsidRPr="00A00B68">
        <w:rPr>
          <w:rFonts w:eastAsia="Arial" w:cs="Arial"/>
          <w:sz w:val="22"/>
          <w:szCs w:val="22"/>
          <w:lang w:val="es-MX"/>
        </w:rPr>
        <w:t>Diseño, desarrollo e implementación del Geovisor de CORPOURABA (En ejecución).</w:t>
      </w:r>
    </w:p>
    <w:p w14:paraId="0448A3A8" w14:textId="77777777" w:rsidR="00A54D5F" w:rsidRPr="00A00B68" w:rsidRDefault="00A54D5F" w:rsidP="000A20EE">
      <w:pPr>
        <w:pStyle w:val="Prrafodelista"/>
        <w:numPr>
          <w:ilvl w:val="0"/>
          <w:numId w:val="91"/>
        </w:numPr>
        <w:suppressAutoHyphens w:val="0"/>
        <w:overflowPunct/>
        <w:autoSpaceDE/>
        <w:spacing w:after="160"/>
        <w:contextualSpacing/>
        <w:textAlignment w:val="auto"/>
        <w:rPr>
          <w:rFonts w:eastAsia="Arial" w:cs="Arial"/>
          <w:sz w:val="22"/>
          <w:szCs w:val="22"/>
          <w:lang w:val="es-MX"/>
        </w:rPr>
      </w:pPr>
      <w:r w:rsidRPr="00A00B68">
        <w:rPr>
          <w:rFonts w:eastAsia="Arial" w:cs="Arial"/>
          <w:sz w:val="22"/>
          <w:szCs w:val="22"/>
          <w:lang w:val="es-MX"/>
        </w:rPr>
        <w:t>Desarrolla la Infraestructura de Datos Espaciales del sector Minero-Energético con el Ministerio de Minas y Energía (En ejecución).</w:t>
      </w:r>
    </w:p>
    <w:p w14:paraId="71BB25F7" w14:textId="77777777" w:rsidR="00A54D5F" w:rsidRPr="00A00B68" w:rsidRDefault="00A54D5F" w:rsidP="00C72779">
      <w:pPr>
        <w:jc w:val="both"/>
        <w:rPr>
          <w:rFonts w:eastAsia="Arial" w:cs="Arial"/>
          <w:color w:val="000000" w:themeColor="text1"/>
          <w:sz w:val="22"/>
          <w:szCs w:val="22"/>
        </w:rPr>
      </w:pPr>
    </w:p>
    <w:p w14:paraId="33AC6EF1" w14:textId="77777777" w:rsidR="00A54D5F" w:rsidRPr="00A00B68" w:rsidRDefault="00A54D5F" w:rsidP="00C72779">
      <w:pPr>
        <w:jc w:val="both"/>
        <w:rPr>
          <w:sz w:val="22"/>
          <w:szCs w:val="22"/>
        </w:rPr>
      </w:pPr>
      <w:r w:rsidRPr="00A00B68">
        <w:rPr>
          <w:rFonts w:eastAsia="Arial" w:cs="Arial"/>
          <w:sz w:val="22"/>
          <w:szCs w:val="22"/>
          <w:lang w:val="es"/>
        </w:rPr>
        <w:t>En la siguiente tabla, se presenta un comparativo año a año sobre el avance en la materia.</w:t>
      </w:r>
    </w:p>
    <w:p w14:paraId="7928D0EA" w14:textId="77777777" w:rsidR="00A54D5F" w:rsidRDefault="00A54D5F" w:rsidP="00C72779">
      <w:pPr>
        <w:rPr>
          <w:rFonts w:eastAsia="Arial" w:cs="Arial"/>
          <w:color w:val="000000" w:themeColor="text1"/>
          <w:sz w:val="22"/>
          <w:szCs w:val="22"/>
          <w:lang w:val="es"/>
        </w:rPr>
      </w:pPr>
      <w:r w:rsidRPr="00A00B68">
        <w:rPr>
          <w:rFonts w:eastAsia="Arial" w:cs="Arial"/>
          <w:color w:val="000000" w:themeColor="text1"/>
          <w:sz w:val="22"/>
          <w:szCs w:val="22"/>
          <w:lang w:val="es"/>
        </w:rPr>
        <w:lastRenderedPageBreak/>
        <w:t xml:space="preserve"> </w:t>
      </w:r>
    </w:p>
    <w:p w14:paraId="1B44794C" w14:textId="11BB7AC7" w:rsidR="003D1D50" w:rsidRPr="003D1D50" w:rsidRDefault="001F0818" w:rsidP="001F0818">
      <w:pPr>
        <w:pStyle w:val="Descripcin"/>
        <w:jc w:val="center"/>
        <w:rPr>
          <w:b/>
          <w:szCs w:val="22"/>
        </w:rPr>
      </w:pPr>
      <w:bookmarkStart w:id="148" w:name="_Toc88677128"/>
      <w:r w:rsidRPr="001F0818">
        <w:rPr>
          <w:rFonts w:ascii="Arial" w:hAnsi="Arial" w:cs="Arial"/>
          <w:b/>
          <w:i w:val="0"/>
          <w:color w:val="auto"/>
          <w:sz w:val="16"/>
          <w:szCs w:val="16"/>
        </w:rPr>
        <w:t xml:space="preserve">Tabla </w:t>
      </w:r>
      <w:r w:rsidRPr="001F0818">
        <w:rPr>
          <w:rFonts w:ascii="Arial" w:hAnsi="Arial" w:cs="Arial"/>
          <w:b/>
          <w:i w:val="0"/>
          <w:color w:val="auto"/>
          <w:sz w:val="16"/>
          <w:szCs w:val="16"/>
        </w:rPr>
        <w:fldChar w:fldCharType="begin"/>
      </w:r>
      <w:r w:rsidRPr="001F0818">
        <w:rPr>
          <w:rFonts w:ascii="Arial" w:hAnsi="Arial" w:cs="Arial"/>
          <w:b/>
          <w:i w:val="0"/>
          <w:color w:val="auto"/>
          <w:sz w:val="16"/>
          <w:szCs w:val="16"/>
        </w:rPr>
        <w:instrText xml:space="preserve"> SEQ Tabla \* ARABIC </w:instrText>
      </w:r>
      <w:r w:rsidRPr="001F0818">
        <w:rPr>
          <w:rFonts w:ascii="Arial" w:hAnsi="Arial" w:cs="Arial"/>
          <w:b/>
          <w:i w:val="0"/>
          <w:color w:val="auto"/>
          <w:sz w:val="16"/>
          <w:szCs w:val="16"/>
        </w:rPr>
        <w:fldChar w:fldCharType="separate"/>
      </w:r>
      <w:r w:rsidR="004D4C6A">
        <w:rPr>
          <w:rFonts w:ascii="Arial" w:hAnsi="Arial" w:cs="Arial"/>
          <w:b/>
          <w:i w:val="0"/>
          <w:noProof/>
          <w:color w:val="auto"/>
          <w:sz w:val="16"/>
          <w:szCs w:val="16"/>
        </w:rPr>
        <w:t>56</w:t>
      </w:r>
      <w:r w:rsidRPr="001F0818">
        <w:rPr>
          <w:rFonts w:ascii="Arial" w:hAnsi="Arial" w:cs="Arial"/>
          <w:b/>
          <w:i w:val="0"/>
          <w:color w:val="auto"/>
          <w:sz w:val="16"/>
          <w:szCs w:val="16"/>
        </w:rPr>
        <w:fldChar w:fldCharType="end"/>
      </w:r>
      <w:r w:rsidRPr="001F0818">
        <w:rPr>
          <w:rFonts w:ascii="Arial" w:hAnsi="Arial" w:cs="Arial"/>
          <w:b/>
          <w:i w:val="0"/>
          <w:color w:val="auto"/>
          <w:sz w:val="16"/>
          <w:szCs w:val="16"/>
        </w:rPr>
        <w:t xml:space="preserve">. </w:t>
      </w:r>
      <w:r w:rsidR="003D1D50" w:rsidRPr="001F0818">
        <w:rPr>
          <w:rFonts w:ascii="Arial" w:hAnsi="Arial" w:cs="Arial"/>
          <w:b/>
          <w:i w:val="0"/>
          <w:color w:val="auto"/>
          <w:sz w:val="16"/>
          <w:szCs w:val="16"/>
        </w:rPr>
        <w:t>Asesorías y consultorías desarrolladas</w:t>
      </w:r>
      <w:bookmarkEnd w:id="148"/>
    </w:p>
    <w:tbl>
      <w:tblPr>
        <w:tblStyle w:val="Tabladecuadrcula4-nfasis1"/>
        <w:tblW w:w="4230" w:type="dxa"/>
        <w:jc w:val="center"/>
        <w:tblLayout w:type="fixed"/>
        <w:tblLook w:val="06A0" w:firstRow="1" w:lastRow="0" w:firstColumn="1" w:lastColumn="0" w:noHBand="1" w:noVBand="1"/>
      </w:tblPr>
      <w:tblGrid>
        <w:gridCol w:w="1365"/>
        <w:gridCol w:w="1425"/>
        <w:gridCol w:w="1440"/>
      </w:tblGrid>
      <w:tr w:rsidR="00A54D5F" w:rsidRPr="00A00B68" w14:paraId="635A7A8A" w14:textId="77777777" w:rsidTr="003D1D5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0F509617" w14:textId="77777777" w:rsidR="00A54D5F" w:rsidRPr="009F4CE8" w:rsidRDefault="00A54D5F" w:rsidP="00C72779">
            <w:pPr>
              <w:jc w:val="center"/>
              <w:rPr>
                <w:sz w:val="22"/>
                <w:szCs w:val="22"/>
              </w:rPr>
            </w:pPr>
            <w:r w:rsidRPr="009F4CE8">
              <w:rPr>
                <w:rFonts w:eastAsia="Arial" w:cs="Arial"/>
                <w:sz w:val="22"/>
                <w:szCs w:val="22"/>
                <w:lang w:val="es"/>
              </w:rPr>
              <w:t>2019</w:t>
            </w:r>
          </w:p>
        </w:tc>
        <w:tc>
          <w:tcPr>
            <w:tcW w:w="1425" w:type="dxa"/>
            <w:vAlign w:val="center"/>
          </w:tcPr>
          <w:p w14:paraId="219AB13F" w14:textId="77777777" w:rsidR="00A54D5F" w:rsidRPr="009F4CE8" w:rsidRDefault="00A54D5F"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2"/>
                <w:szCs w:val="22"/>
                <w:lang w:val="es"/>
              </w:rPr>
            </w:pPr>
            <w:r w:rsidRPr="009F4CE8">
              <w:rPr>
                <w:rFonts w:eastAsia="Arial" w:cs="Arial"/>
                <w:sz w:val="22"/>
                <w:szCs w:val="22"/>
                <w:lang w:val="es"/>
              </w:rPr>
              <w:t>2020</w:t>
            </w:r>
          </w:p>
        </w:tc>
        <w:tc>
          <w:tcPr>
            <w:tcW w:w="1440" w:type="dxa"/>
            <w:vAlign w:val="center"/>
          </w:tcPr>
          <w:p w14:paraId="468E7CE7" w14:textId="77777777" w:rsidR="00A54D5F" w:rsidRPr="009F4CE8" w:rsidRDefault="00A54D5F"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2"/>
                <w:szCs w:val="22"/>
                <w:lang w:val="es"/>
              </w:rPr>
            </w:pPr>
            <w:r w:rsidRPr="009F4CE8">
              <w:rPr>
                <w:rFonts w:eastAsia="Arial" w:cs="Arial"/>
                <w:sz w:val="22"/>
                <w:szCs w:val="22"/>
                <w:lang w:val="es"/>
              </w:rPr>
              <w:t>2021</w:t>
            </w:r>
          </w:p>
        </w:tc>
      </w:tr>
      <w:tr w:rsidR="00A54D5F" w:rsidRPr="00A00B68" w14:paraId="57A4421D" w14:textId="77777777" w:rsidTr="003D1D50">
        <w:trPr>
          <w:jc w:val="center"/>
        </w:trPr>
        <w:tc>
          <w:tcPr>
            <w:cnfStyle w:val="001000000000" w:firstRow="0" w:lastRow="0" w:firstColumn="1" w:lastColumn="0" w:oddVBand="0" w:evenVBand="0" w:oddHBand="0" w:evenHBand="0" w:firstRowFirstColumn="0" w:firstRowLastColumn="0" w:lastRowFirstColumn="0" w:lastRowLastColumn="0"/>
            <w:tcW w:w="1365" w:type="dxa"/>
            <w:vAlign w:val="center"/>
          </w:tcPr>
          <w:p w14:paraId="471559A4" w14:textId="77777777" w:rsidR="00A54D5F" w:rsidRPr="00A00B68" w:rsidRDefault="00A54D5F" w:rsidP="00C72779">
            <w:pPr>
              <w:jc w:val="center"/>
              <w:rPr>
                <w:rFonts w:eastAsia="Arial" w:cs="Arial"/>
                <w:sz w:val="22"/>
                <w:szCs w:val="22"/>
                <w:lang w:val="es"/>
              </w:rPr>
            </w:pPr>
            <w:r w:rsidRPr="00A00B68">
              <w:rPr>
                <w:rFonts w:eastAsia="Arial" w:cs="Arial"/>
                <w:sz w:val="22"/>
                <w:szCs w:val="22"/>
                <w:lang w:val="es"/>
              </w:rPr>
              <w:t>8</w:t>
            </w:r>
          </w:p>
        </w:tc>
        <w:tc>
          <w:tcPr>
            <w:tcW w:w="1425" w:type="dxa"/>
            <w:vAlign w:val="center"/>
          </w:tcPr>
          <w:p w14:paraId="191CD574" w14:textId="77777777" w:rsidR="00A54D5F" w:rsidRPr="009F4CE8" w:rsidRDefault="00A54D5F"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2"/>
                <w:szCs w:val="22"/>
                <w:lang w:val="es"/>
              </w:rPr>
            </w:pPr>
            <w:r w:rsidRPr="009F4CE8">
              <w:rPr>
                <w:rFonts w:eastAsia="Arial" w:cs="Arial"/>
                <w:b/>
                <w:sz w:val="22"/>
                <w:szCs w:val="22"/>
                <w:lang w:val="es"/>
              </w:rPr>
              <w:t>3</w:t>
            </w:r>
          </w:p>
        </w:tc>
        <w:tc>
          <w:tcPr>
            <w:tcW w:w="1440" w:type="dxa"/>
            <w:vAlign w:val="center"/>
          </w:tcPr>
          <w:p w14:paraId="023573B3" w14:textId="77777777" w:rsidR="00A54D5F" w:rsidRPr="009F4CE8" w:rsidRDefault="00A54D5F" w:rsidP="00C72779">
            <w:pPr>
              <w:jc w:val="center"/>
              <w:cnfStyle w:val="000000000000" w:firstRow="0" w:lastRow="0" w:firstColumn="0" w:lastColumn="0" w:oddVBand="0" w:evenVBand="0" w:oddHBand="0" w:evenHBand="0" w:firstRowFirstColumn="0" w:firstRowLastColumn="0" w:lastRowFirstColumn="0" w:lastRowLastColumn="0"/>
              <w:rPr>
                <w:rFonts w:eastAsia="Arial" w:cs="Arial"/>
                <w:b/>
                <w:sz w:val="22"/>
                <w:szCs w:val="22"/>
                <w:lang w:val="es"/>
              </w:rPr>
            </w:pPr>
            <w:r w:rsidRPr="009F4CE8">
              <w:rPr>
                <w:rFonts w:eastAsia="Arial" w:cs="Arial"/>
                <w:b/>
                <w:sz w:val="22"/>
                <w:szCs w:val="22"/>
                <w:lang w:val="es"/>
              </w:rPr>
              <w:t>4</w:t>
            </w:r>
          </w:p>
        </w:tc>
      </w:tr>
    </w:tbl>
    <w:p w14:paraId="53893332" w14:textId="77777777" w:rsidR="00A54D5F" w:rsidRPr="003D1D50" w:rsidRDefault="00A54D5F" w:rsidP="00C72779">
      <w:pPr>
        <w:jc w:val="center"/>
        <w:rPr>
          <w:rFonts w:eastAsia="Arial" w:cs="Arial"/>
          <w:b/>
          <w:color w:val="000000" w:themeColor="text1"/>
          <w:sz w:val="18"/>
          <w:szCs w:val="22"/>
          <w:lang w:val="es-CO"/>
        </w:rPr>
      </w:pPr>
      <w:r w:rsidRPr="003D1D50">
        <w:rPr>
          <w:rFonts w:eastAsia="Arial" w:cs="Arial"/>
          <w:b/>
          <w:color w:val="000000" w:themeColor="text1"/>
          <w:sz w:val="18"/>
          <w:szCs w:val="22"/>
          <w:lang w:val="es-CO"/>
        </w:rPr>
        <w:t xml:space="preserve">Fuente: Dirección de Investigación y Prospectiva </w:t>
      </w:r>
    </w:p>
    <w:p w14:paraId="286EDBED" w14:textId="5EA76D52" w:rsidR="009C6A55" w:rsidRPr="00A00B68" w:rsidRDefault="009C6A55" w:rsidP="00C72779">
      <w:pPr>
        <w:rPr>
          <w:rFonts w:eastAsia="Arial" w:cs="Arial"/>
          <w:color w:val="000000" w:themeColor="text1"/>
          <w:sz w:val="22"/>
          <w:szCs w:val="22"/>
          <w:lang w:val="es-CO"/>
        </w:rPr>
      </w:pPr>
    </w:p>
    <w:p w14:paraId="3FF7EC90" w14:textId="54D8560E" w:rsidR="009C6A55" w:rsidRPr="00553569" w:rsidRDefault="00D95FF2" w:rsidP="00553569">
      <w:pPr>
        <w:rPr>
          <w:b/>
        </w:rPr>
      </w:pPr>
      <w:bookmarkStart w:id="149" w:name="_Toc87622117"/>
      <w:r w:rsidRPr="00553569">
        <w:rPr>
          <w:b/>
          <w:sz w:val="22"/>
        </w:rPr>
        <w:t xml:space="preserve">4.4.3.1 </w:t>
      </w:r>
      <w:r w:rsidR="009C6A55" w:rsidRPr="00553569">
        <w:rPr>
          <w:b/>
          <w:sz w:val="22"/>
        </w:rPr>
        <w:t>IMPACTO POBLACIONAL</w:t>
      </w:r>
      <w:bookmarkEnd w:id="149"/>
    </w:p>
    <w:p w14:paraId="253B2582" w14:textId="77777777" w:rsidR="009C6A55" w:rsidRPr="00A00B68" w:rsidRDefault="009C6A55" w:rsidP="00C72779">
      <w:pPr>
        <w:ind w:left="360"/>
        <w:rPr>
          <w:rFonts w:cs="Arial"/>
          <w:b/>
          <w:bCs/>
          <w:sz w:val="22"/>
          <w:szCs w:val="22"/>
        </w:rPr>
      </w:pPr>
    </w:p>
    <w:p w14:paraId="691AB3DB" w14:textId="0F912A81" w:rsidR="009C6A55" w:rsidRPr="00A00B68" w:rsidRDefault="009C6A55" w:rsidP="00C72779">
      <w:pPr>
        <w:jc w:val="both"/>
        <w:rPr>
          <w:sz w:val="22"/>
          <w:szCs w:val="22"/>
        </w:rPr>
      </w:pPr>
      <w:r w:rsidRPr="00A00B68">
        <w:rPr>
          <w:rFonts w:eastAsia="Arial" w:cs="Arial"/>
          <w:color w:val="000000" w:themeColor="text1"/>
          <w:sz w:val="22"/>
          <w:szCs w:val="22"/>
          <w:lang w:val="es"/>
        </w:rPr>
        <w:t>Posicionamiento de la Semana Geomática 2020 “Tecnologías para el servicio del desarrollo territorial”, con un nuevo enfoque en su desarrollo y áreas de interés más cercanas al ciudadano y a los sectores productivos. Se definieron para este evento ejes temáticos como el Catastro Multipropósito, Tendencias tecnológicas para la gestión de datos geoespaciales y Datos de información GEO. De igual forma, se llevaron a cabo diferentes conferencias y paneles realizados por expertos nacionales e internacionales que contaron con la participación de 8.000 espectadores y se desarrollaron siete talleres técnicos los cuales contaron con la participación de 729 personas. A diciembre los videos memoria del evento cuentan con más de 60.000 visualizaciones.</w:t>
      </w:r>
    </w:p>
    <w:p w14:paraId="4072CB46" w14:textId="77777777" w:rsidR="009C6A55" w:rsidRPr="00A00B68" w:rsidRDefault="009C6A55" w:rsidP="00C72779">
      <w:pPr>
        <w:jc w:val="both"/>
        <w:rPr>
          <w:rFonts w:eastAsia="Arial" w:cs="Arial"/>
          <w:color w:val="000000" w:themeColor="text1"/>
          <w:sz w:val="22"/>
          <w:szCs w:val="22"/>
          <w:lang w:val="es"/>
        </w:rPr>
      </w:pPr>
    </w:p>
    <w:p w14:paraId="0EED19CB" w14:textId="77777777" w:rsidR="009C6A55" w:rsidRPr="00A00B68" w:rsidRDefault="009C6A55" w:rsidP="00C72779">
      <w:pPr>
        <w:jc w:val="both"/>
        <w:rPr>
          <w:rFonts w:eastAsia="Arial" w:cs="Arial"/>
          <w:color w:val="000000" w:themeColor="text1"/>
          <w:sz w:val="22"/>
          <w:szCs w:val="22"/>
          <w:lang w:val="es"/>
        </w:rPr>
      </w:pPr>
      <w:r w:rsidRPr="00A00B68">
        <w:rPr>
          <w:rFonts w:eastAsia="Arial" w:cs="Arial"/>
          <w:color w:val="000000" w:themeColor="text1"/>
          <w:sz w:val="22"/>
          <w:szCs w:val="22"/>
          <w:lang w:val="es"/>
        </w:rPr>
        <w:t xml:space="preserve">Durante el primer semestre del año 2021, se realizó el Foro "CATASTRO MULTIPROPÓSITO, NUEVOS RETOS, NUEVOS PROFESIONALES", que contó con la participación de 270 universidades e instituciones de formación técnica y tecnológica de varias partes del país. Así mismo debido a la gran convocatoria y asistencia a este evento, se realizó un Facebook Live para socializar la política de catastro multipropósito y los retos de los profesionales en su implementación contó con la participación de 250 personas. </w:t>
      </w:r>
    </w:p>
    <w:p w14:paraId="0B06EA8C" w14:textId="77777777" w:rsidR="00D95FF2" w:rsidRPr="00553569" w:rsidRDefault="00D95FF2" w:rsidP="00553569">
      <w:bookmarkStart w:id="150" w:name="_Toc87622118"/>
    </w:p>
    <w:p w14:paraId="390340A9" w14:textId="781B65B8" w:rsidR="009C6A55" w:rsidRPr="00553569" w:rsidRDefault="00D95FF2" w:rsidP="00553569">
      <w:pPr>
        <w:rPr>
          <w:b/>
        </w:rPr>
      </w:pPr>
      <w:r w:rsidRPr="00553569">
        <w:rPr>
          <w:b/>
        </w:rPr>
        <w:t xml:space="preserve">4.4.3.2 </w:t>
      </w:r>
      <w:r w:rsidR="009C6A55" w:rsidRPr="00553569">
        <w:rPr>
          <w:b/>
        </w:rPr>
        <w:t>ENFOQUE TERRITORIAL</w:t>
      </w:r>
      <w:bookmarkEnd w:id="150"/>
    </w:p>
    <w:p w14:paraId="4CD46AE9" w14:textId="77777777" w:rsidR="009C6A55" w:rsidRPr="00A00B68" w:rsidRDefault="009C6A55" w:rsidP="00C72779">
      <w:pPr>
        <w:tabs>
          <w:tab w:val="left" w:pos="284"/>
        </w:tabs>
        <w:jc w:val="both"/>
        <w:rPr>
          <w:rFonts w:eastAsia="Arial" w:cs="Arial"/>
          <w:color w:val="000000" w:themeColor="text1"/>
          <w:sz w:val="22"/>
          <w:szCs w:val="22"/>
        </w:rPr>
      </w:pPr>
    </w:p>
    <w:p w14:paraId="0C164C7B" w14:textId="77777777" w:rsidR="009C6A55" w:rsidRPr="00A00B68" w:rsidRDefault="009C6A55" w:rsidP="00C72779">
      <w:pPr>
        <w:tabs>
          <w:tab w:val="left" w:pos="284"/>
        </w:tabs>
        <w:jc w:val="both"/>
        <w:rPr>
          <w:sz w:val="22"/>
          <w:szCs w:val="22"/>
        </w:rPr>
      </w:pPr>
      <w:r w:rsidRPr="00A00B68">
        <w:rPr>
          <w:rFonts w:eastAsia="Arial" w:cs="Arial"/>
          <w:color w:val="000000" w:themeColor="text1"/>
          <w:sz w:val="22"/>
          <w:szCs w:val="22"/>
        </w:rPr>
        <w:t xml:space="preserve">Se implementó el Sistema de Información Geográfica del Catatumbo, en la Asociación de municipios del Catatumbo, como apoyo a los procesos de actualización de los planes de ordenamiento territorial de los municipios de la región, esto se puede evidenciar en el siguiente link </w:t>
      </w:r>
      <w:hyperlink r:id="rId102">
        <w:r w:rsidRPr="00A00B68">
          <w:rPr>
            <w:rStyle w:val="Hipervnculo"/>
            <w:rFonts w:eastAsia="Arial" w:cs="Arial"/>
            <w:sz w:val="22"/>
            <w:szCs w:val="22"/>
            <w:lang w:val="es-CO"/>
          </w:rPr>
          <w:t>https://asomunicipios.gov.co/asociacion/proyectos/sig-catatumbo/</w:t>
        </w:r>
      </w:hyperlink>
      <w:r w:rsidRPr="00A00B68">
        <w:rPr>
          <w:rStyle w:val="Hipervnculo"/>
          <w:rFonts w:eastAsia="Arial" w:cs="Arial"/>
          <w:sz w:val="22"/>
          <w:szCs w:val="22"/>
          <w:lang w:val="es-CO"/>
        </w:rPr>
        <w:t>.</w:t>
      </w:r>
    </w:p>
    <w:p w14:paraId="6901093C" w14:textId="77777777" w:rsidR="00D95FF2" w:rsidRDefault="009C6A55" w:rsidP="00C72779">
      <w:pPr>
        <w:tabs>
          <w:tab w:val="left" w:pos="284"/>
        </w:tabs>
        <w:rPr>
          <w:rFonts w:eastAsia="Arial" w:cs="Arial"/>
          <w:color w:val="000000" w:themeColor="text1"/>
          <w:sz w:val="22"/>
          <w:szCs w:val="22"/>
        </w:rPr>
      </w:pPr>
      <w:r w:rsidRPr="00A00B68">
        <w:rPr>
          <w:rFonts w:eastAsia="Arial" w:cs="Arial"/>
          <w:color w:val="000000" w:themeColor="text1"/>
          <w:sz w:val="22"/>
          <w:szCs w:val="22"/>
        </w:rPr>
        <w:t xml:space="preserve"> </w:t>
      </w:r>
      <w:bookmarkStart w:id="151" w:name="_Toc87622119"/>
    </w:p>
    <w:p w14:paraId="3DE0877D" w14:textId="6A78B2FD" w:rsidR="009C6A55" w:rsidRPr="00D95FF2" w:rsidRDefault="00D95FF2" w:rsidP="00C72779">
      <w:pPr>
        <w:tabs>
          <w:tab w:val="left" w:pos="284"/>
        </w:tabs>
        <w:rPr>
          <w:b/>
          <w:bCs/>
          <w:sz w:val="22"/>
          <w:szCs w:val="22"/>
        </w:rPr>
      </w:pPr>
      <w:r w:rsidRPr="00D95FF2">
        <w:rPr>
          <w:rFonts w:eastAsia="Arial" w:cs="Arial"/>
          <w:b/>
          <w:bCs/>
          <w:color w:val="000000" w:themeColor="text1"/>
          <w:sz w:val="22"/>
          <w:szCs w:val="22"/>
        </w:rPr>
        <w:t xml:space="preserve">4.4.3.3 </w:t>
      </w:r>
      <w:r w:rsidR="009C6A55" w:rsidRPr="00D95FF2">
        <w:rPr>
          <w:b/>
          <w:bCs/>
          <w:sz w:val="22"/>
          <w:szCs w:val="22"/>
        </w:rPr>
        <w:t>ALIANZAS ESTRATÉGICAS</w:t>
      </w:r>
      <w:bookmarkEnd w:id="151"/>
    </w:p>
    <w:p w14:paraId="69BA8C3E" w14:textId="77777777" w:rsidR="009C6A55" w:rsidRPr="00A00B68" w:rsidRDefault="009C6A55" w:rsidP="00C72779">
      <w:pPr>
        <w:ind w:left="360"/>
        <w:rPr>
          <w:rFonts w:cs="Arial"/>
          <w:sz w:val="22"/>
          <w:szCs w:val="22"/>
        </w:rPr>
      </w:pPr>
    </w:p>
    <w:p w14:paraId="6DFB2E50" w14:textId="72B9B1D0" w:rsidR="009C6A55" w:rsidRPr="009F4CE8" w:rsidRDefault="009C6A55" w:rsidP="000A20EE">
      <w:pPr>
        <w:pStyle w:val="Prrafodelista"/>
        <w:numPr>
          <w:ilvl w:val="0"/>
          <w:numId w:val="112"/>
        </w:numPr>
        <w:rPr>
          <w:rFonts w:cs="Arial"/>
          <w:b/>
          <w:sz w:val="22"/>
          <w:szCs w:val="22"/>
        </w:rPr>
      </w:pPr>
      <w:r w:rsidRPr="00A00B68">
        <w:rPr>
          <w:rFonts w:cs="Arial"/>
          <w:b/>
          <w:sz w:val="22"/>
          <w:szCs w:val="22"/>
        </w:rPr>
        <w:t xml:space="preserve">PROCALCULO: </w:t>
      </w:r>
      <w:r w:rsidRPr="00A00B68">
        <w:rPr>
          <w:rFonts w:cs="Arial"/>
          <w:bCs/>
          <w:sz w:val="22"/>
          <w:szCs w:val="22"/>
        </w:rPr>
        <w:t>Alianza de cooperación en Ciencia, Tecnología e Innovación para el desarrollo de proyectos de innovación en tecnologías de observación de la tierra.</w:t>
      </w:r>
    </w:p>
    <w:p w14:paraId="5C9C60A2" w14:textId="77777777" w:rsidR="009C6A55" w:rsidRPr="00A00B68" w:rsidRDefault="009C6A55" w:rsidP="000A20EE">
      <w:pPr>
        <w:pStyle w:val="Prrafodelista"/>
        <w:numPr>
          <w:ilvl w:val="0"/>
          <w:numId w:val="112"/>
        </w:numPr>
        <w:rPr>
          <w:rFonts w:cs="Arial"/>
          <w:sz w:val="22"/>
          <w:szCs w:val="22"/>
        </w:rPr>
      </w:pPr>
      <w:r w:rsidRPr="00A00B68">
        <w:rPr>
          <w:rFonts w:cs="Arial"/>
          <w:b/>
          <w:bCs/>
          <w:sz w:val="22"/>
          <w:szCs w:val="22"/>
        </w:rPr>
        <w:t xml:space="preserve">CENTRO INTERNACIONAL DE FÍSICA- CIF. </w:t>
      </w:r>
      <w:r w:rsidRPr="00A00B68">
        <w:rPr>
          <w:rFonts w:cs="Arial"/>
          <w:sz w:val="22"/>
          <w:szCs w:val="22"/>
        </w:rPr>
        <w:t>Alianza para la gestión, formulación y presentación de propuestas de Ciencia, Tecnología e Innovación.</w:t>
      </w:r>
    </w:p>
    <w:p w14:paraId="75AC681A" w14:textId="478BE350" w:rsidR="009C6A55" w:rsidRPr="009F4CE8" w:rsidRDefault="009C6A55" w:rsidP="000A20EE">
      <w:pPr>
        <w:pStyle w:val="Prrafodelista"/>
        <w:numPr>
          <w:ilvl w:val="0"/>
          <w:numId w:val="112"/>
        </w:numPr>
        <w:rPr>
          <w:rFonts w:cs="Arial"/>
          <w:sz w:val="22"/>
          <w:szCs w:val="22"/>
        </w:rPr>
      </w:pPr>
      <w:r w:rsidRPr="00A00B68">
        <w:rPr>
          <w:rFonts w:cs="Arial"/>
          <w:b/>
          <w:bCs/>
          <w:sz w:val="22"/>
          <w:szCs w:val="22"/>
        </w:rPr>
        <w:t>DNP – JICA-APC.</w:t>
      </w:r>
      <w:r w:rsidRPr="00A00B68">
        <w:rPr>
          <w:rFonts w:cs="Arial"/>
          <w:b/>
          <w:color w:val="FF0000"/>
          <w:sz w:val="22"/>
          <w:szCs w:val="22"/>
        </w:rPr>
        <w:t xml:space="preserve"> </w:t>
      </w:r>
      <w:r w:rsidRPr="00A00B68">
        <w:rPr>
          <w:rFonts w:cs="Arial"/>
          <w:bCs/>
          <w:sz w:val="22"/>
          <w:szCs w:val="22"/>
        </w:rPr>
        <w:t>Actualmente en proceso de gestión el acuerdo</w:t>
      </w:r>
      <w:r w:rsidRPr="00A00B68">
        <w:rPr>
          <w:rFonts w:cs="Arial"/>
          <w:sz w:val="22"/>
          <w:szCs w:val="22"/>
        </w:rPr>
        <w:t xml:space="preserve"> para la realización de actividades de transferencia del conocimiento en temas de planeación territorial con participación de varios países de la región latinoamericana y del caribe.</w:t>
      </w:r>
    </w:p>
    <w:p w14:paraId="54755269" w14:textId="77777777" w:rsidR="00DC2B66" w:rsidRPr="00DC2B66" w:rsidRDefault="00DC2B66" w:rsidP="00C72779">
      <w:pPr>
        <w:pStyle w:val="Lista"/>
      </w:pPr>
    </w:p>
    <w:p w14:paraId="502824F1" w14:textId="452DAAE9" w:rsidR="0084287E" w:rsidRDefault="009F4CE8" w:rsidP="000A20EE">
      <w:pPr>
        <w:pStyle w:val="Prrafodelista"/>
        <w:numPr>
          <w:ilvl w:val="2"/>
          <w:numId w:val="23"/>
        </w:numPr>
        <w:rPr>
          <w:b/>
          <w:bCs/>
          <w:sz w:val="22"/>
          <w:szCs w:val="22"/>
        </w:rPr>
      </w:pPr>
      <w:r w:rsidRPr="002D2F11">
        <w:rPr>
          <w:b/>
          <w:bCs/>
          <w:sz w:val="22"/>
          <w:szCs w:val="22"/>
        </w:rPr>
        <w:t>OTROS LOGROS</w:t>
      </w:r>
    </w:p>
    <w:p w14:paraId="042032D2" w14:textId="77777777" w:rsidR="00DF3D47" w:rsidRPr="00A00B68" w:rsidRDefault="00DF3D47" w:rsidP="00C72779">
      <w:pPr>
        <w:jc w:val="center"/>
        <w:rPr>
          <w:rFonts w:eastAsia="Arial" w:cs="Arial"/>
          <w:color w:val="000000" w:themeColor="text1"/>
          <w:sz w:val="22"/>
          <w:szCs w:val="22"/>
          <w:lang w:val="es-CO"/>
        </w:rPr>
      </w:pPr>
    </w:p>
    <w:p w14:paraId="13D3EA37" w14:textId="63BB0DA1" w:rsidR="006A0722" w:rsidRPr="00B745CC" w:rsidRDefault="006A0722" w:rsidP="000A20EE">
      <w:pPr>
        <w:pStyle w:val="paragraph"/>
        <w:numPr>
          <w:ilvl w:val="0"/>
          <w:numId w:val="105"/>
        </w:numPr>
        <w:spacing w:before="0" w:beforeAutospacing="0" w:after="0" w:afterAutospacing="0"/>
        <w:jc w:val="both"/>
        <w:textAlignment w:val="baseline"/>
        <w:rPr>
          <w:rStyle w:val="normaltextrun"/>
          <w:rFonts w:cs="Arial"/>
          <w:color w:val="000000"/>
          <w:position w:val="1"/>
          <w:sz w:val="22"/>
          <w:szCs w:val="22"/>
        </w:rPr>
      </w:pPr>
      <w:r w:rsidRPr="00B745CC">
        <w:rPr>
          <w:rStyle w:val="normaltextrun"/>
          <w:rFonts w:cs="Arial"/>
          <w:color w:val="000000"/>
          <w:position w:val="1"/>
          <w:sz w:val="22"/>
          <w:szCs w:val="22"/>
        </w:rPr>
        <w:t>Elaboración de dos proyectos aprobados para desarrollo por el programa retos MINTIC. Data Science for All – DS4A.​ Actualmente en etapa de implementación.</w:t>
      </w:r>
    </w:p>
    <w:p w14:paraId="290EFC64" w14:textId="72E83DFE" w:rsidR="006A0722" w:rsidRPr="00B745CC" w:rsidRDefault="006A0722" w:rsidP="000A20EE">
      <w:pPr>
        <w:pStyle w:val="paragraph"/>
        <w:numPr>
          <w:ilvl w:val="0"/>
          <w:numId w:val="105"/>
        </w:numPr>
        <w:spacing w:before="0" w:beforeAutospacing="0" w:after="0" w:afterAutospacing="0"/>
        <w:jc w:val="both"/>
        <w:textAlignment w:val="baseline"/>
        <w:rPr>
          <w:rStyle w:val="normaltextrun"/>
          <w:rFonts w:cs="Arial"/>
          <w:color w:val="000000"/>
          <w:position w:val="1"/>
          <w:sz w:val="22"/>
          <w:szCs w:val="22"/>
        </w:rPr>
      </w:pPr>
      <w:r w:rsidRPr="00B745CC">
        <w:rPr>
          <w:rStyle w:val="normaltextrun"/>
          <w:rFonts w:cs="Arial"/>
          <w:color w:val="000000"/>
          <w:position w:val="1"/>
          <w:sz w:val="22"/>
          <w:szCs w:val="22"/>
        </w:rPr>
        <w:t>Cuatro artículos aprobados por pares técnicos evaluadores para publicación en revistas internacionales. ​</w:t>
      </w:r>
    </w:p>
    <w:p w14:paraId="66D7FC63" w14:textId="01327CC9" w:rsidR="006A0722" w:rsidRPr="00B745CC" w:rsidRDefault="006A0722" w:rsidP="000A20EE">
      <w:pPr>
        <w:pStyle w:val="paragraph"/>
        <w:numPr>
          <w:ilvl w:val="0"/>
          <w:numId w:val="105"/>
        </w:numPr>
        <w:spacing w:before="0" w:beforeAutospacing="0" w:after="0" w:afterAutospacing="0"/>
        <w:jc w:val="both"/>
        <w:textAlignment w:val="baseline"/>
        <w:rPr>
          <w:rFonts w:eastAsia="Arial" w:cs="Arial"/>
          <w:color w:val="000000" w:themeColor="text1"/>
          <w:sz w:val="22"/>
          <w:szCs w:val="22"/>
          <w:lang w:val="es"/>
        </w:rPr>
      </w:pPr>
      <w:r w:rsidRPr="00B745CC">
        <w:rPr>
          <w:rStyle w:val="normaltextrun"/>
          <w:rFonts w:cs="Arial"/>
          <w:color w:val="000000"/>
          <w:position w:val="1"/>
          <w:sz w:val="22"/>
          <w:szCs w:val="22"/>
        </w:rPr>
        <w:t>Postulación de la Dirección de Investigación y Prospectiva al reconocimiento como actor del SNCTI ante MINCIENCIAS. (Postulación: agosto – Resultados: diciembre 2021).</w:t>
      </w:r>
      <w:r w:rsidRPr="00B745CC">
        <w:rPr>
          <w:rFonts w:eastAsia="Arial" w:cs="Arial"/>
          <w:color w:val="000000" w:themeColor="text1"/>
          <w:sz w:val="22"/>
          <w:szCs w:val="22"/>
          <w:lang w:val="es"/>
        </w:rPr>
        <w:t>  ​</w:t>
      </w:r>
    </w:p>
    <w:p w14:paraId="06FA44E0" w14:textId="77777777" w:rsidR="006A0722" w:rsidRPr="00B745CC" w:rsidRDefault="006A0722" w:rsidP="000A20EE">
      <w:pPr>
        <w:pStyle w:val="paragraph"/>
        <w:numPr>
          <w:ilvl w:val="0"/>
          <w:numId w:val="105"/>
        </w:numPr>
        <w:spacing w:before="0" w:beforeAutospacing="0" w:after="0" w:afterAutospacing="0"/>
        <w:jc w:val="both"/>
        <w:textAlignment w:val="baseline"/>
        <w:rPr>
          <w:rFonts w:eastAsia="Arial" w:cs="Arial"/>
          <w:color w:val="000000" w:themeColor="text1"/>
          <w:sz w:val="22"/>
          <w:szCs w:val="22"/>
          <w:lang w:eastAsia="ar-SA"/>
        </w:rPr>
      </w:pPr>
      <w:r w:rsidRPr="00B745CC">
        <w:rPr>
          <w:rStyle w:val="normaltextrun"/>
          <w:rFonts w:cs="Arial"/>
          <w:color w:val="000000"/>
          <w:position w:val="1"/>
          <w:sz w:val="22"/>
          <w:szCs w:val="22"/>
        </w:rPr>
        <w:lastRenderedPageBreak/>
        <w:t>Dos proyectos de </w:t>
      </w:r>
      <w:r w:rsidRPr="00B745CC">
        <w:rPr>
          <w:rStyle w:val="spellingerror"/>
          <w:rFonts w:cs="Arial"/>
          <w:color w:val="000000"/>
          <w:position w:val="1"/>
          <w:sz w:val="22"/>
          <w:szCs w:val="22"/>
        </w:rPr>
        <w:t>Ciencia Tecnología e Innovación</w:t>
      </w:r>
      <w:r w:rsidRPr="00B745CC">
        <w:rPr>
          <w:rStyle w:val="normaltextrun"/>
          <w:rFonts w:cs="Arial"/>
          <w:color w:val="000000"/>
          <w:position w:val="1"/>
          <w:sz w:val="22"/>
          <w:szCs w:val="22"/>
        </w:rPr>
        <w:t xml:space="preserve"> presentados y declarados como elegibles por MINCIENCIAS en las convocatorias para resolver desafíos en Bioeconomía y de innovación para la productividad, la competitividad y el desarrollo social de los territorios – SGR. </w:t>
      </w:r>
    </w:p>
    <w:p w14:paraId="1719C317" w14:textId="77777777" w:rsidR="00D95FF2" w:rsidRDefault="00D95FF2" w:rsidP="00C72779">
      <w:pPr>
        <w:pStyle w:val="Lista"/>
      </w:pPr>
    </w:p>
    <w:p w14:paraId="500741BA" w14:textId="2F7EF5AC" w:rsidR="00E722D8" w:rsidRPr="00E722D8" w:rsidRDefault="009F4CE8" w:rsidP="000A20EE">
      <w:pPr>
        <w:pStyle w:val="Prrafodelista"/>
        <w:numPr>
          <w:ilvl w:val="2"/>
          <w:numId w:val="23"/>
        </w:numPr>
        <w:rPr>
          <w:b/>
          <w:bCs/>
          <w:sz w:val="22"/>
          <w:szCs w:val="22"/>
        </w:rPr>
      </w:pPr>
      <w:r w:rsidRPr="002D2F11">
        <w:rPr>
          <w:b/>
          <w:bCs/>
          <w:sz w:val="22"/>
          <w:szCs w:val="22"/>
        </w:rPr>
        <w:t>ANTECEDENTES Y</w:t>
      </w:r>
      <w:r>
        <w:rPr>
          <w:b/>
          <w:bCs/>
          <w:sz w:val="22"/>
          <w:szCs w:val="22"/>
        </w:rPr>
        <w:t xml:space="preserve"> ESTADO ACTUAL DE LA DIRECCIÓN</w:t>
      </w:r>
    </w:p>
    <w:p w14:paraId="0473CD88" w14:textId="74F613C9" w:rsidR="006A0722" w:rsidRPr="001F0818" w:rsidRDefault="006A0722" w:rsidP="006679CF">
      <w:pPr>
        <w:pStyle w:val="Descripcin"/>
        <w:rPr>
          <w:rFonts w:ascii="Arial" w:hAnsi="Arial" w:cs="Arial"/>
          <w:b/>
          <w:i w:val="0"/>
          <w:color w:val="auto"/>
          <w:sz w:val="16"/>
          <w:szCs w:val="16"/>
        </w:rPr>
      </w:pPr>
    </w:p>
    <w:tbl>
      <w:tblPr>
        <w:tblStyle w:val="Tabladecuadrcula4-nfasis1"/>
        <w:tblW w:w="9699" w:type="dxa"/>
        <w:jc w:val="center"/>
        <w:tblLook w:val="04A0" w:firstRow="1" w:lastRow="0" w:firstColumn="1" w:lastColumn="0" w:noHBand="0" w:noVBand="1"/>
      </w:tblPr>
      <w:tblGrid>
        <w:gridCol w:w="2547"/>
        <w:gridCol w:w="3260"/>
        <w:gridCol w:w="3892"/>
      </w:tblGrid>
      <w:tr w:rsidR="006A0722" w:rsidRPr="00166211" w14:paraId="365ACEA6" w14:textId="77777777" w:rsidTr="31FF9146">
        <w:trPr>
          <w:cnfStyle w:val="100000000000" w:firstRow="1" w:lastRow="0" w:firstColumn="0" w:lastColumn="0" w:oddVBand="0" w:evenVBand="0" w:oddHBand="0" w:evenHBand="0" w:firstRowFirstColumn="0" w:firstRowLastColumn="0" w:lastRowFirstColumn="0" w:lastRowLastColumn="0"/>
          <w:trHeight w:val="308"/>
          <w:tblHeader/>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2AC9FF8E"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val="es-MX" w:eastAsia="en-US"/>
              </w:rPr>
              <w:t>Ítem</w:t>
            </w:r>
          </w:p>
        </w:tc>
        <w:tc>
          <w:tcPr>
            <w:tcW w:w="3260" w:type="dxa"/>
            <w:vAlign w:val="center"/>
          </w:tcPr>
          <w:p w14:paraId="225DB06C" w14:textId="1D452EF4" w:rsidR="006A0722" w:rsidRPr="00166211" w:rsidRDefault="006A0722"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Estado Inicial</w:t>
            </w:r>
          </w:p>
        </w:tc>
        <w:tc>
          <w:tcPr>
            <w:tcW w:w="3892" w:type="dxa"/>
            <w:vAlign w:val="center"/>
          </w:tcPr>
          <w:p w14:paraId="7F45DDCC" w14:textId="77777777" w:rsidR="006A0722" w:rsidRPr="00166211" w:rsidRDefault="006A0722"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Estado Actual</w:t>
            </w:r>
          </w:p>
        </w:tc>
      </w:tr>
      <w:tr w:rsidR="006A0722" w:rsidRPr="00166211" w14:paraId="13FFE63C" w14:textId="77777777" w:rsidTr="31FF9146">
        <w:trPr>
          <w:cnfStyle w:val="000000100000" w:firstRow="0" w:lastRow="0" w:firstColumn="0" w:lastColumn="0" w:oddVBand="0" w:evenVBand="0" w:oddHBand="1" w:evenHBand="0" w:firstRowFirstColumn="0" w:firstRowLastColumn="0" w:lastRowFirstColumn="0" w:lastRowLastColumn="0"/>
          <w:trHeight w:val="1705"/>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54B693BD"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val="es-MX" w:eastAsia="en-US"/>
              </w:rPr>
              <w:t>Información</w:t>
            </w:r>
          </w:p>
        </w:tc>
        <w:tc>
          <w:tcPr>
            <w:tcW w:w="3260" w:type="dxa"/>
            <w:vAlign w:val="center"/>
          </w:tcPr>
          <w:p w14:paraId="7B4EA6E7"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Información desactualizada frente al estado de los convenios/contratos de la anterior oficina CIAF.</w:t>
            </w:r>
          </w:p>
          <w:p w14:paraId="1365E5AE"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4728FE21"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Problemas de trazabilidad de información y procesos, debido a cambios como: Cese de funcionarios pensionados, cambios de plataformas tecnológicas, entre otros.</w:t>
            </w:r>
          </w:p>
        </w:tc>
        <w:tc>
          <w:tcPr>
            <w:tcW w:w="3892" w:type="dxa"/>
            <w:vAlign w:val="center"/>
          </w:tcPr>
          <w:p w14:paraId="0AAA217E"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3BD388A9"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Realización de copias de seguridad de expedientes de convenios y expedientes académicos.</w:t>
            </w:r>
          </w:p>
          <w:p w14:paraId="3D2E837A"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3C76AF1F" w14:textId="022719BD"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Ejercicios de transferencia de conocimientos por parte de los funcionarios próximos a pensionarse a los equipos de trabajo de la dependencia</w:t>
            </w:r>
          </w:p>
          <w:p w14:paraId="3028FCE6"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2F7AC5B8"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tc>
      </w:tr>
      <w:tr w:rsidR="006A0722" w:rsidRPr="00166211" w14:paraId="721B649C" w14:textId="77777777" w:rsidTr="31FF9146">
        <w:trPr>
          <w:trHeight w:val="1266"/>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5B303CB9"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val="es-MX" w:eastAsia="en-US"/>
              </w:rPr>
              <w:t>Alcance del proceso</w:t>
            </w:r>
          </w:p>
        </w:tc>
        <w:tc>
          <w:tcPr>
            <w:tcW w:w="3260" w:type="dxa"/>
            <w:vAlign w:val="center"/>
          </w:tcPr>
          <w:p w14:paraId="6496767F" w14:textId="31132BFF" w:rsidR="006A0722" w:rsidRPr="00166211" w:rsidRDefault="006A0722"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 xml:space="preserve">El Centro de Investigación y Desarrollo en Información Geográfica CIAF tenía a cargo el proceso </w:t>
            </w:r>
            <w:r w:rsidRPr="00166211">
              <w:rPr>
                <w:rFonts w:cs="Arial"/>
                <w:b/>
                <w:bCs/>
                <w:sz w:val="20"/>
                <w:szCs w:val="20"/>
                <w:lang w:val="es-MX" w:eastAsia="en-US"/>
              </w:rPr>
              <w:t>estratégico</w:t>
            </w:r>
            <w:r w:rsidRPr="00166211">
              <w:rPr>
                <w:rFonts w:cs="Arial"/>
                <w:sz w:val="20"/>
                <w:szCs w:val="20"/>
                <w:lang w:val="es-MX" w:eastAsia="en-US"/>
              </w:rPr>
              <w:t xml:space="preserve"> de gestión del conocimiento, investigación e innovación el cual se encontraba centrado</w:t>
            </w:r>
          </w:p>
          <w:p w14:paraId="7B4CD88D" w14:textId="478BA24A"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en la Transferencia de conocimientos e I+D+i en tecnologías geoespaciales para usuarios externos</w:t>
            </w:r>
          </w:p>
        </w:tc>
        <w:tc>
          <w:tcPr>
            <w:tcW w:w="3892" w:type="dxa"/>
            <w:vAlign w:val="center"/>
          </w:tcPr>
          <w:p w14:paraId="4E1C8113"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 xml:space="preserve">La Dirección de Investigación y Prospectiva tiene a cargo el proceso </w:t>
            </w:r>
            <w:r w:rsidRPr="00166211">
              <w:rPr>
                <w:rFonts w:cs="Arial"/>
                <w:b/>
                <w:bCs/>
                <w:sz w:val="20"/>
                <w:szCs w:val="20"/>
                <w:lang w:val="es-MX" w:eastAsia="en-US"/>
              </w:rPr>
              <w:t>misional</w:t>
            </w:r>
            <w:r w:rsidRPr="00166211">
              <w:rPr>
                <w:rFonts w:cs="Arial"/>
                <w:sz w:val="20"/>
                <w:szCs w:val="20"/>
                <w:lang w:val="es-MX" w:eastAsia="en-US"/>
              </w:rPr>
              <w:t xml:space="preserve"> innovación y gestión del conocimiento aplicado.</w:t>
            </w:r>
          </w:p>
          <w:p w14:paraId="36908673" w14:textId="77777777" w:rsidR="006A0722" w:rsidRPr="00166211" w:rsidRDefault="006A0722"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6182CDBB"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Este proceso amplía su alcance para realizar estudios de prospectiva y dinámica inmobiliaria, a partir de diferentes fuentes de información y basados en ciencia de datos, así como formular y ejecutar investigaciones, estudios y proyectos de innovación sobre metodologías, sistemas y procedimientos que aseguren la apropiación de nuevas tecnologías, aprovechamiento de la información y la optimización de procesos de producción de productos y servicios catastrales, cartográficos, geodésicos, agrológicos y geográficos del Instituto, que permitan</w:t>
            </w:r>
            <w:r w:rsidRPr="00166211">
              <w:rPr>
                <w:rStyle w:val="normaltextrun"/>
                <w:rFonts w:ascii="Century Gothic" w:hAnsi="Century Gothic"/>
                <w:color w:val="000000"/>
                <w:position w:val="2"/>
                <w:sz w:val="20"/>
                <w:szCs w:val="20"/>
                <w:shd w:val="clear" w:color="auto" w:fill="EDEBE9"/>
              </w:rPr>
              <w:t xml:space="preserve"> </w:t>
            </w:r>
            <w:r w:rsidRPr="00166211">
              <w:rPr>
                <w:rFonts w:cs="Arial"/>
                <w:sz w:val="20"/>
                <w:szCs w:val="20"/>
                <w:lang w:val="es-MX" w:eastAsia="en-US"/>
              </w:rPr>
              <w:t>además, brindar apoyo a procesos de planificación para el desarrollo territorial sostenible, de acuerdo con los lineamientos y los procedimientos establecidos. </w:t>
            </w:r>
            <w:r w:rsidRPr="00166211">
              <w:rPr>
                <w:sz w:val="20"/>
                <w:szCs w:val="20"/>
                <w:lang w:val="es-MX" w:eastAsia="en-US"/>
              </w:rPr>
              <w:t>​</w:t>
            </w:r>
          </w:p>
        </w:tc>
      </w:tr>
      <w:tr w:rsidR="006A0722" w:rsidRPr="00166211" w14:paraId="6C645EA5" w14:textId="77777777" w:rsidTr="31FF9146">
        <w:trPr>
          <w:cnfStyle w:val="000000100000" w:firstRow="0" w:lastRow="0" w:firstColumn="0" w:lastColumn="0" w:oddVBand="0" w:evenVBand="0" w:oddHBand="1" w:evenHBand="0" w:firstRowFirstColumn="0" w:firstRowLastColumn="0" w:lastRowFirstColumn="0" w:lastRowLastColumn="0"/>
          <w:trHeight w:val="285"/>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1FEFA12C"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val="es-MX" w:eastAsia="en-US"/>
              </w:rPr>
              <w:t>Seguimiento</w:t>
            </w:r>
          </w:p>
        </w:tc>
        <w:tc>
          <w:tcPr>
            <w:tcW w:w="3260" w:type="dxa"/>
            <w:vAlign w:val="center"/>
          </w:tcPr>
          <w:p w14:paraId="4706C90F"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A través de reportes independientes, por cada instrumento de seguimiento y medición.</w:t>
            </w:r>
          </w:p>
        </w:tc>
        <w:tc>
          <w:tcPr>
            <w:tcW w:w="3892" w:type="dxa"/>
            <w:vAlign w:val="center"/>
          </w:tcPr>
          <w:p w14:paraId="6A5C2781"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Seguimiento a través de un solo instrumentos que consolida todas las metas y compromisos de la dependencia.</w:t>
            </w:r>
          </w:p>
        </w:tc>
      </w:tr>
      <w:tr w:rsidR="006A0722" w:rsidRPr="00166211" w14:paraId="1D0EE413" w14:textId="77777777" w:rsidTr="31FF9146">
        <w:trPr>
          <w:trHeight w:val="3746"/>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8FD786" w14:textId="77777777" w:rsidR="006A0722" w:rsidRPr="00166211" w:rsidRDefault="006A0722" w:rsidP="00C72779">
            <w:pPr>
              <w:suppressAutoHyphens w:val="0"/>
              <w:jc w:val="center"/>
              <w:rPr>
                <w:rFonts w:cs="Arial"/>
                <w:b w:val="0"/>
                <w:sz w:val="20"/>
                <w:szCs w:val="20"/>
                <w:lang w:val="es-MX" w:eastAsia="en-US"/>
              </w:rPr>
            </w:pPr>
            <w:r w:rsidRPr="00166211">
              <w:rPr>
                <w:rFonts w:cs="Arial"/>
                <w:sz w:val="20"/>
                <w:szCs w:val="20"/>
                <w:lang w:val="es-MX" w:eastAsia="en-US"/>
              </w:rPr>
              <w:lastRenderedPageBreak/>
              <w:t>Procedimientos</w:t>
            </w:r>
          </w:p>
        </w:tc>
        <w:tc>
          <w:tcPr>
            <w:tcW w:w="3260" w:type="dxa"/>
            <w:vAlign w:val="center"/>
          </w:tcPr>
          <w:p w14:paraId="664C2BFC"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En el proceso de gestión del conocimiento, investigación e innovación del anterior mapa de procesos se contaba con los siguientes procedimientos los cuales estaban desactualizados, estos son:</w:t>
            </w:r>
          </w:p>
          <w:p w14:paraId="13404980" w14:textId="77777777" w:rsidR="006A0722" w:rsidRPr="00166211" w:rsidRDefault="006A0722" w:rsidP="000A20EE">
            <w:pPr>
              <w:pStyle w:val="Prrafodelista"/>
              <w:numPr>
                <w:ilvl w:val="0"/>
                <w:numId w:val="106"/>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166211">
              <w:rPr>
                <w:rFonts w:cs="Arial"/>
                <w:lang w:val="es-MX"/>
              </w:rPr>
              <w:t>Transferencia de conocimientos.</w:t>
            </w:r>
          </w:p>
          <w:p w14:paraId="24507D02" w14:textId="77777777" w:rsidR="006A0722" w:rsidRPr="00166211" w:rsidRDefault="006A0722" w:rsidP="000A20EE">
            <w:pPr>
              <w:pStyle w:val="Prrafodelista"/>
              <w:numPr>
                <w:ilvl w:val="0"/>
                <w:numId w:val="106"/>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166211">
              <w:rPr>
                <w:rFonts w:cs="Arial"/>
                <w:lang w:val="es-MX"/>
              </w:rPr>
              <w:t>Investigación, Desarrollo e Innovación.</w:t>
            </w:r>
          </w:p>
          <w:p w14:paraId="3ED87079" w14:textId="77777777" w:rsidR="006A0722" w:rsidRPr="00166211" w:rsidRDefault="006A0722" w:rsidP="000A20EE">
            <w:pPr>
              <w:pStyle w:val="Prrafodelista"/>
              <w:numPr>
                <w:ilvl w:val="0"/>
                <w:numId w:val="106"/>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166211">
              <w:rPr>
                <w:rFonts w:cs="Arial"/>
                <w:lang w:val="es-MX"/>
              </w:rPr>
              <w:t>Elaboración de metadatos geográficos.</w:t>
            </w:r>
          </w:p>
          <w:p w14:paraId="105F9505" w14:textId="77777777" w:rsidR="006A0722" w:rsidRPr="00166211" w:rsidRDefault="006A0722" w:rsidP="000A20EE">
            <w:pPr>
              <w:pStyle w:val="Prrafodelista"/>
              <w:numPr>
                <w:ilvl w:val="0"/>
                <w:numId w:val="106"/>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166211">
              <w:rPr>
                <w:rFonts w:cs="Arial"/>
                <w:lang w:val="es-MX"/>
              </w:rPr>
              <w:t>Diseño y Desarrollo en Sistemas de Información Geográfica.</w:t>
            </w:r>
          </w:p>
        </w:tc>
        <w:tc>
          <w:tcPr>
            <w:tcW w:w="3892" w:type="dxa"/>
            <w:vAlign w:val="center"/>
          </w:tcPr>
          <w:p w14:paraId="3DE4AA19"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En el proceso de innovación y gestión del conocimiento aplicado se realizó la derogación de los procesos que ya no hacen parte de las nuevas actividades del proceso.</w:t>
            </w:r>
          </w:p>
          <w:p w14:paraId="085E4D4A"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24C7B8F2"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Así mismo se realizó la actualización del procedimiento de Estudios Multitemporales y se realizó la identificación de los nuevos procedimientos acorde con la nueva caracterización de proceso.</w:t>
            </w:r>
          </w:p>
        </w:tc>
      </w:tr>
      <w:tr w:rsidR="006A0722" w:rsidRPr="00166211" w14:paraId="08889414" w14:textId="77777777" w:rsidTr="31FF9146">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5F505D4E"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val="es-MX" w:eastAsia="en-US"/>
              </w:rPr>
              <w:t>Equipo Humano</w:t>
            </w:r>
          </w:p>
        </w:tc>
        <w:tc>
          <w:tcPr>
            <w:tcW w:w="3260" w:type="dxa"/>
            <w:vAlign w:val="center"/>
          </w:tcPr>
          <w:p w14:paraId="29186037"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No funcionarios de Planta: 15</w:t>
            </w:r>
          </w:p>
          <w:p w14:paraId="272FE085"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72C50D2E" w14:textId="52DDDAC1"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Casos de funcionarios en préstamo en otras dependencias.</w:t>
            </w:r>
          </w:p>
        </w:tc>
        <w:tc>
          <w:tcPr>
            <w:tcW w:w="3892" w:type="dxa"/>
            <w:vAlign w:val="center"/>
          </w:tcPr>
          <w:p w14:paraId="0C9786C4"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No funcionarios de Planta: 25</w:t>
            </w:r>
          </w:p>
          <w:p w14:paraId="2C19B3CB"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71133B20"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Funcionarios de planta posesionados en sus cargos acordes a sus manuales de funciones.</w:t>
            </w:r>
          </w:p>
          <w:p w14:paraId="09D0264D" w14:textId="77777777"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4692CB28" w14:textId="5C1EBFA3" w:rsidR="006A0722" w:rsidRPr="00166211" w:rsidRDefault="006A0722" w:rsidP="00C72779">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Pendiente finalización de procesos de encargo para comple</w:t>
            </w:r>
            <w:r w:rsidR="00112700" w:rsidRPr="00166211">
              <w:rPr>
                <w:rFonts w:cs="Arial"/>
                <w:sz w:val="20"/>
                <w:szCs w:val="20"/>
                <w:lang w:val="es-MX" w:eastAsia="en-US"/>
              </w:rPr>
              <w:t>tar la planta de la dependencia</w:t>
            </w:r>
          </w:p>
        </w:tc>
      </w:tr>
      <w:tr w:rsidR="006A0722" w:rsidRPr="00166211" w14:paraId="59BAFFE6" w14:textId="77777777" w:rsidTr="31FF9146">
        <w:trPr>
          <w:trHeight w:val="926"/>
          <w:jc w:val="cent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7AA56EDF" w14:textId="77777777" w:rsidR="006A0722" w:rsidRPr="00166211" w:rsidRDefault="006A0722" w:rsidP="00C72779">
            <w:pPr>
              <w:suppressAutoHyphens w:val="0"/>
              <w:jc w:val="center"/>
              <w:rPr>
                <w:rFonts w:cs="Arial"/>
                <w:sz w:val="20"/>
                <w:szCs w:val="20"/>
                <w:lang w:val="es-MX" w:eastAsia="en-US"/>
              </w:rPr>
            </w:pPr>
            <w:r w:rsidRPr="00166211">
              <w:rPr>
                <w:rFonts w:cs="Arial"/>
                <w:sz w:val="20"/>
                <w:szCs w:val="20"/>
                <w:lang w:eastAsia="en-US"/>
              </w:rPr>
              <w:t>Otros – Estado convenio/contratos interadministrativos</w:t>
            </w:r>
          </w:p>
        </w:tc>
        <w:tc>
          <w:tcPr>
            <w:tcW w:w="3260" w:type="dxa"/>
            <w:vAlign w:val="center"/>
          </w:tcPr>
          <w:p w14:paraId="379B5646"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Se contaba con 100 convenios (Inactivos)</w:t>
            </w:r>
          </w:p>
        </w:tc>
        <w:tc>
          <w:tcPr>
            <w:tcW w:w="3892" w:type="dxa"/>
            <w:vAlign w:val="center"/>
          </w:tcPr>
          <w:p w14:paraId="5D499F9B"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Se realizó la organización y depuración de los convenios y contratos interadministrativos de la dependencia, se relacionan los resultados obtenidos:</w:t>
            </w:r>
          </w:p>
          <w:p w14:paraId="6C7CF7E4"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12 convenios Liquidados</w:t>
            </w:r>
          </w:p>
          <w:p w14:paraId="113EC5F7"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11 en proceso de Liquidación</w:t>
            </w:r>
          </w:p>
          <w:p w14:paraId="303D4A01"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19 convenios Vigentes</w:t>
            </w:r>
          </w:p>
          <w:p w14:paraId="3A4CE7D3"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166211">
              <w:rPr>
                <w:rFonts w:cs="Arial"/>
                <w:sz w:val="20"/>
                <w:szCs w:val="20"/>
                <w:lang w:val="es-MX" w:eastAsia="en-US"/>
              </w:rPr>
              <w:t>14 supervisiones actualizadas</w:t>
            </w:r>
          </w:p>
          <w:p w14:paraId="11ECFC08" w14:textId="77777777" w:rsidR="00B16E42" w:rsidRDefault="00B16E42" w:rsidP="00B16E42">
            <w:pPr>
              <w:overflowPunct w:val="0"/>
              <w:autoSpaceDE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1C98AA14" w14:textId="44E4A078" w:rsidR="00B16E42" w:rsidRPr="00B16E42" w:rsidRDefault="00B16E42" w:rsidP="00B16E42">
            <w:pPr>
              <w:overflowPunct w:val="0"/>
              <w:autoSpaceDE w:val="0"/>
              <w:jc w:val="both"/>
              <w:textAlignment w:val="baseline"/>
              <w:cnfStyle w:val="000000000000" w:firstRow="0" w:lastRow="0" w:firstColumn="0" w:lastColumn="0" w:oddVBand="0" w:evenVBand="0" w:oddHBand="0" w:evenHBand="0" w:firstRowFirstColumn="0" w:firstRowLastColumn="0" w:lastRowFirstColumn="0" w:lastRowLastColumn="0"/>
              <w:rPr>
                <w:rFonts w:cs="Arial"/>
                <w:b/>
                <w:bCs/>
                <w:sz w:val="20"/>
                <w:szCs w:val="22"/>
                <w:lang w:val="es-CO" w:eastAsia="en-US"/>
              </w:rPr>
            </w:pPr>
            <w:r w:rsidRPr="00B16E42">
              <w:rPr>
                <w:rFonts w:cs="Arial"/>
                <w:color w:val="000000"/>
                <w:sz w:val="20"/>
                <w:szCs w:val="22"/>
                <w:lang w:val="es-CO" w:eastAsia="en-US"/>
              </w:rPr>
              <w:t xml:space="preserve">Ver detalle en </w:t>
            </w:r>
            <w:r w:rsidRPr="00B16E42">
              <w:rPr>
                <w:rFonts w:cs="Arial"/>
                <w:b/>
                <w:bCs/>
                <w:color w:val="000000"/>
                <w:sz w:val="20"/>
                <w:szCs w:val="22"/>
                <w:lang w:val="es-CO" w:eastAsia="en-US"/>
              </w:rPr>
              <w:t>Anexo 3. Estado Convenios</w:t>
            </w:r>
          </w:p>
          <w:p w14:paraId="629DC5D2" w14:textId="77777777" w:rsidR="006A0722" w:rsidRPr="00166211" w:rsidRDefault="006A0722" w:rsidP="00C72779">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tc>
      </w:tr>
    </w:tbl>
    <w:p w14:paraId="75F808FF" w14:textId="6152E26E" w:rsidR="00954BB1" w:rsidRPr="00A93FC3" w:rsidRDefault="004A1F59" w:rsidP="00A93FC3">
      <w:pPr>
        <w:jc w:val="center"/>
        <w:rPr>
          <w:rFonts w:eastAsia="Arial" w:cs="Arial"/>
          <w:b/>
          <w:color w:val="000000" w:themeColor="text1"/>
          <w:sz w:val="18"/>
          <w:szCs w:val="22"/>
          <w:lang w:val="es-CO"/>
        </w:rPr>
      </w:pPr>
      <w:r w:rsidRPr="003D1D50">
        <w:rPr>
          <w:rFonts w:eastAsia="Arial" w:cs="Arial"/>
          <w:b/>
          <w:color w:val="000000" w:themeColor="text1"/>
          <w:sz w:val="18"/>
          <w:szCs w:val="22"/>
          <w:lang w:val="es-CO"/>
        </w:rPr>
        <w:t xml:space="preserve">Fuente: Dirección </w:t>
      </w:r>
      <w:r w:rsidR="00A93FC3">
        <w:rPr>
          <w:rFonts w:eastAsia="Arial" w:cs="Arial"/>
          <w:b/>
          <w:color w:val="000000" w:themeColor="text1"/>
          <w:sz w:val="18"/>
          <w:szCs w:val="22"/>
          <w:lang w:val="es-CO"/>
        </w:rPr>
        <w:t xml:space="preserve">de Investigación y Prospectiva </w:t>
      </w:r>
    </w:p>
    <w:p w14:paraId="09C7D098" w14:textId="77777777" w:rsidR="001F0818" w:rsidRDefault="001F0818" w:rsidP="00C72779">
      <w:pPr>
        <w:jc w:val="both"/>
        <w:rPr>
          <w:rFonts w:cs="Arial"/>
          <w:b/>
          <w:lang w:val="es-MX"/>
        </w:rPr>
      </w:pPr>
    </w:p>
    <w:p w14:paraId="77E1EF36" w14:textId="19F21DD5" w:rsidR="00324ABA" w:rsidRDefault="00A93FC3" w:rsidP="00A93FC3">
      <w:pPr>
        <w:pStyle w:val="Prrafodelista"/>
        <w:numPr>
          <w:ilvl w:val="2"/>
          <w:numId w:val="23"/>
        </w:numPr>
        <w:rPr>
          <w:b/>
          <w:bCs/>
          <w:sz w:val="22"/>
          <w:szCs w:val="22"/>
        </w:rPr>
      </w:pPr>
      <w:r w:rsidRPr="002D2F11">
        <w:rPr>
          <w:b/>
          <w:bCs/>
          <w:sz w:val="22"/>
          <w:szCs w:val="22"/>
        </w:rPr>
        <w:t xml:space="preserve">PROCEDIMIENTOS, INDICADORES Y RIESGOS ASOCIADOS </w:t>
      </w:r>
    </w:p>
    <w:p w14:paraId="786F3BB5" w14:textId="77777777" w:rsidR="00A93FC3" w:rsidRPr="00A93FC3" w:rsidRDefault="00A93FC3" w:rsidP="00A93FC3">
      <w:pPr>
        <w:pStyle w:val="Lista"/>
      </w:pPr>
    </w:p>
    <w:tbl>
      <w:tblPr>
        <w:tblStyle w:val="Tabladecuadrcula4-nfasis1"/>
        <w:tblW w:w="9420" w:type="dxa"/>
        <w:jc w:val="center"/>
        <w:tblLook w:val="04A0" w:firstRow="1" w:lastRow="0" w:firstColumn="1" w:lastColumn="0" w:noHBand="0" w:noVBand="1"/>
      </w:tblPr>
      <w:tblGrid>
        <w:gridCol w:w="1650"/>
        <w:gridCol w:w="2460"/>
        <w:gridCol w:w="2100"/>
        <w:gridCol w:w="1605"/>
        <w:gridCol w:w="1605"/>
      </w:tblGrid>
      <w:tr w:rsidR="00324ABA" w:rsidRPr="00112700" w14:paraId="107268D6" w14:textId="77777777" w:rsidTr="31FF9146">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650" w:type="dxa"/>
            <w:vAlign w:val="center"/>
          </w:tcPr>
          <w:p w14:paraId="5F1DA57F" w14:textId="77777777" w:rsidR="00324ABA" w:rsidRPr="00112700" w:rsidRDefault="00324ABA" w:rsidP="00C72779">
            <w:pPr>
              <w:suppressAutoHyphens w:val="0"/>
              <w:jc w:val="center"/>
              <w:rPr>
                <w:rFonts w:cs="Arial"/>
                <w:sz w:val="20"/>
                <w:szCs w:val="22"/>
                <w:lang w:val="es-MX" w:eastAsia="en-US"/>
              </w:rPr>
            </w:pPr>
            <w:r w:rsidRPr="00112700">
              <w:rPr>
                <w:rFonts w:cs="Arial"/>
                <w:sz w:val="20"/>
                <w:szCs w:val="22"/>
                <w:lang w:val="es-MX" w:eastAsia="en-US"/>
              </w:rPr>
              <w:t>Proceso</w:t>
            </w:r>
          </w:p>
        </w:tc>
        <w:tc>
          <w:tcPr>
            <w:tcW w:w="2460" w:type="dxa"/>
            <w:vAlign w:val="center"/>
          </w:tcPr>
          <w:p w14:paraId="0F62E543" w14:textId="77777777" w:rsidR="00324ABA" w:rsidRPr="00112700" w:rsidRDefault="00324ABA"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Subproceso</w:t>
            </w:r>
          </w:p>
        </w:tc>
        <w:tc>
          <w:tcPr>
            <w:tcW w:w="2100" w:type="dxa"/>
            <w:vAlign w:val="center"/>
          </w:tcPr>
          <w:p w14:paraId="6001F2EF" w14:textId="77777777" w:rsidR="00324ABA" w:rsidRPr="00112700" w:rsidRDefault="00324ABA"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Procedimientos</w:t>
            </w:r>
          </w:p>
        </w:tc>
        <w:tc>
          <w:tcPr>
            <w:tcW w:w="1605" w:type="dxa"/>
            <w:vAlign w:val="center"/>
          </w:tcPr>
          <w:p w14:paraId="45D1B27C" w14:textId="77777777" w:rsidR="00324ABA" w:rsidRPr="00112700" w:rsidRDefault="00324ABA"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Indicadores</w:t>
            </w:r>
          </w:p>
        </w:tc>
        <w:tc>
          <w:tcPr>
            <w:tcW w:w="1605" w:type="dxa"/>
            <w:vAlign w:val="center"/>
          </w:tcPr>
          <w:p w14:paraId="18B91BF6" w14:textId="77777777" w:rsidR="00324ABA" w:rsidRPr="00112700" w:rsidRDefault="00324ABA"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Riesgos</w:t>
            </w:r>
          </w:p>
        </w:tc>
      </w:tr>
      <w:tr w:rsidR="00324ABA" w:rsidRPr="00112700" w14:paraId="51CFF6E0" w14:textId="77777777" w:rsidTr="31FF9146">
        <w:trPr>
          <w:cnfStyle w:val="000000100000" w:firstRow="0" w:lastRow="0" w:firstColumn="0" w:lastColumn="0" w:oddVBand="0" w:evenVBand="0" w:oddHBand="1" w:evenHBand="0" w:firstRowFirstColumn="0" w:firstRowLastColumn="0" w:lastRowFirstColumn="0" w:lastRowLastColumn="0"/>
          <w:trHeight w:val="149"/>
          <w:jc w:val="center"/>
        </w:trPr>
        <w:tc>
          <w:tcPr>
            <w:cnfStyle w:val="001000000000" w:firstRow="0" w:lastRow="0" w:firstColumn="1" w:lastColumn="0" w:oddVBand="0" w:evenVBand="0" w:oddHBand="0" w:evenHBand="0" w:firstRowFirstColumn="0" w:firstRowLastColumn="0" w:lastRowFirstColumn="0" w:lastRowLastColumn="0"/>
            <w:tcW w:w="1650" w:type="dxa"/>
            <w:vMerge w:val="restart"/>
            <w:vAlign w:val="center"/>
          </w:tcPr>
          <w:p w14:paraId="102CA3A0" w14:textId="77777777" w:rsidR="00324ABA" w:rsidRPr="00112700" w:rsidRDefault="00324ABA" w:rsidP="00C72779">
            <w:pPr>
              <w:jc w:val="center"/>
              <w:rPr>
                <w:rFonts w:eastAsia="Arial" w:cs="Arial"/>
                <w:sz w:val="20"/>
                <w:szCs w:val="22"/>
                <w:lang w:val="es-MX"/>
              </w:rPr>
            </w:pPr>
            <w:r w:rsidRPr="00112700">
              <w:rPr>
                <w:rFonts w:eastAsia="Arial" w:cs="Arial"/>
                <w:sz w:val="20"/>
                <w:szCs w:val="22"/>
                <w:lang w:val="es-MX"/>
              </w:rPr>
              <w:t>Innovación y gestión del conocimiento aplicado</w:t>
            </w:r>
          </w:p>
        </w:tc>
        <w:tc>
          <w:tcPr>
            <w:tcW w:w="2460" w:type="dxa"/>
            <w:vAlign w:val="center"/>
          </w:tcPr>
          <w:p w14:paraId="1B8DE85A" w14:textId="77777777" w:rsidR="00324ABA" w:rsidRPr="00112700" w:rsidRDefault="00324ABA" w:rsidP="00C72779">
            <w:pPr>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rPr>
            </w:pPr>
            <w:r w:rsidRPr="00112700">
              <w:rPr>
                <w:rFonts w:eastAsia="Arial" w:cs="Arial"/>
                <w:sz w:val="20"/>
                <w:szCs w:val="22"/>
                <w:lang w:val="es-MX"/>
              </w:rPr>
              <w:t>Estudios y Aplicaciones en Tecnologías de la Información Geográfica (TIG)</w:t>
            </w:r>
          </w:p>
        </w:tc>
        <w:tc>
          <w:tcPr>
            <w:tcW w:w="2100" w:type="dxa"/>
            <w:vAlign w:val="center"/>
          </w:tcPr>
          <w:p w14:paraId="2E177327" w14:textId="77777777" w:rsidR="00324ABA" w:rsidRPr="00112700" w:rsidRDefault="00324ABA" w:rsidP="00C72779">
            <w:pPr>
              <w:tabs>
                <w:tab w:val="left" w:pos="311"/>
              </w:tabs>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rPr>
            </w:pPr>
            <w:r w:rsidRPr="00112700">
              <w:rPr>
                <w:rFonts w:eastAsia="Arial" w:cs="Arial"/>
                <w:sz w:val="20"/>
                <w:szCs w:val="22"/>
                <w:lang w:val="es-MX"/>
              </w:rPr>
              <w:t>1</w:t>
            </w:r>
          </w:p>
        </w:tc>
        <w:tc>
          <w:tcPr>
            <w:tcW w:w="1605" w:type="dxa"/>
            <w:vAlign w:val="center"/>
          </w:tcPr>
          <w:p w14:paraId="54A96A52" w14:textId="77777777" w:rsidR="00324ABA" w:rsidRPr="00112700" w:rsidRDefault="00324ABA" w:rsidP="00C72779">
            <w:pPr>
              <w:tabs>
                <w:tab w:val="left" w:pos="324"/>
              </w:tabs>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3</w:t>
            </w:r>
          </w:p>
        </w:tc>
        <w:tc>
          <w:tcPr>
            <w:tcW w:w="1605" w:type="dxa"/>
            <w:vAlign w:val="center"/>
          </w:tcPr>
          <w:p w14:paraId="0260ACC0" w14:textId="77777777" w:rsidR="00324ABA" w:rsidRPr="00112700" w:rsidRDefault="00324ABA" w:rsidP="00C72779">
            <w:pPr>
              <w:tabs>
                <w:tab w:val="left" w:pos="322"/>
              </w:tabs>
              <w:suppressAutoHyphens w:val="0"/>
              <w:ind w:left="39"/>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r>
      <w:tr w:rsidR="00324ABA" w:rsidRPr="00112700" w14:paraId="462DE497"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1650" w:type="dxa"/>
            <w:vMerge/>
            <w:vAlign w:val="center"/>
          </w:tcPr>
          <w:p w14:paraId="323EC0E7" w14:textId="77777777" w:rsidR="00324ABA" w:rsidRPr="00112700" w:rsidRDefault="00324ABA" w:rsidP="00C72779">
            <w:pPr>
              <w:suppressAutoHyphens w:val="0"/>
              <w:jc w:val="center"/>
              <w:rPr>
                <w:rFonts w:cs="Arial"/>
                <w:sz w:val="20"/>
                <w:szCs w:val="22"/>
                <w:lang w:val="es-MX" w:eastAsia="en-US"/>
              </w:rPr>
            </w:pPr>
          </w:p>
        </w:tc>
        <w:tc>
          <w:tcPr>
            <w:tcW w:w="2460" w:type="dxa"/>
            <w:vAlign w:val="center"/>
          </w:tcPr>
          <w:p w14:paraId="2C7B1A03" w14:textId="77777777" w:rsidR="00324ABA" w:rsidRPr="00112700" w:rsidRDefault="00324ABA"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Investigación e innovación</w:t>
            </w:r>
          </w:p>
        </w:tc>
        <w:tc>
          <w:tcPr>
            <w:tcW w:w="2100" w:type="dxa"/>
            <w:vAlign w:val="center"/>
          </w:tcPr>
          <w:p w14:paraId="09A1B27F" w14:textId="77777777" w:rsidR="00324ABA" w:rsidRPr="00112700" w:rsidRDefault="00324ABA" w:rsidP="00C72779">
            <w:pPr>
              <w:suppressAutoHyphens w:val="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c>
          <w:tcPr>
            <w:tcW w:w="1605" w:type="dxa"/>
            <w:vAlign w:val="center"/>
          </w:tcPr>
          <w:p w14:paraId="1B49579A" w14:textId="77777777" w:rsidR="00324ABA" w:rsidRPr="00112700" w:rsidRDefault="00324AB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3</w:t>
            </w:r>
          </w:p>
        </w:tc>
        <w:tc>
          <w:tcPr>
            <w:tcW w:w="1605" w:type="dxa"/>
            <w:vAlign w:val="center"/>
          </w:tcPr>
          <w:p w14:paraId="67B281E4" w14:textId="77777777" w:rsidR="00324ABA" w:rsidRPr="00112700" w:rsidRDefault="00324ABA"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r>
      <w:tr w:rsidR="00324ABA" w:rsidRPr="00112700" w14:paraId="0FA9480C"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50" w:type="dxa"/>
            <w:vMerge/>
            <w:vAlign w:val="center"/>
          </w:tcPr>
          <w:p w14:paraId="69A749BF" w14:textId="77777777" w:rsidR="00324ABA" w:rsidRPr="00112700" w:rsidRDefault="00324ABA" w:rsidP="00C72779">
            <w:pPr>
              <w:suppressAutoHyphens w:val="0"/>
              <w:jc w:val="center"/>
              <w:rPr>
                <w:rFonts w:cs="Arial"/>
                <w:sz w:val="20"/>
                <w:szCs w:val="22"/>
                <w:lang w:val="es-MX" w:eastAsia="en-US"/>
              </w:rPr>
            </w:pPr>
          </w:p>
        </w:tc>
        <w:tc>
          <w:tcPr>
            <w:tcW w:w="2460" w:type="dxa"/>
            <w:vAlign w:val="center"/>
          </w:tcPr>
          <w:p w14:paraId="51C51CDF" w14:textId="77777777" w:rsidR="00324ABA" w:rsidRPr="00112700" w:rsidRDefault="00324ABA"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Dinámica Inmobiliaria</w:t>
            </w:r>
          </w:p>
        </w:tc>
        <w:tc>
          <w:tcPr>
            <w:tcW w:w="2100" w:type="dxa"/>
            <w:vAlign w:val="center"/>
          </w:tcPr>
          <w:p w14:paraId="11F173DA" w14:textId="77777777" w:rsidR="00324ABA" w:rsidRPr="00112700" w:rsidRDefault="00324ABA" w:rsidP="00C72779">
            <w:pPr>
              <w:suppressAutoHyphens w:val="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c>
          <w:tcPr>
            <w:tcW w:w="1605" w:type="dxa"/>
            <w:vAlign w:val="center"/>
          </w:tcPr>
          <w:p w14:paraId="76F627B1" w14:textId="77777777" w:rsidR="00324ABA" w:rsidRPr="00112700" w:rsidRDefault="00324AB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c>
          <w:tcPr>
            <w:tcW w:w="1605" w:type="dxa"/>
            <w:vAlign w:val="center"/>
          </w:tcPr>
          <w:p w14:paraId="5C5DA5AA" w14:textId="77777777" w:rsidR="00324ABA" w:rsidRPr="00112700" w:rsidRDefault="00324ABA" w:rsidP="00C72779">
            <w:pPr>
              <w:suppressAutoHyphens w:val="0"/>
              <w:jc w:val="center"/>
              <w:cnfStyle w:val="000000100000" w:firstRow="0" w:lastRow="0" w:firstColumn="0" w:lastColumn="0" w:oddVBand="0" w:evenVBand="0" w:oddHBand="1"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r>
      <w:tr w:rsidR="00324ABA" w:rsidRPr="00112700" w14:paraId="6B9AE291"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1650" w:type="dxa"/>
            <w:vMerge/>
            <w:vAlign w:val="center"/>
          </w:tcPr>
          <w:p w14:paraId="6C3DAD4D" w14:textId="77777777" w:rsidR="00324ABA" w:rsidRPr="00112700" w:rsidRDefault="00324ABA" w:rsidP="00C72779">
            <w:pPr>
              <w:jc w:val="center"/>
              <w:rPr>
                <w:rFonts w:cs="Arial"/>
                <w:sz w:val="20"/>
                <w:szCs w:val="22"/>
                <w:lang w:val="es-MX" w:eastAsia="en-US"/>
              </w:rPr>
            </w:pPr>
          </w:p>
        </w:tc>
        <w:tc>
          <w:tcPr>
            <w:tcW w:w="2460" w:type="dxa"/>
            <w:vAlign w:val="center"/>
          </w:tcPr>
          <w:p w14:paraId="152E64FA" w14:textId="77777777" w:rsidR="00324ABA" w:rsidRPr="00112700" w:rsidRDefault="00324ABA"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Prospectiva</w:t>
            </w:r>
          </w:p>
        </w:tc>
        <w:tc>
          <w:tcPr>
            <w:tcW w:w="2100" w:type="dxa"/>
            <w:vAlign w:val="center"/>
          </w:tcPr>
          <w:p w14:paraId="2FE483FE" w14:textId="77777777" w:rsidR="00324ABA" w:rsidRPr="00112700" w:rsidRDefault="00324ABA"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0</w:t>
            </w:r>
          </w:p>
        </w:tc>
        <w:tc>
          <w:tcPr>
            <w:tcW w:w="1605" w:type="dxa"/>
            <w:vAlign w:val="center"/>
          </w:tcPr>
          <w:p w14:paraId="6CA87173" w14:textId="77777777" w:rsidR="00324ABA" w:rsidRPr="00112700" w:rsidRDefault="00324ABA"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3</w:t>
            </w:r>
          </w:p>
        </w:tc>
        <w:tc>
          <w:tcPr>
            <w:tcW w:w="1605" w:type="dxa"/>
            <w:vAlign w:val="center"/>
          </w:tcPr>
          <w:p w14:paraId="1515423D" w14:textId="77777777" w:rsidR="00324ABA" w:rsidRPr="00112700" w:rsidRDefault="00324ABA"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2"/>
                <w:lang w:val="es-MX" w:eastAsia="en-US"/>
              </w:rPr>
            </w:pPr>
            <w:r w:rsidRPr="00112700">
              <w:rPr>
                <w:rFonts w:cs="Arial"/>
                <w:sz w:val="20"/>
                <w:szCs w:val="22"/>
                <w:lang w:val="es-MX" w:eastAsia="en-US"/>
              </w:rPr>
              <w:t>5</w:t>
            </w:r>
          </w:p>
        </w:tc>
      </w:tr>
      <w:tr w:rsidR="00324ABA" w:rsidRPr="00112700" w14:paraId="77B4CDC2"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0" w:type="dxa"/>
            <w:gridSpan w:val="2"/>
            <w:vAlign w:val="center"/>
          </w:tcPr>
          <w:p w14:paraId="2FF2CEA9" w14:textId="77777777" w:rsidR="00324ABA" w:rsidRPr="00112700" w:rsidRDefault="00324ABA" w:rsidP="00C72779">
            <w:pPr>
              <w:jc w:val="center"/>
              <w:rPr>
                <w:rFonts w:cs="Arial"/>
                <w:sz w:val="20"/>
                <w:szCs w:val="22"/>
                <w:lang w:val="es-MX" w:eastAsia="en-US"/>
              </w:rPr>
            </w:pPr>
            <w:r w:rsidRPr="00112700">
              <w:rPr>
                <w:rFonts w:cs="Arial"/>
                <w:sz w:val="20"/>
                <w:szCs w:val="22"/>
                <w:lang w:val="es-MX" w:eastAsia="en-US"/>
              </w:rPr>
              <w:t>Total</w:t>
            </w:r>
          </w:p>
        </w:tc>
        <w:tc>
          <w:tcPr>
            <w:tcW w:w="2100" w:type="dxa"/>
            <w:vAlign w:val="center"/>
          </w:tcPr>
          <w:p w14:paraId="10EEF826" w14:textId="77777777" w:rsidR="00324ABA" w:rsidRPr="00112700" w:rsidRDefault="00324ABA"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eastAsia="en-US"/>
              </w:rPr>
            </w:pPr>
            <w:r w:rsidRPr="00112700">
              <w:rPr>
                <w:rFonts w:cs="Arial"/>
                <w:b/>
                <w:bCs/>
                <w:sz w:val="20"/>
                <w:szCs w:val="22"/>
                <w:lang w:val="es-MX" w:eastAsia="en-US"/>
              </w:rPr>
              <w:t>1</w:t>
            </w:r>
          </w:p>
        </w:tc>
        <w:tc>
          <w:tcPr>
            <w:tcW w:w="1605" w:type="dxa"/>
            <w:vAlign w:val="center"/>
          </w:tcPr>
          <w:p w14:paraId="3AB2799C" w14:textId="77777777" w:rsidR="00324ABA" w:rsidRPr="00112700" w:rsidRDefault="00324ABA"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eastAsia="en-US"/>
              </w:rPr>
            </w:pPr>
            <w:r w:rsidRPr="00112700">
              <w:rPr>
                <w:rFonts w:cs="Arial"/>
                <w:b/>
                <w:bCs/>
                <w:sz w:val="20"/>
                <w:szCs w:val="22"/>
                <w:lang w:val="es-MX" w:eastAsia="en-US"/>
              </w:rPr>
              <w:t>9</w:t>
            </w:r>
          </w:p>
        </w:tc>
        <w:tc>
          <w:tcPr>
            <w:tcW w:w="1605" w:type="dxa"/>
            <w:vAlign w:val="center"/>
          </w:tcPr>
          <w:p w14:paraId="6BF02B2A" w14:textId="77777777" w:rsidR="00324ABA" w:rsidRPr="00112700" w:rsidRDefault="00324ABA" w:rsidP="00C72779">
            <w:pPr>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eastAsia="en-US"/>
              </w:rPr>
            </w:pPr>
            <w:r w:rsidRPr="00112700">
              <w:rPr>
                <w:rFonts w:cs="Arial"/>
                <w:b/>
                <w:bCs/>
                <w:sz w:val="20"/>
                <w:szCs w:val="22"/>
                <w:lang w:val="es-MX" w:eastAsia="en-US"/>
              </w:rPr>
              <w:t>5</w:t>
            </w:r>
          </w:p>
        </w:tc>
      </w:tr>
    </w:tbl>
    <w:p w14:paraId="0E726F71" w14:textId="04BE7744" w:rsidR="004A1F59" w:rsidRPr="003D1D50" w:rsidRDefault="004A1F59" w:rsidP="00A93FC3">
      <w:pPr>
        <w:jc w:val="center"/>
        <w:rPr>
          <w:rFonts w:eastAsia="Arial" w:cs="Arial"/>
          <w:b/>
          <w:color w:val="000000" w:themeColor="text1"/>
          <w:sz w:val="18"/>
          <w:szCs w:val="22"/>
          <w:lang w:val="es-CO"/>
        </w:rPr>
      </w:pPr>
      <w:r w:rsidRPr="003D1D50">
        <w:rPr>
          <w:rFonts w:eastAsia="Arial" w:cs="Arial"/>
          <w:b/>
          <w:color w:val="000000" w:themeColor="text1"/>
          <w:sz w:val="18"/>
          <w:szCs w:val="22"/>
          <w:lang w:val="es-CO"/>
        </w:rPr>
        <w:t xml:space="preserve">Fuente: </w:t>
      </w:r>
      <w:r>
        <w:rPr>
          <w:rFonts w:eastAsia="Arial" w:cs="Arial"/>
          <w:b/>
          <w:color w:val="000000" w:themeColor="text1"/>
          <w:sz w:val="18"/>
          <w:szCs w:val="22"/>
          <w:lang w:val="es-CO"/>
        </w:rPr>
        <w:t>Oficina Asesora de Planeación</w:t>
      </w:r>
    </w:p>
    <w:p w14:paraId="17602950" w14:textId="77777777" w:rsidR="00324ABA" w:rsidRDefault="00324ABA" w:rsidP="00C72779">
      <w:pPr>
        <w:pStyle w:val="Lista"/>
      </w:pPr>
    </w:p>
    <w:p w14:paraId="01D11041" w14:textId="77777777" w:rsidR="00324ABA" w:rsidRPr="00B745CC" w:rsidRDefault="00324ABA" w:rsidP="00C72779">
      <w:pPr>
        <w:pStyle w:val="NormalWeb"/>
        <w:spacing w:before="0" w:beforeAutospacing="0"/>
        <w:rPr>
          <w:rFonts w:cs="Arial"/>
          <w:color w:val="000000"/>
          <w:sz w:val="22"/>
          <w:szCs w:val="22"/>
        </w:rPr>
      </w:pPr>
      <w:r w:rsidRPr="00B745CC">
        <w:rPr>
          <w:rFonts w:cs="Arial"/>
          <w:color w:val="000000"/>
          <w:sz w:val="22"/>
          <w:szCs w:val="22"/>
        </w:rPr>
        <w:lastRenderedPageBreak/>
        <w:t xml:space="preserve">Para mayor detalle de la información consultar en: </w:t>
      </w:r>
    </w:p>
    <w:p w14:paraId="4C692DC2" w14:textId="77777777" w:rsidR="00324ABA" w:rsidRPr="004A1F59" w:rsidRDefault="347AB450" w:rsidP="000A20EE">
      <w:pPr>
        <w:pStyle w:val="Sinespaciado"/>
        <w:numPr>
          <w:ilvl w:val="0"/>
          <w:numId w:val="266"/>
        </w:numPr>
        <w:rPr>
          <w:rFonts w:ascii="Arial" w:hAnsi="Arial" w:cs="Arial"/>
          <w:color w:val="000000"/>
        </w:rPr>
      </w:pPr>
      <w:r w:rsidRPr="004A1F59">
        <w:rPr>
          <w:rFonts w:ascii="Arial" w:hAnsi="Arial" w:cs="Arial"/>
          <w:b/>
          <w:color w:val="000000" w:themeColor="text1"/>
        </w:rPr>
        <w:t>Procedimientos:</w:t>
      </w:r>
      <w:r w:rsidRPr="004A1F59">
        <w:rPr>
          <w:rFonts w:ascii="Arial" w:hAnsi="Arial" w:cs="Arial"/>
          <w:color w:val="000000" w:themeColor="text1"/>
        </w:rPr>
        <w:t xml:space="preserve"> </w:t>
      </w:r>
      <w:hyperlink r:id="rId103">
        <w:r w:rsidRPr="004A1F59">
          <w:rPr>
            <w:rStyle w:val="Hipervnculo"/>
            <w:rFonts w:ascii="Arial" w:hAnsi="Arial" w:cs="Arial"/>
          </w:rPr>
          <w:t>https://www.igac.gov.co/es/listado-maestro-de-documentos</w:t>
        </w:r>
      </w:hyperlink>
    </w:p>
    <w:p w14:paraId="7A0D4264" w14:textId="77777777" w:rsidR="00324ABA" w:rsidRPr="004A1F59" w:rsidRDefault="347AB450" w:rsidP="000A20EE">
      <w:pPr>
        <w:pStyle w:val="Sinespaciado"/>
        <w:numPr>
          <w:ilvl w:val="0"/>
          <w:numId w:val="266"/>
        </w:numPr>
        <w:rPr>
          <w:rFonts w:ascii="Arial" w:hAnsi="Arial" w:cs="Arial"/>
          <w:color w:val="000000" w:themeColor="text1"/>
        </w:rPr>
      </w:pPr>
      <w:r w:rsidRPr="004A1F59">
        <w:rPr>
          <w:rFonts w:ascii="Arial" w:hAnsi="Arial" w:cs="Arial"/>
          <w:b/>
          <w:color w:val="000000" w:themeColor="text1"/>
        </w:rPr>
        <w:t>Indicadores:</w:t>
      </w:r>
      <w:r w:rsidRPr="004A1F59">
        <w:rPr>
          <w:rFonts w:ascii="Arial" w:hAnsi="Arial" w:cs="Arial"/>
          <w:color w:val="000000" w:themeColor="text1"/>
        </w:rPr>
        <w:t xml:space="preserve"> Plan Acción Anual 2021: </w:t>
      </w:r>
      <w:hyperlink r:id="rId104">
        <w:r w:rsidRPr="004A1F59">
          <w:rPr>
            <w:rStyle w:val="Hipervnculo"/>
            <w:rFonts w:ascii="Arial" w:hAnsi="Arial" w:cs="Arial"/>
          </w:rPr>
          <w:t>https://www.igac.gov.co/es/transparencia-y-acceso-a-la-informacion-publica/plan-de-accion-anual</w:t>
        </w:r>
      </w:hyperlink>
      <w:r w:rsidRPr="004A1F59">
        <w:rPr>
          <w:rFonts w:ascii="Arial" w:hAnsi="Arial" w:cs="Arial"/>
          <w:color w:val="000000" w:themeColor="text1"/>
        </w:rPr>
        <w:t xml:space="preserve">  y en Herramienta PLANIGAC</w:t>
      </w:r>
    </w:p>
    <w:p w14:paraId="49C638EA" w14:textId="04EB8406" w:rsidR="347AB450" w:rsidRDefault="347AB450" w:rsidP="000A20EE">
      <w:pPr>
        <w:pStyle w:val="Sinespaciado"/>
        <w:numPr>
          <w:ilvl w:val="0"/>
          <w:numId w:val="266"/>
        </w:numPr>
        <w:rPr>
          <w:rFonts w:ascii="Arial" w:hAnsi="Arial" w:cs="Arial"/>
          <w:color w:val="000000" w:themeColor="text1"/>
          <w:lang w:eastAsia="es-CO"/>
        </w:rPr>
      </w:pPr>
      <w:r w:rsidRPr="004A1F59">
        <w:rPr>
          <w:rFonts w:ascii="Arial" w:hAnsi="Arial" w:cs="Arial"/>
          <w:b/>
          <w:color w:val="000000" w:themeColor="text1"/>
          <w:lang w:eastAsia="es-CO"/>
        </w:rPr>
        <w:t>Riesgos:</w:t>
      </w:r>
      <w:r w:rsidRPr="004A1F59">
        <w:rPr>
          <w:rFonts w:ascii="Arial" w:hAnsi="Arial" w:cs="Arial"/>
          <w:color w:val="000000" w:themeColor="text1"/>
          <w:lang w:eastAsia="es-CO"/>
        </w:rPr>
        <w:t xml:space="preserve"> Matriz de Riesgos Institucional IGAC 2021: </w:t>
      </w:r>
      <w:hyperlink r:id="rId105">
        <w:r w:rsidRPr="004A1F59">
          <w:rPr>
            <w:rStyle w:val="Hipervnculo"/>
            <w:rFonts w:ascii="Arial" w:hAnsi="Arial" w:cs="Arial"/>
            <w:lang w:eastAsia="es-CO"/>
          </w:rPr>
          <w:t>https://www.igac.gov.co/es/transparencia-y-acceso-a-la-informacion-publica/plan-anticorrupcion-y-de-atencion-al-ciudadano</w:t>
        </w:r>
      </w:hyperlink>
      <w:r w:rsidRPr="004A1F59">
        <w:rPr>
          <w:rFonts w:ascii="Arial" w:hAnsi="Arial" w:cs="Arial"/>
          <w:color w:val="000000" w:themeColor="text1"/>
          <w:lang w:eastAsia="es-CO"/>
        </w:rPr>
        <w:t xml:space="preserve">  y en Herramienta PLANIGAC.</w:t>
      </w:r>
    </w:p>
    <w:p w14:paraId="2C032506" w14:textId="77777777" w:rsidR="004A1F59" w:rsidRPr="004A1F59" w:rsidRDefault="004A1F59" w:rsidP="00C72779">
      <w:pPr>
        <w:pStyle w:val="Sinespaciado"/>
        <w:rPr>
          <w:rFonts w:ascii="Arial" w:hAnsi="Arial" w:cs="Arial"/>
          <w:color w:val="000000"/>
          <w:lang w:eastAsia="es-CO"/>
        </w:rPr>
      </w:pPr>
    </w:p>
    <w:p w14:paraId="359979F8" w14:textId="11BF0095" w:rsidR="00B36644" w:rsidRPr="00B36644" w:rsidRDefault="004A1F59" w:rsidP="000A20EE">
      <w:pPr>
        <w:pStyle w:val="Prrafodelista"/>
        <w:numPr>
          <w:ilvl w:val="2"/>
          <w:numId w:val="23"/>
        </w:numPr>
        <w:rPr>
          <w:b/>
          <w:bCs/>
          <w:sz w:val="22"/>
          <w:szCs w:val="22"/>
        </w:rPr>
      </w:pPr>
      <w:r w:rsidRPr="002D2F11">
        <w:rPr>
          <w:b/>
          <w:bCs/>
          <w:sz w:val="22"/>
          <w:szCs w:val="22"/>
        </w:rPr>
        <w:t>POLÍTICAS ASOCIADAS</w:t>
      </w:r>
    </w:p>
    <w:p w14:paraId="13CEEDCB" w14:textId="5E528BF5" w:rsidR="00E82FD3" w:rsidRPr="001F0818" w:rsidRDefault="00E82FD3" w:rsidP="00A93FC3">
      <w:pPr>
        <w:pStyle w:val="Descripcin"/>
        <w:rPr>
          <w:rFonts w:ascii="Arial" w:hAnsi="Arial" w:cs="Arial"/>
          <w:b/>
          <w:i w:val="0"/>
          <w:color w:val="auto"/>
          <w:sz w:val="16"/>
          <w:szCs w:val="16"/>
        </w:rPr>
      </w:pPr>
    </w:p>
    <w:tbl>
      <w:tblPr>
        <w:tblStyle w:val="Tabladecuadrcula4-nfasis1"/>
        <w:tblW w:w="0" w:type="auto"/>
        <w:tblLook w:val="04A0" w:firstRow="1" w:lastRow="0" w:firstColumn="1" w:lastColumn="0" w:noHBand="0" w:noVBand="1"/>
      </w:tblPr>
      <w:tblGrid>
        <w:gridCol w:w="3345"/>
        <w:gridCol w:w="2916"/>
        <w:gridCol w:w="3089"/>
      </w:tblGrid>
      <w:tr w:rsidR="00E82FD3" w:rsidRPr="00B8249C" w14:paraId="444B72F9" w14:textId="77777777" w:rsidTr="004A1F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5" w:type="dxa"/>
            <w:vAlign w:val="center"/>
          </w:tcPr>
          <w:p w14:paraId="15AED8C8" w14:textId="77777777" w:rsidR="00E82FD3" w:rsidRPr="00B8249C" w:rsidRDefault="00E82FD3" w:rsidP="00C72779">
            <w:pPr>
              <w:suppressAutoHyphens w:val="0"/>
              <w:jc w:val="center"/>
              <w:rPr>
                <w:rFonts w:cs="Arial"/>
                <w:sz w:val="20"/>
                <w:szCs w:val="22"/>
                <w:lang w:val="es-MX" w:eastAsia="en-US"/>
              </w:rPr>
            </w:pPr>
            <w:r w:rsidRPr="00B8249C">
              <w:rPr>
                <w:rFonts w:cs="Arial"/>
                <w:sz w:val="20"/>
                <w:szCs w:val="22"/>
                <w:lang w:val="es-MX" w:eastAsia="en-US"/>
              </w:rPr>
              <w:t>Política</w:t>
            </w:r>
          </w:p>
        </w:tc>
        <w:tc>
          <w:tcPr>
            <w:tcW w:w="2916" w:type="dxa"/>
            <w:vAlign w:val="center"/>
          </w:tcPr>
          <w:p w14:paraId="6FBF1DB0" w14:textId="77777777" w:rsidR="00E82FD3" w:rsidRPr="00B8249C" w:rsidRDefault="00E82FD3"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B8249C">
              <w:rPr>
                <w:rFonts w:cs="Arial"/>
                <w:sz w:val="20"/>
                <w:szCs w:val="22"/>
                <w:lang w:val="es-MX" w:eastAsia="en-US"/>
              </w:rPr>
              <w:t>Objetivo</w:t>
            </w:r>
          </w:p>
        </w:tc>
        <w:tc>
          <w:tcPr>
            <w:tcW w:w="3089" w:type="dxa"/>
            <w:vAlign w:val="center"/>
          </w:tcPr>
          <w:p w14:paraId="11E2C926" w14:textId="77777777" w:rsidR="00E82FD3" w:rsidRPr="00B8249C" w:rsidRDefault="00E82FD3"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B8249C">
              <w:rPr>
                <w:rFonts w:cs="Arial"/>
                <w:sz w:val="20"/>
                <w:szCs w:val="22"/>
                <w:lang w:val="es-MX" w:eastAsia="en-US"/>
              </w:rPr>
              <w:t>Alcance</w:t>
            </w:r>
          </w:p>
        </w:tc>
      </w:tr>
      <w:tr w:rsidR="00E82FD3" w:rsidRPr="00B8249C" w14:paraId="678AA248" w14:textId="77777777" w:rsidTr="004A1F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5" w:type="dxa"/>
            <w:vAlign w:val="center"/>
          </w:tcPr>
          <w:p w14:paraId="1D868ED4" w14:textId="77777777" w:rsidR="00E82FD3" w:rsidRPr="00B8249C" w:rsidRDefault="00E82FD3" w:rsidP="00C72779">
            <w:pPr>
              <w:suppressAutoHyphens w:val="0"/>
              <w:jc w:val="center"/>
              <w:rPr>
                <w:rFonts w:cs="Arial"/>
                <w:sz w:val="20"/>
                <w:szCs w:val="22"/>
                <w:lang w:val="es-MX" w:eastAsia="en-US"/>
              </w:rPr>
            </w:pPr>
            <w:r w:rsidRPr="00B8249C">
              <w:rPr>
                <w:rFonts w:cs="Arial"/>
                <w:sz w:val="20"/>
                <w:szCs w:val="22"/>
                <w:lang w:val="es-MX" w:eastAsia="en-US"/>
              </w:rPr>
              <w:t>Política de gestión del conocimiento</w:t>
            </w:r>
          </w:p>
        </w:tc>
        <w:tc>
          <w:tcPr>
            <w:tcW w:w="2916" w:type="dxa"/>
            <w:vAlign w:val="center"/>
          </w:tcPr>
          <w:p w14:paraId="4E2222B9" w14:textId="77777777" w:rsidR="00E82FD3" w:rsidRPr="00B8249C" w:rsidRDefault="00E82FD3"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rPr>
            </w:pPr>
            <w:r w:rsidRPr="00B8249C">
              <w:rPr>
                <w:rFonts w:eastAsia="Arial" w:cs="Arial"/>
                <w:sz w:val="20"/>
                <w:szCs w:val="22"/>
                <w:lang w:val="es-MX"/>
              </w:rPr>
              <w:t>Fortalecer y aumentar la cultura y el aprendizaje de la entidad buscando consolidar todos los mecanismos y herramientas con las que cuenta el IGAC en términos de ideación, experimentación, innovación e investigación y reflejando dicha gestión en la calidad y oportunidad del servicio prestado al ciudadano y la atención a las necesidades y expectativas de las demás partes interesadas.</w:t>
            </w:r>
          </w:p>
        </w:tc>
        <w:tc>
          <w:tcPr>
            <w:tcW w:w="3089" w:type="dxa"/>
            <w:vAlign w:val="center"/>
          </w:tcPr>
          <w:p w14:paraId="0E9AE688" w14:textId="77777777" w:rsidR="00E82FD3" w:rsidRPr="00B8249C" w:rsidRDefault="00E82FD3"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rPr>
            </w:pPr>
            <w:r w:rsidRPr="00B8249C">
              <w:rPr>
                <w:rFonts w:eastAsia="Arial" w:cs="Arial"/>
                <w:sz w:val="20"/>
                <w:szCs w:val="22"/>
                <w:lang w:val="es-MX"/>
              </w:rPr>
              <w:t>Esta Política aplica a todos los procesos del Modelo Integrado de Planeación y Gestión establecidos en la Entidad iniciando con la consolidación de las herramientas para el uso y apropiación, la generación y producción del conocimiento, a través de Investigar, idear, innovar y experimentar para la mejora en la gestión y en la implementación de los productos y servicios, generando así la cultura de difundir y compartir por medio de distintas actividades el conocimiento de la entidad y de sus colaboradores, hasta la consolidación de la analítica institucional que permite profundizar en los análisis de la información y los datos que genera la entidad para fortalecer el conocimiento de su desempeño y de su propósito fundamental.</w:t>
            </w:r>
          </w:p>
        </w:tc>
      </w:tr>
    </w:tbl>
    <w:p w14:paraId="0658F103" w14:textId="77777777" w:rsidR="004A1F59" w:rsidRPr="003D1D50" w:rsidRDefault="004A1F59" w:rsidP="00C72779">
      <w:pPr>
        <w:jc w:val="center"/>
        <w:rPr>
          <w:rFonts w:eastAsia="Arial" w:cs="Arial"/>
          <w:b/>
          <w:color w:val="000000" w:themeColor="text1"/>
          <w:sz w:val="18"/>
          <w:szCs w:val="22"/>
          <w:lang w:val="es-CO"/>
        </w:rPr>
      </w:pPr>
      <w:r w:rsidRPr="003D1D50">
        <w:rPr>
          <w:rFonts w:eastAsia="Arial" w:cs="Arial"/>
          <w:b/>
          <w:color w:val="000000" w:themeColor="text1"/>
          <w:sz w:val="18"/>
          <w:szCs w:val="22"/>
          <w:lang w:val="es-CO"/>
        </w:rPr>
        <w:t xml:space="preserve">Fuente: Dirección de Investigación y Prospectiva </w:t>
      </w:r>
    </w:p>
    <w:p w14:paraId="4F366A88" w14:textId="434E2984" w:rsidR="009D5998" w:rsidRDefault="009D5998" w:rsidP="00C72779">
      <w:pPr>
        <w:pStyle w:val="Lista"/>
      </w:pPr>
    </w:p>
    <w:p w14:paraId="061970D8" w14:textId="3D9075F8" w:rsidR="00A249B0" w:rsidRPr="00A93FC3" w:rsidRDefault="009D5998" w:rsidP="00A93FC3">
      <w:pPr>
        <w:pStyle w:val="Prrafodelista"/>
        <w:numPr>
          <w:ilvl w:val="2"/>
          <w:numId w:val="23"/>
        </w:numPr>
        <w:rPr>
          <w:b/>
          <w:bCs/>
          <w:sz w:val="22"/>
          <w:szCs w:val="22"/>
        </w:rPr>
      </w:pPr>
      <w:r>
        <w:rPr>
          <w:b/>
          <w:bCs/>
          <w:sz w:val="22"/>
          <w:szCs w:val="22"/>
        </w:rPr>
        <w:t xml:space="preserve">LISTADO DE </w:t>
      </w:r>
      <w:r w:rsidRPr="00A249B0">
        <w:rPr>
          <w:b/>
          <w:bCs/>
          <w:sz w:val="22"/>
          <w:szCs w:val="22"/>
        </w:rPr>
        <w:t>INFORMES</w:t>
      </w:r>
    </w:p>
    <w:tbl>
      <w:tblPr>
        <w:tblStyle w:val="Tabladecuadrcula5oscura-nfasis1"/>
        <w:tblpPr w:leftFromText="141" w:rightFromText="141" w:vertAnchor="text" w:horzAnchor="margin" w:tblpXSpec="center" w:tblpY="62"/>
        <w:tblW w:w="9918" w:type="dxa"/>
        <w:tblLook w:val="04A0" w:firstRow="1" w:lastRow="0" w:firstColumn="1" w:lastColumn="0" w:noHBand="0" w:noVBand="1"/>
      </w:tblPr>
      <w:tblGrid>
        <w:gridCol w:w="1455"/>
        <w:gridCol w:w="3360"/>
        <w:gridCol w:w="2126"/>
        <w:gridCol w:w="2977"/>
      </w:tblGrid>
      <w:tr w:rsidR="004D5100" w:rsidRPr="005800CA" w14:paraId="195020DF" w14:textId="77777777" w:rsidTr="00756354">
        <w:trPr>
          <w:cnfStyle w:val="100000000000" w:firstRow="1" w:lastRow="0" w:firstColumn="0" w:lastColumn="0" w:oddVBand="0" w:evenVBand="0" w:oddHBand="0"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455" w:type="dxa"/>
            <w:tcBorders>
              <w:right w:val="single" w:sz="6" w:space="0" w:color="FFFFFF" w:themeColor="background1"/>
            </w:tcBorders>
            <w:noWrap/>
            <w:textDirection w:val="btLr"/>
            <w:hideMark/>
          </w:tcPr>
          <w:p w14:paraId="7D850CFC" w14:textId="77777777" w:rsidR="004D5100" w:rsidRPr="005800CA" w:rsidRDefault="004D5100" w:rsidP="00C72779">
            <w:pPr>
              <w:suppressAutoHyphens w:val="0"/>
              <w:jc w:val="center"/>
              <w:rPr>
                <w:rFonts w:cs="Arial"/>
                <w:sz w:val="20"/>
                <w:szCs w:val="22"/>
                <w:lang w:val="es-MX" w:eastAsia="es-MX"/>
              </w:rPr>
            </w:pPr>
          </w:p>
        </w:tc>
        <w:tc>
          <w:tcPr>
            <w:tcW w:w="3360" w:type="dxa"/>
            <w:tcBorders>
              <w:left w:val="single" w:sz="6" w:space="0" w:color="FFFFFF" w:themeColor="background1"/>
              <w:right w:val="single" w:sz="4" w:space="0" w:color="FFFFFF" w:themeColor="background1"/>
            </w:tcBorders>
            <w:hideMark/>
          </w:tcPr>
          <w:p w14:paraId="74501E8C" w14:textId="77777777" w:rsidR="004D5100" w:rsidRPr="005800CA" w:rsidRDefault="004D5100"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s-MX"/>
              </w:rPr>
            </w:pPr>
            <w:r w:rsidRPr="005800CA">
              <w:rPr>
                <w:rFonts w:cs="Arial"/>
                <w:sz w:val="20"/>
                <w:szCs w:val="22"/>
                <w:lang w:val="es-MX" w:eastAsia="es-MX"/>
              </w:rPr>
              <w:t>Informe</w:t>
            </w:r>
          </w:p>
        </w:tc>
        <w:tc>
          <w:tcPr>
            <w:tcW w:w="2126" w:type="dxa"/>
            <w:tcBorders>
              <w:left w:val="single" w:sz="4" w:space="0" w:color="FFFFFF" w:themeColor="background1"/>
            </w:tcBorders>
            <w:hideMark/>
          </w:tcPr>
          <w:p w14:paraId="40B0DC91" w14:textId="77777777" w:rsidR="004D5100" w:rsidRPr="005800CA" w:rsidRDefault="004D5100"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s-MX"/>
              </w:rPr>
            </w:pPr>
            <w:r w:rsidRPr="005800CA">
              <w:rPr>
                <w:rFonts w:cs="Arial"/>
                <w:sz w:val="20"/>
                <w:szCs w:val="22"/>
                <w:lang w:val="es-MX" w:eastAsia="es-MX"/>
              </w:rPr>
              <w:t>Responsable</w:t>
            </w:r>
          </w:p>
        </w:tc>
        <w:tc>
          <w:tcPr>
            <w:tcW w:w="2977" w:type="dxa"/>
            <w:hideMark/>
          </w:tcPr>
          <w:p w14:paraId="5C0A7C51" w14:textId="77777777" w:rsidR="004D5100" w:rsidRPr="005800CA" w:rsidRDefault="004D5100"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s-MX"/>
              </w:rPr>
            </w:pPr>
            <w:r w:rsidRPr="005800CA">
              <w:rPr>
                <w:rFonts w:cs="Arial"/>
                <w:sz w:val="20"/>
                <w:szCs w:val="22"/>
                <w:lang w:val="es-MX" w:eastAsia="es-MX"/>
              </w:rPr>
              <w:t>Entrega y Publicación</w:t>
            </w:r>
          </w:p>
        </w:tc>
      </w:tr>
      <w:tr w:rsidR="004D5100" w:rsidRPr="005800CA" w14:paraId="394ECC7D" w14:textId="77777777" w:rsidTr="00756354">
        <w:trPr>
          <w:cnfStyle w:val="000000100000" w:firstRow="0" w:lastRow="0" w:firstColumn="0" w:lastColumn="0" w:oddVBand="0" w:evenVBand="0" w:oddHBand="1" w:evenHBand="0" w:firstRowFirstColumn="0" w:firstRowLastColumn="0" w:lastRowFirstColumn="0" w:lastRowLastColumn="0"/>
          <w:cantSplit/>
          <w:trHeight w:val="1134"/>
        </w:trPr>
        <w:tc>
          <w:tcPr>
            <w:cnfStyle w:val="001000000000" w:firstRow="0" w:lastRow="0" w:firstColumn="1" w:lastColumn="0" w:oddVBand="0" w:evenVBand="0" w:oddHBand="0" w:evenHBand="0" w:firstRowFirstColumn="0" w:firstRowLastColumn="0" w:lastRowFirstColumn="0" w:lastRowLastColumn="0"/>
            <w:tcW w:w="1455" w:type="dxa"/>
            <w:vMerge w:val="restart"/>
            <w:textDirection w:val="btLr"/>
            <w:vAlign w:val="center"/>
            <w:hideMark/>
          </w:tcPr>
          <w:p w14:paraId="3209BEA3" w14:textId="77777777" w:rsidR="004D5100" w:rsidRPr="005800CA" w:rsidRDefault="004D5100" w:rsidP="00C72779">
            <w:pPr>
              <w:ind w:left="113" w:right="113"/>
              <w:jc w:val="center"/>
              <w:rPr>
                <w:rFonts w:cs="Arial"/>
                <w:sz w:val="20"/>
                <w:szCs w:val="22"/>
                <w:lang w:val="es-MX" w:eastAsia="es-MX"/>
              </w:rPr>
            </w:pPr>
            <w:r w:rsidRPr="005800CA">
              <w:rPr>
                <w:rFonts w:cs="Arial"/>
                <w:sz w:val="20"/>
                <w:szCs w:val="22"/>
                <w:lang w:val="es-MX" w:eastAsia="es-MX"/>
              </w:rPr>
              <w:t>Internos</w:t>
            </w:r>
          </w:p>
        </w:tc>
        <w:tc>
          <w:tcPr>
            <w:tcW w:w="3360" w:type="dxa"/>
            <w:hideMark/>
          </w:tcPr>
          <w:p w14:paraId="3AE352D3"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Informe de seguimiento del plan de acción anual del proceso de Investigación y gestión del conocimiento aplicado.</w:t>
            </w:r>
          </w:p>
        </w:tc>
        <w:tc>
          <w:tcPr>
            <w:tcW w:w="2126" w:type="dxa"/>
            <w:noWrap/>
            <w:hideMark/>
          </w:tcPr>
          <w:p w14:paraId="3DED39CD"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Dirección de investigación y prospectiva</w:t>
            </w:r>
          </w:p>
        </w:tc>
        <w:tc>
          <w:tcPr>
            <w:tcW w:w="2977" w:type="dxa"/>
            <w:noWrap/>
            <w:hideMark/>
          </w:tcPr>
          <w:p w14:paraId="50CF3C72"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El informe se entrega trimestralmente a la OAP del IGAC y se publica en la página web del IGAC</w:t>
            </w:r>
          </w:p>
        </w:tc>
      </w:tr>
      <w:tr w:rsidR="004D5100" w:rsidRPr="005800CA" w14:paraId="0FD13FAB" w14:textId="77777777" w:rsidTr="00756354">
        <w:trPr>
          <w:trHeight w:val="519"/>
        </w:trPr>
        <w:tc>
          <w:tcPr>
            <w:cnfStyle w:val="001000000000" w:firstRow="0" w:lastRow="0" w:firstColumn="1" w:lastColumn="0" w:oddVBand="0" w:evenVBand="0" w:oddHBand="0" w:evenHBand="0" w:firstRowFirstColumn="0" w:firstRowLastColumn="0" w:lastRowFirstColumn="0" w:lastRowLastColumn="0"/>
            <w:tcW w:w="1455" w:type="dxa"/>
            <w:vMerge/>
            <w:noWrap/>
            <w:textDirection w:val="btLr"/>
            <w:hideMark/>
          </w:tcPr>
          <w:p w14:paraId="1F07A08B" w14:textId="77777777" w:rsidR="004D5100" w:rsidRPr="005800CA" w:rsidRDefault="004D5100" w:rsidP="00C72779">
            <w:pPr>
              <w:jc w:val="center"/>
              <w:rPr>
                <w:rFonts w:cs="Arial"/>
                <w:sz w:val="20"/>
                <w:szCs w:val="22"/>
                <w:lang w:val="es-MX" w:eastAsia="es-MX"/>
              </w:rPr>
            </w:pPr>
          </w:p>
        </w:tc>
        <w:tc>
          <w:tcPr>
            <w:tcW w:w="3360" w:type="dxa"/>
            <w:hideMark/>
          </w:tcPr>
          <w:p w14:paraId="02A6B2C4"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Informe de seguimiento de los riesgos de gestión del proceso de innovación y gestión del conocimiento aplicado.</w:t>
            </w:r>
          </w:p>
        </w:tc>
        <w:tc>
          <w:tcPr>
            <w:tcW w:w="2126" w:type="dxa"/>
            <w:noWrap/>
            <w:hideMark/>
          </w:tcPr>
          <w:p w14:paraId="5024BA81"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Dirección de investigación y prospectiva</w:t>
            </w:r>
          </w:p>
        </w:tc>
        <w:tc>
          <w:tcPr>
            <w:tcW w:w="2977" w:type="dxa"/>
            <w:noWrap/>
            <w:hideMark/>
          </w:tcPr>
          <w:p w14:paraId="2C13D4A3"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El informe se entrega trimestralmente a la OAP del IGAC y se publica en la página web del IGAC</w:t>
            </w:r>
          </w:p>
        </w:tc>
      </w:tr>
      <w:tr w:rsidR="004D5100" w:rsidRPr="005800CA" w14:paraId="4A08FF30" w14:textId="77777777" w:rsidTr="00756354">
        <w:trPr>
          <w:cnfStyle w:val="000000100000" w:firstRow="0" w:lastRow="0" w:firstColumn="0" w:lastColumn="0" w:oddVBand="0" w:evenVBand="0" w:oddHBand="1"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1455" w:type="dxa"/>
            <w:vMerge w:val="restart"/>
            <w:noWrap/>
            <w:textDirection w:val="btLr"/>
            <w:vAlign w:val="center"/>
            <w:hideMark/>
          </w:tcPr>
          <w:p w14:paraId="69843D6A" w14:textId="77777777" w:rsidR="004D5100" w:rsidRPr="005800CA" w:rsidRDefault="004D5100" w:rsidP="00C72779">
            <w:pPr>
              <w:suppressAutoHyphens w:val="0"/>
              <w:jc w:val="center"/>
              <w:rPr>
                <w:rFonts w:cs="Arial"/>
                <w:sz w:val="20"/>
                <w:szCs w:val="22"/>
                <w:lang w:val="es-MX" w:eastAsia="es-MX"/>
              </w:rPr>
            </w:pPr>
            <w:r w:rsidRPr="005800CA">
              <w:rPr>
                <w:rFonts w:cs="Arial"/>
                <w:sz w:val="20"/>
                <w:szCs w:val="22"/>
                <w:lang w:val="es-MX" w:eastAsia="es-MX"/>
              </w:rPr>
              <w:lastRenderedPageBreak/>
              <w:t>Externos</w:t>
            </w:r>
          </w:p>
        </w:tc>
        <w:tc>
          <w:tcPr>
            <w:tcW w:w="3360" w:type="dxa"/>
            <w:hideMark/>
          </w:tcPr>
          <w:p w14:paraId="1134F17D"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Informe de seguimiento a los indicadores del Plan Nacional de Desarrollo.</w:t>
            </w:r>
          </w:p>
        </w:tc>
        <w:tc>
          <w:tcPr>
            <w:tcW w:w="2126" w:type="dxa"/>
            <w:hideMark/>
          </w:tcPr>
          <w:p w14:paraId="3721040E"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Dirección de investigación y prospectiva</w:t>
            </w:r>
          </w:p>
        </w:tc>
        <w:tc>
          <w:tcPr>
            <w:tcW w:w="2977" w:type="dxa"/>
            <w:hideMark/>
          </w:tcPr>
          <w:p w14:paraId="08A5570B" w14:textId="77777777" w:rsidR="004D5100" w:rsidRPr="005800CA" w:rsidRDefault="004D510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El informe se entrega mensualmente al DNP y se publica en la página web de SINEGIA</w:t>
            </w:r>
          </w:p>
        </w:tc>
      </w:tr>
      <w:tr w:rsidR="004D5100" w:rsidRPr="005800CA" w14:paraId="4F8F6484" w14:textId="77777777" w:rsidTr="00756354">
        <w:trPr>
          <w:trHeight w:val="1000"/>
        </w:trPr>
        <w:tc>
          <w:tcPr>
            <w:cnfStyle w:val="001000000000" w:firstRow="0" w:lastRow="0" w:firstColumn="1" w:lastColumn="0" w:oddVBand="0" w:evenVBand="0" w:oddHBand="0" w:evenHBand="0" w:firstRowFirstColumn="0" w:firstRowLastColumn="0" w:lastRowFirstColumn="0" w:lastRowLastColumn="0"/>
            <w:tcW w:w="1455" w:type="dxa"/>
            <w:vMerge/>
            <w:noWrap/>
            <w:textDirection w:val="btLr"/>
            <w:hideMark/>
          </w:tcPr>
          <w:p w14:paraId="5632A522" w14:textId="77777777" w:rsidR="004D5100" w:rsidRPr="005800CA" w:rsidRDefault="004D5100" w:rsidP="00C72779">
            <w:pPr>
              <w:jc w:val="center"/>
              <w:rPr>
                <w:rFonts w:cs="Arial"/>
                <w:sz w:val="20"/>
                <w:szCs w:val="22"/>
                <w:lang w:val="es-MX" w:eastAsia="es-MX"/>
              </w:rPr>
            </w:pPr>
          </w:p>
        </w:tc>
        <w:tc>
          <w:tcPr>
            <w:tcW w:w="3360" w:type="dxa"/>
            <w:hideMark/>
          </w:tcPr>
          <w:p w14:paraId="6FF5FB3D" w14:textId="4B9CD212"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 xml:space="preserve">Informe a las acciones comprometidas en los diferentes </w:t>
            </w:r>
            <w:r w:rsidR="00AF3756" w:rsidRPr="005800CA">
              <w:rPr>
                <w:rFonts w:eastAsia="Arial" w:cs="Arial"/>
                <w:sz w:val="20"/>
                <w:szCs w:val="22"/>
                <w:lang w:val="es-MX" w:eastAsia="es-MX"/>
              </w:rPr>
              <w:t>CONPES</w:t>
            </w:r>
          </w:p>
        </w:tc>
        <w:tc>
          <w:tcPr>
            <w:tcW w:w="2126" w:type="dxa"/>
            <w:hideMark/>
          </w:tcPr>
          <w:p w14:paraId="4AB456F5"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Dirección de investigación y prospectiva</w:t>
            </w:r>
          </w:p>
        </w:tc>
        <w:tc>
          <w:tcPr>
            <w:tcW w:w="2977" w:type="dxa"/>
            <w:hideMark/>
          </w:tcPr>
          <w:p w14:paraId="0378E254"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El informe se entrega semestralmente al DNP y se publica en la página web de SISCONPES</w:t>
            </w:r>
          </w:p>
        </w:tc>
      </w:tr>
      <w:tr w:rsidR="004D5100" w:rsidRPr="005800CA" w14:paraId="41F9E380" w14:textId="77777777" w:rsidTr="00756354">
        <w:trPr>
          <w:cnfStyle w:val="000000100000" w:firstRow="0" w:lastRow="0" w:firstColumn="0" w:lastColumn="0" w:oddVBand="0" w:evenVBand="0" w:oddHBand="1"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1455" w:type="dxa"/>
            <w:vMerge/>
            <w:noWrap/>
            <w:textDirection w:val="btLr"/>
            <w:hideMark/>
          </w:tcPr>
          <w:p w14:paraId="4B0FF80A" w14:textId="77777777" w:rsidR="004D5100" w:rsidRPr="005800CA" w:rsidRDefault="004D5100" w:rsidP="00C72779">
            <w:pPr>
              <w:jc w:val="center"/>
              <w:rPr>
                <w:rFonts w:cs="Arial"/>
                <w:sz w:val="20"/>
                <w:szCs w:val="22"/>
                <w:lang w:val="es-MX" w:eastAsia="es-MX"/>
              </w:rPr>
            </w:pPr>
          </w:p>
        </w:tc>
        <w:tc>
          <w:tcPr>
            <w:tcW w:w="3360" w:type="dxa"/>
            <w:hideMark/>
          </w:tcPr>
          <w:p w14:paraId="3EAB7A8A" w14:textId="77777777" w:rsidR="004D5100" w:rsidRPr="005800CA" w:rsidRDefault="004D5100" w:rsidP="00C72779">
            <w:pPr>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Informe de avance al seguimiento de los proyectos de inversión.</w:t>
            </w:r>
          </w:p>
        </w:tc>
        <w:tc>
          <w:tcPr>
            <w:tcW w:w="2126" w:type="dxa"/>
            <w:hideMark/>
          </w:tcPr>
          <w:p w14:paraId="5388D0FB" w14:textId="77777777" w:rsidR="004D5100" w:rsidRPr="005800CA" w:rsidRDefault="004D5100" w:rsidP="00C72779">
            <w:pPr>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Dirección de investigación y prospectiva</w:t>
            </w:r>
          </w:p>
        </w:tc>
        <w:tc>
          <w:tcPr>
            <w:tcW w:w="2977" w:type="dxa"/>
            <w:hideMark/>
          </w:tcPr>
          <w:p w14:paraId="42C606A6" w14:textId="77777777" w:rsidR="004D5100" w:rsidRPr="005800CA" w:rsidRDefault="004D5100" w:rsidP="00C72779">
            <w:pPr>
              <w:jc w:val="both"/>
              <w:cnfStyle w:val="000000100000" w:firstRow="0" w:lastRow="0" w:firstColumn="0" w:lastColumn="0" w:oddVBand="0" w:evenVBand="0" w:oddHBand="1"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El informe se entrega mensualmente al DNP y se publica en la página web SPI</w:t>
            </w:r>
          </w:p>
        </w:tc>
      </w:tr>
      <w:tr w:rsidR="004D5100" w:rsidRPr="005800CA" w14:paraId="6A1BE102" w14:textId="77777777" w:rsidTr="00756354">
        <w:trPr>
          <w:trHeight w:val="1000"/>
        </w:trPr>
        <w:tc>
          <w:tcPr>
            <w:cnfStyle w:val="001000000000" w:firstRow="0" w:lastRow="0" w:firstColumn="1" w:lastColumn="0" w:oddVBand="0" w:evenVBand="0" w:oddHBand="0" w:evenHBand="0" w:firstRowFirstColumn="0" w:firstRowLastColumn="0" w:lastRowFirstColumn="0" w:lastRowLastColumn="0"/>
            <w:tcW w:w="1455" w:type="dxa"/>
            <w:vMerge/>
            <w:noWrap/>
            <w:textDirection w:val="btLr"/>
            <w:hideMark/>
          </w:tcPr>
          <w:p w14:paraId="2A996D22" w14:textId="77777777" w:rsidR="004D5100" w:rsidRPr="005800CA" w:rsidRDefault="004D5100" w:rsidP="00C72779">
            <w:pPr>
              <w:jc w:val="center"/>
              <w:rPr>
                <w:rFonts w:cs="Arial"/>
                <w:sz w:val="20"/>
                <w:szCs w:val="22"/>
                <w:lang w:val="es-MX" w:eastAsia="es-MX"/>
              </w:rPr>
            </w:pPr>
          </w:p>
        </w:tc>
        <w:tc>
          <w:tcPr>
            <w:tcW w:w="3360" w:type="dxa"/>
            <w:hideMark/>
          </w:tcPr>
          <w:p w14:paraId="5AFC7DB4"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2"/>
                <w:lang w:val="es-MX" w:eastAsia="es-MX"/>
              </w:rPr>
            </w:pPr>
            <w:r w:rsidRPr="005800CA">
              <w:rPr>
                <w:rFonts w:eastAsia="Arial" w:cs="Arial"/>
                <w:sz w:val="20"/>
                <w:szCs w:val="22"/>
                <w:lang w:val="es-MX" w:eastAsia="es-MX"/>
              </w:rPr>
              <w:t>Informes de las sentencias.</w:t>
            </w:r>
          </w:p>
          <w:p w14:paraId="236F3FC1" w14:textId="77777777" w:rsidR="004D5100" w:rsidRPr="005800CA" w:rsidRDefault="004D5100" w:rsidP="000A20EE">
            <w:pPr>
              <w:pStyle w:val="Prrafodelista"/>
              <w:numPr>
                <w:ilvl w:val="0"/>
                <w:numId w:val="107"/>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szCs w:val="22"/>
                <w:lang w:val="es-MX" w:eastAsia="es-MX"/>
              </w:rPr>
            </w:pPr>
            <w:r w:rsidRPr="005800CA">
              <w:rPr>
                <w:rFonts w:eastAsia="Arial" w:cs="Arial"/>
                <w:szCs w:val="22"/>
                <w:lang w:val="es-MX" w:eastAsia="es-MX"/>
              </w:rPr>
              <w:t>Arroyo Bruno Sentencia SU698-17.</w:t>
            </w:r>
          </w:p>
          <w:p w14:paraId="7DED8F06" w14:textId="77777777" w:rsidR="004D5100" w:rsidRPr="005800CA" w:rsidRDefault="004D5100" w:rsidP="000A20EE">
            <w:pPr>
              <w:pStyle w:val="Prrafodelista"/>
              <w:numPr>
                <w:ilvl w:val="0"/>
                <w:numId w:val="107"/>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eastAsia="Arial" w:cs="Arial"/>
                <w:szCs w:val="22"/>
                <w:lang w:val="es-MX" w:eastAsia="es-MX"/>
              </w:rPr>
            </w:pPr>
            <w:r w:rsidRPr="005800CA">
              <w:rPr>
                <w:rFonts w:eastAsia="Arial" w:cs="Arial"/>
                <w:szCs w:val="22"/>
                <w:lang w:val="es-MX" w:eastAsia="es-MX"/>
              </w:rPr>
              <w:t>Puerto Boyacá- SNGRD</w:t>
            </w:r>
          </w:p>
          <w:p w14:paraId="1D94D710" w14:textId="77777777" w:rsidR="004D5100" w:rsidRPr="005800CA" w:rsidRDefault="004D5100" w:rsidP="000A20EE">
            <w:pPr>
              <w:pStyle w:val="Prrafodelista"/>
              <w:numPr>
                <w:ilvl w:val="0"/>
                <w:numId w:val="107"/>
              </w:numPr>
              <w:suppressAutoHyphens w:val="0"/>
              <w:overflowPunct/>
              <w:autoSpaceDE/>
              <w:spacing w:after="160"/>
              <w:contextualSpacing/>
              <w:textAlignment w:val="auto"/>
              <w:cnfStyle w:val="000000000000" w:firstRow="0" w:lastRow="0" w:firstColumn="0" w:lastColumn="0" w:oddVBand="0" w:evenVBand="0" w:oddHBand="0" w:evenHBand="0" w:firstRowFirstColumn="0" w:firstRowLastColumn="0" w:lastRowFirstColumn="0" w:lastRowLastColumn="0"/>
              <w:rPr>
                <w:rFonts w:cs="Arial"/>
                <w:szCs w:val="22"/>
                <w:lang w:val="es-MX" w:eastAsia="es-MX"/>
              </w:rPr>
            </w:pPr>
            <w:r w:rsidRPr="005800CA">
              <w:rPr>
                <w:rFonts w:eastAsia="Arial" w:cs="Arial"/>
                <w:szCs w:val="22"/>
                <w:lang w:val="es-MX" w:eastAsia="es-MX"/>
              </w:rPr>
              <w:t>Parque Vía Isla de Salamanca STC3872-2020</w:t>
            </w:r>
          </w:p>
        </w:tc>
        <w:tc>
          <w:tcPr>
            <w:tcW w:w="2126" w:type="dxa"/>
            <w:hideMark/>
          </w:tcPr>
          <w:p w14:paraId="720B3A48"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2"/>
                <w:lang w:val="es-MX" w:eastAsia="es-MX"/>
              </w:rPr>
            </w:pPr>
            <w:r w:rsidRPr="005800CA">
              <w:rPr>
                <w:rFonts w:eastAsia="Arial" w:cs="Arial"/>
                <w:sz w:val="20"/>
                <w:szCs w:val="22"/>
                <w:lang w:val="es-MX" w:eastAsia="es-MX"/>
              </w:rPr>
              <w:t>Dirección de investigación y prospectiva</w:t>
            </w:r>
          </w:p>
        </w:tc>
        <w:tc>
          <w:tcPr>
            <w:tcW w:w="2977" w:type="dxa"/>
            <w:hideMark/>
          </w:tcPr>
          <w:p w14:paraId="33C7C236"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2"/>
                <w:lang w:val="es-MX" w:eastAsia="es-MX"/>
              </w:rPr>
            </w:pPr>
          </w:p>
          <w:p w14:paraId="11725462" w14:textId="77777777" w:rsidR="004D5100" w:rsidRPr="005800CA" w:rsidRDefault="004D5100"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2"/>
                <w:lang w:val="es-MX" w:eastAsia="es-MX"/>
              </w:rPr>
            </w:pPr>
            <w:r w:rsidRPr="005800CA">
              <w:rPr>
                <w:rFonts w:eastAsia="Arial" w:cs="Arial"/>
                <w:sz w:val="20"/>
                <w:szCs w:val="22"/>
                <w:lang w:val="es-MX" w:eastAsia="es-MX"/>
              </w:rPr>
              <w:t xml:space="preserve">El informe se entrega de acuerdo con las solicitudes periódicas de la presidencia, la corte constitucional o la instancia que lo requiera. </w:t>
            </w:r>
          </w:p>
        </w:tc>
      </w:tr>
    </w:tbl>
    <w:p w14:paraId="55E98D92" w14:textId="77777777" w:rsidR="009D5998" w:rsidRPr="003D1D50" w:rsidRDefault="009D5998" w:rsidP="00C72779">
      <w:pPr>
        <w:jc w:val="center"/>
        <w:rPr>
          <w:rFonts w:eastAsia="Arial" w:cs="Arial"/>
          <w:b/>
          <w:color w:val="000000" w:themeColor="text1"/>
          <w:sz w:val="18"/>
          <w:szCs w:val="22"/>
          <w:lang w:val="es-CO"/>
        </w:rPr>
      </w:pPr>
      <w:r w:rsidRPr="003D1D50">
        <w:rPr>
          <w:rFonts w:eastAsia="Arial" w:cs="Arial"/>
          <w:b/>
          <w:color w:val="000000" w:themeColor="text1"/>
          <w:sz w:val="18"/>
          <w:szCs w:val="22"/>
          <w:lang w:val="es-CO"/>
        </w:rPr>
        <w:t xml:space="preserve">Fuente: Dirección de Investigación y Prospectiva </w:t>
      </w:r>
    </w:p>
    <w:p w14:paraId="0DD34830" w14:textId="77777777" w:rsidR="004D5100" w:rsidRDefault="004D5100" w:rsidP="00C72779">
      <w:pPr>
        <w:pStyle w:val="Lista"/>
      </w:pPr>
    </w:p>
    <w:p w14:paraId="3DAAEFAF" w14:textId="77777777" w:rsidR="007B1FA1" w:rsidRDefault="007B1FA1" w:rsidP="00C72779">
      <w:pPr>
        <w:pStyle w:val="Lista"/>
      </w:pPr>
    </w:p>
    <w:p w14:paraId="5BE8FF3A" w14:textId="23450487" w:rsidR="001A609E" w:rsidRDefault="009D5998" w:rsidP="000A20EE">
      <w:pPr>
        <w:pStyle w:val="Prrafodelista"/>
        <w:numPr>
          <w:ilvl w:val="2"/>
          <w:numId w:val="23"/>
        </w:numPr>
        <w:rPr>
          <w:b/>
          <w:bCs/>
          <w:sz w:val="22"/>
          <w:szCs w:val="22"/>
        </w:rPr>
      </w:pPr>
      <w:r w:rsidRPr="002D2F11">
        <w:rPr>
          <w:b/>
          <w:bCs/>
          <w:sz w:val="22"/>
          <w:szCs w:val="22"/>
        </w:rPr>
        <w:t>RECOMENDACIONES</w:t>
      </w:r>
    </w:p>
    <w:p w14:paraId="79004629" w14:textId="77777777" w:rsidR="007B1FA1" w:rsidRPr="00D16333" w:rsidRDefault="007B1FA1" w:rsidP="00C72779">
      <w:pPr>
        <w:pStyle w:val="Prrafodelista"/>
        <w:rPr>
          <w:rFonts w:cs="Arial"/>
          <w:b/>
          <w:bCs/>
          <w:sz w:val="22"/>
          <w:szCs w:val="22"/>
        </w:rPr>
      </w:pPr>
    </w:p>
    <w:p w14:paraId="1A9092E0" w14:textId="77777777" w:rsidR="007B1FA1" w:rsidRPr="00D16333" w:rsidRDefault="007B1FA1" w:rsidP="000A20EE">
      <w:pPr>
        <w:pStyle w:val="Prrafodelista"/>
        <w:numPr>
          <w:ilvl w:val="0"/>
          <w:numId w:val="108"/>
        </w:numPr>
        <w:shd w:val="clear" w:color="auto" w:fill="FFFFFF" w:themeFill="background1"/>
        <w:suppressAutoHyphens w:val="0"/>
        <w:overflowPunct/>
        <w:autoSpaceDE/>
        <w:spacing w:after="160"/>
        <w:contextualSpacing/>
        <w:rPr>
          <w:rFonts w:eastAsia="Arial" w:cs="Arial"/>
          <w:color w:val="000000"/>
          <w:sz w:val="22"/>
          <w:szCs w:val="22"/>
          <w:lang w:eastAsia="es-CO"/>
        </w:rPr>
      </w:pPr>
      <w:r w:rsidRPr="00D16333">
        <w:rPr>
          <w:rFonts w:eastAsia="Arial" w:cs="Arial"/>
          <w:color w:val="000000" w:themeColor="text1"/>
          <w:sz w:val="22"/>
          <w:szCs w:val="22"/>
          <w:lang w:eastAsia="es-CO"/>
        </w:rPr>
        <w:t>Se recomienda se designe de forma prioritaria, la Dirección técnica de la Dirección de Investigación y Prospectiva y el jefe del Observatorio inmobiliario en propiedad, con el fin de garantizar la operación continua de la dependencia y garantizar el logro de las metas fijadas por el Gobierno Nacional.</w:t>
      </w:r>
    </w:p>
    <w:p w14:paraId="5FC542D4" w14:textId="20428386" w:rsidR="007B1FA1" w:rsidRPr="00D16333"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eastAsia="Arial" w:cs="Arial"/>
          <w:sz w:val="22"/>
          <w:szCs w:val="22"/>
          <w:lang w:val="es-MX"/>
        </w:rPr>
        <w:t>Actualmente existen funcionarios que se encuentran en proceso de asignación de encargo, una vez finalicen los procesos se completará la planta de la dependencia.</w:t>
      </w:r>
    </w:p>
    <w:p w14:paraId="2F48EF01" w14:textId="5C80B285" w:rsidR="007B1FA1" w:rsidRPr="009D5998"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cs="Arial"/>
          <w:color w:val="000000"/>
          <w:sz w:val="22"/>
          <w:szCs w:val="22"/>
          <w:lang w:eastAsia="es-CO"/>
        </w:rPr>
        <w:t>Es importante revisar las asignaciones de recursos nación para el cumplimiento de las metas y compromisos misionales de la dependencia.</w:t>
      </w:r>
    </w:p>
    <w:p w14:paraId="1C05B66F" w14:textId="77777777" w:rsidR="007B1FA1" w:rsidRPr="00D16333"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cs="Arial"/>
          <w:color w:val="000000"/>
          <w:sz w:val="22"/>
          <w:szCs w:val="22"/>
          <w:lang w:eastAsia="es-CO"/>
        </w:rPr>
        <w:t xml:space="preserve">Es necesario continuar con la identificación, levantamiento y definición de flujos de procesos y procedimientos entorno a la prospectiva, la ciencia de datos y sinergia con las tecnologías geoespaciales de tal forma que permitan al área operar con una mejor eficiencia para dar respuesta a los retos misionales. Es indispensable que exista acompañamiento de expertos en los temas mencionados. </w:t>
      </w:r>
    </w:p>
    <w:p w14:paraId="2234753A" w14:textId="77777777" w:rsidR="007B1FA1" w:rsidRPr="00D16333" w:rsidRDefault="007B1FA1" w:rsidP="00C72779">
      <w:pPr>
        <w:pStyle w:val="Prrafodelista"/>
        <w:rPr>
          <w:rFonts w:cs="Arial"/>
          <w:color w:val="000000"/>
          <w:sz w:val="22"/>
          <w:szCs w:val="22"/>
          <w:lang w:eastAsia="es-CO"/>
        </w:rPr>
      </w:pPr>
    </w:p>
    <w:p w14:paraId="5181EEB0" w14:textId="77777777" w:rsidR="007B1FA1" w:rsidRPr="00D16333"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cs="Arial"/>
          <w:color w:val="000000"/>
          <w:sz w:val="22"/>
          <w:szCs w:val="22"/>
          <w:lang w:eastAsia="es-CO"/>
        </w:rPr>
        <w:t>Se requiere mejorar las estrategias de negocios y tiempos de respuesta para la gestión de recursos propios a través de asesorías y consultorías técnicas especializadas de mayor impacto en el país. Así mismo la estrategia de comunicaciones para difundir a nivel nacional los servicios, actividades y logros de la Dirección de Investigación y Prospectiva.</w:t>
      </w:r>
    </w:p>
    <w:p w14:paraId="00AEADC2" w14:textId="77777777" w:rsidR="007B1FA1" w:rsidRPr="00D16333" w:rsidRDefault="007B1FA1" w:rsidP="00C72779">
      <w:pPr>
        <w:pStyle w:val="Prrafodelista"/>
        <w:rPr>
          <w:rFonts w:cs="Arial"/>
          <w:color w:val="000000"/>
          <w:sz w:val="22"/>
          <w:szCs w:val="22"/>
          <w:lang w:eastAsia="es-CO"/>
        </w:rPr>
      </w:pPr>
    </w:p>
    <w:p w14:paraId="3DCE5013" w14:textId="011D0EF8" w:rsidR="007B1FA1" w:rsidRPr="001575FB"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cs="Arial"/>
          <w:color w:val="000000"/>
          <w:sz w:val="22"/>
          <w:szCs w:val="22"/>
          <w:lang w:eastAsia="es-CO"/>
        </w:rPr>
        <w:t>Es necesario continuar con el fortalecimiento del talento humano de la dependencia, especialmente orientado al desarrollo de competencias en ciencias de datos, prospectiva y desarrollo de software para una mejor respuesta a las nuevas funciones asignadas a la dirección de investigación y prospectiva.</w:t>
      </w:r>
    </w:p>
    <w:p w14:paraId="2EE2B87A" w14:textId="77777777" w:rsidR="007B1FA1" w:rsidRPr="00D16333" w:rsidRDefault="007B1FA1" w:rsidP="000A20EE">
      <w:pPr>
        <w:pStyle w:val="Prrafodelista"/>
        <w:numPr>
          <w:ilvl w:val="0"/>
          <w:numId w:val="109"/>
        </w:numPr>
        <w:suppressAutoHyphens w:val="0"/>
        <w:overflowPunct/>
        <w:autoSpaceDE/>
        <w:spacing w:after="160"/>
        <w:contextualSpacing/>
        <w:textAlignment w:val="auto"/>
        <w:rPr>
          <w:rFonts w:eastAsia="Arial" w:cs="Arial"/>
          <w:sz w:val="22"/>
          <w:szCs w:val="22"/>
          <w:lang w:val="es-MX"/>
        </w:rPr>
      </w:pPr>
      <w:r w:rsidRPr="00D16333">
        <w:rPr>
          <w:rFonts w:cs="Arial"/>
          <w:color w:val="000000"/>
          <w:sz w:val="22"/>
          <w:szCs w:val="22"/>
          <w:lang w:eastAsia="es-CO"/>
        </w:rPr>
        <w:t>Se recomienda dar continuidad a las fases de implementación de los proyectos de I+D+i realizados durante el presente año, con el fin de evaluar su efectividad en la mejora de procesos misionales.</w:t>
      </w:r>
    </w:p>
    <w:p w14:paraId="7C6D1B34" w14:textId="1F61F54A" w:rsidR="00A33629" w:rsidRPr="002D2F11" w:rsidRDefault="00A33629" w:rsidP="00C72779">
      <w:pPr>
        <w:rPr>
          <w:sz w:val="22"/>
          <w:szCs w:val="22"/>
        </w:rPr>
      </w:pPr>
    </w:p>
    <w:p w14:paraId="3C014569" w14:textId="370B4F80" w:rsidR="31FF9146" w:rsidRPr="008E4C18" w:rsidRDefault="00A33629" w:rsidP="000A20EE">
      <w:pPr>
        <w:pStyle w:val="Ttulo2"/>
        <w:numPr>
          <w:ilvl w:val="1"/>
          <w:numId w:val="22"/>
        </w:numPr>
        <w:spacing w:line="240" w:lineRule="auto"/>
        <w:jc w:val="left"/>
        <w:rPr>
          <w:sz w:val="22"/>
          <w:szCs w:val="22"/>
        </w:rPr>
      </w:pPr>
      <w:bookmarkStart w:id="152" w:name="_Toc88677059"/>
      <w:r w:rsidRPr="31FF9146">
        <w:rPr>
          <w:sz w:val="22"/>
          <w:szCs w:val="22"/>
        </w:rPr>
        <w:lastRenderedPageBreak/>
        <w:t xml:space="preserve">DIRECCIÓN DE </w:t>
      </w:r>
      <w:r w:rsidR="00AB4BEF" w:rsidRPr="31FF9146">
        <w:rPr>
          <w:sz w:val="22"/>
          <w:szCs w:val="22"/>
        </w:rPr>
        <w:t>TECNOLOGÍAS DE INFORMACIÓN Y COMUNICACIONES</w:t>
      </w:r>
      <w:bookmarkEnd w:id="152"/>
    </w:p>
    <w:p w14:paraId="6213C5CD" w14:textId="2DCBCB98" w:rsidR="00D05FB3" w:rsidRPr="00D740CF" w:rsidRDefault="32BDC456" w:rsidP="000A20EE">
      <w:pPr>
        <w:pStyle w:val="Prrafodelista"/>
        <w:numPr>
          <w:ilvl w:val="2"/>
          <w:numId w:val="22"/>
        </w:numPr>
        <w:rPr>
          <w:b/>
          <w:bCs/>
          <w:sz w:val="22"/>
          <w:szCs w:val="22"/>
        </w:rPr>
      </w:pPr>
      <w:r w:rsidRPr="31FF9146">
        <w:rPr>
          <w:b/>
          <w:bCs/>
          <w:sz w:val="22"/>
          <w:szCs w:val="22"/>
        </w:rPr>
        <w:t>G</w:t>
      </w:r>
      <w:r w:rsidR="00B465CF" w:rsidRPr="31FF9146">
        <w:rPr>
          <w:b/>
          <w:bCs/>
          <w:sz w:val="22"/>
          <w:szCs w:val="22"/>
        </w:rPr>
        <w:t>ENERALIDADES</w:t>
      </w:r>
    </w:p>
    <w:p w14:paraId="4FEAD284" w14:textId="77777777" w:rsidR="00BC52C5" w:rsidRDefault="00BC52C5" w:rsidP="00C72779">
      <w:pPr>
        <w:pStyle w:val="Lista"/>
      </w:pPr>
    </w:p>
    <w:p w14:paraId="78C12DCF" w14:textId="16AEC707" w:rsidR="00B16E42" w:rsidRDefault="00BC52C5" w:rsidP="00B16E42">
      <w:pPr>
        <w:jc w:val="both"/>
        <w:rPr>
          <w:rFonts w:eastAsia="Arial" w:cs="Arial"/>
          <w:color w:val="000000" w:themeColor="text1"/>
          <w:sz w:val="22"/>
          <w:szCs w:val="22"/>
          <w:lang w:val="es"/>
        </w:rPr>
      </w:pPr>
      <w:r w:rsidRPr="0090373C">
        <w:rPr>
          <w:rFonts w:eastAsia="Arial" w:cs="Arial"/>
          <w:color w:val="000000" w:themeColor="text1"/>
          <w:sz w:val="22"/>
          <w:szCs w:val="22"/>
          <w:lang w:val="es-CO"/>
        </w:rPr>
        <w:t xml:space="preserve">La Dirección de Tecnologías de la Información y Comunicaciones a través del proceso de Gestión de Sistemas de Información e Infraestructura, </w:t>
      </w:r>
      <w:r w:rsidRPr="0090373C">
        <w:rPr>
          <w:rFonts w:eastAsia="Arial" w:cs="Arial"/>
          <w:color w:val="000000" w:themeColor="text1"/>
          <w:sz w:val="22"/>
          <w:szCs w:val="22"/>
          <w:lang w:val="es"/>
        </w:rPr>
        <w:t>provee los servicios de infraestructura, dispone aplicaciones e información como apoyo a las áreas misionales y administrativas de la Entidad; con el fin de producir, proveer y divulgar información y conocimiento confiable y oportuno en geodesia, geografía, cartografía, agrología, catastro, tecnologías geoespaciales, facilitando el cumplimiento de los objetivos institucionales y la racionalización de trámites, optimizando el uso de recursos y fomentando  los mecanismos de participa</w:t>
      </w:r>
      <w:bookmarkStart w:id="153" w:name="_Hlk88675767"/>
      <w:r w:rsidR="00B16E42">
        <w:rPr>
          <w:rFonts w:eastAsia="Arial" w:cs="Arial"/>
          <w:color w:val="000000" w:themeColor="text1"/>
          <w:sz w:val="22"/>
          <w:szCs w:val="22"/>
          <w:lang w:val="es"/>
        </w:rPr>
        <w:t>ción ciudadana y transparencia.</w:t>
      </w:r>
    </w:p>
    <w:p w14:paraId="4A1607F2" w14:textId="77777777" w:rsidR="00B16E42" w:rsidRDefault="00B16E42" w:rsidP="00B16E42">
      <w:pPr>
        <w:jc w:val="both"/>
        <w:rPr>
          <w:rFonts w:eastAsia="Arial" w:cs="Arial"/>
          <w:color w:val="000000" w:themeColor="text1"/>
          <w:sz w:val="22"/>
          <w:szCs w:val="22"/>
          <w:lang w:val="es"/>
        </w:rPr>
      </w:pPr>
    </w:p>
    <w:p w14:paraId="0DD2C42C" w14:textId="4DE3FD57" w:rsidR="00BC52C5" w:rsidRPr="00B16E42" w:rsidRDefault="00B16E42" w:rsidP="00B16E42">
      <w:pPr>
        <w:suppressAutoHyphens w:val="0"/>
        <w:spacing w:after="160"/>
        <w:jc w:val="both"/>
        <w:rPr>
          <w:rFonts w:cs="Arial"/>
          <w:b/>
          <w:bCs/>
          <w:sz w:val="22"/>
          <w:szCs w:val="22"/>
          <w:lang w:val="es-MX" w:eastAsia="en-US"/>
        </w:rPr>
      </w:pPr>
      <w:r w:rsidRPr="00B16E42">
        <w:rPr>
          <w:rFonts w:cs="Arial"/>
          <w:sz w:val="22"/>
          <w:szCs w:val="22"/>
          <w:lang w:val="es-MX" w:eastAsia="en-US"/>
        </w:rPr>
        <w:t>Los procesos tecnológicos se encuentran apalancados por una plataforma tecnológica que incluye elementos de hardware y software de última tecnología, alineados con los propósitos de implementación del catastro multipropósito; se cuenta con una base de datos centralizada Oracle la cual brinda soporte operacional al Sistema Nacional Catastral - SNC</w:t>
      </w:r>
      <w:bookmarkEnd w:id="153"/>
      <w:r w:rsidRPr="00B16E42">
        <w:rPr>
          <w:rFonts w:cs="Arial"/>
          <w:sz w:val="22"/>
          <w:szCs w:val="22"/>
          <w:lang w:val="es-MX" w:eastAsia="en-US"/>
        </w:rPr>
        <w:t xml:space="preserve">,  a los sistemas de apoyo y misionales, además de todos las herramientas que soportan la operación de los procesos   de la Entidad, de los cuales se cuenta con un inventario de herramientas. Ver detalle en </w:t>
      </w:r>
      <w:r w:rsidRPr="00B16E42">
        <w:rPr>
          <w:rFonts w:cs="Arial"/>
          <w:b/>
          <w:bCs/>
          <w:sz w:val="22"/>
          <w:szCs w:val="22"/>
          <w:lang w:val="es-MX" w:eastAsia="en-US"/>
        </w:rPr>
        <w:t>Anexo 4. Inventario de Sistemas de Información.</w:t>
      </w:r>
    </w:p>
    <w:p w14:paraId="69BC94BD" w14:textId="77777777" w:rsidR="00BC52C5" w:rsidRPr="0090373C" w:rsidRDefault="00BC52C5" w:rsidP="00C72779">
      <w:pPr>
        <w:jc w:val="both"/>
        <w:rPr>
          <w:rFonts w:eastAsia="Arial" w:cs="Arial"/>
          <w:color w:val="000000" w:themeColor="text1"/>
          <w:sz w:val="22"/>
          <w:szCs w:val="22"/>
        </w:rPr>
      </w:pPr>
      <w:r w:rsidRPr="0090373C">
        <w:rPr>
          <w:rFonts w:eastAsia="Arial" w:cs="Arial"/>
          <w:color w:val="000000" w:themeColor="text1"/>
          <w:sz w:val="22"/>
          <w:szCs w:val="22"/>
        </w:rPr>
        <w:t>El proceso, además, es responsable de dar gestión a la  plataforma tecnológica en mención, dicha gestión va desde el apoyo a los usuarios para su correcto uso, pasando por el mejoramiento continuo de las herramientas, hasta brindar apoyo técnico en la estructuración de proyectos nuevos; desde la perspectiva de lo primero, se ha participado de forma continua en el proceso de capacitación a los diferentes usuarios de las territoriales y apoyo técnico en el uso de los diferentes sistemas; desde lo segundo, continuamente se reciben opciones de mejoramiento de los sistemas ya sea por nuevas necesidades operacionales o por aspectos operativos de casos no tenidos en cuenta en los diferentes levantamientos de información, estos mejoramientos se desarrollan con recursos humanos con conocimiento en desarrollo de software, y por último, la participación en proyectos nuevos relacionados con la modernización de los sistemas de información y el desarrollo de actividades en procura del cumplimiento de los propósitos del gobierno nacional en la implementación del Catastro Multipropósito.</w:t>
      </w:r>
    </w:p>
    <w:p w14:paraId="02A2FED1" w14:textId="77777777" w:rsidR="00BC52C5" w:rsidRPr="0090373C" w:rsidRDefault="00BC52C5" w:rsidP="00C72779">
      <w:pPr>
        <w:jc w:val="both"/>
        <w:rPr>
          <w:rFonts w:eastAsia="Arial" w:cs="Arial"/>
          <w:color w:val="000000" w:themeColor="text1"/>
          <w:sz w:val="22"/>
          <w:szCs w:val="22"/>
        </w:rPr>
      </w:pPr>
    </w:p>
    <w:p w14:paraId="42163779" w14:textId="77777777" w:rsidR="00BC52C5" w:rsidRPr="0090373C" w:rsidRDefault="00BC52C5" w:rsidP="00C72779">
      <w:pPr>
        <w:jc w:val="both"/>
        <w:rPr>
          <w:rFonts w:eastAsia="Arial" w:cs="Arial"/>
          <w:color w:val="000000" w:themeColor="text1"/>
          <w:sz w:val="22"/>
          <w:szCs w:val="22"/>
          <w:lang w:val="es-CO"/>
        </w:rPr>
      </w:pPr>
      <w:r w:rsidRPr="0090373C">
        <w:rPr>
          <w:rFonts w:eastAsia="Arial" w:cs="Arial"/>
          <w:color w:val="000000" w:themeColor="text1"/>
          <w:sz w:val="22"/>
          <w:szCs w:val="22"/>
        </w:rPr>
        <w:t xml:space="preserve">Con relación a lo último mencionado, el IGAC y el proceso </w:t>
      </w:r>
      <w:r w:rsidRPr="0090373C">
        <w:rPr>
          <w:rFonts w:eastAsia="Arial" w:cs="Arial"/>
          <w:color w:val="000000" w:themeColor="text1"/>
          <w:sz w:val="22"/>
          <w:szCs w:val="22"/>
          <w:lang w:val="es-CO"/>
        </w:rPr>
        <w:t>de Gestión de Sistemas de Información e Infraestructura, ha jugado un papel preponderante en la definición y construcción de las nuevas herramientas en procura de la implementación de dicha política pública, se resalta la definición y estructuración del proyecto del Repositorio de Datos Maestro - RDM el cual se concibe como una solución tecnológica de índole transversal soportada en la combinación de la unidad espacial de predio y los derechos, responsabilidades y restricciones asociados. Dicho repositorio pretende garantizar la integración de la información registral y catastral del territorio colombiano y ofrecer un único punto de acceso a la verdad catastral y registral mediante el aprovechamiento de información e insumos dispuestos por los Gestores Catastrales a través del Sistema Nacional de Información Catastral - SINIC, el cual es un componente o herramienta tecnológica del RDM, permitiendo la integración de la información entre catastro y registro, mediante la disposición de la información de los gestores catastrales (IGAC, ANT, catastros descentralizados y delegados titulares de la gestión catastral), dicha información comprende datos físicos, jurídicos y económicos reportados.</w:t>
      </w:r>
    </w:p>
    <w:p w14:paraId="695AE27E" w14:textId="77777777" w:rsidR="00BC52C5" w:rsidRPr="0090373C" w:rsidRDefault="00BC52C5" w:rsidP="00C72779">
      <w:pPr>
        <w:jc w:val="both"/>
        <w:rPr>
          <w:rFonts w:eastAsia="Arial" w:cs="Arial"/>
          <w:color w:val="000000" w:themeColor="text1"/>
          <w:sz w:val="22"/>
          <w:szCs w:val="22"/>
          <w:lang w:val="es-CO"/>
        </w:rPr>
      </w:pPr>
    </w:p>
    <w:p w14:paraId="308F8312" w14:textId="03613B5A" w:rsidR="00BC52C5" w:rsidRPr="0090373C" w:rsidRDefault="08184882" w:rsidP="00C72779">
      <w:pPr>
        <w:pStyle w:val="Sinespaciado"/>
        <w:jc w:val="both"/>
        <w:rPr>
          <w:rFonts w:ascii="Arial" w:eastAsia="Arial" w:hAnsi="Arial" w:cs="Arial"/>
          <w:color w:val="000000" w:themeColor="text1"/>
        </w:rPr>
      </w:pPr>
      <w:r w:rsidRPr="7283A636">
        <w:rPr>
          <w:rFonts w:ascii="Arial" w:hAnsi="Arial" w:cs="Arial"/>
        </w:rPr>
        <w:t>En síntesis, el SINIC, contribuye para que el RDM garantice la integración de la información registral y catastral del territorio colombiano y ofrece un único punto de acceso a la verdad catastral y registral.</w:t>
      </w:r>
      <w:r w:rsidR="0E7FC8DA" w:rsidRPr="7283A636">
        <w:rPr>
          <w:rFonts w:ascii="Arial" w:hAnsi="Arial" w:cs="Arial"/>
        </w:rPr>
        <w:t xml:space="preserve"> </w:t>
      </w:r>
      <w:r w:rsidRPr="7283A636">
        <w:rPr>
          <w:rFonts w:ascii="Arial" w:hAnsi="Arial" w:cs="Arial"/>
        </w:rPr>
        <w:t>Este par de soluciones (RDM y SINIC) serán desarrolladas por el IGAC, y se implementará</w:t>
      </w:r>
      <w:r w:rsidRPr="7283A636">
        <w:rPr>
          <w:rFonts w:ascii="Arial" w:eastAsia="Arial" w:hAnsi="Arial" w:cs="Arial"/>
          <w:color w:val="000000" w:themeColor="text1"/>
        </w:rPr>
        <w:t>n en la plataforma de la Superintendencia de Notariado y Registro - SNR.</w:t>
      </w:r>
    </w:p>
    <w:p w14:paraId="0CA41080" w14:textId="77777777" w:rsidR="00BC52C5" w:rsidRPr="00AB4BEF" w:rsidRDefault="00BC52C5" w:rsidP="00C72779">
      <w:pPr>
        <w:pStyle w:val="Sinespaciado"/>
        <w:jc w:val="both"/>
        <w:rPr>
          <w:rFonts w:ascii="Arial" w:hAnsi="Arial" w:cs="Arial"/>
        </w:rPr>
      </w:pPr>
    </w:p>
    <w:p w14:paraId="0D19B281" w14:textId="0E43F14B" w:rsidR="00BC52C5" w:rsidRPr="0090373C" w:rsidRDefault="00BC52C5" w:rsidP="00C72779">
      <w:pPr>
        <w:pStyle w:val="Sinespaciado"/>
        <w:jc w:val="both"/>
        <w:rPr>
          <w:rFonts w:ascii="Arial" w:eastAsia="Arial" w:hAnsi="Arial" w:cs="Arial"/>
          <w:color w:val="000000" w:themeColor="text1"/>
        </w:rPr>
      </w:pPr>
      <w:r w:rsidRPr="00AB4BEF">
        <w:rPr>
          <w:rFonts w:ascii="Arial" w:hAnsi="Arial" w:cs="Arial"/>
        </w:rPr>
        <w:t>En procura del desarrollo de la misionalidad del IGAC y como apoyo al desarrollo comercial de los contratos de actualización catastral suscrito con los diferentes municipios de Colombia, el proceso de Gestión de Sistemas de Información e Infraestructura contribuye con acciones técnicas que van desde la proveeduría de infraestructura tecnológica, hasta la disposición de soluciones de software, como</w:t>
      </w:r>
      <w:r w:rsidRPr="0090373C">
        <w:rPr>
          <w:rFonts w:ascii="Arial" w:eastAsia="Arial" w:hAnsi="Arial" w:cs="Arial"/>
          <w:color w:val="000000" w:themeColor="text1"/>
        </w:rPr>
        <w:t xml:space="preserve">  es el </w:t>
      </w:r>
      <w:r w:rsidRPr="0090373C">
        <w:rPr>
          <w:rFonts w:ascii="Arial" w:hAnsi="Arial" w:cs="Arial"/>
          <w:bdr w:val="none" w:sz="0" w:space="0" w:color="auto" w:frame="1"/>
        </w:rPr>
        <w:t xml:space="preserve">Sistema de </w:t>
      </w:r>
      <w:r w:rsidR="009D0B16">
        <w:rPr>
          <w:rFonts w:ascii="Arial" w:hAnsi="Arial" w:cs="Arial"/>
          <w:bdr w:val="none" w:sz="0" w:space="0" w:color="auto" w:frame="1"/>
        </w:rPr>
        <w:t>C</w:t>
      </w:r>
      <w:r w:rsidRPr="0090373C">
        <w:rPr>
          <w:rFonts w:ascii="Arial" w:hAnsi="Arial" w:cs="Arial"/>
          <w:bdr w:val="none" w:sz="0" w:space="0" w:color="auto" w:frame="1"/>
        </w:rPr>
        <w:t xml:space="preserve">aptura de </w:t>
      </w:r>
      <w:r w:rsidR="009D0B16">
        <w:rPr>
          <w:rFonts w:ascii="Arial" w:hAnsi="Arial" w:cs="Arial"/>
          <w:bdr w:val="none" w:sz="0" w:space="0" w:color="auto" w:frame="1"/>
        </w:rPr>
        <w:t>I</w:t>
      </w:r>
      <w:r w:rsidRPr="0090373C">
        <w:rPr>
          <w:rFonts w:ascii="Arial" w:hAnsi="Arial" w:cs="Arial"/>
          <w:bdr w:val="none" w:sz="0" w:space="0" w:color="auto" w:frame="1"/>
        </w:rPr>
        <w:t xml:space="preserve">nformación en </w:t>
      </w:r>
      <w:r w:rsidR="009D0B16">
        <w:rPr>
          <w:rFonts w:ascii="Arial" w:hAnsi="Arial" w:cs="Arial"/>
          <w:bdr w:val="none" w:sz="0" w:space="0" w:color="auto" w:frame="1"/>
        </w:rPr>
        <w:t>Ca</w:t>
      </w:r>
      <w:r w:rsidRPr="0090373C">
        <w:rPr>
          <w:rFonts w:ascii="Arial" w:hAnsi="Arial" w:cs="Arial"/>
          <w:bdr w:val="none" w:sz="0" w:space="0" w:color="auto" w:frame="1"/>
        </w:rPr>
        <w:t xml:space="preserve">mpo con </w:t>
      </w:r>
      <w:r w:rsidR="009D0B16">
        <w:rPr>
          <w:rFonts w:ascii="Arial" w:hAnsi="Arial" w:cs="Arial"/>
          <w:bdr w:val="none" w:sz="0" w:space="0" w:color="auto" w:frame="1"/>
        </w:rPr>
        <w:t>E</w:t>
      </w:r>
      <w:r w:rsidRPr="0090373C">
        <w:rPr>
          <w:rFonts w:ascii="Arial" w:hAnsi="Arial" w:cs="Arial"/>
          <w:bdr w:val="none" w:sz="0" w:space="0" w:color="auto" w:frame="1"/>
        </w:rPr>
        <w:t xml:space="preserve">nfoque </w:t>
      </w:r>
      <w:r w:rsidR="009D0B16">
        <w:rPr>
          <w:rFonts w:ascii="Arial" w:hAnsi="Arial" w:cs="Arial"/>
          <w:bdr w:val="none" w:sz="0" w:space="0" w:color="auto" w:frame="1"/>
        </w:rPr>
        <w:t>M</w:t>
      </w:r>
      <w:r w:rsidRPr="0090373C">
        <w:rPr>
          <w:rFonts w:ascii="Arial" w:hAnsi="Arial" w:cs="Arial"/>
          <w:bdr w:val="none" w:sz="0" w:space="0" w:color="auto" w:frame="1"/>
        </w:rPr>
        <w:t>ultipropósito</w:t>
      </w:r>
      <w:r w:rsidRPr="0090373C">
        <w:rPr>
          <w:rFonts w:ascii="Arial" w:eastAsia="Arial" w:hAnsi="Arial" w:cs="Arial"/>
          <w:color w:val="000000" w:themeColor="text1"/>
        </w:rPr>
        <w:t xml:space="preserve"> - CICA, que sirven de instrumento para que los reconocedores catastrales registren la información capturada en campo y que dicha información viaje al SNC.</w:t>
      </w:r>
    </w:p>
    <w:p w14:paraId="2DE1B497" w14:textId="77777777" w:rsidR="00BC52C5" w:rsidRPr="00AB4BEF" w:rsidRDefault="00BC52C5" w:rsidP="00C72779">
      <w:pPr>
        <w:pStyle w:val="Sinespaciado"/>
        <w:jc w:val="both"/>
        <w:rPr>
          <w:rFonts w:ascii="Arial" w:hAnsi="Arial" w:cs="Arial"/>
        </w:rPr>
      </w:pPr>
    </w:p>
    <w:p w14:paraId="46D9C166" w14:textId="5F8C8344" w:rsidR="00BC52C5" w:rsidRPr="0090373C" w:rsidRDefault="00BC52C5" w:rsidP="00C72779">
      <w:pPr>
        <w:pStyle w:val="Sinespaciado"/>
        <w:jc w:val="both"/>
        <w:rPr>
          <w:rFonts w:ascii="Arial" w:eastAsia="Arial" w:hAnsi="Arial" w:cs="Arial"/>
          <w:color w:val="000000" w:themeColor="text1"/>
        </w:rPr>
      </w:pPr>
      <w:r w:rsidRPr="00AB4BEF">
        <w:rPr>
          <w:rFonts w:ascii="Arial" w:hAnsi="Arial" w:cs="Arial"/>
        </w:rPr>
        <w:t xml:space="preserve">Por último, la participación en las acciones técnicas en procura de la estandarización operativa de los sistemas de información del IGAC, llevando la operación de algunas territoriales del sistema obsoleto </w:t>
      </w:r>
      <w:r w:rsidRPr="0090373C">
        <w:rPr>
          <w:rFonts w:ascii="Arial" w:eastAsia="Arial" w:hAnsi="Arial" w:cs="Arial"/>
          <w:color w:val="000000" w:themeColor="text1"/>
        </w:rPr>
        <w:t>SNC, para lo cual, el proceso ha dispuesto de equipo técnico y de recursos de infraestructura que permiten el desarrollo de dicho mejoramiento.</w:t>
      </w:r>
    </w:p>
    <w:p w14:paraId="2ADD36E7" w14:textId="77777777" w:rsidR="00BC52C5" w:rsidRPr="00AB4BEF" w:rsidRDefault="00BC52C5" w:rsidP="00C72779">
      <w:pPr>
        <w:pStyle w:val="Sinespaciado"/>
        <w:jc w:val="both"/>
        <w:rPr>
          <w:rFonts w:ascii="Arial" w:hAnsi="Arial" w:cs="Arial"/>
        </w:rPr>
      </w:pPr>
    </w:p>
    <w:p w14:paraId="03901563" w14:textId="77777777" w:rsidR="00BC52C5" w:rsidRPr="0090373C" w:rsidRDefault="00BC52C5" w:rsidP="00C72779">
      <w:pPr>
        <w:pStyle w:val="Sinespaciado"/>
        <w:jc w:val="both"/>
        <w:rPr>
          <w:rFonts w:ascii="Arial" w:hAnsi="Arial" w:cs="Arial"/>
        </w:rPr>
      </w:pPr>
      <w:r w:rsidRPr="00AB4BEF">
        <w:rPr>
          <w:rStyle w:val="normaltextrun"/>
          <w:rFonts w:ascii="Arial" w:hAnsi="Arial" w:cs="Arial"/>
          <w:color w:val="000000"/>
          <w:shd w:val="clear" w:color="auto" w:fill="FFFFFF"/>
        </w:rPr>
        <w:t xml:space="preserve">La </w:t>
      </w:r>
      <w:r w:rsidRPr="0090373C">
        <w:rPr>
          <w:rFonts w:ascii="Arial" w:eastAsia="Arial" w:hAnsi="Arial" w:cs="Arial"/>
          <w:color w:val="000000" w:themeColor="text1"/>
        </w:rPr>
        <w:t xml:space="preserve">Dirección de Tecnologías de la Información y Comunicaciones del IGAC aporta </w:t>
      </w:r>
      <w:r w:rsidRPr="0090373C">
        <w:rPr>
          <w:rStyle w:val="normaltextrun"/>
          <w:rFonts w:ascii="Arial" w:hAnsi="Arial" w:cs="Arial"/>
          <w:color w:val="000000"/>
          <w:shd w:val="clear" w:color="auto" w:fill="FFFFFF"/>
        </w:rPr>
        <w:t>al cumplimiento del PND y del CONPES 3958 con el</w:t>
      </w:r>
      <w:r w:rsidRPr="0090373C">
        <w:rPr>
          <w:rFonts w:ascii="Arial" w:hAnsi="Arial" w:cs="Arial"/>
        </w:rPr>
        <w:t xml:space="preserve"> desarrollo del Repositorio de Datos Maestros - RDM y del Sistema Nacional de Información Catastral Multipropósito - SINIC, herramientas que como hemos dicho anteriormente son esenciales para la integración de la información catastral a nivel nacional. </w:t>
      </w:r>
    </w:p>
    <w:p w14:paraId="499125CB" w14:textId="77777777" w:rsidR="00BC52C5" w:rsidRPr="00AB4BEF" w:rsidRDefault="00BC52C5" w:rsidP="00C72779">
      <w:pPr>
        <w:pStyle w:val="Sinespaciado"/>
        <w:jc w:val="both"/>
        <w:rPr>
          <w:rFonts w:ascii="Arial" w:hAnsi="Arial" w:cs="Arial"/>
          <w:i/>
          <w:highlight w:val="yellow"/>
        </w:rPr>
      </w:pPr>
    </w:p>
    <w:p w14:paraId="6063CABD" w14:textId="0E0F9273" w:rsidR="00BC52C5" w:rsidRPr="0090373C" w:rsidRDefault="00BC52C5" w:rsidP="00C72779">
      <w:pPr>
        <w:pStyle w:val="Sinespaciado"/>
        <w:jc w:val="both"/>
        <w:rPr>
          <w:rFonts w:ascii="Arial" w:hAnsi="Arial" w:cs="Arial"/>
        </w:rPr>
      </w:pPr>
      <w:r w:rsidRPr="00AB4BEF">
        <w:rPr>
          <w:rFonts w:ascii="Arial" w:hAnsi="Arial" w:cs="Arial"/>
        </w:rPr>
        <w:t xml:space="preserve">Bajo los requerimientos del documento CONPES 3958 de 2019 “Estrategia para la implementación de una política pública de Catastro Multipropósito”, el cual propone una política de formulación, actualización, conservación, disposición y uso de información catastral, se define la creación del Repositorio de Datos Maestros </w:t>
      </w:r>
      <w:r w:rsidR="008A7892">
        <w:rPr>
          <w:rFonts w:ascii="Arial" w:hAnsi="Arial" w:cs="Arial"/>
        </w:rPr>
        <w:t xml:space="preserve">- </w:t>
      </w:r>
      <w:r w:rsidRPr="00AB4BEF">
        <w:rPr>
          <w:rFonts w:ascii="Arial" w:hAnsi="Arial" w:cs="Arial"/>
        </w:rPr>
        <w:t xml:space="preserve">RDM </w:t>
      </w:r>
      <w:r w:rsidRPr="0090373C">
        <w:rPr>
          <w:rFonts w:ascii="Arial" w:hAnsi="Arial" w:cs="Arial"/>
        </w:rPr>
        <w:t>y del Sistema Nacional de Información Catastral Multipropósito - SINIC y la construcción de su respectiva ventanilla única de trámites.</w:t>
      </w:r>
    </w:p>
    <w:p w14:paraId="6F65A75F" w14:textId="77777777" w:rsidR="00BC52C5" w:rsidRPr="00AB4BEF" w:rsidRDefault="00BC52C5" w:rsidP="00C72779">
      <w:pPr>
        <w:pStyle w:val="Sinespaciado"/>
        <w:jc w:val="both"/>
        <w:rPr>
          <w:rFonts w:ascii="Arial" w:hAnsi="Arial" w:cs="Arial"/>
          <w:highlight w:val="yellow"/>
        </w:rPr>
      </w:pPr>
    </w:p>
    <w:p w14:paraId="29D2EB3D" w14:textId="762DD286" w:rsidR="00BC52C5" w:rsidRPr="0090373C" w:rsidRDefault="08184882" w:rsidP="00C72779">
      <w:pPr>
        <w:pStyle w:val="Sinespaciado"/>
        <w:jc w:val="both"/>
        <w:rPr>
          <w:rFonts w:ascii="Arial" w:hAnsi="Arial" w:cs="Arial"/>
        </w:rPr>
      </w:pPr>
      <w:r w:rsidRPr="7283A636">
        <w:rPr>
          <w:rFonts w:ascii="Arial" w:hAnsi="Arial" w:cs="Arial"/>
        </w:rPr>
        <w:t>Es así que, durante la vigencia  2020 solo se contaba con la formulación de las diferentes políticas mostrando visión del abordaje de los propósitos a desarrollar; no obstante, para esta vigencia se contribuyó con la construcción de los diferentes documentos de arquitectura de alto nivel en procura de la definición del RDM y el SINIC, este ejercicio fue coordinado por el Departamento Nacional de Planeación</w:t>
      </w:r>
      <w:r w:rsidR="2EFBB632" w:rsidRPr="7283A636">
        <w:rPr>
          <w:rFonts w:ascii="Arial" w:hAnsi="Arial" w:cs="Arial"/>
        </w:rPr>
        <w:t xml:space="preserve"> -</w:t>
      </w:r>
      <w:r w:rsidRPr="7283A636">
        <w:rPr>
          <w:rFonts w:ascii="Arial" w:hAnsi="Arial" w:cs="Arial"/>
        </w:rPr>
        <w:t xml:space="preserve"> DNP y liderado de manera activa y estratégica por parte del IGAC quien a su vez es la Entidad encargada de la definición y desarrollo de dichas herramientas. </w:t>
      </w:r>
    </w:p>
    <w:p w14:paraId="1B97433A" w14:textId="77777777" w:rsidR="00BC52C5" w:rsidRPr="00AB4BEF" w:rsidRDefault="00BC52C5" w:rsidP="00C72779">
      <w:pPr>
        <w:pStyle w:val="Sinespaciado"/>
        <w:jc w:val="both"/>
        <w:rPr>
          <w:rFonts w:ascii="Arial" w:hAnsi="Arial" w:cs="Arial"/>
        </w:rPr>
      </w:pPr>
    </w:p>
    <w:p w14:paraId="14FAC72A" w14:textId="2C94AA4F" w:rsidR="00BC52C5" w:rsidRPr="0090373C" w:rsidRDefault="00BC52C5" w:rsidP="00C72779">
      <w:pPr>
        <w:pStyle w:val="Sinespaciado"/>
        <w:jc w:val="both"/>
        <w:rPr>
          <w:rFonts w:ascii="Arial" w:hAnsi="Arial" w:cs="Arial"/>
        </w:rPr>
      </w:pPr>
      <w:r w:rsidRPr="00AB4BEF">
        <w:rPr>
          <w:rFonts w:ascii="Arial" w:hAnsi="Arial" w:cs="Arial"/>
        </w:rPr>
        <w:t xml:space="preserve">Por </w:t>
      </w:r>
      <w:r w:rsidRPr="0090373C">
        <w:rPr>
          <w:rFonts w:ascii="Arial" w:hAnsi="Arial" w:cs="Arial"/>
        </w:rPr>
        <w:t>otro lado, la Dirección</w:t>
      </w:r>
      <w:r w:rsidRPr="0090373C">
        <w:rPr>
          <w:rFonts w:ascii="Arial" w:eastAsia="Arial" w:hAnsi="Arial" w:cs="Arial"/>
          <w:color w:val="000000" w:themeColor="text1"/>
        </w:rPr>
        <w:t xml:space="preserve"> de Tecnologías de la Información y Comunicaciones</w:t>
      </w:r>
      <w:r w:rsidRPr="0090373C">
        <w:rPr>
          <w:rFonts w:ascii="Arial" w:hAnsi="Arial" w:cs="Arial"/>
        </w:rPr>
        <w:t xml:space="preserve"> gestiona la operación del </w:t>
      </w:r>
      <w:r w:rsidRPr="0090373C">
        <w:rPr>
          <w:rFonts w:ascii="Arial" w:hAnsi="Arial" w:cs="Arial"/>
          <w:bCs/>
          <w:lang w:val="es-MX"/>
        </w:rPr>
        <w:t xml:space="preserve">SNC, </w:t>
      </w:r>
      <w:r w:rsidRPr="0090373C">
        <w:rPr>
          <w:rFonts w:ascii="Arial" w:hAnsi="Arial" w:cs="Arial"/>
        </w:rPr>
        <w:t xml:space="preserve">herramienta tecnológica que permite la gestión integral (geográfica y alfanumérica) del proceso catastral. El SNC es el instrumento que permite producir, proveer y divulgar información y conocimiento, obtenida de los procesos catastrales, esta se encuentra en producción desde el año 2014 y automatiza los procesos de conservación. </w:t>
      </w:r>
    </w:p>
    <w:p w14:paraId="73B7477C" w14:textId="77777777" w:rsidR="00BC52C5" w:rsidRPr="00AB4BEF" w:rsidRDefault="00BC52C5" w:rsidP="00C72779">
      <w:pPr>
        <w:pStyle w:val="Sinespaciado"/>
        <w:jc w:val="both"/>
        <w:rPr>
          <w:rFonts w:ascii="Arial" w:hAnsi="Arial" w:cs="Arial"/>
        </w:rPr>
      </w:pPr>
    </w:p>
    <w:p w14:paraId="593E46D9" w14:textId="26004580" w:rsidR="00BC52C5" w:rsidRPr="0090373C" w:rsidRDefault="00BC52C5" w:rsidP="00C72779">
      <w:pPr>
        <w:pStyle w:val="Sinespaciado"/>
        <w:jc w:val="both"/>
        <w:rPr>
          <w:rFonts w:ascii="Arial" w:hAnsi="Arial" w:cs="Arial"/>
          <w:color w:val="000000" w:themeColor="text1"/>
        </w:rPr>
      </w:pPr>
      <w:r w:rsidRPr="00AB4BEF">
        <w:rPr>
          <w:rFonts w:ascii="Arial" w:hAnsi="Arial" w:cs="Arial"/>
          <w:bdr w:val="none" w:sz="0" w:space="0" w:color="auto" w:frame="1"/>
        </w:rPr>
        <w:t xml:space="preserve">En la vigencia </w:t>
      </w:r>
      <w:r w:rsidRPr="0090373C">
        <w:rPr>
          <w:rFonts w:ascii="Arial" w:hAnsi="Arial" w:cs="Arial"/>
          <w:color w:val="000000" w:themeColor="text1"/>
          <w:bdr w:val="none" w:sz="0" w:space="0" w:color="auto" w:frame="1"/>
        </w:rPr>
        <w:t xml:space="preserve">2020, se  realizó un proceso de diagnóstico del Sistema SNC, documento   a través del cual se constituyó la base del análisis funcional y técnico respecto de las diferentes acciones a desarrollar en procura del mejoramiento del SNC, dicho diagnóstico se nombró como Etapa 1 (Diagnóstico Inicial), donde se validaron los siguientes aspectos:  Diagnóstico funcional,  Análisis de incidencias, Análisis de mejoras y nuevas funcionalidades,  Análisis de requerimientos de catastro multipropósito que no cumple el SNC </w:t>
      </w:r>
      <w:r w:rsidRPr="0090373C">
        <w:rPr>
          <w:rFonts w:ascii="Arial" w:hAnsi="Arial" w:cs="Arial"/>
          <w:b/>
          <w:bCs/>
          <w:color w:val="000000" w:themeColor="text1"/>
          <w:bdr w:val="none" w:sz="0" w:space="0" w:color="auto" w:frame="1"/>
        </w:rPr>
        <w:t>(</w:t>
      </w:r>
      <w:r w:rsidRPr="0090373C">
        <w:rPr>
          <w:rFonts w:ascii="Arial" w:hAnsi="Arial" w:cs="Arial"/>
          <w:color w:val="000000" w:themeColor="text1"/>
          <w:bdr w:val="none" w:sz="0" w:space="0" w:color="auto" w:frame="1"/>
        </w:rPr>
        <w:t>El cual se abordó desde la perspectiva de necesidades funcionales de las diferentes áreas del IGAC).</w:t>
      </w:r>
    </w:p>
    <w:p w14:paraId="4530D4C3" w14:textId="77777777" w:rsidR="00BC52C5" w:rsidRPr="0090373C" w:rsidRDefault="00BC52C5" w:rsidP="00C72779">
      <w:pPr>
        <w:pStyle w:val="Sinespaciado"/>
        <w:jc w:val="both"/>
        <w:rPr>
          <w:rFonts w:ascii="Arial" w:hAnsi="Arial" w:cs="Arial"/>
          <w:color w:val="000000" w:themeColor="text1"/>
        </w:rPr>
      </w:pPr>
      <w:r w:rsidRPr="00AB4BEF">
        <w:rPr>
          <w:rFonts w:ascii="Arial" w:hAnsi="Arial" w:cs="Arial"/>
          <w:b/>
          <w:bdr w:val="none" w:sz="0" w:space="0" w:color="auto" w:frame="1"/>
        </w:rPr>
        <w:t> </w:t>
      </w:r>
    </w:p>
    <w:p w14:paraId="7D5F2630" w14:textId="77777777" w:rsidR="007902ED" w:rsidRPr="001238E9" w:rsidRDefault="00BC52C5" w:rsidP="007902ED">
      <w:pPr>
        <w:pStyle w:val="Sinespaciado"/>
        <w:jc w:val="both"/>
        <w:rPr>
          <w:rFonts w:ascii="Arial" w:hAnsi="Arial" w:cs="Arial"/>
          <w:bdr w:val="none" w:sz="0" w:space="0" w:color="auto" w:frame="1"/>
        </w:rPr>
      </w:pPr>
      <w:r w:rsidRPr="001238E9">
        <w:rPr>
          <w:rFonts w:ascii="Arial" w:hAnsi="Arial" w:cs="Arial"/>
          <w:bdr w:val="none" w:sz="0" w:space="0" w:color="auto" w:frame="1"/>
        </w:rPr>
        <w:t xml:space="preserve">Adicional a los análisis anteriormente descritos, también se desarrolló un diagnóstico técnico, mediante el cual se abordó el análisis del diseño del Sistema y como están integrados y gestionados cada uno de sus componentes, versus a la capacidad requerida tanto a nivel de </w:t>
      </w:r>
      <w:r w:rsidRPr="001238E9">
        <w:rPr>
          <w:rFonts w:ascii="Arial" w:hAnsi="Arial" w:cs="Arial"/>
          <w:bdr w:val="none" w:sz="0" w:space="0" w:color="auto" w:frame="1"/>
        </w:rPr>
        <w:lastRenderedPageBreak/>
        <w:t>recursos TI (Hardware y Software) como el volumen de información y el número de transacciones normalmente realizadas</w:t>
      </w:r>
      <w:r w:rsidR="00190728" w:rsidRPr="001238E9">
        <w:rPr>
          <w:rFonts w:ascii="Arial" w:hAnsi="Arial" w:cs="Arial"/>
          <w:bdr w:val="none" w:sz="0" w:space="0" w:color="auto" w:frame="1"/>
        </w:rPr>
        <w:t>.</w:t>
      </w:r>
    </w:p>
    <w:p w14:paraId="4648E81D" w14:textId="77777777" w:rsidR="00BC52C5" w:rsidRPr="0090373C" w:rsidRDefault="00BC52C5" w:rsidP="00C72779">
      <w:pPr>
        <w:pStyle w:val="Sinespaciado"/>
        <w:jc w:val="both"/>
        <w:rPr>
          <w:rFonts w:ascii="Arial" w:hAnsi="Arial" w:cs="Arial"/>
          <w:color w:val="000000" w:themeColor="text1"/>
        </w:rPr>
      </w:pPr>
      <w:r w:rsidRPr="00AB4BEF">
        <w:rPr>
          <w:rFonts w:ascii="Arial" w:hAnsi="Arial" w:cs="Arial"/>
          <w:b/>
          <w:bdr w:val="none" w:sz="0" w:space="0" w:color="auto" w:frame="1"/>
        </w:rPr>
        <w:t> </w:t>
      </w:r>
    </w:p>
    <w:p w14:paraId="75FD70EE" w14:textId="77777777" w:rsidR="00BC52C5" w:rsidRPr="0090373C" w:rsidRDefault="00BC52C5" w:rsidP="00C72779">
      <w:pPr>
        <w:pStyle w:val="Sinespaciado"/>
        <w:jc w:val="both"/>
        <w:rPr>
          <w:rFonts w:ascii="Arial" w:hAnsi="Arial" w:cs="Arial"/>
          <w:color w:val="000000" w:themeColor="text1"/>
          <w:bdr w:val="none" w:sz="0" w:space="0" w:color="auto" w:frame="1"/>
          <w:shd w:val="clear" w:color="auto" w:fill="FFFFFF"/>
        </w:rPr>
      </w:pPr>
      <w:r w:rsidRPr="00AB4BEF">
        <w:rPr>
          <w:rFonts w:ascii="Arial" w:hAnsi="Arial" w:cs="Arial"/>
          <w:bdr w:val="none" w:sz="0" w:space="0" w:color="auto" w:frame="1"/>
        </w:rPr>
        <w:t>Producto del trabajo de acopio y análisis de las diferentes circunstancias incluidas en el documento de diagnóstico (Etapa 1)</w:t>
      </w:r>
      <w:r w:rsidRPr="0090373C">
        <w:rPr>
          <w:rFonts w:ascii="Arial" w:hAnsi="Arial" w:cs="Arial"/>
          <w:color w:val="000000" w:themeColor="text1"/>
          <w:bdr w:val="none" w:sz="0" w:space="0" w:color="auto" w:frame="1"/>
        </w:rPr>
        <w:t xml:space="preserve">, se  llevó a cabo la ejecución de la   </w:t>
      </w:r>
      <w:r w:rsidRPr="0090373C">
        <w:rPr>
          <w:rFonts w:ascii="Arial" w:hAnsi="Arial" w:cs="Arial"/>
          <w:color w:val="000000" w:themeColor="text1"/>
          <w:bdr w:val="none" w:sz="0" w:space="0" w:color="auto" w:frame="1"/>
          <w:shd w:val="clear" w:color="auto" w:fill="FFFFFF"/>
        </w:rPr>
        <w:t>Etapa 2, la cual tiene como</w:t>
      </w:r>
      <w:r w:rsidRPr="0090373C">
        <w:rPr>
          <w:rFonts w:ascii="Arial" w:hAnsi="Arial" w:cs="Arial"/>
          <w:b/>
          <w:bCs/>
          <w:color w:val="000000" w:themeColor="text1"/>
          <w:bdr w:val="none" w:sz="0" w:space="0" w:color="auto" w:frame="1"/>
          <w:shd w:val="clear" w:color="auto" w:fill="FFFFFF"/>
        </w:rPr>
        <w:t xml:space="preserve"> </w:t>
      </w:r>
      <w:r w:rsidRPr="0090373C">
        <w:rPr>
          <w:rFonts w:ascii="Arial" w:hAnsi="Arial" w:cs="Arial"/>
          <w:color w:val="000000" w:themeColor="text1"/>
          <w:bdr w:val="none" w:sz="0" w:space="0" w:color="auto" w:frame="1"/>
          <w:shd w:val="clear" w:color="auto" w:fill="FFFFFF"/>
        </w:rPr>
        <w:t xml:space="preserve"> objeto</w:t>
      </w:r>
      <w:r w:rsidRPr="0090373C">
        <w:rPr>
          <w:rFonts w:ascii="Arial" w:hAnsi="Arial" w:cs="Arial"/>
          <w:b/>
          <w:bCs/>
          <w:color w:val="000000" w:themeColor="text1"/>
          <w:bdr w:val="none" w:sz="0" w:space="0" w:color="auto" w:frame="1"/>
          <w:shd w:val="clear" w:color="auto" w:fill="FFFFFF"/>
        </w:rPr>
        <w:t> </w:t>
      </w:r>
      <w:r w:rsidRPr="0090373C">
        <w:rPr>
          <w:rFonts w:ascii="Arial" w:hAnsi="Arial" w:cs="Arial"/>
          <w:color w:val="000000" w:themeColor="text1"/>
          <w:bdr w:val="none" w:sz="0" w:space="0" w:color="auto" w:frame="1"/>
          <w:shd w:val="clear" w:color="auto" w:fill="FFFFFF"/>
        </w:rPr>
        <w:t>atender y aplicar las recomendaciones de la primera etapa, y empleando la metodología de </w:t>
      </w:r>
      <w:r w:rsidRPr="0090373C">
        <w:rPr>
          <w:rFonts w:ascii="Arial" w:hAnsi="Arial" w:cs="Arial"/>
          <w:color w:val="000000" w:themeColor="text1"/>
          <w:u w:val="single"/>
          <w:bdr w:val="none" w:sz="0" w:space="0" w:color="auto" w:frame="1"/>
          <w:shd w:val="clear" w:color="auto" w:fill="FFFFFF"/>
        </w:rPr>
        <w:t>Juicio Experto</w:t>
      </w:r>
      <w:r w:rsidRPr="0090373C">
        <w:rPr>
          <w:rFonts w:ascii="Arial" w:hAnsi="Arial" w:cs="Arial"/>
          <w:color w:val="000000" w:themeColor="text1"/>
          <w:bdr w:val="none" w:sz="0" w:space="0" w:color="auto" w:frame="1"/>
          <w:shd w:val="clear" w:color="auto" w:fill="FFFFFF"/>
        </w:rPr>
        <w:t xml:space="preserve"> la cual consiste en “una opinión informada de personas con trayectoria en el tema, que son reconocidas por otros como expertos cualificados en éste, y que pueden dar información, evidencia, juicios y valoraciones”, y producto de la aplicación de esta metodología surge el documento (Alcance Funcional), </w:t>
      </w:r>
      <w:r w:rsidRPr="0090373C">
        <w:rPr>
          <w:rFonts w:ascii="Arial" w:eastAsia="Arial" w:hAnsi="Arial" w:cs="Arial"/>
          <w:color w:val="000000" w:themeColor="text1"/>
        </w:rPr>
        <w:t xml:space="preserve"> a través del cual   se da mayor profundidad de los requerimientos o aspectos funcionales a abordar en la construcción de mejoras y/o nuevas funcionalidades del SNC.</w:t>
      </w:r>
    </w:p>
    <w:p w14:paraId="16E256D8" w14:textId="77777777" w:rsidR="00BC52C5" w:rsidRPr="00AB4BEF" w:rsidRDefault="00BC52C5" w:rsidP="00C72779">
      <w:pPr>
        <w:pStyle w:val="Sinespaciado"/>
        <w:jc w:val="both"/>
        <w:rPr>
          <w:rFonts w:ascii="Arial" w:hAnsi="Arial" w:cs="Arial"/>
        </w:rPr>
      </w:pPr>
    </w:p>
    <w:p w14:paraId="042A6407" w14:textId="77777777" w:rsidR="00BC52C5" w:rsidRPr="0090373C" w:rsidRDefault="00BC52C5" w:rsidP="00C72779">
      <w:pPr>
        <w:pStyle w:val="Sinespaciado"/>
        <w:jc w:val="both"/>
        <w:rPr>
          <w:rFonts w:ascii="Arial" w:hAnsi="Arial" w:cs="Arial"/>
        </w:rPr>
      </w:pPr>
      <w:r w:rsidRPr="00AB4BEF">
        <w:rPr>
          <w:rFonts w:ascii="Arial" w:hAnsi="Arial" w:cs="Arial"/>
        </w:rPr>
        <w:t>Para lograr establecer el estado futuro deseado del SNC</w:t>
      </w:r>
      <w:r w:rsidRPr="0090373C">
        <w:rPr>
          <w:rFonts w:ascii="Arial" w:hAnsi="Arial" w:cs="Arial"/>
        </w:rPr>
        <w:t xml:space="preserve"> y teniendo en cuenta los diagnósticos desarrollados, se diseña una estrategia para proveerle a la Entidad un SNC que cumpla con todas las expectativas funcionales, apoyándose con la experiencia del usuario y la identificación de posibles mejoras a nivel técnico que se deberían desarrollar.</w:t>
      </w:r>
    </w:p>
    <w:p w14:paraId="694C25ED" w14:textId="77777777" w:rsidR="00BC52C5" w:rsidRPr="00AB4BEF" w:rsidRDefault="00BC52C5" w:rsidP="00C72779">
      <w:pPr>
        <w:pStyle w:val="Sinespaciado"/>
        <w:jc w:val="both"/>
        <w:rPr>
          <w:rFonts w:ascii="Arial" w:hAnsi="Arial" w:cs="Arial"/>
        </w:rPr>
      </w:pPr>
    </w:p>
    <w:p w14:paraId="2957D695" w14:textId="426E13D4" w:rsidR="00BC52C5" w:rsidRPr="0090373C" w:rsidRDefault="08184882" w:rsidP="00C72779">
      <w:pPr>
        <w:pStyle w:val="Sinespaciado"/>
        <w:jc w:val="both"/>
        <w:rPr>
          <w:rFonts w:ascii="Arial" w:hAnsi="Arial" w:cs="Arial"/>
        </w:rPr>
      </w:pPr>
      <w:r w:rsidRPr="7283A636">
        <w:rPr>
          <w:rFonts w:ascii="Arial" w:hAnsi="Arial" w:cs="Arial"/>
        </w:rPr>
        <w:t>Paro lo cual se definen dos líneas estratégicas, una dar soporte y gestión al SN</w:t>
      </w:r>
      <w:r w:rsidR="008952F2" w:rsidRPr="7283A636">
        <w:rPr>
          <w:rFonts w:ascii="Arial" w:hAnsi="Arial" w:cs="Arial"/>
        </w:rPr>
        <w:t>C</w:t>
      </w:r>
      <w:r w:rsidRPr="7283A636">
        <w:rPr>
          <w:rFonts w:ascii="Arial" w:hAnsi="Arial" w:cs="Arial"/>
        </w:rPr>
        <w:t xml:space="preserve"> Actual y la otra liderar el proceso de contratación de la  fábrica de software para construir un nuevo S</w:t>
      </w:r>
      <w:r w:rsidR="17F82D84" w:rsidRPr="7283A636">
        <w:rPr>
          <w:rFonts w:ascii="Arial" w:hAnsi="Arial" w:cs="Arial"/>
        </w:rPr>
        <w:t>NC</w:t>
      </w:r>
      <w:r w:rsidRPr="7283A636">
        <w:rPr>
          <w:rFonts w:ascii="Arial" w:hAnsi="Arial" w:cs="Arial"/>
        </w:rPr>
        <w:t>, donde se realizó los estudios técnicos de mercado y se espera  que para el mes de noviembre finalice la recepción de propuestas de oferentes  para sus respectivas evaluaciones y la correspondiente adjudicación, convirtiendo al IGAC en líder sectorial en materia de procesos de contratación de fábricas de software, esto en función a la situación de procesos desiertos del mismo objeto en otras instauraciones.</w:t>
      </w:r>
    </w:p>
    <w:p w14:paraId="29CFD1AB" w14:textId="77777777" w:rsidR="00BC52C5" w:rsidRPr="00AB4BEF" w:rsidRDefault="00BC52C5" w:rsidP="00C72779">
      <w:pPr>
        <w:pStyle w:val="Sinespaciado"/>
        <w:jc w:val="both"/>
        <w:rPr>
          <w:rFonts w:ascii="Arial" w:hAnsi="Arial" w:cs="Arial"/>
          <w:highlight w:val="yellow"/>
        </w:rPr>
      </w:pPr>
    </w:p>
    <w:p w14:paraId="24AB6829" w14:textId="77777777" w:rsidR="00BC52C5" w:rsidRPr="0090373C" w:rsidRDefault="00BC52C5" w:rsidP="00C72779">
      <w:pPr>
        <w:pStyle w:val="Sinespaciado"/>
        <w:jc w:val="both"/>
        <w:rPr>
          <w:rFonts w:cs="Arial"/>
        </w:rPr>
      </w:pPr>
      <w:r w:rsidRPr="00AB4BEF">
        <w:rPr>
          <w:rFonts w:ascii="Arial" w:hAnsi="Arial" w:cs="Arial"/>
        </w:rPr>
        <w:t>Con lo anterior se espera que la vigencia 2021 sea el inicio de construcción de una plataforma tecnológica moderna, ajustada a los estándares establecidos por el gobierno nacional en materia de catastro multipropósito y con la utilización de tecnologías modernas tanto en base de datos como en la capa de presentación al usuario.</w:t>
      </w:r>
    </w:p>
    <w:p w14:paraId="122972EE" w14:textId="11264289" w:rsidR="00B465CF" w:rsidRDefault="00B465CF" w:rsidP="00C72779">
      <w:pPr>
        <w:jc w:val="both"/>
        <w:rPr>
          <w:rFonts w:eastAsia="Arial" w:cs="Arial"/>
          <w:color w:val="000000" w:themeColor="text1"/>
          <w:sz w:val="22"/>
          <w:szCs w:val="22"/>
        </w:rPr>
      </w:pPr>
    </w:p>
    <w:p w14:paraId="2B98476E" w14:textId="60204515" w:rsidR="008E4C18" w:rsidRPr="008E4C18" w:rsidRDefault="00D05FB3" w:rsidP="000A20EE">
      <w:pPr>
        <w:pStyle w:val="Prrafodelista"/>
        <w:numPr>
          <w:ilvl w:val="3"/>
          <w:numId w:val="24"/>
        </w:numPr>
        <w:rPr>
          <w:b/>
          <w:bCs/>
          <w:sz w:val="22"/>
          <w:szCs w:val="22"/>
        </w:rPr>
      </w:pPr>
      <w:r w:rsidRPr="002D2F11">
        <w:rPr>
          <w:b/>
          <w:bCs/>
          <w:sz w:val="22"/>
          <w:szCs w:val="22"/>
        </w:rPr>
        <w:t>P</w:t>
      </w:r>
      <w:r w:rsidR="00AC5158">
        <w:rPr>
          <w:b/>
          <w:bCs/>
          <w:sz w:val="22"/>
          <w:szCs w:val="22"/>
        </w:rPr>
        <w:t>RINCIPALES FUNCIONES</w:t>
      </w:r>
    </w:p>
    <w:p w14:paraId="366021AF" w14:textId="48F040EA" w:rsidR="00133867" w:rsidRDefault="00133867" w:rsidP="00133867">
      <w:pPr>
        <w:pStyle w:val="Lista"/>
      </w:pPr>
    </w:p>
    <w:p w14:paraId="456C0965" w14:textId="457BA9DB" w:rsidR="00133867" w:rsidRPr="00133867" w:rsidRDefault="00133867" w:rsidP="00133867">
      <w:pPr>
        <w:pStyle w:val="Lista"/>
        <w:rPr>
          <w:sz w:val="22"/>
          <w:szCs w:val="22"/>
        </w:rPr>
      </w:pPr>
      <w:r w:rsidRPr="00133867">
        <w:rPr>
          <w:sz w:val="22"/>
          <w:szCs w:val="22"/>
        </w:rPr>
        <w:t>La Dirección de Tecnologías de la Información y Comunicaciones, tiene a cargo las siguientes funciones:</w:t>
      </w:r>
    </w:p>
    <w:p w14:paraId="2E48DF72" w14:textId="77777777" w:rsidR="00AF6BA8" w:rsidRPr="0090373C" w:rsidRDefault="00AF6BA8" w:rsidP="00C72779">
      <w:pPr>
        <w:jc w:val="both"/>
        <w:rPr>
          <w:rFonts w:eastAsia="Arial" w:cs="Arial"/>
          <w:color w:val="000000" w:themeColor="text1"/>
          <w:sz w:val="22"/>
          <w:szCs w:val="22"/>
        </w:rPr>
      </w:pPr>
    </w:p>
    <w:p w14:paraId="3CB0D8DA" w14:textId="5362D832" w:rsidR="00AF6BA8" w:rsidRPr="0090373C" w:rsidRDefault="002659C2"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Pr>
          <w:rFonts w:eastAsia="Arial" w:cs="Arial"/>
          <w:color w:val="000000" w:themeColor="text1"/>
          <w:sz w:val="22"/>
          <w:szCs w:val="22"/>
        </w:rPr>
        <w:t>Dirigir e</w:t>
      </w:r>
      <w:r w:rsidR="00AF6BA8" w:rsidRPr="0090373C">
        <w:rPr>
          <w:rFonts w:eastAsia="Arial" w:cs="Arial"/>
          <w:color w:val="000000" w:themeColor="text1"/>
          <w:sz w:val="22"/>
          <w:szCs w:val="22"/>
        </w:rPr>
        <w:t>l desarrollo de los planes estratégicos de tecnología, disponibilidad, confidencialidad, continuidad, contingencia, custodia y seguridad de la información y la tecnología, de conformidad con los procedimientos y políticas adoptadas por la Entidad.</w:t>
      </w:r>
    </w:p>
    <w:p w14:paraId="677C0520"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Alinear la estrategia sectorial mediante la planeación y lineamientos de Tecnologías de la Información.</w:t>
      </w:r>
    </w:p>
    <w:p w14:paraId="1BDD85FA"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Evaluar la aplicación de nuevas tecnologías para la construcción de soluciones informáticas que puedan ser utilizadas por el Instituto en concordancia con la planeación estratégica del Instituto.</w:t>
      </w:r>
    </w:p>
    <w:p w14:paraId="1C698A22"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Proponer y liderar en coordinación con la Dirección General, la implementación de metodologías orientadas a transformar digitalmente los procesos y operación del Instituto.</w:t>
      </w:r>
    </w:p>
    <w:p w14:paraId="17E50AAD" w14:textId="46B5C196" w:rsidR="00726A37" w:rsidRPr="00726A37"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Establecer las actividades requeridas para el desarrollo e implantación del catálogo de servicios de Tecnologías de la Información y de la base de datos de activos de tecnología e información, de acuerdo con los procedimientos definidos.</w:t>
      </w:r>
    </w:p>
    <w:p w14:paraId="5E53F6ED" w14:textId="27CC6948" w:rsidR="001238E9" w:rsidRDefault="001238E9" w:rsidP="001238E9">
      <w:pPr>
        <w:pStyle w:val="Lista"/>
        <w:rPr>
          <w:rFonts w:eastAsia="Arial"/>
        </w:rPr>
      </w:pPr>
    </w:p>
    <w:p w14:paraId="707316A9" w14:textId="68AB8113" w:rsidR="001238E9" w:rsidRDefault="001238E9" w:rsidP="001238E9">
      <w:pPr>
        <w:pStyle w:val="Lista"/>
        <w:rPr>
          <w:rFonts w:eastAsia="Arial"/>
        </w:rPr>
      </w:pPr>
    </w:p>
    <w:p w14:paraId="12DD47AD" w14:textId="2F64BAC0" w:rsidR="001238E9" w:rsidRPr="001238E9" w:rsidRDefault="001238E9" w:rsidP="001238E9">
      <w:pPr>
        <w:pStyle w:val="Lista"/>
        <w:rPr>
          <w:rFonts w:eastAsia="Arial"/>
        </w:rPr>
      </w:pPr>
    </w:p>
    <w:p w14:paraId="48D75DE6" w14:textId="77777777" w:rsidR="00AF6BA8" w:rsidRPr="0090373C" w:rsidRDefault="00AF6BA8" w:rsidP="00C72779">
      <w:pPr>
        <w:jc w:val="both"/>
        <w:rPr>
          <w:rFonts w:eastAsia="Arial" w:cs="Arial"/>
          <w:color w:val="000000" w:themeColor="text1"/>
          <w:sz w:val="22"/>
          <w:szCs w:val="22"/>
        </w:rPr>
      </w:pPr>
      <w:r w:rsidRPr="0090373C">
        <w:rPr>
          <w:rFonts w:eastAsia="Arial" w:cs="Arial"/>
          <w:color w:val="000000" w:themeColor="text1"/>
          <w:sz w:val="22"/>
          <w:szCs w:val="22"/>
        </w:rPr>
        <w:t>La Subdirección de Información, tiene a cargo las siguientes funciones:</w:t>
      </w:r>
    </w:p>
    <w:p w14:paraId="093A0C3C" w14:textId="77777777" w:rsidR="00AF6BA8" w:rsidRPr="0090373C" w:rsidRDefault="00AF6BA8" w:rsidP="00C72779">
      <w:pPr>
        <w:jc w:val="both"/>
        <w:rPr>
          <w:rFonts w:eastAsia="Arial" w:cs="Arial"/>
          <w:color w:val="000000" w:themeColor="text1"/>
          <w:sz w:val="22"/>
          <w:szCs w:val="22"/>
        </w:rPr>
      </w:pPr>
    </w:p>
    <w:p w14:paraId="12F41ECF"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Desarrollar estrategias que conlleven a la pertinencia, calidad, oportunidad, seguridad e intercambio de los datos, con el fin de lograr un flujo eficiente de los datos para su uso por parte de las diferentes dependencias del Instituto.</w:t>
      </w:r>
    </w:p>
    <w:p w14:paraId="3A4EA9D7"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Elaborar e implementar metodologías, estándares y protocolos de desarrollo de planes, proyectos y programas de gestión de información.</w:t>
      </w:r>
    </w:p>
    <w:p w14:paraId="76D6713F"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Establecer mecanismos para la recolección de la información y datos geográficos cartográficos, agrológicos y catastrales y gestionar las herramientas necesarias para la obtención y validación de la misma.</w:t>
      </w:r>
    </w:p>
    <w:p w14:paraId="1BC37D6B"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Establecer mecanismos de consolidación. interoperabilidad, accesibilidad y descubrimiento de la información catastral, cartográfica. geodésica. agrológica y geográfica.</w:t>
      </w:r>
    </w:p>
    <w:p w14:paraId="35AF2B58"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 xml:space="preserve">Habilitar mecanismos de interoperabilidad de la información y disponibilidad de datos que faciliten la participación, transparencia y colaboración en el Estado y con actores no estatales, cuando corresponda. </w:t>
      </w:r>
    </w:p>
    <w:p w14:paraId="1C1E8EA9"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Establecer estrategias que coadyuven a la calidad, oportunidad, seguridad e intercambio de datos, con el fin de garantizar la transferencia de la información entre las diferentes dependencias del Instituto, sus Direcciones Territoriales y los entes externos.</w:t>
      </w:r>
    </w:p>
    <w:p w14:paraId="5B53AC01" w14:textId="48677ECC" w:rsidR="00AF6BA8" w:rsidRPr="0090373C" w:rsidRDefault="2A457340" w:rsidP="00C72779">
      <w:pPr>
        <w:jc w:val="both"/>
        <w:rPr>
          <w:rFonts w:eastAsia="Arial" w:cs="Arial"/>
          <w:color w:val="000000" w:themeColor="text1"/>
          <w:sz w:val="22"/>
          <w:szCs w:val="22"/>
        </w:rPr>
      </w:pPr>
      <w:r w:rsidRPr="7283A636">
        <w:rPr>
          <w:rFonts w:eastAsia="Arial" w:cs="Arial"/>
          <w:color w:val="000000" w:themeColor="text1"/>
          <w:sz w:val="22"/>
          <w:szCs w:val="22"/>
        </w:rPr>
        <w:t xml:space="preserve">La </w:t>
      </w:r>
      <w:r w:rsidR="7473D16E" w:rsidRPr="7283A636">
        <w:rPr>
          <w:rFonts w:eastAsia="Arial" w:cs="Arial"/>
          <w:color w:val="000000" w:themeColor="text1"/>
          <w:sz w:val="22"/>
          <w:szCs w:val="22"/>
        </w:rPr>
        <w:t>Subdirección Sistemas de Información, tiene a cargo las siguientes funciones:</w:t>
      </w:r>
    </w:p>
    <w:p w14:paraId="33FA8E90" w14:textId="77777777" w:rsidR="00AF6BA8" w:rsidRPr="0090373C" w:rsidRDefault="00AF6BA8" w:rsidP="00C72779">
      <w:pPr>
        <w:jc w:val="both"/>
        <w:rPr>
          <w:rFonts w:eastAsia="Arial" w:cs="Arial"/>
          <w:color w:val="000000" w:themeColor="text1"/>
          <w:sz w:val="22"/>
          <w:szCs w:val="22"/>
        </w:rPr>
      </w:pPr>
    </w:p>
    <w:p w14:paraId="2E3BE8E1"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Administrar, desarrollar, controlar y brindar soporte y mantenimiento a los sistemas de información y demás recursos tecnológicos.</w:t>
      </w:r>
    </w:p>
    <w:p w14:paraId="4B61CCEA"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Hacer seguimiento a la ejecución de las políticas, estrategias y planes de acción relacionados con los sistemas de información de la Entidad.</w:t>
      </w:r>
    </w:p>
    <w:p w14:paraId="01FF0A4C"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Alinear los procesos e implementación de soluciones tecnológicas de la Entidad para su automatización.</w:t>
      </w:r>
    </w:p>
    <w:p w14:paraId="303ABE8E"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Desarrollar metodologías, estándares, políticas y estrategias para el diseño, construcción y administración de los sistemas de información y uso de los sistemas tecnológicos del Instituto.</w:t>
      </w:r>
    </w:p>
    <w:p w14:paraId="58AD2939"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Direccionar y adelantar la mejora de los sistemas de información y los servicios digitales, articulados con los procedimientos y políticas de seguridad que se generen por parte de las áreas responsables de la Entidad.</w:t>
      </w:r>
    </w:p>
    <w:p w14:paraId="0613662C"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Elaborar y ejecutar planes para el desarrollo de nuevos sistemas de información o desarrollos adicionales para los existentes.</w:t>
      </w:r>
    </w:p>
    <w:p w14:paraId="31436021"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Custodiar la información contenida en los sistemas de información y bases de datos desarrollados y adoptados por el Instituto, cumpliendo los protocolos y lineamientos establecidos por el Gobierno Nacional.</w:t>
      </w:r>
    </w:p>
    <w:p w14:paraId="00CBAA09" w14:textId="63C48025" w:rsidR="00AF6BA8" w:rsidRPr="0090373C" w:rsidRDefault="67F90C77" w:rsidP="00C72779">
      <w:pPr>
        <w:jc w:val="both"/>
        <w:rPr>
          <w:rFonts w:eastAsia="Arial" w:cs="Arial"/>
          <w:color w:val="000000" w:themeColor="text1"/>
          <w:sz w:val="22"/>
          <w:szCs w:val="22"/>
        </w:rPr>
      </w:pPr>
      <w:r w:rsidRPr="7283A636">
        <w:rPr>
          <w:rFonts w:eastAsia="Arial" w:cs="Arial"/>
          <w:color w:val="000000" w:themeColor="text1"/>
          <w:sz w:val="22"/>
          <w:szCs w:val="22"/>
        </w:rPr>
        <w:t xml:space="preserve">La </w:t>
      </w:r>
      <w:r w:rsidR="7473D16E" w:rsidRPr="7283A636">
        <w:rPr>
          <w:rFonts w:eastAsia="Arial" w:cs="Arial"/>
          <w:color w:val="000000" w:themeColor="text1"/>
          <w:sz w:val="22"/>
          <w:szCs w:val="22"/>
        </w:rPr>
        <w:t>Subdirección de Infraestructura Tecnológica, tiene a cargo las siguientes funciones:</w:t>
      </w:r>
    </w:p>
    <w:p w14:paraId="2046B8CB" w14:textId="77777777" w:rsidR="00AF6BA8" w:rsidRPr="0090373C" w:rsidRDefault="00AF6BA8" w:rsidP="00C72779">
      <w:pPr>
        <w:jc w:val="both"/>
        <w:rPr>
          <w:rFonts w:eastAsia="Arial" w:cs="Arial"/>
          <w:color w:val="000000" w:themeColor="text1"/>
          <w:sz w:val="22"/>
          <w:szCs w:val="22"/>
        </w:rPr>
      </w:pPr>
    </w:p>
    <w:p w14:paraId="542C0CF4"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Definir políticas, estrategias y prácticas en materia de Tecnologías de la información, que conlleven a la prestación efectiva de los servicios tecnológicos y que faciliten la gobernanza y gestión de las tecnologías digitales.</w:t>
      </w:r>
    </w:p>
    <w:p w14:paraId="38F9BD60"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Ejercer control sobre los activos tecnológicos de la Entidad y administrar y mantener actualizado su inventario, de acuerdo con las políticas definidas por el Instituto.</w:t>
      </w:r>
    </w:p>
    <w:p w14:paraId="5FE2EE08"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 xml:space="preserve">Desarrollar a partir de los requerimientos realizados por las dependencias y Direcciones Territoriales, el diseño funcional de las soluciones tecnológicas del Instituto, disponiendo </w:t>
      </w:r>
      <w:r w:rsidRPr="0090373C">
        <w:rPr>
          <w:rFonts w:eastAsia="Arial" w:cs="Arial"/>
          <w:color w:val="000000" w:themeColor="text1"/>
          <w:sz w:val="22"/>
          <w:szCs w:val="22"/>
        </w:rPr>
        <w:lastRenderedPageBreak/>
        <w:t>de la infraestructura tecnológica, con el fin de cumplir sus objetivos y establecer sus procedimientos y políticas de arquitectura y seguridad que definan las áreas responsables.</w:t>
      </w:r>
    </w:p>
    <w:p w14:paraId="1FD280CD"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Garantizar la disponibilidad de la plataforma tecnológica, para la disposición de productos y servicios de la Entidad, planeando la actualización e implementación y operación de servicios, productos e infraestructura Tecnológica.</w:t>
      </w:r>
    </w:p>
    <w:p w14:paraId="69A3EE6B"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Implementar las políticas de seguridad de la información relacionadas con la plataforma tecnológica, definidas por la Dirección de Tecnologías de la Información.</w:t>
      </w:r>
    </w:p>
    <w:p w14:paraId="50FE76AE"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Monitorear y administrar la infraestructura tecnológica que soporta las operaciones y servicios del Instituto, cumpliendo con los acuerdos de niveles de servicio establecidos.</w:t>
      </w:r>
    </w:p>
    <w:p w14:paraId="4D1BDC0F"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Definir y gestionar los procesos de continuidad operativa y recuperación tecnológica, en caso de desastres naturales o indisponibilidades no planeadas.</w:t>
      </w:r>
    </w:p>
    <w:p w14:paraId="40D6060A"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Gerenciar los centros de datos, servidores y equipos corporativos, las redes de telecomunicaciones, los componentes tecnológicos de seguridad, los medios de almacenamiento, el software propio, los sistemas gestores de bases de datos (SGBD) y el licenciamiento adquirido por la Institución, y establecer normas técnicas referentes a su administración y uso.</w:t>
      </w:r>
    </w:p>
    <w:p w14:paraId="6DB27842" w14:textId="77777777" w:rsidR="00AF6BA8" w:rsidRPr="0090373C" w:rsidRDefault="00AF6BA8" w:rsidP="000A20EE">
      <w:pPr>
        <w:pStyle w:val="Prrafodelista"/>
        <w:numPr>
          <w:ilvl w:val="0"/>
          <w:numId w:val="111"/>
        </w:numPr>
        <w:suppressAutoHyphens w:val="0"/>
        <w:overflowPunct/>
        <w:autoSpaceDE/>
        <w:spacing w:after="160"/>
        <w:contextualSpacing/>
        <w:textAlignment w:val="auto"/>
        <w:rPr>
          <w:rFonts w:eastAsia="Arial" w:cs="Arial"/>
          <w:color w:val="000000" w:themeColor="text1"/>
          <w:sz w:val="22"/>
          <w:szCs w:val="22"/>
        </w:rPr>
      </w:pPr>
      <w:r w:rsidRPr="0090373C">
        <w:rPr>
          <w:rFonts w:eastAsia="Arial" w:cs="Arial"/>
          <w:color w:val="000000" w:themeColor="text1"/>
          <w:sz w:val="22"/>
          <w:szCs w:val="22"/>
        </w:rPr>
        <w:t>Establecer los mecanismos que permitan tramitar y solucionar los incidentes y problemas, así como las solicitudes de cambio que se generen desde la mesa de servicios informáticos relacionados con la infraestructura tecnológica del Instituto, de acuerdo con los niveles de servicio establecidos.</w:t>
      </w:r>
    </w:p>
    <w:p w14:paraId="599862A3" w14:textId="4E49D776" w:rsidR="009B34DF" w:rsidRPr="00F164D9" w:rsidRDefault="009B34DF" w:rsidP="00C72779">
      <w:pPr>
        <w:rPr>
          <w:lang w:val="es-CO"/>
        </w:rPr>
        <w:sectPr w:rsidR="009B34DF" w:rsidRPr="00F164D9" w:rsidSect="00067275">
          <w:footnotePr>
            <w:pos w:val="beneathText"/>
          </w:footnotePr>
          <w:pgSz w:w="12240" w:h="15840"/>
          <w:pgMar w:top="1440" w:right="1440" w:bottom="1440" w:left="1440" w:header="0" w:footer="335" w:gutter="0"/>
          <w:cols w:space="720"/>
          <w:docGrid w:linePitch="360"/>
        </w:sectPr>
      </w:pPr>
    </w:p>
    <w:p w14:paraId="1C91900B" w14:textId="4E4AA059" w:rsidR="6B7635CB" w:rsidRDefault="6B7635CB" w:rsidP="00C72779">
      <w:pPr>
        <w:rPr>
          <w:rFonts w:eastAsia="Arial" w:cs="Arial"/>
          <w:b/>
          <w:bCs/>
          <w:sz w:val="18"/>
          <w:szCs w:val="18"/>
          <w:lang w:val="es-MX"/>
        </w:rPr>
      </w:pPr>
    </w:p>
    <w:p w14:paraId="5A753C71" w14:textId="2EC9DFF1" w:rsidR="6B7635CB" w:rsidRDefault="6B7635CB" w:rsidP="00C72779">
      <w:pPr>
        <w:jc w:val="center"/>
        <w:rPr>
          <w:rFonts w:eastAsia="Arial" w:cs="Arial"/>
          <w:b/>
          <w:bCs/>
          <w:sz w:val="18"/>
          <w:szCs w:val="18"/>
          <w:lang w:val="es-MX"/>
        </w:rPr>
      </w:pPr>
    </w:p>
    <w:p w14:paraId="11750795" w14:textId="77777777" w:rsidR="00DF73D4" w:rsidRDefault="00DF73D4" w:rsidP="000A20EE">
      <w:pPr>
        <w:pStyle w:val="Prrafodelista"/>
        <w:numPr>
          <w:ilvl w:val="3"/>
          <w:numId w:val="24"/>
        </w:numPr>
        <w:rPr>
          <w:rFonts w:eastAsia="Arial" w:cs="Arial"/>
          <w:b/>
          <w:bCs/>
          <w:color w:val="000000" w:themeColor="text1"/>
          <w:sz w:val="22"/>
          <w:szCs w:val="22"/>
          <w:lang w:val="es-CO"/>
        </w:rPr>
      </w:pPr>
      <w:r w:rsidRPr="002D2F11">
        <w:rPr>
          <w:b/>
          <w:bCs/>
          <w:sz w:val="22"/>
          <w:szCs w:val="22"/>
        </w:rPr>
        <w:t>E</w:t>
      </w:r>
      <w:r>
        <w:rPr>
          <w:b/>
          <w:bCs/>
          <w:sz w:val="22"/>
          <w:szCs w:val="22"/>
        </w:rPr>
        <w:t>STRUCTURA FUNCIONAL DE LA DIRECCIÓ</w:t>
      </w:r>
      <w:r w:rsidRPr="00FF484E">
        <w:rPr>
          <w:b/>
          <w:bCs/>
          <w:sz w:val="22"/>
          <w:szCs w:val="22"/>
        </w:rPr>
        <w:t xml:space="preserve">N </w:t>
      </w:r>
      <w:r w:rsidRPr="00FF484E">
        <w:rPr>
          <w:rFonts w:eastAsia="Arial" w:cs="Arial"/>
          <w:b/>
          <w:bCs/>
          <w:color w:val="000000" w:themeColor="text1"/>
          <w:sz w:val="22"/>
          <w:szCs w:val="22"/>
          <w:lang w:val="es-CO"/>
        </w:rPr>
        <w:t>DE TECNOLOGÍAS DE LA INFORMACIÓN Y COMUNICACIONES</w:t>
      </w:r>
    </w:p>
    <w:p w14:paraId="3CC41C0A" w14:textId="77777777" w:rsidR="00AD22B2" w:rsidRDefault="00AD22B2" w:rsidP="00C72779">
      <w:pPr>
        <w:pStyle w:val="Lista"/>
        <w:rPr>
          <w:lang w:val="es-CO"/>
        </w:rPr>
      </w:pPr>
    </w:p>
    <w:p w14:paraId="5ACB6F42" w14:textId="62AA7504" w:rsidR="009B34DF" w:rsidRDefault="00D433C4" w:rsidP="00C72779">
      <w:pPr>
        <w:pStyle w:val="Lista"/>
        <w:rPr>
          <w:lang w:val="es-CO"/>
        </w:rPr>
      </w:pPr>
      <w:r w:rsidRPr="006447AD">
        <w:rPr>
          <w:rFonts w:eastAsia="Arial"/>
          <w:noProof/>
          <w:lang w:val="es-CO" w:eastAsia="es-CO"/>
        </w:rPr>
        <w:drawing>
          <wp:anchor distT="0" distB="0" distL="114300" distR="114300" simplePos="0" relativeHeight="251658254" behindDoc="0" locked="0" layoutInCell="1" allowOverlap="1" wp14:anchorId="7AD1E900" wp14:editId="57535296">
            <wp:simplePos x="0" y="0"/>
            <wp:positionH relativeFrom="margin">
              <wp:posOffset>809625</wp:posOffset>
            </wp:positionH>
            <wp:positionV relativeFrom="paragraph">
              <wp:posOffset>10795</wp:posOffset>
            </wp:positionV>
            <wp:extent cx="6699250" cy="4999990"/>
            <wp:effectExtent l="0" t="0" r="6350" b="0"/>
            <wp:wrapSquare wrapText="bothSides"/>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6699250" cy="4999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41E3D4" w14:textId="20E05CE1" w:rsidR="009B34DF" w:rsidRDefault="009B34DF" w:rsidP="00C72779">
      <w:pPr>
        <w:pStyle w:val="Lista"/>
        <w:rPr>
          <w:lang w:val="es-CO"/>
        </w:rPr>
      </w:pPr>
    </w:p>
    <w:p w14:paraId="4981A1B5" w14:textId="77777777" w:rsidR="009B34DF" w:rsidRDefault="009B34DF" w:rsidP="00C72779">
      <w:pPr>
        <w:pStyle w:val="Lista"/>
        <w:rPr>
          <w:lang w:val="es-CO"/>
        </w:rPr>
      </w:pPr>
    </w:p>
    <w:p w14:paraId="48EDA6BD" w14:textId="77777777" w:rsidR="009B34DF" w:rsidRDefault="009B34DF" w:rsidP="00C72779">
      <w:pPr>
        <w:pStyle w:val="Lista"/>
        <w:rPr>
          <w:lang w:val="es-CO"/>
        </w:rPr>
      </w:pPr>
    </w:p>
    <w:p w14:paraId="62591837" w14:textId="77777777" w:rsidR="009B34DF" w:rsidRDefault="009B34DF" w:rsidP="00C72779">
      <w:pPr>
        <w:pStyle w:val="Lista"/>
        <w:rPr>
          <w:lang w:val="es-CO"/>
        </w:rPr>
      </w:pPr>
    </w:p>
    <w:p w14:paraId="5A12EA49" w14:textId="77777777" w:rsidR="009B34DF" w:rsidRDefault="009B34DF" w:rsidP="00C72779">
      <w:pPr>
        <w:pStyle w:val="Lista"/>
        <w:rPr>
          <w:lang w:val="es-CO"/>
        </w:rPr>
      </w:pPr>
    </w:p>
    <w:p w14:paraId="18EAB266" w14:textId="77777777" w:rsidR="009B34DF" w:rsidRDefault="009B34DF" w:rsidP="00C72779">
      <w:pPr>
        <w:pStyle w:val="Lista"/>
        <w:rPr>
          <w:lang w:val="es-CO"/>
        </w:rPr>
      </w:pPr>
    </w:p>
    <w:p w14:paraId="37BB823C" w14:textId="77777777" w:rsidR="009B34DF" w:rsidRDefault="009B34DF" w:rsidP="00C72779">
      <w:pPr>
        <w:pStyle w:val="Lista"/>
        <w:rPr>
          <w:lang w:val="es-CO"/>
        </w:rPr>
      </w:pPr>
    </w:p>
    <w:p w14:paraId="44237476" w14:textId="446B1B16" w:rsidR="00DF73D4" w:rsidRDefault="00DF73D4" w:rsidP="00C72779">
      <w:pPr>
        <w:pStyle w:val="Lista"/>
        <w:rPr>
          <w:lang w:val="es-CO"/>
        </w:rPr>
      </w:pPr>
    </w:p>
    <w:p w14:paraId="6BA3996B" w14:textId="77777777" w:rsidR="00DF73D4" w:rsidRPr="00DF73D4" w:rsidRDefault="00DF73D4" w:rsidP="00C72779">
      <w:pPr>
        <w:rPr>
          <w:lang w:val="es-CO"/>
        </w:rPr>
      </w:pPr>
    </w:p>
    <w:p w14:paraId="3617F38D" w14:textId="77777777" w:rsidR="00DF73D4" w:rsidRPr="00DF73D4" w:rsidRDefault="00DF73D4" w:rsidP="00C72779">
      <w:pPr>
        <w:rPr>
          <w:lang w:val="es-CO"/>
        </w:rPr>
      </w:pPr>
    </w:p>
    <w:p w14:paraId="72C4D52D" w14:textId="77777777" w:rsidR="00DF73D4" w:rsidRPr="00DF73D4" w:rsidRDefault="00DF73D4" w:rsidP="00C72779">
      <w:pPr>
        <w:rPr>
          <w:lang w:val="es-CO"/>
        </w:rPr>
      </w:pPr>
    </w:p>
    <w:p w14:paraId="36378E06" w14:textId="77777777" w:rsidR="00DF73D4" w:rsidRPr="00DF73D4" w:rsidRDefault="00DF73D4" w:rsidP="00C72779">
      <w:pPr>
        <w:rPr>
          <w:lang w:val="es-CO"/>
        </w:rPr>
      </w:pPr>
    </w:p>
    <w:p w14:paraId="01DE2589" w14:textId="77777777" w:rsidR="00DF73D4" w:rsidRPr="00DF73D4" w:rsidRDefault="00DF73D4" w:rsidP="00C72779">
      <w:pPr>
        <w:rPr>
          <w:lang w:val="es-CO"/>
        </w:rPr>
      </w:pPr>
    </w:p>
    <w:p w14:paraId="7705F14F" w14:textId="77777777" w:rsidR="00DF73D4" w:rsidRPr="00DF73D4" w:rsidRDefault="00DF73D4" w:rsidP="00C72779">
      <w:pPr>
        <w:rPr>
          <w:lang w:val="es-CO"/>
        </w:rPr>
      </w:pPr>
    </w:p>
    <w:p w14:paraId="4981DBCD" w14:textId="77777777" w:rsidR="00DF73D4" w:rsidRPr="00DF73D4" w:rsidRDefault="00DF73D4" w:rsidP="00C72779">
      <w:pPr>
        <w:rPr>
          <w:lang w:val="es-CO"/>
        </w:rPr>
      </w:pPr>
    </w:p>
    <w:p w14:paraId="6D146208" w14:textId="77777777" w:rsidR="00DF73D4" w:rsidRPr="00DF73D4" w:rsidRDefault="00DF73D4" w:rsidP="00C72779">
      <w:pPr>
        <w:rPr>
          <w:lang w:val="es-CO"/>
        </w:rPr>
      </w:pPr>
    </w:p>
    <w:p w14:paraId="59C1E15E" w14:textId="77777777" w:rsidR="00DF73D4" w:rsidRPr="00DF73D4" w:rsidRDefault="00DF73D4" w:rsidP="00C72779">
      <w:pPr>
        <w:rPr>
          <w:lang w:val="es-CO"/>
        </w:rPr>
      </w:pPr>
    </w:p>
    <w:p w14:paraId="7319260C" w14:textId="77777777" w:rsidR="00DF73D4" w:rsidRPr="00DF73D4" w:rsidRDefault="00DF73D4" w:rsidP="00C72779">
      <w:pPr>
        <w:rPr>
          <w:lang w:val="es-CO"/>
        </w:rPr>
      </w:pPr>
    </w:p>
    <w:p w14:paraId="6AB72225" w14:textId="77777777" w:rsidR="00DF73D4" w:rsidRPr="00DF73D4" w:rsidRDefault="00DF73D4" w:rsidP="00C72779">
      <w:pPr>
        <w:rPr>
          <w:lang w:val="es-CO"/>
        </w:rPr>
      </w:pPr>
    </w:p>
    <w:p w14:paraId="0ACFBA7E" w14:textId="77777777" w:rsidR="00DF73D4" w:rsidRPr="00DF73D4" w:rsidRDefault="00DF73D4" w:rsidP="00C72779">
      <w:pPr>
        <w:rPr>
          <w:lang w:val="es-CO"/>
        </w:rPr>
      </w:pPr>
    </w:p>
    <w:p w14:paraId="43F640FC" w14:textId="77777777" w:rsidR="00DF73D4" w:rsidRPr="00DF73D4" w:rsidRDefault="00DF73D4" w:rsidP="00C72779">
      <w:pPr>
        <w:rPr>
          <w:lang w:val="es-CO"/>
        </w:rPr>
      </w:pPr>
    </w:p>
    <w:p w14:paraId="68765B5E" w14:textId="77777777" w:rsidR="00DF73D4" w:rsidRPr="00DF73D4" w:rsidRDefault="00DF73D4" w:rsidP="00C72779">
      <w:pPr>
        <w:rPr>
          <w:lang w:val="es-CO"/>
        </w:rPr>
      </w:pPr>
    </w:p>
    <w:p w14:paraId="43C4E5B4" w14:textId="77777777" w:rsidR="00DF73D4" w:rsidRPr="00DF73D4" w:rsidRDefault="00DF73D4" w:rsidP="00C72779">
      <w:pPr>
        <w:rPr>
          <w:lang w:val="es-CO"/>
        </w:rPr>
      </w:pPr>
    </w:p>
    <w:p w14:paraId="50FAEC6C" w14:textId="77777777" w:rsidR="00DF73D4" w:rsidRPr="00DF73D4" w:rsidRDefault="00DF73D4" w:rsidP="00C72779">
      <w:pPr>
        <w:rPr>
          <w:lang w:val="es-CO"/>
        </w:rPr>
      </w:pPr>
    </w:p>
    <w:p w14:paraId="2DF4B2C8" w14:textId="77777777" w:rsidR="00DF73D4" w:rsidRPr="00DF73D4" w:rsidRDefault="00DF73D4" w:rsidP="00C72779">
      <w:pPr>
        <w:rPr>
          <w:lang w:val="es-CO"/>
        </w:rPr>
      </w:pPr>
    </w:p>
    <w:p w14:paraId="5D923AC2" w14:textId="77777777" w:rsidR="00DF73D4" w:rsidRPr="00DF73D4" w:rsidRDefault="00DF73D4" w:rsidP="00C72779">
      <w:pPr>
        <w:rPr>
          <w:lang w:val="es-CO"/>
        </w:rPr>
      </w:pPr>
    </w:p>
    <w:p w14:paraId="673C213B" w14:textId="77777777" w:rsidR="00DF73D4" w:rsidRPr="00DF73D4" w:rsidRDefault="00DF73D4" w:rsidP="00C72779">
      <w:pPr>
        <w:rPr>
          <w:lang w:val="es-CO"/>
        </w:rPr>
      </w:pPr>
    </w:p>
    <w:p w14:paraId="3EB723BC" w14:textId="77777777" w:rsidR="00DF73D4" w:rsidRPr="00DF73D4" w:rsidRDefault="00DF73D4" w:rsidP="00C72779">
      <w:pPr>
        <w:rPr>
          <w:lang w:val="es-CO"/>
        </w:rPr>
      </w:pPr>
    </w:p>
    <w:p w14:paraId="21112749" w14:textId="77777777" w:rsidR="00DF73D4" w:rsidRPr="00DF73D4" w:rsidRDefault="00DF73D4" w:rsidP="00C72779">
      <w:pPr>
        <w:rPr>
          <w:lang w:val="es-CO"/>
        </w:rPr>
      </w:pPr>
    </w:p>
    <w:p w14:paraId="29A7064B" w14:textId="77777777" w:rsidR="001331B8" w:rsidRDefault="001331B8" w:rsidP="00C72779">
      <w:pPr>
        <w:tabs>
          <w:tab w:val="left" w:pos="4430"/>
        </w:tabs>
        <w:jc w:val="center"/>
        <w:rPr>
          <w:b/>
          <w:sz w:val="16"/>
          <w:lang w:val="es-CO"/>
        </w:rPr>
      </w:pPr>
    </w:p>
    <w:p w14:paraId="2DF321AC" w14:textId="3367A162" w:rsidR="009B34DF" w:rsidRPr="00F164D9" w:rsidRDefault="00DF73D4" w:rsidP="00C72779">
      <w:pPr>
        <w:tabs>
          <w:tab w:val="left" w:pos="4430"/>
        </w:tabs>
        <w:jc w:val="center"/>
        <w:rPr>
          <w:b/>
          <w:sz w:val="16"/>
          <w:lang w:val="es-CO"/>
        </w:rPr>
        <w:sectPr w:rsidR="009B34DF" w:rsidRPr="00F164D9" w:rsidSect="009B34DF">
          <w:footnotePr>
            <w:pos w:val="beneathText"/>
          </w:footnotePr>
          <w:pgSz w:w="15840" w:h="12240" w:orient="landscape"/>
          <w:pgMar w:top="1440" w:right="1440" w:bottom="1440" w:left="1440" w:header="0" w:footer="335" w:gutter="0"/>
          <w:cols w:space="720"/>
          <w:docGrid w:linePitch="360"/>
        </w:sectPr>
      </w:pPr>
      <w:r>
        <w:rPr>
          <w:b/>
          <w:sz w:val="16"/>
          <w:lang w:val="es-CO"/>
        </w:rPr>
        <w:t>Fuente: Direcc</w:t>
      </w:r>
      <w:r w:rsidR="00F164D9">
        <w:rPr>
          <w:b/>
          <w:sz w:val="16"/>
          <w:lang w:val="es-CO"/>
        </w:rPr>
        <w:t>ión de Tecnologías de la Información y Comunicaciones</w:t>
      </w:r>
    </w:p>
    <w:p w14:paraId="117A11CE" w14:textId="77777777" w:rsidR="0006725E" w:rsidRPr="0006725E" w:rsidRDefault="0006725E" w:rsidP="00C72779">
      <w:pPr>
        <w:pStyle w:val="Lista"/>
      </w:pPr>
    </w:p>
    <w:p w14:paraId="3D533EF0" w14:textId="453298DD" w:rsidR="00A06647" w:rsidRDefault="00D05FB3" w:rsidP="006679CF">
      <w:pPr>
        <w:pStyle w:val="Prrafodelista"/>
        <w:numPr>
          <w:ilvl w:val="4"/>
          <w:numId w:val="24"/>
        </w:numPr>
        <w:rPr>
          <w:b/>
          <w:bCs/>
          <w:sz w:val="22"/>
          <w:szCs w:val="22"/>
        </w:rPr>
      </w:pPr>
      <w:r w:rsidRPr="002D2F11">
        <w:rPr>
          <w:b/>
          <w:bCs/>
          <w:sz w:val="22"/>
          <w:szCs w:val="22"/>
        </w:rPr>
        <w:t>E</w:t>
      </w:r>
      <w:r w:rsidR="00F9283B">
        <w:rPr>
          <w:b/>
          <w:bCs/>
          <w:sz w:val="22"/>
          <w:szCs w:val="22"/>
        </w:rPr>
        <w:t xml:space="preserve">QUIPO </w:t>
      </w:r>
      <w:r w:rsidR="00A61EEA" w:rsidRPr="002D2F11">
        <w:rPr>
          <w:b/>
          <w:bCs/>
          <w:sz w:val="22"/>
          <w:szCs w:val="22"/>
        </w:rPr>
        <w:t>Y</w:t>
      </w:r>
      <w:r w:rsidR="00F9283B">
        <w:rPr>
          <w:b/>
          <w:bCs/>
          <w:sz w:val="22"/>
          <w:szCs w:val="22"/>
        </w:rPr>
        <w:t xml:space="preserve"> ROLES</w:t>
      </w:r>
    </w:p>
    <w:p w14:paraId="411F2C4E" w14:textId="77777777" w:rsidR="006679CF" w:rsidRPr="006679CF" w:rsidRDefault="006679CF" w:rsidP="006679CF">
      <w:pPr>
        <w:pStyle w:val="Lista"/>
        <w:rPr>
          <w:rFonts w:eastAsia="Arial"/>
        </w:rPr>
      </w:pPr>
    </w:p>
    <w:tbl>
      <w:tblPr>
        <w:tblStyle w:val="Tabladecuadrcula4-nfasis1"/>
        <w:tblW w:w="9781" w:type="dxa"/>
        <w:tblInd w:w="-147" w:type="dxa"/>
        <w:tblLayout w:type="fixed"/>
        <w:tblLook w:val="06A0" w:firstRow="1" w:lastRow="0" w:firstColumn="1" w:lastColumn="0" w:noHBand="1" w:noVBand="1"/>
      </w:tblPr>
      <w:tblGrid>
        <w:gridCol w:w="709"/>
        <w:gridCol w:w="1560"/>
        <w:gridCol w:w="5787"/>
        <w:gridCol w:w="1725"/>
      </w:tblGrid>
      <w:tr w:rsidR="00D171B9" w:rsidRPr="00767699" w14:paraId="01B3311C" w14:textId="77777777" w:rsidTr="31FF9146">
        <w:trPr>
          <w:cnfStyle w:val="100000000000" w:firstRow="1" w:lastRow="0" w:firstColumn="0" w:lastColumn="0" w:oddVBand="0" w:evenVBand="0" w:oddHBand="0" w:evenHBand="0" w:firstRowFirstColumn="0" w:firstRowLastColumn="0" w:lastRowFirstColumn="0" w:lastRowLastColumn="0"/>
          <w:trHeight w:val="375"/>
          <w:tblHeader/>
        </w:trPr>
        <w:tc>
          <w:tcPr>
            <w:cnfStyle w:val="001000000000" w:firstRow="0" w:lastRow="0" w:firstColumn="1" w:lastColumn="0" w:oddVBand="0" w:evenVBand="0" w:oddHBand="0" w:evenHBand="0" w:firstRowFirstColumn="0" w:firstRowLastColumn="0" w:lastRowFirstColumn="0" w:lastRowLastColumn="0"/>
            <w:tcW w:w="709" w:type="dxa"/>
          </w:tcPr>
          <w:p w14:paraId="0E21DCE3" w14:textId="7D041D93" w:rsidR="14B10D0C" w:rsidRPr="00767699" w:rsidRDefault="14B10D0C" w:rsidP="00C72779">
            <w:pPr>
              <w:rPr>
                <w:sz w:val="20"/>
                <w:szCs w:val="20"/>
              </w:rPr>
            </w:pPr>
            <w:r w:rsidRPr="00767699">
              <w:rPr>
                <w:rFonts w:eastAsia="Arial" w:cs="Arial"/>
                <w:sz w:val="20"/>
                <w:szCs w:val="20"/>
                <w:lang w:val="es"/>
              </w:rPr>
              <w:t>Cant</w:t>
            </w:r>
          </w:p>
        </w:tc>
        <w:tc>
          <w:tcPr>
            <w:tcW w:w="1560" w:type="dxa"/>
          </w:tcPr>
          <w:p w14:paraId="7923EC56" w14:textId="60032E1A" w:rsidR="14B10D0C" w:rsidRPr="00767699" w:rsidRDefault="14B10D0C" w:rsidP="00C72779">
            <w:pPr>
              <w:jc w:val="center"/>
              <w:cnfStyle w:val="100000000000" w:firstRow="1" w:lastRow="0" w:firstColumn="0" w:lastColumn="0" w:oddVBand="0" w:evenVBand="0" w:oddHBand="0" w:evenHBand="0" w:firstRowFirstColumn="0" w:firstRowLastColumn="0" w:lastRowFirstColumn="0" w:lastRowLastColumn="0"/>
              <w:rPr>
                <w:sz w:val="20"/>
                <w:szCs w:val="20"/>
              </w:rPr>
            </w:pPr>
            <w:r w:rsidRPr="00767699">
              <w:rPr>
                <w:rFonts w:eastAsia="Arial" w:cs="Arial"/>
                <w:sz w:val="20"/>
                <w:szCs w:val="20"/>
                <w:lang w:val="es"/>
              </w:rPr>
              <w:t>Funcionario o Contratista</w:t>
            </w:r>
          </w:p>
        </w:tc>
        <w:tc>
          <w:tcPr>
            <w:tcW w:w="5787" w:type="dxa"/>
          </w:tcPr>
          <w:p w14:paraId="5CE85DF5" w14:textId="616557A8" w:rsidR="14B10D0C" w:rsidRPr="00767699" w:rsidRDefault="14B10D0C" w:rsidP="00C72779">
            <w:pPr>
              <w:jc w:val="center"/>
              <w:cnfStyle w:val="100000000000" w:firstRow="1" w:lastRow="0" w:firstColumn="0" w:lastColumn="0" w:oddVBand="0" w:evenVBand="0" w:oddHBand="0" w:evenHBand="0" w:firstRowFirstColumn="0" w:firstRowLastColumn="0" w:lastRowFirstColumn="0" w:lastRowLastColumn="0"/>
              <w:rPr>
                <w:sz w:val="20"/>
                <w:szCs w:val="20"/>
              </w:rPr>
            </w:pPr>
            <w:r w:rsidRPr="00767699">
              <w:rPr>
                <w:rFonts w:eastAsia="Arial" w:cs="Arial"/>
                <w:sz w:val="20"/>
                <w:szCs w:val="20"/>
                <w:lang w:val="es"/>
              </w:rPr>
              <w:t>Rol</w:t>
            </w:r>
          </w:p>
        </w:tc>
        <w:tc>
          <w:tcPr>
            <w:tcW w:w="1725" w:type="dxa"/>
          </w:tcPr>
          <w:p w14:paraId="3AC30B6A" w14:textId="2561C63F" w:rsidR="14B10D0C" w:rsidRPr="00767699" w:rsidRDefault="14B10D0C" w:rsidP="00C72779">
            <w:pPr>
              <w:jc w:val="center"/>
              <w:cnfStyle w:val="100000000000" w:firstRow="1" w:lastRow="0" w:firstColumn="0" w:lastColumn="0" w:oddVBand="0" w:evenVBand="0" w:oddHBand="0" w:evenHBand="0" w:firstRowFirstColumn="0" w:firstRowLastColumn="0" w:lastRowFirstColumn="0" w:lastRowLastColumn="0"/>
              <w:rPr>
                <w:sz w:val="20"/>
                <w:szCs w:val="20"/>
              </w:rPr>
            </w:pPr>
            <w:r w:rsidRPr="00767699">
              <w:rPr>
                <w:rFonts w:eastAsia="Arial" w:cs="Arial"/>
                <w:sz w:val="20"/>
                <w:szCs w:val="20"/>
                <w:lang w:val="es"/>
              </w:rPr>
              <w:t>Subproceso</w:t>
            </w:r>
          </w:p>
        </w:tc>
      </w:tr>
      <w:tr w:rsidR="14B10D0C" w:rsidRPr="00767699" w14:paraId="1451C8DA"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402477DD" w14:textId="75AD3F94"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1E1E2BDB" w14:textId="1460D3B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Profesional</w:t>
            </w:r>
          </w:p>
          <w:p w14:paraId="32C7D4D0" w14:textId="04D7AF6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Especializado</w:t>
            </w:r>
          </w:p>
        </w:tc>
        <w:tc>
          <w:tcPr>
            <w:tcW w:w="5787" w:type="dxa"/>
          </w:tcPr>
          <w:p w14:paraId="5725288F" w14:textId="7C80F93E"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Profesional Gobierno Digital</w:t>
            </w:r>
          </w:p>
          <w:p w14:paraId="329357B7" w14:textId="7C1D5B6C" w:rsidR="14B10D0C" w:rsidRPr="00767699" w:rsidRDefault="14B10D0C" w:rsidP="000A20EE">
            <w:pPr>
              <w:pStyle w:val="Prrafodelista"/>
              <w:numPr>
                <w:ilvl w:val="0"/>
                <w:numId w:val="168"/>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Apoyo de la aplicación de la Política de Gobierno Digital de la Entidad</w:t>
            </w:r>
          </w:p>
        </w:tc>
        <w:tc>
          <w:tcPr>
            <w:tcW w:w="1725" w:type="dxa"/>
          </w:tcPr>
          <w:p w14:paraId="773132D3" w14:textId="36A1BAB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Gestión de Tecnologías de Información</w:t>
            </w:r>
          </w:p>
        </w:tc>
      </w:tr>
      <w:tr w:rsidR="14B10D0C" w:rsidRPr="00767699" w14:paraId="54F6F082"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7C2C1041" w14:textId="76436271"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3B08674E" w14:textId="282AE68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Profesional Especializado</w:t>
            </w:r>
          </w:p>
        </w:tc>
        <w:tc>
          <w:tcPr>
            <w:tcW w:w="5787" w:type="dxa"/>
          </w:tcPr>
          <w:p w14:paraId="21CFD93F" w14:textId="0428B765"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Enlace Contractual</w:t>
            </w:r>
          </w:p>
          <w:p w14:paraId="0FA8EE16" w14:textId="5BBBD379" w:rsidR="14B10D0C" w:rsidRPr="00767699" w:rsidRDefault="14B10D0C" w:rsidP="000A20EE">
            <w:pPr>
              <w:pStyle w:val="Prrafodelista"/>
              <w:numPr>
                <w:ilvl w:val="0"/>
                <w:numId w:val="167"/>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Proyección de documentos de condiciones contractuales</w:t>
            </w:r>
          </w:p>
          <w:p w14:paraId="1A2B5E72" w14:textId="0A4528A2" w:rsidR="14B10D0C" w:rsidRPr="00767699" w:rsidRDefault="14B10D0C" w:rsidP="000A20EE">
            <w:pPr>
              <w:pStyle w:val="Prrafodelista"/>
              <w:numPr>
                <w:ilvl w:val="0"/>
                <w:numId w:val="167"/>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Elaboración de análisis de sector y estudios de mercado</w:t>
            </w:r>
          </w:p>
          <w:p w14:paraId="47301F8A" w14:textId="64896945" w:rsidR="14B10D0C" w:rsidRPr="00767699" w:rsidRDefault="14B10D0C" w:rsidP="000A20EE">
            <w:pPr>
              <w:pStyle w:val="Prrafodelista"/>
              <w:numPr>
                <w:ilvl w:val="0"/>
                <w:numId w:val="167"/>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Consolidación de documentos requeridos para los procesos de contratación de la Dirección</w:t>
            </w:r>
            <w:r w:rsidR="1D3C66AC" w:rsidRPr="00767699">
              <w:rPr>
                <w:rFonts w:eastAsia="Arial" w:cs="Arial"/>
                <w:lang w:val="es-MX"/>
              </w:rPr>
              <w:t>.</w:t>
            </w:r>
          </w:p>
        </w:tc>
        <w:tc>
          <w:tcPr>
            <w:tcW w:w="1725" w:type="dxa"/>
          </w:tcPr>
          <w:p w14:paraId="7E443732" w14:textId="3655AE5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Gestión de Tecnologías de Información</w:t>
            </w:r>
          </w:p>
        </w:tc>
      </w:tr>
      <w:tr w:rsidR="14B10D0C" w:rsidRPr="00767699" w14:paraId="7F2AD27F"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31F91688" w14:textId="576CE62F" w:rsidR="14B10D0C" w:rsidRPr="00767699" w:rsidRDefault="14B10D0C" w:rsidP="00C72779">
            <w:pPr>
              <w:jc w:val="center"/>
              <w:rPr>
                <w:sz w:val="20"/>
                <w:szCs w:val="20"/>
              </w:rPr>
            </w:pPr>
            <w:r w:rsidRPr="00767699">
              <w:rPr>
                <w:rFonts w:eastAsia="Arial" w:cs="Arial"/>
                <w:color w:val="000000" w:themeColor="text1"/>
                <w:sz w:val="20"/>
                <w:szCs w:val="20"/>
                <w:lang w:val="es"/>
              </w:rPr>
              <w:t>4</w:t>
            </w:r>
          </w:p>
        </w:tc>
        <w:tc>
          <w:tcPr>
            <w:tcW w:w="1560" w:type="dxa"/>
          </w:tcPr>
          <w:p w14:paraId="0E371ACE" w14:textId="70C2B8D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Profesional Especializado</w:t>
            </w:r>
          </w:p>
          <w:p w14:paraId="39FDF60A" w14:textId="286B92F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968328C" w14:textId="0BFD6FF2"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MX"/>
              </w:rPr>
              <w:t>Profesional Ingeniería de Sistemas</w:t>
            </w:r>
          </w:p>
          <w:p w14:paraId="31FE56E8" w14:textId="0526EC0E" w:rsidR="14B10D0C" w:rsidRPr="00767699" w:rsidRDefault="14B10D0C" w:rsidP="000A20EE">
            <w:pPr>
              <w:pStyle w:val="Prrafodelista"/>
              <w:numPr>
                <w:ilvl w:val="1"/>
                <w:numId w:val="166"/>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Seguimiento a contratos de consultoría</w:t>
            </w:r>
          </w:p>
          <w:p w14:paraId="47DE44B7" w14:textId="3C25325B" w:rsidR="14B10D0C" w:rsidRPr="00767699" w:rsidRDefault="14B10D0C" w:rsidP="000A20EE">
            <w:pPr>
              <w:pStyle w:val="Prrafodelista"/>
              <w:numPr>
                <w:ilvl w:val="1"/>
                <w:numId w:val="166"/>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Apoyo en la formulación de estrategias técnicas para el desarrollo de nuevos sistemas que involucren gestión de datos y generación de información</w:t>
            </w:r>
          </w:p>
          <w:p w14:paraId="7E444183" w14:textId="261F9ED2" w:rsidR="14B10D0C" w:rsidRPr="00767699" w:rsidRDefault="14B10D0C" w:rsidP="000A20EE">
            <w:pPr>
              <w:pStyle w:val="Prrafodelista"/>
              <w:numPr>
                <w:ilvl w:val="1"/>
                <w:numId w:val="166"/>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Apoyo en la gestión de proyectos que involucren análisis de información y alineación a políticas públicas, normatividad del IGAC y modelo LDAM-COL.</w:t>
            </w:r>
          </w:p>
          <w:p w14:paraId="60367382" w14:textId="3051E3B4" w:rsidR="14B10D0C" w:rsidRPr="00767699" w:rsidRDefault="14B10D0C" w:rsidP="000A20EE">
            <w:pPr>
              <w:pStyle w:val="Prrafodelista"/>
              <w:numPr>
                <w:ilvl w:val="1"/>
                <w:numId w:val="166"/>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Apoyo técnico y funcional a las fábricas de software que desarrollen soluciones de integración, análisis y exposición de datos</w:t>
            </w:r>
          </w:p>
          <w:p w14:paraId="6A597B75" w14:textId="5B694EB9" w:rsidR="14B10D0C" w:rsidRPr="00767699" w:rsidRDefault="14B10D0C" w:rsidP="000A20EE">
            <w:pPr>
              <w:pStyle w:val="Prrafodelista"/>
              <w:numPr>
                <w:ilvl w:val="1"/>
                <w:numId w:val="166"/>
              </w:numPr>
              <w:cnfStyle w:val="000000000000" w:firstRow="0" w:lastRow="0" w:firstColumn="0" w:lastColumn="0" w:oddVBand="0" w:evenVBand="0" w:oddHBand="0" w:evenHBand="0" w:firstRowFirstColumn="0" w:firstRowLastColumn="0" w:lastRowFirstColumn="0" w:lastRowLastColumn="0"/>
              <w:rPr>
                <w:rFonts w:eastAsia="Arial" w:cs="Arial"/>
              </w:rPr>
            </w:pPr>
            <w:r w:rsidRPr="00767699">
              <w:rPr>
                <w:rFonts w:eastAsia="Arial" w:cs="Arial"/>
                <w:lang w:val="es-MX"/>
              </w:rPr>
              <w:t>Participación en el ejercicio de arquitectura de procesos.</w:t>
            </w:r>
          </w:p>
        </w:tc>
        <w:tc>
          <w:tcPr>
            <w:tcW w:w="1725" w:type="dxa"/>
          </w:tcPr>
          <w:p w14:paraId="3B687785" w14:textId="78C80C0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Gestión de Tecnologías de Información</w:t>
            </w:r>
          </w:p>
        </w:tc>
      </w:tr>
      <w:tr w:rsidR="14B10D0C" w:rsidRPr="00767699" w14:paraId="4A268891"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34EF7F40" w14:textId="6DB5F4AA"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3D898489" w14:textId="331A8DB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Secretario Ejecutivo</w:t>
            </w:r>
          </w:p>
          <w:p w14:paraId="18392A0B" w14:textId="02F3BC4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5A81DEC" w14:textId="1B1D7AB7"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Secretaria</w:t>
            </w:r>
          </w:p>
          <w:p w14:paraId="43D6B73D" w14:textId="05173904" w:rsidR="14B10D0C" w:rsidRPr="00767699" w:rsidRDefault="14B10D0C" w:rsidP="000A20EE">
            <w:pPr>
              <w:pStyle w:val="Prrafodelista"/>
              <w:numPr>
                <w:ilvl w:val="0"/>
                <w:numId w:val="165"/>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Asistencia administrativa y logística conforme a las necesidades y prioridades de la dependencia, de acuerdo con procedimientos establecidos.</w:t>
            </w:r>
          </w:p>
        </w:tc>
        <w:tc>
          <w:tcPr>
            <w:tcW w:w="1725" w:type="dxa"/>
          </w:tcPr>
          <w:p w14:paraId="2286673A" w14:textId="4390957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Gestión de Tecnologías de Información</w:t>
            </w:r>
          </w:p>
        </w:tc>
      </w:tr>
      <w:tr w:rsidR="14B10D0C" w:rsidRPr="00767699" w14:paraId="3495CE08"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0A9CFB09" w14:textId="65144D7F" w:rsidR="14B10D0C" w:rsidRPr="00767699" w:rsidRDefault="14B10D0C" w:rsidP="00C72779">
            <w:pPr>
              <w:jc w:val="center"/>
              <w:rPr>
                <w:sz w:val="20"/>
                <w:szCs w:val="20"/>
              </w:rPr>
            </w:pPr>
            <w:r w:rsidRPr="00767699">
              <w:rPr>
                <w:rFonts w:eastAsia="Arial" w:cs="Arial"/>
                <w:color w:val="000000" w:themeColor="text1"/>
                <w:sz w:val="20"/>
                <w:szCs w:val="20"/>
                <w:lang w:val="es"/>
              </w:rPr>
              <w:t>3</w:t>
            </w:r>
          </w:p>
        </w:tc>
        <w:tc>
          <w:tcPr>
            <w:tcW w:w="1560" w:type="dxa"/>
          </w:tcPr>
          <w:p w14:paraId="0B4209E9" w14:textId="7CCA544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tc>
        <w:tc>
          <w:tcPr>
            <w:tcW w:w="5787" w:type="dxa"/>
          </w:tcPr>
          <w:p w14:paraId="55FB4209" w14:textId="7FE96DB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Profesional Sistemas de Información Geográfica</w:t>
            </w:r>
          </w:p>
          <w:p w14:paraId="4B503B35" w14:textId="5B8B9031" w:rsidR="14B10D0C" w:rsidRPr="00767699" w:rsidRDefault="14B10D0C" w:rsidP="000A20EE">
            <w:pPr>
              <w:pStyle w:val="Prrafodelista"/>
              <w:numPr>
                <w:ilvl w:val="0"/>
                <w:numId w:val="16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Análisis de la información espacial y alfanumérica del IGAC, en el marco en el marco del fortalecimiento de la ICDE y la implementación de la política de catastro multipropósito.</w:t>
            </w:r>
          </w:p>
          <w:p w14:paraId="0FF6A0A5" w14:textId="27884746" w:rsidR="14B10D0C" w:rsidRPr="00767699" w:rsidRDefault="14B10D0C" w:rsidP="000A20EE">
            <w:pPr>
              <w:pStyle w:val="Prrafodelista"/>
              <w:numPr>
                <w:ilvl w:val="0"/>
                <w:numId w:val="16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Gestionar y disponer información espacial y datos de observación de la tierra a través de la ICDE en el marco de la implementación de la política de catastro multipropósito.</w:t>
            </w:r>
          </w:p>
          <w:p w14:paraId="342A23B0" w14:textId="0BFBD8B6" w:rsidR="14B10D0C" w:rsidRPr="00767699" w:rsidRDefault="14B10D0C" w:rsidP="000A20EE">
            <w:pPr>
              <w:pStyle w:val="Prrafodelista"/>
              <w:numPr>
                <w:ilvl w:val="0"/>
                <w:numId w:val="16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Gestionar y disponer la información geoespacial fundamental insumo en el marco de la implementación de la política de catastro multipropósito a través de la ICDE.</w:t>
            </w:r>
          </w:p>
        </w:tc>
        <w:tc>
          <w:tcPr>
            <w:tcW w:w="1725" w:type="dxa"/>
          </w:tcPr>
          <w:p w14:paraId="6078C77D" w14:textId="4C2F82E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7A4DB60A"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1B4B3818" w14:textId="14A01FDE"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2EC4FEFF" w14:textId="4CE8E0D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tc>
        <w:tc>
          <w:tcPr>
            <w:tcW w:w="5787" w:type="dxa"/>
          </w:tcPr>
          <w:p w14:paraId="7DD7EA0F" w14:textId="142786D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Profesional Consultor Experiencia de Usuario</w:t>
            </w:r>
          </w:p>
          <w:p w14:paraId="7CB78B45" w14:textId="7D586D64" w:rsidR="14B10D0C" w:rsidRPr="00767699" w:rsidRDefault="14B10D0C" w:rsidP="000A20EE">
            <w:pPr>
              <w:pStyle w:val="Prrafodelista"/>
              <w:numPr>
                <w:ilvl w:val="0"/>
                <w:numId w:val="16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Analizar y desarrollar la experiencia de usuario de la plataforma tecnológica de la ICDE en la implementación de la política de catastro multipropósito.</w:t>
            </w:r>
          </w:p>
        </w:tc>
        <w:tc>
          <w:tcPr>
            <w:tcW w:w="1725" w:type="dxa"/>
          </w:tcPr>
          <w:p w14:paraId="44BC0739" w14:textId="147CABB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2C2483C6"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2571C3A3" w14:textId="0B419CAA"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4</w:t>
            </w:r>
          </w:p>
        </w:tc>
        <w:tc>
          <w:tcPr>
            <w:tcW w:w="1560" w:type="dxa"/>
          </w:tcPr>
          <w:p w14:paraId="438E1CEB" w14:textId="723BB32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tc>
        <w:tc>
          <w:tcPr>
            <w:tcW w:w="5787" w:type="dxa"/>
          </w:tcPr>
          <w:p w14:paraId="73561416" w14:textId="44A93698"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Profesional Desarrollo Sistemas de Información</w:t>
            </w:r>
          </w:p>
          <w:p w14:paraId="239883BE" w14:textId="5E3E74D9"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Diseñar e implementar los servicios tecnológicos requeridos para el catastro multipropósito</w:t>
            </w:r>
          </w:p>
          <w:p w14:paraId="4FEB8D18" w14:textId="44697E3A"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Implementar los modelos de las bases de datos requeridas en el marco de la política de catastral multipropósito y el fortalecimiento de la ICDE.</w:t>
            </w:r>
          </w:p>
          <w:p w14:paraId="24594A88" w14:textId="1E1C5C4D"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Diseñar los servicios de información, de procesamiento y disposición de información para el catastro multipropósito.</w:t>
            </w:r>
          </w:p>
          <w:p w14:paraId="4FC9F44D" w14:textId="410DB8A9"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Realizar el diseño web de la plataforma tecnológica de la ICDE y su correspondiente implementación, en el marco de la política de catastro multipropósito.</w:t>
            </w:r>
          </w:p>
          <w:p w14:paraId="07F06C48" w14:textId="0F06FB77"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Diseñar y construir servicios de información, de procesamiento y de disposición de información para el catastro multipropósito desde el fortalecimiento de la ICDE.</w:t>
            </w:r>
          </w:p>
        </w:tc>
        <w:tc>
          <w:tcPr>
            <w:tcW w:w="1725" w:type="dxa"/>
          </w:tcPr>
          <w:p w14:paraId="1AA271E7" w14:textId="6D1582D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5A18A119"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65E8E900" w14:textId="17C32F43"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0B575B77" w14:textId="08100D9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0C7238A0" w14:textId="4671F83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164AD837" w14:textId="622B4D5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Profesional Catastral Geodesia</w:t>
            </w:r>
          </w:p>
          <w:p w14:paraId="405027DE" w14:textId="0A0319C4"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Desarrollar estudios técnicos y económicos de implementación de datos de observación de la tierra en la política de catastro multipropósito</w:t>
            </w:r>
          </w:p>
          <w:p w14:paraId="59771208" w14:textId="2C6A0F40"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w:t>
            </w:r>
            <w:r w:rsidRPr="00767699">
              <w:rPr>
                <w:rFonts w:eastAsia="Arial" w:cs="Arial"/>
                <w:color w:val="000000" w:themeColor="text1"/>
                <w:lang w:val="es"/>
              </w:rPr>
              <w:t>iseñar la estrategia de fortalecimiento y aprovechamiento de la información geoespacial dispuesta por la ICDE para los municipios priorizados en el marco de la política de catastro multipropósito.</w:t>
            </w:r>
          </w:p>
        </w:tc>
        <w:tc>
          <w:tcPr>
            <w:tcW w:w="1725" w:type="dxa"/>
          </w:tcPr>
          <w:p w14:paraId="5B1A980E" w14:textId="254C0C2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1667DBC1"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002A4067" w14:textId="0294E097"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7B227F6B" w14:textId="7792C59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407040BF" w14:textId="1D4B76F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3F5613B8" w14:textId="6206E74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Profesional Análisis de Datos</w:t>
            </w:r>
          </w:p>
          <w:p w14:paraId="3C124517" w14:textId="36211DBE"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Desarrollar de procesos de analítica de datos en el marco de los métodos indirectos del catastro multipropósito</w:t>
            </w:r>
          </w:p>
          <w:p w14:paraId="2F172759" w14:textId="33DF2170"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lang w:val="es"/>
              </w:rPr>
              <w:t>Implementar procesos de innovación tecnológica en el análisis y explotación de datos en el marco de la implementación de la política de catastro multipropósito.</w:t>
            </w:r>
          </w:p>
        </w:tc>
        <w:tc>
          <w:tcPr>
            <w:tcW w:w="1725" w:type="dxa"/>
          </w:tcPr>
          <w:p w14:paraId="2D2B086B" w14:textId="03C20D0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320942FD"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31D8CD02" w14:textId="4C913A48"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50BBEA38" w14:textId="2C26263F"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159C7FD0" w14:textId="731FFC0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2F154D0E" w14:textId="16AA16DA"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en Gestión de Portales de Datos</w:t>
            </w:r>
          </w:p>
          <w:p w14:paraId="36AFDB88" w14:textId="64E62394"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I</w:t>
            </w:r>
            <w:r w:rsidRPr="00767699">
              <w:rPr>
                <w:rFonts w:eastAsia="Arial" w:cs="Arial"/>
                <w:color w:val="000000" w:themeColor="text1"/>
                <w:lang w:val="es"/>
              </w:rPr>
              <w:t>mplementar y poner en operación el sistema de gestión de contenidos de la plataforma tecnológica de la ICDE de conformidad con los lineamientos definidos. Servicios requeridos en el marco del Proyecto denominado “Programa para la adopción e implementación de un Catastro Multipropósito Urbano – Rural”</w:t>
            </w:r>
          </w:p>
        </w:tc>
        <w:tc>
          <w:tcPr>
            <w:tcW w:w="1725" w:type="dxa"/>
          </w:tcPr>
          <w:p w14:paraId="0843B49F" w14:textId="172DDEAF"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7E377EB4"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658F3023" w14:textId="6010A2CF"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387CCC6A" w14:textId="77226E0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0FE060B3" w14:textId="2D13B27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27F09E9" w14:textId="4923B02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en Políticas Públicas</w:t>
            </w:r>
          </w:p>
          <w:p w14:paraId="4BAA0814" w14:textId="185DF6EE"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w:t>
            </w:r>
            <w:r w:rsidRPr="00767699">
              <w:rPr>
                <w:rFonts w:eastAsia="Arial" w:cs="Arial"/>
                <w:color w:val="000000" w:themeColor="text1"/>
                <w:lang w:val="es"/>
              </w:rPr>
              <w:t>pera</w:t>
            </w:r>
            <w:r w:rsidRPr="00767699">
              <w:rPr>
                <w:rFonts w:eastAsia="Arial" w:cs="Arial"/>
                <w:color w:val="000000" w:themeColor="text1"/>
              </w:rPr>
              <w:t>r</w:t>
            </w:r>
            <w:r w:rsidRPr="00767699">
              <w:rPr>
                <w:rFonts w:eastAsia="Arial" w:cs="Arial"/>
                <w:color w:val="000000" w:themeColor="text1"/>
                <w:lang w:val="es"/>
              </w:rPr>
              <w:t xml:space="preserve"> el modelo de gobernanza de la ICDE como apoyo a la implementación de la política de catastro multipropósito. Servicios requeridos en el marco del Proyecto denominado “Programa para la adopción e implementación de un Catastro Multipropósito Urbano – Rural”</w:t>
            </w:r>
          </w:p>
        </w:tc>
        <w:tc>
          <w:tcPr>
            <w:tcW w:w="1725" w:type="dxa"/>
          </w:tcPr>
          <w:p w14:paraId="079C9CA5" w14:textId="7EA43AA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4E2F4C04"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0F53F520" w14:textId="7943E4DB"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218520D1" w14:textId="445CCE9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002BE49D" w14:textId="67B356A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622710E4" w14:textId="37DD10B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en Comunicación Social Periodismo</w:t>
            </w:r>
          </w:p>
          <w:p w14:paraId="4414FD71" w14:textId="4C3A95E9"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Implementar la estrategia de comunicación de la ICDE de conformidad con su marco de referencia y las recomendaciones del IGIF en línea con los objetivos de la política de catastro multipropósito.</w:t>
            </w:r>
          </w:p>
        </w:tc>
        <w:tc>
          <w:tcPr>
            <w:tcW w:w="1725" w:type="dxa"/>
          </w:tcPr>
          <w:p w14:paraId="13D75B42" w14:textId="0FE46D0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39CC8B14"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18592EE5" w14:textId="02C79E7D"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1</w:t>
            </w:r>
          </w:p>
        </w:tc>
        <w:tc>
          <w:tcPr>
            <w:tcW w:w="1560" w:type="dxa"/>
          </w:tcPr>
          <w:p w14:paraId="43F6BAFB" w14:textId="0CDDC9D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p w14:paraId="68598296" w14:textId="660F239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0C7FFF1" w14:textId="030FDA3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en Sistemas de Información Geográficos</w:t>
            </w:r>
          </w:p>
          <w:p w14:paraId="1A8AE6BB" w14:textId="55EE53BA"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Desarrollar las actividades de planeación estratégica para el fortalecimiento de la ICDE en el marco “programa para la adopción e implementación de un catastro multipropósito urbano –rural”</w:t>
            </w:r>
          </w:p>
        </w:tc>
        <w:tc>
          <w:tcPr>
            <w:tcW w:w="1725" w:type="dxa"/>
          </w:tcPr>
          <w:p w14:paraId="7A7FF4B2" w14:textId="094D248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ICDE</w:t>
            </w:r>
          </w:p>
        </w:tc>
      </w:tr>
      <w:tr w:rsidR="14B10D0C" w:rsidRPr="00767699" w14:paraId="4A20807B"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1DAC4685" w14:textId="631C8541"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EC6B242" w14:textId="766012C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Especializado</w:t>
            </w:r>
          </w:p>
          <w:p w14:paraId="6F34F252" w14:textId="6DD4840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FF639FE" w14:textId="69EA2CD0"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Líder de Soporte Infraestructura</w:t>
            </w:r>
          </w:p>
          <w:p w14:paraId="72EE33A6" w14:textId="29F3FDC8"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Gestión y Administración de Licenciamiento</w:t>
            </w:r>
          </w:p>
          <w:p w14:paraId="4E5CE2AA" w14:textId="2C101D52"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Administración del Directorio Activo</w:t>
            </w:r>
          </w:p>
          <w:p w14:paraId="595D466F" w14:textId="6D191646"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Apoyo a la elaboración de términos de referencia que incluye los estudios previos y documentos contractuales.</w:t>
            </w:r>
          </w:p>
          <w:p w14:paraId="045D1B4D" w14:textId="5607186E"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de Nivel 2 para las direcciones territoriales.</w:t>
            </w:r>
          </w:p>
          <w:p w14:paraId="67BB8F80" w14:textId="7BBE1CEA"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Asesoría y acompañamiento del subproceso de gestión de la infraestructura, prestando soporte y supervisión a los contratistas del área</w:t>
            </w:r>
          </w:p>
          <w:p w14:paraId="405BE861" w14:textId="43120BA9" w:rsidR="14B10D0C" w:rsidRPr="00767699" w:rsidRDefault="14B10D0C" w:rsidP="000A20EE">
            <w:pPr>
              <w:pStyle w:val="Prrafodelista"/>
              <w:numPr>
                <w:ilvl w:val="0"/>
                <w:numId w:val="159"/>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Monitoreo en la implementación de estrategias de infraestructura del IGAC.</w:t>
            </w:r>
          </w:p>
        </w:tc>
        <w:tc>
          <w:tcPr>
            <w:tcW w:w="1725" w:type="dxa"/>
          </w:tcPr>
          <w:p w14:paraId="0A1F11F2" w14:textId="28E11FE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3243DC83"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7E0FD49C" w14:textId="1D8AADCD"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3B7DD1C" w14:textId="45D8884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Especializado</w:t>
            </w:r>
          </w:p>
          <w:p w14:paraId="10250CD8" w14:textId="0CD9371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06369F1D" w14:textId="0D2965B7"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Soporte Migración de COBOL al SNC</w:t>
            </w:r>
          </w:p>
          <w:p w14:paraId="0058ED14" w14:textId="34AEC83C" w:rsidR="14B10D0C" w:rsidRPr="00767699" w:rsidRDefault="14B10D0C" w:rsidP="000A20EE">
            <w:pPr>
              <w:pStyle w:val="Prrafodelista"/>
              <w:numPr>
                <w:ilvl w:val="0"/>
                <w:numId w:val="15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Lidera la migración de COBOL al Sistema Nacional Catastral.</w:t>
            </w:r>
          </w:p>
          <w:p w14:paraId="5BBE8EE7" w14:textId="5B77B10B" w:rsidR="14B10D0C" w:rsidRPr="00767699" w:rsidRDefault="14B10D0C" w:rsidP="000A20EE">
            <w:pPr>
              <w:pStyle w:val="Prrafodelista"/>
              <w:numPr>
                <w:ilvl w:val="0"/>
                <w:numId w:val="15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Administrar y custodiar las Bases de Datos de Cobol</w:t>
            </w:r>
          </w:p>
          <w:p w14:paraId="45C08A62" w14:textId="18C3555D" w:rsidR="14B10D0C" w:rsidRPr="00767699" w:rsidRDefault="14B10D0C" w:rsidP="000A20EE">
            <w:pPr>
              <w:pStyle w:val="Prrafodelista"/>
              <w:numPr>
                <w:ilvl w:val="0"/>
                <w:numId w:val="15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Apoya los procesos de evaluación de contratación</w:t>
            </w:r>
          </w:p>
          <w:p w14:paraId="7207494B" w14:textId="06BD502D" w:rsidR="14B10D0C" w:rsidRPr="00767699" w:rsidRDefault="14B10D0C" w:rsidP="000A20EE">
            <w:pPr>
              <w:pStyle w:val="Prrafodelista"/>
              <w:numPr>
                <w:ilvl w:val="0"/>
                <w:numId w:val="158"/>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Supervisión de contratos</w:t>
            </w:r>
          </w:p>
        </w:tc>
        <w:tc>
          <w:tcPr>
            <w:tcW w:w="1725" w:type="dxa"/>
          </w:tcPr>
          <w:p w14:paraId="159EA7C6" w14:textId="275CCCA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23ACF8B8"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74141992" w14:textId="1B911C4C"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4F6C9752" w14:textId="38BD92C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Especializado</w:t>
            </w:r>
          </w:p>
          <w:p w14:paraId="18628D92" w14:textId="04242D1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02AC8A07" w14:textId="10F7D005"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SIGAC</w:t>
            </w:r>
          </w:p>
          <w:p w14:paraId="2B886152" w14:textId="7290F5C7" w:rsidR="14B10D0C" w:rsidRPr="00767699" w:rsidRDefault="14B10D0C" w:rsidP="000A20EE">
            <w:pPr>
              <w:pStyle w:val="Prrafodelista"/>
              <w:numPr>
                <w:ilvl w:val="0"/>
                <w:numId w:val="15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Actividades de administración, mantenimiento y soporte al sistema de información SIGAC el cual presta el soporte a toda la gestión documental del IGAC, por otro lado, presta el apoyo en la supervisión de contratos.</w:t>
            </w:r>
          </w:p>
        </w:tc>
        <w:tc>
          <w:tcPr>
            <w:tcW w:w="1725" w:type="dxa"/>
          </w:tcPr>
          <w:p w14:paraId="5FE799F6" w14:textId="327169F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363D3750"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2D52ABF4" w14:textId="085FEC0A"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E57B417" w14:textId="1550FC5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Universitario</w:t>
            </w:r>
          </w:p>
          <w:p w14:paraId="6F5526EE" w14:textId="7AE20E10" w:rsidR="14B10D0C" w:rsidRPr="00767699" w:rsidRDefault="14B10D0C" w:rsidP="00C72779">
            <w:pPr>
              <w:tabs>
                <w:tab w:val="right" w:pos="2887"/>
              </w:tabs>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1B0DBC95" w14:textId="64DE2982"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Directorio Activo - Correos Electrónicos:</w:t>
            </w:r>
          </w:p>
          <w:p w14:paraId="59592EF9" w14:textId="4D4265B0" w:rsidR="14B10D0C" w:rsidRPr="00767699" w:rsidRDefault="14B10D0C" w:rsidP="000A20EE">
            <w:pPr>
              <w:pStyle w:val="Prrafodelista"/>
              <w:numPr>
                <w:ilvl w:val="0"/>
                <w:numId w:val="15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Actividades de Administración y mantenimiento del Directorio Activo con el cual se asigna un rol de usuario y una contraseña para que todos los usuarios autorizados por un líder de proceso para acceder a los recursos de infraestructura tecnológica que provee el IGA, por otro lado, así mismo hace la administración, gestión y custodia de la plataforma de office 365 de correos electrónicos.</w:t>
            </w:r>
          </w:p>
          <w:p w14:paraId="4C039C4B" w14:textId="51A2D7A6" w:rsidR="14B10D0C" w:rsidRPr="00767699" w:rsidRDefault="14B10D0C" w:rsidP="000A20EE">
            <w:pPr>
              <w:pStyle w:val="Prrafodelista"/>
              <w:numPr>
                <w:ilvl w:val="0"/>
                <w:numId w:val="15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Ejecuta backups de correo electrónicos</w:t>
            </w:r>
          </w:p>
          <w:p w14:paraId="297952AF" w14:textId="68AC0CB0" w:rsidR="14B10D0C" w:rsidRPr="00767699" w:rsidRDefault="14B10D0C" w:rsidP="000A20EE">
            <w:pPr>
              <w:pStyle w:val="Prrafodelista"/>
              <w:numPr>
                <w:ilvl w:val="0"/>
                <w:numId w:val="15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Coadministra la licencia de office 365 (Correo y herramientas colaborativas).</w:t>
            </w:r>
          </w:p>
          <w:p w14:paraId="23E54A80" w14:textId="14AABE52" w:rsidR="14B10D0C" w:rsidRPr="00767699" w:rsidRDefault="14B10D0C" w:rsidP="000A20EE">
            <w:pPr>
              <w:pStyle w:val="Prrafodelista"/>
              <w:numPr>
                <w:ilvl w:val="0"/>
                <w:numId w:val="15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Apoyo en la elaboración de términos de referencia</w:t>
            </w:r>
          </w:p>
          <w:p w14:paraId="10842A83" w14:textId="0743DDBE"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p>
        </w:tc>
        <w:tc>
          <w:tcPr>
            <w:tcW w:w="1725" w:type="dxa"/>
          </w:tcPr>
          <w:p w14:paraId="355C7EE8" w14:textId="239E8D2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2E25EF78" w14:textId="77777777" w:rsidTr="31FF9146">
        <w:trPr>
          <w:trHeight w:val="720"/>
        </w:trPr>
        <w:tc>
          <w:tcPr>
            <w:cnfStyle w:val="001000000000" w:firstRow="0" w:lastRow="0" w:firstColumn="1" w:lastColumn="0" w:oddVBand="0" w:evenVBand="0" w:oddHBand="0" w:evenHBand="0" w:firstRowFirstColumn="0" w:firstRowLastColumn="0" w:lastRowFirstColumn="0" w:lastRowLastColumn="0"/>
            <w:tcW w:w="709" w:type="dxa"/>
          </w:tcPr>
          <w:p w14:paraId="54A3467D" w14:textId="28AF3119"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6D21721" w14:textId="0434076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Profesional Universitario</w:t>
            </w:r>
          </w:p>
          <w:p w14:paraId="53E4F172" w14:textId="519E7C7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08384D8D" w14:textId="65D85C6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 Servicios de Conectividad</w:t>
            </w:r>
          </w:p>
          <w:p w14:paraId="35C6DC8B" w14:textId="095923B1" w:rsidR="14B10D0C" w:rsidRPr="00767699" w:rsidRDefault="14B10D0C" w:rsidP="000A20EE">
            <w:pPr>
              <w:pStyle w:val="Prrafodelista"/>
              <w:numPr>
                <w:ilvl w:val="0"/>
                <w:numId w:val="156"/>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Actividades de administración, monitoreo y custodia de las redes de tecnología que soportan al IGAC de la sede central y el acompañamiento y dirección a las direcciones territoriales.</w:t>
            </w:r>
          </w:p>
          <w:p w14:paraId="4182A84B" w14:textId="4819D525" w:rsidR="14B10D0C" w:rsidRPr="00767699" w:rsidRDefault="14B10D0C" w:rsidP="000A20EE">
            <w:pPr>
              <w:pStyle w:val="Prrafodelista"/>
              <w:numPr>
                <w:ilvl w:val="0"/>
                <w:numId w:val="156"/>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Apoyo en la elaboración de términos de referencia</w:t>
            </w:r>
          </w:p>
        </w:tc>
        <w:tc>
          <w:tcPr>
            <w:tcW w:w="1725" w:type="dxa"/>
          </w:tcPr>
          <w:p w14:paraId="7B04867C" w14:textId="13A8237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720AB7D4" w14:textId="77777777" w:rsidTr="31FF9146">
        <w:trPr>
          <w:trHeight w:val="180"/>
        </w:trPr>
        <w:tc>
          <w:tcPr>
            <w:cnfStyle w:val="001000000000" w:firstRow="0" w:lastRow="0" w:firstColumn="1" w:lastColumn="0" w:oddVBand="0" w:evenVBand="0" w:oddHBand="0" w:evenHBand="0" w:firstRowFirstColumn="0" w:firstRowLastColumn="0" w:lastRowFirstColumn="0" w:lastRowLastColumn="0"/>
            <w:tcW w:w="709" w:type="dxa"/>
          </w:tcPr>
          <w:p w14:paraId="424C7AD2" w14:textId="3304A679"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2EB63ADA" w14:textId="6F17D41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Técnico Operativo</w:t>
            </w:r>
          </w:p>
          <w:p w14:paraId="28B1E5AE" w14:textId="2212C63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FBC19D0" w14:textId="701520C2"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del Datacenter</w:t>
            </w:r>
          </w:p>
          <w:p w14:paraId="2D148691" w14:textId="2ECC37E9" w:rsidR="14B10D0C" w:rsidRPr="00767699" w:rsidRDefault="14B10D0C" w:rsidP="000A20EE">
            <w:pPr>
              <w:pStyle w:val="Prrafodelista"/>
              <w:numPr>
                <w:ilvl w:val="0"/>
                <w:numId w:val="155"/>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lastRenderedPageBreak/>
              <w:t>Actividades de monitoreo, custodia y preservación de las capacidades y funcionamiento de todos los componentes del Datacenter</w:t>
            </w:r>
          </w:p>
          <w:p w14:paraId="5A1992FF" w14:textId="35636771" w:rsidR="14B10D0C" w:rsidRPr="00767699" w:rsidRDefault="14B10D0C" w:rsidP="000A20EE">
            <w:pPr>
              <w:pStyle w:val="Prrafodelista"/>
              <w:numPr>
                <w:ilvl w:val="0"/>
                <w:numId w:val="155"/>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Supervisión de los contratos que realizan el mantenimiento al Datacenter.</w:t>
            </w:r>
          </w:p>
          <w:p w14:paraId="581FBB8A" w14:textId="5EC1EE9E" w:rsidR="14B10D0C" w:rsidRPr="00767699" w:rsidRDefault="14B10D0C" w:rsidP="000A20EE">
            <w:pPr>
              <w:pStyle w:val="Prrafodelista"/>
              <w:numPr>
                <w:ilvl w:val="0"/>
                <w:numId w:val="155"/>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Seguimiento a la funcionalidad exitosa de la infraestructura tecnológica.</w:t>
            </w:r>
          </w:p>
          <w:p w14:paraId="40CC0E6A" w14:textId="5839593C"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Administra el control de acceso del Datacenter.</w:t>
            </w:r>
          </w:p>
        </w:tc>
        <w:tc>
          <w:tcPr>
            <w:tcW w:w="1725" w:type="dxa"/>
          </w:tcPr>
          <w:p w14:paraId="5258EBE1" w14:textId="114AC0F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lastRenderedPageBreak/>
              <w:t>Gestión de la Infraestructura</w:t>
            </w:r>
          </w:p>
        </w:tc>
      </w:tr>
      <w:tr w:rsidR="14B10D0C" w:rsidRPr="00767699" w14:paraId="2B6063EF" w14:textId="77777777" w:rsidTr="31FF9146">
        <w:trPr>
          <w:trHeight w:val="180"/>
        </w:trPr>
        <w:tc>
          <w:tcPr>
            <w:cnfStyle w:val="001000000000" w:firstRow="0" w:lastRow="0" w:firstColumn="1" w:lastColumn="0" w:oddVBand="0" w:evenVBand="0" w:oddHBand="0" w:evenHBand="0" w:firstRowFirstColumn="0" w:firstRowLastColumn="0" w:lastRowFirstColumn="0" w:lastRowLastColumn="0"/>
            <w:tcW w:w="709" w:type="dxa"/>
          </w:tcPr>
          <w:p w14:paraId="2F5D3ABA" w14:textId="59EDA218"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1</w:t>
            </w:r>
          </w:p>
        </w:tc>
        <w:tc>
          <w:tcPr>
            <w:tcW w:w="1560" w:type="dxa"/>
          </w:tcPr>
          <w:p w14:paraId="46EB2251" w14:textId="24E01F4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Secretario Ejecutivo</w:t>
            </w:r>
          </w:p>
          <w:p w14:paraId="765779CB" w14:textId="454AA9F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4648528" w14:textId="69AE4A1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Secretaria</w:t>
            </w:r>
          </w:p>
          <w:p w14:paraId="44F344D6" w14:textId="49F31291"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Asistencia administrativa y logística conforme a las necesidades y prioridades de la dependencia, de acuerdo con procedimientos establecidos.</w:t>
            </w:r>
          </w:p>
        </w:tc>
        <w:tc>
          <w:tcPr>
            <w:tcW w:w="1725" w:type="dxa"/>
          </w:tcPr>
          <w:p w14:paraId="676CB68B" w14:textId="17C3EBE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502AE312" w14:textId="77777777" w:rsidTr="31FF9146">
        <w:trPr>
          <w:trHeight w:val="330"/>
        </w:trPr>
        <w:tc>
          <w:tcPr>
            <w:cnfStyle w:val="001000000000" w:firstRow="0" w:lastRow="0" w:firstColumn="1" w:lastColumn="0" w:oddVBand="0" w:evenVBand="0" w:oddHBand="0" w:evenHBand="0" w:firstRowFirstColumn="0" w:firstRowLastColumn="0" w:lastRowFirstColumn="0" w:lastRowLastColumn="0"/>
            <w:tcW w:w="709" w:type="dxa"/>
          </w:tcPr>
          <w:p w14:paraId="122404D0" w14:textId="62BE2096"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243D5288" w14:textId="3746218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Contratistas - Profesional Especializado</w:t>
            </w:r>
          </w:p>
        </w:tc>
        <w:tc>
          <w:tcPr>
            <w:tcW w:w="5787" w:type="dxa"/>
          </w:tcPr>
          <w:p w14:paraId="4A50DF08" w14:textId="2FF53582"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 Plataforma de TI – Seguridad</w:t>
            </w:r>
          </w:p>
          <w:p w14:paraId="7A910301" w14:textId="46301A6A" w:rsidR="14B10D0C" w:rsidRPr="00767699" w:rsidRDefault="14B10D0C" w:rsidP="000A20EE">
            <w:pPr>
              <w:pStyle w:val="Prrafodelista"/>
              <w:numPr>
                <w:ilvl w:val="0"/>
                <w:numId w:val="15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 gestiona e implementa controles que permiten salvaguardar la seguridad informática y Perimetral de los sistemas de información del IGAC, así como los dispositivos de red.</w:t>
            </w:r>
          </w:p>
        </w:tc>
        <w:tc>
          <w:tcPr>
            <w:tcW w:w="1725" w:type="dxa"/>
          </w:tcPr>
          <w:p w14:paraId="57619529" w14:textId="1BD3D00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2D3D3CAD" w14:textId="77777777" w:rsidTr="31FF9146">
        <w:trPr>
          <w:trHeight w:val="555"/>
        </w:trPr>
        <w:tc>
          <w:tcPr>
            <w:cnfStyle w:val="001000000000" w:firstRow="0" w:lastRow="0" w:firstColumn="1" w:lastColumn="0" w:oddVBand="0" w:evenVBand="0" w:oddHBand="0" w:evenHBand="0" w:firstRowFirstColumn="0" w:firstRowLastColumn="0" w:lastRowFirstColumn="0" w:lastRowLastColumn="0"/>
            <w:tcW w:w="709" w:type="dxa"/>
          </w:tcPr>
          <w:p w14:paraId="36CA247B" w14:textId="6F9D803E"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01B29681" w14:textId="6C1EAC5F"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Contratistas - Profesional Especializado</w:t>
            </w:r>
          </w:p>
        </w:tc>
        <w:tc>
          <w:tcPr>
            <w:tcW w:w="5787" w:type="dxa"/>
          </w:tcPr>
          <w:p w14:paraId="489302F5" w14:textId="6F2BEBA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Líder de seguridad – Redes</w:t>
            </w:r>
          </w:p>
          <w:p w14:paraId="2DD1D074" w14:textId="143C1016" w:rsidR="14B10D0C" w:rsidRPr="00767699" w:rsidRDefault="14B10D0C" w:rsidP="000A20EE">
            <w:pPr>
              <w:pStyle w:val="Prrafodelista"/>
              <w:numPr>
                <w:ilvl w:val="0"/>
                <w:numId w:val="15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Orientar y realizar la gestión de la infraestructura tecnológica y seguridad informática que soportan los sistemas de la Entidad.</w:t>
            </w:r>
          </w:p>
        </w:tc>
        <w:tc>
          <w:tcPr>
            <w:tcW w:w="1725" w:type="dxa"/>
          </w:tcPr>
          <w:p w14:paraId="5FC8B7D0" w14:textId="192C011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49B03369" w14:textId="77777777" w:rsidTr="31FF9146">
        <w:trPr>
          <w:trHeight w:val="555"/>
        </w:trPr>
        <w:tc>
          <w:tcPr>
            <w:cnfStyle w:val="001000000000" w:firstRow="0" w:lastRow="0" w:firstColumn="1" w:lastColumn="0" w:oddVBand="0" w:evenVBand="0" w:oddHBand="0" w:evenHBand="0" w:firstRowFirstColumn="0" w:firstRowLastColumn="0" w:lastRowFirstColumn="0" w:lastRowLastColumn="0"/>
            <w:tcW w:w="709" w:type="dxa"/>
          </w:tcPr>
          <w:p w14:paraId="35712780" w14:textId="3B9413AA"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00B956A0" w14:textId="4E18EC9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Contratistas- Profesional Especializado</w:t>
            </w:r>
          </w:p>
        </w:tc>
        <w:tc>
          <w:tcPr>
            <w:tcW w:w="5787" w:type="dxa"/>
          </w:tcPr>
          <w:p w14:paraId="1D173377" w14:textId="16CDD42C"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Oficial de Seguridad de la Información</w:t>
            </w:r>
          </w:p>
          <w:p w14:paraId="73F6BA18" w14:textId="6D61C4BB" w:rsidR="14B10D0C" w:rsidRPr="00767699" w:rsidRDefault="14B10D0C" w:rsidP="000A20EE">
            <w:pPr>
              <w:pStyle w:val="Prrafodelista"/>
              <w:numPr>
                <w:ilvl w:val="0"/>
                <w:numId w:val="15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Liderar la implementación del modelo de seguridad y privacidad de la información el cual se soporta en el sistema de gestión de seguridad de la información y el sistema de gestión integrado, el cual es orientado a la protección y seguridad de la identificación de activos de información y gestión de riesgos de seguridad digital.</w:t>
            </w:r>
          </w:p>
        </w:tc>
        <w:tc>
          <w:tcPr>
            <w:tcW w:w="1725" w:type="dxa"/>
          </w:tcPr>
          <w:p w14:paraId="47F831B4" w14:textId="632C02E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6BE1AC1F" w14:textId="77777777" w:rsidTr="31FF9146">
        <w:trPr>
          <w:trHeight w:val="285"/>
        </w:trPr>
        <w:tc>
          <w:tcPr>
            <w:cnfStyle w:val="001000000000" w:firstRow="0" w:lastRow="0" w:firstColumn="1" w:lastColumn="0" w:oddVBand="0" w:evenVBand="0" w:oddHBand="0" w:evenHBand="0" w:firstRowFirstColumn="0" w:firstRowLastColumn="0" w:lastRowFirstColumn="0" w:lastRowLastColumn="0"/>
            <w:tcW w:w="709" w:type="dxa"/>
          </w:tcPr>
          <w:p w14:paraId="607D8EE1" w14:textId="573AD7B5"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27C18F7E" w14:textId="0C07562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tc>
        <w:tc>
          <w:tcPr>
            <w:tcW w:w="5787" w:type="dxa"/>
          </w:tcPr>
          <w:p w14:paraId="1557C82D" w14:textId="288E9A9F"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 Base de Datos</w:t>
            </w:r>
          </w:p>
          <w:p w14:paraId="7F3E2F54" w14:textId="03DA3D4F"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Administrar, gestionar, mantener y monitorear la infraestructura tecnológica que soporta la plataforma de inteligencia de negocios y bases de datos de la Entidad.</w:t>
            </w:r>
          </w:p>
        </w:tc>
        <w:tc>
          <w:tcPr>
            <w:tcW w:w="1725" w:type="dxa"/>
          </w:tcPr>
          <w:p w14:paraId="022FEB7E" w14:textId="3D8BF17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185B2974" w14:textId="77777777" w:rsidTr="31FF9146">
        <w:trPr>
          <w:trHeight w:val="360"/>
        </w:trPr>
        <w:tc>
          <w:tcPr>
            <w:cnfStyle w:val="001000000000" w:firstRow="0" w:lastRow="0" w:firstColumn="1" w:lastColumn="0" w:oddVBand="0" w:evenVBand="0" w:oddHBand="0" w:evenHBand="0" w:firstRowFirstColumn="0" w:firstRowLastColumn="0" w:lastRowFirstColumn="0" w:lastRowLastColumn="0"/>
            <w:tcW w:w="709" w:type="dxa"/>
          </w:tcPr>
          <w:p w14:paraId="02CA0C60" w14:textId="19EB73AB"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1B69A42B" w14:textId="564EA25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44F410D2" w14:textId="0F51D7F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4FA6830D" w14:textId="5BA31BB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 Servidores Linux</w:t>
            </w:r>
          </w:p>
          <w:p w14:paraId="4EDD0D6D" w14:textId="34500018"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Custodiar, administrar, soportar y monitorear las plataformas basadas en software libre adoptadas por la Entidad, las cuales soportan los sistemas de información misionales del IGAC.</w:t>
            </w:r>
          </w:p>
        </w:tc>
        <w:tc>
          <w:tcPr>
            <w:tcW w:w="1725" w:type="dxa"/>
          </w:tcPr>
          <w:p w14:paraId="52F0E968" w14:textId="4312550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53BD8340" w14:textId="77777777" w:rsidTr="31FF9146">
        <w:trPr>
          <w:trHeight w:val="300"/>
        </w:trPr>
        <w:tc>
          <w:tcPr>
            <w:cnfStyle w:val="001000000000" w:firstRow="0" w:lastRow="0" w:firstColumn="1" w:lastColumn="0" w:oddVBand="0" w:evenVBand="0" w:oddHBand="0" w:evenHBand="0" w:firstRowFirstColumn="0" w:firstRowLastColumn="0" w:lastRowFirstColumn="0" w:lastRowLastColumn="0"/>
            <w:tcW w:w="709" w:type="dxa"/>
          </w:tcPr>
          <w:p w14:paraId="379E0355" w14:textId="32F00BD1"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547F48F3" w14:textId="5D6A910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tc>
        <w:tc>
          <w:tcPr>
            <w:tcW w:w="5787" w:type="dxa"/>
          </w:tcPr>
          <w:p w14:paraId="2B8A408A" w14:textId="3CABAEC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de Antivirus y Respaldo</w:t>
            </w:r>
          </w:p>
          <w:p w14:paraId="0C932B82" w14:textId="3F6F80C7"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Gestionar, administrar y operar la infraestructura tecnológica de las plataformas Windows, virtualización y almacenamiento de la Entidad.</w:t>
            </w:r>
          </w:p>
        </w:tc>
        <w:tc>
          <w:tcPr>
            <w:tcW w:w="1725" w:type="dxa"/>
          </w:tcPr>
          <w:p w14:paraId="66054AA5" w14:textId="03D90FF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0053B398" w14:textId="77777777" w:rsidTr="31FF9146">
        <w:trPr>
          <w:trHeight w:val="450"/>
        </w:trPr>
        <w:tc>
          <w:tcPr>
            <w:cnfStyle w:val="001000000000" w:firstRow="0" w:lastRow="0" w:firstColumn="1" w:lastColumn="0" w:oddVBand="0" w:evenVBand="0" w:oddHBand="0" w:evenHBand="0" w:firstRowFirstColumn="0" w:firstRowLastColumn="0" w:lastRowFirstColumn="0" w:lastRowLastColumn="0"/>
            <w:tcW w:w="709" w:type="dxa"/>
          </w:tcPr>
          <w:p w14:paraId="55756E9C" w14:textId="57528289"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4E784624" w14:textId="69C0B77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tc>
        <w:tc>
          <w:tcPr>
            <w:tcW w:w="5787" w:type="dxa"/>
          </w:tcPr>
          <w:p w14:paraId="67AAF155" w14:textId="2482E8D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Líder de Soporte Eléctrico</w:t>
            </w:r>
          </w:p>
          <w:p w14:paraId="2FD75891" w14:textId="551F2824"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Administrar y monitorear la red regulada y el cableado estructurado de la Entidad en la sede central y las direcciones territoriales en compañía de los ingenieros territoriales.</w:t>
            </w:r>
          </w:p>
        </w:tc>
        <w:tc>
          <w:tcPr>
            <w:tcW w:w="1725" w:type="dxa"/>
          </w:tcPr>
          <w:p w14:paraId="337AB4CA" w14:textId="71C4981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2F8044F9" w14:textId="77777777" w:rsidTr="31FF9146">
        <w:trPr>
          <w:trHeight w:val="390"/>
        </w:trPr>
        <w:tc>
          <w:tcPr>
            <w:cnfStyle w:val="001000000000" w:firstRow="0" w:lastRow="0" w:firstColumn="1" w:lastColumn="0" w:oddVBand="0" w:evenVBand="0" w:oddHBand="0" w:evenHBand="0" w:firstRowFirstColumn="0" w:firstRowLastColumn="0" w:lastRowFirstColumn="0" w:lastRowLastColumn="0"/>
            <w:tcW w:w="709" w:type="dxa"/>
          </w:tcPr>
          <w:p w14:paraId="3B7E9D18" w14:textId="69B848D8"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482D75A" w14:textId="7C3DAEC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2F9B1D7C" w14:textId="0BEED82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48189A83" w14:textId="26FE6B29"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Técnico en Soporte eléctrico</w:t>
            </w:r>
          </w:p>
          <w:p w14:paraId="09B33006" w14:textId="11A29C8D"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Mantenimiento y operación de la red regulada y el cableado estructurado de la Entidad en la sede central y en las direcciones territoriales.</w:t>
            </w:r>
          </w:p>
        </w:tc>
        <w:tc>
          <w:tcPr>
            <w:tcW w:w="1725" w:type="dxa"/>
          </w:tcPr>
          <w:p w14:paraId="7AA92E84" w14:textId="2B0B71D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5C636AE7" w14:textId="77777777" w:rsidTr="31FF9146">
        <w:trPr>
          <w:trHeight w:val="330"/>
        </w:trPr>
        <w:tc>
          <w:tcPr>
            <w:cnfStyle w:val="001000000000" w:firstRow="0" w:lastRow="0" w:firstColumn="1" w:lastColumn="0" w:oddVBand="0" w:evenVBand="0" w:oddHBand="0" w:evenHBand="0" w:firstRowFirstColumn="0" w:firstRowLastColumn="0" w:lastRowFirstColumn="0" w:lastRowLastColumn="0"/>
            <w:tcW w:w="709" w:type="dxa"/>
          </w:tcPr>
          <w:p w14:paraId="43EAE2BA" w14:textId="0097165D"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04CB2627" w14:textId="0FD5EBE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4E3E0A89" w14:textId="5F157AC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lastRenderedPageBreak/>
              <w:t>Universitario</w:t>
            </w:r>
          </w:p>
        </w:tc>
        <w:tc>
          <w:tcPr>
            <w:tcW w:w="5787" w:type="dxa"/>
          </w:tcPr>
          <w:p w14:paraId="7058AB6E" w14:textId="0D7C732E"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lastRenderedPageBreak/>
              <w:t>Administrador de la gestión de la capacidad de la plataforma de TI</w:t>
            </w:r>
          </w:p>
          <w:p w14:paraId="16F1AA8F" w14:textId="31CD7CF9"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lastRenderedPageBreak/>
              <w:t>Operación, soporte, mantenimiento y monitoreo a las plataformas tecnológicas que soportan los sistemas de información de la Entidad en conjunto con las aplicaciones que soportan los aplicativos operativos de la Entidad.</w:t>
            </w:r>
          </w:p>
        </w:tc>
        <w:tc>
          <w:tcPr>
            <w:tcW w:w="1725" w:type="dxa"/>
          </w:tcPr>
          <w:p w14:paraId="597F8315" w14:textId="241275A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lastRenderedPageBreak/>
              <w:t>Gestión de la Infraestructura</w:t>
            </w:r>
          </w:p>
        </w:tc>
      </w:tr>
      <w:tr w:rsidR="14B10D0C" w:rsidRPr="00767699" w14:paraId="5DE0D35C" w14:textId="77777777" w:rsidTr="31FF9146">
        <w:trPr>
          <w:trHeight w:val="585"/>
        </w:trPr>
        <w:tc>
          <w:tcPr>
            <w:cnfStyle w:val="001000000000" w:firstRow="0" w:lastRow="0" w:firstColumn="1" w:lastColumn="0" w:oddVBand="0" w:evenVBand="0" w:oddHBand="0" w:evenHBand="0" w:firstRowFirstColumn="0" w:firstRowLastColumn="0" w:lastRowFirstColumn="0" w:lastRowLastColumn="0"/>
            <w:tcW w:w="709" w:type="dxa"/>
          </w:tcPr>
          <w:p w14:paraId="07F65846" w14:textId="46ABC22D"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1</w:t>
            </w:r>
          </w:p>
        </w:tc>
        <w:tc>
          <w:tcPr>
            <w:tcW w:w="1560" w:type="dxa"/>
          </w:tcPr>
          <w:p w14:paraId="11D7DF60" w14:textId="0A40D5E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Contratista-Técnico</w:t>
            </w:r>
          </w:p>
        </w:tc>
        <w:tc>
          <w:tcPr>
            <w:tcW w:w="5787" w:type="dxa"/>
          </w:tcPr>
          <w:p w14:paraId="6BC73C0F" w14:textId="45EF20A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Administrador Herramienta ESRI  (ArcGis)</w:t>
            </w:r>
          </w:p>
          <w:p w14:paraId="4303F516" w14:textId="3E403812"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y monitoreo a la infraestructura tecnológica donde se alojan los servicios web e interoperabilidad de la Entidad.</w:t>
            </w:r>
          </w:p>
        </w:tc>
        <w:tc>
          <w:tcPr>
            <w:tcW w:w="1725" w:type="dxa"/>
          </w:tcPr>
          <w:p w14:paraId="66F6255D" w14:textId="593A2D8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5D1676B9" w14:textId="77777777" w:rsidTr="31FF9146">
        <w:trPr>
          <w:trHeight w:val="570"/>
        </w:trPr>
        <w:tc>
          <w:tcPr>
            <w:cnfStyle w:val="001000000000" w:firstRow="0" w:lastRow="0" w:firstColumn="1" w:lastColumn="0" w:oddVBand="0" w:evenVBand="0" w:oddHBand="0" w:evenHBand="0" w:firstRowFirstColumn="0" w:firstRowLastColumn="0" w:lastRowFirstColumn="0" w:lastRowLastColumn="0"/>
            <w:tcW w:w="709" w:type="dxa"/>
          </w:tcPr>
          <w:p w14:paraId="73659E42" w14:textId="12B99647"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0F503A1C" w14:textId="54A310B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4C14C8CB" w14:textId="7014A8F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6801E942" w14:textId="573236BA"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Líder de la Mesa de Servicios de TI</w:t>
            </w:r>
          </w:p>
          <w:p w14:paraId="31AE1440" w14:textId="1660E679"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Gestiona, orientar y asignar las actividades de soporte técnico, atención en sitio y ejecución de mantenimientos preventivos y correctivos sobre la plataforma de la mesa de servicios de TI.</w:t>
            </w:r>
          </w:p>
        </w:tc>
        <w:tc>
          <w:tcPr>
            <w:tcW w:w="1725" w:type="dxa"/>
          </w:tcPr>
          <w:p w14:paraId="154E6D95" w14:textId="49F38BD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30700261" w14:textId="77777777" w:rsidTr="31FF9146">
        <w:trPr>
          <w:trHeight w:val="495"/>
        </w:trPr>
        <w:tc>
          <w:tcPr>
            <w:cnfStyle w:val="001000000000" w:firstRow="0" w:lastRow="0" w:firstColumn="1" w:lastColumn="0" w:oddVBand="0" w:evenVBand="0" w:oddHBand="0" w:evenHBand="0" w:firstRowFirstColumn="0" w:firstRowLastColumn="0" w:lastRowFirstColumn="0" w:lastRowLastColumn="0"/>
            <w:tcW w:w="709" w:type="dxa"/>
          </w:tcPr>
          <w:p w14:paraId="11A150AE" w14:textId="6F035D1F" w:rsidR="14B10D0C" w:rsidRPr="00767699" w:rsidRDefault="14B10D0C" w:rsidP="00C72779">
            <w:pPr>
              <w:jc w:val="center"/>
              <w:rPr>
                <w:sz w:val="20"/>
                <w:szCs w:val="20"/>
              </w:rPr>
            </w:pPr>
            <w:r w:rsidRPr="00767699">
              <w:rPr>
                <w:rFonts w:eastAsia="Arial" w:cs="Arial"/>
                <w:color w:val="000000" w:themeColor="text1"/>
                <w:sz w:val="20"/>
                <w:szCs w:val="20"/>
                <w:lang w:val="es"/>
              </w:rPr>
              <w:t>7</w:t>
            </w:r>
          </w:p>
        </w:tc>
        <w:tc>
          <w:tcPr>
            <w:tcW w:w="1560" w:type="dxa"/>
          </w:tcPr>
          <w:p w14:paraId="18F40153" w14:textId="442A033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Contratista-Técnico</w:t>
            </w:r>
          </w:p>
        </w:tc>
        <w:tc>
          <w:tcPr>
            <w:tcW w:w="5787" w:type="dxa"/>
          </w:tcPr>
          <w:p w14:paraId="22B37309" w14:textId="15EF194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Técnico en Soporte a la Mesa de Servicios de TI</w:t>
            </w:r>
          </w:p>
          <w:p w14:paraId="782F2CB9" w14:textId="36C172B4"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Técnicos expertos en la atención de los casos asociados a la mesa de servicios de TI, tales como soporte en sitio y mantenimiento de equipos.</w:t>
            </w:r>
          </w:p>
        </w:tc>
        <w:tc>
          <w:tcPr>
            <w:tcW w:w="1725" w:type="dxa"/>
          </w:tcPr>
          <w:p w14:paraId="4C257071" w14:textId="76D9296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Gestión de la Infraestructura</w:t>
            </w:r>
          </w:p>
        </w:tc>
      </w:tr>
      <w:tr w:rsidR="14B10D0C" w:rsidRPr="00767699" w14:paraId="05E8D3D2"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248C2CA7" w14:textId="7D4F32B0"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1A515B94" w14:textId="6AFEADB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Profesional Especializado</w:t>
            </w:r>
          </w:p>
        </w:tc>
        <w:tc>
          <w:tcPr>
            <w:tcW w:w="5787" w:type="dxa"/>
          </w:tcPr>
          <w:p w14:paraId="336C4997" w14:textId="6861D96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Coordinador Líder de Gestión de Proyectos Informáticos</w:t>
            </w:r>
          </w:p>
          <w:p w14:paraId="6549866E" w14:textId="2150220F"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Gestionar la planeación para el análisis, diseño, construcción, pruebas y puesta en operación de los sistemas de información a ser desarrollados y/o modificados, según los estándares definidos por la Entidad bajo los procedimientos y normatividad establecida.</w:t>
            </w:r>
          </w:p>
        </w:tc>
        <w:tc>
          <w:tcPr>
            <w:tcW w:w="1725" w:type="dxa"/>
          </w:tcPr>
          <w:p w14:paraId="17D0EEB1" w14:textId="7F7FF97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38EA581B"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61154FF5" w14:textId="5CA79ACF"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211D724D" w14:textId="05A589C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Profesional Especializado</w:t>
            </w:r>
          </w:p>
        </w:tc>
        <w:tc>
          <w:tcPr>
            <w:tcW w:w="5787" w:type="dxa"/>
          </w:tcPr>
          <w:p w14:paraId="2B024F5A" w14:textId="5387A3F9"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Coordinador Líder de Construcción de Proyectos Informáticos</w:t>
            </w:r>
          </w:p>
          <w:p w14:paraId="74502813" w14:textId="2EC8C60A"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Analizar, desarrollar las actividades que correspondan para la implementación, soporte y mantenimiento adaptativo, correctivo o perfectivo, de los sistemas de información existentes según los estándares, normas, procedimientos, marcos de trabajo y metodologías definidos por la Entidad.</w:t>
            </w:r>
          </w:p>
        </w:tc>
        <w:tc>
          <w:tcPr>
            <w:tcW w:w="1725" w:type="dxa"/>
          </w:tcPr>
          <w:p w14:paraId="7BC26AA2" w14:textId="57F89B5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6718EDB4"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1069116D" w14:textId="5C013F79"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0E598A20" w14:textId="30CECD0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Profesional Universitario</w:t>
            </w:r>
          </w:p>
        </w:tc>
        <w:tc>
          <w:tcPr>
            <w:tcW w:w="5787" w:type="dxa"/>
          </w:tcPr>
          <w:p w14:paraId="2C8147C6" w14:textId="66055592"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Coordinador Líder de Soporte de Mesa de Ayuda de los Sistemas de Información</w:t>
            </w:r>
          </w:p>
          <w:p w14:paraId="481414DA" w14:textId="7061F17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Realizar control de calidad, análisis y seguimiento al mantenimiento y soporte de las aplicaciones y sistemas de información existentes, según los procedimientos definidos por la Entidad</w:t>
            </w:r>
          </w:p>
        </w:tc>
        <w:tc>
          <w:tcPr>
            <w:tcW w:w="1725" w:type="dxa"/>
          </w:tcPr>
          <w:p w14:paraId="0D6C6C6E" w14:textId="100A9C2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236EDFF9"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19098525" w14:textId="281141C1"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8E18E9D" w14:textId="71EDE6A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Técnico Operativo</w:t>
            </w:r>
          </w:p>
          <w:p w14:paraId="32FB8B36" w14:textId="5C66F98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4BA66487" w14:textId="1A07B56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Analista Líder de Requerimiento</w:t>
            </w:r>
          </w:p>
          <w:p w14:paraId="7C649E19" w14:textId="509A4B4C"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Efectuar las acciones necesarias para que los procesos de soporte y mantenimientos correctivos y preventivos desarrollados por la dependencia estén acordes con los procedimientos definidos por la Entidad, con criterios de calidad, oportunidad y efectividad</w:t>
            </w:r>
          </w:p>
        </w:tc>
        <w:tc>
          <w:tcPr>
            <w:tcW w:w="1725" w:type="dxa"/>
          </w:tcPr>
          <w:p w14:paraId="4BE2CEAF" w14:textId="2BA3058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7C9B6971"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37377348" w14:textId="4B27D79B"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7F15EDD1" w14:textId="5C910CB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Técnico Operativo</w:t>
            </w:r>
          </w:p>
          <w:p w14:paraId="21208899" w14:textId="757F0AC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2CF27BA" w14:textId="077817F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Apoyo Administrativo</w:t>
            </w:r>
          </w:p>
          <w:p w14:paraId="0AB8EF8B" w14:textId="33D043F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color w:val="000000" w:themeColor="text1"/>
                <w:sz w:val="20"/>
                <w:szCs w:val="20"/>
                <w:lang w:val="es"/>
              </w:rPr>
              <w:t>Realizar las actividades de soporte técnico y apoyo a la gestión del proceso que le sean asignadas de conformidad con los procedimientos aplicables.</w:t>
            </w:r>
          </w:p>
        </w:tc>
        <w:tc>
          <w:tcPr>
            <w:tcW w:w="1725" w:type="dxa"/>
          </w:tcPr>
          <w:p w14:paraId="595BB45B" w14:textId="7B2D870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035D33BA"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6A933D99" w14:textId="10DD31DE"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60EB855" w14:textId="4CFEA60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011F614A" w14:textId="25CE501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DCD967F" w14:textId="1ECFFF8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Analista de Requerimientos</w:t>
            </w:r>
          </w:p>
          <w:p w14:paraId="117D9A50" w14:textId="0CACAAC1" w:rsidR="14B10D0C" w:rsidRPr="00767699" w:rsidRDefault="14B10D0C" w:rsidP="000A20EE">
            <w:pPr>
              <w:pStyle w:val="Prrafodelista"/>
              <w:numPr>
                <w:ilvl w:val="0"/>
                <w:numId w:val="16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Elaboración de las historias de usuarios y prototipos de las funcionalidades requeridas por el Instituto para multipropósito.</w:t>
            </w:r>
          </w:p>
        </w:tc>
        <w:tc>
          <w:tcPr>
            <w:tcW w:w="1725" w:type="dxa"/>
          </w:tcPr>
          <w:p w14:paraId="1FA86315" w14:textId="153726A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5185BA5C" w14:textId="77777777" w:rsidTr="31FF9146">
        <w:trPr>
          <w:trHeight w:val="1200"/>
        </w:trPr>
        <w:tc>
          <w:tcPr>
            <w:cnfStyle w:val="001000000000" w:firstRow="0" w:lastRow="0" w:firstColumn="1" w:lastColumn="0" w:oddVBand="0" w:evenVBand="0" w:oddHBand="0" w:evenHBand="0" w:firstRowFirstColumn="0" w:firstRowLastColumn="0" w:lastRowFirstColumn="0" w:lastRowLastColumn="0"/>
            <w:tcW w:w="709" w:type="dxa"/>
          </w:tcPr>
          <w:p w14:paraId="2F05CF2A" w14:textId="2DFE636C"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1</w:t>
            </w:r>
          </w:p>
        </w:tc>
        <w:tc>
          <w:tcPr>
            <w:tcW w:w="1560" w:type="dxa"/>
          </w:tcPr>
          <w:p w14:paraId="5D739F4B" w14:textId="48E3CE8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p w14:paraId="39D1CD1F" w14:textId="76E422E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2F0F6804" w14:textId="4FA9C321"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Arquitecto Sistemas de Información</w:t>
            </w:r>
          </w:p>
          <w:p w14:paraId="29774384" w14:textId="5B327FB3" w:rsidR="14B10D0C" w:rsidRPr="00767699" w:rsidRDefault="14B10D0C" w:rsidP="000A20EE">
            <w:pPr>
              <w:pStyle w:val="Prrafodelista"/>
              <w:numPr>
                <w:ilvl w:val="0"/>
                <w:numId w:val="163"/>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y desarrollo de componentes de software de los sistemas de información de la Entidad.</w:t>
            </w:r>
          </w:p>
        </w:tc>
        <w:tc>
          <w:tcPr>
            <w:tcW w:w="1725" w:type="dxa"/>
          </w:tcPr>
          <w:p w14:paraId="0A112988" w14:textId="291BE4D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303A07F7" w14:textId="7AEBE41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54C2050C"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65471C4B" w14:textId="009A7E12" w:rsidR="14B10D0C" w:rsidRPr="00767699" w:rsidRDefault="14B10D0C" w:rsidP="00C72779">
            <w:pPr>
              <w:jc w:val="center"/>
              <w:rPr>
                <w:sz w:val="20"/>
                <w:szCs w:val="20"/>
              </w:rPr>
            </w:pPr>
            <w:r w:rsidRPr="00767699">
              <w:rPr>
                <w:rFonts w:eastAsia="Arial" w:cs="Arial"/>
                <w:color w:val="000000" w:themeColor="text1"/>
                <w:sz w:val="20"/>
                <w:szCs w:val="20"/>
                <w:lang w:val="es"/>
              </w:rPr>
              <w:t>4</w:t>
            </w:r>
          </w:p>
        </w:tc>
        <w:tc>
          <w:tcPr>
            <w:tcW w:w="1560" w:type="dxa"/>
          </w:tcPr>
          <w:p w14:paraId="4653D7A5" w14:textId="1DF7B19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tc>
        <w:tc>
          <w:tcPr>
            <w:tcW w:w="5787" w:type="dxa"/>
          </w:tcPr>
          <w:p w14:paraId="503EC01F" w14:textId="36CBEFB4"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Desarrollador Apex</w:t>
            </w:r>
          </w:p>
          <w:p w14:paraId="391ADA40" w14:textId="0D8F2A29" w:rsidR="14B10D0C" w:rsidRPr="00767699" w:rsidRDefault="14B10D0C" w:rsidP="000A20EE">
            <w:pPr>
              <w:pStyle w:val="Prrafodelista"/>
              <w:numPr>
                <w:ilvl w:val="0"/>
                <w:numId w:val="16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desarrollo y documentación de los componentes de software de los sistemas de información requeridos por el Instituto.</w:t>
            </w:r>
          </w:p>
        </w:tc>
        <w:tc>
          <w:tcPr>
            <w:tcW w:w="1725" w:type="dxa"/>
          </w:tcPr>
          <w:p w14:paraId="35BCC702" w14:textId="295AE7C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1E27FE37"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3B974871" w14:textId="4AA3FCDB" w:rsidR="14B10D0C" w:rsidRPr="00767699" w:rsidRDefault="14B10D0C" w:rsidP="00C72779">
            <w:pPr>
              <w:jc w:val="center"/>
              <w:rPr>
                <w:sz w:val="20"/>
                <w:szCs w:val="20"/>
              </w:rPr>
            </w:pPr>
            <w:r w:rsidRPr="00767699">
              <w:rPr>
                <w:rFonts w:eastAsia="Arial" w:cs="Arial"/>
                <w:color w:val="000000" w:themeColor="text1"/>
                <w:sz w:val="20"/>
                <w:szCs w:val="20"/>
                <w:lang w:val="es"/>
              </w:rPr>
              <w:t>3</w:t>
            </w:r>
          </w:p>
        </w:tc>
        <w:tc>
          <w:tcPr>
            <w:tcW w:w="1560" w:type="dxa"/>
          </w:tcPr>
          <w:p w14:paraId="7C42DB7C" w14:textId="5665B5E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7E809EE7" w14:textId="2E27D05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405F1CBE" w14:textId="486FB20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2B71E42D" w14:textId="4208074C"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Desarrollador Base de Datos PL/SQL / Soporte SNC BD</w:t>
            </w:r>
          </w:p>
          <w:p w14:paraId="76768EC6" w14:textId="7A522CAE"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Desarrollo del componente tecnológico requerido de los procesos de gestión catastral desarrollados por el IGAC</w:t>
            </w:r>
          </w:p>
          <w:p w14:paraId="3D893429" w14:textId="73C2089F"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análisis, diseño y desarrollo de los componentes de software en plataforma Oracle de los sistemas de la Institución.</w:t>
            </w:r>
          </w:p>
          <w:p w14:paraId="56EFF0B8" w14:textId="178D5C87"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Diseño, construcción, soporte y mantenimiento de funcionalidades en PL/SQL para la operación del Sistema Nacional de Catastro.</w:t>
            </w:r>
          </w:p>
        </w:tc>
        <w:tc>
          <w:tcPr>
            <w:tcW w:w="1725" w:type="dxa"/>
          </w:tcPr>
          <w:p w14:paraId="0804D896" w14:textId="6775A34C"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5C85942D"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581F39BE" w14:textId="05087D72"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5324196A" w14:textId="4AFF64F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2450A738" w14:textId="000E9BE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6ED0AF22" w14:textId="4B7EC39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10546AE" w14:textId="52D9CD4E"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Desarrollador Junior</w:t>
            </w:r>
          </w:p>
          <w:p w14:paraId="2D72F51F" w14:textId="0F35ECED" w:rsidR="14B10D0C" w:rsidRPr="00767699" w:rsidRDefault="14B10D0C" w:rsidP="000A20EE">
            <w:pPr>
              <w:pStyle w:val="Prrafodelista"/>
              <w:numPr>
                <w:ilvl w:val="0"/>
                <w:numId w:val="16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Especificación, mantenimiento y/o desarrollo de funcionalidades para el sistema de captura de información en campo y ajustes a los sistemas de información de la Entidad</w:t>
            </w:r>
          </w:p>
        </w:tc>
        <w:tc>
          <w:tcPr>
            <w:tcW w:w="1725" w:type="dxa"/>
          </w:tcPr>
          <w:p w14:paraId="3F8F40EE" w14:textId="70A91FA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7710E76B"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10714021" w14:textId="14E1F33B" w:rsidR="14B10D0C" w:rsidRPr="00767699" w:rsidRDefault="14B10D0C" w:rsidP="00C72779">
            <w:pPr>
              <w:jc w:val="center"/>
              <w:rPr>
                <w:sz w:val="20"/>
                <w:szCs w:val="20"/>
              </w:rPr>
            </w:pPr>
            <w:r w:rsidRPr="00767699">
              <w:rPr>
                <w:rFonts w:eastAsia="Arial" w:cs="Arial"/>
                <w:color w:val="000000" w:themeColor="text1"/>
                <w:sz w:val="20"/>
                <w:szCs w:val="20"/>
                <w:lang w:val="es"/>
              </w:rPr>
              <w:t>7</w:t>
            </w:r>
          </w:p>
        </w:tc>
        <w:tc>
          <w:tcPr>
            <w:tcW w:w="1560" w:type="dxa"/>
          </w:tcPr>
          <w:p w14:paraId="384992E2" w14:textId="27D162D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2262315A" w14:textId="5921F17D"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7D646408" w14:textId="063A1F0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4E211804" w14:textId="7EC5287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2CF23264" w14:textId="2D85D4B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Desarrollador Senior</w:t>
            </w:r>
          </w:p>
          <w:p w14:paraId="6BB932C6" w14:textId="414A90C6"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actualización, análisis, diseño y desarrollo de componentes de software requeridos por la Entidad para el cumplimiento de los objetivos del catastro multipropósito</w:t>
            </w:r>
          </w:p>
          <w:p w14:paraId="4498AACE" w14:textId="4921038D"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análisis, diseño y desarrollo de los componentes web para la operación del sistema catastral.</w:t>
            </w:r>
          </w:p>
          <w:p w14:paraId="4011F583" w14:textId="217EE62B"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análisis, diseño, desarrollo e integración de componentes de software en el marco de la implementación de la política de catastro multipropósito</w:t>
            </w:r>
          </w:p>
          <w:p w14:paraId="6D643255" w14:textId="435BBA91"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Orientación y ejecución de actividades de levantamiento de información, desarrollo y mantenimiento del gestor de procesos y del componente web de los sistemas de información y aplicativos para la operación del Sistema Nacional de Catastro</w:t>
            </w:r>
          </w:p>
          <w:p w14:paraId="77C405B2" w14:textId="0B6823C8"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Orientación y ejecución de actividades relacionadas con el componente geográfico de los sistemas de información y para la operación del Sistema Nacional de Catastro</w:t>
            </w:r>
          </w:p>
          <w:p w14:paraId="65E8FB88" w14:textId="704F5E17"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Desarrollo, soporte y mantenimiento en los componentes WEB - JAVA y de procesos, de los sistemas de información de la oficina de informática y telecomunicaciones</w:t>
            </w:r>
          </w:p>
          <w:p w14:paraId="24B1348B" w14:textId="0DDA083C"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 xml:space="preserve">Soporte, mantenimiento, actualización, análisis, diseño y desarrollo de componentes de software requeridos </w:t>
            </w:r>
            <w:r w:rsidRPr="00767699">
              <w:rPr>
                <w:rFonts w:eastAsia="Arial" w:cs="Arial"/>
                <w:color w:val="000000" w:themeColor="text1"/>
              </w:rPr>
              <w:lastRenderedPageBreak/>
              <w:t>por la Entidad para el cumplimiento de los objetivos del catastro multipropósito</w:t>
            </w:r>
          </w:p>
        </w:tc>
        <w:tc>
          <w:tcPr>
            <w:tcW w:w="1725" w:type="dxa"/>
          </w:tcPr>
          <w:p w14:paraId="3E0927F4" w14:textId="75505AA1"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lastRenderedPageBreak/>
              <w:t>Diseño y Desarrollo de Sistemas de Información</w:t>
            </w:r>
          </w:p>
        </w:tc>
      </w:tr>
      <w:tr w:rsidR="14B10D0C" w:rsidRPr="00767699" w14:paraId="2504D81D"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4A3A2C12" w14:textId="009D1ECF"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1</w:t>
            </w:r>
          </w:p>
        </w:tc>
        <w:tc>
          <w:tcPr>
            <w:tcW w:w="1560" w:type="dxa"/>
          </w:tcPr>
          <w:p w14:paraId="2CBF5767" w14:textId="08D838D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4F114C34" w14:textId="6CAEE7D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7A36F2E6" w14:textId="0D006E4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60609781" w14:textId="11B4350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Diseñadora Gráfica</w:t>
            </w:r>
          </w:p>
          <w:p w14:paraId="4A94F80D" w14:textId="6E259FCA"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Elaboración y diseño de plantillas, flujos de navegación, estándares de diseño y componentes de software requeridos por la Entidad para el cumplimiento de los objetivos del catastro multipropósito</w:t>
            </w:r>
          </w:p>
        </w:tc>
        <w:tc>
          <w:tcPr>
            <w:tcW w:w="1725" w:type="dxa"/>
          </w:tcPr>
          <w:p w14:paraId="6162444E" w14:textId="2D20C21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158D2290"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50DA13F8" w14:textId="42E744BE"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1C14AC0B" w14:textId="4011CD9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Universitario</w:t>
            </w:r>
          </w:p>
          <w:p w14:paraId="168859F8" w14:textId="649397E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3E6F3743" w14:textId="0D3720EF"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1B7592CA" w14:textId="0598834B"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Documentador Procesos Interrelación</w:t>
            </w:r>
          </w:p>
          <w:p w14:paraId="5FAEA5A2" w14:textId="72BA8DAC"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Documentación, diseño e implementación de los flujos de información requeridos en el marco de la implementación de la política de catastro multipropósito</w:t>
            </w:r>
          </w:p>
        </w:tc>
        <w:tc>
          <w:tcPr>
            <w:tcW w:w="1725" w:type="dxa"/>
          </w:tcPr>
          <w:p w14:paraId="77D924C8" w14:textId="03F9134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3A3A3815"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36672042" w14:textId="4FF7347C"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73C03E77" w14:textId="697C67F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p w14:paraId="28DBFE3F" w14:textId="16F72427"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72B92F5B" w14:textId="2232AFE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76E38032" w14:textId="06026399"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Líder Funcional del SNC</w:t>
            </w:r>
          </w:p>
          <w:p w14:paraId="099E75D0" w14:textId="0CE37F5B" w:rsidR="14B10D0C" w:rsidRPr="00767699" w:rsidRDefault="14B10D0C" w:rsidP="000A20EE">
            <w:pPr>
              <w:pStyle w:val="Prrafodelista"/>
              <w:numPr>
                <w:ilvl w:val="0"/>
                <w:numId w:val="160"/>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Ejecución de actividades de definición, control y seguimiento, encaminadas a la construcción de nuevas funcionalidades para la operación del Sistema Nacional de Catastro</w:t>
            </w:r>
          </w:p>
        </w:tc>
        <w:tc>
          <w:tcPr>
            <w:tcW w:w="1725" w:type="dxa"/>
          </w:tcPr>
          <w:p w14:paraId="160E011F" w14:textId="40AC885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7C9C57A6"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1AE72944" w14:textId="25E17C3A"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3F494B6B" w14:textId="6A2E628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0DE3A79B" w14:textId="59C8F3F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48BDE692" w14:textId="7A1E240E"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Líder Requerimientos y Pruebas SNC</w:t>
            </w:r>
          </w:p>
          <w:p w14:paraId="306FDB6B" w14:textId="3914E572"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Orientación y ejecución de las tareas de análisis y diseño en la construcción de los sistemas de información para la operación del Sistema Nacional de Catastro</w:t>
            </w:r>
          </w:p>
        </w:tc>
        <w:tc>
          <w:tcPr>
            <w:tcW w:w="1725" w:type="dxa"/>
          </w:tcPr>
          <w:p w14:paraId="12C46BB8" w14:textId="0F3FC7A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32A1B9E8"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5CC1EE12" w14:textId="51898575"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6EDE9B3F" w14:textId="6486E5A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p w14:paraId="394E3590" w14:textId="0D93128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5177F3C7" w14:textId="184EF148"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Consultor GIS CICA</w:t>
            </w:r>
          </w:p>
          <w:p w14:paraId="5713BA4B" w14:textId="29FAEC7C"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análisis, diseño e implementación de la arquitectura de sistemas de información georreferenciados de la Entidad y para la operación y cumplimiento de los objetivos de catastro multipropósito</w:t>
            </w:r>
          </w:p>
        </w:tc>
        <w:tc>
          <w:tcPr>
            <w:tcW w:w="1725" w:type="dxa"/>
          </w:tcPr>
          <w:p w14:paraId="2091C334" w14:textId="02E2FB5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031E669B"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73125C42" w14:textId="769BDD94"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7BDAA197" w14:textId="5AD3BBD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38E4188E" w14:textId="4859E56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26182777" w14:textId="6C10A2FA"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Pruebas de Software SNC</w:t>
            </w:r>
          </w:p>
          <w:p w14:paraId="0DD99810" w14:textId="5DC02B43"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de primer nivel, generación de estadísticas de operación y ejecución de pruebas a los sistemas de información de la oficina de informática y telecomunicaciones.</w:t>
            </w:r>
          </w:p>
          <w:p w14:paraId="088A9D44" w14:textId="7E1F59BF" w:rsidR="14B10D0C" w:rsidRPr="00767699" w:rsidRDefault="14B10D0C" w:rsidP="000A20EE">
            <w:pPr>
              <w:pStyle w:val="Prrafodelista"/>
              <w:numPr>
                <w:ilvl w:val="0"/>
                <w:numId w:val="154"/>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mantenimiento, análisis, diseño, desarrollo e integración de componentes de software para el Instituto.</w:t>
            </w:r>
          </w:p>
        </w:tc>
        <w:tc>
          <w:tcPr>
            <w:tcW w:w="1725" w:type="dxa"/>
          </w:tcPr>
          <w:p w14:paraId="171E2AD1" w14:textId="6BC5558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53FD9DD5"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3CB4196E" w14:textId="2F5A966C"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435FB947" w14:textId="59FCE05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 Especializado</w:t>
            </w:r>
          </w:p>
          <w:p w14:paraId="3565B925" w14:textId="5E3B78B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19714FFF" w14:textId="21D606B6"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Soporte Componente Geográfico – Analítico</w:t>
            </w:r>
          </w:p>
          <w:p w14:paraId="1FFA75F1" w14:textId="0AB6FF45"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Análisis e implementación de la arquitectura de sistemas de información georreferenciados de la Entidad y para la operación del sistema de catastro multipropósito</w:t>
            </w:r>
          </w:p>
        </w:tc>
        <w:tc>
          <w:tcPr>
            <w:tcW w:w="1725" w:type="dxa"/>
          </w:tcPr>
          <w:p w14:paraId="5FF219CB" w14:textId="12A6DA2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2EAEC60A"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5943787B" w14:textId="65E5AEE9" w:rsidR="14B10D0C" w:rsidRPr="00767699" w:rsidRDefault="14B10D0C" w:rsidP="00C72779">
            <w:pPr>
              <w:jc w:val="center"/>
              <w:rPr>
                <w:sz w:val="20"/>
                <w:szCs w:val="20"/>
              </w:rPr>
            </w:pPr>
            <w:r w:rsidRPr="00767699">
              <w:rPr>
                <w:rFonts w:eastAsia="Arial" w:cs="Arial"/>
                <w:color w:val="000000" w:themeColor="text1"/>
                <w:sz w:val="20"/>
                <w:szCs w:val="20"/>
                <w:lang w:val="es"/>
              </w:rPr>
              <w:t>2</w:t>
            </w:r>
          </w:p>
        </w:tc>
        <w:tc>
          <w:tcPr>
            <w:tcW w:w="1560" w:type="dxa"/>
          </w:tcPr>
          <w:p w14:paraId="2C62F061" w14:textId="2D19F39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5E0C643B" w14:textId="6768FA05"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2FF88C7C" w14:textId="3D9695B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Soporte ERP</w:t>
            </w:r>
          </w:p>
          <w:p w14:paraId="7BDD2B64" w14:textId="2E9FAABF"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Análisis y desarrollo de componentes de software en plataforma ORACLE.</w:t>
            </w:r>
          </w:p>
        </w:tc>
        <w:tc>
          <w:tcPr>
            <w:tcW w:w="1725" w:type="dxa"/>
          </w:tcPr>
          <w:p w14:paraId="52B9303A" w14:textId="2F84925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4E2C8567"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270C670B" w14:textId="7D33549A"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1C340691" w14:textId="5BF7919E"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7BD4D4FE" w14:textId="345690E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6E6721E7" w14:textId="3DF67FBD"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Web Master de la Entidad</w:t>
            </w:r>
          </w:p>
          <w:p w14:paraId="616C8244" w14:textId="6185FE70"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Desarrollo, administración y soporte a los componentes de los portales web y micro sitios de la Entidad.</w:t>
            </w:r>
          </w:p>
        </w:tc>
        <w:tc>
          <w:tcPr>
            <w:tcW w:w="1725" w:type="dxa"/>
          </w:tcPr>
          <w:p w14:paraId="3A841E83" w14:textId="6B17E018"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157D6BEC"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464A143E" w14:textId="0710F46E" w:rsidR="14B10D0C" w:rsidRPr="00767699" w:rsidRDefault="14B10D0C" w:rsidP="00C72779">
            <w:pPr>
              <w:jc w:val="center"/>
              <w:rPr>
                <w:sz w:val="20"/>
                <w:szCs w:val="20"/>
              </w:rPr>
            </w:pPr>
            <w:r w:rsidRPr="00767699">
              <w:rPr>
                <w:rFonts w:eastAsia="Arial" w:cs="Arial"/>
                <w:color w:val="000000" w:themeColor="text1"/>
                <w:sz w:val="20"/>
                <w:szCs w:val="20"/>
                <w:lang w:val="es"/>
              </w:rPr>
              <w:t>1</w:t>
            </w:r>
          </w:p>
        </w:tc>
        <w:tc>
          <w:tcPr>
            <w:tcW w:w="1560" w:type="dxa"/>
          </w:tcPr>
          <w:p w14:paraId="15B80143" w14:textId="28174AA0"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5B37105B" w14:textId="411D9719"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4357E00F" w14:textId="1DB0BDC7"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Mesa de ayuda SNC - Componente geográfico</w:t>
            </w:r>
          </w:p>
          <w:p w14:paraId="45CDAF5E" w14:textId="1E5566D5"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 xml:space="preserve">Gestión, ejecución y seguimiento a las tareas de mantenimiento y atención de incidentes relacionadas </w:t>
            </w:r>
            <w:r w:rsidRPr="00767699">
              <w:rPr>
                <w:rFonts w:eastAsia="Arial" w:cs="Arial"/>
                <w:color w:val="000000" w:themeColor="text1"/>
              </w:rPr>
              <w:lastRenderedPageBreak/>
              <w:t>con el editor gráfico de los sistemas de información de la oficina de informática y telecomunicaciones.</w:t>
            </w:r>
          </w:p>
          <w:p w14:paraId="7BC2795A" w14:textId="2A923DD3"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p>
        </w:tc>
        <w:tc>
          <w:tcPr>
            <w:tcW w:w="1725" w:type="dxa"/>
          </w:tcPr>
          <w:p w14:paraId="3176DD47" w14:textId="4C0ABD5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lastRenderedPageBreak/>
              <w:t>Diseño y Desarrollo de Sistemas de Información</w:t>
            </w:r>
          </w:p>
        </w:tc>
      </w:tr>
      <w:tr w:rsidR="14B10D0C" w:rsidRPr="00767699" w14:paraId="05643EBD"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2818CB25" w14:textId="6EBF3CC8" w:rsidR="14B10D0C" w:rsidRPr="00767699" w:rsidRDefault="14B10D0C" w:rsidP="00C72779">
            <w:pPr>
              <w:jc w:val="center"/>
              <w:rPr>
                <w:sz w:val="20"/>
                <w:szCs w:val="20"/>
              </w:rPr>
            </w:pPr>
            <w:r w:rsidRPr="00767699">
              <w:rPr>
                <w:rFonts w:eastAsia="Arial" w:cs="Arial"/>
                <w:color w:val="000000" w:themeColor="text1"/>
                <w:sz w:val="20"/>
                <w:szCs w:val="20"/>
                <w:lang w:val="es"/>
              </w:rPr>
              <w:lastRenderedPageBreak/>
              <w:t>2</w:t>
            </w:r>
          </w:p>
        </w:tc>
        <w:tc>
          <w:tcPr>
            <w:tcW w:w="1560" w:type="dxa"/>
          </w:tcPr>
          <w:p w14:paraId="543AA59B" w14:textId="612D0646"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0F03D186" w14:textId="2F80916B"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p w14:paraId="32B42F30" w14:textId="475A967A"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p w14:paraId="48AB270F" w14:textId="794BA37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787" w:type="dxa"/>
          </w:tcPr>
          <w:p w14:paraId="140E6838" w14:textId="1711EB15"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Mesa de Ayuda SNC - Funcional Nivel 1</w:t>
            </w:r>
          </w:p>
          <w:p w14:paraId="76767FD7" w14:textId="5AA6E084"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Ejecución de actividades de soporte técnico nivel uno en la mesa de servicio del Sistema Nacional Catastro.</w:t>
            </w:r>
          </w:p>
          <w:p w14:paraId="1430BE91" w14:textId="2AEB5089" w:rsidR="14B10D0C" w:rsidRPr="00767699" w:rsidRDefault="14B10D0C" w:rsidP="000A20EE">
            <w:pPr>
              <w:pStyle w:val="Prrafodelista"/>
              <w:numPr>
                <w:ilvl w:val="0"/>
                <w:numId w:val="152"/>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nivel uno técnico y temático de los sistemas de información para la operación del Sistema Nacional de Catastro</w:t>
            </w:r>
          </w:p>
        </w:tc>
        <w:tc>
          <w:tcPr>
            <w:tcW w:w="1725" w:type="dxa"/>
          </w:tcPr>
          <w:p w14:paraId="4904FAB0" w14:textId="76CA04F3"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r w:rsidR="14B10D0C" w:rsidRPr="00767699" w14:paraId="3E0CA95C" w14:textId="77777777" w:rsidTr="31FF9146">
        <w:trPr>
          <w:trHeight w:val="45"/>
        </w:trPr>
        <w:tc>
          <w:tcPr>
            <w:cnfStyle w:val="001000000000" w:firstRow="0" w:lastRow="0" w:firstColumn="1" w:lastColumn="0" w:oddVBand="0" w:evenVBand="0" w:oddHBand="0" w:evenHBand="0" w:firstRowFirstColumn="0" w:firstRowLastColumn="0" w:lastRowFirstColumn="0" w:lastRowLastColumn="0"/>
            <w:tcW w:w="709" w:type="dxa"/>
          </w:tcPr>
          <w:p w14:paraId="5EFBD015" w14:textId="3376EE78" w:rsidR="14B10D0C" w:rsidRPr="00767699" w:rsidRDefault="14B10D0C" w:rsidP="00C72779">
            <w:pPr>
              <w:jc w:val="center"/>
              <w:rPr>
                <w:sz w:val="20"/>
                <w:szCs w:val="20"/>
              </w:rPr>
            </w:pPr>
            <w:r w:rsidRPr="00767699">
              <w:rPr>
                <w:rFonts w:eastAsia="Arial" w:cs="Arial"/>
                <w:color w:val="000000" w:themeColor="text1"/>
                <w:sz w:val="20"/>
                <w:szCs w:val="20"/>
                <w:lang w:val="es"/>
              </w:rPr>
              <w:t>4</w:t>
            </w:r>
          </w:p>
        </w:tc>
        <w:tc>
          <w:tcPr>
            <w:tcW w:w="1560" w:type="dxa"/>
          </w:tcPr>
          <w:p w14:paraId="6893174E" w14:textId="616239F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Contratista- Profesional</w:t>
            </w:r>
          </w:p>
          <w:p w14:paraId="34F16437" w14:textId="214E6962"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lang w:val="es"/>
              </w:rPr>
              <w:t>Universitario</w:t>
            </w:r>
          </w:p>
        </w:tc>
        <w:tc>
          <w:tcPr>
            <w:tcW w:w="5787" w:type="dxa"/>
          </w:tcPr>
          <w:p w14:paraId="14F1B1AA" w14:textId="205478F4" w:rsidR="14B10D0C" w:rsidRPr="00767699" w:rsidRDefault="14B10D0C" w:rsidP="00C72779">
            <w:pPr>
              <w:jc w:val="both"/>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color w:val="000000" w:themeColor="text1"/>
                <w:sz w:val="20"/>
                <w:szCs w:val="20"/>
              </w:rPr>
              <w:t>Mesa de Ayuda SNC - Funcional Nivel 2</w:t>
            </w:r>
          </w:p>
          <w:p w14:paraId="0D38DF39" w14:textId="6447422A" w:rsidR="14B10D0C" w:rsidRPr="00767699" w:rsidRDefault="14B10D0C" w:rsidP="000A20EE">
            <w:pPr>
              <w:pStyle w:val="Prrafodelista"/>
              <w:numPr>
                <w:ilvl w:val="0"/>
                <w:numId w:val="15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nivel dos técnicos y temático de los sistemas de información para la operación del Sistema Nacional de Catastro.</w:t>
            </w:r>
          </w:p>
          <w:p w14:paraId="24655ED7" w14:textId="131B7E73" w:rsidR="14B10D0C" w:rsidRPr="00767699" w:rsidRDefault="14B10D0C" w:rsidP="000A20EE">
            <w:pPr>
              <w:pStyle w:val="Prrafodelista"/>
              <w:numPr>
                <w:ilvl w:val="0"/>
                <w:numId w:val="15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Orientación, ejecución, tramite y control de las tareas relativas al soporte técnico y temático de los sistemas de información para la operación del Sistema Nacional de Catastro.</w:t>
            </w:r>
          </w:p>
          <w:p w14:paraId="73B5D410" w14:textId="14262A11" w:rsidR="14B10D0C" w:rsidRPr="00767699" w:rsidRDefault="14B10D0C" w:rsidP="000A20EE">
            <w:pPr>
              <w:pStyle w:val="Prrafodelista"/>
              <w:numPr>
                <w:ilvl w:val="0"/>
                <w:numId w:val="15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Operación, soporte y desarrollo relacionado con la gestión del Sistema Nacional de Catastro.</w:t>
            </w:r>
          </w:p>
          <w:p w14:paraId="58C29880" w14:textId="39A1891A" w:rsidR="14B10D0C" w:rsidRPr="00767699" w:rsidRDefault="14B10D0C" w:rsidP="000A20EE">
            <w:pPr>
              <w:pStyle w:val="Prrafodelista"/>
              <w:numPr>
                <w:ilvl w:val="0"/>
                <w:numId w:val="151"/>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rPr>
            </w:pPr>
            <w:r w:rsidRPr="00767699">
              <w:rPr>
                <w:rFonts w:eastAsia="Arial" w:cs="Arial"/>
                <w:color w:val="000000" w:themeColor="text1"/>
              </w:rPr>
              <w:t>Soporte técnico en la mesa de servicio nivel 2 del Sistema Nacional Catastro.</w:t>
            </w:r>
          </w:p>
        </w:tc>
        <w:tc>
          <w:tcPr>
            <w:tcW w:w="1725" w:type="dxa"/>
          </w:tcPr>
          <w:p w14:paraId="01162A91" w14:textId="0722D784" w:rsidR="14B10D0C" w:rsidRPr="00767699" w:rsidRDefault="14B10D0C"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767699">
              <w:rPr>
                <w:rFonts w:eastAsia="Arial" w:cs="Arial"/>
                <w:b/>
                <w:bCs/>
                <w:sz w:val="20"/>
                <w:szCs w:val="20"/>
                <w:lang w:val="es"/>
              </w:rPr>
              <w:t>Diseño y Desarrollo de Sistemas de Información</w:t>
            </w:r>
          </w:p>
        </w:tc>
      </w:tr>
    </w:tbl>
    <w:p w14:paraId="1E2B6CD9" w14:textId="2FB0EB20" w:rsidR="00A06647" w:rsidRPr="00007A6A" w:rsidRDefault="5278CF58" w:rsidP="00832D5B">
      <w:pPr>
        <w:jc w:val="center"/>
        <w:rPr>
          <w:rFonts w:eastAsia="Arial" w:cs="Arial"/>
          <w:b/>
          <w:bCs/>
          <w:sz w:val="16"/>
          <w:szCs w:val="16"/>
          <w:lang w:val="es-MX"/>
        </w:rPr>
      </w:pPr>
      <w:r w:rsidRPr="00007A6A">
        <w:rPr>
          <w:rFonts w:eastAsia="Arial" w:cs="Arial"/>
          <w:b/>
          <w:bCs/>
          <w:sz w:val="16"/>
          <w:szCs w:val="16"/>
          <w:lang w:val="es-MX"/>
        </w:rPr>
        <w:t>Fuente: Dirección de Tecnologías de la Información y las Comunicaciones</w:t>
      </w:r>
    </w:p>
    <w:p w14:paraId="1C8105F6" w14:textId="688E9698" w:rsidR="00A06647" w:rsidRPr="00A06647" w:rsidRDefault="00A06647" w:rsidP="00C72779">
      <w:pPr>
        <w:pStyle w:val="Lista"/>
      </w:pPr>
    </w:p>
    <w:p w14:paraId="61485132" w14:textId="1AA63E44" w:rsidR="00F9283B" w:rsidRPr="00F9283B" w:rsidRDefault="00F9283B" w:rsidP="00C72779">
      <w:pPr>
        <w:pStyle w:val="Lista"/>
      </w:pPr>
    </w:p>
    <w:p w14:paraId="1C5B6DE6" w14:textId="78861446" w:rsidR="00D05FB3" w:rsidRDefault="00D05FB3" w:rsidP="000A20EE">
      <w:pPr>
        <w:pStyle w:val="Prrafodelista"/>
        <w:numPr>
          <w:ilvl w:val="2"/>
          <w:numId w:val="24"/>
        </w:numPr>
        <w:rPr>
          <w:b/>
          <w:bCs/>
          <w:sz w:val="22"/>
          <w:szCs w:val="22"/>
        </w:rPr>
      </w:pPr>
      <w:r w:rsidRPr="00FF484E">
        <w:rPr>
          <w:b/>
          <w:bCs/>
          <w:sz w:val="22"/>
          <w:szCs w:val="22"/>
        </w:rPr>
        <w:t>P</w:t>
      </w:r>
      <w:r w:rsidR="00487D7B" w:rsidRPr="00FF484E">
        <w:rPr>
          <w:b/>
          <w:bCs/>
          <w:sz w:val="22"/>
          <w:szCs w:val="22"/>
        </w:rPr>
        <w:t>ROCESOS A</w:t>
      </w:r>
      <w:r w:rsidRPr="00FF484E">
        <w:rPr>
          <w:b/>
          <w:bCs/>
          <w:sz w:val="22"/>
          <w:szCs w:val="22"/>
        </w:rPr>
        <w:t xml:space="preserve"> </w:t>
      </w:r>
      <w:r w:rsidR="00832D5B">
        <w:rPr>
          <w:b/>
          <w:bCs/>
          <w:sz w:val="22"/>
          <w:szCs w:val="22"/>
        </w:rPr>
        <w:t>CARGO DE LA DIRECCIÓ</w:t>
      </w:r>
      <w:r w:rsidR="00487D7B" w:rsidRPr="00FF484E">
        <w:rPr>
          <w:b/>
          <w:bCs/>
          <w:sz w:val="22"/>
          <w:szCs w:val="22"/>
        </w:rPr>
        <w:t xml:space="preserve">N </w:t>
      </w:r>
      <w:r w:rsidR="00FF484E" w:rsidRPr="00FF484E">
        <w:rPr>
          <w:rFonts w:eastAsia="Arial" w:cs="Arial"/>
          <w:b/>
          <w:bCs/>
          <w:color w:val="000000" w:themeColor="text1"/>
          <w:sz w:val="22"/>
          <w:szCs w:val="22"/>
          <w:lang w:val="es-CO"/>
        </w:rPr>
        <w:t>DE TECNOLOGÍAS DE LA INFORMACIÓN Y COMUNICACIONES</w:t>
      </w:r>
      <w:r w:rsidRPr="00FF484E">
        <w:rPr>
          <w:b/>
          <w:bCs/>
          <w:sz w:val="22"/>
          <w:szCs w:val="22"/>
        </w:rPr>
        <w:t xml:space="preserve"> </w:t>
      </w:r>
    </w:p>
    <w:p w14:paraId="51579F0E" w14:textId="77777777" w:rsidR="00A3191D" w:rsidRDefault="00A3191D" w:rsidP="00C72779">
      <w:pPr>
        <w:pStyle w:val="Lista"/>
      </w:pPr>
    </w:p>
    <w:p w14:paraId="4A3C8DC0" w14:textId="77777777" w:rsidR="00A3191D" w:rsidRDefault="00A3191D" w:rsidP="00C72779">
      <w:pPr>
        <w:jc w:val="both"/>
        <w:rPr>
          <w:rFonts w:eastAsia="Arial" w:cs="Arial"/>
          <w:color w:val="000000" w:themeColor="text1"/>
          <w:sz w:val="22"/>
          <w:szCs w:val="22"/>
          <w:lang w:val="es"/>
        </w:rPr>
      </w:pPr>
      <w:r w:rsidRPr="008258E7">
        <w:rPr>
          <w:rFonts w:eastAsia="Arial" w:cs="Arial"/>
          <w:color w:val="292929"/>
          <w:sz w:val="22"/>
          <w:szCs w:val="22"/>
        </w:rPr>
        <w:t xml:space="preserve">El proceso de Gestión de Sistemas de Información e Infraestructura es el encargado de </w:t>
      </w:r>
      <w:r w:rsidRPr="008258E7">
        <w:rPr>
          <w:rFonts w:eastAsia="Arial" w:cs="Arial"/>
          <w:sz w:val="22"/>
          <w:szCs w:val="22"/>
        </w:rPr>
        <w:t xml:space="preserve">establecer las actividades de conceptualización, planeación, diseño, desarrollo, e  implementación, entrega en operación y atención de solicitudes de soporte técnico, relacionados con la plataforma tecnológica de la </w:t>
      </w:r>
      <w:r>
        <w:rPr>
          <w:rFonts w:eastAsia="Arial" w:cs="Arial"/>
          <w:sz w:val="22"/>
          <w:szCs w:val="22"/>
        </w:rPr>
        <w:t>Entidad</w:t>
      </w:r>
      <w:r w:rsidRPr="008258E7">
        <w:rPr>
          <w:rFonts w:eastAsia="Arial" w:cs="Arial"/>
          <w:sz w:val="22"/>
          <w:szCs w:val="22"/>
        </w:rPr>
        <w:t xml:space="preserve"> bajo estándares de seguridad y en un entorno de confianza digital; garantizando la disponibilidad de los servicios TIC, la optimización de recursos y </w:t>
      </w:r>
      <w:r w:rsidRPr="008258E7">
        <w:rPr>
          <w:rFonts w:eastAsia="Arial" w:cs="Arial"/>
          <w:color w:val="000000" w:themeColor="text1"/>
          <w:sz w:val="22"/>
          <w:szCs w:val="22"/>
          <w:lang w:val="es"/>
        </w:rPr>
        <w:t>apropiación  de los  sistemas de información.</w:t>
      </w:r>
    </w:p>
    <w:p w14:paraId="1016D286" w14:textId="77777777" w:rsidR="00A3191D" w:rsidRDefault="00A3191D" w:rsidP="00C72779">
      <w:pPr>
        <w:jc w:val="both"/>
        <w:rPr>
          <w:rFonts w:eastAsia="Arial" w:cs="Arial"/>
          <w:color w:val="000000" w:themeColor="text1"/>
          <w:sz w:val="22"/>
          <w:szCs w:val="22"/>
          <w:lang w:val="es"/>
        </w:rPr>
      </w:pPr>
    </w:p>
    <w:p w14:paraId="56971500" w14:textId="77777777" w:rsidR="00A3191D" w:rsidRPr="008258E7" w:rsidRDefault="00A3191D" w:rsidP="00C72779">
      <w:pPr>
        <w:jc w:val="both"/>
        <w:rPr>
          <w:rFonts w:eastAsia="Arial" w:cs="Arial"/>
          <w:sz w:val="22"/>
          <w:szCs w:val="22"/>
        </w:rPr>
      </w:pPr>
      <w:r w:rsidRPr="008258E7">
        <w:rPr>
          <w:rFonts w:eastAsia="Arial" w:cs="Arial"/>
          <w:sz w:val="22"/>
          <w:szCs w:val="22"/>
        </w:rPr>
        <w:t xml:space="preserve">El proceso cuenta con cuatro subprocesos, de tal manera que cada uno de estos articuladamente apoyan a las áreas misionales y administrativas para el cumplimiento de los objetivos estratégicos de la </w:t>
      </w:r>
      <w:r>
        <w:rPr>
          <w:rFonts w:eastAsia="Arial" w:cs="Arial"/>
          <w:sz w:val="22"/>
          <w:szCs w:val="22"/>
        </w:rPr>
        <w:t>Entidad</w:t>
      </w:r>
      <w:r w:rsidRPr="008258E7">
        <w:rPr>
          <w:rFonts w:eastAsia="Arial" w:cs="Arial"/>
          <w:sz w:val="22"/>
          <w:szCs w:val="22"/>
        </w:rPr>
        <w:t>:</w:t>
      </w:r>
    </w:p>
    <w:p w14:paraId="7D0D9549" w14:textId="77777777" w:rsidR="00A3191D" w:rsidRPr="008258E7" w:rsidRDefault="00A3191D" w:rsidP="00C72779">
      <w:pPr>
        <w:jc w:val="both"/>
        <w:rPr>
          <w:rFonts w:eastAsia="Arial" w:cs="Arial"/>
          <w:color w:val="292929"/>
          <w:sz w:val="22"/>
          <w:szCs w:val="22"/>
          <w:lang w:val="es"/>
        </w:rPr>
      </w:pPr>
      <w:r w:rsidRPr="008258E7">
        <w:rPr>
          <w:rFonts w:eastAsia="Arial" w:cs="Arial"/>
          <w:color w:val="292929"/>
          <w:sz w:val="22"/>
          <w:szCs w:val="22"/>
          <w:lang w:val="es"/>
        </w:rPr>
        <w:t xml:space="preserve"> </w:t>
      </w:r>
    </w:p>
    <w:p w14:paraId="619BBE29" w14:textId="0B8CBD1D" w:rsidR="00A3191D" w:rsidRPr="008258E7" w:rsidRDefault="00A3191D" w:rsidP="00C72779">
      <w:pPr>
        <w:jc w:val="both"/>
        <w:rPr>
          <w:rFonts w:eastAsia="Arial" w:cs="Arial"/>
          <w:sz w:val="22"/>
          <w:szCs w:val="22"/>
          <w:lang w:val="es"/>
        </w:rPr>
      </w:pPr>
      <w:r w:rsidRPr="008258E7">
        <w:rPr>
          <w:rFonts w:eastAsia="Arial" w:cs="Arial"/>
          <w:b/>
          <w:bCs/>
          <w:sz w:val="22"/>
          <w:szCs w:val="22"/>
          <w:lang w:val="es"/>
        </w:rPr>
        <w:t>Infraestructura de Datos Espaciales – ICDE:</w:t>
      </w:r>
      <w:r w:rsidRPr="00D81B27">
        <w:rPr>
          <w:rFonts w:eastAsia="Arial" w:cs="Arial"/>
          <w:sz w:val="22"/>
          <w:szCs w:val="22"/>
          <w:lang w:val="es"/>
        </w:rPr>
        <w:t xml:space="preserve"> Tiene por objetivo:</w:t>
      </w:r>
      <w:r w:rsidRPr="008258E7">
        <w:rPr>
          <w:rFonts w:eastAsia="Arial" w:cs="Arial"/>
          <w:b/>
          <w:bCs/>
          <w:sz w:val="22"/>
          <w:szCs w:val="22"/>
          <w:lang w:val="es"/>
        </w:rPr>
        <w:t xml:space="preserve">  </w:t>
      </w:r>
      <w:r w:rsidRPr="008258E7">
        <w:rPr>
          <w:rFonts w:eastAsia="Arial" w:cs="Arial"/>
          <w:sz w:val="22"/>
          <w:szCs w:val="22"/>
          <w:lang w:val="es"/>
        </w:rPr>
        <w:t xml:space="preserve">Desarrollar, coordinar y asesorar la implementación de estrategias y proyectos para la gestión de datos geoespaciales apoyados en tecnologías que impulsen y consoliden las infraestructuras de datos espaciales para optimizar la producción, acceso y uso de la información geoespacial de los sistemas nacionales de información asociados a los datos geoespaciales fundamentales como apoyo a la toma de decisiones en todos los campos de la política pública </w:t>
      </w:r>
    </w:p>
    <w:p w14:paraId="25317C60" w14:textId="7DE2B02B" w:rsidR="00A3191D" w:rsidRPr="008258E7" w:rsidRDefault="00A3191D" w:rsidP="00C72779">
      <w:pPr>
        <w:jc w:val="both"/>
        <w:rPr>
          <w:rFonts w:eastAsia="Arial" w:cs="Arial"/>
          <w:sz w:val="22"/>
          <w:szCs w:val="22"/>
        </w:rPr>
      </w:pPr>
      <w:r w:rsidRPr="008258E7">
        <w:rPr>
          <w:rFonts w:eastAsia="Arial" w:cs="Arial"/>
          <w:b/>
          <w:bCs/>
          <w:sz w:val="22"/>
          <w:szCs w:val="22"/>
        </w:rPr>
        <w:t xml:space="preserve">Gestión de Tecnologías de Información: </w:t>
      </w:r>
      <w:r w:rsidRPr="008258E7">
        <w:rPr>
          <w:rFonts w:eastAsia="Arial" w:cs="Arial"/>
          <w:sz w:val="22"/>
          <w:szCs w:val="22"/>
        </w:rPr>
        <w:t xml:space="preserve">Tiene por objetivo: fortalecer las competencias en materia de innovación tecnológica con énfasis en la gestión de datos geográficos a través de la implementación, mantenimiento y actualización de políticas de acuerdo con la normatividad vigente. </w:t>
      </w:r>
    </w:p>
    <w:p w14:paraId="39E38522" w14:textId="360BCB1E" w:rsidR="00A3191D" w:rsidRPr="00F21B72" w:rsidRDefault="00A3191D" w:rsidP="00C72779">
      <w:pPr>
        <w:jc w:val="both"/>
        <w:rPr>
          <w:rFonts w:eastAsia="Arial" w:cs="Arial"/>
          <w:sz w:val="22"/>
          <w:szCs w:val="22"/>
        </w:rPr>
      </w:pPr>
      <w:r w:rsidRPr="008258E7">
        <w:rPr>
          <w:rFonts w:eastAsia="Arial" w:cs="Arial"/>
          <w:b/>
          <w:bCs/>
          <w:sz w:val="22"/>
          <w:szCs w:val="22"/>
        </w:rPr>
        <w:t xml:space="preserve">Diseño y Desarrollo de Sistemas de Información: </w:t>
      </w:r>
      <w:r w:rsidRPr="008258E7">
        <w:rPr>
          <w:rFonts w:eastAsia="Arial" w:cs="Arial"/>
          <w:sz w:val="22"/>
          <w:szCs w:val="22"/>
        </w:rPr>
        <w:t xml:space="preserve">Tiene por objetivo: establecer las actividades para el diseño e implementación de sistemas de información y aplicaciones que, con </w:t>
      </w:r>
      <w:r w:rsidRPr="008258E7">
        <w:rPr>
          <w:rFonts w:eastAsia="Arial" w:cs="Arial"/>
          <w:sz w:val="22"/>
          <w:szCs w:val="22"/>
        </w:rPr>
        <w:lastRenderedPageBreak/>
        <w:t>el fin de asegurar la unidad de criterios de todos los participantes en el proceso y el cumplimiento en todas las etapas del mismo</w:t>
      </w:r>
      <w:r>
        <w:rPr>
          <w:rFonts w:eastAsia="Arial" w:cs="Arial"/>
          <w:sz w:val="22"/>
          <w:szCs w:val="22"/>
        </w:rPr>
        <w:t>.</w:t>
      </w:r>
    </w:p>
    <w:p w14:paraId="68774EE1" w14:textId="77777777" w:rsidR="00A3191D" w:rsidRPr="008258E7" w:rsidRDefault="00A3191D" w:rsidP="00C72779">
      <w:pPr>
        <w:jc w:val="both"/>
        <w:rPr>
          <w:rFonts w:eastAsia="Arial" w:cs="Arial"/>
          <w:sz w:val="22"/>
          <w:szCs w:val="22"/>
        </w:rPr>
      </w:pPr>
      <w:r w:rsidRPr="008258E7">
        <w:rPr>
          <w:rFonts w:eastAsia="Arial" w:cs="Arial"/>
          <w:b/>
          <w:bCs/>
          <w:sz w:val="22"/>
          <w:szCs w:val="22"/>
        </w:rPr>
        <w:t>Gestión de la Infraestructura:</w:t>
      </w:r>
      <w:r w:rsidRPr="008258E7">
        <w:rPr>
          <w:rFonts w:eastAsia="Arial" w:cs="Arial"/>
          <w:sz w:val="22"/>
          <w:szCs w:val="22"/>
        </w:rPr>
        <w:t xml:space="preserve"> Tiene por objetivo: definir e Implementar, políticas, estrategias y prácticas en materia de Tecnologías de la información, que conlleven a la prestación del soporte y mantenimiento de los servicios tecnológicos de forma oportuna, eficaz y, que faciliten la gobernanza y gestión de las tecnologías digitales </w:t>
      </w:r>
    </w:p>
    <w:p w14:paraId="5A56AD20" w14:textId="77777777" w:rsidR="00A3191D" w:rsidRPr="00A3191D" w:rsidRDefault="00A3191D" w:rsidP="00C72779">
      <w:pPr>
        <w:pStyle w:val="Lista"/>
      </w:pPr>
    </w:p>
    <w:p w14:paraId="7A93D303" w14:textId="6A39C43E" w:rsidR="00D05FB3" w:rsidRDefault="00D05FB3" w:rsidP="000A20EE">
      <w:pPr>
        <w:pStyle w:val="Prrafodelista"/>
        <w:numPr>
          <w:ilvl w:val="2"/>
          <w:numId w:val="24"/>
        </w:numPr>
        <w:rPr>
          <w:b/>
          <w:bCs/>
          <w:sz w:val="22"/>
          <w:szCs w:val="22"/>
        </w:rPr>
      </w:pPr>
      <w:r w:rsidRPr="002D2F11">
        <w:rPr>
          <w:b/>
          <w:bCs/>
          <w:sz w:val="22"/>
          <w:szCs w:val="22"/>
        </w:rPr>
        <w:t>R</w:t>
      </w:r>
      <w:r w:rsidR="00FF484E">
        <w:rPr>
          <w:b/>
          <w:bCs/>
          <w:sz w:val="22"/>
          <w:szCs w:val="22"/>
        </w:rPr>
        <w:t>ESULTADOS</w:t>
      </w:r>
      <w:r w:rsidRPr="002D2F11">
        <w:rPr>
          <w:b/>
          <w:bCs/>
          <w:sz w:val="22"/>
          <w:szCs w:val="22"/>
        </w:rPr>
        <w:t xml:space="preserve"> </w:t>
      </w:r>
      <w:r w:rsidR="00FF484E">
        <w:rPr>
          <w:b/>
          <w:bCs/>
          <w:sz w:val="22"/>
          <w:szCs w:val="22"/>
        </w:rPr>
        <w:t>Y LOGROS</w:t>
      </w:r>
    </w:p>
    <w:p w14:paraId="14EB4D40" w14:textId="77777777" w:rsidR="00A3191D" w:rsidRDefault="00A3191D" w:rsidP="00C72779">
      <w:pPr>
        <w:pStyle w:val="Lista"/>
      </w:pPr>
    </w:p>
    <w:p w14:paraId="7D87299E" w14:textId="77777777" w:rsidR="00A3191D" w:rsidRDefault="00A3191D" w:rsidP="00C72779">
      <w:pPr>
        <w:rPr>
          <w:rFonts w:eastAsia="Arial" w:cs="Arial"/>
          <w:sz w:val="22"/>
          <w:szCs w:val="22"/>
          <w:lang w:val="es"/>
        </w:rPr>
      </w:pPr>
      <w:r w:rsidRPr="003A44A8">
        <w:rPr>
          <w:rFonts w:eastAsia="Arial" w:cs="Arial"/>
          <w:sz w:val="22"/>
          <w:szCs w:val="22"/>
          <w:lang w:val="es"/>
        </w:rPr>
        <w:t>A continuación, se presentan los principales logros obtenidos</w:t>
      </w:r>
      <w:r>
        <w:rPr>
          <w:rFonts w:eastAsia="Arial" w:cs="Arial"/>
          <w:sz w:val="22"/>
          <w:szCs w:val="22"/>
          <w:lang w:val="es"/>
        </w:rPr>
        <w:t xml:space="preserve"> </w:t>
      </w:r>
      <w:r w:rsidRPr="003A44A8">
        <w:rPr>
          <w:rFonts w:eastAsia="Arial" w:cs="Arial"/>
          <w:sz w:val="22"/>
          <w:szCs w:val="22"/>
          <w:lang w:val="es"/>
        </w:rPr>
        <w:t>durante el periodo</w:t>
      </w:r>
      <w:r>
        <w:rPr>
          <w:rFonts w:eastAsia="Arial" w:cs="Arial"/>
          <w:sz w:val="22"/>
          <w:szCs w:val="22"/>
          <w:lang w:val="es"/>
        </w:rPr>
        <w:t>:</w:t>
      </w:r>
    </w:p>
    <w:p w14:paraId="45549C1E" w14:textId="46333FFD" w:rsidR="00A3191D" w:rsidRPr="00964A0F" w:rsidRDefault="00A3191D" w:rsidP="00C72779">
      <w:pPr>
        <w:jc w:val="both"/>
        <w:rPr>
          <w:rFonts w:eastAsia="Arial" w:cs="Arial"/>
          <w:b/>
          <w:bCs/>
          <w:sz w:val="22"/>
          <w:szCs w:val="22"/>
          <w:lang w:val="es"/>
        </w:rPr>
      </w:pPr>
    </w:p>
    <w:p w14:paraId="632AF661" w14:textId="46333FFD" w:rsidR="00A3191D" w:rsidRPr="00964A0F" w:rsidRDefault="33C901F7" w:rsidP="00C72779">
      <w:pPr>
        <w:jc w:val="both"/>
      </w:pPr>
      <w:r w:rsidRPr="266048C7">
        <w:rPr>
          <w:rFonts w:eastAsia="Arial" w:cs="Arial"/>
          <w:b/>
          <w:bCs/>
          <w:sz w:val="22"/>
          <w:szCs w:val="22"/>
          <w:lang w:val="es"/>
        </w:rPr>
        <w:t>INFRAESTRUCTURA DE DATOS ESPACIALES – ICDE Y GESTIÓN DE TECNOLOGÍAS DE LA INFORMACIÓN</w:t>
      </w:r>
    </w:p>
    <w:p w14:paraId="59F5FF57" w14:textId="46333FFD" w:rsidR="00A3191D" w:rsidRPr="00964A0F" w:rsidRDefault="00A3191D" w:rsidP="00C72779">
      <w:pPr>
        <w:jc w:val="both"/>
        <w:rPr>
          <w:rFonts w:eastAsia="Arial" w:cs="Arial"/>
          <w:b/>
          <w:bCs/>
          <w:sz w:val="22"/>
          <w:szCs w:val="22"/>
          <w:lang w:val="es"/>
        </w:rPr>
      </w:pPr>
      <w:r w:rsidRPr="266048C7">
        <w:rPr>
          <w:rFonts w:eastAsia="Arial" w:cs="Arial"/>
          <w:b/>
          <w:bCs/>
          <w:sz w:val="22"/>
          <w:szCs w:val="22"/>
          <w:lang w:val="es"/>
        </w:rPr>
        <w:t xml:space="preserve"> </w:t>
      </w:r>
    </w:p>
    <w:p w14:paraId="21FF6CB2" w14:textId="3DCB0BAA" w:rsidR="00A3191D" w:rsidRPr="00EE4233" w:rsidRDefault="00A3191D" w:rsidP="000A20EE">
      <w:pPr>
        <w:pStyle w:val="Prrafodelista"/>
        <w:numPr>
          <w:ilvl w:val="0"/>
          <w:numId w:val="114"/>
        </w:numPr>
        <w:suppressAutoHyphens w:val="0"/>
        <w:overflowPunct/>
        <w:autoSpaceDE/>
        <w:spacing w:after="160"/>
        <w:contextualSpacing/>
        <w:textAlignment w:val="auto"/>
        <w:rPr>
          <w:rFonts w:eastAsiaTheme="minorEastAsia" w:cs="Arial"/>
          <w:sz w:val="22"/>
          <w:szCs w:val="22"/>
          <w:lang w:val="es-MX"/>
        </w:rPr>
      </w:pPr>
      <w:r w:rsidRPr="00964A0F">
        <w:rPr>
          <w:rFonts w:eastAsia="Arial" w:cs="Arial"/>
          <w:sz w:val="22"/>
          <w:szCs w:val="22"/>
          <w:lang w:val="es-MX"/>
        </w:rPr>
        <w:t>En octubre 2021 entró en ambiente productivo la nueva plataforma ICDE, permitiendo disponer a los ciudadanos y Entidades del sector central y territorial todos los recursos de Infraestructura de Datos Espaciales del país, como la central de consulta y abastecimiento de los servicios y herramientas geoespaciales útiles para realizar análisis geográfico estratégico del territorio nacional. Esta plataforma garantiza el derecho constitucional que tiene todo colombiano a adquirir información pública de su competencia y beneficia a toda la comunidad interesada en obtener y producir datos e información geoespacial, desde el sector institucional, gobierno y Entidades públicas y privadas, al sector académico entre universidades e investigadores.</w:t>
      </w:r>
    </w:p>
    <w:p w14:paraId="2A4C52B7" w14:textId="36710CBA" w:rsidR="00A3191D" w:rsidRPr="00EE4233" w:rsidRDefault="00A3191D" w:rsidP="000A20EE">
      <w:pPr>
        <w:pStyle w:val="Prrafodelista"/>
        <w:numPr>
          <w:ilvl w:val="0"/>
          <w:numId w:val="114"/>
        </w:numPr>
        <w:suppressAutoHyphens w:val="0"/>
        <w:overflowPunct/>
        <w:autoSpaceDE/>
        <w:spacing w:after="160"/>
        <w:contextualSpacing/>
        <w:textAlignment w:val="auto"/>
        <w:rPr>
          <w:rFonts w:eastAsia="Arial" w:cs="Arial"/>
          <w:sz w:val="22"/>
          <w:szCs w:val="22"/>
          <w:lang w:val="es-MX"/>
        </w:rPr>
      </w:pPr>
      <w:r w:rsidRPr="00964A0F">
        <w:rPr>
          <w:rFonts w:eastAsia="Arial" w:cs="Arial"/>
          <w:sz w:val="22"/>
          <w:szCs w:val="22"/>
          <w:lang w:val="es-MX"/>
        </w:rPr>
        <w:t>Se desarrollan los talleres territoriales para dar a conocer los beneficios que la ICDE entrega a las Entidades territoriales, y se les capacita sobre el acceso, uso y aprovechamiento de información geoespacial. Dichos talleres comenzaron a gestarse en el mes de octubre 2021</w:t>
      </w:r>
    </w:p>
    <w:p w14:paraId="2DAC4173" w14:textId="7E3D0CA1" w:rsidR="00A3191D" w:rsidRPr="00EE4233" w:rsidRDefault="00A3191D" w:rsidP="000A20EE">
      <w:pPr>
        <w:pStyle w:val="Prrafodelista"/>
        <w:numPr>
          <w:ilvl w:val="0"/>
          <w:numId w:val="114"/>
        </w:numPr>
        <w:suppressAutoHyphens w:val="0"/>
        <w:overflowPunct/>
        <w:autoSpaceDE/>
        <w:spacing w:after="160"/>
        <w:contextualSpacing/>
        <w:textAlignment w:val="auto"/>
        <w:rPr>
          <w:rFonts w:eastAsia="Arial" w:cs="Arial"/>
          <w:sz w:val="22"/>
          <w:szCs w:val="22"/>
          <w:lang w:val="es-MX"/>
        </w:rPr>
      </w:pPr>
      <w:r w:rsidRPr="00964A0F">
        <w:rPr>
          <w:rFonts w:eastAsia="Arial" w:cs="Arial"/>
          <w:sz w:val="22"/>
          <w:szCs w:val="22"/>
          <w:lang w:val="es-MX"/>
        </w:rPr>
        <w:t>Dentro del marco de la Resolución 789 de 2020 del IGAC, donde se dan lineamiento para la construcción del Sistema Nacional de Información Catastral - SINIC, se inicia el desarrollo de una solución tecnológica de contingencia denominada SINIC – Xpress. Dicha solución tiene como objetivo integrar la información proveniente de los gestores catastrales (a través de formato de transferencia de datos XTF) e integrarse con el repositorio de datos maestros (RDM) como una apuesta de interoperabilidad y componente vital en la generación de la Ventanilla Única de Trámites. SINIC-Xpress permitirá madurar y entender mejor el escenario tecnológico y de operación adecuados para el sistema final, que se construirá bajo el contrato de fábrica de software para el desarrollo del RDM. Esta iniciativa se viene desarrollando en coordinación con la Dirección de Gestión Catastra</w:t>
      </w:r>
    </w:p>
    <w:p w14:paraId="1F2878E0" w14:textId="77777777" w:rsidR="00EE4233" w:rsidRDefault="00A3191D" w:rsidP="000A20EE">
      <w:pPr>
        <w:pStyle w:val="Prrafodelista"/>
        <w:numPr>
          <w:ilvl w:val="0"/>
          <w:numId w:val="114"/>
        </w:numPr>
        <w:suppressAutoHyphens w:val="0"/>
        <w:overflowPunct/>
        <w:autoSpaceDE/>
        <w:spacing w:after="160"/>
        <w:contextualSpacing/>
        <w:textAlignment w:val="auto"/>
        <w:rPr>
          <w:rFonts w:eastAsia="Arial" w:cs="Arial"/>
          <w:sz w:val="22"/>
          <w:szCs w:val="22"/>
          <w:lang w:val="es-MX"/>
        </w:rPr>
      </w:pPr>
      <w:r w:rsidRPr="00964A0F">
        <w:rPr>
          <w:rFonts w:eastAsia="Arial" w:cs="Arial"/>
          <w:sz w:val="22"/>
          <w:szCs w:val="22"/>
          <w:lang w:val="es-MX"/>
        </w:rPr>
        <w:t xml:space="preserve">En el mes de octubre y en coordinación con la Dirección de Investigación y Prospectiva se ha venido ejecutando un piloto que implementa una de las funcionalidades del Observatorio Inmobiliario Catastral (OIC), cuyo objetivo es integrar datos de distintos actores del sector inmobiliario colombiano, entre otros: los gestores catastrales, Entidades financieras, portales de finca raíz, información estadística DANE entre otros. El OIC está reglamentado bajo el Decreto 148 de 2020, Decreto 846 de 2021. El OIC se convertirá en un sistema de información que permite la recolección, procesamiento y análisis de información especializada del mercado inmobiliario (urbano y rural), realiza la gestión, consecución, procesamiento y disposición de información insumo requerida para el proceso de gestión catastral; investiga el mercado y la dinámica inmobiliaria del país facilitando la toma de decisiones y los procesos de planificación territorial. Este piloto está basado en la construcción de un modelo estadístico para la “Determinación de los niveles de probabilidad de cambios físicos inmobiliarios en el territorio”.   </w:t>
      </w:r>
    </w:p>
    <w:p w14:paraId="3DC6AC56" w14:textId="77777777" w:rsidR="00EE4233" w:rsidRDefault="00EE4233" w:rsidP="00C72779">
      <w:pPr>
        <w:pStyle w:val="Prrafodelista"/>
        <w:suppressAutoHyphens w:val="0"/>
        <w:overflowPunct/>
        <w:autoSpaceDE/>
        <w:spacing w:after="160"/>
        <w:ind w:left="785"/>
        <w:contextualSpacing/>
        <w:textAlignment w:val="auto"/>
        <w:rPr>
          <w:rFonts w:eastAsia="Arial" w:cs="Arial"/>
          <w:sz w:val="22"/>
          <w:szCs w:val="22"/>
          <w:lang w:val="es-MX"/>
        </w:rPr>
      </w:pPr>
    </w:p>
    <w:p w14:paraId="1A8C37A5" w14:textId="77777777" w:rsidR="00EE4233" w:rsidRDefault="00A3191D" w:rsidP="00C72779">
      <w:pPr>
        <w:pStyle w:val="Prrafodelista"/>
        <w:suppressAutoHyphens w:val="0"/>
        <w:overflowPunct/>
        <w:autoSpaceDE/>
        <w:spacing w:after="160"/>
        <w:ind w:left="785"/>
        <w:contextualSpacing/>
        <w:textAlignment w:val="auto"/>
        <w:rPr>
          <w:rFonts w:eastAsia="Arial" w:cs="Arial"/>
          <w:sz w:val="22"/>
          <w:szCs w:val="22"/>
          <w:lang w:val="es-MX"/>
        </w:rPr>
      </w:pPr>
      <w:r w:rsidRPr="00964A0F">
        <w:rPr>
          <w:rFonts w:eastAsia="Arial" w:cs="Arial"/>
          <w:sz w:val="22"/>
          <w:szCs w:val="22"/>
          <w:lang w:val="es-MX"/>
        </w:rPr>
        <w:t>Su objetivo es identificar las variables que contribuyen de forma significativa a la predicción de los niveles de probabilidad de cambios del componente físico, predecir los niveles de probabilidad de cambios asociadas al componente físico respecto a la agrupación o clasificación identificada, generar superficies o mapas de calor y gráficas estadísticas que muestre la probabilidad de la existencia de cambios físicos en la propiedad inmobiliaria en el territorio, crear indicadores que muestren particularidades de la dinámica inmobiliaria de los distintos territorios, generar información en tableros de control que facilite la toma de decisiones tanto en los procesos catastrales, como en la gestión del territorio (hacienda, planeación y hábitat).  En resumen, este piloto se constituye en un centro de datos que permite optimizar el trabajo en campo durante los procesos de actualización catastral, centrándose en aquellas ubicaciones que tienen una probabilidad alta de cambios. Se espera que para el 15 de diciembre se tenga un primer ejercicio de integración y conformación de datos en el OIC y entregar un primer modelo de análisis.</w:t>
      </w:r>
    </w:p>
    <w:p w14:paraId="2DD19AEA" w14:textId="0DCA0771" w:rsidR="00A3191D" w:rsidRPr="00EE4233" w:rsidRDefault="00A3191D" w:rsidP="000A20EE">
      <w:pPr>
        <w:pStyle w:val="Prrafodelista"/>
        <w:numPr>
          <w:ilvl w:val="0"/>
          <w:numId w:val="179"/>
        </w:numPr>
        <w:suppressAutoHyphens w:val="0"/>
        <w:overflowPunct/>
        <w:autoSpaceDE/>
        <w:spacing w:after="160"/>
        <w:contextualSpacing/>
        <w:textAlignment w:val="auto"/>
        <w:rPr>
          <w:rFonts w:eastAsia="Arial" w:cs="Arial"/>
          <w:sz w:val="22"/>
          <w:szCs w:val="22"/>
          <w:lang w:val="es-MX"/>
        </w:rPr>
      </w:pPr>
      <w:r w:rsidRPr="00EE4233">
        <w:rPr>
          <w:rFonts w:eastAsia="Arial" w:cs="Arial"/>
          <w:sz w:val="22"/>
          <w:szCs w:val="22"/>
          <w:lang w:val="es-MX"/>
        </w:rPr>
        <w:t>A nivel de ejemplo, el OIC se constituye en un centro de datos que permite optimizar el trabajo en campo durante los procesos de actualización catastral, centrándose en aquellas ubicaciones que tienen una probabilidad alta de cambios. Se espera que para el 15 de diciembre se tenga un primer ejercicio de integración y conformación de datos en el OIC y entregar un primer modelo de análisis</w:t>
      </w:r>
    </w:p>
    <w:p w14:paraId="5D30DAE6" w14:textId="46333FFD" w:rsidR="00A3191D" w:rsidRPr="00964A0F" w:rsidRDefault="00A3191D" w:rsidP="00C72779">
      <w:pPr>
        <w:pStyle w:val="Prrafodelista"/>
        <w:ind w:left="1080"/>
        <w:rPr>
          <w:rFonts w:eastAsia="Arial" w:cs="Arial"/>
          <w:b/>
          <w:bCs/>
          <w:sz w:val="22"/>
          <w:szCs w:val="22"/>
        </w:rPr>
      </w:pPr>
    </w:p>
    <w:p w14:paraId="128123F2" w14:textId="46333FFD" w:rsidR="00A3191D" w:rsidRPr="00964A0F" w:rsidRDefault="2F405ABE" w:rsidP="00C72779">
      <w:pPr>
        <w:jc w:val="both"/>
        <w:textAlignment w:val="baseline"/>
      </w:pPr>
      <w:r w:rsidRPr="266048C7">
        <w:rPr>
          <w:rFonts w:eastAsia="Arial" w:cs="Arial"/>
          <w:b/>
          <w:bCs/>
          <w:sz w:val="22"/>
          <w:szCs w:val="22"/>
          <w:lang w:val="es"/>
        </w:rPr>
        <w:t>GESTIÓN DE INFRAESTRUCTURA</w:t>
      </w:r>
    </w:p>
    <w:p w14:paraId="63FE6718" w14:textId="46333FFD" w:rsidR="00A3191D" w:rsidRPr="00964A0F" w:rsidRDefault="00A3191D" w:rsidP="00C72779">
      <w:pPr>
        <w:pStyle w:val="paragraph"/>
        <w:spacing w:before="0" w:beforeAutospacing="0" w:after="0" w:afterAutospacing="0"/>
        <w:jc w:val="both"/>
        <w:textAlignment w:val="baseline"/>
        <w:rPr>
          <w:rStyle w:val="eop"/>
          <w:rFonts w:eastAsia="Arial"/>
          <w:b/>
          <w:lang w:val="es"/>
        </w:rPr>
      </w:pPr>
    </w:p>
    <w:p w14:paraId="31C5EE91" w14:textId="77777777" w:rsidR="00A3191D" w:rsidRPr="00964A0F" w:rsidRDefault="00A3191D" w:rsidP="000A20EE">
      <w:pPr>
        <w:pStyle w:val="paragraph"/>
        <w:numPr>
          <w:ilvl w:val="0"/>
          <w:numId w:val="129"/>
        </w:numPr>
        <w:spacing w:before="0" w:beforeAutospacing="0" w:after="0" w:afterAutospacing="0"/>
        <w:jc w:val="both"/>
        <w:textAlignment w:val="baseline"/>
        <w:rPr>
          <w:rStyle w:val="eop"/>
          <w:rFonts w:cs="Arial"/>
          <w:sz w:val="22"/>
          <w:szCs w:val="22"/>
        </w:rPr>
      </w:pPr>
      <w:r w:rsidRPr="00964A0F">
        <w:rPr>
          <w:rStyle w:val="normaltextrun"/>
          <w:rFonts w:eastAsia="Calibri" w:cs="Arial"/>
          <w:sz w:val="22"/>
          <w:szCs w:val="22"/>
        </w:rPr>
        <w:t>Migración de 54 servidores COBOL que se encontraban ubicados físicamente en las sedes remotas del IGAC, hacía la plataforma de virtualización ubicada en la sede central de la Entidad. </w:t>
      </w:r>
      <w:r w:rsidRPr="00964A0F">
        <w:rPr>
          <w:rStyle w:val="eop"/>
          <w:rFonts w:cs="Arial"/>
          <w:sz w:val="22"/>
          <w:szCs w:val="22"/>
        </w:rPr>
        <w:t> </w:t>
      </w:r>
    </w:p>
    <w:p w14:paraId="115E0B44" w14:textId="77777777" w:rsidR="00A3191D" w:rsidRPr="00964A0F" w:rsidRDefault="00A3191D" w:rsidP="000A20EE">
      <w:pPr>
        <w:pStyle w:val="paragraph"/>
        <w:numPr>
          <w:ilvl w:val="0"/>
          <w:numId w:val="129"/>
        </w:numPr>
        <w:spacing w:before="0" w:beforeAutospacing="0" w:after="0" w:afterAutospacing="0"/>
        <w:jc w:val="both"/>
        <w:textAlignment w:val="baseline"/>
        <w:rPr>
          <w:rStyle w:val="eop"/>
          <w:rFonts w:cs="Arial"/>
          <w:sz w:val="22"/>
          <w:szCs w:val="22"/>
        </w:rPr>
      </w:pPr>
      <w:r w:rsidRPr="00964A0F">
        <w:rPr>
          <w:rStyle w:val="normaltextrun"/>
          <w:rFonts w:eastAsia="Calibri" w:cs="Arial"/>
          <w:sz w:val="22"/>
          <w:szCs w:val="22"/>
        </w:rPr>
        <w:t>Fortalecimiento de la seguridad informática y de la información de cada una de las territoriales, con una administración más adecuada en el Data Center principal de la Entidad y asignando un mayor espacio de almacenamiento, para realizar copias de seguridad por parte de los ingenieros de la territoriales. </w:t>
      </w:r>
      <w:r w:rsidRPr="00964A0F">
        <w:rPr>
          <w:rStyle w:val="eop"/>
          <w:rFonts w:cs="Arial"/>
          <w:sz w:val="22"/>
          <w:szCs w:val="22"/>
        </w:rPr>
        <w:t> </w:t>
      </w:r>
    </w:p>
    <w:p w14:paraId="5FE2FA55"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Migración de 247 servidores virtuales desde la Infraestructura VMWare 5.0 a la infraestructura hyperconvergente CISCO VMWare 6.7.  Con la migración de estos servidores se logró obtener la consolidación de servidores, la reducción de consumo energético y un aumento de productividad. Así mismo se obtuvo un mejor control de aprovisionamiento de memoria y CPU, un almacenamiento óptimo para el servidor y menores tiempos de recuperación. </w:t>
      </w:r>
      <w:r w:rsidRPr="00964A0F">
        <w:rPr>
          <w:rStyle w:val="eop"/>
          <w:rFonts w:cs="Arial"/>
          <w:sz w:val="22"/>
          <w:szCs w:val="22"/>
        </w:rPr>
        <w:t> </w:t>
      </w:r>
    </w:p>
    <w:p w14:paraId="21AA656C"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Se realizó el proceso de renovación de las plataformas de licenciamiento de: Antivirus, Balanceadores F5, Firewall, renovación y ampliación de los canales de comunicación a nivel Nacional, permitiendo al Instituto blindar sus Plataformas Tecnológicas y mejorar la transmisión de datos voz y video a través de los canales comunicación a nivel nacional. </w:t>
      </w:r>
      <w:r w:rsidRPr="00964A0F">
        <w:rPr>
          <w:rStyle w:val="eop"/>
          <w:rFonts w:cs="Arial"/>
          <w:sz w:val="22"/>
          <w:szCs w:val="22"/>
        </w:rPr>
        <w:t> </w:t>
      </w:r>
    </w:p>
    <w:p w14:paraId="2101B235"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Se adelantó el proceso contractual con el  Banco Mundial y BID proyecto: Programa para la Adopción e Implementación de un Catastro Multipropósito Rural – Urbano  “</w:t>
      </w:r>
      <w:r w:rsidRPr="00964A0F">
        <w:rPr>
          <w:rFonts w:cs="Arial"/>
          <w:sz w:val="22"/>
          <w:szCs w:val="22"/>
          <w:lang w:val="es-ES"/>
        </w:rPr>
        <w:t>Adquirir e implementar (instalación y configuración, prueba, puesta en funcionamiento, estabilización y transferencia de conocimiento), soporte y mantenimiento de una solución integral de comunicaciones, gestionada por software que contemple equipos de redes LAN y WLAN, para la Entidad a nivel nacional</w:t>
      </w:r>
      <w:r w:rsidRPr="00964A0F">
        <w:rPr>
          <w:rStyle w:val="normaltextrun"/>
          <w:rFonts w:eastAsia="Calibri" w:cs="Arial"/>
          <w:sz w:val="22"/>
          <w:szCs w:val="22"/>
        </w:rPr>
        <w:t>”</w:t>
      </w:r>
      <w:r w:rsidRPr="00964A0F">
        <w:rPr>
          <w:rStyle w:val="Refdecomentario"/>
          <w:rFonts w:cs="Arial"/>
          <w:sz w:val="22"/>
          <w:szCs w:val="22"/>
          <w:lang w:eastAsia="ar-SA"/>
        </w:rPr>
        <w:t xml:space="preserve">, </w:t>
      </w:r>
      <w:r w:rsidRPr="00964A0F">
        <w:rPr>
          <w:rFonts w:cs="Arial"/>
          <w:sz w:val="22"/>
          <w:szCs w:val="22"/>
        </w:rPr>
        <w:t xml:space="preserve"> a la fecha ya se notificó a las empresas la intensión de adjudicación.</w:t>
      </w:r>
    </w:p>
    <w:p w14:paraId="591E6A27"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 xml:space="preserve">Solución de Seguridad: Suministro, instalación, configuración, soporte y puesta en funcionamiento de una solución que brinde SOC/NOC y una solución de detección de </w:t>
      </w:r>
      <w:r w:rsidRPr="00964A0F">
        <w:rPr>
          <w:rStyle w:val="normaltextrun"/>
          <w:rFonts w:eastAsia="Calibri" w:cs="Arial"/>
          <w:sz w:val="22"/>
          <w:szCs w:val="22"/>
        </w:rPr>
        <w:lastRenderedPageBreak/>
        <w:t>vulnerabilidades para el fortalecimiento de la seguridad informática y de información de la Entidad. </w:t>
      </w:r>
      <w:r w:rsidRPr="00964A0F">
        <w:rPr>
          <w:rStyle w:val="eop"/>
          <w:rFonts w:cs="Arial"/>
          <w:sz w:val="22"/>
          <w:szCs w:val="22"/>
        </w:rPr>
        <w:t> </w:t>
      </w:r>
    </w:p>
    <w:p w14:paraId="7EDB3E45"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Ajustes y aprovisionamiento de la plataforma para trabajo en casa. Disponibilidad de la VPN, soporte e integración de grupos con firewall. </w:t>
      </w:r>
      <w:r w:rsidRPr="00964A0F">
        <w:rPr>
          <w:rStyle w:val="eop"/>
          <w:rFonts w:cs="Arial"/>
          <w:sz w:val="22"/>
          <w:szCs w:val="22"/>
        </w:rPr>
        <w:t> </w:t>
      </w:r>
    </w:p>
    <w:p w14:paraId="3BF0D0AE"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Atención de los servicios de mesa de servicios ofimáticos en los ANS establecidos: a la fecha se atendieron 6349 solicitudes (Requerimientos 5724 e Incidencias 625), de los cuales se resolvieron 6288 casos, atendiendo en un 99% los casos registrados por los usuarios.  </w:t>
      </w:r>
      <w:r w:rsidRPr="00964A0F">
        <w:rPr>
          <w:rStyle w:val="eop"/>
          <w:rFonts w:cs="Arial"/>
          <w:sz w:val="22"/>
          <w:szCs w:val="22"/>
        </w:rPr>
        <w:t> </w:t>
      </w:r>
    </w:p>
    <w:p w14:paraId="2082878B"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Adecuación centros de datos: Con el fin de realizar la adecuación, soporte y mantenimiento de los componentes eléctricos, sistemas auxiliares y aires acondicionados requeridos para el correcto funcionamiento del Centro de Datos del Instituto, dentro del marco del contrato a la fecha se han ejecutado cuatro (4) mantenimientos preventivos  a los equipos y elementos instalados en la ciudad de Bogotá: Aire Acondicionado, Planta eléctrica, Cableado Lógico, Piso Falso, Sistema CCTV, Sistema de detección, extinción de incendios y control de acceso, Subsistema de Control de Acceso. Adicional, se realizó la adquisición, logística, montaje acondicionamiento y mantenimiento de dos UPS trifásicas de 150 Kva con baterías y un (1) aire acondicionado de precisión de 10 TR para soportar las condiciones ambientales para garantizar la operación confiable de la infraestructura Tecnológica que soporta los servicios de información del IGAC.</w:t>
      </w:r>
      <w:r w:rsidRPr="00964A0F">
        <w:rPr>
          <w:rStyle w:val="eop"/>
          <w:rFonts w:cs="Arial"/>
          <w:sz w:val="22"/>
          <w:szCs w:val="22"/>
        </w:rPr>
        <w:t> </w:t>
      </w:r>
    </w:p>
    <w:p w14:paraId="4A969B4A"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Renovación de UPS en el edificio de catastro sede central: Se realiza el proceso de contratación, adquisición de UPS 80kVA, la cual se encuentra instalada y en operación desde el mes de febrero 2021. </w:t>
      </w:r>
      <w:r w:rsidRPr="00964A0F">
        <w:rPr>
          <w:rStyle w:val="eop"/>
          <w:rFonts w:cs="Arial"/>
          <w:sz w:val="22"/>
          <w:szCs w:val="22"/>
        </w:rPr>
        <w:t> </w:t>
      </w:r>
    </w:p>
    <w:p w14:paraId="0ED03DC7"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Instalación de infraestructura en la nube para componente geográfico: Se realizó el despliegue de 20 máquinas virtuales que a la fecha se encuentran en uso.  </w:t>
      </w:r>
      <w:r w:rsidRPr="00964A0F">
        <w:rPr>
          <w:rStyle w:val="eop"/>
          <w:rFonts w:cs="Arial"/>
          <w:sz w:val="22"/>
          <w:szCs w:val="22"/>
        </w:rPr>
        <w:t> </w:t>
      </w:r>
    </w:p>
    <w:p w14:paraId="65DEB13D"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Apoyo Actualizaciones Catastrales: Adecuación de equipos de cómputo impresoras, UPS, red eléctrica regulada y de datos.  </w:t>
      </w:r>
      <w:r w:rsidRPr="00964A0F">
        <w:rPr>
          <w:rStyle w:val="eop"/>
          <w:rFonts w:cs="Arial"/>
          <w:sz w:val="22"/>
          <w:szCs w:val="22"/>
        </w:rPr>
        <w:t> </w:t>
      </w:r>
    </w:p>
    <w:p w14:paraId="2B4268F9"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Renovación de contratos de canales de comunicación: Se encuentra en proceso de contratación, se radicó la respectiva documentación en la Unidad de Gestión para revisión y aprobación, con el fin de adelantar las actividades relacionadas con selección del contratista. </w:t>
      </w:r>
      <w:r w:rsidRPr="00964A0F">
        <w:rPr>
          <w:rStyle w:val="eop"/>
          <w:rFonts w:cs="Arial"/>
          <w:sz w:val="22"/>
          <w:szCs w:val="22"/>
        </w:rPr>
        <w:t> </w:t>
      </w:r>
    </w:p>
    <w:p w14:paraId="2DC1DCF1"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Disposición de redes SDWAN para procesos de actualización. Se adquirieron 20 dispositivos para apoyar los procesos de actualización catastral, los cuales se encuentran debidamente configurados y están siendo usados en varias actualizaciones catastrales que están en ejecución.</w:t>
      </w:r>
      <w:r w:rsidRPr="00964A0F">
        <w:rPr>
          <w:rStyle w:val="eop"/>
          <w:rFonts w:cs="Arial"/>
          <w:sz w:val="22"/>
          <w:szCs w:val="22"/>
        </w:rPr>
        <w:t> </w:t>
      </w:r>
    </w:p>
    <w:p w14:paraId="0145E425" w14:textId="77777777" w:rsidR="00A3191D" w:rsidRPr="00964A0F" w:rsidRDefault="00A3191D" w:rsidP="000A20EE">
      <w:pPr>
        <w:pStyle w:val="paragraph"/>
        <w:numPr>
          <w:ilvl w:val="0"/>
          <w:numId w:val="129"/>
        </w:numPr>
        <w:spacing w:before="0" w:beforeAutospacing="0" w:after="0" w:afterAutospacing="0"/>
        <w:jc w:val="both"/>
        <w:textAlignment w:val="baseline"/>
        <w:rPr>
          <w:rFonts w:cs="Arial"/>
          <w:sz w:val="22"/>
          <w:szCs w:val="22"/>
        </w:rPr>
      </w:pPr>
      <w:r w:rsidRPr="00964A0F">
        <w:rPr>
          <w:rStyle w:val="normaltextrun"/>
          <w:rFonts w:eastAsia="Calibri" w:cs="Arial"/>
          <w:b/>
          <w:sz w:val="22"/>
          <w:szCs w:val="22"/>
        </w:rPr>
        <w:t>Estrategias de capacitación</w:t>
      </w:r>
      <w:r w:rsidRPr="00964A0F">
        <w:rPr>
          <w:rStyle w:val="normaltextrun"/>
          <w:rFonts w:eastAsia="Calibri" w:cs="Arial"/>
          <w:sz w:val="22"/>
          <w:szCs w:val="22"/>
        </w:rPr>
        <w:t>: </w:t>
      </w:r>
      <w:r w:rsidRPr="00964A0F">
        <w:rPr>
          <w:rStyle w:val="eop"/>
          <w:rFonts w:cs="Arial"/>
          <w:sz w:val="22"/>
          <w:szCs w:val="22"/>
        </w:rPr>
        <w:t> </w:t>
      </w:r>
    </w:p>
    <w:p w14:paraId="714E03B4" w14:textId="77777777" w:rsidR="00A3191D" w:rsidRPr="00964A0F" w:rsidRDefault="00A3191D" w:rsidP="000A20EE">
      <w:pPr>
        <w:pStyle w:val="paragraph"/>
        <w:numPr>
          <w:ilvl w:val="0"/>
          <w:numId w:val="118"/>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A través de MINTIC se han gestionado charlas en temas de controles de seguridad</w:t>
      </w:r>
      <w:r w:rsidRPr="00964A0F">
        <w:rPr>
          <w:rStyle w:val="eop"/>
          <w:rFonts w:cs="Arial"/>
          <w:sz w:val="22"/>
          <w:szCs w:val="22"/>
        </w:rPr>
        <w:t>. </w:t>
      </w:r>
    </w:p>
    <w:p w14:paraId="58F10D4C" w14:textId="77777777" w:rsidR="00A3191D" w:rsidRPr="00964A0F" w:rsidRDefault="00A3191D" w:rsidP="000A20EE">
      <w:pPr>
        <w:pStyle w:val="paragraph"/>
        <w:numPr>
          <w:ilvl w:val="0"/>
          <w:numId w:val="119"/>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Apropiación de las herramientas de colaboración de Office 365 dirigido al usuario final del IGAC</w:t>
      </w:r>
      <w:r w:rsidRPr="00964A0F">
        <w:rPr>
          <w:rStyle w:val="eop"/>
          <w:rFonts w:cs="Arial"/>
          <w:sz w:val="22"/>
          <w:szCs w:val="22"/>
        </w:rPr>
        <w:t> </w:t>
      </w:r>
    </w:p>
    <w:p w14:paraId="3297FA32" w14:textId="77777777" w:rsidR="00A3191D" w:rsidRPr="00964A0F" w:rsidRDefault="00A3191D" w:rsidP="000A20EE">
      <w:pPr>
        <w:pStyle w:val="paragraph"/>
        <w:numPr>
          <w:ilvl w:val="0"/>
          <w:numId w:val="120"/>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Cultura de seguridad frente a la identificación y reporte de incidentes de seguridad de la información</w:t>
      </w:r>
      <w:r w:rsidRPr="00964A0F">
        <w:rPr>
          <w:rStyle w:val="eop"/>
          <w:rFonts w:cs="Arial"/>
          <w:sz w:val="22"/>
          <w:szCs w:val="22"/>
        </w:rPr>
        <w:t> </w:t>
      </w:r>
    </w:p>
    <w:p w14:paraId="0B6624FD" w14:textId="77777777" w:rsidR="00A3191D" w:rsidRPr="00964A0F" w:rsidRDefault="00A3191D" w:rsidP="00C72779">
      <w:pPr>
        <w:pStyle w:val="paragraph"/>
        <w:spacing w:before="0" w:beforeAutospacing="0" w:after="0" w:afterAutospacing="0"/>
        <w:ind w:left="1080"/>
        <w:jc w:val="both"/>
        <w:textAlignment w:val="baseline"/>
        <w:rPr>
          <w:rFonts w:cs="Arial"/>
          <w:sz w:val="22"/>
          <w:szCs w:val="22"/>
        </w:rPr>
      </w:pPr>
      <w:r w:rsidRPr="00964A0F">
        <w:rPr>
          <w:rStyle w:val="normaltextrun"/>
          <w:rFonts w:eastAsia="Calibri" w:cs="Arial"/>
          <w:sz w:val="22"/>
          <w:szCs w:val="22"/>
        </w:rPr>
        <w:t>Renovación de herramientas de colaboración Office 365: La Dirección de tecnologías de la información y comunicaciones, con el objetivo de mejorar la plataforma tecnológica de correo electrónico y herramientas colaborativas con las que cuenta actualmente la Entidad, realizó el cambio de la plataforma G-SUITE a la plataforma Office 365.</w:t>
      </w:r>
      <w:r w:rsidRPr="00964A0F">
        <w:rPr>
          <w:rStyle w:val="eop"/>
          <w:rFonts w:cs="Arial"/>
          <w:sz w:val="22"/>
          <w:szCs w:val="22"/>
        </w:rPr>
        <w:t> </w:t>
      </w:r>
    </w:p>
    <w:p w14:paraId="68A5A2B3" w14:textId="77777777" w:rsidR="00A3191D" w:rsidRPr="00964A0F" w:rsidRDefault="00A3191D" w:rsidP="000A20EE">
      <w:pPr>
        <w:pStyle w:val="paragraph"/>
        <w:numPr>
          <w:ilvl w:val="0"/>
          <w:numId w:val="131"/>
        </w:numPr>
        <w:spacing w:before="0" w:beforeAutospacing="0" w:after="0" w:afterAutospacing="0"/>
        <w:jc w:val="both"/>
        <w:textAlignment w:val="baseline"/>
        <w:rPr>
          <w:rFonts w:cs="Arial"/>
          <w:sz w:val="22"/>
          <w:szCs w:val="22"/>
        </w:rPr>
      </w:pPr>
      <w:r w:rsidRPr="00964A0F">
        <w:rPr>
          <w:rStyle w:val="normaltextrun"/>
          <w:rFonts w:eastAsia="Calibri" w:cs="Arial"/>
          <w:b/>
          <w:sz w:val="22"/>
          <w:szCs w:val="22"/>
        </w:rPr>
        <w:t>Estrategias de Innovación</w:t>
      </w:r>
      <w:r w:rsidRPr="00964A0F">
        <w:rPr>
          <w:rStyle w:val="normaltextrun"/>
          <w:rFonts w:eastAsia="Calibri" w:cs="Arial"/>
          <w:sz w:val="22"/>
          <w:szCs w:val="22"/>
        </w:rPr>
        <w:t>: Se adquirió una licencia de Power virtual agent con el fin de implementar un plan piloto de chatbot para la mesa de servicios.</w:t>
      </w:r>
      <w:r w:rsidRPr="00964A0F">
        <w:rPr>
          <w:rStyle w:val="eop"/>
          <w:rFonts w:cs="Arial"/>
          <w:sz w:val="22"/>
          <w:szCs w:val="22"/>
        </w:rPr>
        <w:t> </w:t>
      </w:r>
    </w:p>
    <w:p w14:paraId="355F8DFC" w14:textId="77777777" w:rsidR="00A3191D" w:rsidRPr="00964A0F" w:rsidRDefault="00A3191D" w:rsidP="000A20EE">
      <w:pPr>
        <w:pStyle w:val="paragraph"/>
        <w:numPr>
          <w:ilvl w:val="0"/>
          <w:numId w:val="131"/>
        </w:numPr>
        <w:spacing w:before="0" w:beforeAutospacing="0" w:after="0" w:afterAutospacing="0"/>
        <w:jc w:val="both"/>
        <w:textAlignment w:val="baseline"/>
        <w:rPr>
          <w:rFonts w:cs="Arial"/>
          <w:sz w:val="22"/>
          <w:szCs w:val="22"/>
        </w:rPr>
      </w:pPr>
      <w:r w:rsidRPr="00964A0F">
        <w:rPr>
          <w:rStyle w:val="normaltextrun"/>
          <w:rFonts w:eastAsia="Calibri" w:cs="Arial"/>
          <w:b/>
          <w:sz w:val="22"/>
          <w:szCs w:val="22"/>
        </w:rPr>
        <w:lastRenderedPageBreak/>
        <w:t>Mantenimiento de la plataforma tecnológica</w:t>
      </w:r>
      <w:r w:rsidRPr="00964A0F">
        <w:rPr>
          <w:rStyle w:val="normaltextrun"/>
          <w:rFonts w:eastAsia="Calibri" w:cs="Arial"/>
          <w:sz w:val="22"/>
          <w:szCs w:val="22"/>
        </w:rPr>
        <w:t>: Con el recurso humano de la mesa de servicios se ha adelantado el mantenimiento preventivo de los equipos de cómputo, plotter e impresoras de la sede central con la siguiente estadística de cumplimiento.</w:t>
      </w:r>
      <w:r w:rsidRPr="00964A0F">
        <w:rPr>
          <w:rStyle w:val="eop"/>
          <w:rFonts w:cs="Arial"/>
          <w:sz w:val="22"/>
          <w:szCs w:val="22"/>
        </w:rPr>
        <w:t> </w:t>
      </w:r>
    </w:p>
    <w:p w14:paraId="2DD6D809" w14:textId="77777777" w:rsidR="00A3191D" w:rsidRPr="00964A0F" w:rsidRDefault="00A3191D" w:rsidP="000A20EE">
      <w:pPr>
        <w:pStyle w:val="paragraph"/>
        <w:numPr>
          <w:ilvl w:val="0"/>
          <w:numId w:val="121"/>
        </w:numPr>
        <w:spacing w:before="0" w:beforeAutospacing="0" w:after="0" w:afterAutospacing="0"/>
        <w:ind w:left="1425" w:firstLine="0"/>
        <w:jc w:val="both"/>
        <w:textAlignment w:val="baseline"/>
        <w:rPr>
          <w:rFonts w:cs="Arial"/>
          <w:sz w:val="22"/>
          <w:szCs w:val="22"/>
        </w:rPr>
      </w:pPr>
      <w:r w:rsidRPr="00964A0F">
        <w:rPr>
          <w:rStyle w:val="normaltextrun"/>
          <w:rFonts w:eastAsia="Calibri" w:cs="Arial"/>
          <w:sz w:val="22"/>
          <w:szCs w:val="22"/>
        </w:rPr>
        <w:t>Plotter: Cantidad 37, ejecutado 37, 100%</w:t>
      </w:r>
      <w:r w:rsidRPr="00964A0F">
        <w:rPr>
          <w:rStyle w:val="eop"/>
          <w:rFonts w:cs="Arial"/>
          <w:sz w:val="22"/>
          <w:szCs w:val="22"/>
        </w:rPr>
        <w:t> </w:t>
      </w:r>
    </w:p>
    <w:p w14:paraId="262AA2CB" w14:textId="77777777" w:rsidR="00A3191D" w:rsidRPr="00964A0F" w:rsidRDefault="00A3191D" w:rsidP="000A20EE">
      <w:pPr>
        <w:pStyle w:val="paragraph"/>
        <w:numPr>
          <w:ilvl w:val="0"/>
          <w:numId w:val="122"/>
        </w:numPr>
        <w:spacing w:before="0" w:beforeAutospacing="0" w:after="0" w:afterAutospacing="0"/>
        <w:ind w:left="1425" w:firstLine="0"/>
        <w:jc w:val="both"/>
        <w:textAlignment w:val="baseline"/>
        <w:rPr>
          <w:rFonts w:cs="Arial"/>
          <w:sz w:val="22"/>
          <w:szCs w:val="22"/>
        </w:rPr>
      </w:pPr>
      <w:r w:rsidRPr="00964A0F">
        <w:rPr>
          <w:rStyle w:val="normaltextrun"/>
          <w:rFonts w:eastAsia="Calibri" w:cs="Arial"/>
          <w:sz w:val="22"/>
          <w:szCs w:val="22"/>
        </w:rPr>
        <w:t>Impresoras: Cantidad 276, ejecutado 53, 19%</w:t>
      </w:r>
      <w:r w:rsidRPr="00964A0F">
        <w:rPr>
          <w:rStyle w:val="eop"/>
          <w:rFonts w:cs="Arial"/>
          <w:sz w:val="22"/>
          <w:szCs w:val="22"/>
        </w:rPr>
        <w:t> </w:t>
      </w:r>
    </w:p>
    <w:p w14:paraId="4CB41133" w14:textId="77777777" w:rsidR="00A3191D" w:rsidRPr="00964A0F" w:rsidRDefault="00A3191D" w:rsidP="000A20EE">
      <w:pPr>
        <w:pStyle w:val="paragraph"/>
        <w:numPr>
          <w:ilvl w:val="0"/>
          <w:numId w:val="123"/>
        </w:numPr>
        <w:spacing w:before="0" w:beforeAutospacing="0" w:after="0" w:afterAutospacing="0"/>
        <w:ind w:left="1425" w:firstLine="0"/>
        <w:jc w:val="both"/>
        <w:textAlignment w:val="baseline"/>
        <w:rPr>
          <w:rFonts w:cs="Arial"/>
          <w:sz w:val="22"/>
          <w:szCs w:val="22"/>
        </w:rPr>
      </w:pPr>
      <w:r w:rsidRPr="00964A0F">
        <w:rPr>
          <w:rStyle w:val="normaltextrun"/>
          <w:rFonts w:eastAsia="Calibri" w:cs="Arial"/>
          <w:sz w:val="22"/>
          <w:szCs w:val="22"/>
        </w:rPr>
        <w:t>Escaner: Cantidad 55, ejecutado 2, 4%</w:t>
      </w:r>
      <w:r w:rsidRPr="00964A0F">
        <w:rPr>
          <w:rStyle w:val="eop"/>
          <w:rFonts w:cs="Arial"/>
          <w:sz w:val="22"/>
          <w:szCs w:val="22"/>
        </w:rPr>
        <w:t> </w:t>
      </w:r>
    </w:p>
    <w:p w14:paraId="3304A7FF" w14:textId="77777777" w:rsidR="00A3191D" w:rsidRPr="00964A0F" w:rsidRDefault="00A3191D" w:rsidP="000A20EE">
      <w:pPr>
        <w:pStyle w:val="paragraph"/>
        <w:numPr>
          <w:ilvl w:val="0"/>
          <w:numId w:val="124"/>
        </w:numPr>
        <w:spacing w:before="0" w:beforeAutospacing="0" w:after="0" w:afterAutospacing="0"/>
        <w:ind w:left="1425" w:firstLine="0"/>
        <w:jc w:val="both"/>
        <w:textAlignment w:val="baseline"/>
        <w:rPr>
          <w:rFonts w:cs="Arial"/>
          <w:sz w:val="22"/>
          <w:szCs w:val="22"/>
        </w:rPr>
      </w:pPr>
      <w:r w:rsidRPr="00964A0F">
        <w:rPr>
          <w:rStyle w:val="normaltextrun"/>
          <w:rFonts w:eastAsia="Calibri" w:cs="Arial"/>
          <w:sz w:val="22"/>
          <w:szCs w:val="22"/>
        </w:rPr>
        <w:t>PCS: Cantidad: 1962, ejecutado 454, 24%</w:t>
      </w:r>
      <w:r w:rsidRPr="00964A0F">
        <w:rPr>
          <w:rStyle w:val="eop"/>
          <w:rFonts w:cs="Arial"/>
          <w:sz w:val="22"/>
          <w:szCs w:val="22"/>
        </w:rPr>
        <w:t> </w:t>
      </w:r>
    </w:p>
    <w:p w14:paraId="54ADACA4" w14:textId="77777777" w:rsidR="00A3191D" w:rsidRPr="00964A0F" w:rsidRDefault="00A3191D" w:rsidP="000A20EE">
      <w:pPr>
        <w:pStyle w:val="paragraph"/>
        <w:numPr>
          <w:ilvl w:val="0"/>
          <w:numId w:val="130"/>
        </w:numPr>
        <w:spacing w:before="0" w:beforeAutospacing="0" w:after="0" w:afterAutospacing="0"/>
        <w:jc w:val="both"/>
        <w:textAlignment w:val="baseline"/>
        <w:rPr>
          <w:rStyle w:val="eop"/>
          <w:rFonts w:cs="Arial"/>
          <w:sz w:val="22"/>
          <w:szCs w:val="22"/>
        </w:rPr>
      </w:pPr>
      <w:r w:rsidRPr="00964A0F">
        <w:rPr>
          <w:rStyle w:val="normaltextrun"/>
          <w:rFonts w:eastAsia="Calibri" w:cs="Arial"/>
          <w:b/>
          <w:bCs/>
          <w:sz w:val="22"/>
          <w:szCs w:val="22"/>
        </w:rPr>
        <w:t>Estrategias de seguridad:</w:t>
      </w:r>
      <w:r w:rsidRPr="00964A0F">
        <w:rPr>
          <w:rStyle w:val="normaltextrun"/>
          <w:rFonts w:eastAsia="Calibri" w:cs="Arial"/>
          <w:sz w:val="22"/>
          <w:szCs w:val="22"/>
        </w:rPr>
        <w:t xml:space="preserve"> La Entidad como estrategias de seguridad ha gestionado la implementación de: Correlación de eventos de seguridad. </w:t>
      </w:r>
      <w:r w:rsidRPr="00964A0F">
        <w:rPr>
          <w:rStyle w:val="eop"/>
          <w:rFonts w:cs="Arial"/>
          <w:sz w:val="22"/>
          <w:szCs w:val="22"/>
        </w:rPr>
        <w:t> </w:t>
      </w:r>
    </w:p>
    <w:p w14:paraId="25C4E29A" w14:textId="77777777" w:rsidR="00A3191D" w:rsidRPr="00964A0F" w:rsidRDefault="00A3191D" w:rsidP="000A20EE">
      <w:pPr>
        <w:pStyle w:val="paragraph"/>
        <w:numPr>
          <w:ilvl w:val="1"/>
          <w:numId w:val="123"/>
        </w:numPr>
        <w:spacing w:before="0" w:beforeAutospacing="0" w:after="0" w:afterAutospacing="0"/>
        <w:jc w:val="both"/>
        <w:textAlignment w:val="baseline"/>
        <w:rPr>
          <w:rFonts w:cs="Arial"/>
          <w:sz w:val="22"/>
          <w:szCs w:val="22"/>
        </w:rPr>
      </w:pPr>
      <w:r w:rsidRPr="00964A0F">
        <w:rPr>
          <w:rStyle w:val="normaltextrun"/>
          <w:rFonts w:eastAsia="Calibri" w:cs="Arial"/>
          <w:sz w:val="22"/>
          <w:szCs w:val="22"/>
        </w:rPr>
        <w:t xml:space="preserve">    Implementación del SIEM (Security information management), para analizar el     flujo de información de la Entidad y detectar comportamientos inusuales en la red.</w:t>
      </w:r>
      <w:r w:rsidRPr="00964A0F">
        <w:rPr>
          <w:rStyle w:val="eop"/>
          <w:rFonts w:cs="Arial"/>
          <w:sz w:val="22"/>
          <w:szCs w:val="22"/>
        </w:rPr>
        <w:t> </w:t>
      </w:r>
    </w:p>
    <w:p w14:paraId="0D35EB51" w14:textId="77777777" w:rsidR="00A3191D" w:rsidRPr="00964A0F" w:rsidRDefault="00A3191D" w:rsidP="000A20EE">
      <w:pPr>
        <w:pStyle w:val="paragraph"/>
        <w:numPr>
          <w:ilvl w:val="1"/>
          <w:numId w:val="123"/>
        </w:numPr>
        <w:spacing w:before="0" w:beforeAutospacing="0" w:after="0" w:afterAutospacing="0"/>
        <w:jc w:val="both"/>
        <w:textAlignment w:val="baseline"/>
        <w:rPr>
          <w:rStyle w:val="eop"/>
          <w:rFonts w:cs="Arial"/>
          <w:sz w:val="22"/>
          <w:szCs w:val="22"/>
        </w:rPr>
      </w:pPr>
      <w:r w:rsidRPr="00964A0F">
        <w:rPr>
          <w:rStyle w:val="normaltextrun"/>
          <w:rFonts w:eastAsia="Calibri" w:cs="Arial"/>
          <w:sz w:val="22"/>
          <w:szCs w:val="22"/>
        </w:rPr>
        <w:t>Se contrató un grupo especializado de SOC y NOC para generar acciones preventivas y correctivas para el análisis de la data del SIEM. </w:t>
      </w:r>
      <w:r w:rsidRPr="00964A0F">
        <w:rPr>
          <w:rStyle w:val="eop"/>
          <w:rFonts w:cs="Arial"/>
          <w:sz w:val="22"/>
          <w:szCs w:val="22"/>
        </w:rPr>
        <w:t> </w:t>
      </w:r>
    </w:p>
    <w:p w14:paraId="68912CD5" w14:textId="77777777" w:rsidR="00A3191D" w:rsidRPr="00964A0F" w:rsidRDefault="00A3191D" w:rsidP="00C72779">
      <w:pPr>
        <w:pStyle w:val="paragraph"/>
        <w:spacing w:before="0" w:beforeAutospacing="0" w:after="0" w:afterAutospacing="0"/>
        <w:ind w:firstLine="360"/>
        <w:jc w:val="both"/>
        <w:textAlignment w:val="baseline"/>
        <w:rPr>
          <w:rFonts w:cs="Arial"/>
          <w:sz w:val="22"/>
          <w:szCs w:val="22"/>
        </w:rPr>
      </w:pPr>
      <w:r w:rsidRPr="00964A0F">
        <w:rPr>
          <w:rStyle w:val="normaltextrun"/>
          <w:rFonts w:eastAsia="Calibri" w:cs="Arial"/>
          <w:sz w:val="22"/>
          <w:szCs w:val="22"/>
          <w:u w:val="single"/>
        </w:rPr>
        <w:t>Resultados relevantes:</w:t>
      </w:r>
      <w:r w:rsidRPr="00964A0F">
        <w:rPr>
          <w:rStyle w:val="eop"/>
          <w:rFonts w:cs="Arial"/>
          <w:sz w:val="22"/>
          <w:szCs w:val="22"/>
        </w:rPr>
        <w:t> </w:t>
      </w:r>
    </w:p>
    <w:p w14:paraId="2471E03E" w14:textId="77777777" w:rsidR="00A3191D" w:rsidRPr="00964A0F" w:rsidRDefault="00A3191D" w:rsidP="00C72779">
      <w:pPr>
        <w:pStyle w:val="paragraph"/>
        <w:spacing w:before="0" w:beforeAutospacing="0" w:after="0" w:afterAutospacing="0"/>
        <w:ind w:firstLine="360"/>
        <w:jc w:val="both"/>
        <w:textAlignment w:val="baseline"/>
        <w:rPr>
          <w:rFonts w:cs="Arial"/>
          <w:sz w:val="22"/>
          <w:szCs w:val="22"/>
        </w:rPr>
      </w:pPr>
      <w:r w:rsidRPr="00964A0F">
        <w:rPr>
          <w:rStyle w:val="eop"/>
          <w:rFonts w:cs="Arial"/>
          <w:sz w:val="22"/>
          <w:szCs w:val="22"/>
        </w:rPr>
        <w:t> </w:t>
      </w:r>
    </w:p>
    <w:p w14:paraId="3FB45D7A" w14:textId="77777777" w:rsidR="00A3191D" w:rsidRPr="00964A0F" w:rsidRDefault="00A3191D" w:rsidP="00C72779">
      <w:pPr>
        <w:pStyle w:val="paragraph"/>
        <w:spacing w:before="0" w:beforeAutospacing="0" w:after="0" w:afterAutospacing="0"/>
        <w:ind w:left="360"/>
        <w:jc w:val="both"/>
        <w:textAlignment w:val="baseline"/>
        <w:rPr>
          <w:rFonts w:cs="Arial"/>
          <w:sz w:val="22"/>
          <w:szCs w:val="22"/>
        </w:rPr>
      </w:pPr>
      <w:r w:rsidRPr="00964A0F">
        <w:rPr>
          <w:rStyle w:val="normaltextrun"/>
          <w:rFonts w:eastAsia="Calibri" w:cs="Arial"/>
          <w:sz w:val="22"/>
          <w:szCs w:val="22"/>
        </w:rPr>
        <w:t>-De 70 mil incidentes de malware en el 2021 se redujo a 2 eventos para el mes de septiembre.</w:t>
      </w:r>
      <w:r w:rsidRPr="00964A0F">
        <w:rPr>
          <w:rStyle w:val="eop"/>
          <w:rFonts w:cs="Arial"/>
          <w:sz w:val="22"/>
          <w:szCs w:val="22"/>
        </w:rPr>
        <w:t> </w:t>
      </w:r>
    </w:p>
    <w:p w14:paraId="0572D895" w14:textId="77777777" w:rsidR="00A3191D" w:rsidRPr="00964A0F" w:rsidRDefault="00A3191D" w:rsidP="00C72779">
      <w:pPr>
        <w:pStyle w:val="paragraph"/>
        <w:spacing w:before="0" w:beforeAutospacing="0" w:after="0" w:afterAutospacing="0"/>
        <w:ind w:left="360"/>
        <w:jc w:val="both"/>
        <w:textAlignment w:val="baseline"/>
        <w:rPr>
          <w:rFonts w:cs="Arial"/>
          <w:sz w:val="22"/>
          <w:szCs w:val="22"/>
        </w:rPr>
      </w:pPr>
      <w:r w:rsidRPr="00964A0F">
        <w:rPr>
          <w:rStyle w:val="normaltextrun"/>
          <w:rFonts w:eastAsia="Calibri" w:cs="Arial"/>
          <w:sz w:val="22"/>
          <w:szCs w:val="22"/>
        </w:rPr>
        <w:t>-De 600 casos de botnet (casos relacionados con minería) en el 2021, se redujo a 84 incidencias.</w:t>
      </w:r>
      <w:r w:rsidRPr="00964A0F">
        <w:rPr>
          <w:rStyle w:val="eop"/>
          <w:rFonts w:cs="Arial"/>
          <w:sz w:val="22"/>
          <w:szCs w:val="22"/>
        </w:rPr>
        <w:t> </w:t>
      </w:r>
    </w:p>
    <w:p w14:paraId="21EB75A4" w14:textId="77777777" w:rsidR="00A3191D" w:rsidRPr="00964A0F" w:rsidRDefault="00A3191D" w:rsidP="00C72779">
      <w:pPr>
        <w:pStyle w:val="paragraph"/>
        <w:spacing w:before="0" w:beforeAutospacing="0" w:after="0" w:afterAutospacing="0"/>
        <w:jc w:val="both"/>
        <w:textAlignment w:val="baseline"/>
        <w:rPr>
          <w:rFonts w:cs="Arial"/>
          <w:sz w:val="22"/>
          <w:szCs w:val="22"/>
        </w:rPr>
      </w:pPr>
      <w:r w:rsidRPr="00964A0F">
        <w:rPr>
          <w:rStyle w:val="eop"/>
          <w:rFonts w:cs="Arial"/>
          <w:sz w:val="22"/>
          <w:szCs w:val="22"/>
        </w:rPr>
        <w:t> </w:t>
      </w:r>
      <w:r w:rsidRPr="00964A0F">
        <w:rPr>
          <w:rStyle w:val="normaltextrun"/>
          <w:rFonts w:eastAsia="Calibri" w:cs="Arial"/>
          <w:sz w:val="22"/>
          <w:szCs w:val="22"/>
        </w:rPr>
        <w:t xml:space="preserve">     - F5 Arquitectura de seguridad de infraestructura (Defensa en profundidad-Capa media)</w:t>
      </w:r>
      <w:r w:rsidRPr="00964A0F">
        <w:rPr>
          <w:rStyle w:val="eop"/>
          <w:rFonts w:cs="Arial"/>
          <w:sz w:val="22"/>
          <w:szCs w:val="22"/>
        </w:rPr>
        <w:t> </w:t>
      </w:r>
    </w:p>
    <w:p w14:paraId="610CE02E" w14:textId="77777777" w:rsidR="00A3191D" w:rsidRPr="00964A0F" w:rsidRDefault="00A3191D" w:rsidP="00C72779">
      <w:pPr>
        <w:pStyle w:val="paragraph"/>
        <w:spacing w:before="0" w:beforeAutospacing="0" w:after="0" w:afterAutospacing="0"/>
        <w:jc w:val="both"/>
        <w:textAlignment w:val="baseline"/>
        <w:rPr>
          <w:rFonts w:cs="Arial"/>
          <w:sz w:val="22"/>
          <w:szCs w:val="22"/>
        </w:rPr>
      </w:pPr>
      <w:r w:rsidRPr="00964A0F">
        <w:rPr>
          <w:rStyle w:val="eop"/>
          <w:rFonts w:cs="Arial"/>
          <w:sz w:val="22"/>
          <w:szCs w:val="22"/>
        </w:rPr>
        <w:t> </w:t>
      </w:r>
    </w:p>
    <w:p w14:paraId="4601291D" w14:textId="77777777" w:rsidR="00A3191D" w:rsidRPr="00964A0F" w:rsidRDefault="00A3191D" w:rsidP="000A20EE">
      <w:pPr>
        <w:pStyle w:val="paragraph"/>
        <w:numPr>
          <w:ilvl w:val="0"/>
          <w:numId w:val="125"/>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Actualización de la plataforma de balanceo</w:t>
      </w:r>
      <w:r w:rsidRPr="00964A0F">
        <w:rPr>
          <w:rStyle w:val="eop"/>
          <w:rFonts w:cs="Arial"/>
          <w:sz w:val="22"/>
          <w:szCs w:val="22"/>
        </w:rPr>
        <w:t> </w:t>
      </w:r>
    </w:p>
    <w:p w14:paraId="359326A9" w14:textId="77777777" w:rsidR="00A3191D" w:rsidRPr="00964A0F" w:rsidRDefault="00A3191D" w:rsidP="000A20EE">
      <w:pPr>
        <w:pStyle w:val="paragraph"/>
        <w:numPr>
          <w:ilvl w:val="0"/>
          <w:numId w:val="126"/>
        </w:numPr>
        <w:spacing w:before="0" w:beforeAutospacing="0" w:after="0" w:afterAutospacing="0"/>
        <w:ind w:left="1080" w:firstLine="0"/>
        <w:jc w:val="both"/>
        <w:textAlignment w:val="baseline"/>
        <w:rPr>
          <w:rStyle w:val="eop"/>
          <w:rFonts w:cs="Arial"/>
          <w:sz w:val="22"/>
          <w:szCs w:val="22"/>
        </w:rPr>
      </w:pPr>
      <w:r w:rsidRPr="00964A0F">
        <w:rPr>
          <w:rStyle w:val="normaltextrun"/>
          <w:rFonts w:eastAsia="Calibri" w:cs="Arial"/>
          <w:sz w:val="22"/>
          <w:szCs w:val="22"/>
        </w:rPr>
        <w:t>Inclusión de módulos de seguridad ASM para generar una capa de control para las aplicaciones y garantizar el control del uso del recurso evitando accesos no parametrizados dentro de las aplicaciones:</w:t>
      </w:r>
      <w:r w:rsidRPr="00964A0F">
        <w:rPr>
          <w:rStyle w:val="eop"/>
          <w:rFonts w:cs="Arial"/>
          <w:sz w:val="22"/>
          <w:szCs w:val="22"/>
        </w:rPr>
        <w:t> </w:t>
      </w:r>
    </w:p>
    <w:p w14:paraId="693EF52A" w14:textId="77777777" w:rsidR="00A3191D" w:rsidRPr="00964A0F" w:rsidRDefault="00A3191D" w:rsidP="00C72779">
      <w:pPr>
        <w:pStyle w:val="paragraph"/>
        <w:spacing w:before="0" w:beforeAutospacing="0" w:after="0" w:afterAutospacing="0"/>
        <w:ind w:left="1080"/>
        <w:jc w:val="both"/>
        <w:textAlignment w:val="baseline"/>
        <w:rPr>
          <w:rFonts w:cs="Arial"/>
          <w:sz w:val="22"/>
          <w:szCs w:val="22"/>
        </w:rPr>
      </w:pPr>
    </w:p>
    <w:p w14:paraId="313F99D7" w14:textId="5FA86DA8" w:rsidR="00A3191D" w:rsidRPr="008F6424" w:rsidRDefault="00A3191D" w:rsidP="00C72779">
      <w:pPr>
        <w:pStyle w:val="paragraph"/>
        <w:spacing w:before="0" w:beforeAutospacing="0" w:after="0" w:afterAutospacing="0"/>
        <w:jc w:val="both"/>
        <w:textAlignment w:val="baseline"/>
        <w:rPr>
          <w:rFonts w:cs="Arial"/>
          <w:b/>
          <w:sz w:val="22"/>
          <w:szCs w:val="22"/>
        </w:rPr>
      </w:pPr>
      <w:r w:rsidRPr="008F6424">
        <w:rPr>
          <w:rStyle w:val="normaltextrun"/>
          <w:rFonts w:eastAsia="Calibri" w:cs="Arial"/>
          <w:b/>
          <w:sz w:val="22"/>
          <w:szCs w:val="22"/>
        </w:rPr>
        <w:t xml:space="preserve">    Resultados relevantes:</w:t>
      </w:r>
      <w:r w:rsidRPr="008F6424">
        <w:rPr>
          <w:rStyle w:val="eop"/>
          <w:rFonts w:cs="Arial"/>
          <w:b/>
          <w:sz w:val="22"/>
          <w:szCs w:val="22"/>
        </w:rPr>
        <w:t> </w:t>
      </w:r>
    </w:p>
    <w:p w14:paraId="6FFDA358" w14:textId="77777777" w:rsidR="00A3191D" w:rsidRPr="00964A0F" w:rsidRDefault="00A3191D" w:rsidP="000A20EE">
      <w:pPr>
        <w:pStyle w:val="paragraph"/>
        <w:numPr>
          <w:ilvl w:val="0"/>
          <w:numId w:val="127"/>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Aplicaciones actualmente implementadas con este módulo (Portal, SNC, SIGAC, ICDE, Telecentro).</w:t>
      </w:r>
      <w:r w:rsidRPr="00964A0F">
        <w:rPr>
          <w:rStyle w:val="eop"/>
          <w:rFonts w:cs="Arial"/>
          <w:sz w:val="22"/>
          <w:szCs w:val="22"/>
        </w:rPr>
        <w:t> </w:t>
      </w:r>
    </w:p>
    <w:p w14:paraId="707069CA" w14:textId="77777777" w:rsidR="00A3191D" w:rsidRPr="00964A0F" w:rsidRDefault="00A3191D" w:rsidP="000A20EE">
      <w:pPr>
        <w:pStyle w:val="paragraph"/>
        <w:numPr>
          <w:ilvl w:val="0"/>
          <w:numId w:val="128"/>
        </w:numPr>
        <w:spacing w:before="0" w:beforeAutospacing="0" w:after="0" w:afterAutospacing="0"/>
        <w:ind w:left="1080" w:firstLine="0"/>
        <w:jc w:val="both"/>
        <w:textAlignment w:val="baseline"/>
        <w:rPr>
          <w:rFonts w:cs="Arial"/>
          <w:sz w:val="22"/>
          <w:szCs w:val="22"/>
        </w:rPr>
      </w:pPr>
      <w:r w:rsidRPr="00964A0F">
        <w:rPr>
          <w:rStyle w:val="normaltextrun"/>
          <w:rFonts w:eastAsia="Calibri" w:cs="Arial"/>
          <w:sz w:val="22"/>
          <w:szCs w:val="22"/>
        </w:rPr>
        <w:t>Se contienen 186 ataques por hora a nivel de aplicación.</w:t>
      </w:r>
      <w:r w:rsidRPr="00964A0F">
        <w:rPr>
          <w:rStyle w:val="eop"/>
          <w:rFonts w:cs="Arial"/>
          <w:sz w:val="22"/>
          <w:szCs w:val="22"/>
        </w:rPr>
        <w:t> </w:t>
      </w:r>
    </w:p>
    <w:p w14:paraId="6850EABF" w14:textId="3366AEE0" w:rsidR="00A3191D" w:rsidRPr="008258E7" w:rsidRDefault="00A3191D" w:rsidP="00C72779">
      <w:pPr>
        <w:jc w:val="both"/>
        <w:rPr>
          <w:rFonts w:eastAsia="Arial" w:cs="Arial"/>
          <w:color w:val="292929"/>
          <w:sz w:val="22"/>
          <w:szCs w:val="22"/>
          <w:lang w:val="es-CO"/>
        </w:rPr>
      </w:pPr>
    </w:p>
    <w:p w14:paraId="64F55532" w14:textId="5040908C" w:rsidR="00A3191D" w:rsidRPr="008258E7" w:rsidRDefault="6C0A7F0B" w:rsidP="31FF9146">
      <w:pPr>
        <w:jc w:val="both"/>
        <w:rPr>
          <w:rFonts w:cs="Arial"/>
          <w:color w:val="000000" w:themeColor="text1"/>
          <w:sz w:val="22"/>
          <w:szCs w:val="22"/>
        </w:rPr>
      </w:pPr>
      <w:r w:rsidRPr="31FF9146">
        <w:rPr>
          <w:rFonts w:eastAsia="Arial" w:cs="Arial"/>
          <w:b/>
          <w:bCs/>
          <w:sz w:val="22"/>
          <w:szCs w:val="22"/>
          <w:lang w:val="es"/>
        </w:rPr>
        <w:t>DISEÑO Y DESARROLLO DE SISTEMAS DE INFORMACIÓN</w:t>
      </w:r>
      <w:r w:rsidRPr="31FF9146">
        <w:rPr>
          <w:rFonts w:cs="Arial"/>
          <w:color w:val="000000" w:themeColor="text1"/>
          <w:sz w:val="22"/>
          <w:szCs w:val="22"/>
        </w:rPr>
        <w:t xml:space="preserve"> </w:t>
      </w:r>
    </w:p>
    <w:p w14:paraId="423C4A35" w14:textId="77777777" w:rsidR="00A3191D" w:rsidRPr="008258E7" w:rsidRDefault="00A3191D" w:rsidP="00C72779">
      <w:pPr>
        <w:pStyle w:val="NormalWeb"/>
        <w:spacing w:before="0" w:beforeAutospacing="0" w:after="0" w:afterAutospacing="0"/>
        <w:jc w:val="both"/>
        <w:rPr>
          <w:rFonts w:cs="Arial"/>
          <w:color w:val="000000"/>
          <w:sz w:val="22"/>
          <w:szCs w:val="22"/>
          <w:bdr w:val="none" w:sz="0" w:space="0" w:color="auto" w:frame="1"/>
        </w:rPr>
      </w:pPr>
      <w:r w:rsidRPr="008258E7">
        <w:rPr>
          <w:rFonts w:cs="Arial"/>
          <w:color w:val="000000"/>
          <w:sz w:val="22"/>
          <w:szCs w:val="22"/>
          <w:bdr w:val="none" w:sz="0" w:space="0" w:color="auto" w:frame="1"/>
        </w:rPr>
        <w:t>  </w:t>
      </w:r>
    </w:p>
    <w:p w14:paraId="43A0ED68" w14:textId="1C81BD5B" w:rsidR="00A3191D" w:rsidRPr="00502DE1" w:rsidRDefault="00A3191D" w:rsidP="000A20EE">
      <w:pPr>
        <w:pStyle w:val="Ttulomnimo"/>
        <w:numPr>
          <w:ilvl w:val="0"/>
          <w:numId w:val="115"/>
        </w:numPr>
        <w:shd w:val="clear" w:color="auto" w:fill="FFFFFF" w:themeFill="background1"/>
        <w:spacing w:line="240" w:lineRule="auto"/>
        <w:jc w:val="both"/>
        <w:rPr>
          <w:b w:val="0"/>
          <w:bCs/>
          <w:color w:val="000000"/>
          <w:sz w:val="22"/>
          <w:szCs w:val="22"/>
          <w:bdr w:val="none" w:sz="0" w:space="0" w:color="auto" w:frame="1"/>
        </w:rPr>
      </w:pPr>
      <w:r w:rsidRPr="008258E7">
        <w:rPr>
          <w:sz w:val="22"/>
          <w:szCs w:val="22"/>
          <w:bdr w:val="none" w:sz="0" w:space="0" w:color="auto" w:frame="1"/>
        </w:rPr>
        <w:t xml:space="preserve">Generación de Insumos catastrales: </w:t>
      </w:r>
      <w:r w:rsidRPr="008258E7">
        <w:rPr>
          <w:b w:val="0"/>
          <w:bCs/>
          <w:color w:val="000000"/>
          <w:sz w:val="22"/>
          <w:szCs w:val="22"/>
          <w:bdr w:val="none" w:sz="0" w:space="0" w:color="auto" w:frame="1"/>
        </w:rPr>
        <w:t xml:space="preserve">A través de los diferentes frentes de trabajo, </w:t>
      </w:r>
      <w:r w:rsidRPr="008258E7">
        <w:rPr>
          <w:b w:val="0"/>
          <w:bCs/>
          <w:sz w:val="22"/>
          <w:szCs w:val="22"/>
        </w:rPr>
        <w:t xml:space="preserve">Dirección de tecnologías de la información y comunicaciones </w:t>
      </w:r>
      <w:r w:rsidRPr="008258E7">
        <w:rPr>
          <w:b w:val="0"/>
          <w:bCs/>
          <w:color w:val="000000"/>
          <w:sz w:val="22"/>
          <w:szCs w:val="22"/>
          <w:bdr w:val="none" w:sz="0" w:space="0" w:color="auto" w:frame="1"/>
        </w:rPr>
        <w:t>implemento y adoptó el uso de herramientas para la extracción de datos, de los sistemas de información catastrales COBOL y Sistema Nacional Catastral _ SNC, requeridos para la generación de insumos catastrales definidos en el modelo LADM_COL 3.0.  </w:t>
      </w:r>
    </w:p>
    <w:p w14:paraId="0FC07E22" w14:textId="77777777" w:rsidR="00A3191D" w:rsidRPr="008258E7" w:rsidRDefault="00A3191D" w:rsidP="000A20EE">
      <w:pPr>
        <w:pStyle w:val="Ttulomnimo"/>
        <w:numPr>
          <w:ilvl w:val="0"/>
          <w:numId w:val="115"/>
        </w:numPr>
        <w:spacing w:line="240" w:lineRule="auto"/>
        <w:jc w:val="both"/>
        <w:rPr>
          <w:b w:val="0"/>
          <w:bCs/>
          <w:color w:val="000000"/>
          <w:sz w:val="22"/>
          <w:szCs w:val="22"/>
          <w:bdr w:val="none" w:sz="0" w:space="0" w:color="auto" w:frame="1"/>
          <w:shd w:val="clear" w:color="auto" w:fill="FFFFFF"/>
        </w:rPr>
      </w:pPr>
      <w:r w:rsidRPr="008258E7">
        <w:rPr>
          <w:sz w:val="22"/>
          <w:szCs w:val="22"/>
          <w:bdr w:val="none" w:sz="0" w:space="0" w:color="auto" w:frame="1"/>
        </w:rPr>
        <w:t xml:space="preserve">Adopción de modelos extendidos y de aplicación LADM_COL: </w:t>
      </w:r>
      <w:r w:rsidRPr="008258E7">
        <w:rPr>
          <w:b w:val="0"/>
          <w:bCs/>
          <w:color w:val="000000"/>
          <w:sz w:val="22"/>
          <w:szCs w:val="22"/>
          <w:bdr w:val="none" w:sz="0" w:space="0" w:color="auto" w:frame="1"/>
        </w:rPr>
        <w:t>Se publicó la resolución 499 de 2020 de adopción del modelo extendido catastro registro en su versión 3.0</w:t>
      </w:r>
      <w:r w:rsidRPr="008258E7">
        <w:rPr>
          <w:b w:val="0"/>
          <w:bCs/>
          <w:color w:val="000000"/>
          <w:sz w:val="22"/>
          <w:szCs w:val="22"/>
          <w:bdr w:val="none" w:sz="0" w:space="0" w:color="auto" w:frame="1"/>
          <w:shd w:val="clear" w:color="auto" w:fill="FFFFFF"/>
        </w:rPr>
        <w:t>. Se formalizó el modelo de aplicación de levantamiento catastral 1.0 y el modelo estándar de interoperabilidad catastro y registro en su versión 1.0. </w:t>
      </w:r>
    </w:p>
    <w:p w14:paraId="66B39F8A" w14:textId="77777777" w:rsidR="00A3191D" w:rsidRPr="008258E7" w:rsidRDefault="00A3191D" w:rsidP="00C72779">
      <w:pPr>
        <w:pStyle w:val="Ttulomnimo"/>
        <w:spacing w:line="240" w:lineRule="auto"/>
        <w:ind w:firstLine="0"/>
        <w:jc w:val="both"/>
        <w:rPr>
          <w:b w:val="0"/>
          <w:bCs/>
          <w:color w:val="000000"/>
          <w:sz w:val="22"/>
          <w:szCs w:val="22"/>
          <w:bdr w:val="none" w:sz="0" w:space="0" w:color="auto" w:frame="1"/>
          <w:shd w:val="clear" w:color="auto" w:fill="FFFFFF"/>
        </w:rPr>
      </w:pPr>
    </w:p>
    <w:p w14:paraId="13FC4C06" w14:textId="77777777" w:rsidR="00A3191D" w:rsidRPr="008258E7" w:rsidRDefault="00A3191D" w:rsidP="000A20EE">
      <w:pPr>
        <w:pStyle w:val="Ttulomnimo"/>
        <w:numPr>
          <w:ilvl w:val="0"/>
          <w:numId w:val="115"/>
        </w:numPr>
        <w:spacing w:line="240" w:lineRule="auto"/>
        <w:jc w:val="both"/>
        <w:rPr>
          <w:b w:val="0"/>
          <w:bCs/>
          <w:color w:val="000000"/>
          <w:sz w:val="22"/>
          <w:szCs w:val="22"/>
          <w:bdr w:val="none" w:sz="0" w:space="0" w:color="auto" w:frame="1"/>
        </w:rPr>
      </w:pPr>
      <w:r w:rsidRPr="008258E7">
        <w:rPr>
          <w:sz w:val="22"/>
          <w:szCs w:val="22"/>
          <w:bdr w:val="none" w:sz="0" w:space="0" w:color="auto" w:frame="1"/>
        </w:rPr>
        <w:t xml:space="preserve">Interrelación Catastro Registro: </w:t>
      </w:r>
      <w:r w:rsidRPr="008258E7">
        <w:rPr>
          <w:b w:val="0"/>
          <w:bCs/>
          <w:color w:val="000000"/>
          <w:sz w:val="22"/>
          <w:szCs w:val="22"/>
          <w:bdr w:val="none" w:sz="0" w:space="0" w:color="auto" w:frame="1"/>
        </w:rPr>
        <w:t>Se habilitó el servicio de consulta de la información registral por parte de la Superintendencia de Notariado y Registro - SNR, que permite la consulta en línea de la información registral, utilizada por las direcciones territoriales del IGAC, con el objetivo de validar la información que está siendo radicada por un ciudadano y la que se encuentra publicada en los sistemas de la SNR, de esta forma se mejora la calidad de la información que ingresa a los sistemas del IGAC.   </w:t>
      </w:r>
    </w:p>
    <w:p w14:paraId="50FD4251" w14:textId="77777777" w:rsidR="00A3191D" w:rsidRPr="008258E7" w:rsidRDefault="00A3191D" w:rsidP="00C72779">
      <w:pPr>
        <w:pStyle w:val="NormalWeb"/>
        <w:shd w:val="clear" w:color="auto" w:fill="FFFFFF"/>
        <w:spacing w:before="0" w:beforeAutospacing="0" w:after="0" w:afterAutospacing="0"/>
        <w:jc w:val="both"/>
        <w:rPr>
          <w:rFonts w:cs="Arial"/>
          <w:color w:val="000000"/>
          <w:sz w:val="22"/>
          <w:szCs w:val="22"/>
        </w:rPr>
      </w:pPr>
    </w:p>
    <w:p w14:paraId="7A149D4D" w14:textId="3E7A3938" w:rsidR="00A3191D" w:rsidRPr="008258E7" w:rsidRDefault="00A3191D" w:rsidP="008F6424">
      <w:pPr>
        <w:pStyle w:val="NormalWeb"/>
        <w:shd w:val="clear" w:color="auto" w:fill="FFFFFF"/>
        <w:spacing w:before="0" w:beforeAutospacing="0" w:after="0" w:afterAutospacing="0"/>
        <w:ind w:left="708"/>
        <w:jc w:val="both"/>
        <w:rPr>
          <w:rFonts w:cs="Arial"/>
          <w:color w:val="000000"/>
          <w:sz w:val="22"/>
          <w:szCs w:val="22"/>
        </w:rPr>
      </w:pPr>
      <w:r w:rsidRPr="008258E7">
        <w:rPr>
          <w:rFonts w:cs="Arial"/>
          <w:color w:val="000000"/>
          <w:sz w:val="22"/>
          <w:szCs w:val="22"/>
        </w:rPr>
        <w:lastRenderedPageBreak/>
        <w:t>Con esta herramienta el acceso a la información se amplía a todos los funcionarios, dado que con anterioridad solo algunos contaban con los privilegios de acceder a la Ventanilla Única de Registro Inmobiliario - VUR, en este caso los funcionarios pueden ingresar a la información en línea siempre y cuando sean funcionarios del IGAC, además de permitir que las herramientas tecnológicas puedan interoperar con la información en mención.</w:t>
      </w:r>
    </w:p>
    <w:p w14:paraId="48D1E24A" w14:textId="3C107E78" w:rsidR="00A3191D" w:rsidRPr="00502DE1" w:rsidRDefault="00A3191D" w:rsidP="00C72779">
      <w:pPr>
        <w:pStyle w:val="NormalWeb"/>
        <w:shd w:val="clear" w:color="auto" w:fill="FFFFFF"/>
        <w:spacing w:before="0" w:beforeAutospacing="0" w:after="0" w:afterAutospacing="0"/>
        <w:ind w:left="708"/>
        <w:jc w:val="both"/>
        <w:rPr>
          <w:rFonts w:cs="Arial"/>
          <w:color w:val="000000"/>
          <w:sz w:val="22"/>
          <w:szCs w:val="22"/>
        </w:rPr>
      </w:pPr>
      <w:r w:rsidRPr="008258E7">
        <w:rPr>
          <w:rFonts w:cs="Arial"/>
          <w:color w:val="000000"/>
          <w:sz w:val="22"/>
          <w:szCs w:val="22"/>
        </w:rPr>
        <w:t xml:space="preserve">Cabe resaltar que dichas transacciones se efectúan a través del canal de interoperabilidad X-ROAD lo que certifica y asegura que la información este firmada digitalmente por la </w:t>
      </w:r>
      <w:r w:rsidRPr="008258E7">
        <w:rPr>
          <w:rFonts w:cs="Arial"/>
          <w:color w:val="000000"/>
          <w:sz w:val="22"/>
          <w:szCs w:val="22"/>
          <w:bdr w:val="none" w:sz="0" w:space="0" w:color="auto" w:frame="1"/>
          <w:lang w:val="es-ES"/>
        </w:rPr>
        <w:t>Superintendencia de Notariado y Registro – SNR.</w:t>
      </w:r>
      <w:r w:rsidRPr="008258E7">
        <w:rPr>
          <w:color w:val="000000"/>
          <w:sz w:val="22"/>
          <w:szCs w:val="22"/>
          <w:bdr w:val="none" w:sz="0" w:space="0" w:color="auto" w:frame="1"/>
        </w:rPr>
        <w:t>  </w:t>
      </w:r>
    </w:p>
    <w:p w14:paraId="3F6709A5" w14:textId="3A5AF07B" w:rsidR="00A3191D" w:rsidRPr="008F6424" w:rsidRDefault="00A3191D" w:rsidP="000A20EE">
      <w:pPr>
        <w:pStyle w:val="Ttulomnimo"/>
        <w:numPr>
          <w:ilvl w:val="0"/>
          <w:numId w:val="116"/>
        </w:numPr>
        <w:spacing w:line="240" w:lineRule="auto"/>
        <w:jc w:val="both"/>
        <w:rPr>
          <w:b w:val="0"/>
          <w:bCs/>
          <w:color w:val="000000"/>
          <w:sz w:val="22"/>
          <w:szCs w:val="22"/>
        </w:rPr>
      </w:pPr>
      <w:r w:rsidRPr="008258E7">
        <w:rPr>
          <w:sz w:val="22"/>
          <w:szCs w:val="22"/>
          <w:bdr w:val="none" w:sz="0" w:space="0" w:color="auto" w:frame="1"/>
        </w:rPr>
        <w:t xml:space="preserve">Puesta en producción del sistema de transición: </w:t>
      </w:r>
      <w:r w:rsidRPr="008258E7">
        <w:rPr>
          <w:b w:val="0"/>
          <w:bCs/>
          <w:color w:val="000000"/>
          <w:sz w:val="22"/>
          <w:szCs w:val="22"/>
          <w:bdr w:val="none" w:sz="0" w:space="0" w:color="auto" w:frame="1"/>
        </w:rPr>
        <w:t>Se configuraron e instalaron 16 microservicios y dos servicios de base de datos para el sistema de información Catastro Multipropósito, el cual cuenta con el módulo de gestión de insumos para que los gestores y operadores puedan gestionar las solicitudes de información requeridas para los procesos de levantamiento catastral.   </w:t>
      </w:r>
    </w:p>
    <w:p w14:paraId="1DEBCE49" w14:textId="219B5F38" w:rsidR="00A3191D" w:rsidRPr="00502DE1" w:rsidRDefault="00A3191D" w:rsidP="00C72779">
      <w:pPr>
        <w:ind w:left="708"/>
        <w:jc w:val="both"/>
        <w:rPr>
          <w:rFonts w:cs="Arial"/>
          <w:color w:val="222222"/>
          <w:sz w:val="22"/>
          <w:szCs w:val="22"/>
          <w:shd w:val="clear" w:color="auto" w:fill="FFFFFF"/>
        </w:rPr>
      </w:pPr>
      <w:r w:rsidRPr="008258E7">
        <w:rPr>
          <w:rFonts w:cs="Arial"/>
          <w:color w:val="222222"/>
          <w:sz w:val="22"/>
          <w:szCs w:val="22"/>
          <w:shd w:val="clear" w:color="auto" w:fill="FFFFFF"/>
        </w:rPr>
        <w:t>Se habilitaron los usuarios a la Agencia Nacional de Tierras, la Superintendencia de Notariado y Registro, y Parques Nacionales, así mismo se hizo la capacitación en el módulo de administración del sistema, a funcionarios del IGAC.</w:t>
      </w:r>
    </w:p>
    <w:p w14:paraId="3E2A26CE" w14:textId="3F76DBF9" w:rsidR="00A3191D" w:rsidRPr="00502DE1" w:rsidRDefault="00A3191D" w:rsidP="000A20EE">
      <w:pPr>
        <w:pStyle w:val="Ttulomnimo"/>
        <w:numPr>
          <w:ilvl w:val="0"/>
          <w:numId w:val="116"/>
        </w:numPr>
        <w:spacing w:line="240" w:lineRule="auto"/>
        <w:jc w:val="both"/>
        <w:rPr>
          <w:b w:val="0"/>
          <w:bCs/>
          <w:color w:val="000000"/>
          <w:sz w:val="22"/>
          <w:szCs w:val="22"/>
          <w:bdr w:val="none" w:sz="0" w:space="0" w:color="auto" w:frame="1"/>
        </w:rPr>
      </w:pPr>
      <w:r w:rsidRPr="008258E7">
        <w:rPr>
          <w:sz w:val="22"/>
          <w:szCs w:val="22"/>
          <w:bdr w:val="none" w:sz="0" w:space="0" w:color="auto" w:frame="1"/>
        </w:rPr>
        <w:t xml:space="preserve">Protocolo de asignación NUPRE: </w:t>
      </w:r>
      <w:r w:rsidRPr="008258E7">
        <w:rPr>
          <w:b w:val="0"/>
          <w:bCs/>
          <w:color w:val="000000"/>
          <w:sz w:val="22"/>
          <w:szCs w:val="22"/>
          <w:bdr w:val="none" w:sz="0" w:space="0" w:color="auto" w:frame="1"/>
        </w:rPr>
        <w:t>Se elaboró el documento de protocolo de asignación de NUPRE (Identificador único predial), en este documento se define la estrategia de ent</w:t>
      </w:r>
      <w:r w:rsidR="00502DE1">
        <w:rPr>
          <w:b w:val="0"/>
          <w:bCs/>
          <w:color w:val="000000"/>
          <w:sz w:val="22"/>
          <w:szCs w:val="22"/>
          <w:bdr w:val="none" w:sz="0" w:space="0" w:color="auto" w:frame="1"/>
        </w:rPr>
        <w:t>rega a los gestores catastrales.</w:t>
      </w:r>
    </w:p>
    <w:p w14:paraId="403358DD" w14:textId="1F27F7C4" w:rsidR="00A3191D" w:rsidRPr="00502DE1" w:rsidRDefault="00A3191D" w:rsidP="000A20EE">
      <w:pPr>
        <w:pStyle w:val="Ttulomnimo"/>
        <w:numPr>
          <w:ilvl w:val="0"/>
          <w:numId w:val="116"/>
        </w:numPr>
        <w:spacing w:line="240" w:lineRule="auto"/>
        <w:jc w:val="both"/>
        <w:rPr>
          <w:rFonts w:eastAsia="Arial"/>
          <w:b w:val="0"/>
          <w:color w:val="000000" w:themeColor="text1"/>
          <w:sz w:val="22"/>
          <w:szCs w:val="22"/>
        </w:rPr>
      </w:pPr>
      <w:r w:rsidRPr="008258E7">
        <w:rPr>
          <w:sz w:val="22"/>
          <w:szCs w:val="22"/>
          <w:bdr w:val="none" w:sz="0" w:space="0" w:color="auto" w:frame="1"/>
        </w:rPr>
        <w:t xml:space="preserve">Sistema de captura de información en campo con enfoque multipropósito – CICA: </w:t>
      </w:r>
      <w:r w:rsidRPr="008258E7">
        <w:rPr>
          <w:b w:val="0"/>
          <w:bCs/>
          <w:color w:val="000000"/>
          <w:sz w:val="22"/>
          <w:szCs w:val="22"/>
          <w:bdr w:val="none" w:sz="0" w:space="0" w:color="auto" w:frame="1"/>
        </w:rPr>
        <w:t xml:space="preserve">Se implementó el componente Web y Móvil del sistema de captura en campo -CICA, que incorpora las variables establecidas en el modelo de aplicación de levantamiento catastral 1.0 LADM_COL. Con el uso de esta herramienta se realizó </w:t>
      </w:r>
      <w:r w:rsidRPr="008258E7">
        <w:rPr>
          <w:b w:val="0"/>
          <w:bCs/>
          <w:color w:val="000000" w:themeColor="text1"/>
          <w:sz w:val="22"/>
          <w:szCs w:val="22"/>
        </w:rPr>
        <w:t>la captura en campo del proceso de actualización catastral en los municipios de Risaralda (Apia, Balboa, La Celia, Belén de Umbría, Guática, Marsella, Santuario y Pueblo Rico; así mismo se hizo la entrega de dicha versión a los municipios de Cumaribo (Vichada), Gachancipá (Cundinamarca), Villavicencio y Soacha (Cundinamarca).</w:t>
      </w:r>
    </w:p>
    <w:p w14:paraId="43EE638A" w14:textId="3D4AB45C" w:rsidR="00A3191D" w:rsidRPr="00502DE1" w:rsidRDefault="00A3191D" w:rsidP="000A20EE">
      <w:pPr>
        <w:pStyle w:val="Ttulomnimo"/>
        <w:numPr>
          <w:ilvl w:val="0"/>
          <w:numId w:val="116"/>
        </w:numPr>
        <w:spacing w:line="240" w:lineRule="auto"/>
        <w:jc w:val="both"/>
        <w:rPr>
          <w:b w:val="0"/>
          <w:bCs/>
          <w:color w:val="000000"/>
          <w:sz w:val="22"/>
          <w:szCs w:val="22"/>
          <w:bdr w:val="none" w:sz="0" w:space="0" w:color="auto" w:frame="1"/>
          <w:shd w:val="clear" w:color="auto" w:fill="FFFFFF"/>
        </w:rPr>
      </w:pPr>
      <w:r w:rsidRPr="00502DE1">
        <w:rPr>
          <w:sz w:val="22"/>
          <w:szCs w:val="22"/>
          <w:bdr w:val="none" w:sz="0" w:space="0" w:color="auto" w:frame="1"/>
        </w:rPr>
        <w:t xml:space="preserve">Micrositio Catastro Multipropósito: </w:t>
      </w:r>
      <w:r w:rsidRPr="00502DE1">
        <w:rPr>
          <w:b w:val="0"/>
          <w:bCs/>
          <w:color w:val="000000"/>
          <w:sz w:val="22"/>
          <w:szCs w:val="22"/>
          <w:bdr w:val="none" w:sz="0" w:space="0" w:color="auto" w:frame="1"/>
          <w:shd w:val="clear" w:color="auto" w:fill="FFFFFF"/>
        </w:rPr>
        <w:t>Se implementó el micrositio de catastro multipropósito que contiene toda la información oficial reglamentada por el IGAC.</w:t>
      </w:r>
    </w:p>
    <w:p w14:paraId="2559095A" w14:textId="667A8265" w:rsidR="00A3191D" w:rsidRPr="00502DE1" w:rsidRDefault="00A3191D" w:rsidP="000A20EE">
      <w:pPr>
        <w:pStyle w:val="Prrafodelista"/>
        <w:numPr>
          <w:ilvl w:val="0"/>
          <w:numId w:val="116"/>
        </w:numPr>
        <w:suppressAutoHyphens w:val="0"/>
        <w:overflowPunct/>
        <w:autoSpaceDE/>
        <w:spacing w:after="160"/>
        <w:contextualSpacing/>
        <w:textAlignment w:val="auto"/>
        <w:rPr>
          <w:rFonts w:eastAsia="Calibri" w:cs="Arial"/>
          <w:sz w:val="22"/>
          <w:szCs w:val="22"/>
        </w:rPr>
      </w:pPr>
      <w:r w:rsidRPr="00502DE1">
        <w:rPr>
          <w:rFonts w:cs="Arial"/>
          <w:b/>
          <w:bCs/>
          <w:sz w:val="22"/>
          <w:szCs w:val="22"/>
          <w:lang w:val="es-MX"/>
        </w:rPr>
        <w:t>Contratación Fábrica de Software:</w:t>
      </w:r>
      <w:r w:rsidRPr="00502DE1">
        <w:rPr>
          <w:rFonts w:cs="Arial"/>
          <w:sz w:val="22"/>
          <w:szCs w:val="22"/>
          <w:lang w:val="es-MX"/>
        </w:rPr>
        <w:t xml:space="preserve"> Se continua con el proceso de selección y contratación de las fábricas de software encargadas de apoyar la etapa de desarrollo del nuevo Sistema Nacional Catastral – SNC y el Repositorio de Datos Maestros RDM - SINIC.  Se realizaron los estudios técnicos y de mercado para la contratación de la fábrica. S</w:t>
      </w:r>
      <w:r w:rsidRPr="00502DE1">
        <w:rPr>
          <w:rFonts w:eastAsia="Calibri" w:cs="Arial"/>
          <w:sz w:val="22"/>
          <w:szCs w:val="22"/>
          <w:lang w:val="es-CO"/>
        </w:rPr>
        <w:t xml:space="preserve">e </w:t>
      </w:r>
      <w:r w:rsidRPr="00502DE1">
        <w:rPr>
          <w:rFonts w:eastAsia="Calibri" w:cs="Arial"/>
          <w:sz w:val="22"/>
          <w:szCs w:val="22"/>
        </w:rPr>
        <w:t>espera para</w:t>
      </w:r>
      <w:r w:rsidRPr="00502DE1">
        <w:rPr>
          <w:rFonts w:eastAsia="Calibri" w:cs="Arial"/>
          <w:sz w:val="22"/>
          <w:szCs w:val="22"/>
          <w:lang w:val="es-CO"/>
        </w:rPr>
        <w:t xml:space="preserve"> el mes de noviembre</w:t>
      </w:r>
      <w:r w:rsidRPr="00502DE1">
        <w:rPr>
          <w:rFonts w:eastAsia="Calibri" w:cs="Arial"/>
          <w:sz w:val="22"/>
          <w:szCs w:val="22"/>
        </w:rPr>
        <w:t xml:space="preserve"> </w:t>
      </w:r>
      <w:r w:rsidRPr="00502DE1">
        <w:rPr>
          <w:rFonts w:eastAsia="Calibri" w:cs="Arial"/>
          <w:sz w:val="22"/>
          <w:szCs w:val="22"/>
          <w:lang w:val="es-CO"/>
        </w:rPr>
        <w:t>finali</w:t>
      </w:r>
      <w:r w:rsidRPr="00502DE1">
        <w:rPr>
          <w:rFonts w:eastAsia="Calibri" w:cs="Arial"/>
          <w:sz w:val="22"/>
          <w:szCs w:val="22"/>
        </w:rPr>
        <w:t>zar</w:t>
      </w:r>
      <w:r w:rsidRPr="00502DE1">
        <w:rPr>
          <w:rFonts w:eastAsia="Calibri" w:cs="Arial"/>
          <w:sz w:val="22"/>
          <w:szCs w:val="22"/>
          <w:lang w:val="es-CO"/>
        </w:rPr>
        <w:t xml:space="preserve"> la recepción de propuestas de </w:t>
      </w:r>
      <w:r w:rsidRPr="00502DE1">
        <w:rPr>
          <w:rFonts w:eastAsia="Calibri" w:cs="Arial"/>
          <w:sz w:val="22"/>
          <w:szCs w:val="22"/>
        </w:rPr>
        <w:t>oferentes para</w:t>
      </w:r>
      <w:r w:rsidRPr="00502DE1">
        <w:rPr>
          <w:rFonts w:eastAsia="Calibri" w:cs="Arial"/>
          <w:sz w:val="22"/>
          <w:szCs w:val="22"/>
          <w:lang w:val="es-CO"/>
        </w:rPr>
        <w:t xml:space="preserve"> sus respectivas evaluaciones y la correspondiente adjudicación</w:t>
      </w:r>
      <w:r w:rsidRPr="00502DE1">
        <w:rPr>
          <w:rFonts w:eastAsia="Calibri" w:cs="Arial"/>
          <w:sz w:val="22"/>
          <w:szCs w:val="22"/>
        </w:rPr>
        <w:t>.</w:t>
      </w:r>
    </w:p>
    <w:p w14:paraId="1EB0CEB9" w14:textId="4E490108" w:rsidR="00A3191D" w:rsidRPr="008F6424" w:rsidRDefault="00A3191D" w:rsidP="000A20EE">
      <w:pPr>
        <w:pStyle w:val="Prrafodelista"/>
        <w:numPr>
          <w:ilvl w:val="0"/>
          <w:numId w:val="116"/>
        </w:numPr>
        <w:suppressAutoHyphens w:val="0"/>
        <w:overflowPunct/>
        <w:autoSpaceDE/>
        <w:spacing w:after="160"/>
        <w:contextualSpacing/>
        <w:textAlignment w:val="auto"/>
        <w:rPr>
          <w:rFonts w:cs="Arial"/>
          <w:sz w:val="22"/>
          <w:szCs w:val="22"/>
          <w:lang w:val="es-MX"/>
        </w:rPr>
      </w:pPr>
      <w:r w:rsidRPr="753C46D3">
        <w:rPr>
          <w:rFonts w:cs="Arial"/>
          <w:b/>
          <w:sz w:val="22"/>
          <w:szCs w:val="22"/>
        </w:rPr>
        <w:t xml:space="preserve">Arquitectura Alto Nivel RDM-SINIC: </w:t>
      </w:r>
      <w:r w:rsidRPr="753C46D3">
        <w:rPr>
          <w:rFonts w:cs="Arial"/>
          <w:sz w:val="22"/>
          <w:szCs w:val="22"/>
          <w:lang w:val="es-MX"/>
        </w:rPr>
        <w:t>Se desarrolló la entrega oficial de los documentos de arquitectura (5 documentos) preparados por el DNP, dichos documentos componen la arquitectura de alto nivel para “El Repositorio de Datos Maestros” – RDM y el SINIC.</w:t>
      </w:r>
    </w:p>
    <w:p w14:paraId="50499142" w14:textId="7BEFB8DC" w:rsidR="00A3191D" w:rsidRPr="0079677E" w:rsidRDefault="00A3191D" w:rsidP="000A20EE">
      <w:pPr>
        <w:pStyle w:val="Prrafodelista"/>
        <w:numPr>
          <w:ilvl w:val="0"/>
          <w:numId w:val="116"/>
        </w:numPr>
        <w:suppressAutoHyphens w:val="0"/>
        <w:overflowPunct/>
        <w:autoSpaceDE/>
        <w:spacing w:after="160"/>
        <w:contextualSpacing/>
        <w:textAlignment w:val="auto"/>
        <w:rPr>
          <w:rFonts w:asciiTheme="minorHAnsi" w:eastAsia="Arial" w:hAnsiTheme="minorHAnsi" w:cstheme="minorBidi"/>
          <w:sz w:val="22"/>
          <w:szCs w:val="22"/>
          <w:lang w:val="es-CO"/>
        </w:rPr>
      </w:pPr>
      <w:r w:rsidRPr="753C46D3">
        <w:rPr>
          <w:rFonts w:cs="Arial"/>
          <w:b/>
          <w:sz w:val="22"/>
          <w:szCs w:val="22"/>
          <w:lang w:val="es-MX"/>
        </w:rPr>
        <w:t>Levantamiento Épicas SNC:</w:t>
      </w:r>
      <w:r w:rsidRPr="753C46D3">
        <w:rPr>
          <w:rFonts w:cs="Arial"/>
          <w:sz w:val="22"/>
          <w:szCs w:val="22"/>
          <w:lang w:val="es-MX"/>
        </w:rPr>
        <w:t xml:space="preserve"> Se avanza en el proceso de levantamiento de Épicas e historias de usuario para incluir nuevas funcionalidades y/o mejoras al Sistema Nacional Catastral SNC.</w:t>
      </w:r>
    </w:p>
    <w:p w14:paraId="628CC1B4" w14:textId="77777777" w:rsidR="0079677E" w:rsidRPr="0079677E" w:rsidRDefault="00A3191D" w:rsidP="000A20EE">
      <w:pPr>
        <w:pStyle w:val="Prrafodelista"/>
        <w:numPr>
          <w:ilvl w:val="0"/>
          <w:numId w:val="116"/>
        </w:numPr>
        <w:suppressAutoHyphens w:val="0"/>
        <w:overflowPunct/>
        <w:autoSpaceDE/>
        <w:spacing w:after="160"/>
        <w:contextualSpacing/>
        <w:textAlignment w:val="auto"/>
        <w:rPr>
          <w:rFonts w:cs="Arial"/>
          <w:sz w:val="22"/>
          <w:szCs w:val="22"/>
          <w:lang w:val="es-CO"/>
        </w:rPr>
      </w:pPr>
      <w:r w:rsidRPr="002E7309">
        <w:rPr>
          <w:rFonts w:eastAsia="Arial" w:cs="Arial"/>
          <w:b/>
          <w:sz w:val="22"/>
          <w:szCs w:val="22"/>
          <w:lang w:val="es-CO"/>
        </w:rPr>
        <w:t>Migración COBOL a SNC:</w:t>
      </w:r>
      <w:r w:rsidRPr="002E7309">
        <w:rPr>
          <w:rFonts w:eastAsia="Arial" w:cs="Arial"/>
          <w:bCs/>
          <w:sz w:val="22"/>
          <w:szCs w:val="22"/>
          <w:lang w:val="es-CO"/>
        </w:rPr>
        <w:t xml:space="preserve"> Durante la vigencia 2020</w:t>
      </w:r>
      <w:r w:rsidRPr="002E7309">
        <w:rPr>
          <w:rFonts w:eastAsia="Arial" w:cs="Arial"/>
          <w:bCs/>
          <w:sz w:val="22"/>
          <w:szCs w:val="22"/>
        </w:rPr>
        <w:t xml:space="preserve">, </w:t>
      </w:r>
      <w:r w:rsidRPr="002E7309">
        <w:rPr>
          <w:rFonts w:eastAsia="Arial" w:cs="Arial"/>
          <w:bCs/>
          <w:sz w:val="22"/>
          <w:szCs w:val="22"/>
          <w:lang w:val="es-CO"/>
        </w:rPr>
        <w:t>se realizó la migración del municipio de Cumaribo, Vichada y Villavicencio correspondiente a la jurisdicción Territorial Meta. Con respecto a la jurisdicción de la Territorial Casanare, se migró, Casanare (19 Municipios) y Arauca (7 Municipios). Adicional, se realizó la migración del municipio de Gachancipá de la jurisdicción Territorial Cundinamarca</w:t>
      </w:r>
      <w:r>
        <w:rPr>
          <w:rFonts w:eastAsia="Arial" w:cs="Arial"/>
          <w:bCs/>
        </w:rPr>
        <w:t xml:space="preserve">, migración de </w:t>
      </w:r>
      <w:r w:rsidRPr="002E7309">
        <w:rPr>
          <w:rFonts w:eastAsia="Arial" w:cs="Arial"/>
          <w:bCs/>
          <w:sz w:val="22"/>
          <w:szCs w:val="22"/>
          <w:lang w:val="es-CO"/>
        </w:rPr>
        <w:t>departamento de amazonas (11 municipios) y Popayán.</w:t>
      </w:r>
      <w:r w:rsidRPr="002E7309">
        <w:rPr>
          <w:rFonts w:eastAsia="Arial" w:cs="Arial"/>
          <w:bCs/>
          <w:sz w:val="22"/>
          <w:szCs w:val="22"/>
        </w:rPr>
        <w:t xml:space="preserve"> Para la vigencia 2021 se migra</w:t>
      </w:r>
      <w:r w:rsidRPr="3EE06615">
        <w:rPr>
          <w:rFonts w:eastAsia="Arial" w:cs="Arial"/>
          <w:sz w:val="22"/>
          <w:szCs w:val="22"/>
        </w:rPr>
        <w:t>ron</w:t>
      </w:r>
      <w:r w:rsidRPr="002E7309">
        <w:rPr>
          <w:rFonts w:eastAsia="Arial" w:cs="Arial"/>
          <w:bCs/>
          <w:sz w:val="22"/>
          <w:szCs w:val="22"/>
        </w:rPr>
        <w:t xml:space="preserve"> las territoriales de Cundinamarca, Tolima y </w:t>
      </w:r>
      <w:r w:rsidRPr="002E7309">
        <w:rPr>
          <w:rFonts w:eastAsia="Arial" w:cs="Arial"/>
          <w:bCs/>
        </w:rPr>
        <w:t>Bolívar</w:t>
      </w:r>
      <w:r w:rsidRPr="002E7309">
        <w:rPr>
          <w:rFonts w:eastAsia="Arial" w:cs="Arial"/>
          <w:bCs/>
          <w:sz w:val="22"/>
          <w:szCs w:val="22"/>
        </w:rPr>
        <w:t>.</w:t>
      </w:r>
    </w:p>
    <w:p w14:paraId="23512D2F" w14:textId="6E8B8378" w:rsidR="0079677E" w:rsidRPr="0079677E" w:rsidRDefault="00A3191D" w:rsidP="000A20EE">
      <w:pPr>
        <w:pStyle w:val="Prrafodelista"/>
        <w:numPr>
          <w:ilvl w:val="0"/>
          <w:numId w:val="116"/>
        </w:numPr>
        <w:suppressAutoHyphens w:val="0"/>
        <w:overflowPunct/>
        <w:autoSpaceDE/>
        <w:spacing w:after="160"/>
        <w:contextualSpacing/>
        <w:textAlignment w:val="auto"/>
        <w:rPr>
          <w:rFonts w:cs="Arial"/>
          <w:sz w:val="22"/>
          <w:szCs w:val="22"/>
          <w:lang w:val="es-CO"/>
        </w:rPr>
      </w:pPr>
      <w:r w:rsidRPr="0079677E">
        <w:rPr>
          <w:rFonts w:cs="Arial"/>
          <w:b/>
          <w:bCs/>
          <w:sz w:val="22"/>
          <w:szCs w:val="22"/>
          <w:lang w:val="es-CO"/>
        </w:rPr>
        <w:t>Implementación de Carpeta Ciudadana:</w:t>
      </w:r>
      <w:r w:rsidRPr="0079677E">
        <w:rPr>
          <w:rFonts w:cs="Arial"/>
          <w:sz w:val="22"/>
          <w:szCs w:val="22"/>
          <w:lang w:val="es-CO"/>
        </w:rPr>
        <w:t xml:space="preserve"> Ser </w:t>
      </w:r>
      <w:r w:rsidRPr="0079677E">
        <w:rPr>
          <w:rFonts w:cs="Arial"/>
          <w:sz w:val="22"/>
          <w:szCs w:val="22"/>
          <w:lang w:val="es-MX"/>
        </w:rPr>
        <w:t xml:space="preserve">líder del estado </w:t>
      </w:r>
      <w:r w:rsidR="00695583" w:rsidRPr="0079677E">
        <w:rPr>
          <w:rFonts w:cs="Arial"/>
          <w:sz w:val="22"/>
          <w:szCs w:val="22"/>
          <w:lang w:val="es-MX"/>
        </w:rPr>
        <w:t>colombiano</w:t>
      </w:r>
      <w:r w:rsidRPr="0079677E">
        <w:rPr>
          <w:rFonts w:cs="Arial"/>
          <w:sz w:val="22"/>
          <w:szCs w:val="22"/>
          <w:lang w:val="es-MX"/>
        </w:rPr>
        <w:t xml:space="preserve"> en la implementación de servicios ciudadanos digitales “Carpeta Ciudadana” utilizando la </w:t>
      </w:r>
      <w:r w:rsidRPr="0079677E">
        <w:rPr>
          <w:rFonts w:cs="Arial"/>
          <w:sz w:val="22"/>
          <w:szCs w:val="22"/>
          <w:lang w:val="es-MX"/>
        </w:rPr>
        <w:lastRenderedPageBreak/>
        <w:t>plataforma de intercambio de información definida por el Ministerio TIC de nombre XROAD y la implementación del estándar de servicio de autenticación.</w:t>
      </w:r>
    </w:p>
    <w:p w14:paraId="5A56A0C9" w14:textId="77777777" w:rsidR="0079677E" w:rsidRPr="0079677E" w:rsidRDefault="00A3191D" w:rsidP="000A20EE">
      <w:pPr>
        <w:pStyle w:val="Prrafodelista"/>
        <w:numPr>
          <w:ilvl w:val="0"/>
          <w:numId w:val="116"/>
        </w:numPr>
        <w:suppressAutoHyphens w:val="0"/>
        <w:overflowPunct/>
        <w:autoSpaceDE/>
        <w:spacing w:after="160"/>
        <w:contextualSpacing/>
        <w:textAlignment w:val="auto"/>
        <w:rPr>
          <w:rFonts w:cs="Arial"/>
          <w:sz w:val="22"/>
          <w:szCs w:val="22"/>
          <w:lang w:val="es-CO"/>
        </w:rPr>
      </w:pPr>
      <w:r w:rsidRPr="0079677E">
        <w:rPr>
          <w:rFonts w:cs="Arial"/>
          <w:b/>
          <w:sz w:val="22"/>
          <w:szCs w:val="22"/>
        </w:rPr>
        <w:t xml:space="preserve">Actualización: </w:t>
      </w:r>
      <w:r w:rsidRPr="0079677E">
        <w:rPr>
          <w:rFonts w:cs="Arial"/>
          <w:sz w:val="22"/>
          <w:szCs w:val="22"/>
        </w:rPr>
        <w:t>Contribuir con el ejercicio de actualización de información de los municipios que han contratado con el IGAC mediante el soporte técnico y gestión de operación del sistema CICA, apalancando la operación de los reconocedores en campo y apoyando a las territoriales que intervienen en dicha labor.</w:t>
      </w:r>
    </w:p>
    <w:p w14:paraId="70A7796D" w14:textId="4C58E283" w:rsidR="00A3191D" w:rsidRPr="00695583" w:rsidRDefault="00A3191D" w:rsidP="000A20EE">
      <w:pPr>
        <w:pStyle w:val="Prrafodelista"/>
        <w:numPr>
          <w:ilvl w:val="0"/>
          <w:numId w:val="116"/>
        </w:numPr>
        <w:suppressAutoHyphens w:val="0"/>
        <w:overflowPunct/>
        <w:autoSpaceDE/>
        <w:spacing w:after="160"/>
        <w:contextualSpacing/>
        <w:textAlignment w:val="auto"/>
        <w:rPr>
          <w:rFonts w:cs="Arial"/>
          <w:sz w:val="22"/>
          <w:szCs w:val="22"/>
          <w:lang w:val="es-CO"/>
        </w:rPr>
      </w:pPr>
      <w:r w:rsidRPr="0079677E">
        <w:rPr>
          <w:rFonts w:cs="Arial"/>
          <w:b/>
          <w:bCs/>
          <w:sz w:val="22"/>
          <w:szCs w:val="22"/>
          <w:lang w:val="es-CO"/>
        </w:rPr>
        <w:t>Fortalecimiento de Soporte Técnico</w:t>
      </w:r>
      <w:r w:rsidRPr="0079677E">
        <w:rPr>
          <w:rFonts w:cs="Arial"/>
          <w:b/>
          <w:bCs/>
          <w:sz w:val="22"/>
          <w:szCs w:val="22"/>
        </w:rPr>
        <w:t xml:space="preserve">: </w:t>
      </w:r>
      <w:r w:rsidRPr="0079677E">
        <w:rPr>
          <w:rFonts w:cs="Arial"/>
          <w:sz w:val="22"/>
          <w:szCs w:val="22"/>
        </w:rPr>
        <w:t xml:space="preserve">Contribuir con </w:t>
      </w:r>
      <w:r w:rsidRPr="0079677E">
        <w:rPr>
          <w:rFonts w:cs="Arial"/>
          <w:sz w:val="22"/>
          <w:szCs w:val="22"/>
          <w:lang w:val="es-MX"/>
        </w:rPr>
        <w:t>la operación de la Entidad mediante el desarrollo de servicios de soporte técnico a las plataformas de sistemas de información, dichos soportes van desde el atender casos de capacitación y parametrización de los diferentes sistemas, hasta la modificación de funcionalidades y mejoras a los sistemas que se encuentran en operación (SNC, CICA, VIVI, SIGAC y el ERP).</w:t>
      </w:r>
    </w:p>
    <w:p w14:paraId="63EA31D9" w14:textId="77777777" w:rsidR="00A3191D" w:rsidRDefault="00A3191D" w:rsidP="00C72779">
      <w:pPr>
        <w:jc w:val="both"/>
        <w:rPr>
          <w:rFonts w:cs="Arial"/>
          <w:sz w:val="22"/>
          <w:szCs w:val="22"/>
        </w:rPr>
      </w:pPr>
      <w:r w:rsidRPr="00EE5DE8">
        <w:rPr>
          <w:rFonts w:cs="Arial"/>
          <w:sz w:val="22"/>
          <w:szCs w:val="22"/>
        </w:rPr>
        <w:t xml:space="preserve">Así mismo, dentro de la gestión adelantada mediante el subproceso de Diseño y Desarrollo de Sistemas de Información, se han desarrollado acciones orientadas al mantenimiento o mejoramiento del componente de software de la infraestructura tecnológica de la </w:t>
      </w:r>
      <w:r>
        <w:rPr>
          <w:rFonts w:cs="Arial"/>
          <w:sz w:val="22"/>
          <w:szCs w:val="22"/>
        </w:rPr>
        <w:t>Entidad</w:t>
      </w:r>
      <w:r w:rsidRPr="00EE5DE8">
        <w:rPr>
          <w:rFonts w:cs="Arial"/>
          <w:sz w:val="22"/>
          <w:szCs w:val="22"/>
        </w:rPr>
        <w:t>,</w:t>
      </w:r>
      <w:r>
        <w:rPr>
          <w:rFonts w:cs="Arial"/>
          <w:sz w:val="22"/>
          <w:szCs w:val="22"/>
        </w:rPr>
        <w:t xml:space="preserve"> a través de la implementación de controles de calidad y controles de cambio, que han permitido implementar nuevas funcionalidades, dentro de las cuales, entre otras se pueden mencionar: </w:t>
      </w:r>
    </w:p>
    <w:p w14:paraId="2A87375D" w14:textId="77777777" w:rsidR="00A3191D" w:rsidRDefault="00A3191D" w:rsidP="00C72779">
      <w:pPr>
        <w:jc w:val="both"/>
        <w:rPr>
          <w:rFonts w:cs="Arial"/>
          <w:sz w:val="22"/>
          <w:szCs w:val="22"/>
        </w:rPr>
      </w:pPr>
    </w:p>
    <w:p w14:paraId="297059DE" w14:textId="50EFC92C" w:rsidR="00A3191D" w:rsidRPr="008920A4" w:rsidRDefault="00A3191D" w:rsidP="000A20EE">
      <w:pPr>
        <w:pStyle w:val="Prrafodelista"/>
        <w:numPr>
          <w:ilvl w:val="0"/>
          <w:numId w:val="180"/>
        </w:numPr>
        <w:rPr>
          <w:rFonts w:cs="Arial"/>
          <w:sz w:val="22"/>
          <w:szCs w:val="22"/>
          <w:lang w:val="es-MX"/>
        </w:rPr>
      </w:pPr>
      <w:r w:rsidRPr="00695583">
        <w:rPr>
          <w:rFonts w:cs="Arial"/>
          <w:b/>
          <w:sz w:val="22"/>
          <w:szCs w:val="22"/>
          <w:lang w:val="es-MX"/>
        </w:rPr>
        <w:t xml:space="preserve">Sistema Nacional Catastral (SNC): </w:t>
      </w:r>
      <w:r w:rsidRPr="00695583">
        <w:rPr>
          <w:rFonts w:cs="Arial"/>
          <w:sz w:val="22"/>
          <w:szCs w:val="22"/>
          <w:lang w:val="es-MX"/>
        </w:rPr>
        <w:t>Generación de códigos homologados en el proceso de Conservación Catastral, ajuste del proceso de Conservación Catastral con base en la modernización institucional, consulta de trámites en vía administrativa, permitir más de un responsable de conservación en la misma jurisdicción.</w:t>
      </w:r>
    </w:p>
    <w:p w14:paraId="30C467AF" w14:textId="2216181F" w:rsidR="00A3191D" w:rsidRPr="008920A4" w:rsidRDefault="00A3191D" w:rsidP="000A20EE">
      <w:pPr>
        <w:pStyle w:val="Prrafodelista"/>
        <w:numPr>
          <w:ilvl w:val="0"/>
          <w:numId w:val="180"/>
        </w:numPr>
        <w:shd w:val="clear" w:color="auto" w:fill="FFFFFF"/>
        <w:rPr>
          <w:rFonts w:cs="Arial"/>
          <w:sz w:val="22"/>
          <w:szCs w:val="22"/>
          <w:lang w:val="es-MX"/>
        </w:rPr>
      </w:pPr>
      <w:r w:rsidRPr="00695583">
        <w:rPr>
          <w:rFonts w:cs="Arial"/>
          <w:b/>
          <w:sz w:val="22"/>
          <w:szCs w:val="22"/>
          <w:lang w:val="es-MX"/>
        </w:rPr>
        <w:t xml:space="preserve">Captura de información catastral de actualización (CICA): </w:t>
      </w:r>
      <w:r w:rsidRPr="00695583">
        <w:rPr>
          <w:rFonts w:cs="Arial"/>
          <w:bCs/>
          <w:sz w:val="22"/>
          <w:szCs w:val="22"/>
          <w:lang w:val="es-MX"/>
        </w:rPr>
        <w:t>A</w:t>
      </w:r>
      <w:r w:rsidRPr="00695583">
        <w:rPr>
          <w:rFonts w:cs="Arial"/>
          <w:sz w:val="22"/>
          <w:szCs w:val="22"/>
          <w:lang w:val="es-MX"/>
        </w:rPr>
        <w:t xml:space="preserve">justes a las validaciones (datos del predio, construcciones, propietarios, justificación). Permitir la eliminación de predios nuevos creados por error. Admitir cambios de etapa de manera masiva para realizar nuevamente cargues de área. Marcar predios con falsa tradición para el caso de las posesiones. Ajustes a la visualización de toda la información registrada por el reconocedor, en los roles de consulta y coordFinadores. Almacenar la traza al pasar un predio vigente a predio informal. Admitir </w:t>
      </w:r>
      <w:r w:rsidR="00471386" w:rsidRPr="00695583">
        <w:rPr>
          <w:rFonts w:cs="Arial"/>
          <w:sz w:val="22"/>
          <w:szCs w:val="22"/>
          <w:lang w:val="es-MX"/>
        </w:rPr>
        <w:t xml:space="preserve">la opción </w:t>
      </w:r>
      <w:r w:rsidRPr="00695583">
        <w:rPr>
          <w:rFonts w:cs="Arial"/>
          <w:sz w:val="22"/>
          <w:szCs w:val="22"/>
          <w:lang w:val="es-MX"/>
        </w:rPr>
        <w:t>copiar datos de contacto y datos del predio (destinación económica, tipo predio, clase suelo, procedimiento catastral registral) de manera masiva para PH y Condominio. Permitir la subida soportes en formato PDF.</w:t>
      </w:r>
    </w:p>
    <w:p w14:paraId="67832423" w14:textId="774548D3" w:rsidR="00A3191D" w:rsidRPr="008F6424" w:rsidRDefault="00A3191D" w:rsidP="000A20EE">
      <w:pPr>
        <w:pStyle w:val="Prrafodelista"/>
        <w:numPr>
          <w:ilvl w:val="0"/>
          <w:numId w:val="180"/>
        </w:numPr>
        <w:rPr>
          <w:rFonts w:cs="Arial"/>
          <w:sz w:val="22"/>
          <w:szCs w:val="22"/>
          <w:lang w:val="es-MX"/>
        </w:rPr>
      </w:pPr>
      <w:r w:rsidRPr="00695583">
        <w:rPr>
          <w:rFonts w:cs="Arial"/>
          <w:b/>
          <w:sz w:val="22"/>
          <w:szCs w:val="22"/>
          <w:lang w:val="es-MX"/>
        </w:rPr>
        <w:t xml:space="preserve">ERP-Nomina: </w:t>
      </w:r>
      <w:r w:rsidRPr="00695583">
        <w:rPr>
          <w:rFonts w:cs="Arial"/>
          <w:bCs/>
          <w:sz w:val="22"/>
          <w:szCs w:val="22"/>
          <w:lang w:val="es-MX"/>
        </w:rPr>
        <w:t>C</w:t>
      </w:r>
      <w:r w:rsidRPr="00695583">
        <w:rPr>
          <w:rFonts w:cs="Arial"/>
          <w:sz w:val="22"/>
          <w:szCs w:val="22"/>
          <w:lang w:val="es-MX"/>
        </w:rPr>
        <w:t xml:space="preserve">onsulta </w:t>
      </w:r>
      <w:r w:rsidR="00494C4E" w:rsidRPr="00695583">
        <w:rPr>
          <w:rFonts w:cs="Arial"/>
          <w:sz w:val="22"/>
          <w:szCs w:val="22"/>
          <w:lang w:val="es-MX"/>
        </w:rPr>
        <w:t>d</w:t>
      </w:r>
      <w:r w:rsidRPr="00695583">
        <w:rPr>
          <w:rFonts w:cs="Arial"/>
          <w:sz w:val="22"/>
          <w:szCs w:val="22"/>
          <w:lang w:val="es-MX"/>
        </w:rPr>
        <w:t>el histórico de incapacidades, consulta de funcionarios con ARL y nivel de riesgo, envío por correo electrónico Certificación FNA a cada funcionario, proceso de recalculo de retención en la fuente, o y actualización del certificado de ingresos y retenciones de 2020 de acuerdo a modificaciones de la DIAN al formulario 2220, actualización planta de nómina y ordenadores de gasto producto de modernización institucional.</w:t>
      </w:r>
    </w:p>
    <w:p w14:paraId="155143EE" w14:textId="62F7CA89" w:rsidR="00A3191D" w:rsidRPr="00963989" w:rsidRDefault="00A3191D" w:rsidP="000A20EE">
      <w:pPr>
        <w:pStyle w:val="Prrafodelista"/>
        <w:numPr>
          <w:ilvl w:val="0"/>
          <w:numId w:val="180"/>
        </w:numPr>
        <w:rPr>
          <w:rFonts w:cs="Arial"/>
          <w:color w:val="000000"/>
          <w:sz w:val="22"/>
          <w:szCs w:val="22"/>
          <w:shd w:val="clear" w:color="auto" w:fill="FFFFFF"/>
        </w:rPr>
      </w:pPr>
      <w:r w:rsidRPr="00695583">
        <w:rPr>
          <w:rFonts w:cs="Arial"/>
          <w:b/>
          <w:sz w:val="22"/>
          <w:szCs w:val="22"/>
          <w:lang w:val="es-MX"/>
        </w:rPr>
        <w:t xml:space="preserve">ERP-Contratación: </w:t>
      </w:r>
      <w:r w:rsidRPr="00695583">
        <w:rPr>
          <w:rFonts w:cs="Arial"/>
          <w:bCs/>
          <w:sz w:val="22"/>
          <w:szCs w:val="22"/>
          <w:lang w:val="es-MX"/>
        </w:rPr>
        <w:t>A</w:t>
      </w:r>
      <w:r w:rsidR="00494C4E" w:rsidRPr="00695583">
        <w:rPr>
          <w:rFonts w:cs="Arial"/>
          <w:color w:val="000000"/>
          <w:sz w:val="22"/>
          <w:szCs w:val="22"/>
          <w:shd w:val="clear" w:color="auto" w:fill="FFFFFF"/>
          <w:lang w:val="es-MX"/>
        </w:rPr>
        <w:t>juste</w:t>
      </w:r>
      <w:r w:rsidRPr="00695583">
        <w:rPr>
          <w:rFonts w:cs="Arial"/>
          <w:color w:val="000000"/>
          <w:sz w:val="22"/>
          <w:szCs w:val="22"/>
          <w:shd w:val="clear" w:color="auto" w:fill="FFFFFF"/>
        </w:rPr>
        <w:t xml:space="preserve"> del modelo de minuta del ECO y la creación de un nuevo modelo de minuta de contrato para contratos de prestación de servicios, ajuste al módulo de certificaciones para la cesión de contrato, actualización de Objetos por cambios en la planta de personal y nuevas codificaciones de dependencias en el sistema PERNO a causa de la Modernización.</w:t>
      </w:r>
    </w:p>
    <w:p w14:paraId="653F058B" w14:textId="70EF9DDD" w:rsidR="00A3191D" w:rsidRPr="00963989" w:rsidRDefault="00A3191D" w:rsidP="000A20EE">
      <w:pPr>
        <w:pStyle w:val="Prrafodelista"/>
        <w:numPr>
          <w:ilvl w:val="0"/>
          <w:numId w:val="180"/>
        </w:numPr>
        <w:rPr>
          <w:rFonts w:cs="Arial"/>
          <w:color w:val="000000"/>
          <w:sz w:val="22"/>
          <w:szCs w:val="22"/>
          <w:shd w:val="clear" w:color="auto" w:fill="FFFFFF"/>
        </w:rPr>
      </w:pPr>
      <w:r w:rsidRPr="00695583">
        <w:rPr>
          <w:rFonts w:cs="Arial"/>
          <w:b/>
          <w:sz w:val="22"/>
          <w:szCs w:val="22"/>
          <w:lang w:val="es-MX"/>
        </w:rPr>
        <w:t xml:space="preserve">ERP-Facturación: </w:t>
      </w:r>
      <w:r w:rsidRPr="00695583">
        <w:rPr>
          <w:rFonts w:cs="Arial"/>
          <w:bCs/>
          <w:sz w:val="22"/>
          <w:szCs w:val="22"/>
          <w:lang w:val="es-MX"/>
        </w:rPr>
        <w:t>A</w:t>
      </w:r>
      <w:r w:rsidRPr="00695583">
        <w:rPr>
          <w:rFonts w:cs="Arial"/>
          <w:color w:val="000000"/>
          <w:sz w:val="22"/>
          <w:szCs w:val="22"/>
          <w:shd w:val="clear" w:color="auto" w:fill="FFFFFF"/>
        </w:rPr>
        <w:t>juste del reporte de la factura de cartera, se modificó el reporte de facturas de ventas de contado y de cartera, ajuste del procedimiento de cálculo de los valores para las ordenes que se generan desde al sistema de certificados catastrales</w:t>
      </w:r>
    </w:p>
    <w:p w14:paraId="383E81EE" w14:textId="0779AB2C" w:rsidR="00A3191D" w:rsidRPr="005B430F" w:rsidRDefault="00A3191D" w:rsidP="000A20EE">
      <w:pPr>
        <w:pStyle w:val="Prrafodelista"/>
        <w:numPr>
          <w:ilvl w:val="0"/>
          <w:numId w:val="180"/>
        </w:numPr>
        <w:rPr>
          <w:rFonts w:cs="Arial"/>
          <w:sz w:val="22"/>
          <w:szCs w:val="22"/>
          <w:lang w:val="es-MX"/>
        </w:rPr>
      </w:pPr>
      <w:r w:rsidRPr="00695583">
        <w:rPr>
          <w:rFonts w:cs="Arial"/>
          <w:b/>
          <w:sz w:val="22"/>
          <w:szCs w:val="22"/>
          <w:lang w:val="es-MX"/>
        </w:rPr>
        <w:t xml:space="preserve">Sistema de Información para la Gestión Agrológica (SIGA): </w:t>
      </w:r>
      <w:r w:rsidRPr="00695583">
        <w:rPr>
          <w:rFonts w:cs="Arial"/>
          <w:bCs/>
          <w:sz w:val="22"/>
          <w:szCs w:val="22"/>
          <w:lang w:val="es-MX"/>
        </w:rPr>
        <w:t>Des</w:t>
      </w:r>
      <w:r w:rsidRPr="00695583">
        <w:rPr>
          <w:rFonts w:cs="Arial"/>
          <w:sz w:val="22"/>
          <w:szCs w:val="22"/>
          <w:lang w:val="es-MX"/>
        </w:rPr>
        <w:t>arroll</w:t>
      </w:r>
      <w:r w:rsidR="00475706" w:rsidRPr="00695583">
        <w:rPr>
          <w:rFonts w:cs="Arial"/>
          <w:sz w:val="22"/>
          <w:szCs w:val="22"/>
          <w:lang w:val="es-MX"/>
        </w:rPr>
        <w:t xml:space="preserve">o </w:t>
      </w:r>
      <w:r w:rsidR="00963989" w:rsidRPr="00695583">
        <w:rPr>
          <w:rFonts w:cs="Arial"/>
          <w:sz w:val="22"/>
          <w:szCs w:val="22"/>
          <w:lang w:val="es-MX"/>
        </w:rPr>
        <w:t>de nueva</w:t>
      </w:r>
      <w:r w:rsidRPr="00695583">
        <w:rPr>
          <w:rFonts w:cs="Arial"/>
          <w:sz w:val="22"/>
          <w:szCs w:val="22"/>
          <w:lang w:val="es-MX"/>
        </w:rPr>
        <w:t xml:space="preserve"> funcionalidad para ingresar la firma de informes. Desarrollo generación de los reportes de "RESULTADOS" de todos los paquetes de todas las áreas - Descargo de responsabilidades. Ajuste a la plantilla de reporte de física para que se muestre </w:t>
      </w:r>
      <w:r w:rsidRPr="00695583">
        <w:rPr>
          <w:rFonts w:cs="Arial"/>
          <w:sz w:val="22"/>
          <w:szCs w:val="22"/>
          <w:lang w:val="es-MX"/>
        </w:rPr>
        <w:lastRenderedPageBreak/>
        <w:t>correctamente la fecha de análisis de las muestras. Se crea nueva pantalla de consulta para generar reportes de facturación de SIGA, por fechas de creación de solicitudes</w:t>
      </w:r>
    </w:p>
    <w:p w14:paraId="3B0E2AC0" w14:textId="2652C9B7" w:rsidR="00A3191D" w:rsidRPr="005B430F" w:rsidRDefault="00A3191D" w:rsidP="000A20EE">
      <w:pPr>
        <w:pStyle w:val="Prrafodelista"/>
        <w:numPr>
          <w:ilvl w:val="0"/>
          <w:numId w:val="180"/>
        </w:numPr>
        <w:rPr>
          <w:rFonts w:cs="Arial"/>
          <w:color w:val="000000"/>
          <w:sz w:val="22"/>
          <w:szCs w:val="22"/>
          <w:shd w:val="clear" w:color="auto" w:fill="FFFFFF"/>
        </w:rPr>
      </w:pPr>
      <w:r w:rsidRPr="00695583">
        <w:rPr>
          <w:rFonts w:cs="Arial"/>
          <w:b/>
          <w:sz w:val="22"/>
          <w:szCs w:val="22"/>
          <w:lang w:val="es-MX"/>
        </w:rPr>
        <w:t xml:space="preserve">Geoportal y Datos Abiertos: </w:t>
      </w:r>
      <w:r w:rsidRPr="00695583">
        <w:rPr>
          <w:rFonts w:cs="Arial"/>
          <w:color w:val="000000"/>
          <w:sz w:val="22"/>
          <w:szCs w:val="22"/>
          <w:shd w:val="clear" w:color="auto" w:fill="FFFFFF"/>
        </w:rPr>
        <w:t>Se realizó soporte y mantenimiento a la plataforma.</w:t>
      </w:r>
    </w:p>
    <w:p w14:paraId="50256DB7" w14:textId="74126E03" w:rsidR="00A3191D" w:rsidRPr="005B430F" w:rsidRDefault="00A3191D" w:rsidP="000A20EE">
      <w:pPr>
        <w:pStyle w:val="Prrafodelista"/>
        <w:numPr>
          <w:ilvl w:val="0"/>
          <w:numId w:val="180"/>
        </w:numPr>
        <w:rPr>
          <w:rFonts w:cs="Arial"/>
          <w:sz w:val="22"/>
          <w:szCs w:val="22"/>
          <w:lang w:val="es-MX"/>
        </w:rPr>
      </w:pPr>
      <w:r w:rsidRPr="00695583">
        <w:rPr>
          <w:rFonts w:cs="Arial"/>
          <w:b/>
          <w:sz w:val="22"/>
          <w:szCs w:val="22"/>
          <w:lang w:val="es-MX"/>
        </w:rPr>
        <w:t xml:space="preserve">Portales: </w:t>
      </w:r>
      <w:r w:rsidRPr="00695583">
        <w:rPr>
          <w:rFonts w:cs="Arial"/>
          <w:sz w:val="22"/>
          <w:szCs w:val="22"/>
          <w:lang w:val="es-MX"/>
        </w:rPr>
        <w:t>Se realizó la propuesta de diseño de home de la nueva plataforma y se socializó con las áreas misionales la propuesta de diseño de las secciones internas del nuevo portal web. Se ajustó Tienda Virtual para la actualización automática de los productos con el inventario del ERP. Se realizó una nueva sección llamada "En territorio" en el micrositio catastro. Se analizó la estructura de Transparencia. Se diseñó el front-End en la aplicación CSS y HTML del template del home page para la versión del nuevo portal web. Se creó la nueva versión del listado maestro, se capacitó y se validó la mejora con el usuario de planeación. Se ajustó el desarrollo de los filtros del listado maestro para que en las listas encuentre profundidad de hasta 5 subcategorías. Se ajustó el campo de búsqueda por código y búsqueda por título en el listado maestro de documentos</w:t>
      </w:r>
    </w:p>
    <w:p w14:paraId="57C2FE63" w14:textId="77FF8EED" w:rsidR="00A3191D" w:rsidRPr="005B430F" w:rsidRDefault="00A3191D" w:rsidP="000A20EE">
      <w:pPr>
        <w:pStyle w:val="Prrafodelista"/>
        <w:numPr>
          <w:ilvl w:val="0"/>
          <w:numId w:val="180"/>
        </w:numPr>
        <w:rPr>
          <w:rFonts w:cs="Arial"/>
          <w:color w:val="000000"/>
          <w:sz w:val="22"/>
          <w:szCs w:val="22"/>
          <w:shd w:val="clear" w:color="auto" w:fill="FFFFFF"/>
        </w:rPr>
      </w:pPr>
      <w:r w:rsidRPr="00695583">
        <w:rPr>
          <w:rFonts w:cs="Arial"/>
          <w:b/>
          <w:sz w:val="22"/>
          <w:szCs w:val="22"/>
          <w:lang w:val="es-MX"/>
        </w:rPr>
        <w:t xml:space="preserve">Ventanilla Integrada Virtual (VIVI): </w:t>
      </w:r>
      <w:r w:rsidRPr="00695583">
        <w:rPr>
          <w:rFonts w:cs="Arial"/>
          <w:color w:val="000000"/>
          <w:sz w:val="22"/>
          <w:szCs w:val="22"/>
          <w:shd w:val="clear" w:color="auto" w:fill="FFFFFF"/>
        </w:rPr>
        <w:t>Se han implementado mejoras a la aplicación después de la puesta en producción, dentro de las cuales tenemos cambio Códigos de dependencias de direcciones territoriales, agregar campo de observación para autoestimación y revisión de avalúo, en mutaciones de segunda englobe consultar predios a englobar por número predial y numero matricula, se agregaron los campos área terreno, área construcción, valor de</w:t>
      </w:r>
      <w:r w:rsidR="005B430F">
        <w:rPr>
          <w:rFonts w:cs="Arial"/>
          <w:color w:val="000000"/>
          <w:sz w:val="22"/>
          <w:szCs w:val="22"/>
          <w:shd w:val="clear" w:color="auto" w:fill="FFFFFF"/>
        </w:rPr>
        <w:t xml:space="preserve"> terreno y valor de construcció</w:t>
      </w:r>
    </w:p>
    <w:p w14:paraId="6EA60323" w14:textId="77777777" w:rsidR="00A3191D" w:rsidRPr="00695583" w:rsidRDefault="00A3191D" w:rsidP="000A20EE">
      <w:pPr>
        <w:pStyle w:val="Prrafodelista"/>
        <w:numPr>
          <w:ilvl w:val="0"/>
          <w:numId w:val="180"/>
        </w:numPr>
        <w:rPr>
          <w:rFonts w:cs="Arial"/>
          <w:color w:val="000000"/>
          <w:sz w:val="22"/>
          <w:szCs w:val="22"/>
          <w:shd w:val="clear" w:color="auto" w:fill="FFFFFF"/>
        </w:rPr>
      </w:pPr>
      <w:r w:rsidRPr="00695583">
        <w:rPr>
          <w:rFonts w:cs="Arial"/>
          <w:b/>
          <w:sz w:val="22"/>
          <w:szCs w:val="22"/>
          <w:lang w:val="es-MX"/>
        </w:rPr>
        <w:t xml:space="preserve">Sistema de Códigos Homologados – NUPRE: </w:t>
      </w:r>
      <w:r w:rsidRPr="00695583">
        <w:rPr>
          <w:rFonts w:cs="Arial"/>
          <w:color w:val="000000"/>
          <w:sz w:val="22"/>
          <w:szCs w:val="22"/>
          <w:shd w:val="clear" w:color="auto" w:fill="FFFFFF"/>
        </w:rPr>
        <w:t>Se implementó el sistema y se cuenta con los siguientes servicios: Solicita códigos de CH para gestores, Solicita códigos de CH para la SNC, Valida el código de CH generado, Lista los códigos CH por municipio Id (Gestor) y paginado, Actualiza el código homologado a Nupre (Interrelación), Lista las solicitudes asociadas a un gestor, lista los códigos CH por solicitud, actualiza el numero predial relacionado a un código homologado, descargar los archivos del detalle de los CH, Actualiza el estado a activo o inactivo el código homologado asignado</w:t>
      </w:r>
    </w:p>
    <w:p w14:paraId="334DBCCB" w14:textId="5F52B6E0" w:rsidR="00A3191D" w:rsidRPr="00EE5DE8" w:rsidRDefault="00A3191D" w:rsidP="00C72779">
      <w:pPr>
        <w:pStyle w:val="Ttulomnimo"/>
        <w:shd w:val="clear" w:color="auto" w:fill="FFFFFF" w:themeFill="background1"/>
        <w:spacing w:line="240" w:lineRule="auto"/>
        <w:jc w:val="both"/>
        <w:rPr>
          <w:rFonts w:eastAsia="Arial"/>
          <w:color w:val="222222"/>
          <w:lang w:eastAsia="es-CO"/>
        </w:rPr>
      </w:pPr>
    </w:p>
    <w:p w14:paraId="2ECE856F" w14:textId="0F8E55F4" w:rsidR="55C945EA" w:rsidRDefault="55C945EA" w:rsidP="00C72779">
      <w:pPr>
        <w:jc w:val="both"/>
      </w:pPr>
      <w:r w:rsidRPr="2DE72E4A">
        <w:rPr>
          <w:rFonts w:eastAsia="Arial" w:cs="Arial"/>
          <w:b/>
          <w:bCs/>
          <w:sz w:val="22"/>
          <w:szCs w:val="22"/>
          <w:lang w:val="es-MX"/>
        </w:rPr>
        <w:t>ESTRATEGIA Y GOBIERNO DE TI</w:t>
      </w:r>
    </w:p>
    <w:p w14:paraId="15A311AA" w14:textId="16A39483" w:rsidR="2DE72E4A" w:rsidRDefault="2DE72E4A" w:rsidP="00C72779">
      <w:pPr>
        <w:pStyle w:val="Ttulomnimo"/>
        <w:shd w:val="clear" w:color="auto" w:fill="FFFFFF" w:themeFill="background1"/>
        <w:spacing w:line="240" w:lineRule="auto"/>
        <w:jc w:val="both"/>
        <w:rPr>
          <w:bCs/>
          <w:color w:val="222222"/>
          <w:lang w:eastAsia="es-CO"/>
        </w:rPr>
      </w:pPr>
    </w:p>
    <w:p w14:paraId="52E8BBF4" w14:textId="620AF1FB" w:rsidR="00A3191D" w:rsidRPr="005B430F" w:rsidRDefault="00A3191D" w:rsidP="000A20EE">
      <w:pPr>
        <w:pStyle w:val="Ttulomnimo"/>
        <w:numPr>
          <w:ilvl w:val="0"/>
          <w:numId w:val="117"/>
        </w:numPr>
        <w:spacing w:line="240" w:lineRule="auto"/>
        <w:jc w:val="both"/>
        <w:rPr>
          <w:rFonts w:eastAsia="Arial"/>
          <w:b w:val="0"/>
          <w:bCs/>
          <w:color w:val="000000" w:themeColor="text1"/>
          <w:sz w:val="22"/>
          <w:szCs w:val="22"/>
        </w:rPr>
      </w:pPr>
      <w:r w:rsidRPr="00EE5DE8">
        <w:rPr>
          <w:rFonts w:eastAsia="Arial"/>
          <w:sz w:val="22"/>
          <w:szCs w:val="22"/>
        </w:rPr>
        <w:t xml:space="preserve">Mejora de los Servicios Ciudadanos Digitales: </w:t>
      </w:r>
      <w:r w:rsidRPr="00EE5DE8">
        <w:rPr>
          <w:rFonts w:eastAsia="Arial"/>
          <w:b w:val="0"/>
          <w:bCs/>
          <w:color w:val="000000" w:themeColor="text1"/>
          <w:sz w:val="22"/>
          <w:szCs w:val="22"/>
        </w:rPr>
        <w:t xml:space="preserve">Se implementó la </w:t>
      </w:r>
      <w:r w:rsidRPr="00EE5DE8">
        <w:rPr>
          <w:rFonts w:eastAsia="Arial"/>
          <w:b w:val="0"/>
          <w:bCs/>
          <w:sz w:val="22"/>
          <w:szCs w:val="22"/>
        </w:rPr>
        <w:t>Ventanilla Integrada Virtual del IGAC – VIVI</w:t>
      </w:r>
      <w:r w:rsidRPr="00EE5DE8">
        <w:rPr>
          <w:rFonts w:eastAsia="Arial"/>
          <w:b w:val="0"/>
          <w:bCs/>
          <w:color w:val="000000" w:themeColor="text1"/>
          <w:sz w:val="22"/>
          <w:szCs w:val="22"/>
        </w:rPr>
        <w:t xml:space="preserve">, la cual permite al ciudadano gestionar sus trámites catastrales de manera electrónica, previa autenticación electrónica proporcionada por la plataforma unificada del gobierno nacional denominada GOV.CO, integrada con la carpeta ciudadana en donde se tiene acceso a los certificados catastrales generados por el IGAC, unificando el acceso a servicios y a la consulta del estado de su trámite. </w:t>
      </w:r>
    </w:p>
    <w:p w14:paraId="40EEFCFC" w14:textId="7936ADFF" w:rsidR="00A3191D" w:rsidRPr="005B430F" w:rsidRDefault="00A3191D" w:rsidP="000A20EE">
      <w:pPr>
        <w:pStyle w:val="Ttulomnimo"/>
        <w:numPr>
          <w:ilvl w:val="0"/>
          <w:numId w:val="117"/>
        </w:numPr>
        <w:spacing w:line="240" w:lineRule="auto"/>
        <w:jc w:val="both"/>
        <w:rPr>
          <w:rFonts w:eastAsia="Arial"/>
          <w:b w:val="0"/>
          <w:bCs/>
          <w:color w:val="000000"/>
          <w:sz w:val="22"/>
          <w:szCs w:val="22"/>
        </w:rPr>
      </w:pPr>
      <w:r w:rsidRPr="00EE5DE8">
        <w:rPr>
          <w:rFonts w:eastAsia="Arial"/>
          <w:sz w:val="22"/>
          <w:szCs w:val="22"/>
        </w:rPr>
        <w:t xml:space="preserve">Servicios de Interoperabilidad Superintendencia de Notariado y Registro e IGAC: </w:t>
      </w:r>
      <w:r w:rsidRPr="00EE5DE8">
        <w:rPr>
          <w:rFonts w:eastAsia="Arial"/>
          <w:b w:val="0"/>
          <w:bCs/>
          <w:color w:val="000000"/>
          <w:sz w:val="22"/>
          <w:szCs w:val="22"/>
        </w:rPr>
        <w:t xml:space="preserve">Se implementó el servicio web de interoperabilidad catastro registro bajo la herramienta XROAD, con certificado digital, el cual permite hacer las consultas de registro (propietarios) y catastro (datos básicos de los inmuebles), permitiendo la automatización de los procesos de cambios de propietarios y las consultas para la actualización del componente jurídico, en las actualizaciones catastrales que adelanta la </w:t>
      </w:r>
      <w:r>
        <w:rPr>
          <w:rFonts w:eastAsia="Arial"/>
          <w:b w:val="0"/>
          <w:bCs/>
          <w:color w:val="000000"/>
          <w:sz w:val="22"/>
          <w:szCs w:val="22"/>
        </w:rPr>
        <w:t>Entidad</w:t>
      </w:r>
      <w:r w:rsidRPr="00EE5DE8">
        <w:rPr>
          <w:rFonts w:eastAsia="Arial"/>
          <w:b w:val="0"/>
          <w:bCs/>
          <w:color w:val="000000"/>
          <w:sz w:val="22"/>
          <w:szCs w:val="22"/>
        </w:rPr>
        <w:t>.</w:t>
      </w:r>
    </w:p>
    <w:p w14:paraId="715C9709" w14:textId="52FA24D1" w:rsidR="00A3191D" w:rsidRPr="005B430F" w:rsidRDefault="00A3191D" w:rsidP="000A20EE">
      <w:pPr>
        <w:pStyle w:val="Ttulomnimo"/>
        <w:numPr>
          <w:ilvl w:val="0"/>
          <w:numId w:val="117"/>
        </w:numPr>
        <w:spacing w:line="240" w:lineRule="auto"/>
        <w:jc w:val="both"/>
        <w:rPr>
          <w:rFonts w:eastAsia="Arial"/>
          <w:b w:val="0"/>
          <w:bCs/>
          <w:color w:val="000000"/>
          <w:sz w:val="22"/>
          <w:szCs w:val="22"/>
        </w:rPr>
      </w:pPr>
      <w:r w:rsidRPr="00EE5DE8">
        <w:rPr>
          <w:rFonts w:eastAsia="Arial"/>
          <w:sz w:val="22"/>
          <w:szCs w:val="22"/>
        </w:rPr>
        <w:t xml:space="preserve">Puesta en operación de la Sede Electrónica: </w:t>
      </w:r>
      <w:r w:rsidRPr="00EE5DE8">
        <w:rPr>
          <w:rFonts w:eastAsia="Arial"/>
          <w:b w:val="0"/>
          <w:bCs/>
          <w:color w:val="000000"/>
          <w:sz w:val="22"/>
          <w:szCs w:val="22"/>
        </w:rPr>
        <w:t xml:space="preserve">Se realizó la puesta en producción del sistema de gestión documental, que contiene los servicios de sede electrónica, gestión documental y radicación de documentos, junto con las integraciones con el Sistema Nacional Catastral - SNC y </w:t>
      </w:r>
      <w:r w:rsidRPr="00EE5DE8">
        <w:rPr>
          <w:rFonts w:eastAsia="Arial"/>
          <w:b w:val="0"/>
          <w:bCs/>
          <w:color w:val="000000" w:themeColor="text1"/>
          <w:sz w:val="22"/>
          <w:szCs w:val="22"/>
        </w:rPr>
        <w:t xml:space="preserve">la </w:t>
      </w:r>
      <w:r w:rsidRPr="00EE5DE8">
        <w:rPr>
          <w:rFonts w:eastAsia="Arial"/>
          <w:b w:val="0"/>
          <w:bCs/>
          <w:sz w:val="22"/>
          <w:szCs w:val="22"/>
        </w:rPr>
        <w:t>Ventanilla Integrada Virtual del IGAC – VIVI</w:t>
      </w:r>
      <w:r w:rsidRPr="00EE5DE8">
        <w:rPr>
          <w:rFonts w:eastAsia="Arial"/>
          <w:b w:val="0"/>
          <w:bCs/>
          <w:color w:val="000000"/>
          <w:sz w:val="22"/>
          <w:szCs w:val="22"/>
        </w:rPr>
        <w:t>.</w:t>
      </w:r>
    </w:p>
    <w:p w14:paraId="1700B466" w14:textId="639FBDA7" w:rsidR="00A3191D" w:rsidRPr="005B430F" w:rsidRDefault="00A3191D" w:rsidP="000A20EE">
      <w:pPr>
        <w:pStyle w:val="Ttulomnimo"/>
        <w:numPr>
          <w:ilvl w:val="0"/>
          <w:numId w:val="117"/>
        </w:numPr>
        <w:spacing w:line="240" w:lineRule="auto"/>
        <w:jc w:val="both"/>
        <w:rPr>
          <w:rFonts w:eastAsia="Arial"/>
          <w:b w:val="0"/>
          <w:bCs/>
          <w:color w:val="000000"/>
          <w:sz w:val="22"/>
          <w:szCs w:val="22"/>
        </w:rPr>
      </w:pPr>
      <w:r w:rsidRPr="00EE5DE8">
        <w:rPr>
          <w:rFonts w:eastAsia="Arial"/>
          <w:sz w:val="22"/>
          <w:szCs w:val="22"/>
        </w:rPr>
        <w:t xml:space="preserve">Modernización de los portales web de la </w:t>
      </w:r>
      <w:r>
        <w:rPr>
          <w:rFonts w:eastAsia="Arial"/>
          <w:sz w:val="22"/>
          <w:szCs w:val="22"/>
        </w:rPr>
        <w:t>Entidad</w:t>
      </w:r>
      <w:r w:rsidRPr="00EE5DE8">
        <w:rPr>
          <w:rFonts w:eastAsia="Arial"/>
          <w:sz w:val="22"/>
          <w:szCs w:val="22"/>
        </w:rPr>
        <w:t xml:space="preserve">: </w:t>
      </w:r>
      <w:r w:rsidRPr="00EE5DE8">
        <w:rPr>
          <w:rFonts w:eastAsia="Arial"/>
          <w:b w:val="0"/>
          <w:bCs/>
          <w:color w:val="000000"/>
          <w:sz w:val="22"/>
          <w:szCs w:val="22"/>
        </w:rPr>
        <w:t xml:space="preserve">Teniendo en cuenta la arquitectura de referencia definida por la </w:t>
      </w:r>
      <w:r>
        <w:rPr>
          <w:rFonts w:eastAsia="Arial"/>
          <w:b w:val="0"/>
          <w:bCs/>
          <w:color w:val="000000"/>
          <w:sz w:val="22"/>
          <w:szCs w:val="22"/>
        </w:rPr>
        <w:t>Entidad</w:t>
      </w:r>
      <w:r w:rsidRPr="00EE5DE8">
        <w:rPr>
          <w:rFonts w:eastAsia="Arial"/>
          <w:b w:val="0"/>
          <w:bCs/>
          <w:color w:val="000000"/>
          <w:sz w:val="22"/>
          <w:szCs w:val="22"/>
        </w:rPr>
        <w:t xml:space="preserve">, se </w:t>
      </w:r>
      <w:r w:rsidRPr="00EE5DE8">
        <w:rPr>
          <w:rFonts w:eastAsia="Arial"/>
          <w:b w:val="0"/>
          <w:bCs/>
          <w:color w:val="000000" w:themeColor="text1"/>
          <w:sz w:val="22"/>
          <w:szCs w:val="22"/>
        </w:rPr>
        <w:t xml:space="preserve">implementaron mejoras principalmente </w:t>
      </w:r>
      <w:r w:rsidRPr="00EE5DE8">
        <w:rPr>
          <w:rFonts w:eastAsia="Arial"/>
          <w:b w:val="0"/>
          <w:bCs/>
          <w:color w:val="000000"/>
          <w:sz w:val="22"/>
          <w:szCs w:val="22"/>
        </w:rPr>
        <w:t xml:space="preserve">en los portales web. En este sentido se ha venido trabajando en temas relacionadas con el cumplimiento de la Norma Técnica Colombiana 5854, la cual se basa en los requisitos de accesibilidad en los portales web y los lineamientos de usabilidad definidos por MinTIC; </w:t>
      </w:r>
      <w:r w:rsidRPr="00EE5DE8">
        <w:rPr>
          <w:rFonts w:eastAsia="Arial"/>
          <w:b w:val="0"/>
          <w:bCs/>
          <w:color w:val="000000"/>
          <w:sz w:val="22"/>
          <w:szCs w:val="22"/>
        </w:rPr>
        <w:lastRenderedPageBreak/>
        <w:t>de igual manera se realizaron modificaciones de estilo al Portal principal y a la Tienda Virtual.</w:t>
      </w:r>
    </w:p>
    <w:p w14:paraId="11156C26" w14:textId="77777777" w:rsidR="00A3191D" w:rsidRPr="00EE5DE8" w:rsidRDefault="00A3191D" w:rsidP="000A20EE">
      <w:pPr>
        <w:pStyle w:val="Ttulomnimo"/>
        <w:numPr>
          <w:ilvl w:val="0"/>
          <w:numId w:val="117"/>
        </w:numPr>
        <w:spacing w:line="240" w:lineRule="auto"/>
        <w:jc w:val="both"/>
        <w:rPr>
          <w:rFonts w:eastAsia="Arial"/>
          <w:b w:val="0"/>
          <w:bCs/>
          <w:sz w:val="22"/>
          <w:szCs w:val="22"/>
        </w:rPr>
      </w:pPr>
      <w:r w:rsidRPr="00EE5DE8">
        <w:rPr>
          <w:rFonts w:eastAsia="Arial"/>
          <w:sz w:val="22"/>
          <w:szCs w:val="22"/>
        </w:rPr>
        <w:t xml:space="preserve">Ampliar la información en Gobierno Abierto: </w:t>
      </w:r>
      <w:r w:rsidRPr="00EE5DE8">
        <w:rPr>
          <w:rFonts w:eastAsia="Arial"/>
          <w:b w:val="0"/>
          <w:bCs/>
          <w:color w:val="000000"/>
          <w:sz w:val="22"/>
          <w:szCs w:val="22"/>
        </w:rPr>
        <w:t xml:space="preserve">Uno de los elementos importantes para mejorar la transparencia y acceso a la información pública, es la publicación de datos brutos en formatos estándar para que la ciudadanía en general pueda usarla en su beneficio.  En sentido se ha venido mejorando y actualizando constantemente la información publicada como datos abiertos en el </w:t>
      </w:r>
      <w:r w:rsidRPr="00EE5DE8">
        <w:rPr>
          <w:rFonts w:eastAsia="Arial"/>
          <w:b w:val="0"/>
          <w:bCs/>
          <w:sz w:val="22"/>
          <w:szCs w:val="22"/>
        </w:rPr>
        <w:t>Geoportal, así como el monitoreo del consumo de los mismo y la adopción de licencias de acceso abierto, estimulando la transparencia, igualdad y uso de los datos.</w:t>
      </w:r>
    </w:p>
    <w:p w14:paraId="7DE29F07" w14:textId="588F3F54" w:rsidR="00A3191D" w:rsidRPr="008F6424" w:rsidRDefault="00A3191D" w:rsidP="008F6424">
      <w:pPr>
        <w:ind w:left="1134" w:hanging="11"/>
        <w:jc w:val="center"/>
        <w:rPr>
          <w:rFonts w:eastAsia="Arial" w:cs="Arial"/>
          <w:b/>
          <w:sz w:val="16"/>
          <w:szCs w:val="16"/>
        </w:rPr>
      </w:pPr>
    </w:p>
    <w:p w14:paraId="45013C00" w14:textId="62072205" w:rsidR="00A3191D" w:rsidRPr="00EA7567" w:rsidRDefault="008F6424" w:rsidP="008F6424">
      <w:pPr>
        <w:pStyle w:val="Descripcin"/>
        <w:jc w:val="center"/>
        <w:rPr>
          <w:rFonts w:eastAsia="Arial"/>
          <w:color w:val="000000"/>
          <w:sz w:val="16"/>
          <w:szCs w:val="16"/>
        </w:rPr>
      </w:pPr>
      <w:bookmarkStart w:id="154" w:name="_Toc61542974"/>
      <w:bookmarkStart w:id="155" w:name="_Toc88677197"/>
      <w:r w:rsidRPr="008F6424">
        <w:rPr>
          <w:rFonts w:ascii="Arial" w:hAnsi="Arial" w:cs="Arial"/>
          <w:b/>
          <w:i w:val="0"/>
          <w:color w:val="auto"/>
          <w:sz w:val="16"/>
          <w:szCs w:val="16"/>
        </w:rPr>
        <w:t xml:space="preserve">Ilustración </w:t>
      </w:r>
      <w:r w:rsidRPr="008F6424">
        <w:rPr>
          <w:rFonts w:ascii="Arial" w:hAnsi="Arial" w:cs="Arial"/>
          <w:b/>
          <w:i w:val="0"/>
          <w:color w:val="auto"/>
          <w:sz w:val="16"/>
          <w:szCs w:val="16"/>
        </w:rPr>
        <w:fldChar w:fldCharType="begin"/>
      </w:r>
      <w:r w:rsidRPr="008F6424">
        <w:rPr>
          <w:rFonts w:ascii="Arial" w:hAnsi="Arial" w:cs="Arial"/>
          <w:b/>
          <w:i w:val="0"/>
          <w:color w:val="auto"/>
          <w:sz w:val="16"/>
          <w:szCs w:val="16"/>
        </w:rPr>
        <w:instrText xml:space="preserve"> SEQ Ilustración \* ARABIC </w:instrText>
      </w:r>
      <w:r w:rsidRPr="008F6424">
        <w:rPr>
          <w:rFonts w:ascii="Arial" w:hAnsi="Arial" w:cs="Arial"/>
          <w:b/>
          <w:i w:val="0"/>
          <w:color w:val="auto"/>
          <w:sz w:val="16"/>
          <w:szCs w:val="16"/>
        </w:rPr>
        <w:fldChar w:fldCharType="separate"/>
      </w:r>
      <w:r w:rsidR="005D5B0E">
        <w:rPr>
          <w:rFonts w:ascii="Arial" w:hAnsi="Arial" w:cs="Arial"/>
          <w:b/>
          <w:i w:val="0"/>
          <w:noProof/>
          <w:color w:val="auto"/>
          <w:sz w:val="16"/>
          <w:szCs w:val="16"/>
        </w:rPr>
        <w:t>41</w:t>
      </w:r>
      <w:r w:rsidRPr="008F6424">
        <w:rPr>
          <w:rFonts w:ascii="Arial" w:hAnsi="Arial" w:cs="Arial"/>
          <w:b/>
          <w:i w:val="0"/>
          <w:color w:val="auto"/>
          <w:sz w:val="16"/>
          <w:szCs w:val="16"/>
        </w:rPr>
        <w:fldChar w:fldCharType="end"/>
      </w:r>
      <w:r w:rsidRPr="008F6424">
        <w:rPr>
          <w:rFonts w:ascii="Arial" w:hAnsi="Arial" w:cs="Arial"/>
          <w:b/>
          <w:i w:val="0"/>
          <w:color w:val="auto"/>
          <w:sz w:val="16"/>
          <w:szCs w:val="16"/>
        </w:rPr>
        <w:t>. Tablero de control - descargas del Geoportal</w:t>
      </w:r>
      <w:r w:rsidR="00EA7567" w:rsidRPr="008258E7">
        <w:rPr>
          <w:noProof/>
          <w:sz w:val="22"/>
          <w:szCs w:val="22"/>
          <w:lang w:eastAsia="es-CO"/>
        </w:rPr>
        <w:drawing>
          <wp:anchor distT="0" distB="0" distL="114300" distR="114300" simplePos="0" relativeHeight="251658253" behindDoc="0" locked="0" layoutInCell="1" allowOverlap="1" wp14:anchorId="041733FE" wp14:editId="43B2F978">
            <wp:simplePos x="0" y="0"/>
            <wp:positionH relativeFrom="column">
              <wp:posOffset>88265</wp:posOffset>
            </wp:positionH>
            <wp:positionV relativeFrom="paragraph">
              <wp:posOffset>177800</wp:posOffset>
            </wp:positionV>
            <wp:extent cx="6233250" cy="3914775"/>
            <wp:effectExtent l="0" t="0" r="0" b="0"/>
            <wp:wrapThrough wrapText="bothSides">
              <wp:wrapPolygon edited="0">
                <wp:start x="0" y="0"/>
                <wp:lineTo x="0" y="21442"/>
                <wp:lineTo x="21521" y="21442"/>
                <wp:lineTo x="21521" y="0"/>
                <wp:lineTo x="0" y="0"/>
              </wp:wrapPolygon>
            </wp:wrapThrough>
            <wp:docPr id="180176326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07">
                      <a:extLst>
                        <a:ext uri="{28A0092B-C50C-407E-A947-70E740481C1C}">
                          <a14:useLocalDpi xmlns:a14="http://schemas.microsoft.com/office/drawing/2010/main" val="0"/>
                        </a:ext>
                      </a:extLst>
                    </a:blip>
                    <a:stretch>
                      <a:fillRect/>
                    </a:stretch>
                  </pic:blipFill>
                  <pic:spPr>
                    <a:xfrm>
                      <a:off x="0" y="0"/>
                      <a:ext cx="6233250" cy="3914775"/>
                    </a:xfrm>
                    <a:prstGeom prst="rect">
                      <a:avLst/>
                    </a:prstGeom>
                  </pic:spPr>
                </pic:pic>
              </a:graphicData>
            </a:graphic>
            <wp14:sizeRelH relativeFrom="page">
              <wp14:pctWidth>0</wp14:pctWidth>
            </wp14:sizeRelH>
            <wp14:sizeRelV relativeFrom="page">
              <wp14:pctHeight>0</wp14:pctHeight>
            </wp14:sizeRelV>
          </wp:anchor>
        </w:drawing>
      </w:r>
      <w:bookmarkEnd w:id="154"/>
      <w:bookmarkEnd w:id="155"/>
    </w:p>
    <w:p w14:paraId="5B679547" w14:textId="5EE9299C" w:rsidR="00A3191D" w:rsidRPr="00EA7567" w:rsidRDefault="00A3191D" w:rsidP="00C72779">
      <w:pPr>
        <w:pStyle w:val="Prrafodelista"/>
        <w:ind w:left="1134" w:hanging="11"/>
        <w:jc w:val="center"/>
        <w:rPr>
          <w:rFonts w:cs="Arial"/>
          <w:b/>
          <w:sz w:val="16"/>
        </w:rPr>
      </w:pPr>
      <w:r w:rsidRPr="00EA7567">
        <w:rPr>
          <w:rFonts w:cs="Arial"/>
          <w:b/>
          <w:bCs/>
          <w:sz w:val="16"/>
        </w:rPr>
        <w:t xml:space="preserve">Fuente: </w:t>
      </w:r>
      <w:r w:rsidR="00EA7567" w:rsidRPr="00EA7567">
        <w:rPr>
          <w:rFonts w:cs="Arial"/>
          <w:b/>
          <w:sz w:val="16"/>
        </w:rPr>
        <w:t>Dirección de Tecnologías de la Información y C</w:t>
      </w:r>
      <w:r w:rsidRPr="00EA7567">
        <w:rPr>
          <w:rFonts w:cs="Arial"/>
          <w:b/>
          <w:sz w:val="16"/>
        </w:rPr>
        <w:t>omunicaciones</w:t>
      </w:r>
    </w:p>
    <w:p w14:paraId="2FD6B75C" w14:textId="77777777" w:rsidR="00A3191D" w:rsidRPr="00EA7567" w:rsidRDefault="00A3191D" w:rsidP="00C72779">
      <w:pPr>
        <w:ind w:left="1134" w:hanging="11"/>
        <w:jc w:val="both"/>
        <w:rPr>
          <w:rFonts w:eastAsia="Arial" w:cs="Arial"/>
          <w:b/>
          <w:color w:val="000000"/>
          <w:sz w:val="18"/>
          <w:szCs w:val="22"/>
        </w:rPr>
      </w:pPr>
    </w:p>
    <w:p w14:paraId="5B4513D8" w14:textId="77777777" w:rsidR="00A3191D" w:rsidRPr="008258E7" w:rsidRDefault="00A3191D" w:rsidP="00C72779">
      <w:pPr>
        <w:jc w:val="both"/>
        <w:rPr>
          <w:rFonts w:eastAsia="Arial" w:cs="Arial"/>
          <w:color w:val="000000"/>
          <w:sz w:val="22"/>
          <w:szCs w:val="22"/>
        </w:rPr>
      </w:pPr>
      <w:r w:rsidRPr="008258E7">
        <w:rPr>
          <w:rFonts w:eastAsia="Arial" w:cs="Arial"/>
          <w:color w:val="000000"/>
          <w:sz w:val="22"/>
          <w:szCs w:val="22"/>
        </w:rPr>
        <w:t xml:space="preserve">De igual manera, se expidió la Resolución 616 de 2020 donde entre otros aspectos se adopta la licencia abierta Creative Commons CC-BY 4.0. con el fin de garantizar su uso libre y sin restricciones de los datos abiertos de la </w:t>
      </w:r>
      <w:r>
        <w:rPr>
          <w:rFonts w:eastAsia="Arial" w:cs="Arial"/>
          <w:color w:val="000000"/>
          <w:sz w:val="22"/>
          <w:szCs w:val="22"/>
        </w:rPr>
        <w:t>Entidad</w:t>
      </w:r>
      <w:r w:rsidRPr="008258E7">
        <w:rPr>
          <w:rFonts w:eastAsia="Arial" w:cs="Arial"/>
          <w:color w:val="000000"/>
          <w:sz w:val="22"/>
          <w:szCs w:val="22"/>
        </w:rPr>
        <w:t>.</w:t>
      </w:r>
    </w:p>
    <w:p w14:paraId="5B850955" w14:textId="77777777" w:rsidR="00A3191D" w:rsidRDefault="00A3191D" w:rsidP="00C72779">
      <w:pPr>
        <w:pStyle w:val="Lista"/>
      </w:pPr>
    </w:p>
    <w:p w14:paraId="067E6BAB" w14:textId="77777777" w:rsidR="00C319C6" w:rsidRDefault="00C319C6" w:rsidP="00C72779">
      <w:pPr>
        <w:pStyle w:val="Lista"/>
      </w:pPr>
    </w:p>
    <w:p w14:paraId="7FEEA28F" w14:textId="77777777" w:rsidR="00C319C6" w:rsidRDefault="00C319C6" w:rsidP="00C72779">
      <w:pPr>
        <w:pStyle w:val="Lista"/>
      </w:pPr>
    </w:p>
    <w:p w14:paraId="6A7B26B9" w14:textId="77777777" w:rsidR="00C319C6" w:rsidRDefault="00C319C6" w:rsidP="00C72779">
      <w:pPr>
        <w:pStyle w:val="Lista"/>
      </w:pPr>
    </w:p>
    <w:p w14:paraId="61F23EF1" w14:textId="77777777" w:rsidR="00C319C6" w:rsidRDefault="00C319C6" w:rsidP="00C72779">
      <w:pPr>
        <w:pStyle w:val="Lista"/>
      </w:pPr>
    </w:p>
    <w:p w14:paraId="67F09787" w14:textId="77777777" w:rsidR="00C319C6" w:rsidRDefault="00C319C6" w:rsidP="00C72779">
      <w:pPr>
        <w:pStyle w:val="Lista"/>
      </w:pPr>
    </w:p>
    <w:p w14:paraId="35E2C603" w14:textId="77777777" w:rsidR="00C319C6" w:rsidRDefault="00C319C6" w:rsidP="00C72779">
      <w:pPr>
        <w:pStyle w:val="Lista"/>
      </w:pPr>
    </w:p>
    <w:p w14:paraId="64FD4E92" w14:textId="77777777" w:rsidR="00C319C6" w:rsidRDefault="00C319C6" w:rsidP="00C72779">
      <w:pPr>
        <w:pStyle w:val="Lista"/>
      </w:pPr>
    </w:p>
    <w:p w14:paraId="5A16BC6F" w14:textId="77777777" w:rsidR="00C319C6" w:rsidRDefault="00C319C6" w:rsidP="00C72779">
      <w:pPr>
        <w:pStyle w:val="Lista"/>
      </w:pPr>
    </w:p>
    <w:p w14:paraId="6E9D5277" w14:textId="77777777" w:rsidR="00C319C6" w:rsidRDefault="00C319C6" w:rsidP="00C72779">
      <w:pPr>
        <w:pStyle w:val="Lista"/>
      </w:pPr>
    </w:p>
    <w:p w14:paraId="2E8E15F8" w14:textId="77777777" w:rsidR="00C319C6" w:rsidRDefault="00C319C6" w:rsidP="00C72779">
      <w:pPr>
        <w:pStyle w:val="Lista"/>
      </w:pPr>
    </w:p>
    <w:p w14:paraId="2469924A" w14:textId="77777777" w:rsidR="00A3191D" w:rsidRPr="00A3191D" w:rsidRDefault="00A3191D" w:rsidP="00C72779">
      <w:pPr>
        <w:pStyle w:val="Lista"/>
      </w:pPr>
    </w:p>
    <w:p w14:paraId="034797C6" w14:textId="365F2B9D" w:rsidR="007E0C70" w:rsidRDefault="00D05FB3" w:rsidP="000A20EE">
      <w:pPr>
        <w:pStyle w:val="Prrafodelista"/>
        <w:numPr>
          <w:ilvl w:val="2"/>
          <w:numId w:val="24"/>
        </w:numPr>
        <w:rPr>
          <w:rFonts w:eastAsia="Arial" w:cs="Arial"/>
          <w:b/>
          <w:bCs/>
          <w:color w:val="000000" w:themeColor="text1"/>
          <w:sz w:val="22"/>
          <w:szCs w:val="22"/>
          <w:lang w:val="es-CO"/>
        </w:rPr>
      </w:pPr>
      <w:r w:rsidRPr="002D2F11">
        <w:rPr>
          <w:b/>
          <w:bCs/>
          <w:sz w:val="22"/>
          <w:szCs w:val="22"/>
        </w:rPr>
        <w:lastRenderedPageBreak/>
        <w:t>A</w:t>
      </w:r>
      <w:r w:rsidR="00461E78">
        <w:rPr>
          <w:b/>
          <w:bCs/>
          <w:sz w:val="22"/>
          <w:szCs w:val="22"/>
        </w:rPr>
        <w:t>NTECEDENTES</w:t>
      </w:r>
      <w:r w:rsidRPr="002D2F11">
        <w:rPr>
          <w:b/>
          <w:bCs/>
          <w:sz w:val="22"/>
          <w:szCs w:val="22"/>
        </w:rPr>
        <w:t xml:space="preserve"> y </w:t>
      </w:r>
      <w:r w:rsidR="00461E78">
        <w:rPr>
          <w:b/>
          <w:bCs/>
          <w:sz w:val="22"/>
          <w:szCs w:val="22"/>
        </w:rPr>
        <w:t xml:space="preserve">ESTADO ACTUAL DE LA </w:t>
      </w:r>
      <w:r w:rsidR="00BF2FDD">
        <w:rPr>
          <w:b/>
          <w:bCs/>
          <w:sz w:val="22"/>
          <w:szCs w:val="22"/>
        </w:rPr>
        <w:t>DIRECCIÓ</w:t>
      </w:r>
      <w:r w:rsidR="00461E78" w:rsidRPr="00FF484E">
        <w:rPr>
          <w:b/>
          <w:bCs/>
          <w:sz w:val="22"/>
          <w:szCs w:val="22"/>
        </w:rPr>
        <w:t xml:space="preserve">N </w:t>
      </w:r>
      <w:r w:rsidR="00461E78" w:rsidRPr="00FF484E">
        <w:rPr>
          <w:rFonts w:eastAsia="Arial" w:cs="Arial"/>
          <w:b/>
          <w:bCs/>
          <w:color w:val="000000" w:themeColor="text1"/>
          <w:sz w:val="22"/>
          <w:szCs w:val="22"/>
          <w:lang w:val="es-CO"/>
        </w:rPr>
        <w:t>DE TECNOLOGÍAS DE LA INFORMACIÓN Y COMUNICACIONES</w:t>
      </w:r>
    </w:p>
    <w:p w14:paraId="13C654F8" w14:textId="0DB1DD94" w:rsidR="00C319C6" w:rsidRPr="00C319C6" w:rsidRDefault="00C319C6" w:rsidP="006679CF">
      <w:pPr>
        <w:pStyle w:val="Descripcin"/>
        <w:rPr>
          <w:rFonts w:ascii="Arial" w:hAnsi="Arial" w:cs="Arial"/>
          <w:b/>
          <w:i w:val="0"/>
          <w:color w:val="auto"/>
          <w:sz w:val="16"/>
          <w:szCs w:val="16"/>
        </w:rPr>
      </w:pPr>
    </w:p>
    <w:tbl>
      <w:tblPr>
        <w:tblStyle w:val="Tabladecuadrcula4-nfasis1"/>
        <w:tblW w:w="9360" w:type="dxa"/>
        <w:tblLayout w:type="fixed"/>
        <w:tblLook w:val="04A0" w:firstRow="1" w:lastRow="0" w:firstColumn="1" w:lastColumn="0" w:noHBand="0" w:noVBand="1"/>
      </w:tblPr>
      <w:tblGrid>
        <w:gridCol w:w="1815"/>
        <w:gridCol w:w="2995"/>
        <w:gridCol w:w="4550"/>
      </w:tblGrid>
      <w:tr w:rsidR="007E0C70" w:rsidRPr="008258E7" w14:paraId="259813EE" w14:textId="77777777" w:rsidTr="31FF9146">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6C964AAA" w14:textId="77777777" w:rsidR="007E0C70" w:rsidRPr="00B377F8" w:rsidRDefault="007E0C70" w:rsidP="00C72779">
            <w:pPr>
              <w:jc w:val="center"/>
              <w:rPr>
                <w:rFonts w:cs="Arial"/>
                <w:sz w:val="20"/>
                <w:szCs w:val="20"/>
              </w:rPr>
            </w:pPr>
            <w:r w:rsidRPr="00B377F8">
              <w:rPr>
                <w:rFonts w:eastAsia="Calibri" w:cs="Arial"/>
                <w:sz w:val="20"/>
                <w:szCs w:val="20"/>
                <w:lang w:val="es-MX"/>
              </w:rPr>
              <w:t>Ítem</w:t>
            </w:r>
          </w:p>
        </w:tc>
        <w:tc>
          <w:tcPr>
            <w:tcW w:w="2995" w:type="dxa"/>
            <w:vAlign w:val="center"/>
          </w:tcPr>
          <w:p w14:paraId="5CBB3D64" w14:textId="77777777" w:rsidR="007E0C70" w:rsidRPr="00B377F8" w:rsidRDefault="007E0C70"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B377F8">
              <w:rPr>
                <w:rFonts w:eastAsia="Calibri" w:cs="Arial"/>
                <w:sz w:val="20"/>
                <w:szCs w:val="20"/>
                <w:lang w:val="es-MX"/>
              </w:rPr>
              <w:t>Estado inicial</w:t>
            </w:r>
          </w:p>
        </w:tc>
        <w:tc>
          <w:tcPr>
            <w:tcW w:w="4550" w:type="dxa"/>
            <w:vAlign w:val="center"/>
          </w:tcPr>
          <w:p w14:paraId="162F09CF" w14:textId="77777777" w:rsidR="007E0C70" w:rsidRPr="00B377F8" w:rsidRDefault="007E0C70"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B377F8">
              <w:rPr>
                <w:rFonts w:eastAsia="Calibri" w:cs="Arial"/>
                <w:sz w:val="20"/>
                <w:szCs w:val="20"/>
                <w:lang w:val="es-MX"/>
              </w:rPr>
              <w:t>Estado actual</w:t>
            </w:r>
          </w:p>
        </w:tc>
      </w:tr>
      <w:tr w:rsidR="007E0C70" w:rsidRPr="009F2B8E" w14:paraId="2B01FE50" w14:textId="77777777" w:rsidTr="31FF9146">
        <w:trPr>
          <w:cnfStyle w:val="000000100000" w:firstRow="0" w:lastRow="0" w:firstColumn="0" w:lastColumn="0" w:oddVBand="0" w:evenVBand="0" w:oddHBand="1" w:evenHBand="0" w:firstRowFirstColumn="0" w:firstRowLastColumn="0" w:lastRowFirstColumn="0" w:lastRowLastColumn="0"/>
          <w:trHeight w:val="3675"/>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5641611C" w14:textId="7C3FD73F" w:rsidR="007E0C70" w:rsidRPr="009F2B8E" w:rsidRDefault="007E0C70" w:rsidP="00C72779">
            <w:pPr>
              <w:jc w:val="center"/>
              <w:rPr>
                <w:rFonts w:cs="Arial"/>
                <w:sz w:val="20"/>
                <w:szCs w:val="20"/>
              </w:rPr>
            </w:pPr>
            <w:r w:rsidRPr="009F2B8E">
              <w:rPr>
                <w:rFonts w:eastAsia="Calibri" w:cs="Arial"/>
                <w:sz w:val="20"/>
                <w:szCs w:val="20"/>
                <w:lang w:val="es-MX"/>
              </w:rPr>
              <w:t>Información</w:t>
            </w:r>
          </w:p>
        </w:tc>
        <w:tc>
          <w:tcPr>
            <w:tcW w:w="2995" w:type="dxa"/>
            <w:vAlign w:val="center"/>
          </w:tcPr>
          <w:p w14:paraId="25374C3C" w14:textId="77777777" w:rsidR="007E0C70" w:rsidRPr="009F2B8E" w:rsidRDefault="007E0C70"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0"/>
                <w:szCs w:val="20"/>
              </w:rPr>
            </w:pPr>
            <w:r w:rsidRPr="009F2B8E">
              <w:rPr>
                <w:rFonts w:eastAsia="Calibri" w:cs="Arial"/>
                <w:sz w:val="20"/>
                <w:szCs w:val="20"/>
              </w:rPr>
              <w:t xml:space="preserve">La información alfanumérica y geográfica del SNC sistema misional de la </w:t>
            </w:r>
            <w:r>
              <w:rPr>
                <w:rFonts w:eastAsia="Calibri" w:cs="Arial"/>
                <w:sz w:val="20"/>
                <w:szCs w:val="20"/>
              </w:rPr>
              <w:t>Entidad</w:t>
            </w:r>
            <w:r w:rsidRPr="009F2B8E">
              <w:rPr>
                <w:rFonts w:eastAsia="Calibri" w:cs="Arial"/>
                <w:sz w:val="20"/>
                <w:szCs w:val="20"/>
              </w:rPr>
              <w:t xml:space="preserve"> se encontraba en las premisas del centro de datos de la sede central y la data correspondiente al sistema cobol estaba contenida en servidores físicos ubicados en la Direcciones territoriales y UCO que manejaban este sistema.</w:t>
            </w:r>
          </w:p>
          <w:p w14:paraId="55746433"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p>
        </w:tc>
        <w:tc>
          <w:tcPr>
            <w:tcW w:w="4550" w:type="dxa"/>
            <w:vAlign w:val="center"/>
          </w:tcPr>
          <w:p w14:paraId="6D34E086" w14:textId="04702F2F" w:rsidR="007E0C70" w:rsidRPr="009F2B8E" w:rsidRDefault="007E0C70"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0"/>
                <w:szCs w:val="20"/>
              </w:rPr>
            </w:pPr>
            <w:r w:rsidRPr="009F2B8E">
              <w:rPr>
                <w:rFonts w:eastAsia="Calibri" w:cs="Arial"/>
                <w:sz w:val="20"/>
                <w:szCs w:val="20"/>
              </w:rPr>
              <w:t>Se generó planeación de toda la información geográfica y alfanumérica misional de los diferentes municipios que se encuentran en el sistema cobol para migrarlos al sistema nacional catastral, adicionalmente se generó la planeación y migración de los servidores físicos de cobol que se encontraban en las diferentes DT y UOC a sistemas virtualizados con contingencia.</w:t>
            </w:r>
          </w:p>
          <w:p w14:paraId="20967961"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p>
          <w:p w14:paraId="47BB4C17"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r w:rsidRPr="009F2B8E">
              <w:rPr>
                <w:rFonts w:eastAsia="Calibri" w:cs="Arial"/>
              </w:rPr>
              <w:t>Para apoyar la estrategia de catastro multipropósito se dispuso la infraestructura, BD y desarrollo de la solución para el levantamiento de la información catastral.</w:t>
            </w:r>
          </w:p>
          <w:p w14:paraId="7762DDA0"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p>
          <w:p w14:paraId="26DD4A13"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r w:rsidRPr="009F2B8E">
              <w:rPr>
                <w:rFonts w:eastAsia="Calibri" w:cs="Arial"/>
              </w:rPr>
              <w:t>Se asignó a cada dirección territorial un espacio de almacenamiento en la Netapp para alojar allí la data considerada como vital, garantizando la confidencialidad, disponibilidad e integridad.</w:t>
            </w:r>
          </w:p>
          <w:p w14:paraId="126F73A0"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p>
          <w:p w14:paraId="58B387DB"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r w:rsidRPr="009F2B8E">
              <w:rPr>
                <w:rFonts w:eastAsia="Calibri" w:cs="Arial"/>
              </w:rPr>
              <w:t>Se definieron políticas de navegación hacia internet con el fin de garantizar el buen uso de este servicio.</w:t>
            </w:r>
          </w:p>
          <w:p w14:paraId="7A6FC861"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p>
          <w:p w14:paraId="2D6719B1"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Theme="minorEastAsia" w:cs="Arial"/>
              </w:rPr>
            </w:pPr>
            <w:r w:rsidRPr="009F2B8E">
              <w:rPr>
                <w:rFonts w:eastAsiaTheme="minorEastAsia" w:cs="Arial"/>
              </w:rPr>
              <w:t>Como estrategia que garantice la triada de seguridad (CID) en relación con la data que aún está en el sistema cobol, se están realizando las respectivas migraciones al SNC, donde se han ejecutado capacitaciones en uso y manejo de la herramienta que les permita a contratistas y funcionarios operar de manera adecuada la aplicación.</w:t>
            </w:r>
          </w:p>
          <w:p w14:paraId="675156DE" w14:textId="77777777"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Theme="minorEastAsia" w:cs="Arial"/>
              </w:rPr>
            </w:pPr>
          </w:p>
          <w:p w14:paraId="367E6C00" w14:textId="5ECEC483"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Theme="minorEastAsia" w:cs="Arial"/>
              </w:rPr>
            </w:pPr>
            <w:r w:rsidRPr="009F2B8E">
              <w:rPr>
                <w:rFonts w:eastAsiaTheme="minorEastAsia" w:cs="Arial"/>
              </w:rPr>
              <w:t>Se continua el fortalecimiento del software y disposición de infraestructura de TI para llevar a cabo las diferentes actualizaciones catastrales a nivel nacional.</w:t>
            </w:r>
          </w:p>
        </w:tc>
      </w:tr>
      <w:tr w:rsidR="007E0C70" w:rsidRPr="009F2B8E" w14:paraId="1FFED961" w14:textId="77777777" w:rsidTr="31FF9146">
        <w:trPr>
          <w:trHeight w:val="1215"/>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06861364" w14:textId="77777777" w:rsidR="007E0C70" w:rsidRPr="009F2B8E" w:rsidRDefault="007E0C70" w:rsidP="00C72779">
            <w:pPr>
              <w:jc w:val="center"/>
              <w:rPr>
                <w:rFonts w:eastAsia="Calibri" w:cs="Arial"/>
                <w:sz w:val="20"/>
                <w:szCs w:val="20"/>
                <w:lang w:val="es-MX"/>
              </w:rPr>
            </w:pPr>
          </w:p>
          <w:p w14:paraId="60A28C03" w14:textId="77777777" w:rsidR="007E0C70" w:rsidRPr="009F2B8E" w:rsidRDefault="007E0C70" w:rsidP="00C72779">
            <w:pPr>
              <w:jc w:val="center"/>
              <w:rPr>
                <w:rFonts w:eastAsia="Calibri" w:cs="Arial"/>
                <w:sz w:val="20"/>
                <w:szCs w:val="20"/>
                <w:lang w:val="es-MX"/>
              </w:rPr>
            </w:pPr>
            <w:r w:rsidRPr="009F2B8E">
              <w:rPr>
                <w:rFonts w:eastAsia="Calibri" w:cs="Arial"/>
                <w:sz w:val="20"/>
                <w:szCs w:val="20"/>
                <w:lang w:val="es-MX"/>
              </w:rPr>
              <w:t>Alcance del proceso</w:t>
            </w:r>
          </w:p>
        </w:tc>
        <w:tc>
          <w:tcPr>
            <w:tcW w:w="2995" w:type="dxa"/>
            <w:vAlign w:val="center"/>
          </w:tcPr>
          <w:p w14:paraId="56E24121" w14:textId="77777777" w:rsidR="007E0C70" w:rsidRPr="009F2B8E" w:rsidRDefault="007E0C70" w:rsidP="00C72779">
            <w:pPr>
              <w:jc w:val="both"/>
              <w:cnfStyle w:val="000000000000" w:firstRow="0" w:lastRow="0" w:firstColumn="0" w:lastColumn="0" w:oddVBand="0" w:evenVBand="0" w:oddHBand="0" w:evenHBand="0" w:firstRowFirstColumn="0" w:firstRowLastColumn="0" w:lastRowFirstColumn="0" w:lastRowLastColumn="0"/>
              <w:rPr>
                <w:rFonts w:eastAsia="Calibri" w:cs="Arial"/>
                <w:sz w:val="20"/>
                <w:szCs w:val="20"/>
                <w:lang w:val="es-MX"/>
              </w:rPr>
            </w:pPr>
            <w:r w:rsidRPr="009F2B8E">
              <w:rPr>
                <w:rFonts w:cs="Arial"/>
                <w:sz w:val="20"/>
                <w:szCs w:val="20"/>
                <w:lang w:val="es-CO" w:eastAsia="es-CO"/>
              </w:rPr>
              <w:t>Se contaba con dos procesos: un proceso de apoyo y un proceso estratégico, con alcance en la prestación de servicios de TI y la implementación de la Política de Gobierno Digita</w:t>
            </w:r>
            <w:r w:rsidRPr="009F2B8E">
              <w:rPr>
                <w:rFonts w:cs="Arial"/>
                <w:sz w:val="20"/>
                <w:szCs w:val="20"/>
                <w:lang w:val="es-CO"/>
              </w:rPr>
              <w:t>l.</w:t>
            </w:r>
          </w:p>
        </w:tc>
        <w:tc>
          <w:tcPr>
            <w:tcW w:w="4550" w:type="dxa"/>
            <w:vAlign w:val="center"/>
          </w:tcPr>
          <w:p w14:paraId="40E97A5C" w14:textId="77777777" w:rsidR="007E0C70" w:rsidRPr="00335D26" w:rsidRDefault="007E0C70"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335D26">
              <w:rPr>
                <w:rFonts w:cs="Arial"/>
                <w:sz w:val="20"/>
                <w:szCs w:val="20"/>
                <w:lang w:val="es-CO" w:eastAsia="es-CO"/>
              </w:rPr>
              <w:t xml:space="preserve">Se pasa de dos procesos a un proceso de apoyo, que cuenta con 4 subprocesos, con actividades alineadas para cubrir las necesidades de la </w:t>
            </w:r>
            <w:r>
              <w:rPr>
                <w:rFonts w:cs="Arial"/>
                <w:sz w:val="20"/>
                <w:szCs w:val="20"/>
                <w:lang w:val="es-CO" w:eastAsia="es-CO"/>
              </w:rPr>
              <w:t>Entidad</w:t>
            </w:r>
            <w:r w:rsidRPr="00335D26">
              <w:rPr>
                <w:rFonts w:cs="Arial"/>
                <w:sz w:val="20"/>
                <w:szCs w:val="20"/>
                <w:lang w:val="es-CO" w:eastAsia="es-CO"/>
              </w:rPr>
              <w:t xml:space="preserve"> en materia de TI, desarrollar aplicaciones y sistemas de información, implementar lo referente a gobierno digital, y finalmente se integra el proceso de la ICDE.</w:t>
            </w:r>
          </w:p>
          <w:p w14:paraId="5808006D" w14:textId="77777777" w:rsidR="007E0C70" w:rsidRPr="00335D26" w:rsidRDefault="007E0C70"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p>
          <w:p w14:paraId="460529BE" w14:textId="1FC140CF" w:rsidR="007E0C70" w:rsidRPr="00335D26" w:rsidRDefault="007E0C70" w:rsidP="00C72779">
            <w:pPr>
              <w:pStyle w:val="Prrafodelista"/>
              <w:cnfStyle w:val="000000000000" w:firstRow="0" w:lastRow="0" w:firstColumn="0" w:lastColumn="0" w:oddVBand="0" w:evenVBand="0" w:oddHBand="0" w:evenHBand="0" w:firstRowFirstColumn="0" w:firstRowLastColumn="0" w:lastRowFirstColumn="0" w:lastRowLastColumn="0"/>
              <w:rPr>
                <w:rFonts w:eastAsiaTheme="minorEastAsia" w:cs="Arial"/>
              </w:rPr>
            </w:pPr>
            <w:r w:rsidRPr="00335D26">
              <w:rPr>
                <w:rFonts w:eastAsiaTheme="minorEastAsia" w:cs="Arial"/>
              </w:rPr>
              <w:t xml:space="preserve">Se realiza el cambio de </w:t>
            </w:r>
            <w:r w:rsidR="33171763" w:rsidRPr="1FB36567">
              <w:rPr>
                <w:rFonts w:eastAsiaTheme="minorEastAsia" w:cs="Arial"/>
              </w:rPr>
              <w:t>O</w:t>
            </w:r>
            <w:r w:rsidRPr="1FB36567">
              <w:rPr>
                <w:rFonts w:eastAsiaTheme="minorEastAsia" w:cs="Arial"/>
              </w:rPr>
              <w:t>ficina</w:t>
            </w:r>
            <w:r w:rsidRPr="00335D26">
              <w:rPr>
                <w:rFonts w:eastAsiaTheme="minorEastAsia" w:cs="Arial"/>
              </w:rPr>
              <w:t xml:space="preserve"> de </w:t>
            </w:r>
            <w:r w:rsidR="6979CF3D" w:rsidRPr="190ED434">
              <w:rPr>
                <w:rFonts w:eastAsiaTheme="minorEastAsia" w:cs="Arial"/>
              </w:rPr>
              <w:t>I</w:t>
            </w:r>
            <w:r w:rsidRPr="190ED434">
              <w:rPr>
                <w:rFonts w:eastAsiaTheme="minorEastAsia" w:cs="Arial"/>
              </w:rPr>
              <w:t>nformática</w:t>
            </w:r>
            <w:r w:rsidRPr="00335D26">
              <w:rPr>
                <w:rFonts w:eastAsiaTheme="minorEastAsia" w:cs="Arial"/>
              </w:rPr>
              <w:t xml:space="preserve"> y </w:t>
            </w:r>
            <w:r w:rsidR="2C639995" w:rsidRPr="190ED434">
              <w:rPr>
                <w:rFonts w:eastAsiaTheme="minorEastAsia" w:cs="Arial"/>
              </w:rPr>
              <w:t>T</w:t>
            </w:r>
            <w:r w:rsidRPr="190ED434">
              <w:rPr>
                <w:rFonts w:eastAsiaTheme="minorEastAsia" w:cs="Arial"/>
              </w:rPr>
              <w:t>elecomunicaciones</w:t>
            </w:r>
            <w:r w:rsidRPr="00335D26">
              <w:rPr>
                <w:rFonts w:eastAsiaTheme="minorEastAsia" w:cs="Arial"/>
              </w:rPr>
              <w:t xml:space="preserve"> a Dirección</w:t>
            </w:r>
            <w:r>
              <w:rPr>
                <w:rFonts w:eastAsiaTheme="minorEastAsia" w:cs="Arial"/>
              </w:rPr>
              <w:t xml:space="preserve"> TIC</w:t>
            </w:r>
            <w:r w:rsidRPr="00335D26">
              <w:rPr>
                <w:rFonts w:eastAsiaTheme="minorEastAsia" w:cs="Arial"/>
              </w:rPr>
              <w:t>, dando cumplimiento a lo indicado en el</w:t>
            </w:r>
            <w:r w:rsidRPr="00335D26">
              <w:rPr>
                <w:rFonts w:eastAsiaTheme="minorEastAsia" w:cs="Arial"/>
                <w:lang w:val="es-CO"/>
              </w:rPr>
              <w:t xml:space="preserve"> Decreto 415 de 2016, </w:t>
            </w:r>
            <w:r w:rsidRPr="00335D26">
              <w:rPr>
                <w:rFonts w:eastAsiaTheme="minorEastAsia" w:cs="Arial"/>
              </w:rPr>
              <w:t xml:space="preserve">donde se </w:t>
            </w:r>
            <w:r w:rsidRPr="00335D26">
              <w:rPr>
                <w:rFonts w:eastAsiaTheme="minorEastAsia" w:cs="Arial"/>
                <w:lang w:val="es-CO"/>
              </w:rPr>
              <w:t>establece</w:t>
            </w:r>
            <w:r w:rsidRPr="00335D26">
              <w:rPr>
                <w:rFonts w:eastAsiaTheme="minorEastAsia" w:cs="Arial"/>
              </w:rPr>
              <w:t>n</w:t>
            </w:r>
            <w:r w:rsidRPr="00335D26">
              <w:rPr>
                <w:rFonts w:eastAsiaTheme="minorEastAsia" w:cs="Arial"/>
                <w:lang w:val="es-CO"/>
              </w:rPr>
              <w:t xml:space="preserve"> los lineamientos para el fortalecimiento institucional en materia de tecnologías de la información y las </w:t>
            </w:r>
            <w:r w:rsidRPr="00335D26">
              <w:rPr>
                <w:rFonts w:eastAsiaTheme="minorEastAsia" w:cs="Arial"/>
                <w:lang w:val="es-CO"/>
              </w:rPr>
              <w:lastRenderedPageBreak/>
              <w:t>comunicaciones a través del posicionamiento de los líderes de áreas</w:t>
            </w:r>
            <w:r w:rsidRPr="00335D26">
              <w:rPr>
                <w:rFonts w:eastAsiaTheme="minorEastAsia" w:cs="Arial"/>
              </w:rPr>
              <w:t>.</w:t>
            </w:r>
          </w:p>
          <w:p w14:paraId="4F1F3730" w14:textId="77777777" w:rsidR="007E0C70" w:rsidRPr="00335D26" w:rsidRDefault="007E0C70" w:rsidP="00C72779">
            <w:pPr>
              <w:pStyle w:val="Prrafodelista"/>
              <w:cnfStyle w:val="000000000000" w:firstRow="0" w:lastRow="0" w:firstColumn="0" w:lastColumn="0" w:oddVBand="0" w:evenVBand="0" w:oddHBand="0" w:evenHBand="0" w:firstRowFirstColumn="0" w:firstRowLastColumn="0" w:lastRowFirstColumn="0" w:lastRowLastColumn="0"/>
              <w:rPr>
                <w:rFonts w:eastAsiaTheme="minorEastAsia" w:cs="Arial"/>
              </w:rPr>
            </w:pPr>
          </w:p>
          <w:p w14:paraId="7B950C1E" w14:textId="78E21E21" w:rsidR="007E0C70" w:rsidRPr="00335D26" w:rsidRDefault="007E0C70" w:rsidP="00C72779">
            <w:pPr>
              <w:pStyle w:val="Prrafodelista"/>
              <w:cnfStyle w:val="000000000000" w:firstRow="0" w:lastRow="0" w:firstColumn="0" w:lastColumn="0" w:oddVBand="0" w:evenVBand="0" w:oddHBand="0" w:evenHBand="0" w:firstRowFirstColumn="0" w:firstRowLastColumn="0" w:lastRowFirstColumn="0" w:lastRowLastColumn="0"/>
              <w:rPr>
                <w:rFonts w:eastAsia="Calibri" w:cs="Arial"/>
                <w:lang w:val="es-CO"/>
              </w:rPr>
            </w:pPr>
            <w:r w:rsidRPr="00335D26">
              <w:rPr>
                <w:rFonts w:eastAsia="Arial" w:cs="Arial"/>
                <w:color w:val="000000" w:themeColor="text1"/>
                <w:lang w:val="es-CO"/>
              </w:rPr>
              <w:t>El IGAC en procura del fortalecimiento administrativo desarroll</w:t>
            </w:r>
            <w:r w:rsidRPr="190ED434">
              <w:rPr>
                <w:rFonts w:eastAsia="Arial" w:cs="Arial"/>
                <w:color w:val="000000" w:themeColor="text1"/>
                <w:lang w:val="es-CO"/>
              </w:rPr>
              <w:t>ó</w:t>
            </w:r>
            <w:r>
              <w:rPr>
                <w:rFonts w:eastAsia="Arial" w:cs="Arial"/>
                <w:color w:val="000000" w:themeColor="text1"/>
              </w:rPr>
              <w:t xml:space="preserve">  el proceso de modernización Institucional</w:t>
            </w:r>
            <w:r w:rsidRPr="00335D26">
              <w:rPr>
                <w:rFonts w:eastAsia="Arial" w:cs="Arial"/>
                <w:color w:val="000000" w:themeColor="text1"/>
                <w:lang w:val="es-CO"/>
              </w:rPr>
              <w:t xml:space="preserve">, la cual convirtió a la Oficina de Informática y Telecomunicaciones en la Dirección de Tecnologías de la Información y las </w:t>
            </w:r>
            <w:r w:rsidR="62883998" w:rsidRPr="190ED434">
              <w:rPr>
                <w:rFonts w:eastAsia="Arial" w:cs="Arial"/>
                <w:color w:val="000000" w:themeColor="text1"/>
                <w:lang w:val="es-CO"/>
              </w:rPr>
              <w:t>C</w:t>
            </w:r>
            <w:r w:rsidRPr="190ED434">
              <w:rPr>
                <w:rFonts w:eastAsia="Arial" w:cs="Arial"/>
                <w:color w:val="000000" w:themeColor="text1"/>
                <w:lang w:val="es-CO"/>
              </w:rPr>
              <w:t>omunicaciones</w:t>
            </w:r>
            <w:r w:rsidRPr="00335D26">
              <w:rPr>
                <w:rFonts w:eastAsia="Arial" w:cs="Arial"/>
                <w:color w:val="000000" w:themeColor="text1"/>
                <w:lang w:val="es-CO"/>
              </w:rPr>
              <w:t xml:space="preserve">, </w:t>
            </w:r>
            <w:r w:rsidRPr="00335D26">
              <w:rPr>
                <w:rFonts w:eastAsia="Arial" w:cs="Arial"/>
                <w:color w:val="000000" w:themeColor="text1"/>
              </w:rPr>
              <w:t xml:space="preserve">este cambio </w:t>
            </w:r>
            <w:r w:rsidRPr="00335D26">
              <w:rPr>
                <w:rFonts w:eastAsiaTheme="minorEastAsia" w:cs="Arial"/>
              </w:rPr>
              <w:t xml:space="preserve"> repercute en una mejor toma de decisiones gracias a la </w:t>
            </w:r>
            <w:r w:rsidRPr="00335D26">
              <w:rPr>
                <w:rFonts w:eastAsiaTheme="minorEastAsia" w:cs="Arial"/>
                <w:lang w:val="es-CO"/>
              </w:rPr>
              <w:t>gestión estratégica de las Tecnologías de la Información y las Comunicaciones (TIC)</w:t>
            </w:r>
            <w:r w:rsidRPr="00335D26">
              <w:rPr>
                <w:rFonts w:eastAsiaTheme="minorEastAsia" w:cs="Arial"/>
              </w:rPr>
              <w:t xml:space="preserve"> que incluye la </w:t>
            </w:r>
            <w:r w:rsidRPr="00335D26">
              <w:rPr>
                <w:rFonts w:eastAsiaTheme="minorEastAsia" w:cs="Arial"/>
                <w:lang w:val="es-CO"/>
              </w:rPr>
              <w:t xml:space="preserve"> planeación y ejecución de los planes, programas y proyectos de tecnologías y sistemas de información</w:t>
            </w:r>
            <w:r w:rsidRPr="00335D26">
              <w:rPr>
                <w:rFonts w:eastAsiaTheme="minorEastAsia" w:cs="Arial"/>
              </w:rPr>
              <w:t xml:space="preserve">, </w:t>
            </w:r>
            <w:r w:rsidRPr="00335D26">
              <w:rPr>
                <w:rFonts w:eastAsia="Arial" w:cs="Arial"/>
                <w:color w:val="000000" w:themeColor="text1"/>
                <w:lang w:val="es-CO"/>
              </w:rPr>
              <w:t xml:space="preserve"> permit</w:t>
            </w:r>
            <w:r w:rsidRPr="00335D26">
              <w:rPr>
                <w:rFonts w:eastAsia="Arial" w:cs="Arial"/>
                <w:color w:val="000000" w:themeColor="text1"/>
              </w:rPr>
              <w:t>iendo</w:t>
            </w:r>
            <w:r>
              <w:rPr>
                <w:rFonts w:eastAsia="Arial" w:cs="Arial"/>
                <w:color w:val="000000" w:themeColor="text1"/>
              </w:rPr>
              <w:t xml:space="preserve"> con ello </w:t>
            </w:r>
            <w:r w:rsidRPr="00335D26">
              <w:rPr>
                <w:rFonts w:eastAsia="Arial" w:cs="Arial"/>
                <w:color w:val="000000" w:themeColor="text1"/>
                <w:lang w:val="es-CO"/>
              </w:rPr>
              <w:t xml:space="preserve"> la articulación estratégica entre l</w:t>
            </w:r>
            <w:r w:rsidRPr="00335D26">
              <w:rPr>
                <w:rFonts w:eastAsia="Arial" w:cs="Arial"/>
                <w:color w:val="000000" w:themeColor="text1"/>
              </w:rPr>
              <w:t xml:space="preserve">as área </w:t>
            </w:r>
            <w:r w:rsidRPr="00335D26">
              <w:rPr>
                <w:rFonts w:eastAsia="Arial" w:cs="Arial"/>
                <w:color w:val="000000" w:themeColor="text1"/>
                <w:lang w:val="es-CO"/>
              </w:rPr>
              <w:t xml:space="preserve">y el contexto tecnológico como </w:t>
            </w:r>
            <w:r w:rsidRPr="07D19701">
              <w:rPr>
                <w:rFonts w:eastAsia="Arial" w:cs="Arial"/>
                <w:color w:val="000000" w:themeColor="text1"/>
                <w:lang w:val="es-CO"/>
              </w:rPr>
              <w:t xml:space="preserve">articulador de </w:t>
            </w:r>
            <w:r w:rsidRPr="00335D26">
              <w:rPr>
                <w:rFonts w:eastAsia="Arial" w:cs="Arial"/>
                <w:color w:val="000000" w:themeColor="text1"/>
                <w:lang w:val="es-CO"/>
              </w:rPr>
              <w:t xml:space="preserve">desarrollo y evolución de la </w:t>
            </w:r>
            <w:r>
              <w:rPr>
                <w:rFonts w:eastAsia="Arial" w:cs="Arial"/>
                <w:color w:val="000000" w:themeColor="text1"/>
              </w:rPr>
              <w:t>Entidad</w:t>
            </w:r>
            <w:r w:rsidRPr="00335D26">
              <w:rPr>
                <w:rFonts w:eastAsia="Arial" w:cs="Arial"/>
                <w:color w:val="000000" w:themeColor="text1"/>
              </w:rPr>
              <w:t>.</w:t>
            </w:r>
          </w:p>
        </w:tc>
      </w:tr>
      <w:tr w:rsidR="007E0C70" w:rsidRPr="009F2B8E" w14:paraId="47F9BF11" w14:textId="77777777" w:rsidTr="31FF9146">
        <w:trPr>
          <w:cnfStyle w:val="000000100000" w:firstRow="0" w:lastRow="0" w:firstColumn="0" w:lastColumn="0" w:oddVBand="0" w:evenVBand="0" w:oddHBand="1" w:evenHBand="0" w:firstRowFirstColumn="0" w:firstRowLastColumn="0" w:lastRowFirstColumn="0" w:lastRowLastColumn="0"/>
          <w:trHeight w:val="930"/>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0EE62918" w14:textId="77777777" w:rsidR="007E0C70" w:rsidRPr="009F2B8E" w:rsidRDefault="007E0C70" w:rsidP="00C72779">
            <w:pPr>
              <w:jc w:val="center"/>
              <w:rPr>
                <w:rFonts w:eastAsia="Calibri" w:cs="Arial"/>
                <w:sz w:val="20"/>
                <w:szCs w:val="20"/>
                <w:lang w:val="es-MX"/>
              </w:rPr>
            </w:pPr>
          </w:p>
          <w:p w14:paraId="2EC342CE" w14:textId="3831808D" w:rsidR="007E0C70" w:rsidRPr="009F2B8E" w:rsidRDefault="007E0C70" w:rsidP="00C72779">
            <w:pPr>
              <w:jc w:val="center"/>
              <w:rPr>
                <w:rFonts w:eastAsia="Calibri" w:cs="Arial"/>
                <w:sz w:val="20"/>
                <w:szCs w:val="20"/>
                <w:lang w:val="es-MX"/>
              </w:rPr>
            </w:pPr>
            <w:r w:rsidRPr="009F2B8E">
              <w:rPr>
                <w:rFonts w:eastAsia="Calibri" w:cs="Arial"/>
                <w:sz w:val="20"/>
                <w:szCs w:val="20"/>
                <w:lang w:val="es-MX"/>
              </w:rPr>
              <w:t>Seguimiento</w:t>
            </w:r>
          </w:p>
        </w:tc>
        <w:tc>
          <w:tcPr>
            <w:tcW w:w="2995" w:type="dxa"/>
            <w:vAlign w:val="center"/>
          </w:tcPr>
          <w:p w14:paraId="13E69E73" w14:textId="77777777" w:rsidR="007E0C70" w:rsidRPr="009F2B8E" w:rsidRDefault="007E0C70" w:rsidP="00C72779">
            <w:pPr>
              <w:jc w:val="both"/>
              <w:cnfStyle w:val="000000100000" w:firstRow="0" w:lastRow="0" w:firstColumn="0" w:lastColumn="0" w:oddVBand="0" w:evenVBand="0" w:oddHBand="1" w:evenHBand="0" w:firstRowFirstColumn="0" w:firstRowLastColumn="0" w:lastRowFirstColumn="0" w:lastRowLastColumn="0"/>
              <w:rPr>
                <w:rFonts w:cs="Arial"/>
                <w:sz w:val="20"/>
                <w:szCs w:val="20"/>
                <w:lang w:eastAsia="es-CO"/>
              </w:rPr>
            </w:pPr>
            <w:r w:rsidRPr="009F2B8E">
              <w:rPr>
                <w:rFonts w:cs="Arial"/>
                <w:sz w:val="20"/>
                <w:szCs w:val="20"/>
                <w:lang w:eastAsia="es-CO"/>
              </w:rPr>
              <w:t>Seguimientos a través de diversas herramientas</w:t>
            </w:r>
          </w:p>
          <w:p w14:paraId="11594B71" w14:textId="77777777" w:rsidR="007E0C70" w:rsidRPr="009F2B8E" w:rsidRDefault="007E0C7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eastAsia="es-CO"/>
              </w:rPr>
            </w:pPr>
          </w:p>
          <w:p w14:paraId="29AFE13A" w14:textId="77777777" w:rsidR="007E0C70" w:rsidRPr="009F2B8E" w:rsidRDefault="007E0C7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9F2B8E">
              <w:rPr>
                <w:rFonts w:cs="Arial"/>
                <w:sz w:val="20"/>
                <w:szCs w:val="20"/>
                <w:lang w:val="es-CO" w:eastAsia="es-CO"/>
              </w:rPr>
              <w:t>Metas dispersas</w:t>
            </w:r>
          </w:p>
          <w:p w14:paraId="5B604A3B" w14:textId="77777777" w:rsidR="007E0C70" w:rsidRPr="009F2B8E" w:rsidRDefault="007E0C7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p>
          <w:p w14:paraId="6E85616F" w14:textId="28856370" w:rsidR="007E0C70" w:rsidRPr="00223BB8" w:rsidRDefault="007E0C7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eastAsiaTheme="minorEastAsia" w:cs="Arial"/>
                <w:sz w:val="20"/>
                <w:szCs w:val="20"/>
                <w:lang w:val="es-CO" w:eastAsia="es-CO"/>
              </w:rPr>
            </w:pPr>
            <w:r w:rsidRPr="009F2B8E">
              <w:rPr>
                <w:rFonts w:cs="Arial"/>
                <w:sz w:val="20"/>
                <w:szCs w:val="20"/>
                <w:lang w:val="es-CO" w:eastAsia="es-CO"/>
              </w:rPr>
              <w:t xml:space="preserve">No se contaba con indicadores definidos </w:t>
            </w:r>
          </w:p>
        </w:tc>
        <w:tc>
          <w:tcPr>
            <w:tcW w:w="4550" w:type="dxa"/>
            <w:vAlign w:val="center"/>
          </w:tcPr>
          <w:p w14:paraId="0DF7D75D" w14:textId="77777777" w:rsidR="007E0C70" w:rsidRPr="009F2B8E" w:rsidRDefault="007E0C70"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9F2B8E">
              <w:rPr>
                <w:rFonts w:cs="Arial"/>
                <w:sz w:val="20"/>
                <w:szCs w:val="20"/>
                <w:lang w:val="es-CO" w:eastAsia="es-CO"/>
              </w:rPr>
              <w:t>Metas alineadas en torno a la meta del PND, y del proyecto de inversión.</w:t>
            </w:r>
          </w:p>
          <w:p w14:paraId="780DBDF5" w14:textId="77777777" w:rsidR="007E0C70" w:rsidRPr="009F2B8E" w:rsidRDefault="007E0C70"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0"/>
                <w:szCs w:val="20"/>
              </w:rPr>
            </w:pPr>
          </w:p>
          <w:p w14:paraId="423D6287" w14:textId="3D55B666" w:rsidR="007E0C70" w:rsidRPr="009F2B8E" w:rsidRDefault="007E0C70"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0"/>
                <w:szCs w:val="20"/>
              </w:rPr>
            </w:pPr>
            <w:r w:rsidRPr="009F2B8E">
              <w:rPr>
                <w:rFonts w:eastAsia="Calibri" w:cs="Arial"/>
                <w:sz w:val="20"/>
                <w:szCs w:val="20"/>
              </w:rPr>
              <w:t>Indicadores definidos y con seguimiento a través de la herramienta del Plan de Acción.</w:t>
            </w:r>
          </w:p>
        </w:tc>
      </w:tr>
      <w:tr w:rsidR="007E0C70" w:rsidRPr="009F2B8E" w14:paraId="5E38DDD4" w14:textId="77777777" w:rsidTr="31FF9146">
        <w:trPr>
          <w:trHeight w:val="1337"/>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5323C9D7" w14:textId="77777777" w:rsidR="007E0C70" w:rsidRPr="009F2B8E" w:rsidRDefault="007E0C70" w:rsidP="00C72779">
            <w:pPr>
              <w:jc w:val="center"/>
              <w:rPr>
                <w:rFonts w:cs="Arial"/>
                <w:sz w:val="20"/>
                <w:szCs w:val="20"/>
                <w:lang w:val="es-MX"/>
              </w:rPr>
            </w:pPr>
            <w:r w:rsidRPr="009F2B8E">
              <w:rPr>
                <w:rFonts w:eastAsiaTheme="minorEastAsia" w:cs="Arial"/>
                <w:sz w:val="20"/>
                <w:szCs w:val="20"/>
                <w:lang w:val="es-MX" w:eastAsia="en-US"/>
              </w:rPr>
              <w:t>Procedimientos</w:t>
            </w:r>
          </w:p>
        </w:tc>
        <w:tc>
          <w:tcPr>
            <w:tcW w:w="2995" w:type="dxa"/>
            <w:vAlign w:val="center"/>
          </w:tcPr>
          <w:p w14:paraId="1F030EB4" w14:textId="77777777" w:rsidR="007E0C70" w:rsidRPr="009F2B8E" w:rsidRDefault="007E0C70" w:rsidP="00C72779">
            <w:pPr>
              <w:jc w:val="both"/>
              <w:cnfStyle w:val="000000000000" w:firstRow="0" w:lastRow="0" w:firstColumn="0" w:lastColumn="0" w:oddVBand="0" w:evenVBand="0" w:oddHBand="0" w:evenHBand="0" w:firstRowFirstColumn="0" w:firstRowLastColumn="0" w:lastRowFirstColumn="0" w:lastRowLastColumn="0"/>
              <w:rPr>
                <w:rFonts w:eastAsia="Calibri" w:cs="Arial"/>
                <w:sz w:val="20"/>
                <w:szCs w:val="20"/>
                <w:lang w:val="es-MX"/>
              </w:rPr>
            </w:pPr>
            <w:r w:rsidRPr="009F2B8E">
              <w:rPr>
                <w:rFonts w:eastAsia="Calibri" w:cs="Arial"/>
                <w:sz w:val="20"/>
                <w:szCs w:val="20"/>
                <w:lang w:val="es-MX"/>
              </w:rPr>
              <w:t>Procedimientos desactualizados, no aplicables.</w:t>
            </w:r>
          </w:p>
          <w:p w14:paraId="5357E1D0" w14:textId="77777777" w:rsidR="007E0C70" w:rsidRPr="009F2B8E" w:rsidRDefault="007E0C70" w:rsidP="00C72779">
            <w:pPr>
              <w:jc w:val="both"/>
              <w:cnfStyle w:val="000000000000" w:firstRow="0" w:lastRow="0" w:firstColumn="0" w:lastColumn="0" w:oddVBand="0" w:evenVBand="0" w:oddHBand="0" w:evenHBand="0" w:firstRowFirstColumn="0" w:firstRowLastColumn="0" w:lastRowFirstColumn="0" w:lastRowLastColumn="0"/>
              <w:rPr>
                <w:rFonts w:eastAsia="Calibri" w:cs="Arial"/>
                <w:sz w:val="20"/>
                <w:szCs w:val="20"/>
                <w:lang w:val="es-MX"/>
              </w:rPr>
            </w:pPr>
          </w:p>
          <w:p w14:paraId="6D7EBAE8" w14:textId="1C43349C" w:rsidR="007E0C70" w:rsidRPr="009F2B8E" w:rsidRDefault="007E0C70" w:rsidP="00C72779">
            <w:pPr>
              <w:jc w:val="both"/>
              <w:cnfStyle w:val="000000000000" w:firstRow="0" w:lastRow="0" w:firstColumn="0" w:lastColumn="0" w:oddVBand="0" w:evenVBand="0" w:oddHBand="0" w:evenHBand="0" w:firstRowFirstColumn="0" w:firstRowLastColumn="0" w:lastRowFirstColumn="0" w:lastRowLastColumn="0"/>
              <w:rPr>
                <w:rFonts w:eastAsia="Calibri" w:cs="Arial"/>
                <w:sz w:val="20"/>
                <w:szCs w:val="20"/>
                <w:lang w:val="es-MX"/>
              </w:rPr>
            </w:pPr>
            <w:r w:rsidRPr="009F2B8E">
              <w:rPr>
                <w:rFonts w:eastAsia="Calibri" w:cs="Arial"/>
                <w:sz w:val="20"/>
                <w:szCs w:val="20"/>
                <w:lang w:val="es-MX"/>
              </w:rPr>
              <w:t>Formatos que no se usaban, ni se asociaban a ningún procedimiento</w:t>
            </w:r>
          </w:p>
        </w:tc>
        <w:tc>
          <w:tcPr>
            <w:tcW w:w="4550" w:type="dxa"/>
            <w:vAlign w:val="center"/>
          </w:tcPr>
          <w:p w14:paraId="31D54806" w14:textId="5945F812" w:rsidR="007E0C70" w:rsidRPr="009F2B8E" w:rsidRDefault="007E0C70" w:rsidP="00C72779">
            <w:pPr>
              <w:pStyle w:val="Prrafodelista"/>
              <w:cnfStyle w:val="000000000000" w:firstRow="0" w:lastRow="0" w:firstColumn="0" w:lastColumn="0" w:oddVBand="0" w:evenVBand="0" w:oddHBand="0" w:evenHBand="0" w:firstRowFirstColumn="0" w:firstRowLastColumn="0" w:lastRowFirstColumn="0" w:lastRowLastColumn="0"/>
              <w:rPr>
                <w:rFonts w:eastAsia="Calibri" w:cs="Arial"/>
              </w:rPr>
            </w:pPr>
            <w:r w:rsidRPr="009F2B8E">
              <w:rPr>
                <w:rFonts w:eastAsia="Calibri" w:cs="Arial"/>
              </w:rPr>
              <w:t xml:space="preserve">Procedimientos actualizados, funcionales. Se documentó el tema de seguridad de la información, Gestión copias de respaldo, </w:t>
            </w:r>
            <w:r w:rsidRPr="009F2B8E">
              <w:rPr>
                <w:rFonts w:cs="Arial"/>
                <w:lang w:val="es-MX"/>
              </w:rPr>
              <w:t xml:space="preserve">Gestión de Activos de Información, </w:t>
            </w:r>
            <w:r w:rsidRPr="009F2B8E">
              <w:rPr>
                <w:rFonts w:eastAsiaTheme="minorEastAsia" w:cs="Arial"/>
                <w:lang w:val="es-MX" w:eastAsia="es-MX"/>
              </w:rPr>
              <w:t>Gestión Mesa de Servicios, custodia de contraseñas</w:t>
            </w:r>
            <w:r w:rsidRPr="009F2B8E">
              <w:rPr>
                <w:rFonts w:eastAsia="Calibri" w:cs="Arial"/>
              </w:rPr>
              <w:t xml:space="preserve"> entre otros.</w:t>
            </w:r>
          </w:p>
        </w:tc>
      </w:tr>
      <w:tr w:rsidR="007E0C70" w:rsidRPr="009F2B8E" w14:paraId="67D15398" w14:textId="77777777" w:rsidTr="31FF9146">
        <w:trPr>
          <w:cnfStyle w:val="000000100000" w:firstRow="0" w:lastRow="0" w:firstColumn="0" w:lastColumn="0" w:oddVBand="0" w:evenVBand="0" w:oddHBand="1" w:evenHBand="0" w:firstRowFirstColumn="0" w:firstRowLastColumn="0" w:lastRowFirstColumn="0" w:lastRowLastColumn="0"/>
          <w:trHeight w:val="650"/>
        </w:trPr>
        <w:tc>
          <w:tcPr>
            <w:cnfStyle w:val="001000000000" w:firstRow="0" w:lastRow="0" w:firstColumn="1" w:lastColumn="0" w:oddVBand="0" w:evenVBand="0" w:oddHBand="0" w:evenHBand="0" w:firstRowFirstColumn="0" w:firstRowLastColumn="0" w:lastRowFirstColumn="0" w:lastRowLastColumn="0"/>
            <w:tcW w:w="1815" w:type="dxa"/>
            <w:vAlign w:val="center"/>
          </w:tcPr>
          <w:p w14:paraId="46A2EB14" w14:textId="77777777" w:rsidR="007E0C70" w:rsidRPr="009F2B8E" w:rsidRDefault="007E0C70" w:rsidP="00C72779">
            <w:pPr>
              <w:jc w:val="center"/>
              <w:rPr>
                <w:rFonts w:eastAsiaTheme="minorEastAsia" w:cs="Arial"/>
                <w:sz w:val="20"/>
                <w:szCs w:val="20"/>
                <w:lang w:val="es-MX" w:eastAsia="en-US"/>
              </w:rPr>
            </w:pPr>
            <w:r w:rsidRPr="000D2979">
              <w:rPr>
                <w:rFonts w:cs="Arial"/>
                <w:sz w:val="20"/>
                <w:szCs w:val="20"/>
                <w:lang w:val="es-MX" w:eastAsia="es-CO"/>
              </w:rPr>
              <w:t>Equipo Humano</w:t>
            </w:r>
          </w:p>
        </w:tc>
        <w:tc>
          <w:tcPr>
            <w:tcW w:w="2995" w:type="dxa"/>
            <w:vAlign w:val="center"/>
          </w:tcPr>
          <w:p w14:paraId="732128AB" w14:textId="6258AB2F" w:rsidR="007E0C70" w:rsidRPr="00223BB8" w:rsidRDefault="007E0C70"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0"/>
                <w:szCs w:val="20"/>
                <w:lang w:val="es-MX" w:eastAsia="es-CO"/>
              </w:rPr>
            </w:pPr>
            <w:r>
              <w:rPr>
                <w:rFonts w:cs="Arial"/>
                <w:sz w:val="20"/>
                <w:szCs w:val="20"/>
                <w:lang w:val="es-MX" w:eastAsia="es-CO"/>
              </w:rPr>
              <w:t xml:space="preserve">Número reducido de personas </w:t>
            </w:r>
            <w:r w:rsidRPr="000D2979">
              <w:rPr>
                <w:rFonts w:cs="Arial"/>
                <w:sz w:val="20"/>
                <w:szCs w:val="20"/>
                <w:lang w:val="es-MX" w:eastAsia="es-CO"/>
              </w:rPr>
              <w:t>encargadas de varias </w:t>
            </w:r>
            <w:r w:rsidR="03CD3D18" w:rsidRPr="4DF6E9E5">
              <w:rPr>
                <w:rFonts w:cs="Arial"/>
                <w:sz w:val="20"/>
                <w:szCs w:val="20"/>
                <w:lang w:val="es-MX" w:eastAsia="es-CO"/>
              </w:rPr>
              <w:t>activid</w:t>
            </w:r>
            <w:r w:rsidR="67B1AA8A" w:rsidRPr="4DF6E9E5">
              <w:rPr>
                <w:rFonts w:cs="Arial"/>
                <w:sz w:val="20"/>
                <w:szCs w:val="20"/>
                <w:lang w:val="es-MX" w:eastAsia="es-CO"/>
              </w:rPr>
              <w:t>ades</w:t>
            </w:r>
            <w:r w:rsidR="03CD3D18" w:rsidRPr="4DF6E9E5">
              <w:rPr>
                <w:rFonts w:cs="Arial"/>
                <w:sz w:val="20"/>
                <w:szCs w:val="20"/>
                <w:lang w:val="es-MX" w:eastAsia="es-CO"/>
              </w:rPr>
              <w:t>.</w:t>
            </w:r>
          </w:p>
        </w:tc>
        <w:tc>
          <w:tcPr>
            <w:tcW w:w="4550" w:type="dxa"/>
            <w:vAlign w:val="center"/>
          </w:tcPr>
          <w:p w14:paraId="0832907A" w14:textId="6FE87871" w:rsidR="007E0C70" w:rsidRPr="009F2B8E" w:rsidRDefault="007E0C70" w:rsidP="00C72779">
            <w:pPr>
              <w:pStyle w:val="Prrafodelista"/>
              <w:cnfStyle w:val="000000100000" w:firstRow="0" w:lastRow="0" w:firstColumn="0" w:lastColumn="0" w:oddVBand="0" w:evenVBand="0" w:oddHBand="1" w:evenHBand="0" w:firstRowFirstColumn="0" w:firstRowLastColumn="0" w:lastRowFirstColumn="0" w:lastRowLastColumn="0"/>
              <w:rPr>
                <w:rFonts w:eastAsia="Calibri" w:cs="Arial"/>
              </w:rPr>
            </w:pPr>
            <w:r>
              <w:rPr>
                <w:rFonts w:cs="Arial"/>
                <w:lang w:val="es-MX" w:eastAsia="es-CO"/>
              </w:rPr>
              <w:t xml:space="preserve">Fortalecimiento del </w:t>
            </w:r>
            <w:r w:rsidRPr="000D2979">
              <w:rPr>
                <w:rFonts w:cs="Arial"/>
                <w:lang w:val="es-MX" w:eastAsia="es-CO"/>
              </w:rPr>
              <w:t>Equipo</w:t>
            </w:r>
            <w:r>
              <w:rPr>
                <w:rFonts w:cs="Arial"/>
                <w:lang w:val="es-MX" w:eastAsia="es-CO"/>
              </w:rPr>
              <w:t xml:space="preserve"> (Claridad en sus roles y alcance).</w:t>
            </w:r>
          </w:p>
          <w:p w14:paraId="5A22101F" w14:textId="4F987F7A" w:rsidR="007E0C70" w:rsidRPr="009F2B8E" w:rsidRDefault="007E0C70" w:rsidP="00C72779">
            <w:pPr>
              <w:pStyle w:val="Lista"/>
              <w:cnfStyle w:val="000000100000" w:firstRow="0" w:lastRow="0" w:firstColumn="0" w:lastColumn="0" w:oddVBand="0" w:evenVBand="0" w:oddHBand="1" w:evenHBand="0" w:firstRowFirstColumn="0" w:firstRowLastColumn="0" w:lastRowFirstColumn="0" w:lastRowLastColumn="0"/>
              <w:rPr>
                <w:rFonts w:eastAsia="Calibri" w:cs="Arial"/>
                <w:lang w:val="es-MX" w:eastAsia="es-CO"/>
              </w:rPr>
            </w:pPr>
          </w:p>
        </w:tc>
      </w:tr>
    </w:tbl>
    <w:p w14:paraId="188F09D6" w14:textId="59627875" w:rsidR="007E0C70" w:rsidRPr="00C319C6" w:rsidRDefault="1D08B639" w:rsidP="00C319C6">
      <w:pPr>
        <w:jc w:val="center"/>
        <w:rPr>
          <w:rFonts w:eastAsia="Arial" w:cs="Arial"/>
          <w:b/>
          <w:bCs/>
          <w:sz w:val="16"/>
          <w:szCs w:val="18"/>
          <w:lang w:val="es-MX"/>
        </w:rPr>
      </w:pPr>
      <w:r w:rsidRPr="00C319C6">
        <w:rPr>
          <w:rFonts w:eastAsia="Arial" w:cs="Arial"/>
          <w:b/>
          <w:bCs/>
          <w:sz w:val="16"/>
          <w:szCs w:val="18"/>
          <w:lang w:val="es-MX"/>
        </w:rPr>
        <w:t>Fuente: Dirección de Tecnologías de la Información y las Comunicaciones</w:t>
      </w:r>
    </w:p>
    <w:p w14:paraId="55C50B19" w14:textId="1C5C6A0A" w:rsidR="007E0C70" w:rsidRPr="00C319C6" w:rsidRDefault="007E0C70" w:rsidP="00C72779">
      <w:pPr>
        <w:pStyle w:val="Lista"/>
        <w:rPr>
          <w:sz w:val="18"/>
        </w:rPr>
      </w:pPr>
    </w:p>
    <w:p w14:paraId="3272B80D" w14:textId="218BF87A" w:rsidR="00D05FB3" w:rsidRDefault="00D05FB3" w:rsidP="000A20EE">
      <w:pPr>
        <w:pStyle w:val="Prrafodelista"/>
        <w:numPr>
          <w:ilvl w:val="2"/>
          <w:numId w:val="24"/>
        </w:numPr>
        <w:rPr>
          <w:b/>
          <w:bCs/>
          <w:sz w:val="22"/>
          <w:szCs w:val="22"/>
        </w:rPr>
      </w:pPr>
      <w:r w:rsidRPr="002D2F11">
        <w:rPr>
          <w:b/>
          <w:bCs/>
          <w:sz w:val="22"/>
          <w:szCs w:val="22"/>
        </w:rPr>
        <w:t>P</w:t>
      </w:r>
      <w:r w:rsidR="00461E78">
        <w:rPr>
          <w:b/>
          <w:bCs/>
          <w:sz w:val="22"/>
          <w:szCs w:val="22"/>
        </w:rPr>
        <w:t>ROCEDIMIENTOS</w:t>
      </w:r>
      <w:r w:rsidRPr="002D2F11">
        <w:rPr>
          <w:b/>
          <w:bCs/>
          <w:sz w:val="22"/>
          <w:szCs w:val="22"/>
        </w:rPr>
        <w:t xml:space="preserve">, </w:t>
      </w:r>
      <w:r w:rsidR="00461E78">
        <w:rPr>
          <w:b/>
          <w:bCs/>
          <w:sz w:val="22"/>
          <w:szCs w:val="22"/>
        </w:rPr>
        <w:t>INDICADORES Y RIESGOS ASOCIADOS</w:t>
      </w:r>
      <w:r w:rsidRPr="002D2F11">
        <w:rPr>
          <w:b/>
          <w:bCs/>
          <w:sz w:val="22"/>
          <w:szCs w:val="22"/>
        </w:rPr>
        <w:t xml:space="preserve"> </w:t>
      </w:r>
    </w:p>
    <w:p w14:paraId="30CD067A" w14:textId="191C9102" w:rsidR="00465787" w:rsidRPr="002B0501" w:rsidRDefault="00465787" w:rsidP="006679CF">
      <w:pPr>
        <w:pStyle w:val="Descripcin"/>
        <w:rPr>
          <w:rFonts w:ascii="Arial" w:hAnsi="Arial" w:cs="Arial"/>
          <w:b/>
          <w:i w:val="0"/>
          <w:color w:val="auto"/>
          <w:sz w:val="16"/>
        </w:rPr>
      </w:pPr>
    </w:p>
    <w:tbl>
      <w:tblPr>
        <w:tblStyle w:val="Tabladecuadrcula4-nfasis1"/>
        <w:tblW w:w="9360" w:type="dxa"/>
        <w:tblLook w:val="04A0" w:firstRow="1" w:lastRow="0" w:firstColumn="1" w:lastColumn="0" w:noHBand="0" w:noVBand="1"/>
      </w:tblPr>
      <w:tblGrid>
        <w:gridCol w:w="2121"/>
        <w:gridCol w:w="2410"/>
        <w:gridCol w:w="1789"/>
        <w:gridCol w:w="1744"/>
        <w:gridCol w:w="1296"/>
      </w:tblGrid>
      <w:tr w:rsidR="00465787" w:rsidRPr="00314350" w14:paraId="086BA5EC" w14:textId="77777777" w:rsidTr="00E4583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21" w:type="dxa"/>
            <w:vAlign w:val="center"/>
          </w:tcPr>
          <w:p w14:paraId="4A83560D" w14:textId="77777777" w:rsidR="00465787" w:rsidRPr="00314350" w:rsidRDefault="00465787" w:rsidP="00C72779">
            <w:pPr>
              <w:suppressAutoHyphens w:val="0"/>
              <w:jc w:val="center"/>
              <w:rPr>
                <w:rFonts w:cs="Arial"/>
                <w:sz w:val="20"/>
                <w:szCs w:val="20"/>
                <w:lang w:val="es-MX" w:eastAsia="en-US"/>
              </w:rPr>
            </w:pPr>
            <w:r w:rsidRPr="00314350">
              <w:rPr>
                <w:rFonts w:cs="Arial"/>
                <w:sz w:val="20"/>
                <w:szCs w:val="20"/>
                <w:lang w:val="es-MX" w:eastAsia="en-US"/>
              </w:rPr>
              <w:t>Proceso</w:t>
            </w:r>
          </w:p>
        </w:tc>
        <w:tc>
          <w:tcPr>
            <w:tcW w:w="2410" w:type="dxa"/>
            <w:vAlign w:val="center"/>
          </w:tcPr>
          <w:p w14:paraId="2B89150E" w14:textId="77777777" w:rsidR="00465787" w:rsidRPr="00314350" w:rsidRDefault="00465787"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Subproceso</w:t>
            </w:r>
          </w:p>
        </w:tc>
        <w:tc>
          <w:tcPr>
            <w:tcW w:w="1789" w:type="dxa"/>
            <w:vAlign w:val="center"/>
          </w:tcPr>
          <w:p w14:paraId="44F975E1" w14:textId="77777777" w:rsidR="00465787" w:rsidRPr="00314350" w:rsidRDefault="00465787"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Procedimientos</w:t>
            </w:r>
          </w:p>
        </w:tc>
        <w:tc>
          <w:tcPr>
            <w:tcW w:w="1744" w:type="dxa"/>
            <w:vAlign w:val="center"/>
          </w:tcPr>
          <w:p w14:paraId="312C10A1" w14:textId="77777777" w:rsidR="00465787" w:rsidRPr="00314350" w:rsidRDefault="00465787"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Indicadores</w:t>
            </w:r>
          </w:p>
        </w:tc>
        <w:tc>
          <w:tcPr>
            <w:tcW w:w="1296" w:type="dxa"/>
            <w:vAlign w:val="center"/>
          </w:tcPr>
          <w:p w14:paraId="0286CCCE" w14:textId="77777777" w:rsidR="00465787" w:rsidRPr="00314350" w:rsidRDefault="00465787"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Riesgos</w:t>
            </w:r>
          </w:p>
        </w:tc>
      </w:tr>
      <w:tr w:rsidR="00465787" w:rsidRPr="00314350" w14:paraId="49125CD6" w14:textId="77777777" w:rsidTr="00E45830">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2121" w:type="dxa"/>
            <w:vMerge w:val="restart"/>
            <w:vAlign w:val="center"/>
          </w:tcPr>
          <w:p w14:paraId="24C91339" w14:textId="77777777" w:rsidR="00465787" w:rsidRPr="00314350" w:rsidRDefault="00465787" w:rsidP="00C72779">
            <w:pPr>
              <w:jc w:val="center"/>
              <w:rPr>
                <w:rFonts w:eastAsiaTheme="minorEastAsia" w:cs="Arial"/>
                <w:bCs w:val="0"/>
                <w:sz w:val="20"/>
                <w:szCs w:val="20"/>
                <w:lang w:val="es-MX" w:eastAsia="en-US"/>
              </w:rPr>
            </w:pPr>
            <w:r w:rsidRPr="00314350">
              <w:rPr>
                <w:rFonts w:eastAsia="Segoe UI" w:cs="Arial"/>
                <w:color w:val="333333"/>
                <w:sz w:val="20"/>
                <w:szCs w:val="20"/>
                <w:lang w:val="es-MX"/>
              </w:rPr>
              <w:t>Gestión de Sistemas de información e infraestructura</w:t>
            </w:r>
          </w:p>
          <w:p w14:paraId="50F33CED" w14:textId="77777777" w:rsidR="00465787" w:rsidRPr="00314350" w:rsidRDefault="00465787" w:rsidP="00C72779">
            <w:pPr>
              <w:suppressAutoHyphens w:val="0"/>
              <w:jc w:val="center"/>
              <w:rPr>
                <w:rFonts w:eastAsia="Segoe UI" w:cs="Arial"/>
                <w:b w:val="0"/>
                <w:bCs w:val="0"/>
                <w:color w:val="333333"/>
                <w:sz w:val="20"/>
                <w:szCs w:val="20"/>
                <w:lang w:val="es-MX"/>
              </w:rPr>
            </w:pPr>
          </w:p>
          <w:p w14:paraId="1E7528C7" w14:textId="77777777" w:rsidR="00465787" w:rsidRPr="00314350" w:rsidRDefault="00465787" w:rsidP="00C72779">
            <w:pPr>
              <w:jc w:val="center"/>
              <w:rPr>
                <w:rFonts w:cs="Arial"/>
                <w:b w:val="0"/>
                <w:bCs w:val="0"/>
                <w:sz w:val="20"/>
                <w:szCs w:val="20"/>
                <w:lang w:val="es-MX" w:eastAsia="en-US"/>
              </w:rPr>
            </w:pPr>
          </w:p>
          <w:p w14:paraId="0FAA1FD4" w14:textId="77777777" w:rsidR="00465787" w:rsidRPr="00314350" w:rsidRDefault="00465787" w:rsidP="00C72779">
            <w:pPr>
              <w:jc w:val="center"/>
              <w:rPr>
                <w:rFonts w:eastAsiaTheme="minorEastAsia" w:cs="Arial"/>
                <w:b w:val="0"/>
                <w:sz w:val="20"/>
                <w:szCs w:val="20"/>
                <w:lang w:val="es-MX" w:eastAsia="en-US"/>
              </w:rPr>
            </w:pPr>
          </w:p>
        </w:tc>
        <w:tc>
          <w:tcPr>
            <w:tcW w:w="2410" w:type="dxa"/>
            <w:vAlign w:val="center"/>
          </w:tcPr>
          <w:p w14:paraId="0C93D113" w14:textId="77777777" w:rsidR="00465787" w:rsidRPr="00314350" w:rsidRDefault="00465787" w:rsidP="00C72779">
            <w:pPr>
              <w:jc w:val="both"/>
              <w:cnfStyle w:val="000000100000" w:firstRow="0" w:lastRow="0" w:firstColumn="0" w:lastColumn="0" w:oddVBand="0" w:evenVBand="0" w:oddHBand="1" w:evenHBand="0" w:firstRowFirstColumn="0" w:firstRowLastColumn="0" w:lastRowFirstColumn="0" w:lastRowLastColumn="0"/>
              <w:rPr>
                <w:rFonts w:eastAsiaTheme="minorEastAsia" w:cs="Arial"/>
                <w:sz w:val="20"/>
                <w:szCs w:val="20"/>
                <w:lang w:val="es-MX" w:eastAsia="en-US"/>
              </w:rPr>
            </w:pPr>
            <w:r w:rsidRPr="00314350">
              <w:rPr>
                <w:rFonts w:eastAsiaTheme="minorEastAsia" w:cs="Arial"/>
                <w:sz w:val="20"/>
                <w:szCs w:val="20"/>
                <w:lang w:val="es-MX" w:eastAsia="en-US"/>
              </w:rPr>
              <w:t>Infraestructura de Datos Espaciales-ICDE</w:t>
            </w:r>
          </w:p>
        </w:tc>
        <w:tc>
          <w:tcPr>
            <w:tcW w:w="1789" w:type="dxa"/>
            <w:vAlign w:val="center"/>
          </w:tcPr>
          <w:p w14:paraId="1DC87D34" w14:textId="77777777" w:rsidR="00465787" w:rsidRPr="00314350" w:rsidRDefault="00465787" w:rsidP="00C72779">
            <w:pPr>
              <w:tabs>
                <w:tab w:val="left" w:pos="311"/>
              </w:tabs>
              <w:jc w:val="center"/>
              <w:cnfStyle w:val="000000100000" w:firstRow="0" w:lastRow="0" w:firstColumn="0" w:lastColumn="0" w:oddVBand="0" w:evenVBand="0" w:oddHBand="1" w:evenHBand="0" w:firstRowFirstColumn="0" w:firstRowLastColumn="0" w:lastRowFirstColumn="0" w:lastRowLastColumn="0"/>
              <w:rPr>
                <w:rFonts w:eastAsiaTheme="minorEastAsia" w:cs="Arial"/>
                <w:sz w:val="20"/>
                <w:szCs w:val="20"/>
                <w:lang w:val="es-MX" w:eastAsia="en-US"/>
              </w:rPr>
            </w:pPr>
            <w:r w:rsidRPr="00314350">
              <w:rPr>
                <w:rFonts w:eastAsiaTheme="minorEastAsia" w:cs="Arial"/>
                <w:sz w:val="20"/>
                <w:szCs w:val="20"/>
                <w:lang w:val="es-MX" w:eastAsia="en-US"/>
              </w:rPr>
              <w:t>3</w:t>
            </w:r>
          </w:p>
        </w:tc>
        <w:tc>
          <w:tcPr>
            <w:tcW w:w="1744" w:type="dxa"/>
            <w:vAlign w:val="center"/>
          </w:tcPr>
          <w:p w14:paraId="2F77E951" w14:textId="77777777" w:rsidR="00465787" w:rsidRPr="00314350" w:rsidRDefault="00465787" w:rsidP="00C72779">
            <w:pPr>
              <w:tabs>
                <w:tab w:val="left" w:pos="324"/>
              </w:tabs>
              <w:suppressAutoHyphens w:val="0"/>
              <w:ind w:left="324"/>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6</w:t>
            </w:r>
          </w:p>
        </w:tc>
        <w:tc>
          <w:tcPr>
            <w:tcW w:w="1296" w:type="dxa"/>
            <w:vAlign w:val="center"/>
          </w:tcPr>
          <w:p w14:paraId="263E8F76" w14:textId="77777777" w:rsidR="00465787" w:rsidRPr="00314350" w:rsidRDefault="00465787" w:rsidP="00C72779">
            <w:pPr>
              <w:tabs>
                <w:tab w:val="left" w:pos="322"/>
              </w:tabs>
              <w:suppressAutoHyphens w:val="0"/>
              <w:ind w:left="39"/>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tc>
      </w:tr>
      <w:tr w:rsidR="00465787" w:rsidRPr="00314350" w14:paraId="3EC7ED49" w14:textId="77777777" w:rsidTr="00E45830">
        <w:tc>
          <w:tcPr>
            <w:cnfStyle w:val="001000000000" w:firstRow="0" w:lastRow="0" w:firstColumn="1" w:lastColumn="0" w:oddVBand="0" w:evenVBand="0" w:oddHBand="0" w:evenHBand="0" w:firstRowFirstColumn="0" w:firstRowLastColumn="0" w:lastRowFirstColumn="0" w:lastRowLastColumn="0"/>
            <w:tcW w:w="2121" w:type="dxa"/>
            <w:vMerge/>
            <w:vAlign w:val="center"/>
          </w:tcPr>
          <w:p w14:paraId="608055B5" w14:textId="77777777" w:rsidR="00465787" w:rsidRPr="00314350" w:rsidRDefault="00465787" w:rsidP="00C72779">
            <w:pPr>
              <w:jc w:val="both"/>
              <w:rPr>
                <w:rFonts w:eastAsia="Segoe UI" w:cs="Arial"/>
                <w:color w:val="333333"/>
                <w:sz w:val="20"/>
                <w:szCs w:val="20"/>
                <w:lang w:val="es-MX"/>
              </w:rPr>
            </w:pPr>
          </w:p>
        </w:tc>
        <w:tc>
          <w:tcPr>
            <w:tcW w:w="2410" w:type="dxa"/>
            <w:vAlign w:val="center"/>
          </w:tcPr>
          <w:p w14:paraId="3664E409" w14:textId="77777777" w:rsidR="00465787" w:rsidRPr="00314350" w:rsidRDefault="00465787"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 xml:space="preserve">Gestión de Tecnologías de Información </w:t>
            </w:r>
          </w:p>
        </w:tc>
        <w:tc>
          <w:tcPr>
            <w:tcW w:w="1789" w:type="dxa"/>
            <w:vAlign w:val="center"/>
          </w:tcPr>
          <w:p w14:paraId="578CFA98" w14:textId="77777777" w:rsidR="00465787" w:rsidRPr="00314350" w:rsidRDefault="00465787"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4</w:t>
            </w:r>
          </w:p>
        </w:tc>
        <w:tc>
          <w:tcPr>
            <w:tcW w:w="1744" w:type="dxa"/>
            <w:vAlign w:val="center"/>
          </w:tcPr>
          <w:p w14:paraId="56768471" w14:textId="77777777" w:rsidR="00465787" w:rsidRPr="00314350" w:rsidRDefault="00465787"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tc>
        <w:tc>
          <w:tcPr>
            <w:tcW w:w="1296" w:type="dxa"/>
            <w:vAlign w:val="center"/>
          </w:tcPr>
          <w:p w14:paraId="1BC3BA1F" w14:textId="77777777" w:rsidR="00465787" w:rsidRPr="00314350" w:rsidRDefault="00465787" w:rsidP="00C72779">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tc>
      </w:tr>
      <w:tr w:rsidR="00465787" w:rsidRPr="00314350" w14:paraId="250509F5" w14:textId="77777777" w:rsidTr="00E45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1" w:type="dxa"/>
            <w:vMerge/>
            <w:vAlign w:val="center"/>
          </w:tcPr>
          <w:p w14:paraId="16E6E1F0" w14:textId="77777777" w:rsidR="00465787" w:rsidRPr="00314350" w:rsidRDefault="00465787" w:rsidP="00C72779">
            <w:pPr>
              <w:jc w:val="both"/>
              <w:rPr>
                <w:rFonts w:cs="Arial"/>
                <w:sz w:val="20"/>
                <w:szCs w:val="20"/>
                <w:lang w:val="es-MX" w:eastAsia="en-US"/>
              </w:rPr>
            </w:pPr>
          </w:p>
        </w:tc>
        <w:tc>
          <w:tcPr>
            <w:tcW w:w="2410" w:type="dxa"/>
            <w:vAlign w:val="center"/>
          </w:tcPr>
          <w:p w14:paraId="3276748D" w14:textId="77777777" w:rsidR="00465787" w:rsidRPr="00314350" w:rsidRDefault="00465787" w:rsidP="00C72779">
            <w:pPr>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314350">
              <w:rPr>
                <w:rFonts w:eastAsia="Segoe UI" w:cs="Arial"/>
                <w:color w:val="333333"/>
                <w:sz w:val="20"/>
                <w:szCs w:val="20"/>
                <w:lang w:val="es-MX"/>
              </w:rPr>
              <w:t>Gestión de la Infraestructura</w:t>
            </w:r>
          </w:p>
        </w:tc>
        <w:tc>
          <w:tcPr>
            <w:tcW w:w="1789" w:type="dxa"/>
            <w:vAlign w:val="center"/>
          </w:tcPr>
          <w:p w14:paraId="05622031" w14:textId="77777777" w:rsidR="00465787" w:rsidRPr="00314350" w:rsidRDefault="00465787"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314350">
              <w:rPr>
                <w:rFonts w:eastAsiaTheme="minorEastAsia" w:cs="Arial"/>
                <w:sz w:val="20"/>
                <w:szCs w:val="20"/>
                <w:lang w:val="es-MX" w:eastAsia="es-MX"/>
              </w:rPr>
              <w:t>4</w:t>
            </w:r>
          </w:p>
        </w:tc>
        <w:tc>
          <w:tcPr>
            <w:tcW w:w="1744" w:type="dxa"/>
            <w:vAlign w:val="center"/>
          </w:tcPr>
          <w:p w14:paraId="2079988C" w14:textId="77777777" w:rsidR="00465787" w:rsidRPr="00314350" w:rsidRDefault="00465787"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9</w:t>
            </w:r>
          </w:p>
        </w:tc>
        <w:tc>
          <w:tcPr>
            <w:tcW w:w="1296" w:type="dxa"/>
            <w:vAlign w:val="center"/>
          </w:tcPr>
          <w:p w14:paraId="73DDF4CB" w14:textId="77777777" w:rsidR="00465787" w:rsidRPr="00314350" w:rsidRDefault="00465787"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314350">
              <w:rPr>
                <w:rFonts w:eastAsiaTheme="minorEastAsia" w:cs="Arial"/>
                <w:sz w:val="20"/>
                <w:szCs w:val="20"/>
                <w:lang w:val="es-MX" w:eastAsia="es-MX"/>
              </w:rPr>
              <w:t>7</w:t>
            </w:r>
          </w:p>
        </w:tc>
      </w:tr>
      <w:tr w:rsidR="00465787" w:rsidRPr="00314350" w14:paraId="25703D87" w14:textId="77777777" w:rsidTr="00E45830">
        <w:tc>
          <w:tcPr>
            <w:cnfStyle w:val="001000000000" w:firstRow="0" w:lastRow="0" w:firstColumn="1" w:lastColumn="0" w:oddVBand="0" w:evenVBand="0" w:oddHBand="0" w:evenHBand="0" w:firstRowFirstColumn="0" w:firstRowLastColumn="0" w:lastRowFirstColumn="0" w:lastRowLastColumn="0"/>
            <w:tcW w:w="2121" w:type="dxa"/>
            <w:vMerge/>
            <w:vAlign w:val="center"/>
          </w:tcPr>
          <w:p w14:paraId="4D5BB95F" w14:textId="77777777" w:rsidR="00465787" w:rsidRPr="00314350" w:rsidRDefault="00465787" w:rsidP="00C72779">
            <w:pPr>
              <w:jc w:val="both"/>
              <w:rPr>
                <w:rFonts w:cs="Arial"/>
                <w:sz w:val="20"/>
                <w:szCs w:val="20"/>
                <w:lang w:val="es-MX" w:eastAsia="en-US"/>
              </w:rPr>
            </w:pPr>
          </w:p>
        </w:tc>
        <w:tc>
          <w:tcPr>
            <w:tcW w:w="2410" w:type="dxa"/>
            <w:vAlign w:val="center"/>
          </w:tcPr>
          <w:p w14:paraId="52E34249" w14:textId="77777777" w:rsidR="00465787" w:rsidRPr="00314350" w:rsidRDefault="00465787"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 xml:space="preserve">Diseño y Desarrollo de Sistemas de Información </w:t>
            </w:r>
          </w:p>
        </w:tc>
        <w:tc>
          <w:tcPr>
            <w:tcW w:w="1789" w:type="dxa"/>
            <w:vAlign w:val="center"/>
          </w:tcPr>
          <w:p w14:paraId="7372BD03" w14:textId="77777777" w:rsidR="00465787" w:rsidRPr="00314350" w:rsidRDefault="00465787"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eastAsiaTheme="minorEastAsia" w:cs="Arial"/>
                <w:sz w:val="20"/>
                <w:szCs w:val="20"/>
                <w:lang w:val="es-MX" w:eastAsia="es-MX"/>
              </w:rPr>
              <w:t>2</w:t>
            </w:r>
          </w:p>
        </w:tc>
        <w:tc>
          <w:tcPr>
            <w:tcW w:w="1744" w:type="dxa"/>
            <w:vAlign w:val="center"/>
          </w:tcPr>
          <w:p w14:paraId="13CA1BC5" w14:textId="77777777" w:rsidR="00465787" w:rsidRPr="00314350" w:rsidRDefault="00465787"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8</w:t>
            </w:r>
          </w:p>
        </w:tc>
        <w:tc>
          <w:tcPr>
            <w:tcW w:w="1296" w:type="dxa"/>
            <w:vAlign w:val="center"/>
          </w:tcPr>
          <w:p w14:paraId="4B981BD3" w14:textId="77777777" w:rsidR="00465787" w:rsidRPr="00314350" w:rsidRDefault="00465787"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314350">
              <w:rPr>
                <w:rFonts w:cs="Arial"/>
                <w:sz w:val="20"/>
                <w:szCs w:val="20"/>
                <w:lang w:val="es-MX" w:eastAsia="en-US"/>
              </w:rPr>
              <w:t>1</w:t>
            </w:r>
          </w:p>
        </w:tc>
      </w:tr>
    </w:tbl>
    <w:p w14:paraId="66F9193C" w14:textId="68FE7FEE" w:rsidR="00465787" w:rsidRPr="002B0501" w:rsidRDefault="48DAFF7C" w:rsidP="00C72779">
      <w:pPr>
        <w:jc w:val="center"/>
        <w:rPr>
          <w:rFonts w:eastAsia="Arial" w:cs="Arial"/>
          <w:b/>
          <w:bCs/>
          <w:sz w:val="14"/>
          <w:szCs w:val="18"/>
          <w:lang w:val="es-MX"/>
        </w:rPr>
      </w:pPr>
      <w:r w:rsidRPr="002B0501">
        <w:rPr>
          <w:rFonts w:eastAsia="Arial" w:cs="Arial"/>
          <w:b/>
          <w:bCs/>
          <w:sz w:val="16"/>
          <w:szCs w:val="18"/>
          <w:lang w:val="es-MX"/>
        </w:rPr>
        <w:t xml:space="preserve">Fuente: </w:t>
      </w:r>
      <w:r w:rsidR="002B0501" w:rsidRPr="002B0501">
        <w:rPr>
          <w:rFonts w:eastAsia="Arial" w:cs="Arial"/>
          <w:b/>
          <w:bCs/>
          <w:sz w:val="16"/>
          <w:szCs w:val="18"/>
          <w:lang w:val="es-MX"/>
        </w:rPr>
        <w:t>Oficina</w:t>
      </w:r>
      <w:r w:rsidR="00E16189" w:rsidRPr="002B0501">
        <w:rPr>
          <w:rFonts w:eastAsia="Arial" w:cs="Arial"/>
          <w:b/>
          <w:bCs/>
          <w:sz w:val="16"/>
          <w:szCs w:val="18"/>
          <w:lang w:val="es-MX"/>
        </w:rPr>
        <w:t xml:space="preserve"> Asesora de </w:t>
      </w:r>
      <w:r w:rsidR="00490C3B" w:rsidRPr="002B0501">
        <w:rPr>
          <w:rFonts w:eastAsia="Arial" w:cs="Arial"/>
          <w:b/>
          <w:bCs/>
          <w:sz w:val="16"/>
          <w:szCs w:val="18"/>
          <w:lang w:val="es-MX"/>
        </w:rPr>
        <w:t xml:space="preserve">Planeación </w:t>
      </w:r>
    </w:p>
    <w:p w14:paraId="668E0D0C" w14:textId="264E5E08" w:rsidR="000D055B" w:rsidRPr="002B0501" w:rsidRDefault="000D055B" w:rsidP="00C72779">
      <w:pPr>
        <w:pStyle w:val="paragraph"/>
        <w:spacing w:before="0" w:beforeAutospacing="0" w:after="0" w:afterAutospacing="0"/>
        <w:jc w:val="both"/>
        <w:textAlignment w:val="baseline"/>
        <w:rPr>
          <w:rStyle w:val="normaltextrun"/>
          <w:rFonts w:eastAsia="Calibri" w:cs="Arial"/>
          <w:color w:val="000000"/>
          <w:sz w:val="22"/>
        </w:rPr>
      </w:pPr>
    </w:p>
    <w:p w14:paraId="6C438D6E" w14:textId="77F3AE66" w:rsidR="00490C3B" w:rsidRDefault="00490C3B" w:rsidP="00C72779">
      <w:pPr>
        <w:pStyle w:val="paragraph"/>
        <w:spacing w:before="0" w:beforeAutospacing="0" w:after="0" w:afterAutospacing="0"/>
        <w:jc w:val="both"/>
        <w:textAlignment w:val="baseline"/>
        <w:rPr>
          <w:rStyle w:val="normaltextrun"/>
          <w:rFonts w:eastAsia="Calibri" w:cs="Arial"/>
          <w:color w:val="000000"/>
        </w:rPr>
      </w:pPr>
    </w:p>
    <w:p w14:paraId="5A76737E" w14:textId="0D398D1B" w:rsidR="006679CF" w:rsidRDefault="006679CF" w:rsidP="00C72779">
      <w:pPr>
        <w:pStyle w:val="paragraph"/>
        <w:spacing w:before="0" w:beforeAutospacing="0" w:after="0" w:afterAutospacing="0"/>
        <w:jc w:val="both"/>
        <w:textAlignment w:val="baseline"/>
        <w:rPr>
          <w:rStyle w:val="normaltextrun"/>
          <w:rFonts w:eastAsia="Calibri" w:cs="Arial"/>
          <w:color w:val="000000"/>
        </w:rPr>
      </w:pPr>
    </w:p>
    <w:p w14:paraId="73E70099" w14:textId="77777777" w:rsidR="006679CF" w:rsidRDefault="006679CF" w:rsidP="00C72779">
      <w:pPr>
        <w:pStyle w:val="paragraph"/>
        <w:spacing w:before="0" w:beforeAutospacing="0" w:after="0" w:afterAutospacing="0"/>
        <w:jc w:val="both"/>
        <w:textAlignment w:val="baseline"/>
        <w:rPr>
          <w:rStyle w:val="normaltextrun"/>
          <w:rFonts w:eastAsia="Calibri" w:cs="Arial"/>
          <w:color w:val="000000"/>
        </w:rPr>
      </w:pPr>
    </w:p>
    <w:p w14:paraId="2711C25C" w14:textId="77777777" w:rsidR="00490C3B" w:rsidRDefault="00490C3B" w:rsidP="00C72779">
      <w:pPr>
        <w:pStyle w:val="paragraph"/>
        <w:spacing w:before="0" w:beforeAutospacing="0" w:after="0" w:afterAutospacing="0"/>
        <w:jc w:val="both"/>
        <w:textAlignment w:val="baseline"/>
        <w:rPr>
          <w:rStyle w:val="normaltextrun"/>
          <w:rFonts w:eastAsia="Calibri" w:cs="Arial"/>
          <w:color w:val="000000"/>
        </w:rPr>
      </w:pPr>
    </w:p>
    <w:p w14:paraId="2231B159" w14:textId="2D851BF3" w:rsidR="00465787" w:rsidRPr="002E6728" w:rsidRDefault="00465787" w:rsidP="00C72779">
      <w:pPr>
        <w:pStyle w:val="paragraph"/>
        <w:spacing w:before="0" w:beforeAutospacing="0" w:after="0" w:afterAutospacing="0"/>
        <w:jc w:val="both"/>
        <w:textAlignment w:val="baseline"/>
        <w:rPr>
          <w:rFonts w:ascii="Segoe UI" w:hAnsi="Segoe UI" w:cs="Segoe UI"/>
          <w:sz w:val="20"/>
          <w:szCs w:val="22"/>
        </w:rPr>
      </w:pPr>
      <w:r w:rsidRPr="002E6728">
        <w:rPr>
          <w:rStyle w:val="normaltextrun"/>
          <w:rFonts w:eastAsia="Calibri" w:cs="Arial"/>
          <w:color w:val="000000"/>
          <w:sz w:val="22"/>
        </w:rPr>
        <w:t>Para mayor detalle de la información consultar en: </w:t>
      </w:r>
      <w:r w:rsidRPr="002E6728">
        <w:rPr>
          <w:rStyle w:val="eop"/>
          <w:rFonts w:cs="Arial"/>
          <w:color w:val="000000"/>
          <w:sz w:val="20"/>
          <w:szCs w:val="22"/>
        </w:rPr>
        <w:t> </w:t>
      </w:r>
    </w:p>
    <w:p w14:paraId="676D6617" w14:textId="77777777" w:rsidR="00465787" w:rsidRPr="002E6728" w:rsidRDefault="00465787" w:rsidP="000A20EE">
      <w:pPr>
        <w:pStyle w:val="paragraph"/>
        <w:numPr>
          <w:ilvl w:val="0"/>
          <w:numId w:val="268"/>
        </w:numPr>
        <w:spacing w:before="0" w:beforeAutospacing="0" w:after="0" w:afterAutospacing="0"/>
        <w:jc w:val="both"/>
        <w:textAlignment w:val="baseline"/>
        <w:rPr>
          <w:rFonts w:ascii="Segoe UI" w:hAnsi="Segoe UI" w:cs="Segoe UI"/>
          <w:sz w:val="20"/>
          <w:szCs w:val="22"/>
        </w:rPr>
      </w:pPr>
      <w:r w:rsidRPr="00490C3B">
        <w:rPr>
          <w:rStyle w:val="normaltextrun"/>
          <w:rFonts w:eastAsia="Calibri" w:cs="Arial"/>
          <w:b/>
          <w:color w:val="000000"/>
          <w:sz w:val="22"/>
        </w:rPr>
        <w:t>Procedimientos:</w:t>
      </w:r>
      <w:r w:rsidRPr="002E6728">
        <w:rPr>
          <w:rStyle w:val="normaltextrun"/>
          <w:rFonts w:eastAsia="Calibri" w:cs="Arial"/>
          <w:color w:val="000000"/>
          <w:sz w:val="22"/>
        </w:rPr>
        <w:t> </w:t>
      </w:r>
      <w:hyperlink r:id="rId108" w:tgtFrame="_blank" w:history="1">
        <w:r w:rsidRPr="002E6728">
          <w:rPr>
            <w:rStyle w:val="normaltextrun"/>
            <w:rFonts w:eastAsia="Calibri" w:cs="Arial"/>
            <w:color w:val="0000FF"/>
            <w:sz w:val="22"/>
            <w:u w:val="single"/>
          </w:rPr>
          <w:t>https://www.igac.gov.co/es/listado-maestro-de-documentos</w:t>
        </w:r>
      </w:hyperlink>
      <w:r w:rsidRPr="002E6728">
        <w:rPr>
          <w:rStyle w:val="eop"/>
          <w:rFonts w:cs="Arial"/>
          <w:color w:val="000000"/>
          <w:sz w:val="20"/>
          <w:szCs w:val="22"/>
        </w:rPr>
        <w:t> </w:t>
      </w:r>
    </w:p>
    <w:p w14:paraId="6AF27A7C" w14:textId="77777777" w:rsidR="00465787" w:rsidRPr="002E6728" w:rsidRDefault="00465787" w:rsidP="000A20EE">
      <w:pPr>
        <w:pStyle w:val="paragraph"/>
        <w:numPr>
          <w:ilvl w:val="0"/>
          <w:numId w:val="268"/>
        </w:numPr>
        <w:spacing w:before="0" w:beforeAutospacing="0" w:after="0" w:afterAutospacing="0"/>
        <w:jc w:val="both"/>
        <w:textAlignment w:val="baseline"/>
        <w:rPr>
          <w:rFonts w:ascii="Segoe UI" w:hAnsi="Segoe UI" w:cs="Segoe UI"/>
          <w:sz w:val="20"/>
          <w:szCs w:val="22"/>
        </w:rPr>
      </w:pPr>
      <w:r w:rsidRPr="00490C3B">
        <w:rPr>
          <w:rStyle w:val="normaltextrun"/>
          <w:rFonts w:eastAsia="Calibri" w:cs="Arial"/>
          <w:b/>
          <w:color w:val="000000"/>
          <w:sz w:val="22"/>
        </w:rPr>
        <w:t>Indicadores:</w:t>
      </w:r>
      <w:r w:rsidRPr="002E6728">
        <w:rPr>
          <w:rStyle w:val="normaltextrun"/>
          <w:rFonts w:eastAsia="Calibri" w:cs="Arial"/>
          <w:color w:val="000000"/>
          <w:sz w:val="22"/>
        </w:rPr>
        <w:t xml:space="preserve"> Plan Acción Anual 2021: </w:t>
      </w:r>
      <w:hyperlink r:id="rId109" w:tgtFrame="_blank" w:history="1">
        <w:r w:rsidRPr="002E6728">
          <w:rPr>
            <w:rStyle w:val="normaltextrun"/>
            <w:rFonts w:eastAsia="Calibri" w:cs="Arial"/>
            <w:color w:val="0000FF"/>
            <w:sz w:val="22"/>
            <w:u w:val="single"/>
          </w:rPr>
          <w:t>https://www.igac.gov.co/es/transparencia-y-acceso-a-la-informacion-publica/plan-de-accion-anual</w:t>
        </w:r>
      </w:hyperlink>
      <w:r w:rsidRPr="002E6728">
        <w:rPr>
          <w:rStyle w:val="normaltextrun"/>
          <w:rFonts w:eastAsia="Calibri" w:cs="Arial"/>
          <w:color w:val="000000"/>
          <w:sz w:val="22"/>
        </w:rPr>
        <w:t>  y en Herramienta PLANIGAC</w:t>
      </w:r>
      <w:r w:rsidRPr="002E6728">
        <w:rPr>
          <w:rStyle w:val="eop"/>
          <w:rFonts w:cs="Arial"/>
          <w:color w:val="000000"/>
          <w:sz w:val="20"/>
          <w:szCs w:val="22"/>
        </w:rPr>
        <w:t> </w:t>
      </w:r>
    </w:p>
    <w:p w14:paraId="288E8F16" w14:textId="7A6FF97F" w:rsidR="00465787" w:rsidRPr="00490C3B" w:rsidRDefault="00465787" w:rsidP="000A20EE">
      <w:pPr>
        <w:pStyle w:val="paragraph"/>
        <w:numPr>
          <w:ilvl w:val="0"/>
          <w:numId w:val="268"/>
        </w:numPr>
        <w:spacing w:before="0" w:beforeAutospacing="0" w:after="0" w:afterAutospacing="0"/>
        <w:jc w:val="both"/>
        <w:textAlignment w:val="baseline"/>
        <w:rPr>
          <w:rFonts w:ascii="Segoe UI" w:hAnsi="Segoe UI" w:cs="Segoe UI"/>
          <w:sz w:val="20"/>
          <w:szCs w:val="22"/>
        </w:rPr>
      </w:pPr>
      <w:r w:rsidRPr="00490C3B">
        <w:rPr>
          <w:rStyle w:val="normaltextrun"/>
          <w:rFonts w:eastAsia="Calibri" w:cs="Arial"/>
          <w:b/>
          <w:color w:val="000000"/>
          <w:sz w:val="22"/>
        </w:rPr>
        <w:t>Riesgos:</w:t>
      </w:r>
      <w:r w:rsidRPr="002E6728">
        <w:rPr>
          <w:rStyle w:val="normaltextrun"/>
          <w:rFonts w:eastAsia="Calibri" w:cs="Arial"/>
          <w:color w:val="000000"/>
          <w:sz w:val="22"/>
        </w:rPr>
        <w:t xml:space="preserve"> Matriz de Riesgos Institucional IGAC 2021: </w:t>
      </w:r>
      <w:hyperlink r:id="rId110" w:tgtFrame="_blank" w:history="1">
        <w:r w:rsidRPr="002E6728">
          <w:rPr>
            <w:rStyle w:val="normaltextrun"/>
            <w:rFonts w:eastAsia="Calibri" w:cs="Arial"/>
            <w:color w:val="0000FF"/>
            <w:sz w:val="22"/>
            <w:u w:val="single"/>
          </w:rPr>
          <w:t>https://www.igac.gov.co/es/transparencia-y-acceso-a-la-informacion-publica/plan-anticorrupcion-y-de-atencion-al-ciudadano</w:t>
        </w:r>
      </w:hyperlink>
      <w:r w:rsidRPr="002E6728">
        <w:rPr>
          <w:rStyle w:val="normaltextrun"/>
          <w:rFonts w:eastAsia="Calibri" w:cs="Arial"/>
          <w:color w:val="000000"/>
          <w:sz w:val="22"/>
        </w:rPr>
        <w:t>  y en Herramienta PLANIGAC.</w:t>
      </w:r>
      <w:r w:rsidRPr="002E6728">
        <w:rPr>
          <w:rStyle w:val="eop"/>
          <w:rFonts w:cs="Arial"/>
          <w:color w:val="000000"/>
          <w:sz w:val="20"/>
          <w:szCs w:val="22"/>
        </w:rPr>
        <w:t> </w:t>
      </w:r>
    </w:p>
    <w:p w14:paraId="6DA52630" w14:textId="77777777" w:rsidR="00465787" w:rsidRPr="00465787" w:rsidRDefault="00465787" w:rsidP="00C72779">
      <w:pPr>
        <w:pStyle w:val="Lista"/>
      </w:pPr>
    </w:p>
    <w:p w14:paraId="760BA6CE" w14:textId="5948CFE3" w:rsidR="00D05FB3" w:rsidRDefault="008179E9" w:rsidP="000A20EE">
      <w:pPr>
        <w:pStyle w:val="Prrafodelista"/>
        <w:numPr>
          <w:ilvl w:val="2"/>
          <w:numId w:val="24"/>
        </w:numPr>
        <w:rPr>
          <w:b/>
          <w:bCs/>
          <w:sz w:val="22"/>
          <w:szCs w:val="22"/>
        </w:rPr>
      </w:pPr>
      <w:r w:rsidRPr="002D2F11">
        <w:rPr>
          <w:b/>
          <w:bCs/>
          <w:sz w:val="22"/>
          <w:szCs w:val="22"/>
        </w:rPr>
        <w:t>POLÍTICAS</w:t>
      </w:r>
      <w:r w:rsidR="00461E78">
        <w:rPr>
          <w:b/>
          <w:bCs/>
          <w:sz w:val="22"/>
          <w:szCs w:val="22"/>
        </w:rPr>
        <w:t xml:space="preserve"> ASOCIADAS</w:t>
      </w:r>
    </w:p>
    <w:p w14:paraId="364C1982" w14:textId="577A4D21" w:rsidR="000D055B" w:rsidRPr="002B0501" w:rsidRDefault="000D055B" w:rsidP="006679CF">
      <w:pPr>
        <w:pStyle w:val="Descripcin"/>
        <w:rPr>
          <w:rFonts w:ascii="Arial" w:hAnsi="Arial" w:cs="Arial"/>
          <w:b/>
          <w:i w:val="0"/>
          <w:color w:val="auto"/>
          <w:sz w:val="16"/>
        </w:rPr>
      </w:pPr>
    </w:p>
    <w:tbl>
      <w:tblPr>
        <w:tblStyle w:val="Tabladecuadrcula4-nfasis1"/>
        <w:tblW w:w="9360" w:type="dxa"/>
        <w:tblLayout w:type="fixed"/>
        <w:tblLook w:val="04A0" w:firstRow="1" w:lastRow="0" w:firstColumn="1" w:lastColumn="0" w:noHBand="0" w:noVBand="1"/>
      </w:tblPr>
      <w:tblGrid>
        <w:gridCol w:w="1403"/>
        <w:gridCol w:w="4867"/>
        <w:gridCol w:w="3090"/>
      </w:tblGrid>
      <w:tr w:rsidR="000D055B" w:rsidRPr="008258E7" w14:paraId="60295E75" w14:textId="77777777" w:rsidTr="002E672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3" w:type="dxa"/>
            <w:vAlign w:val="center"/>
          </w:tcPr>
          <w:p w14:paraId="030034E3" w14:textId="77777777" w:rsidR="000D055B" w:rsidRPr="002E6728" w:rsidRDefault="000D055B" w:rsidP="00C72779">
            <w:pPr>
              <w:jc w:val="center"/>
              <w:rPr>
                <w:rFonts w:eastAsia="Arial" w:cs="Arial"/>
                <w:b w:val="0"/>
                <w:bCs w:val="0"/>
                <w:sz w:val="20"/>
                <w:szCs w:val="20"/>
              </w:rPr>
            </w:pPr>
            <w:r w:rsidRPr="002E6728">
              <w:rPr>
                <w:rFonts w:eastAsia="Arial" w:cs="Arial"/>
                <w:sz w:val="20"/>
                <w:szCs w:val="20"/>
                <w:lang w:val="es-CO"/>
              </w:rPr>
              <w:t>Política</w:t>
            </w:r>
          </w:p>
        </w:tc>
        <w:tc>
          <w:tcPr>
            <w:tcW w:w="4867" w:type="dxa"/>
            <w:vAlign w:val="center"/>
          </w:tcPr>
          <w:p w14:paraId="39F98C0F" w14:textId="77777777" w:rsidR="000D055B" w:rsidRPr="002E6728" w:rsidRDefault="000D055B" w:rsidP="00C7277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2E6728">
              <w:rPr>
                <w:rFonts w:eastAsia="Arial" w:cs="Arial"/>
                <w:sz w:val="20"/>
                <w:szCs w:val="20"/>
                <w:lang w:val="es-CO"/>
              </w:rPr>
              <w:t>Objetivo</w:t>
            </w:r>
          </w:p>
        </w:tc>
        <w:tc>
          <w:tcPr>
            <w:tcW w:w="3090" w:type="dxa"/>
            <w:vAlign w:val="center"/>
          </w:tcPr>
          <w:p w14:paraId="357EE524" w14:textId="77777777" w:rsidR="000D055B" w:rsidRPr="002E6728" w:rsidRDefault="000D055B" w:rsidP="00C72779">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2E6728">
              <w:rPr>
                <w:rFonts w:eastAsia="Arial" w:cs="Arial"/>
                <w:sz w:val="20"/>
                <w:szCs w:val="20"/>
                <w:lang w:val="es-CO"/>
              </w:rPr>
              <w:t>Alcance</w:t>
            </w:r>
          </w:p>
        </w:tc>
      </w:tr>
      <w:tr w:rsidR="000D055B" w:rsidRPr="008258E7" w14:paraId="40AC3594" w14:textId="77777777" w:rsidTr="002E672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3" w:type="dxa"/>
            <w:vAlign w:val="center"/>
          </w:tcPr>
          <w:p w14:paraId="2E199A2D" w14:textId="77777777" w:rsidR="000D055B" w:rsidRPr="00321E27" w:rsidRDefault="000D055B" w:rsidP="00C72779">
            <w:pPr>
              <w:jc w:val="center"/>
              <w:rPr>
                <w:rFonts w:eastAsia="Arial" w:cs="Arial"/>
                <w:color w:val="000000" w:themeColor="text1"/>
                <w:sz w:val="20"/>
                <w:szCs w:val="20"/>
              </w:rPr>
            </w:pPr>
            <w:r w:rsidRPr="00321E27">
              <w:rPr>
                <w:rFonts w:eastAsia="Arial" w:cs="Arial"/>
                <w:color w:val="000000" w:themeColor="text1"/>
                <w:sz w:val="20"/>
                <w:szCs w:val="20"/>
                <w:lang w:val="es-CO"/>
              </w:rPr>
              <w:t>Política de Seguridad Digital</w:t>
            </w:r>
          </w:p>
        </w:tc>
        <w:tc>
          <w:tcPr>
            <w:tcW w:w="4867" w:type="dxa"/>
            <w:vAlign w:val="center"/>
          </w:tcPr>
          <w:p w14:paraId="273C8ADD" w14:textId="77777777" w:rsidR="000D055B" w:rsidRPr="00321E27" w:rsidRDefault="000D055B" w:rsidP="00C72779">
            <w:pPr>
              <w:jc w:val="both"/>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Fortalecer los lineamientos para el cumplimiento de los objetivos de seguridad de la información en entornos digitales, a través de la identificación, valoración, tratamiento y mitigación de los riesgos de seguridad digital del IGAC en un marco de cooperación, colaboración y asistencia.</w:t>
            </w:r>
          </w:p>
        </w:tc>
        <w:tc>
          <w:tcPr>
            <w:tcW w:w="3090" w:type="dxa"/>
            <w:vAlign w:val="center"/>
          </w:tcPr>
          <w:p w14:paraId="58A803F2" w14:textId="77777777" w:rsidR="000D055B" w:rsidRPr="00321E27" w:rsidRDefault="000D055B" w:rsidP="00C72779">
            <w:pPr>
              <w:jc w:val="both"/>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 xml:space="preserve">Es aplicable a todas las sedes, los procesos, actividades, servicios, unidades móviles y demás escenarios donde se desarrollen las actividades del </w:t>
            </w:r>
            <w:r>
              <w:rPr>
                <w:rFonts w:eastAsia="Arial" w:cs="Arial"/>
                <w:color w:val="000000" w:themeColor="text1"/>
                <w:sz w:val="20"/>
                <w:szCs w:val="20"/>
                <w:lang w:val="es-CO"/>
              </w:rPr>
              <w:t>Instituto</w:t>
            </w:r>
            <w:r w:rsidRPr="00321E27">
              <w:rPr>
                <w:rFonts w:eastAsia="Arial" w:cs="Arial"/>
                <w:color w:val="000000" w:themeColor="text1"/>
                <w:sz w:val="20"/>
                <w:szCs w:val="20"/>
                <w:lang w:val="es-CO"/>
              </w:rPr>
              <w:t xml:space="preserve"> incluyendo al personal vinculado de forma directa e indirecta al IGAC, así como a los visitantes.</w:t>
            </w:r>
          </w:p>
        </w:tc>
      </w:tr>
      <w:tr w:rsidR="000D055B" w:rsidRPr="008258E7" w14:paraId="08C0B1DB" w14:textId="77777777" w:rsidTr="002E6728">
        <w:tc>
          <w:tcPr>
            <w:cnfStyle w:val="001000000000" w:firstRow="0" w:lastRow="0" w:firstColumn="1" w:lastColumn="0" w:oddVBand="0" w:evenVBand="0" w:oddHBand="0" w:evenHBand="0" w:firstRowFirstColumn="0" w:firstRowLastColumn="0" w:lastRowFirstColumn="0" w:lastRowLastColumn="0"/>
            <w:tcW w:w="1403" w:type="dxa"/>
            <w:vAlign w:val="center"/>
          </w:tcPr>
          <w:p w14:paraId="2990405D" w14:textId="77777777" w:rsidR="000D055B" w:rsidRPr="00321E27" w:rsidRDefault="000D055B" w:rsidP="00C72779">
            <w:pPr>
              <w:jc w:val="center"/>
              <w:rPr>
                <w:rFonts w:eastAsia="Arial" w:cs="Arial"/>
                <w:color w:val="000000" w:themeColor="text1"/>
                <w:sz w:val="20"/>
                <w:szCs w:val="20"/>
              </w:rPr>
            </w:pPr>
            <w:r w:rsidRPr="00321E27">
              <w:rPr>
                <w:rFonts w:eastAsia="Arial" w:cs="Arial"/>
                <w:color w:val="000000" w:themeColor="text1"/>
                <w:sz w:val="20"/>
                <w:szCs w:val="20"/>
                <w:lang w:val="es-CO"/>
              </w:rPr>
              <w:t>Política Gobierno Digital</w:t>
            </w:r>
          </w:p>
        </w:tc>
        <w:tc>
          <w:tcPr>
            <w:tcW w:w="4867" w:type="dxa"/>
            <w:vAlign w:val="center"/>
          </w:tcPr>
          <w:p w14:paraId="1E020235"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Fortalecer y promover el uso y aprovechamiento de las tecnologías de la información del IGAC con el fin de:</w:t>
            </w:r>
          </w:p>
          <w:p w14:paraId="4E1B7D99"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Symbol" w:cs="Arial"/>
                <w:color w:val="000000" w:themeColor="text1"/>
                <w:sz w:val="20"/>
                <w:szCs w:val="20"/>
                <w:lang w:val="es-CO"/>
              </w:rPr>
              <w:t></w:t>
            </w:r>
            <w:r w:rsidRPr="00321E27">
              <w:rPr>
                <w:rFonts w:eastAsia="Arial" w:cs="Arial"/>
                <w:color w:val="000000" w:themeColor="text1"/>
                <w:sz w:val="20"/>
                <w:szCs w:val="20"/>
                <w:lang w:val="es-CO"/>
              </w:rPr>
              <w:t xml:space="preserve"> Mejorar la provisión y disposición de información y servicios digital de confianza y calidad, a ciudadanos, usuarios y demás grupos de interés.</w:t>
            </w:r>
          </w:p>
          <w:p w14:paraId="0FAE4854" w14:textId="40E136AD"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CO"/>
              </w:rPr>
            </w:pPr>
            <w:r w:rsidRPr="00321E27">
              <w:rPr>
                <w:rFonts w:eastAsia="Arial" w:cs="Arial"/>
                <w:color w:val="000000" w:themeColor="text1"/>
                <w:sz w:val="20"/>
                <w:szCs w:val="20"/>
                <w:lang w:val="es-CO"/>
              </w:rPr>
              <w:t xml:space="preserve">Aumentar la eficiencia y seguridad de los procesos internos de la </w:t>
            </w:r>
            <w:r>
              <w:rPr>
                <w:rFonts w:eastAsia="Arial" w:cs="Arial"/>
                <w:color w:val="000000" w:themeColor="text1"/>
                <w:sz w:val="20"/>
                <w:szCs w:val="20"/>
                <w:lang w:val="es-CO"/>
              </w:rPr>
              <w:t>Entidad</w:t>
            </w:r>
            <w:r w:rsidRPr="00321E27">
              <w:rPr>
                <w:rFonts w:eastAsia="Arial" w:cs="Arial"/>
                <w:color w:val="000000" w:themeColor="text1"/>
                <w:sz w:val="20"/>
                <w:szCs w:val="20"/>
                <w:lang w:val="es-CO"/>
              </w:rPr>
              <w:t xml:space="preserve"> a través del fortalecimiento de la capacidad de gestión de tecnologías de información.</w:t>
            </w:r>
          </w:p>
          <w:p w14:paraId="2C1967A7"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lang w:val="es-CO"/>
              </w:rPr>
            </w:pPr>
          </w:p>
          <w:p w14:paraId="65AA40CA" w14:textId="1AFB5DA5"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Incrementar el uso y aprovechamiento de la información para una mejor toma de decisiones por parte del IGAC en todas las materias en las que es autoridad en regulación oficial: catastral, geográfica, cartográfica, geodésica y agrológica.</w:t>
            </w:r>
          </w:p>
          <w:p w14:paraId="4F847E64"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Symbol" w:cs="Arial"/>
                <w:color w:val="000000" w:themeColor="text1"/>
                <w:sz w:val="20"/>
                <w:szCs w:val="20"/>
                <w:lang w:val="es-CO"/>
              </w:rPr>
            </w:pPr>
          </w:p>
          <w:p w14:paraId="28F1A995" w14:textId="384451C4"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Incentivar el empoderamiento de los ciudadanos, usuarios y demás partes interesadas en la gestión del IGAC a nivel nacional y territorial.</w:t>
            </w:r>
          </w:p>
          <w:p w14:paraId="5A037824"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Symbol" w:cs="Arial"/>
                <w:color w:val="000000" w:themeColor="text1"/>
                <w:sz w:val="20"/>
                <w:szCs w:val="20"/>
                <w:lang w:val="es-CO"/>
              </w:rPr>
            </w:pPr>
          </w:p>
          <w:p w14:paraId="5224F410"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Impulsar el desarrollo de territorios y ciudades a través del uso y acceso a la información de carácter catastral, geográfico, cartográfico, geodésico y agrológica.</w:t>
            </w:r>
          </w:p>
        </w:tc>
        <w:tc>
          <w:tcPr>
            <w:tcW w:w="3090" w:type="dxa"/>
            <w:vAlign w:val="center"/>
          </w:tcPr>
          <w:p w14:paraId="6EB3F4BC" w14:textId="77777777" w:rsidR="000D055B" w:rsidRPr="00321E27" w:rsidRDefault="000D055B" w:rsidP="00C72779">
            <w:pPr>
              <w:jc w:val="both"/>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21E27">
              <w:rPr>
                <w:rFonts w:eastAsia="Arial" w:cs="Arial"/>
                <w:color w:val="000000" w:themeColor="text1"/>
                <w:sz w:val="20"/>
                <w:szCs w:val="20"/>
                <w:lang w:val="es-CO"/>
              </w:rPr>
              <w:t xml:space="preserve">Con esta política se busca fortalecer las competencias de tecnologías de información del IGAC mejorando su funcionamiento y relación con otras </w:t>
            </w:r>
            <w:r>
              <w:rPr>
                <w:rFonts w:eastAsia="Arial" w:cs="Arial"/>
                <w:color w:val="000000" w:themeColor="text1"/>
                <w:sz w:val="20"/>
                <w:szCs w:val="20"/>
                <w:lang w:val="es-CO"/>
              </w:rPr>
              <w:t>Entidad</w:t>
            </w:r>
            <w:r w:rsidRPr="00321E27">
              <w:rPr>
                <w:rFonts w:eastAsia="Arial" w:cs="Arial"/>
                <w:color w:val="000000" w:themeColor="text1"/>
                <w:sz w:val="20"/>
                <w:szCs w:val="20"/>
                <w:lang w:val="es-CO"/>
              </w:rPr>
              <w:t>es públicas, a través del cumplimiento de los lineamientos y estándares de los tres (3) habilitadores transversales: la gestión de arquitectura empresarial, seguridad y privacidad de la información, y los servicios digitales.</w:t>
            </w:r>
          </w:p>
        </w:tc>
      </w:tr>
    </w:tbl>
    <w:p w14:paraId="1B73B728" w14:textId="20E6EC0B" w:rsidR="002B0501" w:rsidRDefault="71A72A3A" w:rsidP="006679CF">
      <w:pPr>
        <w:jc w:val="center"/>
        <w:rPr>
          <w:rFonts w:eastAsia="Arial" w:cs="Arial"/>
          <w:b/>
          <w:bCs/>
          <w:sz w:val="16"/>
          <w:szCs w:val="18"/>
          <w:lang w:val="es-MX"/>
        </w:rPr>
      </w:pPr>
      <w:r w:rsidRPr="002B0501">
        <w:rPr>
          <w:rFonts w:eastAsia="Arial" w:cs="Arial"/>
          <w:b/>
          <w:bCs/>
          <w:sz w:val="16"/>
          <w:szCs w:val="18"/>
          <w:lang w:val="es-MX"/>
        </w:rPr>
        <w:t>Fuente: Dirección de Tecnologías de la Información y las Comunicaciones</w:t>
      </w:r>
    </w:p>
    <w:p w14:paraId="55FA14CC" w14:textId="75FCB5CA" w:rsidR="006679CF" w:rsidRDefault="006679CF" w:rsidP="006679CF">
      <w:pPr>
        <w:jc w:val="center"/>
        <w:rPr>
          <w:rFonts w:eastAsia="Arial" w:cs="Arial"/>
          <w:b/>
          <w:bCs/>
          <w:sz w:val="16"/>
          <w:szCs w:val="18"/>
          <w:lang w:val="es-MX"/>
        </w:rPr>
      </w:pPr>
    </w:p>
    <w:p w14:paraId="7AD704DC" w14:textId="25E25D24" w:rsidR="006679CF" w:rsidRDefault="006679CF" w:rsidP="006679CF">
      <w:pPr>
        <w:jc w:val="center"/>
        <w:rPr>
          <w:rFonts w:eastAsia="Arial" w:cs="Arial"/>
          <w:b/>
          <w:bCs/>
          <w:sz w:val="16"/>
          <w:szCs w:val="18"/>
          <w:lang w:val="es-MX"/>
        </w:rPr>
      </w:pPr>
    </w:p>
    <w:p w14:paraId="781BF33C" w14:textId="634F37BC" w:rsidR="006679CF" w:rsidRDefault="006679CF" w:rsidP="006679CF">
      <w:pPr>
        <w:jc w:val="center"/>
        <w:rPr>
          <w:rFonts w:eastAsia="Arial" w:cs="Arial"/>
          <w:b/>
          <w:bCs/>
          <w:sz w:val="16"/>
          <w:szCs w:val="18"/>
          <w:lang w:val="es-MX"/>
        </w:rPr>
      </w:pPr>
    </w:p>
    <w:p w14:paraId="711A19B6" w14:textId="115942F9" w:rsidR="006679CF" w:rsidRDefault="006679CF" w:rsidP="006679CF">
      <w:pPr>
        <w:jc w:val="center"/>
        <w:rPr>
          <w:rFonts w:eastAsia="Arial" w:cs="Arial"/>
          <w:b/>
          <w:bCs/>
          <w:sz w:val="16"/>
          <w:szCs w:val="18"/>
          <w:lang w:val="es-MX"/>
        </w:rPr>
      </w:pPr>
    </w:p>
    <w:p w14:paraId="286AF4A5" w14:textId="2A381B89" w:rsidR="006679CF" w:rsidRDefault="006679CF" w:rsidP="006679CF">
      <w:pPr>
        <w:jc w:val="center"/>
        <w:rPr>
          <w:rFonts w:eastAsia="Arial" w:cs="Arial"/>
          <w:b/>
          <w:bCs/>
          <w:sz w:val="16"/>
          <w:szCs w:val="18"/>
          <w:lang w:val="es-MX"/>
        </w:rPr>
      </w:pPr>
    </w:p>
    <w:p w14:paraId="45851615" w14:textId="1DAD1021" w:rsidR="006679CF" w:rsidRDefault="006679CF" w:rsidP="006679CF">
      <w:pPr>
        <w:jc w:val="center"/>
        <w:rPr>
          <w:rFonts w:eastAsia="Arial" w:cs="Arial"/>
          <w:b/>
          <w:bCs/>
          <w:sz w:val="16"/>
          <w:szCs w:val="18"/>
          <w:lang w:val="es-MX"/>
        </w:rPr>
      </w:pPr>
    </w:p>
    <w:p w14:paraId="13507611" w14:textId="10CE26DF" w:rsidR="006679CF" w:rsidRDefault="006679CF" w:rsidP="006679CF">
      <w:pPr>
        <w:jc w:val="center"/>
        <w:rPr>
          <w:rFonts w:eastAsia="Arial" w:cs="Arial"/>
          <w:b/>
          <w:bCs/>
          <w:sz w:val="16"/>
          <w:szCs w:val="18"/>
          <w:lang w:val="es-MX"/>
        </w:rPr>
      </w:pPr>
    </w:p>
    <w:p w14:paraId="4FB5F16F" w14:textId="77777777" w:rsidR="006679CF" w:rsidRPr="006679CF" w:rsidRDefault="006679CF" w:rsidP="006679CF">
      <w:pPr>
        <w:jc w:val="center"/>
        <w:rPr>
          <w:rFonts w:eastAsia="Arial" w:cs="Arial"/>
          <w:b/>
          <w:bCs/>
          <w:sz w:val="16"/>
          <w:szCs w:val="18"/>
          <w:lang w:val="es-MX"/>
        </w:rPr>
      </w:pPr>
    </w:p>
    <w:p w14:paraId="48FFD2FA" w14:textId="77777777" w:rsidR="00465787" w:rsidRPr="00465787" w:rsidRDefault="00465787" w:rsidP="00C72779">
      <w:pPr>
        <w:pStyle w:val="Lista"/>
      </w:pPr>
    </w:p>
    <w:p w14:paraId="04F91339" w14:textId="392C7CD5" w:rsidR="00220272" w:rsidRDefault="00220272" w:rsidP="006679CF">
      <w:pPr>
        <w:pStyle w:val="Prrafodelista"/>
        <w:numPr>
          <w:ilvl w:val="2"/>
          <w:numId w:val="24"/>
        </w:numPr>
        <w:rPr>
          <w:b/>
          <w:bCs/>
          <w:sz w:val="22"/>
          <w:szCs w:val="22"/>
        </w:rPr>
      </w:pPr>
      <w:r>
        <w:rPr>
          <w:b/>
          <w:bCs/>
          <w:sz w:val="22"/>
          <w:szCs w:val="22"/>
        </w:rPr>
        <w:lastRenderedPageBreak/>
        <w:t>LISTADO DE INFORMES</w:t>
      </w:r>
    </w:p>
    <w:p w14:paraId="7ABDB74A" w14:textId="77777777" w:rsidR="006679CF" w:rsidRPr="006679CF" w:rsidRDefault="006679CF" w:rsidP="006679CF">
      <w:pPr>
        <w:pStyle w:val="Lista"/>
      </w:pPr>
    </w:p>
    <w:tbl>
      <w:tblPr>
        <w:tblStyle w:val="Tabladecuadrcula5oscura-nfasis1"/>
        <w:tblpPr w:leftFromText="141" w:rightFromText="141" w:vertAnchor="text" w:horzAnchor="margin" w:tblpXSpec="center" w:tblpY="62"/>
        <w:tblW w:w="8500" w:type="dxa"/>
        <w:tblLook w:val="04A0" w:firstRow="1" w:lastRow="0" w:firstColumn="1" w:lastColumn="0" w:noHBand="0" w:noVBand="1"/>
      </w:tblPr>
      <w:tblGrid>
        <w:gridCol w:w="498"/>
        <w:gridCol w:w="1678"/>
        <w:gridCol w:w="1731"/>
        <w:gridCol w:w="4593"/>
      </w:tblGrid>
      <w:tr w:rsidR="00220272" w:rsidRPr="008258E7" w14:paraId="070F9C0A" w14:textId="77777777" w:rsidTr="005D505D">
        <w:trPr>
          <w:cnfStyle w:val="100000000000" w:firstRow="1" w:lastRow="0"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498" w:type="dxa"/>
            <w:vMerge w:val="restart"/>
            <w:noWrap/>
            <w:textDirection w:val="btLr"/>
            <w:hideMark/>
          </w:tcPr>
          <w:p w14:paraId="62633537" w14:textId="77777777" w:rsidR="00220272" w:rsidRPr="00321E27" w:rsidRDefault="00220272" w:rsidP="00C72779">
            <w:pPr>
              <w:suppressAutoHyphens w:val="0"/>
              <w:jc w:val="center"/>
              <w:rPr>
                <w:rFonts w:cs="Arial"/>
                <w:sz w:val="20"/>
                <w:szCs w:val="20"/>
                <w:lang w:val="es-MX" w:eastAsia="es-MX"/>
              </w:rPr>
            </w:pPr>
            <w:r w:rsidRPr="00321E27">
              <w:rPr>
                <w:rFonts w:cs="Arial"/>
                <w:sz w:val="20"/>
                <w:szCs w:val="20"/>
                <w:lang w:val="es-MX" w:eastAsia="es-MX"/>
              </w:rPr>
              <w:t>Internos</w:t>
            </w:r>
          </w:p>
        </w:tc>
        <w:tc>
          <w:tcPr>
            <w:tcW w:w="1678" w:type="dxa"/>
            <w:hideMark/>
          </w:tcPr>
          <w:p w14:paraId="12FD7213" w14:textId="77777777" w:rsidR="00220272" w:rsidRPr="00321E27" w:rsidRDefault="00220272"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Informe</w:t>
            </w:r>
          </w:p>
        </w:tc>
        <w:tc>
          <w:tcPr>
            <w:tcW w:w="1731" w:type="dxa"/>
            <w:hideMark/>
          </w:tcPr>
          <w:p w14:paraId="200DF661" w14:textId="77777777" w:rsidR="00220272" w:rsidRPr="00321E27" w:rsidRDefault="00220272"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Responsable</w:t>
            </w:r>
          </w:p>
        </w:tc>
        <w:tc>
          <w:tcPr>
            <w:tcW w:w="4593" w:type="dxa"/>
            <w:hideMark/>
          </w:tcPr>
          <w:p w14:paraId="52B1B8E9" w14:textId="77777777" w:rsidR="00220272" w:rsidRPr="00321E27" w:rsidRDefault="00220272" w:rsidP="00C72779">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Entrega y Publicación</w:t>
            </w:r>
          </w:p>
        </w:tc>
      </w:tr>
      <w:tr w:rsidR="00220272" w:rsidRPr="008258E7" w14:paraId="2117216E" w14:textId="77777777" w:rsidTr="005D505D">
        <w:trPr>
          <w:cnfStyle w:val="000000100000" w:firstRow="0" w:lastRow="0" w:firstColumn="0" w:lastColumn="0" w:oddVBand="0" w:evenVBand="0" w:oddHBand="1" w:evenHBand="0" w:firstRowFirstColumn="0" w:firstRowLastColumn="0" w:lastRowFirstColumn="0" w:lastRowLastColumn="0"/>
          <w:trHeight w:val="443"/>
        </w:trPr>
        <w:tc>
          <w:tcPr>
            <w:cnfStyle w:val="001000000000" w:firstRow="0" w:lastRow="0" w:firstColumn="1" w:lastColumn="0" w:oddVBand="0" w:evenVBand="0" w:oddHBand="0" w:evenHBand="0" w:firstRowFirstColumn="0" w:firstRowLastColumn="0" w:lastRowFirstColumn="0" w:lastRowLastColumn="0"/>
            <w:tcW w:w="498" w:type="dxa"/>
            <w:vMerge/>
            <w:hideMark/>
          </w:tcPr>
          <w:p w14:paraId="7CE1D37E" w14:textId="77777777" w:rsidR="00220272" w:rsidRPr="00154F4B" w:rsidRDefault="00220272" w:rsidP="00C72779">
            <w:pPr>
              <w:suppressAutoHyphens w:val="0"/>
              <w:rPr>
                <w:rFonts w:cs="Arial"/>
                <w:sz w:val="20"/>
                <w:szCs w:val="20"/>
                <w:lang w:val="es-MX" w:eastAsia="es-MX"/>
              </w:rPr>
            </w:pPr>
          </w:p>
        </w:tc>
        <w:tc>
          <w:tcPr>
            <w:tcW w:w="1678" w:type="dxa"/>
          </w:tcPr>
          <w:p w14:paraId="7E7B7AE3" w14:textId="77777777" w:rsidR="00220272" w:rsidRPr="00154F4B" w:rsidRDefault="00220272" w:rsidP="00C72779">
            <w:pPr>
              <w:pStyle w:val="paragraph"/>
              <w:spacing w:before="0" w:beforeAutospacing="0" w:after="0" w:afterAutospacing="0"/>
              <w:jc w:val="both"/>
              <w:textAlignment w:val="baseline"/>
              <w:cnfStyle w:val="000000100000" w:firstRow="0" w:lastRow="0" w:firstColumn="0" w:lastColumn="0" w:oddVBand="0" w:evenVBand="0" w:oddHBand="1" w:evenHBand="0" w:firstRowFirstColumn="0" w:firstRowLastColumn="0" w:lastRowFirstColumn="0" w:lastRowLastColumn="0"/>
              <w:rPr>
                <w:rFonts w:cs="Arial"/>
                <w:sz w:val="20"/>
                <w:szCs w:val="20"/>
              </w:rPr>
            </w:pPr>
            <w:r w:rsidRPr="00154F4B">
              <w:rPr>
                <w:rStyle w:val="normaltextrun"/>
                <w:rFonts w:eastAsia="Calibri" w:cs="Arial"/>
                <w:sz w:val="20"/>
                <w:szCs w:val="20"/>
                <w:lang w:val="es-MX"/>
              </w:rPr>
              <w:t>Seguimiento al Plan de Acción Anual</w:t>
            </w:r>
            <w:r w:rsidRPr="00154F4B">
              <w:rPr>
                <w:rStyle w:val="eop"/>
                <w:rFonts w:cs="Arial"/>
                <w:sz w:val="20"/>
                <w:szCs w:val="20"/>
              </w:rPr>
              <w:t> </w:t>
            </w:r>
          </w:p>
          <w:p w14:paraId="622648E1" w14:textId="77777777" w:rsidR="00220272" w:rsidRPr="00154F4B" w:rsidRDefault="00220272" w:rsidP="00C72779">
            <w:pPr>
              <w:pStyle w:val="paragraph"/>
              <w:spacing w:before="0" w:beforeAutospacing="0" w:after="0" w:afterAutospacing="0"/>
              <w:jc w:val="both"/>
              <w:textAlignment w:val="baseline"/>
              <w:cnfStyle w:val="000000100000" w:firstRow="0" w:lastRow="0" w:firstColumn="0" w:lastColumn="0" w:oddVBand="0" w:evenVBand="0" w:oddHBand="1" w:evenHBand="0" w:firstRowFirstColumn="0" w:firstRowLastColumn="0" w:lastRowFirstColumn="0" w:lastRowLastColumn="0"/>
              <w:rPr>
                <w:rFonts w:cs="Arial"/>
                <w:sz w:val="20"/>
                <w:szCs w:val="20"/>
              </w:rPr>
            </w:pPr>
            <w:r w:rsidRPr="00154F4B">
              <w:rPr>
                <w:rStyle w:val="normaltextrun"/>
                <w:rFonts w:eastAsia="Calibri" w:cs="Arial"/>
                <w:sz w:val="20"/>
                <w:szCs w:val="20"/>
                <w:lang w:val="es-MX"/>
              </w:rPr>
              <w:t>PAA</w:t>
            </w:r>
            <w:r w:rsidRPr="00154F4B">
              <w:rPr>
                <w:rStyle w:val="eop"/>
                <w:rFonts w:cs="Arial"/>
                <w:sz w:val="20"/>
                <w:szCs w:val="20"/>
              </w:rPr>
              <w:t> </w:t>
            </w:r>
          </w:p>
          <w:p w14:paraId="71C6C7A9" w14:textId="77777777" w:rsidR="00220272" w:rsidRPr="00154F4B"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p>
        </w:tc>
        <w:tc>
          <w:tcPr>
            <w:tcW w:w="1731" w:type="dxa"/>
            <w:noWrap/>
            <w:hideMark/>
          </w:tcPr>
          <w:p w14:paraId="71E69C1F" w14:textId="77777777" w:rsidR="00220272" w:rsidRPr="00154F4B"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154F4B">
              <w:rPr>
                <w:rFonts w:cs="Arial"/>
                <w:sz w:val="20"/>
                <w:szCs w:val="20"/>
                <w:lang w:val="es-MX" w:eastAsia="es-MX"/>
              </w:rPr>
              <w:t>Director de Tecnologías de la Información y Comunicaciones</w:t>
            </w:r>
          </w:p>
        </w:tc>
        <w:tc>
          <w:tcPr>
            <w:tcW w:w="4593" w:type="dxa"/>
            <w:noWrap/>
          </w:tcPr>
          <w:p w14:paraId="370049AC" w14:textId="77777777" w:rsidR="00220272" w:rsidRPr="00154F4B"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154F4B">
              <w:rPr>
                <w:rFonts w:cs="Arial"/>
                <w:sz w:val="20"/>
                <w:szCs w:val="20"/>
                <w:lang w:val="es-MX" w:eastAsia="es-MX"/>
              </w:rPr>
              <w:t xml:space="preserve">Trimestral (marzo, junio, septiembre y diciembre) - </w:t>
            </w:r>
            <w:r w:rsidRPr="00154F4B">
              <w:rPr>
                <w:rStyle w:val="normaltextrun"/>
                <w:rFonts w:eastAsia="Calibri" w:cs="Arial"/>
                <w:color w:val="000000"/>
                <w:sz w:val="20"/>
                <w:szCs w:val="20"/>
                <w:shd w:val="clear" w:color="auto" w:fill="B8CCE4"/>
                <w:lang w:val="es-MX"/>
              </w:rPr>
              <w:t>PLANIGAC se publica en la página WEB del IGAC</w:t>
            </w:r>
            <w:r w:rsidRPr="00154F4B">
              <w:rPr>
                <w:rStyle w:val="eop"/>
                <w:rFonts w:cs="Arial"/>
                <w:color w:val="000000"/>
                <w:sz w:val="20"/>
                <w:szCs w:val="20"/>
                <w:shd w:val="clear" w:color="auto" w:fill="B8CCE4"/>
              </w:rPr>
              <w:t> </w:t>
            </w:r>
          </w:p>
        </w:tc>
      </w:tr>
      <w:tr w:rsidR="00220272" w:rsidRPr="008258E7" w14:paraId="3BD6DFB6" w14:textId="77777777" w:rsidTr="005D505D">
        <w:trPr>
          <w:trHeight w:val="443"/>
        </w:trPr>
        <w:tc>
          <w:tcPr>
            <w:cnfStyle w:val="001000000000" w:firstRow="0" w:lastRow="0" w:firstColumn="1" w:lastColumn="0" w:oddVBand="0" w:evenVBand="0" w:oddHBand="0" w:evenHBand="0" w:firstRowFirstColumn="0" w:firstRowLastColumn="0" w:lastRowFirstColumn="0" w:lastRowLastColumn="0"/>
            <w:tcW w:w="498" w:type="dxa"/>
          </w:tcPr>
          <w:p w14:paraId="0F6A398D" w14:textId="77777777" w:rsidR="00220272" w:rsidRPr="00321E27" w:rsidRDefault="00220272" w:rsidP="00C72779">
            <w:pPr>
              <w:suppressAutoHyphens w:val="0"/>
              <w:rPr>
                <w:rFonts w:cs="Arial"/>
                <w:sz w:val="20"/>
                <w:szCs w:val="20"/>
                <w:lang w:val="es-MX" w:eastAsia="es-MX"/>
              </w:rPr>
            </w:pPr>
          </w:p>
        </w:tc>
        <w:tc>
          <w:tcPr>
            <w:tcW w:w="1678" w:type="dxa"/>
          </w:tcPr>
          <w:p w14:paraId="792E9FB9" w14:textId="77777777" w:rsidR="00220272" w:rsidRPr="00321E27" w:rsidRDefault="00220272"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Style w:val="normaltextrun"/>
                <w:rFonts w:eastAsia="Calibri" w:cs="Arial"/>
                <w:color w:val="000000"/>
                <w:sz w:val="20"/>
                <w:szCs w:val="20"/>
                <w:bdr w:val="none" w:sz="0" w:space="0" w:color="auto" w:frame="1"/>
                <w:lang w:val="es-MX"/>
              </w:rPr>
              <w:t>Seguimiento Controles de Riesgo</w:t>
            </w:r>
          </w:p>
        </w:tc>
        <w:tc>
          <w:tcPr>
            <w:tcW w:w="1731" w:type="dxa"/>
            <w:noWrap/>
          </w:tcPr>
          <w:p w14:paraId="0CB283AE" w14:textId="77777777" w:rsidR="00220272" w:rsidRPr="00321E27" w:rsidRDefault="00220272"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Director de Tecnologías de Información y Comunicaciones</w:t>
            </w:r>
          </w:p>
        </w:tc>
        <w:tc>
          <w:tcPr>
            <w:tcW w:w="4593" w:type="dxa"/>
            <w:noWrap/>
          </w:tcPr>
          <w:p w14:paraId="37726D46" w14:textId="77777777" w:rsidR="00220272" w:rsidRPr="00321E27" w:rsidRDefault="00220272"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Style w:val="normaltextrun"/>
                <w:rFonts w:eastAsia="Calibri" w:cs="Arial"/>
                <w:color w:val="000000"/>
                <w:sz w:val="20"/>
                <w:szCs w:val="20"/>
                <w:shd w:val="clear" w:color="auto" w:fill="DBE5F1"/>
                <w:lang w:val="es-MX"/>
              </w:rPr>
              <w:t>Trimestral (</w:t>
            </w:r>
            <w:r w:rsidRPr="00321E27">
              <w:rPr>
                <w:rStyle w:val="normaltextrun"/>
                <w:rFonts w:eastAsia="Calibri" w:cs="Arial"/>
                <w:sz w:val="20"/>
                <w:szCs w:val="20"/>
                <w:lang w:val="es-MX"/>
              </w:rPr>
              <w:t>marzo, junio, septiembre y diciembre) –</w:t>
            </w:r>
            <w:r w:rsidRPr="00321E27">
              <w:rPr>
                <w:rStyle w:val="normaltextrun"/>
                <w:rFonts w:eastAsia="Calibri" w:cs="Arial"/>
                <w:color w:val="000000"/>
                <w:sz w:val="20"/>
                <w:szCs w:val="20"/>
                <w:shd w:val="clear" w:color="auto" w:fill="DBE5F1"/>
                <w:lang w:val="es-MX"/>
              </w:rPr>
              <w:t xml:space="preserve"> PLANIGAC se publica en la página WEB del IGAC</w:t>
            </w:r>
            <w:r w:rsidRPr="00321E27">
              <w:rPr>
                <w:rStyle w:val="eop"/>
                <w:rFonts w:cs="Arial"/>
                <w:color w:val="000000"/>
                <w:sz w:val="20"/>
                <w:szCs w:val="20"/>
                <w:shd w:val="clear" w:color="auto" w:fill="DBE5F1"/>
              </w:rPr>
              <w:t> </w:t>
            </w:r>
          </w:p>
        </w:tc>
      </w:tr>
      <w:tr w:rsidR="00220272" w:rsidRPr="008258E7" w14:paraId="73B21973" w14:textId="77777777" w:rsidTr="005D505D">
        <w:trPr>
          <w:cnfStyle w:val="000000100000" w:firstRow="0" w:lastRow="0" w:firstColumn="0" w:lastColumn="0" w:oddVBand="0" w:evenVBand="0" w:oddHBand="1" w:evenHBand="0" w:firstRowFirstColumn="0" w:firstRowLastColumn="0" w:lastRowFirstColumn="0" w:lastRowLastColumn="0"/>
          <w:trHeight w:val="853"/>
        </w:trPr>
        <w:tc>
          <w:tcPr>
            <w:cnfStyle w:val="001000000000" w:firstRow="0" w:lastRow="0" w:firstColumn="1" w:lastColumn="0" w:oddVBand="0" w:evenVBand="0" w:oddHBand="0" w:evenHBand="0" w:firstRowFirstColumn="0" w:firstRowLastColumn="0" w:lastRowFirstColumn="0" w:lastRowLastColumn="0"/>
            <w:tcW w:w="498" w:type="dxa"/>
            <w:noWrap/>
            <w:textDirection w:val="btLr"/>
            <w:hideMark/>
          </w:tcPr>
          <w:p w14:paraId="3D511552" w14:textId="77777777" w:rsidR="00220272" w:rsidRPr="00321E27" w:rsidRDefault="00220272" w:rsidP="00C72779">
            <w:pPr>
              <w:suppressAutoHyphens w:val="0"/>
              <w:jc w:val="center"/>
              <w:rPr>
                <w:rFonts w:cs="Arial"/>
                <w:sz w:val="20"/>
                <w:szCs w:val="20"/>
                <w:lang w:val="es-MX" w:eastAsia="es-MX"/>
              </w:rPr>
            </w:pPr>
            <w:r w:rsidRPr="00321E27">
              <w:rPr>
                <w:rFonts w:cs="Arial"/>
                <w:sz w:val="20"/>
                <w:szCs w:val="20"/>
                <w:lang w:val="es-MX" w:eastAsia="es-MX"/>
              </w:rPr>
              <w:t>Externos</w:t>
            </w:r>
          </w:p>
        </w:tc>
        <w:tc>
          <w:tcPr>
            <w:tcW w:w="1678" w:type="dxa"/>
          </w:tcPr>
          <w:p w14:paraId="6AABBA36" w14:textId="77777777" w:rsidR="00220272" w:rsidRPr="00321E27"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321E27">
              <w:rPr>
                <w:rStyle w:val="normaltextrun"/>
                <w:rFonts w:eastAsia="Calibri" w:cs="Arial"/>
                <w:color w:val="000000"/>
                <w:sz w:val="20"/>
                <w:szCs w:val="20"/>
                <w:lang w:val="es-MX"/>
              </w:rPr>
              <w:t>Indicadores Metas PND - DNP</w:t>
            </w:r>
            <w:r w:rsidRPr="00321E27">
              <w:rPr>
                <w:rStyle w:val="eop"/>
                <w:rFonts w:cs="Arial"/>
                <w:color w:val="000000"/>
                <w:sz w:val="20"/>
                <w:szCs w:val="20"/>
              </w:rPr>
              <w:t> </w:t>
            </w:r>
          </w:p>
        </w:tc>
        <w:tc>
          <w:tcPr>
            <w:tcW w:w="1731" w:type="dxa"/>
          </w:tcPr>
          <w:p w14:paraId="59139823" w14:textId="77777777" w:rsidR="00220272" w:rsidRPr="00321E27"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Director de Tecnologías de Información y Comunicaciones</w:t>
            </w:r>
          </w:p>
        </w:tc>
        <w:tc>
          <w:tcPr>
            <w:tcW w:w="4593" w:type="dxa"/>
          </w:tcPr>
          <w:p w14:paraId="5FC04D7B" w14:textId="77777777" w:rsidR="00220272" w:rsidRPr="00321E27" w:rsidRDefault="00220272" w:rsidP="00C72779">
            <w:pPr>
              <w:suppressAutoHyphens w:val="0"/>
              <w:cnfStyle w:val="000000100000" w:firstRow="0" w:lastRow="0" w:firstColumn="0" w:lastColumn="0" w:oddVBand="0" w:evenVBand="0" w:oddHBand="1" w:evenHBand="0" w:firstRowFirstColumn="0" w:firstRowLastColumn="0" w:lastRowFirstColumn="0" w:lastRowLastColumn="0"/>
              <w:rPr>
                <w:rStyle w:val="normaltextrun"/>
                <w:rFonts w:eastAsia="Calibri" w:cs="Arial"/>
                <w:color w:val="000000"/>
                <w:sz w:val="20"/>
                <w:szCs w:val="20"/>
                <w:shd w:val="clear" w:color="auto" w:fill="B8CCE4"/>
                <w:lang w:val="es-MX"/>
              </w:rPr>
            </w:pPr>
          </w:p>
          <w:p w14:paraId="6F694E8F" w14:textId="77777777" w:rsidR="00220272" w:rsidRPr="00321E27" w:rsidRDefault="00220272" w:rsidP="00C72779">
            <w:pPr>
              <w:suppressAutoHyphens w:val="0"/>
              <w:jc w:val="both"/>
              <w:cnfStyle w:val="000000100000" w:firstRow="0" w:lastRow="0" w:firstColumn="0" w:lastColumn="0" w:oddVBand="0" w:evenVBand="0" w:oddHBand="1" w:evenHBand="0" w:firstRowFirstColumn="0" w:firstRowLastColumn="0" w:lastRowFirstColumn="0" w:lastRowLastColumn="0"/>
              <w:rPr>
                <w:rStyle w:val="eop"/>
                <w:rFonts w:cs="Arial"/>
                <w:color w:val="000000"/>
                <w:sz w:val="20"/>
                <w:szCs w:val="20"/>
                <w:shd w:val="clear" w:color="auto" w:fill="DBE5F1"/>
              </w:rPr>
            </w:pPr>
            <w:r w:rsidRPr="00321E27">
              <w:rPr>
                <w:rStyle w:val="normaltextrun"/>
                <w:rFonts w:eastAsia="Calibri" w:cs="Arial"/>
                <w:color w:val="000000"/>
                <w:sz w:val="20"/>
                <w:szCs w:val="20"/>
                <w:shd w:val="clear" w:color="auto" w:fill="B8CCE4"/>
                <w:lang w:val="es-MX"/>
              </w:rPr>
              <w:t>Mensual -Se publica en la Plataforma SINERGIA</w:t>
            </w:r>
          </w:p>
          <w:p w14:paraId="35F7ACDA" w14:textId="77777777" w:rsidR="00220272" w:rsidRPr="00321E27" w:rsidRDefault="00220272" w:rsidP="00C72779">
            <w:pPr>
              <w:suppressAutoHyphens w:val="0"/>
              <w:cnfStyle w:val="000000100000" w:firstRow="0" w:lastRow="0" w:firstColumn="0" w:lastColumn="0" w:oddVBand="0" w:evenVBand="0" w:oddHBand="1" w:evenHBand="0" w:firstRowFirstColumn="0" w:firstRowLastColumn="0" w:lastRowFirstColumn="0" w:lastRowLastColumn="0"/>
              <w:rPr>
                <w:rStyle w:val="eop"/>
                <w:rFonts w:cs="Arial"/>
                <w:sz w:val="20"/>
                <w:szCs w:val="20"/>
              </w:rPr>
            </w:pPr>
          </w:p>
          <w:p w14:paraId="79AEE60F" w14:textId="77777777" w:rsidR="00220272" w:rsidRPr="00321E27" w:rsidRDefault="00220272" w:rsidP="00C72779">
            <w:pPr>
              <w:suppressAutoHyphens w:val="0"/>
              <w:cnfStyle w:val="000000100000" w:firstRow="0" w:lastRow="0" w:firstColumn="0" w:lastColumn="0" w:oddVBand="0" w:evenVBand="0" w:oddHBand="1" w:evenHBand="0" w:firstRowFirstColumn="0" w:firstRowLastColumn="0" w:lastRowFirstColumn="0" w:lastRowLastColumn="0"/>
              <w:rPr>
                <w:rStyle w:val="eop"/>
                <w:rFonts w:cs="Arial"/>
                <w:color w:val="000000"/>
                <w:sz w:val="20"/>
                <w:szCs w:val="20"/>
                <w:shd w:val="clear" w:color="auto" w:fill="DBE5F1"/>
              </w:rPr>
            </w:pPr>
          </w:p>
          <w:p w14:paraId="45BCB680" w14:textId="77777777" w:rsidR="00220272" w:rsidRPr="00321E27" w:rsidRDefault="00220272" w:rsidP="00C72779">
            <w:pPr>
              <w:suppressAutoHyphens w:val="0"/>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p>
        </w:tc>
      </w:tr>
      <w:tr w:rsidR="00220272" w:rsidRPr="008258E7" w14:paraId="5577040B" w14:textId="77777777" w:rsidTr="005D505D">
        <w:trPr>
          <w:trHeight w:val="853"/>
        </w:trPr>
        <w:tc>
          <w:tcPr>
            <w:cnfStyle w:val="001000000000" w:firstRow="0" w:lastRow="0" w:firstColumn="1" w:lastColumn="0" w:oddVBand="0" w:evenVBand="0" w:oddHBand="0" w:evenHBand="0" w:firstRowFirstColumn="0" w:firstRowLastColumn="0" w:lastRowFirstColumn="0" w:lastRowLastColumn="0"/>
            <w:tcW w:w="498" w:type="dxa"/>
            <w:noWrap/>
            <w:textDirection w:val="btLr"/>
          </w:tcPr>
          <w:p w14:paraId="12873F86" w14:textId="77777777" w:rsidR="00220272" w:rsidRPr="00321E27" w:rsidRDefault="00220272" w:rsidP="00C72779">
            <w:pPr>
              <w:suppressAutoHyphens w:val="0"/>
              <w:jc w:val="center"/>
              <w:rPr>
                <w:rFonts w:cs="Arial"/>
                <w:sz w:val="20"/>
                <w:szCs w:val="20"/>
                <w:lang w:val="es-MX" w:eastAsia="es-MX"/>
              </w:rPr>
            </w:pPr>
          </w:p>
        </w:tc>
        <w:tc>
          <w:tcPr>
            <w:tcW w:w="1678" w:type="dxa"/>
          </w:tcPr>
          <w:p w14:paraId="699CBD23" w14:textId="77777777" w:rsidR="00220272" w:rsidRPr="00321E27" w:rsidRDefault="00220272"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Style w:val="normaltextrun"/>
                <w:rFonts w:eastAsia="Calibri" w:cs="Arial"/>
                <w:color w:val="000000"/>
                <w:sz w:val="20"/>
                <w:szCs w:val="20"/>
                <w:lang w:val="es-MX"/>
              </w:rPr>
              <w:t>Evaluación CONPES 3958 - DNP</w:t>
            </w:r>
            <w:r w:rsidRPr="00321E27">
              <w:rPr>
                <w:rStyle w:val="eop"/>
                <w:rFonts w:cs="Arial"/>
                <w:color w:val="000000"/>
                <w:sz w:val="20"/>
                <w:szCs w:val="20"/>
              </w:rPr>
              <w:t> </w:t>
            </w:r>
          </w:p>
        </w:tc>
        <w:tc>
          <w:tcPr>
            <w:tcW w:w="1731" w:type="dxa"/>
          </w:tcPr>
          <w:p w14:paraId="3D10D02A" w14:textId="77777777" w:rsidR="00220272" w:rsidRPr="00321E27" w:rsidRDefault="00220272" w:rsidP="00C72779">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Fonts w:cs="Arial"/>
                <w:sz w:val="20"/>
                <w:szCs w:val="20"/>
                <w:lang w:val="es-MX" w:eastAsia="es-MX"/>
              </w:rPr>
              <w:t>Director de Tecnologías de Información y Comunicaciones</w:t>
            </w:r>
          </w:p>
        </w:tc>
        <w:tc>
          <w:tcPr>
            <w:tcW w:w="4593" w:type="dxa"/>
          </w:tcPr>
          <w:p w14:paraId="490EBD0A" w14:textId="77777777" w:rsidR="00220272" w:rsidRPr="00321E27" w:rsidRDefault="00220272" w:rsidP="00C72779">
            <w:pPr>
              <w:suppressAutoHyphens w:val="0"/>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321E27">
              <w:rPr>
                <w:rStyle w:val="normaltextrun"/>
                <w:rFonts w:eastAsia="Calibri" w:cs="Arial"/>
                <w:color w:val="000000"/>
                <w:sz w:val="20"/>
                <w:szCs w:val="20"/>
                <w:lang w:val="es-MX"/>
              </w:rPr>
              <w:t>Semestral – Se publica en la plataforma SISCONPES</w:t>
            </w:r>
            <w:r w:rsidRPr="00321E27">
              <w:rPr>
                <w:rStyle w:val="eop"/>
                <w:rFonts w:cs="Arial"/>
                <w:color w:val="000000"/>
                <w:sz w:val="20"/>
                <w:szCs w:val="20"/>
              </w:rPr>
              <w:t> </w:t>
            </w:r>
          </w:p>
        </w:tc>
      </w:tr>
    </w:tbl>
    <w:p w14:paraId="2B9757BA" w14:textId="356EE7DD" w:rsidR="00220272" w:rsidRDefault="3C8E5BAF" w:rsidP="00C72779">
      <w:pPr>
        <w:jc w:val="center"/>
        <w:rPr>
          <w:rFonts w:eastAsia="Arial" w:cs="Arial"/>
          <w:b/>
          <w:bCs/>
          <w:sz w:val="18"/>
          <w:szCs w:val="18"/>
          <w:lang w:val="es-MX"/>
        </w:rPr>
      </w:pPr>
      <w:r w:rsidRPr="0060553D">
        <w:rPr>
          <w:rFonts w:eastAsia="Arial" w:cs="Arial"/>
          <w:b/>
          <w:bCs/>
          <w:sz w:val="16"/>
          <w:szCs w:val="18"/>
          <w:lang w:val="es-MX"/>
        </w:rPr>
        <w:t>Fuente: Dirección de Tecnologías de la Información y las Comunicaciones</w:t>
      </w:r>
    </w:p>
    <w:p w14:paraId="515E450B" w14:textId="77777777" w:rsidR="00220272" w:rsidRDefault="00220272" w:rsidP="00C72779">
      <w:pPr>
        <w:pStyle w:val="Lista"/>
      </w:pPr>
    </w:p>
    <w:p w14:paraId="0BC7A45C" w14:textId="77777777" w:rsidR="00220272" w:rsidRDefault="00220272" w:rsidP="00C72779">
      <w:pPr>
        <w:pStyle w:val="Lista"/>
      </w:pPr>
    </w:p>
    <w:p w14:paraId="4DCE547E" w14:textId="0699BD3A" w:rsidR="00A00756" w:rsidRDefault="00A00756" w:rsidP="000A20EE">
      <w:pPr>
        <w:pStyle w:val="Prrafodelista"/>
        <w:numPr>
          <w:ilvl w:val="2"/>
          <w:numId w:val="24"/>
        </w:numPr>
        <w:rPr>
          <w:b/>
          <w:bCs/>
          <w:sz w:val="22"/>
          <w:szCs w:val="22"/>
        </w:rPr>
      </w:pPr>
      <w:r>
        <w:rPr>
          <w:b/>
          <w:bCs/>
          <w:sz w:val="22"/>
          <w:szCs w:val="22"/>
        </w:rPr>
        <w:t>RECOMENDACIONES</w:t>
      </w:r>
    </w:p>
    <w:p w14:paraId="2ACEAB50" w14:textId="77777777" w:rsidR="00220272" w:rsidRDefault="00220272" w:rsidP="00C72779">
      <w:pPr>
        <w:pStyle w:val="Lista"/>
      </w:pPr>
    </w:p>
    <w:p w14:paraId="78B8210D" w14:textId="77777777" w:rsidR="007C029A" w:rsidRPr="007C029A" w:rsidRDefault="007C029A" w:rsidP="000A20EE">
      <w:pPr>
        <w:pStyle w:val="Prrafodelista"/>
        <w:numPr>
          <w:ilvl w:val="0"/>
          <w:numId w:val="132"/>
        </w:numPr>
        <w:suppressAutoHyphens w:val="0"/>
        <w:overflowPunct/>
        <w:autoSpaceDE/>
        <w:spacing w:after="160"/>
        <w:contextualSpacing/>
        <w:textAlignment w:val="auto"/>
        <w:rPr>
          <w:rFonts w:eastAsia="Symbol" w:cs="Arial"/>
          <w:b/>
          <w:bCs/>
          <w:sz w:val="22"/>
          <w:szCs w:val="22"/>
        </w:rPr>
      </w:pPr>
      <w:r w:rsidRPr="007C029A">
        <w:rPr>
          <w:rFonts w:eastAsia="Calibri" w:cs="Arial"/>
          <w:sz w:val="22"/>
          <w:szCs w:val="22"/>
        </w:rPr>
        <w:t>Gestionar actividades de fortalecimiento de la gestión de conocimiento en TIC para los servidores públicos.</w:t>
      </w:r>
    </w:p>
    <w:p w14:paraId="4AD8D6F9" w14:textId="77777777" w:rsidR="007C029A" w:rsidRPr="007C029A" w:rsidRDefault="007C029A" w:rsidP="000A20EE">
      <w:pPr>
        <w:pStyle w:val="Prrafodelista"/>
        <w:numPr>
          <w:ilvl w:val="0"/>
          <w:numId w:val="132"/>
        </w:numPr>
        <w:suppressAutoHyphens w:val="0"/>
        <w:overflowPunct/>
        <w:autoSpaceDE/>
        <w:spacing w:after="160"/>
        <w:contextualSpacing/>
        <w:textAlignment w:val="auto"/>
        <w:rPr>
          <w:rFonts w:cs="Arial"/>
          <w:b/>
          <w:bCs/>
          <w:sz w:val="22"/>
          <w:szCs w:val="22"/>
        </w:rPr>
      </w:pPr>
      <w:r w:rsidRPr="007C029A">
        <w:rPr>
          <w:rFonts w:eastAsia="Calibri" w:cs="Arial"/>
          <w:sz w:val="22"/>
          <w:szCs w:val="22"/>
        </w:rPr>
        <w:t>Disposición de mayor inversión para tener una infraestructura TIC actualizada.</w:t>
      </w:r>
    </w:p>
    <w:p w14:paraId="7BBBF3FB" w14:textId="77777777" w:rsidR="007C029A" w:rsidRPr="007C029A" w:rsidRDefault="007C029A" w:rsidP="000A20EE">
      <w:pPr>
        <w:pStyle w:val="Prrafodelista"/>
        <w:numPr>
          <w:ilvl w:val="0"/>
          <w:numId w:val="132"/>
        </w:numPr>
        <w:suppressAutoHyphens w:val="0"/>
        <w:overflowPunct/>
        <w:autoSpaceDE/>
        <w:spacing w:after="160"/>
        <w:contextualSpacing/>
        <w:textAlignment w:val="auto"/>
        <w:rPr>
          <w:rFonts w:eastAsiaTheme="minorEastAsia" w:cs="Arial"/>
          <w:color w:val="000000" w:themeColor="text1"/>
          <w:sz w:val="22"/>
          <w:szCs w:val="22"/>
        </w:rPr>
      </w:pPr>
      <w:r w:rsidRPr="007C029A">
        <w:rPr>
          <w:rFonts w:eastAsia="Calibri" w:cs="Arial"/>
          <w:color w:val="000000" w:themeColor="text1"/>
          <w:sz w:val="22"/>
          <w:szCs w:val="22"/>
          <w:lang w:val="es"/>
        </w:rPr>
        <w:t>Implementar centro de copiado e instalación de un aplicativo para cola de impresión</w:t>
      </w:r>
    </w:p>
    <w:p w14:paraId="748BE91A" w14:textId="77777777" w:rsidR="007C029A" w:rsidRPr="007C029A" w:rsidRDefault="007C029A" w:rsidP="000A20EE">
      <w:pPr>
        <w:pStyle w:val="Prrafodelista"/>
        <w:numPr>
          <w:ilvl w:val="0"/>
          <w:numId w:val="132"/>
        </w:numPr>
        <w:suppressAutoHyphens w:val="0"/>
        <w:overflowPunct/>
        <w:autoSpaceDE/>
        <w:spacing w:after="160"/>
        <w:contextualSpacing/>
        <w:textAlignment w:val="auto"/>
        <w:rPr>
          <w:rFonts w:eastAsiaTheme="minorEastAsia" w:cs="Arial"/>
          <w:color w:val="000000" w:themeColor="text1"/>
          <w:sz w:val="22"/>
          <w:szCs w:val="22"/>
        </w:rPr>
      </w:pPr>
      <w:r w:rsidRPr="007C029A">
        <w:rPr>
          <w:rFonts w:eastAsia="Calibri" w:cs="Arial"/>
          <w:color w:val="000000" w:themeColor="text1"/>
          <w:sz w:val="22"/>
          <w:szCs w:val="22"/>
          <w:lang w:val="es"/>
        </w:rPr>
        <w:t>Contratar un canal redundante de internet.</w:t>
      </w:r>
    </w:p>
    <w:p w14:paraId="367A93A4" w14:textId="77777777" w:rsidR="007C029A" w:rsidRPr="007C029A"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7C029A">
        <w:rPr>
          <w:rFonts w:eastAsia="Calibri" w:cs="Arial"/>
          <w:color w:val="000000" w:themeColor="text1"/>
          <w:sz w:val="22"/>
          <w:szCs w:val="22"/>
          <w:lang w:val="es"/>
        </w:rPr>
        <w:t>Desarrollar iniciativas innovadoras que permitan que la ICDE pueda apoyar de manera más efectiva y focalizada la gestión catastral, la planeación municipal urbana y rural y la gestión de procesos educativos en los territorios colombianos.</w:t>
      </w:r>
    </w:p>
    <w:p w14:paraId="59B8407A"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7C029A">
        <w:rPr>
          <w:rFonts w:eastAsia="Calibri" w:cs="Arial"/>
          <w:color w:val="000000" w:themeColor="text1"/>
          <w:sz w:val="22"/>
          <w:szCs w:val="22"/>
          <w:lang w:val="es"/>
        </w:rPr>
        <w:t>Desarrollar indicadores que permitan evaluar la efectividad de la ICDE en el apoyo a las Entidades territoriales colombianas.</w:t>
      </w:r>
    </w:p>
    <w:p w14:paraId="1F6881D0"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eastAsia="Calibri" w:cs="Arial"/>
          <w:color w:val="000000" w:themeColor="text1"/>
          <w:sz w:val="22"/>
          <w:szCs w:val="22"/>
          <w:lang w:val="es"/>
        </w:rPr>
        <w:t>Desarrollar procesos de innovación en lo que se refiere a la gestión de la información dentro del IGAC, permitiendo implementar un programa de gobierno de la información que garantice disponibilidad, seguridad e integridad.</w:t>
      </w:r>
    </w:p>
    <w:p w14:paraId="5D4FD737"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 xml:space="preserve">Continuar con el fortalecimiento y apropiación de nuevos los procesos tecnológicos, con el fin de garantizar una gestión estratégica de los recursos tecnológicos y de esta manera contribuir a los procesos misionales de la Entidad. </w:t>
      </w:r>
    </w:p>
    <w:p w14:paraId="55748E95"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Fortalecer la mesa de ayuda, a partir del mejoramiento de los procesos y procedimientos y la implementación de buenas prácticas ITIL.</w:t>
      </w:r>
    </w:p>
    <w:p w14:paraId="74A915AF"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Modernizar las herramientas tecnológicas o aplicativos como; Iintranet, GEOPORTAL - Consulta Geodesia - Archivos en Formato Rinex Estaciones Red MAGNA-ECO, GEOPORTAL - Datos Abiertos, Aplicación de Certificados Catastrales, Sistema de información de gestión agrológica, sistema de Trabaje con Nosotros y el ERP.</w:t>
      </w:r>
    </w:p>
    <w:p w14:paraId="22FBA2EC" w14:textId="77777777" w:rsidR="005D505D" w:rsidRPr="005D505D" w:rsidRDefault="0D548882"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Continuar con la implementación y fortalecimiento del Sistema de Gestión de Seguridad de la Información</w:t>
      </w:r>
      <w:r w:rsidR="01A929B0" w:rsidRPr="005D505D">
        <w:rPr>
          <w:rFonts w:cs="Arial"/>
          <w:color w:val="000000"/>
          <w:sz w:val="22"/>
          <w:szCs w:val="22"/>
          <w:bdr w:val="none" w:sz="0" w:space="0" w:color="auto" w:frame="1"/>
        </w:rPr>
        <w:t>-</w:t>
      </w:r>
      <w:r w:rsidRPr="005D505D">
        <w:rPr>
          <w:rFonts w:cs="Arial"/>
          <w:color w:val="000000"/>
          <w:sz w:val="22"/>
          <w:szCs w:val="22"/>
          <w:bdr w:val="none" w:sz="0" w:space="0" w:color="auto" w:frame="1"/>
        </w:rPr>
        <w:t>SGSI del IGAC.</w:t>
      </w:r>
    </w:p>
    <w:p w14:paraId="412C8988"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lastRenderedPageBreak/>
        <w:t>Implementar metodología del Project Management Institute (PMI) para los proyectos tecnológicos.</w:t>
      </w:r>
    </w:p>
    <w:p w14:paraId="12B8C095"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Garantizar los recursos para mantener y mejor los sistemas de información de la Entidad.</w:t>
      </w:r>
    </w:p>
    <w:p w14:paraId="3EC781CD" w14:textId="77777777" w:rsidR="005D505D" w:rsidRPr="005D505D" w:rsidRDefault="007C029A" w:rsidP="000A20EE">
      <w:pPr>
        <w:pStyle w:val="Prrafodelista"/>
        <w:numPr>
          <w:ilvl w:val="0"/>
          <w:numId w:val="132"/>
        </w:numPr>
        <w:suppressAutoHyphens w:val="0"/>
        <w:overflowPunct/>
        <w:autoSpaceDE/>
        <w:spacing w:after="160"/>
        <w:contextualSpacing/>
        <w:textAlignment w:val="auto"/>
        <w:rPr>
          <w:rFonts w:eastAsia="Calibri" w:cs="Arial"/>
          <w:b/>
          <w:bCs/>
          <w:sz w:val="22"/>
          <w:szCs w:val="22"/>
        </w:rPr>
      </w:pPr>
      <w:r w:rsidRPr="005D505D">
        <w:rPr>
          <w:rFonts w:cs="Arial"/>
          <w:color w:val="000000"/>
          <w:sz w:val="22"/>
          <w:szCs w:val="22"/>
          <w:bdr w:val="none" w:sz="0" w:space="0" w:color="auto" w:frame="1"/>
        </w:rPr>
        <w:t>Generar una cultura de de uso y apropiación de tecnologías y buenas prácticas de gestión.</w:t>
      </w:r>
    </w:p>
    <w:p w14:paraId="5EE60EE2" w14:textId="0944A548" w:rsidR="31FF9146" w:rsidRPr="00835945" w:rsidRDefault="007C029A" w:rsidP="000A20EE">
      <w:pPr>
        <w:pStyle w:val="Prrafodelista"/>
        <w:numPr>
          <w:ilvl w:val="0"/>
          <w:numId w:val="132"/>
        </w:numPr>
        <w:suppressAutoHyphens w:val="0"/>
        <w:overflowPunct/>
        <w:autoSpaceDE/>
        <w:spacing w:after="160"/>
        <w:contextualSpacing/>
        <w:textAlignment w:val="auto"/>
        <w:rPr>
          <w:rFonts w:eastAsia="Calibri" w:cs="Arial"/>
          <w:b/>
          <w:sz w:val="22"/>
          <w:szCs w:val="22"/>
        </w:rPr>
      </w:pPr>
      <w:r w:rsidRPr="005D505D">
        <w:rPr>
          <w:rFonts w:cs="Arial"/>
          <w:color w:val="000000"/>
          <w:sz w:val="22"/>
          <w:szCs w:val="22"/>
          <w:bdr w:val="none" w:sz="0" w:space="0" w:color="auto" w:frame="1"/>
        </w:rPr>
        <w:t>Contar con una consultoría que capacite al equipo técnico en el despliegue de ejercicios de arquitectura empresarial.</w:t>
      </w:r>
    </w:p>
    <w:p w14:paraId="586B4100" w14:textId="2A6DE61B" w:rsidR="31FF9146" w:rsidRDefault="31FF9146" w:rsidP="31FF9146"/>
    <w:p w14:paraId="5D417AC1" w14:textId="77777777" w:rsidR="0060553D" w:rsidRDefault="0060553D" w:rsidP="31FF9146"/>
    <w:p w14:paraId="54279C92" w14:textId="77777777" w:rsidR="0060553D" w:rsidRDefault="0060553D" w:rsidP="31FF9146"/>
    <w:p w14:paraId="077696A5" w14:textId="77777777" w:rsidR="0060553D" w:rsidRDefault="0060553D" w:rsidP="31FF9146"/>
    <w:p w14:paraId="666A99C1" w14:textId="77777777" w:rsidR="0060553D" w:rsidRDefault="0060553D" w:rsidP="31FF9146"/>
    <w:p w14:paraId="16BC4BC7" w14:textId="77777777" w:rsidR="0060553D" w:rsidRDefault="0060553D" w:rsidP="31FF9146"/>
    <w:p w14:paraId="253A3167" w14:textId="77777777" w:rsidR="0060553D" w:rsidRDefault="0060553D" w:rsidP="31FF9146"/>
    <w:p w14:paraId="5ED7DFE6" w14:textId="77777777" w:rsidR="0060553D" w:rsidRDefault="0060553D" w:rsidP="31FF9146"/>
    <w:p w14:paraId="2A066B15" w14:textId="77777777" w:rsidR="0060553D" w:rsidRDefault="0060553D" w:rsidP="31FF9146"/>
    <w:p w14:paraId="721A216C" w14:textId="77777777" w:rsidR="0060553D" w:rsidRDefault="0060553D" w:rsidP="31FF9146"/>
    <w:p w14:paraId="4F53AC54" w14:textId="77777777" w:rsidR="0060553D" w:rsidRDefault="0060553D" w:rsidP="31FF9146"/>
    <w:p w14:paraId="409E1971" w14:textId="77777777" w:rsidR="0060553D" w:rsidRDefault="0060553D" w:rsidP="31FF9146"/>
    <w:p w14:paraId="6B85D3B2" w14:textId="77777777" w:rsidR="0060553D" w:rsidRDefault="0060553D" w:rsidP="31FF9146"/>
    <w:p w14:paraId="415FADCC" w14:textId="77777777" w:rsidR="0060553D" w:rsidRDefault="0060553D" w:rsidP="31FF9146"/>
    <w:p w14:paraId="721D0F22" w14:textId="77777777" w:rsidR="0060553D" w:rsidRDefault="0060553D" w:rsidP="31FF9146"/>
    <w:p w14:paraId="1D586CDA" w14:textId="77777777" w:rsidR="0060553D" w:rsidRDefault="0060553D" w:rsidP="31FF9146"/>
    <w:p w14:paraId="0AC3E9A4" w14:textId="77777777" w:rsidR="0060553D" w:rsidRDefault="0060553D" w:rsidP="31FF9146"/>
    <w:p w14:paraId="3F7876BC" w14:textId="77777777" w:rsidR="0060553D" w:rsidRDefault="0060553D" w:rsidP="31FF9146"/>
    <w:p w14:paraId="3FEB6374" w14:textId="77777777" w:rsidR="0060553D" w:rsidRDefault="0060553D" w:rsidP="31FF9146"/>
    <w:p w14:paraId="563A6420" w14:textId="77777777" w:rsidR="0060553D" w:rsidRDefault="0060553D" w:rsidP="31FF9146"/>
    <w:p w14:paraId="54FCE1DA" w14:textId="77777777" w:rsidR="0060553D" w:rsidRDefault="0060553D" w:rsidP="31FF9146"/>
    <w:p w14:paraId="4F72ADA4" w14:textId="77777777" w:rsidR="0060553D" w:rsidRDefault="0060553D" w:rsidP="31FF9146"/>
    <w:p w14:paraId="4EAFBD34" w14:textId="77777777" w:rsidR="0060553D" w:rsidRDefault="0060553D" w:rsidP="31FF9146"/>
    <w:p w14:paraId="71CF0A75" w14:textId="77777777" w:rsidR="0060553D" w:rsidRDefault="0060553D" w:rsidP="31FF9146"/>
    <w:p w14:paraId="1FE2CDEB" w14:textId="77777777" w:rsidR="0060553D" w:rsidRDefault="0060553D" w:rsidP="31FF9146"/>
    <w:p w14:paraId="3F7ACEE8" w14:textId="77777777" w:rsidR="0060553D" w:rsidRDefault="0060553D" w:rsidP="31FF9146"/>
    <w:p w14:paraId="3495E811" w14:textId="77777777" w:rsidR="0060553D" w:rsidRDefault="0060553D" w:rsidP="31FF9146"/>
    <w:p w14:paraId="3449795D" w14:textId="77777777" w:rsidR="0060553D" w:rsidRDefault="0060553D" w:rsidP="31FF9146"/>
    <w:p w14:paraId="2D0BF7E4" w14:textId="77777777" w:rsidR="0060553D" w:rsidRDefault="0060553D" w:rsidP="31FF9146"/>
    <w:p w14:paraId="3AB618C1" w14:textId="77777777" w:rsidR="0060553D" w:rsidRDefault="0060553D" w:rsidP="31FF9146"/>
    <w:p w14:paraId="54E401DB" w14:textId="77777777" w:rsidR="0060553D" w:rsidRDefault="0060553D" w:rsidP="31FF9146"/>
    <w:p w14:paraId="75ABB25D" w14:textId="77777777" w:rsidR="0060553D" w:rsidRDefault="0060553D" w:rsidP="31FF9146"/>
    <w:p w14:paraId="17852799" w14:textId="77777777" w:rsidR="0060553D" w:rsidRDefault="0060553D" w:rsidP="31FF9146"/>
    <w:p w14:paraId="49BA64EC" w14:textId="77777777" w:rsidR="0060553D" w:rsidRDefault="0060553D" w:rsidP="31FF9146"/>
    <w:p w14:paraId="31E16289" w14:textId="77777777" w:rsidR="0060553D" w:rsidRDefault="0060553D" w:rsidP="31FF9146"/>
    <w:p w14:paraId="787574A8" w14:textId="77777777" w:rsidR="0060553D" w:rsidRDefault="0060553D" w:rsidP="31FF9146"/>
    <w:p w14:paraId="42993E25" w14:textId="77777777" w:rsidR="0060553D" w:rsidRDefault="0060553D" w:rsidP="31FF9146"/>
    <w:p w14:paraId="16A4DED9" w14:textId="23AA8CC6" w:rsidR="0060553D" w:rsidRDefault="0060553D" w:rsidP="31FF9146"/>
    <w:p w14:paraId="64FFF0C9" w14:textId="77777777" w:rsidR="0060553D" w:rsidRDefault="00835945" w:rsidP="000A20EE">
      <w:pPr>
        <w:pStyle w:val="Ttulo2"/>
        <w:numPr>
          <w:ilvl w:val="1"/>
          <w:numId w:val="22"/>
        </w:numPr>
        <w:spacing w:line="240" w:lineRule="auto"/>
        <w:jc w:val="left"/>
        <w:rPr>
          <w:sz w:val="22"/>
          <w:szCs w:val="22"/>
        </w:rPr>
      </w:pPr>
      <w:bookmarkStart w:id="156" w:name="_Toc88677060"/>
      <w:r w:rsidRPr="002D2F11">
        <w:rPr>
          <w:sz w:val="22"/>
          <w:szCs w:val="22"/>
        </w:rPr>
        <w:lastRenderedPageBreak/>
        <w:t>SECRETARÍA GENERAL</w:t>
      </w:r>
      <w:bookmarkEnd w:id="156"/>
    </w:p>
    <w:p w14:paraId="69F718DA" w14:textId="22BA0113" w:rsidR="00835945" w:rsidRPr="00553569" w:rsidRDefault="00835945" w:rsidP="00553569">
      <w:pPr>
        <w:pStyle w:val="Prrafodelista"/>
        <w:numPr>
          <w:ilvl w:val="2"/>
          <w:numId w:val="22"/>
        </w:numPr>
        <w:rPr>
          <w:b/>
        </w:rPr>
      </w:pPr>
      <w:r w:rsidRPr="00553569">
        <w:rPr>
          <w:b/>
        </w:rPr>
        <w:t>GENERALIDADES</w:t>
      </w:r>
    </w:p>
    <w:p w14:paraId="47814ABF" w14:textId="061DCC60" w:rsidR="00835945" w:rsidRPr="002D2F11" w:rsidRDefault="00835945" w:rsidP="00553569">
      <w:pPr>
        <w:jc w:val="both"/>
        <w:rPr>
          <w:b/>
          <w:bCs/>
        </w:rPr>
      </w:pPr>
    </w:p>
    <w:p w14:paraId="461D5C46" w14:textId="77777777" w:rsidR="00835945" w:rsidRPr="002D2F11" w:rsidRDefault="00835945" w:rsidP="00835945">
      <w:pPr>
        <w:jc w:val="both"/>
      </w:pPr>
      <w:r w:rsidRPr="31FF9146">
        <w:rPr>
          <w:rFonts w:eastAsia="Arial" w:cs="Arial"/>
          <w:sz w:val="22"/>
          <w:szCs w:val="22"/>
          <w:lang w:val="es"/>
        </w:rPr>
        <w:t xml:space="preserve">La Secretaría General es el área de apoyo transversal del Instituto, que contribuye con el logro de las metas del Plan Nacional de Desarrollo y de los diferentes planes del </w:t>
      </w:r>
      <w:r>
        <w:rPr>
          <w:rFonts w:eastAsia="Arial" w:cs="Arial"/>
          <w:sz w:val="22"/>
          <w:szCs w:val="22"/>
          <w:lang w:val="es"/>
        </w:rPr>
        <w:t>I</w:t>
      </w:r>
      <w:r w:rsidRPr="31FF9146">
        <w:rPr>
          <w:rFonts w:eastAsia="Arial" w:cs="Arial"/>
          <w:sz w:val="22"/>
          <w:szCs w:val="22"/>
          <w:lang w:val="es"/>
        </w:rPr>
        <w:t xml:space="preserve">nstituto y proporciona las herramientas necesarias a los colaboradores del </w:t>
      </w:r>
      <w:r>
        <w:rPr>
          <w:rFonts w:eastAsia="Arial" w:cs="Arial"/>
          <w:sz w:val="22"/>
          <w:szCs w:val="22"/>
          <w:lang w:val="es"/>
        </w:rPr>
        <w:t>I</w:t>
      </w:r>
      <w:r w:rsidRPr="31FF9146">
        <w:rPr>
          <w:rFonts w:eastAsia="Arial" w:cs="Arial"/>
          <w:sz w:val="22"/>
          <w:szCs w:val="22"/>
          <w:lang w:val="es"/>
        </w:rPr>
        <w:t xml:space="preserve">nstituto </w:t>
      </w:r>
      <w:r>
        <w:rPr>
          <w:rFonts w:eastAsia="Arial" w:cs="Arial"/>
          <w:sz w:val="22"/>
          <w:szCs w:val="22"/>
          <w:lang w:val="es"/>
        </w:rPr>
        <w:t>para cumplir con</w:t>
      </w:r>
      <w:r w:rsidRPr="31FF9146">
        <w:rPr>
          <w:rFonts w:eastAsia="Arial" w:cs="Arial"/>
          <w:sz w:val="22"/>
          <w:szCs w:val="22"/>
          <w:lang w:val="es"/>
        </w:rPr>
        <w:t xml:space="preserve"> sus funciones y obligaciones contractuales, en condiciones óptimas.</w:t>
      </w:r>
    </w:p>
    <w:p w14:paraId="6F69CFEE" w14:textId="77777777" w:rsidR="00835945" w:rsidRPr="002D2F11" w:rsidRDefault="00835945" w:rsidP="00835945">
      <w:pPr>
        <w:jc w:val="both"/>
      </w:pPr>
      <w:r w:rsidRPr="31FF9146">
        <w:rPr>
          <w:rFonts w:eastAsia="Arial" w:cs="Arial"/>
          <w:sz w:val="22"/>
          <w:szCs w:val="22"/>
        </w:rPr>
        <w:t xml:space="preserve"> </w:t>
      </w:r>
    </w:p>
    <w:p w14:paraId="495AC9E2" w14:textId="77777777" w:rsidR="00835945" w:rsidRPr="002D2F11" w:rsidRDefault="00835945" w:rsidP="00835945">
      <w:pPr>
        <w:jc w:val="both"/>
      </w:pPr>
      <w:r>
        <w:rPr>
          <w:rFonts w:eastAsia="Arial" w:cs="Arial"/>
          <w:sz w:val="22"/>
          <w:szCs w:val="22"/>
        </w:rPr>
        <w:t>Adicionalmente, asesora al D</w:t>
      </w:r>
      <w:r w:rsidRPr="31FF9146">
        <w:rPr>
          <w:rFonts w:eastAsia="Arial" w:cs="Arial"/>
          <w:sz w:val="22"/>
          <w:szCs w:val="22"/>
        </w:rPr>
        <w:t>irector general en la determinación de las políticas, objetivos y estrategias relacionadas con la admin</w:t>
      </w:r>
      <w:r>
        <w:rPr>
          <w:rFonts w:eastAsia="Arial" w:cs="Arial"/>
          <w:sz w:val="22"/>
          <w:szCs w:val="22"/>
        </w:rPr>
        <w:t>istración de la Entidad y dirige</w:t>
      </w:r>
      <w:r w:rsidRPr="31FF9146">
        <w:rPr>
          <w:rFonts w:eastAsia="Arial" w:cs="Arial"/>
          <w:sz w:val="22"/>
          <w:szCs w:val="22"/>
        </w:rPr>
        <w:t xml:space="preserve"> la ejecución de los programas y actividades relacionadas con los asuntos financieros, servicios administrativos, gestión documental, talento humano, </w:t>
      </w:r>
      <w:r>
        <w:rPr>
          <w:rFonts w:eastAsia="Arial" w:cs="Arial"/>
          <w:sz w:val="22"/>
          <w:szCs w:val="22"/>
        </w:rPr>
        <w:t>gestión contractual</w:t>
      </w:r>
      <w:r w:rsidRPr="31FF9146">
        <w:rPr>
          <w:rFonts w:eastAsia="Arial" w:cs="Arial"/>
          <w:sz w:val="22"/>
          <w:szCs w:val="22"/>
        </w:rPr>
        <w:t xml:space="preserve"> y notificaciones de la entidad.</w:t>
      </w:r>
    </w:p>
    <w:p w14:paraId="3AFFB6A6" w14:textId="77777777" w:rsidR="00835945" w:rsidRPr="002D2F11" w:rsidRDefault="00835945" w:rsidP="00835945">
      <w:pPr>
        <w:spacing w:line="276" w:lineRule="auto"/>
        <w:jc w:val="both"/>
      </w:pPr>
      <w:r w:rsidRPr="31FF9146">
        <w:rPr>
          <w:rFonts w:eastAsia="Arial" w:cs="Arial"/>
          <w:sz w:val="22"/>
          <w:szCs w:val="22"/>
        </w:rPr>
        <w:t xml:space="preserve"> </w:t>
      </w:r>
    </w:p>
    <w:p w14:paraId="7F0EC615" w14:textId="17A8AC35" w:rsidR="00835945" w:rsidRPr="0060553D" w:rsidRDefault="00835945" w:rsidP="000A20EE">
      <w:pPr>
        <w:pStyle w:val="Prrafodelista"/>
        <w:numPr>
          <w:ilvl w:val="3"/>
          <w:numId w:val="22"/>
        </w:numPr>
        <w:spacing w:line="276" w:lineRule="auto"/>
        <w:rPr>
          <w:rFonts w:eastAsia="Arial" w:cs="Arial"/>
          <w:b/>
          <w:bCs/>
          <w:sz w:val="22"/>
          <w:szCs w:val="22"/>
        </w:rPr>
      </w:pPr>
      <w:r w:rsidRPr="0060553D">
        <w:rPr>
          <w:rFonts w:eastAsia="Arial" w:cs="Arial"/>
          <w:b/>
          <w:bCs/>
          <w:sz w:val="22"/>
          <w:szCs w:val="22"/>
        </w:rPr>
        <w:t>PRINCIPALES FUNCIONES</w:t>
      </w:r>
    </w:p>
    <w:p w14:paraId="15592337" w14:textId="77777777" w:rsidR="0060553D" w:rsidRPr="002D2F11" w:rsidRDefault="0060553D" w:rsidP="0060553D">
      <w:pPr>
        <w:pStyle w:val="Prrafodelista"/>
        <w:spacing w:line="276" w:lineRule="auto"/>
        <w:ind w:left="1080"/>
      </w:pPr>
    </w:p>
    <w:p w14:paraId="74D21447" w14:textId="77777777" w:rsidR="00835945" w:rsidRPr="002D2F11" w:rsidRDefault="00835945" w:rsidP="00835945">
      <w:pPr>
        <w:jc w:val="both"/>
      </w:pPr>
      <w:r w:rsidRPr="31FF9146">
        <w:rPr>
          <w:rFonts w:eastAsia="Arial" w:cs="Arial"/>
          <w:sz w:val="22"/>
          <w:szCs w:val="22"/>
        </w:rPr>
        <w:t xml:space="preserve">La Secretaría General tiene adscritas </w:t>
      </w:r>
      <w:r>
        <w:rPr>
          <w:rFonts w:eastAsia="Arial" w:cs="Arial"/>
          <w:sz w:val="22"/>
          <w:szCs w:val="22"/>
        </w:rPr>
        <w:t>las subdirecciones de</w:t>
      </w:r>
      <w:r w:rsidRPr="31FF9146">
        <w:rPr>
          <w:rFonts w:eastAsia="Arial" w:cs="Arial"/>
          <w:sz w:val="22"/>
          <w:szCs w:val="22"/>
        </w:rPr>
        <w:t xml:space="preserve"> Talento Humano y Administrativa y Financiera.</w:t>
      </w:r>
    </w:p>
    <w:p w14:paraId="3A60E35A" w14:textId="77777777" w:rsidR="00835945" w:rsidRPr="002D2F11" w:rsidRDefault="00835945" w:rsidP="00835945">
      <w:pPr>
        <w:jc w:val="both"/>
      </w:pPr>
      <w:r w:rsidRPr="31FF9146">
        <w:rPr>
          <w:rFonts w:eastAsia="Arial" w:cs="Arial"/>
          <w:sz w:val="22"/>
          <w:szCs w:val="22"/>
        </w:rPr>
        <w:t xml:space="preserve"> </w:t>
      </w:r>
    </w:p>
    <w:p w14:paraId="31FEBB67" w14:textId="77777777" w:rsidR="00835945" w:rsidRPr="002D2F11" w:rsidRDefault="00835945" w:rsidP="00835945">
      <w:pPr>
        <w:jc w:val="both"/>
      </w:pPr>
      <w:r w:rsidRPr="31FF9146">
        <w:rPr>
          <w:rFonts w:eastAsia="Arial" w:cs="Arial"/>
          <w:sz w:val="22"/>
          <w:szCs w:val="22"/>
        </w:rPr>
        <w:t>La Subdirección de Talento Humano tiene como funciones apoyar a la Secretaría General en los elementos conceptuales y técnicos necesarios para la formulación de las políticas, planes, programas y estrategias de gestión y proyección del talento humano del instituto, así como diseñar, dirigir, administrar y evaluar los programas de formación, capacitación, incentivos, bienestar, previsión del recurso humano, el plan de seguridad y salud para el trabajo y desarrollo de los servidores públicos de la Entidad, de acuerdo con lo previsto en la ley y en el Plan Nacional de Formación y Capacitación.</w:t>
      </w:r>
    </w:p>
    <w:p w14:paraId="146831BE" w14:textId="77777777" w:rsidR="00835945" w:rsidRPr="002D2F11" w:rsidRDefault="00835945" w:rsidP="00835945">
      <w:pPr>
        <w:jc w:val="both"/>
      </w:pPr>
      <w:r w:rsidRPr="31FF9146">
        <w:rPr>
          <w:rFonts w:eastAsia="Arial" w:cs="Arial"/>
          <w:sz w:val="22"/>
          <w:szCs w:val="22"/>
        </w:rPr>
        <w:t xml:space="preserve"> </w:t>
      </w:r>
    </w:p>
    <w:p w14:paraId="7C48F8E5" w14:textId="77777777" w:rsidR="00835945" w:rsidRPr="002D2F11" w:rsidRDefault="00835945" w:rsidP="00835945">
      <w:pPr>
        <w:jc w:val="both"/>
      </w:pPr>
      <w:r w:rsidRPr="31FF9146">
        <w:rPr>
          <w:rFonts w:eastAsia="Arial" w:cs="Arial"/>
          <w:sz w:val="22"/>
          <w:szCs w:val="22"/>
        </w:rPr>
        <w:t>La Subdirección Administrativa y Financiera tiene como funciones dirigir, organizar y controlar los servicios administrativos necesarios para el funcionamiento de la Entidad, administrar el manejo de los recursos físicos, el almacén y los inventarios de bienes muebles e inmuebles, adicionalmente elabora</w:t>
      </w:r>
      <w:r>
        <w:rPr>
          <w:rFonts w:eastAsia="Arial" w:cs="Arial"/>
          <w:sz w:val="22"/>
          <w:szCs w:val="22"/>
        </w:rPr>
        <w:t>r</w:t>
      </w:r>
      <w:r w:rsidRPr="31FF9146">
        <w:rPr>
          <w:rFonts w:eastAsia="Arial" w:cs="Arial"/>
          <w:sz w:val="22"/>
          <w:szCs w:val="22"/>
        </w:rPr>
        <w:t xml:space="preserve"> y presenta</w:t>
      </w:r>
      <w:r>
        <w:rPr>
          <w:rFonts w:eastAsia="Arial" w:cs="Arial"/>
          <w:sz w:val="22"/>
          <w:szCs w:val="22"/>
        </w:rPr>
        <w:t>r</w:t>
      </w:r>
      <w:r w:rsidRPr="31FF9146">
        <w:rPr>
          <w:rFonts w:eastAsia="Arial" w:cs="Arial"/>
          <w:sz w:val="22"/>
          <w:szCs w:val="22"/>
        </w:rPr>
        <w:t xml:space="preserve"> el Programa Anual de Caja (PAC), de acuerdo con las normas legales vigentes y las políticas establecidas por el Ministerio de Hacienda y Crédito Público, controlar la ejecución del presupuesto, expedir los certificados de disponibilidad presupuestal, los registros presupuestales y efectuar los demás trámites presupuestales que le correspondan para el desarrollo de las funciones del </w:t>
      </w:r>
      <w:r>
        <w:rPr>
          <w:rFonts w:eastAsia="Arial" w:cs="Arial"/>
          <w:sz w:val="22"/>
          <w:szCs w:val="22"/>
        </w:rPr>
        <w:t>I</w:t>
      </w:r>
      <w:r w:rsidRPr="31FF9146">
        <w:rPr>
          <w:rFonts w:eastAsia="Arial" w:cs="Arial"/>
          <w:sz w:val="22"/>
          <w:szCs w:val="22"/>
        </w:rPr>
        <w:t>nstituto, de conformidad con las normas que lo reglamenten, por otro parte se adelanta la gestión precontractual, contractual y postcontractual, garantizando que se ajusten al marco legal de la contratación y los planes, programas y proyectos de la entidad, ejecutar los programas del sistema de gestión ambiental establecido por la Entidad,  por último, coordinar la planeación, ejecución, control y seguimiento de la gestión documental de la entidad, garantizando la correcta prestación de los servicios de correspondencia y archivo, de conformidad con las normas aplicables y los lineamientos impartidos por el Archivo General de la Nación, entre otras.</w:t>
      </w:r>
    </w:p>
    <w:p w14:paraId="16817636" w14:textId="77777777" w:rsidR="00835945" w:rsidRPr="002D2F11" w:rsidRDefault="00835945" w:rsidP="00835945">
      <w:pPr>
        <w:jc w:val="both"/>
      </w:pPr>
      <w:r w:rsidRPr="31FF9146">
        <w:rPr>
          <w:rFonts w:eastAsia="Arial" w:cs="Arial"/>
          <w:sz w:val="22"/>
          <w:szCs w:val="22"/>
        </w:rPr>
        <w:t xml:space="preserve"> </w:t>
      </w:r>
    </w:p>
    <w:p w14:paraId="7FA0A365" w14:textId="77777777" w:rsidR="00835945" w:rsidRDefault="00835945" w:rsidP="00835945">
      <w:pPr>
        <w:jc w:val="both"/>
        <w:rPr>
          <w:rFonts w:eastAsia="Arial" w:cs="Arial"/>
          <w:sz w:val="22"/>
          <w:szCs w:val="22"/>
        </w:rPr>
      </w:pPr>
      <w:r w:rsidRPr="31FF9146">
        <w:rPr>
          <w:rFonts w:eastAsia="Arial" w:cs="Arial"/>
          <w:sz w:val="22"/>
          <w:szCs w:val="22"/>
        </w:rPr>
        <w:t xml:space="preserve">Es importante mencionar que mediante la Resolución 1095 de 2021 fueron creados dos Grupos Internos de Trabajo de Contabilidad y de Gestión Contractual los cuales se requerían </w:t>
      </w:r>
      <w:r>
        <w:rPr>
          <w:rFonts w:eastAsia="Arial" w:cs="Arial"/>
          <w:sz w:val="22"/>
          <w:szCs w:val="22"/>
        </w:rPr>
        <w:t>considerando</w:t>
      </w:r>
      <w:r w:rsidRPr="31FF9146">
        <w:rPr>
          <w:rFonts w:eastAsia="Arial" w:cs="Arial"/>
          <w:sz w:val="22"/>
          <w:szCs w:val="22"/>
        </w:rPr>
        <w:t xml:space="preserve"> los procesos que tienen a cargo y que conlleva</w:t>
      </w:r>
      <w:r>
        <w:rPr>
          <w:rFonts w:eastAsia="Arial" w:cs="Arial"/>
          <w:sz w:val="22"/>
          <w:szCs w:val="22"/>
        </w:rPr>
        <w:t>ba una organización que brindará</w:t>
      </w:r>
      <w:r w:rsidRPr="31FF9146">
        <w:rPr>
          <w:rFonts w:eastAsia="Arial" w:cs="Arial"/>
          <w:sz w:val="22"/>
          <w:szCs w:val="22"/>
        </w:rPr>
        <w:t xml:space="preserve"> seguridad y eficiencia para el apoyo necesario a las diferentes áreas del instituto.</w:t>
      </w:r>
    </w:p>
    <w:p w14:paraId="46D50104" w14:textId="77777777" w:rsidR="00415750" w:rsidRDefault="00415750" w:rsidP="00835945">
      <w:pPr>
        <w:jc w:val="both"/>
      </w:pPr>
    </w:p>
    <w:p w14:paraId="1B5D7CE2" w14:textId="77777777" w:rsidR="00415750" w:rsidRDefault="00415750" w:rsidP="00835945">
      <w:pPr>
        <w:jc w:val="both"/>
      </w:pPr>
    </w:p>
    <w:p w14:paraId="72D7044E" w14:textId="77777777" w:rsidR="00415750" w:rsidRPr="002D2F11" w:rsidRDefault="00415750" w:rsidP="00835945">
      <w:pPr>
        <w:jc w:val="both"/>
      </w:pPr>
    </w:p>
    <w:p w14:paraId="651C2201" w14:textId="29B577AC" w:rsidR="00415750" w:rsidRPr="00415750" w:rsidRDefault="00835945" w:rsidP="000A20EE">
      <w:pPr>
        <w:pStyle w:val="Prrafodelista"/>
        <w:numPr>
          <w:ilvl w:val="3"/>
          <w:numId w:val="22"/>
        </w:numPr>
        <w:spacing w:line="276" w:lineRule="auto"/>
        <w:rPr>
          <w:rFonts w:eastAsia="Arial" w:cs="Arial"/>
          <w:b/>
          <w:bCs/>
          <w:sz w:val="22"/>
          <w:szCs w:val="22"/>
          <w:lang w:val="es"/>
        </w:rPr>
      </w:pPr>
      <w:r w:rsidRPr="00415750">
        <w:rPr>
          <w:rFonts w:eastAsia="Arial" w:cs="Arial"/>
          <w:b/>
          <w:bCs/>
          <w:sz w:val="22"/>
          <w:szCs w:val="22"/>
          <w:lang w:val="es"/>
        </w:rPr>
        <w:t>ESTRUCTURA FUNCIONAL DE LA SECRETARÍA GENERAL</w:t>
      </w:r>
    </w:p>
    <w:p w14:paraId="4A53E707" w14:textId="31BCDC00" w:rsidR="00835945" w:rsidRPr="002D2F11" w:rsidRDefault="00835945" w:rsidP="00835945">
      <w:pPr>
        <w:spacing w:line="276" w:lineRule="auto"/>
        <w:jc w:val="both"/>
        <w:rPr>
          <w:b/>
          <w:bCs/>
          <w:lang w:val="es"/>
        </w:rPr>
      </w:pPr>
    </w:p>
    <w:p w14:paraId="0FD2E3BE" w14:textId="586B48CB" w:rsidR="009C3071" w:rsidRPr="009C3071" w:rsidRDefault="00835945" w:rsidP="009C3071">
      <w:pPr>
        <w:jc w:val="both"/>
        <w:rPr>
          <w:b/>
          <w:bCs/>
          <w:sz w:val="22"/>
          <w:szCs w:val="22"/>
        </w:rPr>
      </w:pPr>
      <w:r w:rsidRPr="00B443A2">
        <w:rPr>
          <w:b/>
          <w:bCs/>
          <w:sz w:val="22"/>
          <w:szCs w:val="22"/>
        </w:rPr>
        <w:t>SUBDIRECCIÓN DE TALENTO HUMANO</w:t>
      </w:r>
    </w:p>
    <w:p w14:paraId="5168B406" w14:textId="77777777" w:rsidR="003B3B3F" w:rsidRPr="003B3B3F" w:rsidRDefault="003B3B3F" w:rsidP="003B3B3F">
      <w:pPr>
        <w:jc w:val="both"/>
        <w:rPr>
          <w:b/>
          <w:bCs/>
          <w:sz w:val="22"/>
          <w:szCs w:val="22"/>
        </w:rPr>
      </w:pPr>
    </w:p>
    <w:p w14:paraId="2877AE97" w14:textId="3BD3769F" w:rsidR="00835945" w:rsidRPr="00AA1678" w:rsidRDefault="00AA1678" w:rsidP="00AA1678">
      <w:pPr>
        <w:pStyle w:val="Descripcin"/>
        <w:jc w:val="center"/>
        <w:rPr>
          <w:rFonts w:ascii="Arial" w:hAnsi="Arial" w:cs="Arial"/>
          <w:b/>
          <w:i w:val="0"/>
          <w:color w:val="auto"/>
          <w:sz w:val="16"/>
          <w:szCs w:val="16"/>
        </w:rPr>
      </w:pPr>
      <w:bookmarkStart w:id="157" w:name="_Toc88677198"/>
      <w:r w:rsidRPr="00AA1678">
        <w:rPr>
          <w:rFonts w:ascii="Arial" w:hAnsi="Arial" w:cs="Arial"/>
          <w:b/>
          <w:i w:val="0"/>
          <w:color w:val="auto"/>
          <w:sz w:val="16"/>
          <w:szCs w:val="16"/>
        </w:rPr>
        <w:t xml:space="preserve">Ilustración </w:t>
      </w:r>
      <w:r w:rsidRPr="00AA1678">
        <w:rPr>
          <w:rFonts w:ascii="Arial" w:hAnsi="Arial" w:cs="Arial"/>
          <w:b/>
          <w:i w:val="0"/>
          <w:color w:val="auto"/>
          <w:sz w:val="16"/>
          <w:szCs w:val="16"/>
        </w:rPr>
        <w:fldChar w:fldCharType="begin"/>
      </w:r>
      <w:r w:rsidRPr="00AA1678">
        <w:rPr>
          <w:rFonts w:ascii="Arial" w:hAnsi="Arial" w:cs="Arial"/>
          <w:b/>
          <w:i w:val="0"/>
          <w:color w:val="auto"/>
          <w:sz w:val="16"/>
          <w:szCs w:val="16"/>
        </w:rPr>
        <w:instrText xml:space="preserve"> SEQ Ilustración \* ARABIC </w:instrText>
      </w:r>
      <w:r w:rsidRPr="00AA1678">
        <w:rPr>
          <w:rFonts w:ascii="Arial" w:hAnsi="Arial" w:cs="Arial"/>
          <w:b/>
          <w:i w:val="0"/>
          <w:color w:val="auto"/>
          <w:sz w:val="16"/>
          <w:szCs w:val="16"/>
        </w:rPr>
        <w:fldChar w:fldCharType="separate"/>
      </w:r>
      <w:r w:rsidR="005D5B0E">
        <w:rPr>
          <w:rFonts w:ascii="Arial" w:hAnsi="Arial" w:cs="Arial"/>
          <w:b/>
          <w:i w:val="0"/>
          <w:noProof/>
          <w:color w:val="auto"/>
          <w:sz w:val="16"/>
          <w:szCs w:val="16"/>
        </w:rPr>
        <w:t>42</w:t>
      </w:r>
      <w:r w:rsidRPr="00AA1678">
        <w:rPr>
          <w:rFonts w:ascii="Arial" w:hAnsi="Arial" w:cs="Arial"/>
          <w:b/>
          <w:i w:val="0"/>
          <w:color w:val="auto"/>
          <w:sz w:val="16"/>
          <w:szCs w:val="16"/>
        </w:rPr>
        <w:fldChar w:fldCharType="end"/>
      </w:r>
      <w:r w:rsidRPr="00AA1678">
        <w:rPr>
          <w:rFonts w:ascii="Arial" w:hAnsi="Arial" w:cs="Arial"/>
          <w:b/>
          <w:i w:val="0"/>
          <w:color w:val="auto"/>
          <w:sz w:val="16"/>
          <w:szCs w:val="16"/>
        </w:rPr>
        <w:t>. Estructura funcional subdirección de talento humano.</w:t>
      </w:r>
      <w:bookmarkEnd w:id="157"/>
    </w:p>
    <w:p w14:paraId="1271A409" w14:textId="77777777" w:rsidR="00835945" w:rsidRPr="002D2F11" w:rsidRDefault="00835945" w:rsidP="00835945">
      <w:pPr>
        <w:ind w:firstLine="236"/>
        <w:jc w:val="both"/>
      </w:pPr>
      <w:r>
        <w:rPr>
          <w:noProof/>
          <w:lang w:val="es-CO" w:eastAsia="es-CO"/>
        </w:rPr>
        <w:drawing>
          <wp:inline distT="0" distB="0" distL="0" distR="0" wp14:anchorId="2ACFDCBF" wp14:editId="0354672E">
            <wp:extent cx="5729592" cy="2900606"/>
            <wp:effectExtent l="0" t="0" r="0" b="0"/>
            <wp:docPr id="1411336878" name="Imagen 1411336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1">
                      <a:extLst>
                        <a:ext uri="{28A0092B-C50C-407E-A947-70E740481C1C}">
                          <a14:useLocalDpi xmlns:a14="http://schemas.microsoft.com/office/drawing/2010/main" val="0"/>
                        </a:ext>
                      </a:extLst>
                    </a:blip>
                    <a:stretch>
                      <a:fillRect/>
                    </a:stretch>
                  </pic:blipFill>
                  <pic:spPr>
                    <a:xfrm>
                      <a:off x="0" y="0"/>
                      <a:ext cx="5729592" cy="2900606"/>
                    </a:xfrm>
                    <a:prstGeom prst="rect">
                      <a:avLst/>
                    </a:prstGeom>
                  </pic:spPr>
                </pic:pic>
              </a:graphicData>
            </a:graphic>
          </wp:inline>
        </w:drawing>
      </w:r>
    </w:p>
    <w:p w14:paraId="2CAEA432" w14:textId="77777777" w:rsidR="00835945" w:rsidRPr="002D2F11" w:rsidRDefault="00835945" w:rsidP="00835945">
      <w:pPr>
        <w:jc w:val="both"/>
      </w:pPr>
    </w:p>
    <w:p w14:paraId="42DDCB1C" w14:textId="77777777" w:rsidR="00835945" w:rsidRPr="001E5F34" w:rsidRDefault="00835945" w:rsidP="00835945">
      <w:pPr>
        <w:pStyle w:val="Lista"/>
        <w:jc w:val="center"/>
        <w:rPr>
          <w:rFonts w:cs="Arial"/>
          <w:b/>
          <w:sz w:val="16"/>
          <w:szCs w:val="16"/>
        </w:rPr>
      </w:pPr>
      <w:r w:rsidRPr="001E5F34">
        <w:rPr>
          <w:rFonts w:cs="Arial"/>
          <w:b/>
          <w:sz w:val="16"/>
          <w:szCs w:val="16"/>
        </w:rPr>
        <w:t>Fuente: Subdirección de talento humano</w:t>
      </w:r>
    </w:p>
    <w:p w14:paraId="2947921A" w14:textId="5ACD1F0D" w:rsidR="00835945" w:rsidRPr="002347E3" w:rsidRDefault="00835945" w:rsidP="00835945">
      <w:pPr>
        <w:pStyle w:val="Lista"/>
        <w:jc w:val="center"/>
        <w:rPr>
          <w:rFonts w:cs="Arial"/>
          <w:sz w:val="16"/>
          <w:szCs w:val="16"/>
        </w:rPr>
      </w:pPr>
    </w:p>
    <w:p w14:paraId="51C5CCCF" w14:textId="0A2D09B9" w:rsidR="00835945" w:rsidRDefault="00835945" w:rsidP="00835945">
      <w:pPr>
        <w:pStyle w:val="Lista"/>
        <w:rPr>
          <w:rFonts w:cs="Arial"/>
          <w:sz w:val="22"/>
          <w:szCs w:val="22"/>
        </w:rPr>
      </w:pPr>
    </w:p>
    <w:p w14:paraId="2C4F00A9" w14:textId="7B273739" w:rsidR="0015111A" w:rsidRDefault="00835945" w:rsidP="0015111A">
      <w:pPr>
        <w:jc w:val="both"/>
        <w:rPr>
          <w:b/>
          <w:bCs/>
          <w:sz w:val="22"/>
          <w:szCs w:val="22"/>
        </w:rPr>
      </w:pPr>
      <w:r w:rsidRPr="00C260BC">
        <w:rPr>
          <w:b/>
          <w:bCs/>
          <w:sz w:val="22"/>
          <w:szCs w:val="22"/>
        </w:rPr>
        <w:t>SUBDIRECCIÓN ADMINISTRATIVA Y FINANCIERA</w:t>
      </w:r>
    </w:p>
    <w:p w14:paraId="3F295C0D" w14:textId="77777777" w:rsidR="00CB53C0" w:rsidRPr="0015111A" w:rsidRDefault="00CB53C0" w:rsidP="0015111A">
      <w:pPr>
        <w:jc w:val="both"/>
        <w:rPr>
          <w:b/>
          <w:bCs/>
          <w:sz w:val="22"/>
          <w:szCs w:val="22"/>
        </w:rPr>
      </w:pPr>
    </w:p>
    <w:p w14:paraId="5DFAB9A0" w14:textId="431D6ACE" w:rsidR="00AA1678" w:rsidRPr="001E5F34" w:rsidRDefault="00AA1678" w:rsidP="001E5F34">
      <w:pPr>
        <w:pStyle w:val="Descripcin"/>
        <w:jc w:val="center"/>
        <w:rPr>
          <w:rFonts w:ascii="Arial" w:hAnsi="Arial" w:cs="Arial"/>
          <w:b/>
          <w:bCs/>
          <w:i w:val="0"/>
          <w:color w:val="auto"/>
          <w:sz w:val="20"/>
          <w:szCs w:val="22"/>
        </w:rPr>
      </w:pPr>
      <w:bookmarkStart w:id="158" w:name="_Toc88677199"/>
      <w:r w:rsidRPr="001E5F34">
        <w:rPr>
          <w:rFonts w:ascii="Arial" w:hAnsi="Arial" w:cs="Arial"/>
          <w:b/>
          <w:i w:val="0"/>
          <w:color w:val="auto"/>
          <w:sz w:val="16"/>
        </w:rPr>
        <w:t xml:space="preserve">Ilustración </w:t>
      </w:r>
      <w:r w:rsidRPr="001E5F34">
        <w:rPr>
          <w:rFonts w:ascii="Arial" w:hAnsi="Arial" w:cs="Arial"/>
          <w:b/>
          <w:i w:val="0"/>
          <w:color w:val="auto"/>
          <w:sz w:val="16"/>
        </w:rPr>
        <w:fldChar w:fldCharType="begin"/>
      </w:r>
      <w:r w:rsidRPr="001E5F34">
        <w:rPr>
          <w:rFonts w:ascii="Arial" w:hAnsi="Arial" w:cs="Arial"/>
          <w:b/>
          <w:i w:val="0"/>
          <w:color w:val="auto"/>
          <w:sz w:val="16"/>
        </w:rPr>
        <w:instrText xml:space="preserve"> SEQ Ilustración \* ARABIC </w:instrText>
      </w:r>
      <w:r w:rsidRPr="001E5F34">
        <w:rPr>
          <w:rFonts w:ascii="Arial" w:hAnsi="Arial" w:cs="Arial"/>
          <w:b/>
          <w:i w:val="0"/>
          <w:color w:val="auto"/>
          <w:sz w:val="16"/>
        </w:rPr>
        <w:fldChar w:fldCharType="separate"/>
      </w:r>
      <w:r w:rsidR="005D5B0E">
        <w:rPr>
          <w:rFonts w:ascii="Arial" w:hAnsi="Arial" w:cs="Arial"/>
          <w:b/>
          <w:i w:val="0"/>
          <w:noProof/>
          <w:color w:val="auto"/>
          <w:sz w:val="16"/>
        </w:rPr>
        <w:t>43</w:t>
      </w:r>
      <w:r w:rsidRPr="001E5F34">
        <w:rPr>
          <w:rFonts w:ascii="Arial" w:hAnsi="Arial" w:cs="Arial"/>
          <w:b/>
          <w:i w:val="0"/>
          <w:color w:val="auto"/>
          <w:sz w:val="16"/>
        </w:rPr>
        <w:fldChar w:fldCharType="end"/>
      </w:r>
      <w:r w:rsidRPr="001E5F34">
        <w:rPr>
          <w:rFonts w:ascii="Arial" w:hAnsi="Arial" w:cs="Arial"/>
          <w:b/>
          <w:i w:val="0"/>
          <w:color w:val="auto"/>
          <w:sz w:val="16"/>
        </w:rPr>
        <w:t>. Estructura funcional subdirección administrativa y financiera</w:t>
      </w:r>
      <w:bookmarkEnd w:id="158"/>
    </w:p>
    <w:p w14:paraId="6DD9169A" w14:textId="77777777" w:rsidR="00835945" w:rsidRDefault="00835945" w:rsidP="00835945">
      <w:pPr>
        <w:jc w:val="both"/>
      </w:pPr>
      <w:r>
        <w:rPr>
          <w:noProof/>
          <w:lang w:val="es-CO" w:eastAsia="es-CO"/>
        </w:rPr>
        <w:drawing>
          <wp:inline distT="0" distB="0" distL="0" distR="0" wp14:anchorId="5806F061" wp14:editId="1D409A93">
            <wp:extent cx="5851505" cy="3023278"/>
            <wp:effectExtent l="0" t="0" r="0" b="0"/>
            <wp:docPr id="1163113237" name="Imagen 1163113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2">
                      <a:extLst>
                        <a:ext uri="{28A0092B-C50C-407E-A947-70E740481C1C}">
                          <a14:useLocalDpi xmlns:a14="http://schemas.microsoft.com/office/drawing/2010/main" val="0"/>
                        </a:ext>
                      </a:extLst>
                    </a:blip>
                    <a:stretch>
                      <a:fillRect/>
                    </a:stretch>
                  </pic:blipFill>
                  <pic:spPr>
                    <a:xfrm>
                      <a:off x="0" y="0"/>
                      <a:ext cx="5851505" cy="3023278"/>
                    </a:xfrm>
                    <a:prstGeom prst="rect">
                      <a:avLst/>
                    </a:prstGeom>
                  </pic:spPr>
                </pic:pic>
              </a:graphicData>
            </a:graphic>
          </wp:inline>
        </w:drawing>
      </w:r>
    </w:p>
    <w:p w14:paraId="3EBB6569" w14:textId="0478B9DC" w:rsidR="00835945" w:rsidRPr="00CB53C0" w:rsidRDefault="00835945" w:rsidP="00CB53C0">
      <w:pPr>
        <w:jc w:val="center"/>
        <w:rPr>
          <w:rFonts w:eastAsia="Calibri" w:cs="Arial"/>
          <w:b/>
          <w:sz w:val="16"/>
          <w:szCs w:val="16"/>
        </w:rPr>
      </w:pPr>
      <w:r w:rsidRPr="00CB53C0">
        <w:rPr>
          <w:rFonts w:cs="Arial"/>
          <w:b/>
          <w:sz w:val="16"/>
          <w:szCs w:val="16"/>
        </w:rPr>
        <w:t>Fuente: Subdirección administrativa y financiera</w:t>
      </w:r>
    </w:p>
    <w:p w14:paraId="787C9999" w14:textId="7DF10BAB" w:rsidR="00CB53C0" w:rsidRPr="00CB53C0" w:rsidRDefault="00835945" w:rsidP="006679CF">
      <w:pPr>
        <w:pStyle w:val="Prrafodelista"/>
        <w:rPr>
          <w:rFonts w:eastAsia="Arial" w:cs="Arial"/>
          <w:b/>
          <w:bCs/>
          <w:sz w:val="22"/>
          <w:szCs w:val="22"/>
          <w:lang w:val="es"/>
        </w:rPr>
      </w:pPr>
      <w:r w:rsidRPr="31FF9146">
        <w:rPr>
          <w:rFonts w:eastAsia="Arial" w:cs="Arial"/>
          <w:b/>
          <w:bCs/>
          <w:sz w:val="22"/>
          <w:szCs w:val="22"/>
          <w:lang w:val="es"/>
        </w:rPr>
        <w:t xml:space="preserve">4.6.1.2.1 EQUIPO Y ROLES: </w:t>
      </w:r>
    </w:p>
    <w:p w14:paraId="43974F3F" w14:textId="4FA699AC" w:rsidR="00835945" w:rsidRDefault="00835945" w:rsidP="00835945">
      <w:pPr>
        <w:jc w:val="both"/>
      </w:pPr>
    </w:p>
    <w:tbl>
      <w:tblPr>
        <w:tblStyle w:val="Tabladecuadrcula4-nfasis1"/>
        <w:tblW w:w="9360" w:type="dxa"/>
        <w:tblLayout w:type="fixed"/>
        <w:tblLook w:val="04A0" w:firstRow="1" w:lastRow="0" w:firstColumn="1" w:lastColumn="0" w:noHBand="0" w:noVBand="1"/>
      </w:tblPr>
      <w:tblGrid>
        <w:gridCol w:w="1358"/>
        <w:gridCol w:w="1811"/>
        <w:gridCol w:w="4191"/>
        <w:gridCol w:w="2000"/>
      </w:tblGrid>
      <w:tr w:rsidR="00835945" w:rsidRPr="0021307D" w14:paraId="31539324" w14:textId="77777777" w:rsidTr="00A6302C">
        <w:trPr>
          <w:cnfStyle w:val="100000000000" w:firstRow="1" w:lastRow="0" w:firstColumn="0" w:lastColumn="0" w:oddVBand="0" w:evenVBand="0" w:oddHBand="0" w:evenHBand="0" w:firstRowFirstColumn="0" w:firstRowLastColumn="0" w:lastRowFirstColumn="0" w:lastRowLastColumn="0"/>
          <w:trHeight w:val="574"/>
          <w:tblHeader/>
        </w:trPr>
        <w:tc>
          <w:tcPr>
            <w:cnfStyle w:val="001000000000" w:firstRow="0" w:lastRow="0" w:firstColumn="1" w:lastColumn="0" w:oddVBand="0" w:evenVBand="0" w:oddHBand="0" w:evenHBand="0" w:firstRowFirstColumn="0" w:firstRowLastColumn="0" w:lastRowFirstColumn="0" w:lastRowLastColumn="0"/>
            <w:tcW w:w="1358" w:type="dxa"/>
          </w:tcPr>
          <w:p w14:paraId="1EC7F7CF" w14:textId="77777777" w:rsidR="00835945" w:rsidRPr="0021307D" w:rsidRDefault="00835945" w:rsidP="00A6302C">
            <w:pPr>
              <w:spacing w:line="276" w:lineRule="auto"/>
              <w:jc w:val="center"/>
            </w:pPr>
            <w:r w:rsidRPr="0021307D">
              <w:rPr>
                <w:rFonts w:eastAsia="Arial" w:cs="Arial"/>
                <w:bCs w:val="0"/>
                <w:sz w:val="22"/>
                <w:szCs w:val="22"/>
                <w:lang w:val="es-MX"/>
              </w:rPr>
              <w:t>Cant.</w:t>
            </w:r>
          </w:p>
        </w:tc>
        <w:tc>
          <w:tcPr>
            <w:tcW w:w="1811" w:type="dxa"/>
          </w:tcPr>
          <w:p w14:paraId="787A8475" w14:textId="77777777" w:rsidR="00835945" w:rsidRPr="0021307D" w:rsidRDefault="00835945" w:rsidP="00A6302C">
            <w:pPr>
              <w:spacing w:line="276" w:lineRule="auto"/>
              <w:jc w:val="center"/>
              <w:cnfStyle w:val="100000000000" w:firstRow="1" w:lastRow="0" w:firstColumn="0" w:lastColumn="0" w:oddVBand="0" w:evenVBand="0" w:oddHBand="0" w:evenHBand="0" w:firstRowFirstColumn="0" w:firstRowLastColumn="0" w:lastRowFirstColumn="0" w:lastRowLastColumn="0"/>
            </w:pPr>
            <w:r w:rsidRPr="0021307D">
              <w:rPr>
                <w:rFonts w:eastAsia="Arial" w:cs="Arial"/>
                <w:bCs w:val="0"/>
                <w:sz w:val="22"/>
                <w:szCs w:val="22"/>
                <w:lang w:val="es-MX"/>
              </w:rPr>
              <w:t>Funcionario y/o Contratista</w:t>
            </w:r>
          </w:p>
        </w:tc>
        <w:tc>
          <w:tcPr>
            <w:tcW w:w="4191" w:type="dxa"/>
          </w:tcPr>
          <w:p w14:paraId="0F38688E" w14:textId="77777777" w:rsidR="00835945" w:rsidRPr="0021307D" w:rsidRDefault="00835945" w:rsidP="00A6302C">
            <w:pPr>
              <w:spacing w:line="276" w:lineRule="auto"/>
              <w:jc w:val="center"/>
              <w:cnfStyle w:val="100000000000" w:firstRow="1" w:lastRow="0" w:firstColumn="0" w:lastColumn="0" w:oddVBand="0" w:evenVBand="0" w:oddHBand="0" w:evenHBand="0" w:firstRowFirstColumn="0" w:firstRowLastColumn="0" w:lastRowFirstColumn="0" w:lastRowLastColumn="0"/>
            </w:pPr>
            <w:r w:rsidRPr="0021307D">
              <w:rPr>
                <w:rFonts w:eastAsia="Arial" w:cs="Arial"/>
                <w:bCs w:val="0"/>
                <w:sz w:val="22"/>
                <w:szCs w:val="22"/>
                <w:lang w:val="es-MX"/>
              </w:rPr>
              <w:t>Rol</w:t>
            </w:r>
          </w:p>
        </w:tc>
        <w:tc>
          <w:tcPr>
            <w:tcW w:w="2000" w:type="dxa"/>
          </w:tcPr>
          <w:p w14:paraId="020FC05E" w14:textId="77777777" w:rsidR="00835945" w:rsidRPr="0021307D" w:rsidRDefault="00835945" w:rsidP="00A6302C">
            <w:pPr>
              <w:spacing w:line="276" w:lineRule="auto"/>
              <w:jc w:val="center"/>
              <w:cnfStyle w:val="100000000000" w:firstRow="1" w:lastRow="0" w:firstColumn="0" w:lastColumn="0" w:oddVBand="0" w:evenVBand="0" w:oddHBand="0" w:evenHBand="0" w:firstRowFirstColumn="0" w:firstRowLastColumn="0" w:lastRowFirstColumn="0" w:lastRowLastColumn="0"/>
            </w:pPr>
            <w:r w:rsidRPr="0021307D">
              <w:rPr>
                <w:rFonts w:eastAsia="Arial" w:cs="Arial"/>
                <w:bCs w:val="0"/>
                <w:sz w:val="22"/>
                <w:szCs w:val="22"/>
                <w:lang w:val="es-MX"/>
              </w:rPr>
              <w:t>Subproceso</w:t>
            </w:r>
          </w:p>
        </w:tc>
      </w:tr>
      <w:tr w:rsidR="00835945" w:rsidRPr="0021307D" w14:paraId="40555A9E" w14:textId="77777777" w:rsidTr="00A6302C">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360" w:type="dxa"/>
            <w:gridSpan w:val="4"/>
          </w:tcPr>
          <w:p w14:paraId="6E40A05F" w14:textId="77777777" w:rsidR="00835945" w:rsidRPr="00526B1C" w:rsidRDefault="00835945" w:rsidP="00A6302C">
            <w:pPr>
              <w:jc w:val="center"/>
            </w:pPr>
            <w:r w:rsidRPr="00526B1C">
              <w:rPr>
                <w:rFonts w:eastAsia="Arial" w:cs="Arial"/>
                <w:bCs w:val="0"/>
                <w:sz w:val="22"/>
                <w:szCs w:val="22"/>
              </w:rPr>
              <w:t>Proceso de Gestión Financiera</w:t>
            </w:r>
          </w:p>
        </w:tc>
      </w:tr>
      <w:tr w:rsidR="00835945" w:rsidRPr="0021307D" w14:paraId="334CB46A"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25822DDA"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0E25BE7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Profesional Especializado </w:t>
            </w:r>
          </w:p>
        </w:tc>
        <w:tc>
          <w:tcPr>
            <w:tcW w:w="4191" w:type="dxa"/>
          </w:tcPr>
          <w:p w14:paraId="5909A76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Cumple con la expedición de registros presupuestales, cargue en el SECOP de los mismos y masivo de aportes parafiscales, registro de terceros y cuentas bancarias.</w:t>
            </w:r>
          </w:p>
        </w:tc>
        <w:tc>
          <w:tcPr>
            <w:tcW w:w="2000" w:type="dxa"/>
            <w:vAlign w:val="center"/>
          </w:tcPr>
          <w:p w14:paraId="626762F8"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Presupuesto</w:t>
            </w:r>
          </w:p>
        </w:tc>
      </w:tr>
      <w:tr w:rsidR="00835945" w:rsidRPr="0021307D" w14:paraId="7E8E1745"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20B204B3"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686B17B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Profesional Especializado </w:t>
            </w:r>
          </w:p>
        </w:tc>
        <w:tc>
          <w:tcPr>
            <w:tcW w:w="4191" w:type="dxa"/>
          </w:tcPr>
          <w:p w14:paraId="6F7A061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Genera informes presupuestales, realiza los acuerdos de traslados al interior de la unidad ejecutora, plan de acción y seguimiento de riesgos, apoyo a las territoriales.  </w:t>
            </w:r>
          </w:p>
        </w:tc>
        <w:tc>
          <w:tcPr>
            <w:tcW w:w="2000" w:type="dxa"/>
            <w:vAlign w:val="center"/>
          </w:tcPr>
          <w:p w14:paraId="3748CA85"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Presupuesto</w:t>
            </w:r>
          </w:p>
        </w:tc>
      </w:tr>
      <w:tr w:rsidR="00835945" w:rsidRPr="0021307D" w14:paraId="7F0D2004"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tcPr>
          <w:p w14:paraId="2C1FB2CB"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571AF1F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Técnico</w:t>
            </w:r>
          </w:p>
        </w:tc>
        <w:tc>
          <w:tcPr>
            <w:tcW w:w="4191" w:type="dxa"/>
          </w:tcPr>
          <w:p w14:paraId="3FC21B0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 el proceso de archivo según las TRD, procede con la recepción y radicación de documentos en SIGAC</w:t>
            </w:r>
          </w:p>
        </w:tc>
        <w:tc>
          <w:tcPr>
            <w:tcW w:w="2000" w:type="dxa"/>
            <w:vAlign w:val="center"/>
          </w:tcPr>
          <w:p w14:paraId="1493A427"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Presupuesto</w:t>
            </w:r>
          </w:p>
        </w:tc>
      </w:tr>
      <w:tr w:rsidR="00835945" w:rsidRPr="0021307D" w14:paraId="74310B91"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35922DF8"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43FA47F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73A732B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Efectúa la elaboración de los traslados presupuestales internos, endosos y los CDP´S solicitados por las áreas, apoyo a las territoriales y asesoría</w:t>
            </w:r>
          </w:p>
        </w:tc>
        <w:tc>
          <w:tcPr>
            <w:tcW w:w="2000" w:type="dxa"/>
            <w:vAlign w:val="center"/>
          </w:tcPr>
          <w:p w14:paraId="70512623"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Presupuesto</w:t>
            </w:r>
          </w:p>
        </w:tc>
      </w:tr>
      <w:tr w:rsidR="00835945" w:rsidRPr="0021307D" w14:paraId="59B7F1D1" w14:textId="77777777" w:rsidTr="00A6302C">
        <w:trPr>
          <w:trHeight w:val="2295"/>
        </w:trPr>
        <w:tc>
          <w:tcPr>
            <w:cnfStyle w:val="001000000000" w:firstRow="0" w:lastRow="0" w:firstColumn="1" w:lastColumn="0" w:oddVBand="0" w:evenVBand="0" w:oddHBand="0" w:evenHBand="0" w:firstRowFirstColumn="0" w:firstRowLastColumn="0" w:lastRowFirstColumn="0" w:lastRowLastColumn="0"/>
            <w:tcW w:w="1358" w:type="dxa"/>
          </w:tcPr>
          <w:p w14:paraId="1895A773"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40459E4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Profesional Especializado </w:t>
            </w:r>
          </w:p>
        </w:tc>
        <w:tc>
          <w:tcPr>
            <w:tcW w:w="4191" w:type="dxa"/>
          </w:tcPr>
          <w:p w14:paraId="49D6BA4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Emite los estados financieros, reportes a entidades de vigilancia y control (Contraloría General de la República, Contaduría General de la Nación), presenta las Declaraciones de Impuestos Nacionales, y las declaraciones de impuestos distritales ICA y Reteica de la Sede Central. Realiza labores administrativas de Coordinación del Grupo de Contabilidad.</w:t>
            </w:r>
          </w:p>
        </w:tc>
        <w:tc>
          <w:tcPr>
            <w:tcW w:w="2000" w:type="dxa"/>
            <w:vAlign w:val="center"/>
          </w:tcPr>
          <w:p w14:paraId="4DB5FD01"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Contable</w:t>
            </w:r>
          </w:p>
        </w:tc>
      </w:tr>
      <w:tr w:rsidR="00835945" w:rsidRPr="0021307D" w14:paraId="38E2547F"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tcPr>
          <w:p w14:paraId="00C4D2B2"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19D39C2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Universitario</w:t>
            </w:r>
          </w:p>
        </w:tc>
        <w:tc>
          <w:tcPr>
            <w:tcW w:w="4191" w:type="dxa"/>
          </w:tcPr>
          <w:p w14:paraId="661970E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Maneja cartera y activos fijos de la Sede Central; consolida y hace se de los mismos a Territoriales.</w:t>
            </w:r>
          </w:p>
        </w:tc>
        <w:tc>
          <w:tcPr>
            <w:tcW w:w="2000" w:type="dxa"/>
            <w:vAlign w:val="center"/>
          </w:tcPr>
          <w:p w14:paraId="790E6915"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Contable</w:t>
            </w:r>
          </w:p>
        </w:tc>
      </w:tr>
      <w:tr w:rsidR="00835945" w:rsidRPr="0021307D" w14:paraId="231D5F21"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tcPr>
          <w:p w14:paraId="5DD06E5E"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2026EB0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Profesional Universitario</w:t>
            </w:r>
          </w:p>
        </w:tc>
        <w:tc>
          <w:tcPr>
            <w:tcW w:w="4191" w:type="dxa"/>
          </w:tcPr>
          <w:p w14:paraId="101283E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Registra y concilia los procesos judiciales, elabora la conciliación de operaciones recíprocas cuenta CUN, apoya le generación de informes para la Contraloría General de la República y la Contaduría General de la Nación.</w:t>
            </w:r>
          </w:p>
        </w:tc>
        <w:tc>
          <w:tcPr>
            <w:tcW w:w="2000" w:type="dxa"/>
            <w:vAlign w:val="center"/>
          </w:tcPr>
          <w:p w14:paraId="315BA03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Contable</w:t>
            </w:r>
          </w:p>
        </w:tc>
      </w:tr>
      <w:tr w:rsidR="00835945" w:rsidRPr="0021307D" w14:paraId="70D404FD"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38D73AF9"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33FE2EF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Universitario</w:t>
            </w:r>
          </w:p>
        </w:tc>
        <w:tc>
          <w:tcPr>
            <w:tcW w:w="4191" w:type="dxa"/>
          </w:tcPr>
          <w:p w14:paraId="395C584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 seguimiento y conciliación de las operaciones recíprocas, los convenios de aunar esfuerzos y contabiliza obligaciones de cuentas por pagar de personas naturales y jurídicas</w:t>
            </w:r>
          </w:p>
        </w:tc>
        <w:tc>
          <w:tcPr>
            <w:tcW w:w="2000" w:type="dxa"/>
            <w:vAlign w:val="center"/>
          </w:tcPr>
          <w:p w14:paraId="26B4600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Contable</w:t>
            </w:r>
          </w:p>
        </w:tc>
      </w:tr>
      <w:tr w:rsidR="00835945" w:rsidRPr="0021307D" w14:paraId="60EF5869" w14:textId="77777777" w:rsidTr="00A6302C">
        <w:trPr>
          <w:trHeight w:val="3150"/>
        </w:trPr>
        <w:tc>
          <w:tcPr>
            <w:cnfStyle w:val="001000000000" w:firstRow="0" w:lastRow="0" w:firstColumn="1" w:lastColumn="0" w:oddVBand="0" w:evenVBand="0" w:oddHBand="0" w:evenHBand="0" w:firstRowFirstColumn="0" w:firstRowLastColumn="0" w:lastRowFirstColumn="0" w:lastRowLastColumn="0"/>
            <w:tcW w:w="1358" w:type="dxa"/>
          </w:tcPr>
          <w:p w14:paraId="10D05D11" w14:textId="77777777" w:rsidR="00835945" w:rsidRPr="0021307D" w:rsidRDefault="00835945" w:rsidP="00A6302C">
            <w:pPr>
              <w:jc w:val="center"/>
            </w:pPr>
            <w:r w:rsidRPr="0021307D">
              <w:rPr>
                <w:rFonts w:eastAsia="Arial" w:cs="Arial"/>
                <w:b w:val="0"/>
                <w:bCs w:val="0"/>
                <w:sz w:val="22"/>
                <w:szCs w:val="22"/>
              </w:rPr>
              <w:lastRenderedPageBreak/>
              <w:t>3</w:t>
            </w:r>
          </w:p>
        </w:tc>
        <w:tc>
          <w:tcPr>
            <w:tcW w:w="1811" w:type="dxa"/>
          </w:tcPr>
          <w:p w14:paraId="248F1218"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Profesional Universitario</w:t>
            </w:r>
          </w:p>
        </w:tc>
        <w:tc>
          <w:tcPr>
            <w:tcW w:w="4191" w:type="dxa"/>
          </w:tcPr>
          <w:p w14:paraId="1FB5F00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Viáticos: Realizan la elaboración, verificación y aprobación de las ordenes de comisión generadas en el sistema SIIF-Nación, para trámite con el ordenador del gasto.</w:t>
            </w:r>
            <w:r w:rsidRPr="0021307D">
              <w:br/>
            </w:r>
            <w:r w:rsidRPr="0021307D">
              <w:rPr>
                <w:rFonts w:eastAsia="Arial" w:cs="Arial"/>
                <w:sz w:val="22"/>
                <w:szCs w:val="22"/>
              </w:rPr>
              <w:t xml:space="preserve"> Revisión de soportes de legalizaciones en el sistema SIIF-Nación.</w:t>
            </w:r>
            <w:r w:rsidRPr="0021307D">
              <w:br/>
            </w:r>
            <w:r w:rsidRPr="0021307D">
              <w:rPr>
                <w:rFonts w:eastAsia="Arial" w:cs="Arial"/>
                <w:sz w:val="22"/>
                <w:szCs w:val="22"/>
              </w:rPr>
              <w:t xml:space="preserve"> Registro contable de legalizaciones en el sistema SIIF-Nación.</w:t>
            </w:r>
            <w:r w:rsidRPr="0021307D">
              <w:br/>
            </w:r>
            <w:r w:rsidRPr="0021307D">
              <w:rPr>
                <w:rFonts w:eastAsia="Arial" w:cs="Arial"/>
                <w:sz w:val="22"/>
                <w:szCs w:val="22"/>
              </w:rPr>
              <w:t xml:space="preserve"> Todo lo anterior, respecto a Sede Central y Territoriales. </w:t>
            </w:r>
            <w:r w:rsidRPr="0021307D">
              <w:br/>
            </w:r>
            <w:r w:rsidRPr="0021307D">
              <w:rPr>
                <w:rFonts w:eastAsia="Arial" w:cs="Arial"/>
                <w:sz w:val="22"/>
                <w:szCs w:val="22"/>
              </w:rPr>
              <w:t>Reportes de información.</w:t>
            </w:r>
          </w:p>
        </w:tc>
        <w:tc>
          <w:tcPr>
            <w:tcW w:w="2000" w:type="dxa"/>
            <w:vAlign w:val="center"/>
          </w:tcPr>
          <w:p w14:paraId="21C6C138"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Contable</w:t>
            </w:r>
          </w:p>
        </w:tc>
      </w:tr>
      <w:tr w:rsidR="00835945" w:rsidRPr="0021307D" w14:paraId="541437FA"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591F9088"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2AF889D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1BCC240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 las conciliaciones bancarias de los bancos de la Sede Central.</w:t>
            </w:r>
          </w:p>
        </w:tc>
        <w:tc>
          <w:tcPr>
            <w:tcW w:w="2000" w:type="dxa"/>
            <w:vAlign w:val="center"/>
          </w:tcPr>
          <w:p w14:paraId="018E886C"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Contable</w:t>
            </w:r>
          </w:p>
        </w:tc>
      </w:tr>
      <w:tr w:rsidR="00835945" w:rsidRPr="0021307D" w14:paraId="5D783FC7"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26B45A20" w14:textId="77777777" w:rsidR="00835945" w:rsidRPr="0021307D" w:rsidRDefault="00835945" w:rsidP="00A6302C">
            <w:pPr>
              <w:jc w:val="center"/>
            </w:pPr>
            <w:r w:rsidRPr="0021307D">
              <w:rPr>
                <w:rFonts w:eastAsia="Arial" w:cs="Arial"/>
                <w:b w:val="0"/>
                <w:bCs w:val="0"/>
                <w:sz w:val="22"/>
                <w:szCs w:val="22"/>
              </w:rPr>
              <w:t>3</w:t>
            </w:r>
          </w:p>
        </w:tc>
        <w:tc>
          <w:tcPr>
            <w:tcW w:w="1811" w:type="dxa"/>
          </w:tcPr>
          <w:p w14:paraId="6FF2369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3A245AA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Reciben, revisan y contabilizan las Obligaciones de Cuentas por pagar de personas jurídicas y naturales, para el cierre contable de la entidad - Sede Central</w:t>
            </w:r>
          </w:p>
        </w:tc>
        <w:tc>
          <w:tcPr>
            <w:tcW w:w="2000" w:type="dxa"/>
            <w:vAlign w:val="center"/>
          </w:tcPr>
          <w:p w14:paraId="1FB77E6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Contable</w:t>
            </w:r>
          </w:p>
        </w:tc>
      </w:tr>
      <w:tr w:rsidR="00835945" w:rsidRPr="0021307D" w14:paraId="5468BD0B" w14:textId="77777777" w:rsidTr="00A6302C">
        <w:trPr>
          <w:cnfStyle w:val="000000100000" w:firstRow="0" w:lastRow="0" w:firstColumn="0" w:lastColumn="0" w:oddVBand="0" w:evenVBand="0" w:oddHBand="1" w:evenHBand="0" w:firstRowFirstColumn="0" w:firstRowLastColumn="0" w:lastRowFirstColumn="0" w:lastRowLastColumn="0"/>
          <w:trHeight w:val="2010"/>
        </w:trPr>
        <w:tc>
          <w:tcPr>
            <w:cnfStyle w:val="001000000000" w:firstRow="0" w:lastRow="0" w:firstColumn="1" w:lastColumn="0" w:oddVBand="0" w:evenVBand="0" w:oddHBand="0" w:evenHBand="0" w:firstRowFirstColumn="0" w:firstRowLastColumn="0" w:lastRowFirstColumn="0" w:lastRowLastColumn="0"/>
            <w:tcW w:w="1358" w:type="dxa"/>
          </w:tcPr>
          <w:p w14:paraId="6933AEC0"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7EC3E67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3C6C966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Elabora y consolida las declaraciones de impuestos nacionales y hace la declaración de ICA y Reteica de la Sede Central, hace los formatos de información exógena de la Sede central y Consolida con los de las Territoriales; también revisa y depura los registros contables de impuestos</w:t>
            </w:r>
          </w:p>
        </w:tc>
        <w:tc>
          <w:tcPr>
            <w:tcW w:w="2000" w:type="dxa"/>
            <w:vAlign w:val="center"/>
          </w:tcPr>
          <w:p w14:paraId="2CD3CCE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Contable</w:t>
            </w:r>
          </w:p>
        </w:tc>
      </w:tr>
      <w:tr w:rsidR="00835945" w:rsidRPr="0021307D" w14:paraId="52A5390E"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512923E4"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3252B3F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Profesional Especializado </w:t>
            </w:r>
          </w:p>
        </w:tc>
        <w:tc>
          <w:tcPr>
            <w:tcW w:w="4191" w:type="dxa"/>
          </w:tcPr>
          <w:p w14:paraId="29CE4E1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Líder equipo de Tesorería, entrega de informes, manejo de plataforma de bancos, pagos Impuestos, servicios públicos, seguridad Social, entre otros</w:t>
            </w:r>
          </w:p>
        </w:tc>
        <w:tc>
          <w:tcPr>
            <w:tcW w:w="2000" w:type="dxa"/>
            <w:vAlign w:val="center"/>
          </w:tcPr>
          <w:p w14:paraId="6A978A65"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Tesorería</w:t>
            </w:r>
          </w:p>
        </w:tc>
      </w:tr>
      <w:tr w:rsidR="00835945" w:rsidRPr="0021307D" w14:paraId="087D9DCB" w14:textId="77777777" w:rsidTr="00A6302C">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1358" w:type="dxa"/>
          </w:tcPr>
          <w:p w14:paraId="278AAB4C"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0DDA5AF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Universitario</w:t>
            </w:r>
          </w:p>
        </w:tc>
        <w:tc>
          <w:tcPr>
            <w:tcW w:w="4191" w:type="dxa"/>
          </w:tcPr>
          <w:p w14:paraId="0CDFFC0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Consolida y reporta información Estampillas – Min Educación y Min Interior; Manejo del PAC; registrar ingresos y pagos en SIIF, subir evidencias de las actividades de plan de acción 2021</w:t>
            </w:r>
          </w:p>
        </w:tc>
        <w:tc>
          <w:tcPr>
            <w:tcW w:w="2000" w:type="dxa"/>
            <w:vAlign w:val="center"/>
          </w:tcPr>
          <w:p w14:paraId="07D4C45B"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Tesorería</w:t>
            </w:r>
          </w:p>
        </w:tc>
      </w:tr>
      <w:tr w:rsidR="00835945" w:rsidRPr="0021307D" w14:paraId="0C1BDCBE"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tcPr>
          <w:p w14:paraId="561B3A34"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6D94C55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Técnico</w:t>
            </w:r>
          </w:p>
        </w:tc>
        <w:tc>
          <w:tcPr>
            <w:tcW w:w="4191" w:type="dxa"/>
          </w:tcPr>
          <w:p w14:paraId="7F637C6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Elabora Certificados de Bonos Pensionales en sede central y revisión informes de ventas</w:t>
            </w:r>
          </w:p>
        </w:tc>
        <w:tc>
          <w:tcPr>
            <w:tcW w:w="2000" w:type="dxa"/>
            <w:vAlign w:val="center"/>
          </w:tcPr>
          <w:p w14:paraId="26A7BD74"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Tesorería</w:t>
            </w:r>
          </w:p>
        </w:tc>
      </w:tr>
      <w:tr w:rsidR="00835945" w:rsidRPr="0021307D" w14:paraId="510085BE"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23F01115"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4BCC24F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71B3563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Colabora en archivo de tesorería y labores de mensajería </w:t>
            </w:r>
          </w:p>
        </w:tc>
        <w:tc>
          <w:tcPr>
            <w:tcW w:w="2000" w:type="dxa"/>
            <w:vAlign w:val="center"/>
          </w:tcPr>
          <w:p w14:paraId="07FEB208"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Tesorería</w:t>
            </w:r>
          </w:p>
        </w:tc>
      </w:tr>
      <w:tr w:rsidR="00835945" w:rsidRPr="0021307D" w14:paraId="20CC7B05"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tcPr>
          <w:p w14:paraId="1C17A3A4"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51ED8758"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Asistencial</w:t>
            </w:r>
          </w:p>
        </w:tc>
        <w:tc>
          <w:tcPr>
            <w:tcW w:w="4191" w:type="dxa"/>
          </w:tcPr>
          <w:p w14:paraId="206E20B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Responsable del archivo de tesorería de acuerdo a las TRD</w:t>
            </w:r>
          </w:p>
        </w:tc>
        <w:tc>
          <w:tcPr>
            <w:tcW w:w="2000" w:type="dxa"/>
            <w:vAlign w:val="center"/>
          </w:tcPr>
          <w:p w14:paraId="3BEA264F"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Tesorería</w:t>
            </w:r>
          </w:p>
        </w:tc>
      </w:tr>
      <w:tr w:rsidR="00835945" w:rsidRPr="0021307D" w14:paraId="28A30A08"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5F982BE2" w14:textId="77777777" w:rsidR="00835945" w:rsidRPr="0021307D" w:rsidRDefault="00835945" w:rsidP="00A6302C">
            <w:pPr>
              <w:jc w:val="center"/>
            </w:pPr>
            <w:r w:rsidRPr="0021307D">
              <w:rPr>
                <w:rFonts w:eastAsia="Arial" w:cs="Arial"/>
                <w:b w:val="0"/>
                <w:bCs w:val="0"/>
                <w:sz w:val="22"/>
                <w:szCs w:val="22"/>
              </w:rPr>
              <w:lastRenderedPageBreak/>
              <w:t>1</w:t>
            </w:r>
          </w:p>
        </w:tc>
        <w:tc>
          <w:tcPr>
            <w:tcW w:w="1811" w:type="dxa"/>
          </w:tcPr>
          <w:p w14:paraId="6BD8585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65C2CAC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Responsable proceso de pagos, depuración y elaboración informe de ingresos</w:t>
            </w:r>
          </w:p>
        </w:tc>
        <w:tc>
          <w:tcPr>
            <w:tcW w:w="2000" w:type="dxa"/>
            <w:vAlign w:val="center"/>
          </w:tcPr>
          <w:p w14:paraId="7CE99917"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Tesorería</w:t>
            </w:r>
          </w:p>
        </w:tc>
      </w:tr>
      <w:tr w:rsidR="00835945" w:rsidRPr="0021307D" w14:paraId="7D37984D"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tcPr>
          <w:p w14:paraId="11C4A65B"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402EB58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5AF7701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Responsable del proceso de ingresos, devoluciones y reintegros; manejo plataforma de bancos </w:t>
            </w:r>
          </w:p>
        </w:tc>
        <w:tc>
          <w:tcPr>
            <w:tcW w:w="2000" w:type="dxa"/>
            <w:vAlign w:val="center"/>
          </w:tcPr>
          <w:p w14:paraId="6193C69E"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Tesorería</w:t>
            </w:r>
          </w:p>
        </w:tc>
      </w:tr>
      <w:tr w:rsidR="00835945" w:rsidRPr="0021307D" w14:paraId="11CD3B1A"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58DABA4E"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5A2A37B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20A98C6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Manejo de la plataforma SECOP II; elaboración Cheques, y oficios SIGAC, registrar pagos</w:t>
            </w:r>
          </w:p>
        </w:tc>
        <w:tc>
          <w:tcPr>
            <w:tcW w:w="2000" w:type="dxa"/>
            <w:vAlign w:val="center"/>
          </w:tcPr>
          <w:p w14:paraId="237D1CF9"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Tesorería</w:t>
            </w:r>
          </w:p>
        </w:tc>
      </w:tr>
      <w:tr w:rsidR="00835945" w:rsidRPr="0021307D" w14:paraId="699F443C" w14:textId="77777777" w:rsidTr="00A6302C">
        <w:trPr>
          <w:trHeight w:val="315"/>
        </w:trPr>
        <w:tc>
          <w:tcPr>
            <w:cnfStyle w:val="001000000000" w:firstRow="0" w:lastRow="0" w:firstColumn="1" w:lastColumn="0" w:oddVBand="0" w:evenVBand="0" w:oddHBand="0" w:evenHBand="0" w:firstRowFirstColumn="0" w:firstRowLastColumn="0" w:lastRowFirstColumn="0" w:lastRowLastColumn="0"/>
            <w:tcW w:w="9360" w:type="dxa"/>
            <w:gridSpan w:val="4"/>
          </w:tcPr>
          <w:p w14:paraId="0961023B" w14:textId="77777777" w:rsidR="00835945" w:rsidRPr="005C08C3" w:rsidRDefault="00835945" w:rsidP="00A6302C">
            <w:pPr>
              <w:jc w:val="center"/>
            </w:pPr>
            <w:r w:rsidRPr="005C08C3">
              <w:rPr>
                <w:rFonts w:eastAsia="Arial" w:cs="Arial"/>
                <w:bCs w:val="0"/>
                <w:sz w:val="22"/>
                <w:szCs w:val="22"/>
              </w:rPr>
              <w:t>Proceso de Gestión Documental</w:t>
            </w:r>
          </w:p>
        </w:tc>
      </w:tr>
      <w:tr w:rsidR="00835945" w:rsidRPr="0021307D" w14:paraId="10326281" w14:textId="77777777" w:rsidTr="00A6302C">
        <w:trPr>
          <w:cnfStyle w:val="000000100000" w:firstRow="0" w:lastRow="0" w:firstColumn="0" w:lastColumn="0" w:oddVBand="0" w:evenVBand="0" w:oddHBand="1" w:evenHBand="0" w:firstRowFirstColumn="0" w:firstRowLastColumn="0" w:lastRowFirstColumn="0" w:lastRowLastColumn="0"/>
          <w:trHeight w:val="2010"/>
        </w:trPr>
        <w:tc>
          <w:tcPr>
            <w:cnfStyle w:val="001000000000" w:firstRow="0" w:lastRow="0" w:firstColumn="1" w:lastColumn="0" w:oddVBand="0" w:evenVBand="0" w:oddHBand="0" w:evenHBand="0" w:firstRowFirstColumn="0" w:firstRowLastColumn="0" w:lastRowFirstColumn="0" w:lastRowLastColumn="0"/>
            <w:tcW w:w="1358" w:type="dxa"/>
          </w:tcPr>
          <w:p w14:paraId="1E09917C"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701EF3C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Especializado</w:t>
            </w:r>
          </w:p>
        </w:tc>
        <w:tc>
          <w:tcPr>
            <w:tcW w:w="4191" w:type="dxa"/>
          </w:tcPr>
          <w:p w14:paraId="6E7BCA5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Liderar el Proceso de Gestión Documental en el Instituto para que tanto la Operación de Correspondencia y de Gestión de Archivos  se desarrolle de manera permanente, de igual manera supervisa la ejecución contratos de 4-72 y macroproyectos, así como el de cada uno de los contratistas del proceso </w:t>
            </w:r>
          </w:p>
        </w:tc>
        <w:tc>
          <w:tcPr>
            <w:tcW w:w="2000" w:type="dxa"/>
            <w:vAlign w:val="center"/>
          </w:tcPr>
          <w:p w14:paraId="1E0DBDAD"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Archivo</w:t>
            </w:r>
          </w:p>
        </w:tc>
      </w:tr>
      <w:tr w:rsidR="00835945" w:rsidRPr="0021307D" w14:paraId="27AB054D" w14:textId="77777777" w:rsidTr="00A6302C">
        <w:trPr>
          <w:trHeight w:val="2580"/>
        </w:trPr>
        <w:tc>
          <w:tcPr>
            <w:cnfStyle w:val="001000000000" w:firstRow="0" w:lastRow="0" w:firstColumn="1" w:lastColumn="0" w:oddVBand="0" w:evenVBand="0" w:oddHBand="0" w:evenHBand="0" w:firstRowFirstColumn="0" w:firstRowLastColumn="0" w:lastRowFirstColumn="0" w:lastRowLastColumn="0"/>
            <w:tcW w:w="1358" w:type="dxa"/>
          </w:tcPr>
          <w:p w14:paraId="77F99B5E"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3DCA614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Contratista </w:t>
            </w:r>
          </w:p>
        </w:tc>
        <w:tc>
          <w:tcPr>
            <w:tcW w:w="4191" w:type="dxa"/>
          </w:tcPr>
          <w:p w14:paraId="1803C66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Atender desde el Proceso de Gestión Documental todas las actividades relacionadas con planeación que entre otros involucra el seguimiento del cumplimiento de los planes de acción y correspondiente presentación de evidencias, actualización de procedimientos y levantamiento del Diagnóstico Integral de Archivos, así como la actualización de Instrumentos archivísticos </w:t>
            </w:r>
          </w:p>
        </w:tc>
        <w:tc>
          <w:tcPr>
            <w:tcW w:w="2000" w:type="dxa"/>
            <w:shd w:val="clear" w:color="auto" w:fill="DBE5F1" w:themeFill="accent1" w:themeFillTint="33"/>
            <w:vAlign w:val="center"/>
          </w:tcPr>
          <w:p w14:paraId="63E01C50"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Archivo</w:t>
            </w:r>
          </w:p>
        </w:tc>
      </w:tr>
      <w:tr w:rsidR="00835945" w:rsidRPr="0021307D" w14:paraId="5999A5DD" w14:textId="77777777" w:rsidTr="00A6302C">
        <w:trPr>
          <w:cnfStyle w:val="000000100000" w:firstRow="0" w:lastRow="0" w:firstColumn="0" w:lastColumn="0" w:oddVBand="0" w:evenVBand="0" w:oddHBand="1" w:evenHBand="0" w:firstRowFirstColumn="0" w:firstRowLastColumn="0" w:lastRowFirstColumn="0" w:lastRowLastColumn="0"/>
          <w:trHeight w:val="2580"/>
        </w:trPr>
        <w:tc>
          <w:tcPr>
            <w:cnfStyle w:val="001000000000" w:firstRow="0" w:lastRow="0" w:firstColumn="1" w:lastColumn="0" w:oddVBand="0" w:evenVBand="0" w:oddHBand="0" w:evenHBand="0" w:firstRowFirstColumn="0" w:firstRowLastColumn="0" w:lastRowFirstColumn="0" w:lastRowLastColumn="0"/>
            <w:tcW w:w="1358" w:type="dxa"/>
          </w:tcPr>
          <w:p w14:paraId="66F72573"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32649BB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Contratista</w:t>
            </w:r>
          </w:p>
        </w:tc>
        <w:tc>
          <w:tcPr>
            <w:tcW w:w="4191" w:type="dxa"/>
          </w:tcPr>
          <w:p w14:paraId="58B7C89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 la Actualización de las Tablas de Retención Documental y presenta los avances de las mismas ante el Archivo General de la Nación, para lograr la Convalidación de las mismas, de igual manera, diligencia el READH entendido como el Instrumento para el Registro de Archivos de Derechos Humanos en la Entidad y se encuentra el proceso de aprobación el Programa de Documentos Especiales</w:t>
            </w:r>
            <w:r w:rsidRPr="0021307D">
              <w:rPr>
                <w:rFonts w:eastAsia="Arial" w:cs="Arial"/>
                <w:b/>
                <w:bCs/>
                <w:sz w:val="22"/>
                <w:szCs w:val="22"/>
              </w:rPr>
              <w:t xml:space="preserve"> </w:t>
            </w:r>
          </w:p>
        </w:tc>
        <w:tc>
          <w:tcPr>
            <w:tcW w:w="2000" w:type="dxa"/>
            <w:vAlign w:val="center"/>
          </w:tcPr>
          <w:p w14:paraId="1D978A19"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Archivo</w:t>
            </w:r>
          </w:p>
        </w:tc>
      </w:tr>
      <w:tr w:rsidR="00835945" w:rsidRPr="0021307D" w14:paraId="361BE0C8" w14:textId="77777777" w:rsidTr="00A6302C">
        <w:trPr>
          <w:trHeight w:val="2010"/>
        </w:trPr>
        <w:tc>
          <w:tcPr>
            <w:cnfStyle w:val="001000000000" w:firstRow="0" w:lastRow="0" w:firstColumn="1" w:lastColumn="0" w:oddVBand="0" w:evenVBand="0" w:oddHBand="0" w:evenHBand="0" w:firstRowFirstColumn="0" w:firstRowLastColumn="0" w:lastRowFirstColumn="0" w:lastRowLastColumn="0"/>
            <w:tcW w:w="1358" w:type="dxa"/>
          </w:tcPr>
          <w:p w14:paraId="767D05BE" w14:textId="77777777" w:rsidR="00835945" w:rsidRPr="0021307D" w:rsidRDefault="00835945" w:rsidP="00A6302C">
            <w:pPr>
              <w:jc w:val="center"/>
            </w:pPr>
            <w:r w:rsidRPr="0021307D">
              <w:rPr>
                <w:rFonts w:eastAsia="Arial" w:cs="Arial"/>
                <w:b w:val="0"/>
                <w:bCs w:val="0"/>
                <w:sz w:val="22"/>
                <w:szCs w:val="22"/>
              </w:rPr>
              <w:lastRenderedPageBreak/>
              <w:t>2</w:t>
            </w:r>
          </w:p>
        </w:tc>
        <w:tc>
          <w:tcPr>
            <w:tcW w:w="1811" w:type="dxa"/>
          </w:tcPr>
          <w:p w14:paraId="355250E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Contratistas </w:t>
            </w:r>
          </w:p>
        </w:tc>
        <w:tc>
          <w:tcPr>
            <w:tcW w:w="4191" w:type="dxa"/>
          </w:tcPr>
          <w:p w14:paraId="31F6393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Realizan acompañamiento y seguimiento permanente a las Oficinas del Nivel Central y Direcciones Territoriales en la apropiación y ejecución de lineamientos archivísticos que permitan tanto la conservación como recuperación de la información que el Instituto custodia</w:t>
            </w:r>
            <w:r w:rsidRPr="0021307D">
              <w:rPr>
                <w:rFonts w:eastAsia="Arial" w:cs="Arial"/>
                <w:b/>
                <w:bCs/>
                <w:sz w:val="22"/>
                <w:szCs w:val="22"/>
              </w:rPr>
              <w:t xml:space="preserve"> </w:t>
            </w:r>
          </w:p>
        </w:tc>
        <w:tc>
          <w:tcPr>
            <w:tcW w:w="2000" w:type="dxa"/>
            <w:shd w:val="clear" w:color="auto" w:fill="DBE5F1" w:themeFill="accent1" w:themeFillTint="33"/>
            <w:vAlign w:val="center"/>
          </w:tcPr>
          <w:p w14:paraId="4DFE76AE"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Archivo</w:t>
            </w:r>
          </w:p>
        </w:tc>
      </w:tr>
      <w:tr w:rsidR="00835945" w:rsidRPr="0021307D" w14:paraId="31E25DE9" w14:textId="77777777" w:rsidTr="00A6302C">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1358" w:type="dxa"/>
          </w:tcPr>
          <w:p w14:paraId="668B1DE3"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0206876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4F8435A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Atiende las solicitudes de préstamos y consulta de expedientes que se encuentran en custodia del archivo central, de igual forma, ejecuta tareas de verificación del Inventario físico del acervo documental del archivo central.</w:t>
            </w:r>
          </w:p>
        </w:tc>
        <w:tc>
          <w:tcPr>
            <w:tcW w:w="2000" w:type="dxa"/>
            <w:vAlign w:val="center"/>
          </w:tcPr>
          <w:p w14:paraId="1E0B4853"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Archivo</w:t>
            </w:r>
          </w:p>
        </w:tc>
      </w:tr>
      <w:tr w:rsidR="00835945" w:rsidRPr="0021307D" w14:paraId="054BFA3B"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tcPr>
          <w:p w14:paraId="5439919B" w14:textId="77777777" w:rsidR="00835945" w:rsidRPr="0021307D" w:rsidRDefault="00835945" w:rsidP="00A6302C">
            <w:pPr>
              <w:jc w:val="center"/>
            </w:pPr>
            <w:r w:rsidRPr="0021307D">
              <w:rPr>
                <w:rFonts w:eastAsia="Arial" w:cs="Arial"/>
                <w:b w:val="0"/>
                <w:bCs w:val="0"/>
                <w:sz w:val="22"/>
                <w:szCs w:val="22"/>
              </w:rPr>
              <w:t>5</w:t>
            </w:r>
          </w:p>
        </w:tc>
        <w:tc>
          <w:tcPr>
            <w:tcW w:w="1811" w:type="dxa"/>
          </w:tcPr>
          <w:p w14:paraId="3F93B89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Contratistas</w:t>
            </w:r>
          </w:p>
        </w:tc>
        <w:tc>
          <w:tcPr>
            <w:tcW w:w="4191" w:type="dxa"/>
          </w:tcPr>
          <w:p w14:paraId="211DEF3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Prestan labores de ejecución de procesos técnicos de archivo, tanto en archivo Central como en las Oficinas del Nivel Central que requieran un apoyo para la Organización de los Archivos de Gestión del Instituto</w:t>
            </w:r>
          </w:p>
        </w:tc>
        <w:tc>
          <w:tcPr>
            <w:tcW w:w="2000" w:type="dxa"/>
            <w:shd w:val="clear" w:color="auto" w:fill="DBE5F1" w:themeFill="accent1" w:themeFillTint="33"/>
            <w:vAlign w:val="center"/>
          </w:tcPr>
          <w:p w14:paraId="146F1A2D"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Archivo</w:t>
            </w:r>
          </w:p>
        </w:tc>
      </w:tr>
      <w:tr w:rsidR="00835945" w:rsidRPr="0021307D" w14:paraId="7BC9D83D"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4ECB60A8"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6B47E1D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3FB0335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 en la gestión a la Oficina desde el rol secretarial tanto en la organización de reuniones y control de las comunicaciones que deben ser atendidas desde la Oficina</w:t>
            </w:r>
          </w:p>
        </w:tc>
        <w:tc>
          <w:tcPr>
            <w:tcW w:w="2000" w:type="dxa"/>
            <w:vAlign w:val="center"/>
          </w:tcPr>
          <w:p w14:paraId="65AEBE5D"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Correspondencia</w:t>
            </w:r>
          </w:p>
        </w:tc>
      </w:tr>
      <w:tr w:rsidR="00835945" w:rsidRPr="0021307D" w14:paraId="73A70A92" w14:textId="77777777" w:rsidTr="00A6302C">
        <w:trPr>
          <w:trHeight w:val="2865"/>
        </w:trPr>
        <w:tc>
          <w:tcPr>
            <w:cnfStyle w:val="001000000000" w:firstRow="0" w:lastRow="0" w:firstColumn="1" w:lastColumn="0" w:oddVBand="0" w:evenVBand="0" w:oddHBand="0" w:evenHBand="0" w:firstRowFirstColumn="0" w:firstRowLastColumn="0" w:lastRowFirstColumn="0" w:lastRowLastColumn="0"/>
            <w:tcW w:w="1358" w:type="dxa"/>
          </w:tcPr>
          <w:p w14:paraId="09798FEE"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1793430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Contratista </w:t>
            </w:r>
          </w:p>
        </w:tc>
        <w:tc>
          <w:tcPr>
            <w:tcW w:w="4191" w:type="dxa"/>
          </w:tcPr>
          <w:p w14:paraId="077E30E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Atiende desde el Proceso de Gestión Documental que el Sistema SIGAC funcione de manera permanente en el Instituto para de esta manera garantizar la operación y gestión de la correspondencia en el Instituto, de igual manera presta capacitación y soporte técnico tanto a las Oficinas del Nivel Central como Direcciones Territoriales en temas de SIGAC, por otro lado, trabaja de manera conjunta con Macroproyectos para el desarrollo del sistema</w:t>
            </w:r>
          </w:p>
        </w:tc>
        <w:tc>
          <w:tcPr>
            <w:tcW w:w="2000" w:type="dxa"/>
            <w:shd w:val="clear" w:color="auto" w:fill="DBE5F1" w:themeFill="accent1" w:themeFillTint="33"/>
            <w:vAlign w:val="center"/>
          </w:tcPr>
          <w:p w14:paraId="0F2759A7"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Correspondencia</w:t>
            </w:r>
          </w:p>
        </w:tc>
      </w:tr>
      <w:tr w:rsidR="00835945" w:rsidRPr="0021307D" w14:paraId="56B5A5AA" w14:textId="77777777" w:rsidTr="00A6302C">
        <w:trPr>
          <w:cnfStyle w:val="000000100000" w:firstRow="0" w:lastRow="0" w:firstColumn="0" w:lastColumn="0" w:oddVBand="0" w:evenVBand="0" w:oddHBand="1" w:evenHBand="0" w:firstRowFirstColumn="0" w:firstRowLastColumn="0" w:lastRowFirstColumn="0" w:lastRowLastColumn="0"/>
          <w:trHeight w:val="1455"/>
        </w:trPr>
        <w:tc>
          <w:tcPr>
            <w:cnfStyle w:val="001000000000" w:firstRow="0" w:lastRow="0" w:firstColumn="1" w:lastColumn="0" w:oddVBand="0" w:evenVBand="0" w:oddHBand="0" w:evenHBand="0" w:firstRowFirstColumn="0" w:firstRowLastColumn="0" w:lastRowFirstColumn="0" w:lastRowLastColumn="0"/>
            <w:tcW w:w="1358" w:type="dxa"/>
          </w:tcPr>
          <w:p w14:paraId="6A4D7800" w14:textId="77777777" w:rsidR="00835945" w:rsidRPr="0021307D" w:rsidRDefault="00835945" w:rsidP="00A6302C">
            <w:pPr>
              <w:jc w:val="center"/>
            </w:pPr>
            <w:r w:rsidRPr="0021307D">
              <w:rPr>
                <w:rFonts w:eastAsia="Arial" w:cs="Arial"/>
                <w:b w:val="0"/>
                <w:bCs w:val="0"/>
                <w:sz w:val="22"/>
                <w:szCs w:val="22"/>
              </w:rPr>
              <w:t>1</w:t>
            </w:r>
          </w:p>
        </w:tc>
        <w:tc>
          <w:tcPr>
            <w:tcW w:w="1811" w:type="dxa"/>
          </w:tcPr>
          <w:p w14:paraId="390186A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Técnico Administrativo            </w:t>
            </w:r>
          </w:p>
        </w:tc>
        <w:tc>
          <w:tcPr>
            <w:tcW w:w="4191" w:type="dxa"/>
          </w:tcPr>
          <w:p w14:paraId="0A9832D4"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r w:rsidRPr="0021307D">
              <w:rPr>
                <w:rFonts w:eastAsia="Arial" w:cs="Arial"/>
                <w:sz w:val="22"/>
                <w:szCs w:val="22"/>
              </w:rPr>
              <w:t xml:space="preserve">Atiende y controla que la operación de correspondencia funcione de manera permanente en el Instituto y apoya capacitaciones como soporte técnico a los colaboradores del Instituto en temas del SIGAC </w:t>
            </w:r>
          </w:p>
          <w:p w14:paraId="0BE2A74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p>
          <w:p w14:paraId="1138852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p>
          <w:p w14:paraId="4059A0C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p>
          <w:p w14:paraId="497AE50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2000" w:type="dxa"/>
            <w:vAlign w:val="center"/>
          </w:tcPr>
          <w:p w14:paraId="0AB1812F"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Correspondencia</w:t>
            </w:r>
          </w:p>
        </w:tc>
      </w:tr>
      <w:tr w:rsidR="00835945" w:rsidRPr="0021307D" w14:paraId="74979ED1" w14:textId="77777777" w:rsidTr="00A6302C">
        <w:trPr>
          <w:trHeight w:val="315"/>
        </w:trPr>
        <w:tc>
          <w:tcPr>
            <w:cnfStyle w:val="001000000000" w:firstRow="0" w:lastRow="0" w:firstColumn="1" w:lastColumn="0" w:oddVBand="0" w:evenVBand="0" w:oddHBand="0" w:evenHBand="0" w:firstRowFirstColumn="0" w:firstRowLastColumn="0" w:lastRowFirstColumn="0" w:lastRowLastColumn="0"/>
            <w:tcW w:w="9360" w:type="dxa"/>
            <w:gridSpan w:val="4"/>
          </w:tcPr>
          <w:p w14:paraId="11A15070" w14:textId="77777777" w:rsidR="00835945" w:rsidRPr="0077337C" w:rsidRDefault="00835945" w:rsidP="00A6302C">
            <w:pPr>
              <w:jc w:val="center"/>
            </w:pPr>
            <w:r w:rsidRPr="0077337C">
              <w:rPr>
                <w:rFonts w:eastAsia="Arial" w:cs="Arial"/>
                <w:bCs w:val="0"/>
                <w:sz w:val="22"/>
                <w:szCs w:val="22"/>
              </w:rPr>
              <w:lastRenderedPageBreak/>
              <w:t>Proceso de Gestión Contractual</w:t>
            </w:r>
          </w:p>
        </w:tc>
      </w:tr>
      <w:tr w:rsidR="00835945" w:rsidRPr="0021307D" w14:paraId="64303D8E" w14:textId="77777777" w:rsidTr="00A6302C">
        <w:trPr>
          <w:cnfStyle w:val="000000100000" w:firstRow="0" w:lastRow="0" w:firstColumn="0" w:lastColumn="0" w:oddVBand="0" w:evenVBand="0" w:oddHBand="1" w:evenHBand="0" w:firstRowFirstColumn="0" w:firstRowLastColumn="0" w:lastRowFirstColumn="0" w:lastRowLastColumn="0"/>
          <w:trHeight w:val="204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77B4B8B9"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6B1F9AB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Asesor</w:t>
            </w:r>
          </w:p>
        </w:tc>
        <w:tc>
          <w:tcPr>
            <w:tcW w:w="4191" w:type="dxa"/>
          </w:tcPr>
          <w:p w14:paraId="367EAAD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r w:rsidRPr="0021307D">
              <w:rPr>
                <w:rFonts w:eastAsia="Arial" w:cs="Arial"/>
                <w:sz w:val="22"/>
                <w:szCs w:val="22"/>
              </w:rPr>
              <w:t>Coordinador Grupo Interno de Trabajo Gestión Contractual</w:t>
            </w:r>
            <w:r>
              <w:t xml:space="preserve"> </w:t>
            </w:r>
            <w:r w:rsidRPr="0021307D">
              <w:rPr>
                <w:rFonts w:eastAsia="Arial" w:cs="Arial"/>
                <w:sz w:val="22"/>
                <w:szCs w:val="22"/>
              </w:rPr>
              <w:t xml:space="preserve">Coordinar la consolidación y ejecución del plan anual de adquisiciones de bienes, servicios y obra pública en conjunto con las dependencias ejecutoras, de acuerdo con la normatividad vigente. </w:t>
            </w:r>
          </w:p>
        </w:tc>
        <w:tc>
          <w:tcPr>
            <w:tcW w:w="2000" w:type="dxa"/>
            <w:vMerge w:val="restart"/>
          </w:tcPr>
          <w:p w14:paraId="346D67B4"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b/>
                <w:bCs/>
                <w:sz w:val="22"/>
                <w:szCs w:val="22"/>
              </w:rPr>
              <w:t>N/A</w:t>
            </w:r>
          </w:p>
        </w:tc>
      </w:tr>
      <w:tr w:rsidR="00835945" w:rsidRPr="0021307D" w14:paraId="473A8B9E"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29B65045" w14:textId="77777777" w:rsidR="00835945" w:rsidRPr="0021307D" w:rsidRDefault="00835945" w:rsidP="00A6302C"/>
        </w:tc>
        <w:tc>
          <w:tcPr>
            <w:tcW w:w="1811" w:type="dxa"/>
            <w:vMerge/>
          </w:tcPr>
          <w:p w14:paraId="52323F2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6CAEB8E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Coordinar y asesorar la gestión de la etapa precontractual, contractual y post contractual de los contratos de egreso en la sede central la modalidad que aplique, en concordancia con los procedimientos y la normatividad vigente. </w:t>
            </w:r>
          </w:p>
        </w:tc>
        <w:tc>
          <w:tcPr>
            <w:tcW w:w="2000" w:type="dxa"/>
            <w:vMerge/>
          </w:tcPr>
          <w:p w14:paraId="05F9478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F8536CC" w14:textId="77777777" w:rsidTr="00A6302C">
        <w:trPr>
          <w:cnfStyle w:val="000000100000" w:firstRow="0" w:lastRow="0" w:firstColumn="0" w:lastColumn="0" w:oddVBand="0" w:evenVBand="0" w:oddHBand="1" w:evenHBand="0" w:firstRowFirstColumn="0" w:firstRowLastColumn="0" w:lastRowFirstColumn="0" w:lastRowLastColumn="0"/>
          <w:trHeight w:val="1725"/>
        </w:trPr>
        <w:tc>
          <w:tcPr>
            <w:cnfStyle w:val="001000000000" w:firstRow="0" w:lastRow="0" w:firstColumn="1" w:lastColumn="0" w:oddVBand="0" w:evenVBand="0" w:oddHBand="0" w:evenHBand="0" w:firstRowFirstColumn="0" w:firstRowLastColumn="0" w:lastRowFirstColumn="0" w:lastRowLastColumn="0"/>
            <w:tcW w:w="1358" w:type="dxa"/>
            <w:vMerge/>
          </w:tcPr>
          <w:p w14:paraId="2C0B0A5C" w14:textId="77777777" w:rsidR="00835945" w:rsidRPr="0021307D" w:rsidRDefault="00835945" w:rsidP="00A6302C"/>
        </w:tc>
        <w:tc>
          <w:tcPr>
            <w:tcW w:w="1811" w:type="dxa"/>
            <w:vMerge/>
          </w:tcPr>
          <w:p w14:paraId="3E993CB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17BB3BC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Gestionar las solicitudes de contratación de los contratos y convenios de ingreso hasta su perfeccionamiento y legalización, el trámite de modificaciones previamente avaladas por la entidad contratante y las liquidaciones contractuales.</w:t>
            </w:r>
          </w:p>
        </w:tc>
        <w:tc>
          <w:tcPr>
            <w:tcW w:w="2000" w:type="dxa"/>
            <w:vMerge/>
          </w:tcPr>
          <w:p w14:paraId="04F03DF3"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6CC869B"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0493E756" w14:textId="77777777" w:rsidR="00835945" w:rsidRPr="0021307D" w:rsidRDefault="00835945" w:rsidP="00A6302C"/>
        </w:tc>
        <w:tc>
          <w:tcPr>
            <w:tcW w:w="1811" w:type="dxa"/>
            <w:vMerge/>
          </w:tcPr>
          <w:p w14:paraId="391E7CB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61A2AA2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Dirigir y revisar los reportes e informes sobre la contratación que sean solicitados por los órganos de control y demás entidades competentes, de conformidad con la normatividad vigente.</w:t>
            </w:r>
          </w:p>
        </w:tc>
        <w:tc>
          <w:tcPr>
            <w:tcW w:w="2000" w:type="dxa"/>
            <w:vMerge/>
          </w:tcPr>
          <w:p w14:paraId="386787A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85574B1"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F54E032" w14:textId="77777777" w:rsidR="00835945" w:rsidRPr="0021307D" w:rsidRDefault="00835945" w:rsidP="00A6302C"/>
        </w:tc>
        <w:tc>
          <w:tcPr>
            <w:tcW w:w="1811" w:type="dxa"/>
            <w:vMerge/>
          </w:tcPr>
          <w:p w14:paraId="1629A99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575CE8D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Revisar y aprobar las garantías de los contratos de egreso de la sede central a favor del Instituto</w:t>
            </w:r>
          </w:p>
        </w:tc>
        <w:tc>
          <w:tcPr>
            <w:tcW w:w="2000" w:type="dxa"/>
            <w:vMerge/>
          </w:tcPr>
          <w:p w14:paraId="225E57A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334FBDE"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216A67AB" w14:textId="77777777" w:rsidR="00835945" w:rsidRPr="0021307D" w:rsidRDefault="00835945" w:rsidP="00A6302C"/>
        </w:tc>
        <w:tc>
          <w:tcPr>
            <w:tcW w:w="1811" w:type="dxa"/>
            <w:vMerge/>
          </w:tcPr>
          <w:p w14:paraId="0A17DBE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505BB2B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Adelantar las audiencias de declaración de incumplimiento, imposición de multas y sanciones y efectividad de la cláusula penal pecuniaria, de los contratos y convenios celebrados por el Instituto.</w:t>
            </w:r>
          </w:p>
        </w:tc>
        <w:tc>
          <w:tcPr>
            <w:tcW w:w="2000" w:type="dxa"/>
            <w:vMerge/>
          </w:tcPr>
          <w:p w14:paraId="68E2E34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3512DE5" w14:textId="77777777" w:rsidTr="00A6302C">
        <w:trPr>
          <w:cnfStyle w:val="000000100000" w:firstRow="0" w:lastRow="0" w:firstColumn="0" w:lastColumn="0" w:oddVBand="0" w:evenVBand="0" w:oddHBand="1" w:evenHBand="0" w:firstRowFirstColumn="0" w:firstRowLastColumn="0" w:lastRowFirstColumn="0" w:lastRowLastColumn="0"/>
          <w:trHeight w:val="172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2AF69E4"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1E7DF51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w:t>
            </w:r>
          </w:p>
        </w:tc>
        <w:tc>
          <w:tcPr>
            <w:tcW w:w="4191" w:type="dxa"/>
          </w:tcPr>
          <w:p w14:paraId="612F719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Gestionar las solicitudes de contratación de los contratos y convenios de ingreso hasta su perfeccionamiento y legalización, el trámite de modificaciones previamente avaladas por la entidad contratante y las liquidaciones contractuales.</w:t>
            </w:r>
          </w:p>
        </w:tc>
        <w:tc>
          <w:tcPr>
            <w:tcW w:w="2000" w:type="dxa"/>
            <w:vMerge/>
          </w:tcPr>
          <w:p w14:paraId="74253AE4"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11C361D5"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6C5A87C6" w14:textId="77777777" w:rsidR="00835945" w:rsidRPr="0021307D" w:rsidRDefault="00835945" w:rsidP="00A6302C"/>
        </w:tc>
        <w:tc>
          <w:tcPr>
            <w:tcW w:w="1811" w:type="dxa"/>
            <w:vMerge/>
          </w:tcPr>
          <w:p w14:paraId="6817B21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7018CDB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Gestionar los procesos de contratación de egreso en sus etapas precontractual o contractual, según sea asignado por la coordinación del GIT.</w:t>
            </w:r>
          </w:p>
        </w:tc>
        <w:tc>
          <w:tcPr>
            <w:tcW w:w="2000" w:type="dxa"/>
            <w:vMerge/>
          </w:tcPr>
          <w:p w14:paraId="0297B9E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54C306A" w14:textId="77777777" w:rsidTr="00A6302C">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0F8CE17B" w14:textId="77777777" w:rsidR="00835945" w:rsidRPr="0021307D" w:rsidRDefault="00835945" w:rsidP="00A6302C"/>
        </w:tc>
        <w:tc>
          <w:tcPr>
            <w:tcW w:w="1811" w:type="dxa"/>
            <w:vMerge/>
          </w:tcPr>
          <w:p w14:paraId="2AB2DF89"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2B3658E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Apoyo en la gestión de actividades de calidad del proceso de gestión contractual (tales como reporte de evidencias de controles de riesgos de acciones de mejora y/o correctivas, implementación procedimientos del SIG)</w:t>
            </w:r>
          </w:p>
        </w:tc>
        <w:tc>
          <w:tcPr>
            <w:tcW w:w="2000" w:type="dxa"/>
            <w:vMerge/>
          </w:tcPr>
          <w:p w14:paraId="5EFE1A84"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AE53233"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66EA3303" w14:textId="77777777" w:rsidR="00835945" w:rsidRPr="0021307D" w:rsidRDefault="00835945" w:rsidP="00A6302C">
            <w:pPr>
              <w:jc w:val="center"/>
            </w:pPr>
            <w:r w:rsidRPr="0021307D">
              <w:rPr>
                <w:rFonts w:eastAsia="Arial" w:cs="Arial"/>
                <w:b w:val="0"/>
                <w:bCs w:val="0"/>
                <w:sz w:val="22"/>
                <w:szCs w:val="22"/>
              </w:rPr>
              <w:lastRenderedPageBreak/>
              <w:t>1</w:t>
            </w:r>
          </w:p>
        </w:tc>
        <w:tc>
          <w:tcPr>
            <w:tcW w:w="1811" w:type="dxa"/>
            <w:vMerge w:val="restart"/>
          </w:tcPr>
          <w:p w14:paraId="41B3F87E"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Asistencial</w:t>
            </w:r>
          </w:p>
        </w:tc>
        <w:tc>
          <w:tcPr>
            <w:tcW w:w="4191" w:type="dxa"/>
          </w:tcPr>
          <w:p w14:paraId="3050E406"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Apoyar el desarrollo de las actividades administrativas de la dependencia que le sean asignadas según procedimientos y necesidades establecidas. </w:t>
            </w:r>
          </w:p>
        </w:tc>
        <w:tc>
          <w:tcPr>
            <w:tcW w:w="2000" w:type="dxa"/>
            <w:vMerge/>
          </w:tcPr>
          <w:p w14:paraId="2A488363"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BC7EA71" w14:textId="77777777" w:rsidTr="00A6302C">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05C3A214" w14:textId="77777777" w:rsidR="00835945" w:rsidRPr="0021307D" w:rsidRDefault="00835945" w:rsidP="00A6302C"/>
        </w:tc>
        <w:tc>
          <w:tcPr>
            <w:tcW w:w="1811" w:type="dxa"/>
            <w:vMerge/>
          </w:tcPr>
          <w:p w14:paraId="3D2D7AA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14C865D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Recibir, redactar, direccionar y archivar los documentos y correspondencia propios de la dependencia, actualizando el sistema de gestión documental, y llevar el control de la recepción, respuesta y generación de informes</w:t>
            </w:r>
          </w:p>
        </w:tc>
        <w:tc>
          <w:tcPr>
            <w:tcW w:w="2000" w:type="dxa"/>
            <w:vMerge/>
          </w:tcPr>
          <w:p w14:paraId="66F8A46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BE94CF0" w14:textId="77777777" w:rsidTr="00A6302C">
        <w:trPr>
          <w:trHeight w:val="1725"/>
        </w:trPr>
        <w:tc>
          <w:tcPr>
            <w:cnfStyle w:val="001000000000" w:firstRow="0" w:lastRow="0" w:firstColumn="1" w:lastColumn="0" w:oddVBand="0" w:evenVBand="0" w:oddHBand="0" w:evenHBand="0" w:firstRowFirstColumn="0" w:firstRowLastColumn="0" w:lastRowFirstColumn="0" w:lastRowLastColumn="0"/>
            <w:tcW w:w="1358" w:type="dxa"/>
            <w:vMerge/>
          </w:tcPr>
          <w:p w14:paraId="6F79E7E2" w14:textId="77777777" w:rsidR="00835945" w:rsidRPr="0021307D" w:rsidRDefault="00835945" w:rsidP="00A6302C"/>
        </w:tc>
        <w:tc>
          <w:tcPr>
            <w:tcW w:w="1811" w:type="dxa"/>
            <w:vMerge/>
          </w:tcPr>
          <w:p w14:paraId="32C1CC9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4FD3016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Organizar, mantener actualizado, custodiar y llevar el inventario del archivo de gestión de la dependencia, con un registro de los documentos que entran y salen del archivo, que permita la búsqueda y recuperación fácil y rápida de los mismos. </w:t>
            </w:r>
          </w:p>
        </w:tc>
        <w:tc>
          <w:tcPr>
            <w:tcW w:w="2000" w:type="dxa"/>
            <w:vMerge/>
          </w:tcPr>
          <w:p w14:paraId="6CE9442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B8A31E0" w14:textId="77777777" w:rsidTr="00A6302C">
        <w:trPr>
          <w:cnfStyle w:val="000000100000" w:firstRow="0" w:lastRow="0" w:firstColumn="0" w:lastColumn="0" w:oddVBand="0" w:evenVBand="0" w:oddHBand="1" w:evenHBand="0" w:firstRowFirstColumn="0" w:firstRowLastColumn="0" w:lastRowFirstColumn="0" w:lastRowLastColumn="0"/>
          <w:trHeight w:val="11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50395DE4" w14:textId="77777777" w:rsidR="00835945" w:rsidRPr="0021307D" w:rsidRDefault="00835945" w:rsidP="00A6302C">
            <w:pPr>
              <w:jc w:val="center"/>
            </w:pPr>
            <w:r w:rsidRPr="0021307D">
              <w:rPr>
                <w:rFonts w:eastAsia="Arial" w:cs="Arial"/>
                <w:b w:val="0"/>
                <w:bCs w:val="0"/>
                <w:sz w:val="22"/>
                <w:szCs w:val="22"/>
              </w:rPr>
              <w:t>2</w:t>
            </w:r>
          </w:p>
        </w:tc>
        <w:tc>
          <w:tcPr>
            <w:tcW w:w="1811" w:type="dxa"/>
            <w:vMerge w:val="restart"/>
          </w:tcPr>
          <w:p w14:paraId="43D3D15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3012C47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r w:rsidRPr="0021307D">
              <w:rPr>
                <w:rFonts w:eastAsia="Arial" w:cs="Arial"/>
                <w:sz w:val="22"/>
                <w:szCs w:val="22"/>
              </w:rPr>
              <w:t>Auxiliar Administrativo: Revisar, alistar y foliar expedientes físicos contractuales para transferencia documental al archivo central</w:t>
            </w:r>
          </w:p>
        </w:tc>
        <w:tc>
          <w:tcPr>
            <w:tcW w:w="2000" w:type="dxa"/>
            <w:vMerge/>
          </w:tcPr>
          <w:p w14:paraId="5B078BC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B026110"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0FA83D63" w14:textId="77777777" w:rsidR="00835945" w:rsidRPr="0021307D" w:rsidRDefault="00835945" w:rsidP="00A6302C"/>
        </w:tc>
        <w:tc>
          <w:tcPr>
            <w:tcW w:w="1811" w:type="dxa"/>
            <w:vMerge/>
          </w:tcPr>
          <w:p w14:paraId="4447BEB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F6CD58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Alimentar base de datos del inventario documental con la respectiva información de los expedientes contractuales. </w:t>
            </w:r>
          </w:p>
        </w:tc>
        <w:tc>
          <w:tcPr>
            <w:tcW w:w="2000" w:type="dxa"/>
            <w:vMerge/>
          </w:tcPr>
          <w:p w14:paraId="5D47EAA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317D8C56"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5526C78" w14:textId="77777777" w:rsidR="00835945" w:rsidRPr="0021307D" w:rsidRDefault="00835945" w:rsidP="00A6302C"/>
        </w:tc>
        <w:tc>
          <w:tcPr>
            <w:tcW w:w="1811" w:type="dxa"/>
            <w:vMerge/>
          </w:tcPr>
          <w:p w14:paraId="1618004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1CF5E9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Mantener organizada con orden numérico las cajas de los expedientes contractuales en archivo de contratación. </w:t>
            </w:r>
          </w:p>
        </w:tc>
        <w:tc>
          <w:tcPr>
            <w:tcW w:w="2000" w:type="dxa"/>
            <w:vMerge/>
          </w:tcPr>
          <w:p w14:paraId="7B6D7710"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E01AAE6"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387D8BE5" w14:textId="77777777" w:rsidR="00835945" w:rsidRPr="0021307D" w:rsidRDefault="00835945" w:rsidP="00A6302C"/>
        </w:tc>
        <w:tc>
          <w:tcPr>
            <w:tcW w:w="1811" w:type="dxa"/>
            <w:vMerge/>
          </w:tcPr>
          <w:p w14:paraId="436CA31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39B8729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Apoyo en la conformación de los expedientes electrónicos en su etapa de ejecución.</w:t>
            </w:r>
          </w:p>
        </w:tc>
        <w:tc>
          <w:tcPr>
            <w:tcW w:w="2000" w:type="dxa"/>
            <w:vMerge/>
          </w:tcPr>
          <w:p w14:paraId="74117D5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8399BEA"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10619FE"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621FCFF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797ABE8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Manejo general de archivo físico de contratación, inventariando la totalidad de expedientes y la conformación de estos, su conservación, custodia y organizar del archivo. </w:t>
            </w:r>
          </w:p>
        </w:tc>
        <w:tc>
          <w:tcPr>
            <w:tcW w:w="2000" w:type="dxa"/>
            <w:vMerge/>
          </w:tcPr>
          <w:p w14:paraId="74ED21E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9AFE09B"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651F3E7E" w14:textId="77777777" w:rsidR="00835945" w:rsidRPr="0021307D" w:rsidRDefault="00835945" w:rsidP="00A6302C"/>
        </w:tc>
        <w:tc>
          <w:tcPr>
            <w:tcW w:w="1811" w:type="dxa"/>
            <w:vMerge/>
          </w:tcPr>
          <w:p w14:paraId="7AAD437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6402D27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Revisar, relacionar y el manejo de archivo físico y digital, aplicando las TRD según indicaciones de Gestión Documental. </w:t>
            </w:r>
          </w:p>
        </w:tc>
        <w:tc>
          <w:tcPr>
            <w:tcW w:w="2000" w:type="dxa"/>
            <w:vMerge/>
          </w:tcPr>
          <w:p w14:paraId="5B51517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3F96B221" w14:textId="77777777" w:rsidTr="00A6302C">
        <w:trPr>
          <w:cnfStyle w:val="000000100000" w:firstRow="0" w:lastRow="0" w:firstColumn="0" w:lastColumn="0" w:oddVBand="0" w:evenVBand="0" w:oddHBand="1" w:evenHBand="0" w:firstRowFirstColumn="0" w:firstRowLastColumn="0" w:lastRowFirstColumn="0" w:lastRowLastColumn="0"/>
          <w:trHeight w:val="201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2A469BCF" w14:textId="3691FFDE" w:rsidR="00835945" w:rsidRPr="00835945" w:rsidRDefault="00835945" w:rsidP="00835945">
            <w:pPr>
              <w:jc w:val="center"/>
              <w:rPr>
                <w:b w:val="0"/>
              </w:rPr>
            </w:pPr>
            <w:r w:rsidRPr="00835945">
              <w:rPr>
                <w:rFonts w:eastAsia="Arial" w:cs="Arial"/>
                <w:b w:val="0"/>
                <w:sz w:val="22"/>
                <w:szCs w:val="22"/>
              </w:rPr>
              <w:lastRenderedPageBreak/>
              <w:t>14</w:t>
            </w:r>
          </w:p>
        </w:tc>
        <w:tc>
          <w:tcPr>
            <w:tcW w:w="1811" w:type="dxa"/>
            <w:vMerge w:val="restart"/>
          </w:tcPr>
          <w:p w14:paraId="71D4284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Contratistas</w:t>
            </w:r>
          </w:p>
        </w:tc>
        <w:tc>
          <w:tcPr>
            <w:tcW w:w="4191" w:type="dxa"/>
          </w:tcPr>
          <w:p w14:paraId="7319B14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Elaboración, revisión y trámite de procesos de contratación para las modalidades de contratación directa, mínima cuantía, selección abreviada, Subastas, convenios interadministrativos  y licitaciones; en las etapas preparatoria, precontractual y contractual; requeridas por las áreas del Instituto.</w:t>
            </w:r>
          </w:p>
        </w:tc>
        <w:tc>
          <w:tcPr>
            <w:tcW w:w="2000" w:type="dxa"/>
            <w:vMerge/>
          </w:tcPr>
          <w:p w14:paraId="3BB23B3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2580D58"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33C6D37" w14:textId="77777777" w:rsidR="00835945" w:rsidRPr="0021307D" w:rsidRDefault="00835945" w:rsidP="00A6302C"/>
        </w:tc>
        <w:tc>
          <w:tcPr>
            <w:tcW w:w="1811" w:type="dxa"/>
            <w:vMerge/>
          </w:tcPr>
          <w:p w14:paraId="1036869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6D502E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la captura de los datos en el sistema de contratación "SICO", SECOP II y SIGEP, de los procesos asignados</w:t>
            </w:r>
          </w:p>
        </w:tc>
        <w:tc>
          <w:tcPr>
            <w:tcW w:w="2000" w:type="dxa"/>
            <w:vMerge/>
          </w:tcPr>
          <w:p w14:paraId="04DD216D"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C85B64D"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vMerge/>
          </w:tcPr>
          <w:p w14:paraId="7704AC07" w14:textId="77777777" w:rsidR="00835945" w:rsidRPr="0021307D" w:rsidRDefault="00835945" w:rsidP="00A6302C"/>
        </w:tc>
        <w:tc>
          <w:tcPr>
            <w:tcW w:w="1811" w:type="dxa"/>
            <w:vMerge/>
          </w:tcPr>
          <w:p w14:paraId="0948783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C3795C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Consolidación de expedientes electrónicos</w:t>
            </w:r>
          </w:p>
        </w:tc>
        <w:tc>
          <w:tcPr>
            <w:tcW w:w="2000" w:type="dxa"/>
            <w:vMerge/>
          </w:tcPr>
          <w:p w14:paraId="3B7A43BE"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15DE513"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vMerge/>
          </w:tcPr>
          <w:p w14:paraId="10AF7F7E" w14:textId="77777777" w:rsidR="00835945" w:rsidRPr="0021307D" w:rsidRDefault="00835945" w:rsidP="00A6302C"/>
        </w:tc>
        <w:tc>
          <w:tcPr>
            <w:tcW w:w="1811" w:type="dxa"/>
            <w:vMerge/>
          </w:tcPr>
          <w:p w14:paraId="37BABE3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221369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Revisión y aprobación de Pólizas de contratos.</w:t>
            </w:r>
          </w:p>
        </w:tc>
        <w:tc>
          <w:tcPr>
            <w:tcW w:w="2000" w:type="dxa"/>
            <w:vMerge/>
          </w:tcPr>
          <w:p w14:paraId="1F378E61"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DC34849"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A29C877" w14:textId="77777777" w:rsidR="00835945" w:rsidRPr="0021307D" w:rsidRDefault="00835945" w:rsidP="00A6302C"/>
        </w:tc>
        <w:tc>
          <w:tcPr>
            <w:tcW w:w="1811" w:type="dxa"/>
            <w:vMerge/>
          </w:tcPr>
          <w:p w14:paraId="2FFC70C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27F130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la elaboración de procesos de contratación de las Territoriales de los proyectos de actualización y conservación</w:t>
            </w:r>
          </w:p>
        </w:tc>
        <w:tc>
          <w:tcPr>
            <w:tcW w:w="2000" w:type="dxa"/>
            <w:vMerge/>
          </w:tcPr>
          <w:p w14:paraId="6008D43E"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5F31B66"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57B8E95E" w14:textId="77777777" w:rsidR="00835945" w:rsidRPr="0021307D" w:rsidRDefault="00835945" w:rsidP="00A6302C"/>
        </w:tc>
        <w:tc>
          <w:tcPr>
            <w:tcW w:w="1811" w:type="dxa"/>
            <w:vMerge/>
          </w:tcPr>
          <w:p w14:paraId="6BDD949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E9B203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Adelantar los procesos de incumplimientos evaluando los requisitos de ley, para iniciar el proceso Sancionatorio si hay lugar.</w:t>
            </w:r>
          </w:p>
        </w:tc>
        <w:tc>
          <w:tcPr>
            <w:tcW w:w="2000" w:type="dxa"/>
            <w:vMerge/>
          </w:tcPr>
          <w:p w14:paraId="10303F25"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6E1067D"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7A6EF14B" w14:textId="77777777" w:rsidR="00835945" w:rsidRPr="0021307D" w:rsidRDefault="00835945" w:rsidP="00A6302C"/>
        </w:tc>
        <w:tc>
          <w:tcPr>
            <w:tcW w:w="1811" w:type="dxa"/>
            <w:vMerge/>
          </w:tcPr>
          <w:p w14:paraId="0D2BB0E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02E3BB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liquidaciones, se revisa que la ejecución del contrato se encuentre a entera satisfacción haciendo un cruce entre la información reportada en el sistema, en SECOP y en SIIF.</w:t>
            </w:r>
          </w:p>
        </w:tc>
        <w:tc>
          <w:tcPr>
            <w:tcW w:w="2000" w:type="dxa"/>
            <w:vMerge/>
          </w:tcPr>
          <w:p w14:paraId="68B51B3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1E34D7D6"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01C29B2B" w14:textId="77777777" w:rsidR="00835945" w:rsidRPr="0021307D" w:rsidRDefault="00835945" w:rsidP="00A6302C"/>
        </w:tc>
        <w:tc>
          <w:tcPr>
            <w:tcW w:w="1811" w:type="dxa"/>
            <w:vMerge/>
          </w:tcPr>
          <w:p w14:paraId="21C7651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797ECE9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Apoyar a la Coordinación del Grupo Interno de Trabajo, en la revisión de los procesos y contratos de egreso de la entidad. </w:t>
            </w:r>
          </w:p>
        </w:tc>
        <w:tc>
          <w:tcPr>
            <w:tcW w:w="2000" w:type="dxa"/>
            <w:vMerge/>
          </w:tcPr>
          <w:p w14:paraId="10C9866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9B631E4"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6C48E0BD" w14:textId="77777777" w:rsidR="00835945" w:rsidRPr="0021307D" w:rsidRDefault="00835945" w:rsidP="00A6302C"/>
        </w:tc>
        <w:tc>
          <w:tcPr>
            <w:tcW w:w="1811" w:type="dxa"/>
            <w:vMerge/>
          </w:tcPr>
          <w:p w14:paraId="42E2B51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E4AD62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Tramitar procesos de contratación financiados con recursos de crédito (contratación Directa).</w:t>
            </w:r>
          </w:p>
        </w:tc>
        <w:tc>
          <w:tcPr>
            <w:tcW w:w="2000" w:type="dxa"/>
            <w:vMerge/>
          </w:tcPr>
          <w:p w14:paraId="68066DFB"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D4F5445"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3DA4CD66" w14:textId="77777777" w:rsidR="00835945" w:rsidRPr="0021307D" w:rsidRDefault="00835945" w:rsidP="00A6302C"/>
        </w:tc>
        <w:tc>
          <w:tcPr>
            <w:tcW w:w="1811" w:type="dxa"/>
            <w:vMerge/>
          </w:tcPr>
          <w:p w14:paraId="7668862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2EFD75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los procesos de Órdenes de Compra en la Tienda Virtual del Estado Colombiano</w:t>
            </w:r>
          </w:p>
        </w:tc>
        <w:tc>
          <w:tcPr>
            <w:tcW w:w="2000" w:type="dxa"/>
            <w:vMerge/>
          </w:tcPr>
          <w:p w14:paraId="66261061"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7DBEB612"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4760BEA5" w14:textId="77777777" w:rsidR="00835945" w:rsidRPr="0021307D" w:rsidRDefault="00835945" w:rsidP="00A6302C"/>
        </w:tc>
        <w:tc>
          <w:tcPr>
            <w:tcW w:w="1811" w:type="dxa"/>
            <w:vMerge/>
          </w:tcPr>
          <w:p w14:paraId="657EA92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472BA4D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Adelantar los eventos de cotización de los procesos que se lleven de acuerdo marco de precios en la Tienda Virtual del Estado Colombiano.</w:t>
            </w:r>
          </w:p>
        </w:tc>
        <w:tc>
          <w:tcPr>
            <w:tcW w:w="2000" w:type="dxa"/>
            <w:vMerge/>
          </w:tcPr>
          <w:p w14:paraId="705EBE7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F436755"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85BC9B3" w14:textId="77777777" w:rsidR="00835945" w:rsidRPr="0021307D" w:rsidRDefault="00835945" w:rsidP="00A6302C"/>
        </w:tc>
        <w:tc>
          <w:tcPr>
            <w:tcW w:w="1811" w:type="dxa"/>
            <w:vMerge/>
          </w:tcPr>
          <w:p w14:paraId="1455A6E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34F1B63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Revisión y publicación de contratos de Egreso en la Plataforma de SECOPII.</w:t>
            </w:r>
          </w:p>
        </w:tc>
        <w:tc>
          <w:tcPr>
            <w:tcW w:w="2000" w:type="dxa"/>
            <w:vMerge/>
          </w:tcPr>
          <w:p w14:paraId="37E7B62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935E28F"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tcPr>
          <w:p w14:paraId="67E00311" w14:textId="77777777" w:rsidR="00835945" w:rsidRPr="0021307D" w:rsidRDefault="00835945" w:rsidP="00A6302C">
            <w:pPr>
              <w:jc w:val="right"/>
            </w:pPr>
            <w:r w:rsidRPr="0021307D">
              <w:rPr>
                <w:rFonts w:eastAsia="Arial" w:cs="Arial"/>
                <w:sz w:val="22"/>
                <w:szCs w:val="22"/>
              </w:rPr>
              <w:t xml:space="preserve"> </w:t>
            </w:r>
          </w:p>
        </w:tc>
        <w:tc>
          <w:tcPr>
            <w:tcW w:w="1811" w:type="dxa"/>
            <w:vMerge/>
          </w:tcPr>
          <w:p w14:paraId="17E27F3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736305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Revisión y trámite de contratos de ingreso</w:t>
            </w:r>
          </w:p>
        </w:tc>
        <w:tc>
          <w:tcPr>
            <w:tcW w:w="2000" w:type="dxa"/>
            <w:vMerge/>
          </w:tcPr>
          <w:p w14:paraId="24EAA7D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556243F"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34160AB" w14:textId="77777777" w:rsidR="00835945" w:rsidRPr="00835945" w:rsidRDefault="00835945" w:rsidP="00A6302C">
            <w:pPr>
              <w:jc w:val="center"/>
              <w:rPr>
                <w:b w:val="0"/>
              </w:rPr>
            </w:pPr>
            <w:r w:rsidRPr="00835945">
              <w:rPr>
                <w:rFonts w:eastAsia="Arial" w:cs="Arial"/>
                <w:b w:val="0"/>
                <w:sz w:val="22"/>
                <w:szCs w:val="22"/>
              </w:rPr>
              <w:lastRenderedPageBreak/>
              <w:t>1</w:t>
            </w:r>
          </w:p>
        </w:tc>
        <w:tc>
          <w:tcPr>
            <w:tcW w:w="1811" w:type="dxa"/>
            <w:vMerge w:val="restart"/>
          </w:tcPr>
          <w:p w14:paraId="7E2635F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1AF2421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Manejo de la plataforma SECOPII, para revisión, y aprobación de procesos y contratos y cambios de flujos de los equipos</w:t>
            </w:r>
          </w:p>
        </w:tc>
        <w:tc>
          <w:tcPr>
            <w:tcW w:w="2000" w:type="dxa"/>
            <w:vMerge/>
          </w:tcPr>
          <w:p w14:paraId="5ADF5895"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75F38C1"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4B94FBE" w14:textId="77777777" w:rsidR="00835945" w:rsidRPr="0021307D" w:rsidRDefault="00835945" w:rsidP="00A6302C"/>
        </w:tc>
        <w:tc>
          <w:tcPr>
            <w:tcW w:w="1811" w:type="dxa"/>
            <w:vMerge/>
          </w:tcPr>
          <w:p w14:paraId="2434F11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1E1284C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Manejo de la plataforma SECOPII, para acceso a nuevos usuarios.</w:t>
            </w:r>
          </w:p>
        </w:tc>
        <w:tc>
          <w:tcPr>
            <w:tcW w:w="2000" w:type="dxa"/>
            <w:vMerge/>
          </w:tcPr>
          <w:p w14:paraId="477CBCAE"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0A6466A"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3B10F9EA" w14:textId="77777777" w:rsidR="00835945" w:rsidRPr="0021307D" w:rsidRDefault="00835945" w:rsidP="00A6302C"/>
        </w:tc>
        <w:tc>
          <w:tcPr>
            <w:tcW w:w="1811" w:type="dxa"/>
            <w:vMerge/>
          </w:tcPr>
          <w:p w14:paraId="1550498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421400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2"/>
                <w:szCs w:val="22"/>
              </w:rPr>
            </w:pPr>
            <w:r w:rsidRPr="0021307D">
              <w:rPr>
                <w:rFonts w:eastAsia="Arial" w:cs="Arial"/>
                <w:sz w:val="22"/>
                <w:szCs w:val="22"/>
              </w:rPr>
              <w:t>Capacitaciones a supervisores y contratistas en el manejo de la Plataforma de  SECOPII</w:t>
            </w:r>
          </w:p>
        </w:tc>
        <w:tc>
          <w:tcPr>
            <w:tcW w:w="2000" w:type="dxa"/>
            <w:vMerge/>
          </w:tcPr>
          <w:p w14:paraId="4AA2BFD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3C3A425"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65E829E5" w14:textId="77777777" w:rsidR="00835945" w:rsidRPr="0021307D" w:rsidRDefault="00835945" w:rsidP="00A6302C"/>
        </w:tc>
        <w:tc>
          <w:tcPr>
            <w:tcW w:w="1811" w:type="dxa"/>
            <w:vMerge/>
          </w:tcPr>
          <w:p w14:paraId="169C2AC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022066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Actividades relacionadas con la planeación, seguimiento y control de la información generada por el grupo interno de trabajo de contratos de egresos.</w:t>
            </w:r>
          </w:p>
        </w:tc>
        <w:tc>
          <w:tcPr>
            <w:tcW w:w="2000" w:type="dxa"/>
            <w:vMerge/>
          </w:tcPr>
          <w:p w14:paraId="345CB61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0AD9620"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637D0258" w14:textId="77777777" w:rsidR="00835945" w:rsidRPr="0021307D" w:rsidRDefault="00835945" w:rsidP="00A6302C"/>
        </w:tc>
        <w:tc>
          <w:tcPr>
            <w:tcW w:w="1811" w:type="dxa"/>
            <w:vMerge/>
          </w:tcPr>
          <w:p w14:paraId="4DCFE12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3AFE7B2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Apoyo en el manejo del sistema SICO y de elaboración de actas de supervisión</w:t>
            </w:r>
          </w:p>
        </w:tc>
        <w:tc>
          <w:tcPr>
            <w:tcW w:w="2000" w:type="dxa"/>
            <w:vMerge/>
          </w:tcPr>
          <w:p w14:paraId="4FC8428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D25523B"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2E653C57" w14:textId="77777777" w:rsidR="00835945" w:rsidRPr="0021307D" w:rsidRDefault="00835945" w:rsidP="00A6302C"/>
        </w:tc>
        <w:tc>
          <w:tcPr>
            <w:tcW w:w="1811" w:type="dxa"/>
            <w:vMerge/>
          </w:tcPr>
          <w:p w14:paraId="7CC8B2F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A86940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Apoyo en la administración de la Plataforma SICO, para las diferentes etapas del proceso.</w:t>
            </w:r>
          </w:p>
        </w:tc>
        <w:tc>
          <w:tcPr>
            <w:tcW w:w="2000" w:type="dxa"/>
            <w:vMerge/>
          </w:tcPr>
          <w:p w14:paraId="57E8E85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D0E3BC5"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3BD05D01" w14:textId="77777777" w:rsidR="00835945" w:rsidRPr="0021307D" w:rsidRDefault="00835945" w:rsidP="00A6302C"/>
        </w:tc>
        <w:tc>
          <w:tcPr>
            <w:tcW w:w="1811" w:type="dxa"/>
            <w:vMerge/>
          </w:tcPr>
          <w:p w14:paraId="438CB25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7A2E90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Apoyo en las reuniones que requiera la Coordinadora del Grupo Interno de Trabajo de Gestión contractual.</w:t>
            </w:r>
          </w:p>
        </w:tc>
        <w:tc>
          <w:tcPr>
            <w:tcW w:w="2000" w:type="dxa"/>
            <w:vMerge/>
          </w:tcPr>
          <w:p w14:paraId="0FD1C20E"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725DC602"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vMerge/>
          </w:tcPr>
          <w:p w14:paraId="2617E69C" w14:textId="77777777" w:rsidR="00835945" w:rsidRPr="0021307D" w:rsidRDefault="00835945" w:rsidP="00A6302C"/>
        </w:tc>
        <w:tc>
          <w:tcPr>
            <w:tcW w:w="1811" w:type="dxa"/>
            <w:vMerge/>
          </w:tcPr>
          <w:p w14:paraId="7DF6B3D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7C5DBEF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Apoyo en el manejo de la Plataforma SIGEP</w:t>
            </w:r>
          </w:p>
        </w:tc>
        <w:tc>
          <w:tcPr>
            <w:tcW w:w="2000" w:type="dxa"/>
            <w:vMerge/>
          </w:tcPr>
          <w:p w14:paraId="3373890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2F90A3A"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12823876" w14:textId="77777777" w:rsidR="00835945" w:rsidRPr="00FF379D" w:rsidRDefault="00835945" w:rsidP="00A6302C">
            <w:pPr>
              <w:jc w:val="center"/>
              <w:rPr>
                <w:b w:val="0"/>
              </w:rPr>
            </w:pPr>
            <w:r w:rsidRPr="00FF379D">
              <w:rPr>
                <w:rFonts w:eastAsia="Arial" w:cs="Arial"/>
                <w:b w:val="0"/>
                <w:sz w:val="22"/>
                <w:szCs w:val="22"/>
              </w:rPr>
              <w:t>1</w:t>
            </w:r>
          </w:p>
        </w:tc>
        <w:tc>
          <w:tcPr>
            <w:tcW w:w="1811" w:type="dxa"/>
            <w:vMerge w:val="restart"/>
          </w:tcPr>
          <w:p w14:paraId="28BCB28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6A1AA11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Consolidación y Elaboración del plan de compras.</w:t>
            </w:r>
          </w:p>
        </w:tc>
        <w:tc>
          <w:tcPr>
            <w:tcW w:w="2000" w:type="dxa"/>
            <w:vMerge/>
          </w:tcPr>
          <w:p w14:paraId="1AA2CF57"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81D2B12"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570A5A2A" w14:textId="77777777" w:rsidR="00835945" w:rsidRPr="0021307D" w:rsidRDefault="00835945" w:rsidP="00A6302C"/>
        </w:tc>
        <w:tc>
          <w:tcPr>
            <w:tcW w:w="1811" w:type="dxa"/>
            <w:vMerge/>
          </w:tcPr>
          <w:p w14:paraId="4331EA4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CF58AA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Asistir a mesas de trabajo para la consolidación del plan de compras</w:t>
            </w:r>
          </w:p>
        </w:tc>
        <w:tc>
          <w:tcPr>
            <w:tcW w:w="2000" w:type="dxa"/>
            <w:vMerge/>
          </w:tcPr>
          <w:p w14:paraId="22D4C884"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0239C57"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720A3770" w14:textId="77777777" w:rsidR="00835945" w:rsidRPr="0021307D" w:rsidRDefault="00835945" w:rsidP="00A6302C"/>
        </w:tc>
        <w:tc>
          <w:tcPr>
            <w:tcW w:w="1811" w:type="dxa"/>
            <w:vMerge/>
          </w:tcPr>
          <w:p w14:paraId="0CFDC518"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7E7ED18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Elaboración de informes a los entes de Control (FURAG, SIRECI), entre otros</w:t>
            </w:r>
          </w:p>
        </w:tc>
        <w:tc>
          <w:tcPr>
            <w:tcW w:w="2000" w:type="dxa"/>
            <w:vMerge/>
          </w:tcPr>
          <w:p w14:paraId="62382D0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ED9E651"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1317DB1" w14:textId="77777777" w:rsidR="00835945" w:rsidRPr="0021307D" w:rsidRDefault="00835945" w:rsidP="00A6302C"/>
        </w:tc>
        <w:tc>
          <w:tcPr>
            <w:tcW w:w="1811" w:type="dxa"/>
            <w:vMerge/>
          </w:tcPr>
          <w:p w14:paraId="32AF98B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15834F4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Administración de la Plataforma SICO, para elaboración de contratos.</w:t>
            </w:r>
          </w:p>
        </w:tc>
        <w:tc>
          <w:tcPr>
            <w:tcW w:w="2000" w:type="dxa"/>
            <w:vMerge/>
          </w:tcPr>
          <w:p w14:paraId="6985D8C5"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F66C2AA"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86588B8" w14:textId="77777777" w:rsidR="00835945" w:rsidRPr="0021307D" w:rsidRDefault="00835945" w:rsidP="00A6302C"/>
        </w:tc>
        <w:tc>
          <w:tcPr>
            <w:tcW w:w="1811" w:type="dxa"/>
            <w:vMerge/>
          </w:tcPr>
          <w:p w14:paraId="0A3AC5C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BC208F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Diligencias las matrices para entregas de informes a las diferentes dependencias del Instituto</w:t>
            </w:r>
          </w:p>
        </w:tc>
        <w:tc>
          <w:tcPr>
            <w:tcW w:w="2000" w:type="dxa"/>
            <w:vMerge/>
          </w:tcPr>
          <w:p w14:paraId="2DDF6D09"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321E8CB7"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5446F023" w14:textId="77777777" w:rsidR="00835945" w:rsidRPr="00FF379D" w:rsidRDefault="00835945" w:rsidP="00A6302C">
            <w:pPr>
              <w:jc w:val="center"/>
              <w:rPr>
                <w:b w:val="0"/>
              </w:rPr>
            </w:pPr>
            <w:r w:rsidRPr="00FF379D">
              <w:rPr>
                <w:rFonts w:eastAsia="Arial" w:cs="Arial"/>
                <w:b w:val="0"/>
                <w:sz w:val="22"/>
                <w:szCs w:val="22"/>
              </w:rPr>
              <w:t>1</w:t>
            </w:r>
          </w:p>
        </w:tc>
        <w:tc>
          <w:tcPr>
            <w:tcW w:w="1811" w:type="dxa"/>
            <w:vMerge w:val="restart"/>
          </w:tcPr>
          <w:p w14:paraId="40775CA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3E299E9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la revisión de los procesos de contratación que ingresan al área para posterior asignación.</w:t>
            </w:r>
          </w:p>
        </w:tc>
        <w:tc>
          <w:tcPr>
            <w:tcW w:w="2000" w:type="dxa"/>
            <w:vMerge/>
          </w:tcPr>
          <w:p w14:paraId="5DB63510"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0AE5C78D"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59092384" w14:textId="77777777" w:rsidR="00835945" w:rsidRPr="0021307D" w:rsidRDefault="00835945" w:rsidP="00A6302C"/>
        </w:tc>
        <w:tc>
          <w:tcPr>
            <w:tcW w:w="1811" w:type="dxa"/>
            <w:vMerge/>
          </w:tcPr>
          <w:p w14:paraId="4EA4736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5EBA78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Revisión de perfiles para elaboración de procesos de contratación, de acuerdo a las resoluciones de honorarios vigentes</w:t>
            </w:r>
          </w:p>
        </w:tc>
        <w:tc>
          <w:tcPr>
            <w:tcW w:w="2000" w:type="dxa"/>
            <w:vMerge/>
          </w:tcPr>
          <w:p w14:paraId="0C85FA73"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AB78E65"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2C25216C" w14:textId="77777777" w:rsidR="00835945" w:rsidRPr="0021307D" w:rsidRDefault="00835945" w:rsidP="00A6302C"/>
        </w:tc>
        <w:tc>
          <w:tcPr>
            <w:tcW w:w="1811" w:type="dxa"/>
            <w:vMerge/>
          </w:tcPr>
          <w:p w14:paraId="278004B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75421AE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Consolidación del archivo para asignación de procesos a los abogados del Grupo Interno de Gestión contractual.</w:t>
            </w:r>
          </w:p>
        </w:tc>
        <w:tc>
          <w:tcPr>
            <w:tcW w:w="2000" w:type="dxa"/>
            <w:vMerge/>
          </w:tcPr>
          <w:p w14:paraId="040EE6C4"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46E22D0"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EDEA46F" w14:textId="77777777" w:rsidR="00835945" w:rsidRPr="0021307D" w:rsidRDefault="00835945" w:rsidP="00A6302C"/>
        </w:tc>
        <w:tc>
          <w:tcPr>
            <w:tcW w:w="1811" w:type="dxa"/>
            <w:vMerge/>
          </w:tcPr>
          <w:p w14:paraId="3E573E2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33F8DD9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Requerir a los enlaces de las áreas las correcciones de procesos en aras de brindar celeridad a los mismos.</w:t>
            </w:r>
          </w:p>
        </w:tc>
        <w:tc>
          <w:tcPr>
            <w:tcW w:w="2000" w:type="dxa"/>
            <w:vMerge/>
          </w:tcPr>
          <w:p w14:paraId="6D5A189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FB0F22C" w14:textId="77777777" w:rsidTr="00A6302C">
        <w:trPr>
          <w:cnfStyle w:val="000000100000" w:firstRow="0" w:lastRow="0" w:firstColumn="0" w:lastColumn="0" w:oddVBand="0" w:evenVBand="0" w:oddHBand="1" w:evenHBand="0" w:firstRowFirstColumn="0" w:firstRowLastColumn="0" w:lastRowFirstColumn="0" w:lastRowLastColumn="0"/>
          <w:trHeight w:val="11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03A43D5" w14:textId="77777777" w:rsidR="00835945" w:rsidRPr="00FF379D" w:rsidRDefault="00835945" w:rsidP="00A6302C">
            <w:pPr>
              <w:jc w:val="center"/>
              <w:rPr>
                <w:b w:val="0"/>
              </w:rPr>
            </w:pPr>
            <w:r w:rsidRPr="00FF379D">
              <w:rPr>
                <w:rFonts w:eastAsia="Arial" w:cs="Arial"/>
                <w:b w:val="0"/>
                <w:sz w:val="22"/>
                <w:szCs w:val="22"/>
              </w:rPr>
              <w:lastRenderedPageBreak/>
              <w:t>2</w:t>
            </w:r>
          </w:p>
        </w:tc>
        <w:tc>
          <w:tcPr>
            <w:tcW w:w="1811" w:type="dxa"/>
            <w:vMerge w:val="restart"/>
          </w:tcPr>
          <w:p w14:paraId="5648F3A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Contratistas</w:t>
            </w:r>
          </w:p>
        </w:tc>
        <w:tc>
          <w:tcPr>
            <w:tcW w:w="4191" w:type="dxa"/>
          </w:tcPr>
          <w:p w14:paraId="47B947F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Revisar los documentos cargados por los contratistas en la plataforma SIGEP, para dar de alta y aprobar las hojas de vida</w:t>
            </w:r>
            <w:r w:rsidRPr="0021307D">
              <w:rPr>
                <w:rFonts w:eastAsia="Arial" w:cs="Arial"/>
                <w:b/>
                <w:bCs/>
                <w:sz w:val="22"/>
                <w:szCs w:val="22"/>
              </w:rPr>
              <w:t>.</w:t>
            </w:r>
          </w:p>
        </w:tc>
        <w:tc>
          <w:tcPr>
            <w:tcW w:w="2000" w:type="dxa"/>
            <w:vMerge/>
          </w:tcPr>
          <w:p w14:paraId="2A0B546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C8B40AC"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24728CD" w14:textId="77777777" w:rsidR="00835945" w:rsidRPr="0021307D" w:rsidRDefault="00835945" w:rsidP="00A6302C"/>
        </w:tc>
        <w:tc>
          <w:tcPr>
            <w:tcW w:w="1811" w:type="dxa"/>
            <w:vMerge/>
          </w:tcPr>
          <w:p w14:paraId="4EF4F76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6C3BD0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Creación de nuevos usuarios en la plataforma SIGEP</w:t>
            </w:r>
          </w:p>
        </w:tc>
        <w:tc>
          <w:tcPr>
            <w:tcW w:w="2000" w:type="dxa"/>
            <w:vMerge/>
          </w:tcPr>
          <w:p w14:paraId="3E3684A3"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11982F2"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53CF010" w14:textId="77777777" w:rsidR="00835945" w:rsidRPr="0021307D" w:rsidRDefault="00835945" w:rsidP="00A6302C"/>
        </w:tc>
        <w:tc>
          <w:tcPr>
            <w:tcW w:w="1811" w:type="dxa"/>
            <w:vMerge/>
          </w:tcPr>
          <w:p w14:paraId="5DD246A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6EDD21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Dar de baja de la entidad en la plataforma SIGEP a los contratistas que ceden, o terminan sus contratos por mutuo acuerdo</w:t>
            </w:r>
          </w:p>
        </w:tc>
        <w:tc>
          <w:tcPr>
            <w:tcW w:w="2000" w:type="dxa"/>
            <w:vMerge/>
          </w:tcPr>
          <w:p w14:paraId="4CA13FC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927E109"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2AC17833" w14:textId="77777777" w:rsidR="00835945" w:rsidRPr="0021307D" w:rsidRDefault="00835945" w:rsidP="00A6302C"/>
        </w:tc>
        <w:tc>
          <w:tcPr>
            <w:tcW w:w="1811" w:type="dxa"/>
            <w:vMerge/>
          </w:tcPr>
          <w:p w14:paraId="5B2D00C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68840B1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Verificar que los documentos allegados por las áreas al Grupo Interno de Trabajo de Gestión contractual en su etapa precontractual, que sean legibles y correspondan a la persona, lo anterior para iniciar el proceso de contratación.</w:t>
            </w:r>
          </w:p>
        </w:tc>
        <w:tc>
          <w:tcPr>
            <w:tcW w:w="2000" w:type="dxa"/>
            <w:vMerge/>
          </w:tcPr>
          <w:p w14:paraId="2CA9622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3BCFB70"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9F1192C" w14:textId="77777777" w:rsidR="00835945" w:rsidRPr="00FF379D" w:rsidRDefault="00835945" w:rsidP="00A6302C">
            <w:pPr>
              <w:jc w:val="center"/>
              <w:rPr>
                <w:b w:val="0"/>
              </w:rPr>
            </w:pPr>
            <w:r w:rsidRPr="00FF379D">
              <w:rPr>
                <w:rFonts w:eastAsia="Arial" w:cs="Arial"/>
                <w:b w:val="0"/>
                <w:sz w:val="22"/>
                <w:szCs w:val="22"/>
              </w:rPr>
              <w:t>1</w:t>
            </w:r>
          </w:p>
        </w:tc>
        <w:tc>
          <w:tcPr>
            <w:tcW w:w="1811" w:type="dxa"/>
            <w:vMerge w:val="restart"/>
          </w:tcPr>
          <w:p w14:paraId="015F6D0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44E74AD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Elaborar los procesos de Contratación Directa, requeridos por las áreas del Instituto</w:t>
            </w:r>
          </w:p>
        </w:tc>
        <w:tc>
          <w:tcPr>
            <w:tcW w:w="2000" w:type="dxa"/>
            <w:vMerge/>
          </w:tcPr>
          <w:p w14:paraId="782DE52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025A0B9"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5406AB50" w14:textId="77777777" w:rsidR="00835945" w:rsidRPr="0021307D" w:rsidRDefault="00835945" w:rsidP="00A6302C"/>
        </w:tc>
        <w:tc>
          <w:tcPr>
            <w:tcW w:w="1811" w:type="dxa"/>
            <w:vMerge/>
          </w:tcPr>
          <w:p w14:paraId="1EE6FBA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E51C6A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Publicar los actos administrativos en las diferentes Plataformas (SECOPII, SIGEP, SICO).</w:t>
            </w:r>
          </w:p>
        </w:tc>
        <w:tc>
          <w:tcPr>
            <w:tcW w:w="2000" w:type="dxa"/>
            <w:vMerge/>
          </w:tcPr>
          <w:p w14:paraId="423E03D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7067123"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E93C8B4" w14:textId="77777777" w:rsidR="00835945" w:rsidRPr="0021307D" w:rsidRDefault="00835945" w:rsidP="00A6302C"/>
        </w:tc>
        <w:tc>
          <w:tcPr>
            <w:tcW w:w="1811" w:type="dxa"/>
            <w:vMerge/>
          </w:tcPr>
          <w:p w14:paraId="26875FA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26D87B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Revisión de las pólizas para la legalización de los contratos</w:t>
            </w:r>
          </w:p>
        </w:tc>
        <w:tc>
          <w:tcPr>
            <w:tcW w:w="2000" w:type="dxa"/>
            <w:vMerge/>
          </w:tcPr>
          <w:p w14:paraId="2EFBA56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031B6ED"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D2F0F14" w14:textId="77777777" w:rsidR="00835945" w:rsidRPr="0021307D" w:rsidRDefault="00835945" w:rsidP="00A6302C"/>
        </w:tc>
        <w:tc>
          <w:tcPr>
            <w:tcW w:w="1811" w:type="dxa"/>
            <w:vMerge/>
          </w:tcPr>
          <w:p w14:paraId="3162310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F00C82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la elaboración de procesos de contratación de las Territoriales de los proyectos de actualización y conservación</w:t>
            </w:r>
          </w:p>
        </w:tc>
        <w:tc>
          <w:tcPr>
            <w:tcW w:w="2000" w:type="dxa"/>
            <w:vMerge/>
          </w:tcPr>
          <w:p w14:paraId="7C0BEA8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66383F6"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vMerge/>
          </w:tcPr>
          <w:p w14:paraId="3E43999C" w14:textId="77777777" w:rsidR="00835945" w:rsidRPr="0021307D" w:rsidRDefault="00835945" w:rsidP="00A6302C"/>
        </w:tc>
        <w:tc>
          <w:tcPr>
            <w:tcW w:w="1811" w:type="dxa"/>
            <w:vMerge/>
          </w:tcPr>
          <w:p w14:paraId="4268C4B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484FB8E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Consolidación de expedientes electrónicos</w:t>
            </w:r>
          </w:p>
        </w:tc>
        <w:tc>
          <w:tcPr>
            <w:tcW w:w="2000" w:type="dxa"/>
            <w:vMerge/>
          </w:tcPr>
          <w:p w14:paraId="3574A17A"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E558AEC"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42CA4883" w14:textId="77777777" w:rsidR="00835945" w:rsidRPr="0021307D" w:rsidRDefault="00835945" w:rsidP="00A6302C"/>
        </w:tc>
        <w:tc>
          <w:tcPr>
            <w:tcW w:w="1811" w:type="dxa"/>
            <w:vMerge/>
          </w:tcPr>
          <w:p w14:paraId="654CA2C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80CA5C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Se realizó la captura de los datos en el sistema de contratación "SICO", SECOP II y SIGEP, de los procesos asignados</w:t>
            </w:r>
          </w:p>
        </w:tc>
        <w:tc>
          <w:tcPr>
            <w:tcW w:w="2000" w:type="dxa"/>
            <w:vMerge/>
          </w:tcPr>
          <w:p w14:paraId="28415B3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BB4E8D5"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62BF6B2E" w14:textId="77777777" w:rsidR="00835945" w:rsidRPr="0021307D" w:rsidRDefault="00835945" w:rsidP="00A6302C"/>
        </w:tc>
        <w:tc>
          <w:tcPr>
            <w:tcW w:w="1811" w:type="dxa"/>
            <w:vMerge/>
          </w:tcPr>
          <w:p w14:paraId="647FAFD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11895C5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seguimiento en la Plataforma SECOPII, a la información publicada por supervisores y contratistas.</w:t>
            </w:r>
          </w:p>
        </w:tc>
        <w:tc>
          <w:tcPr>
            <w:tcW w:w="2000" w:type="dxa"/>
            <w:vMerge/>
          </w:tcPr>
          <w:p w14:paraId="5DA846E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0CBD8C5"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654EFDA" w14:textId="77777777" w:rsidR="00835945" w:rsidRPr="00FF379D" w:rsidRDefault="00835945" w:rsidP="00A6302C">
            <w:pPr>
              <w:jc w:val="center"/>
              <w:rPr>
                <w:b w:val="0"/>
              </w:rPr>
            </w:pPr>
            <w:r w:rsidRPr="00FF379D">
              <w:rPr>
                <w:rFonts w:eastAsia="Arial" w:cs="Arial"/>
                <w:b w:val="0"/>
                <w:sz w:val="22"/>
                <w:szCs w:val="22"/>
              </w:rPr>
              <w:t>1</w:t>
            </w:r>
          </w:p>
        </w:tc>
        <w:tc>
          <w:tcPr>
            <w:tcW w:w="1811" w:type="dxa"/>
            <w:vMerge w:val="restart"/>
          </w:tcPr>
          <w:p w14:paraId="038221B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325420B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Elaborar requerimiento a los supervisores en la Sede Central de documentos faltantes en los expedientes contractuales.</w:t>
            </w:r>
          </w:p>
        </w:tc>
        <w:tc>
          <w:tcPr>
            <w:tcW w:w="2000" w:type="dxa"/>
            <w:vMerge/>
          </w:tcPr>
          <w:p w14:paraId="60776E35"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055EEA8"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0747DE87" w14:textId="77777777" w:rsidR="00835945" w:rsidRPr="0021307D" w:rsidRDefault="00835945" w:rsidP="00A6302C"/>
        </w:tc>
        <w:tc>
          <w:tcPr>
            <w:tcW w:w="1811" w:type="dxa"/>
            <w:vMerge/>
          </w:tcPr>
          <w:p w14:paraId="6B30962A"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41FDC12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Cargar información de ejecución de los contratos para la conformación de los expedientes electrónicos</w:t>
            </w:r>
          </w:p>
        </w:tc>
        <w:tc>
          <w:tcPr>
            <w:tcW w:w="2000" w:type="dxa"/>
            <w:vMerge/>
          </w:tcPr>
          <w:p w14:paraId="3EE773E5"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A21239F"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0BB19467" w14:textId="77777777" w:rsidR="00835945" w:rsidRPr="0021307D" w:rsidRDefault="00835945" w:rsidP="00A6302C"/>
        </w:tc>
        <w:tc>
          <w:tcPr>
            <w:tcW w:w="1811" w:type="dxa"/>
            <w:vMerge/>
          </w:tcPr>
          <w:p w14:paraId="3696E013"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551F1CA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Revisión y publicación de las actas de liquidaciones de contratos </w:t>
            </w:r>
          </w:p>
        </w:tc>
        <w:tc>
          <w:tcPr>
            <w:tcW w:w="2000" w:type="dxa"/>
            <w:vMerge/>
          </w:tcPr>
          <w:p w14:paraId="259A43A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D5A82D7"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54606413" w14:textId="77777777" w:rsidR="00835945" w:rsidRPr="0021307D" w:rsidRDefault="00835945" w:rsidP="00A6302C"/>
        </w:tc>
        <w:tc>
          <w:tcPr>
            <w:tcW w:w="1811" w:type="dxa"/>
            <w:vMerge/>
          </w:tcPr>
          <w:p w14:paraId="10EC1A8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4CC2568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Proyectar y revisar resoluciones de perdida de competencia para liquidar los contratos</w:t>
            </w:r>
          </w:p>
        </w:tc>
        <w:tc>
          <w:tcPr>
            <w:tcW w:w="2000" w:type="dxa"/>
            <w:vMerge/>
          </w:tcPr>
          <w:p w14:paraId="567F5130"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5529CD2"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445A5B3B" w14:textId="77777777" w:rsidR="00835945" w:rsidRPr="0021307D" w:rsidRDefault="00835945" w:rsidP="00A6302C"/>
        </w:tc>
        <w:tc>
          <w:tcPr>
            <w:tcW w:w="1811" w:type="dxa"/>
            <w:vMerge/>
          </w:tcPr>
          <w:p w14:paraId="596ABA47"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6E79197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Elaborar en el Sistema de Contratación SICO - las certificaciones de contratos, solicitadas por los contratistas.</w:t>
            </w:r>
          </w:p>
        </w:tc>
        <w:tc>
          <w:tcPr>
            <w:tcW w:w="2000" w:type="dxa"/>
            <w:vMerge/>
          </w:tcPr>
          <w:p w14:paraId="36D21A95"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E48DF2F" w14:textId="77777777" w:rsidTr="00A6302C">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360" w:type="dxa"/>
            <w:gridSpan w:val="4"/>
          </w:tcPr>
          <w:p w14:paraId="3D570433" w14:textId="77777777" w:rsidR="00835945" w:rsidRPr="00B45A83" w:rsidRDefault="00835945" w:rsidP="00A6302C">
            <w:pPr>
              <w:jc w:val="center"/>
            </w:pPr>
            <w:r w:rsidRPr="00B45A83">
              <w:rPr>
                <w:rFonts w:eastAsia="Arial" w:cs="Arial"/>
                <w:bCs w:val="0"/>
                <w:sz w:val="22"/>
                <w:szCs w:val="22"/>
              </w:rPr>
              <w:t>Proceso de Gestión Administrativa</w:t>
            </w:r>
          </w:p>
        </w:tc>
      </w:tr>
      <w:tr w:rsidR="00835945" w:rsidRPr="0021307D" w14:paraId="1C8275FB"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5CA6F2ED" w14:textId="77777777" w:rsidR="00835945" w:rsidRPr="00B45A83" w:rsidRDefault="00835945" w:rsidP="00A6302C">
            <w:pPr>
              <w:jc w:val="center"/>
              <w:rPr>
                <w:b w:val="0"/>
                <w:sz w:val="22"/>
                <w:szCs w:val="22"/>
              </w:rPr>
            </w:pPr>
            <w:r w:rsidRPr="00B45A83">
              <w:rPr>
                <w:b w:val="0"/>
                <w:sz w:val="22"/>
                <w:szCs w:val="22"/>
              </w:rPr>
              <w:t>1</w:t>
            </w:r>
          </w:p>
        </w:tc>
        <w:tc>
          <w:tcPr>
            <w:tcW w:w="1811" w:type="dxa"/>
            <w:vMerge w:val="restart"/>
          </w:tcPr>
          <w:p w14:paraId="0BC25AA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t>Contratista</w:t>
            </w:r>
          </w:p>
        </w:tc>
        <w:tc>
          <w:tcPr>
            <w:tcW w:w="4191" w:type="dxa"/>
          </w:tcPr>
          <w:p w14:paraId="3A1D338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2"/>
                <w:szCs w:val="22"/>
              </w:rPr>
            </w:pPr>
            <w:r w:rsidRPr="0021307D">
              <w:rPr>
                <w:rFonts w:eastAsia="Arial" w:cs="Arial"/>
                <w:sz w:val="22"/>
                <w:szCs w:val="22"/>
              </w:rPr>
              <w:t>Verificar  y  controlar la  documentación allegada  al  GIT  de  Servicios  Administrativos  de  los  diferentes  procesos  que  se encarga el área</w:t>
            </w:r>
          </w:p>
        </w:tc>
        <w:tc>
          <w:tcPr>
            <w:tcW w:w="2000" w:type="dxa"/>
            <w:vMerge w:val="restart"/>
            <w:vAlign w:val="center"/>
          </w:tcPr>
          <w:p w14:paraId="0D4EA0FB"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t>Gestión de servicios</w:t>
            </w:r>
          </w:p>
        </w:tc>
      </w:tr>
      <w:tr w:rsidR="00835945" w:rsidRPr="0021307D" w14:paraId="1D17CBC4"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53F4EBE2" w14:textId="77777777" w:rsidR="00835945" w:rsidRPr="0021307D" w:rsidRDefault="00835945" w:rsidP="00A6302C"/>
        </w:tc>
        <w:tc>
          <w:tcPr>
            <w:tcW w:w="1811" w:type="dxa"/>
            <w:vMerge/>
          </w:tcPr>
          <w:p w14:paraId="760A24C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7E32B54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Dar  línea  técnica  ambiental  en  los  procesos  para  la actualización,  mantenimiento  y  fortalecimiento del sistema de gestión ambiental.</w:t>
            </w:r>
          </w:p>
        </w:tc>
        <w:tc>
          <w:tcPr>
            <w:tcW w:w="2000" w:type="dxa"/>
            <w:vMerge/>
          </w:tcPr>
          <w:p w14:paraId="7A6202F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BC57505"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34F0ED8E" w14:textId="77777777" w:rsidR="00835945" w:rsidRPr="0021307D" w:rsidRDefault="00835945" w:rsidP="00A6302C"/>
        </w:tc>
        <w:tc>
          <w:tcPr>
            <w:tcW w:w="1811" w:type="dxa"/>
            <w:vMerge/>
          </w:tcPr>
          <w:p w14:paraId="19D621C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6DA83D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2"/>
                <w:szCs w:val="22"/>
              </w:rPr>
            </w:pPr>
            <w:r w:rsidRPr="0021307D">
              <w:rPr>
                <w:rFonts w:eastAsia="Arial" w:cs="Arial"/>
                <w:sz w:val="22"/>
                <w:szCs w:val="22"/>
              </w:rPr>
              <w:t>Orientar la revisión y actualización de la matriz de identificación de aspectos y valoración de impactos ambientales,  y la matriz de cumplimiento legal ambiental que aplica a la Entidad.</w:t>
            </w:r>
          </w:p>
        </w:tc>
        <w:tc>
          <w:tcPr>
            <w:tcW w:w="2000" w:type="dxa"/>
            <w:vMerge/>
          </w:tcPr>
          <w:p w14:paraId="47FFCF6D"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293277E"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2127144A"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73421BB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4A2D5A1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Recibir y tramitar las solicitudes de supervisiones designadas  en cabeza de los funcionarios  del área de gestión de servicios.</w:t>
            </w:r>
          </w:p>
        </w:tc>
        <w:tc>
          <w:tcPr>
            <w:tcW w:w="2000" w:type="dxa"/>
            <w:vMerge w:val="restart"/>
            <w:vAlign w:val="center"/>
          </w:tcPr>
          <w:p w14:paraId="48E55FA5"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Servicios</w:t>
            </w:r>
          </w:p>
        </w:tc>
      </w:tr>
      <w:tr w:rsidR="00835945" w:rsidRPr="0021307D" w14:paraId="3CB950A8"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025ECB7E" w14:textId="77777777" w:rsidR="00835945" w:rsidRPr="0021307D" w:rsidRDefault="00835945" w:rsidP="00A6302C"/>
        </w:tc>
        <w:tc>
          <w:tcPr>
            <w:tcW w:w="1811" w:type="dxa"/>
            <w:vMerge/>
          </w:tcPr>
          <w:p w14:paraId="09B1558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732ACAB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Tramitar la  facturación de pago en los contratos  de vigilancia, aseo y cafetería, seguros y tiquetes.</w:t>
            </w:r>
          </w:p>
        </w:tc>
        <w:tc>
          <w:tcPr>
            <w:tcW w:w="2000" w:type="dxa"/>
            <w:vMerge/>
          </w:tcPr>
          <w:p w14:paraId="4BB0124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5D1C473"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2C581F57"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4BB70C1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4856E29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Apoyar la elaboración y trámite de los procesos contractuales que </w:t>
            </w:r>
            <w:r>
              <w:rPr>
                <w:rFonts w:eastAsia="Arial" w:cs="Arial"/>
                <w:sz w:val="22"/>
                <w:szCs w:val="22"/>
              </w:rPr>
              <w:t xml:space="preserve">se </w:t>
            </w:r>
            <w:r w:rsidRPr="0021307D">
              <w:rPr>
                <w:rFonts w:eastAsia="Arial" w:cs="Arial"/>
                <w:sz w:val="22"/>
                <w:szCs w:val="22"/>
              </w:rPr>
              <w:t>desarrolle</w:t>
            </w:r>
            <w:r>
              <w:rPr>
                <w:rFonts w:eastAsia="Arial" w:cs="Arial"/>
                <w:sz w:val="22"/>
                <w:szCs w:val="22"/>
              </w:rPr>
              <w:t>n</w:t>
            </w:r>
          </w:p>
        </w:tc>
        <w:tc>
          <w:tcPr>
            <w:tcW w:w="2000" w:type="dxa"/>
            <w:vMerge w:val="restart"/>
            <w:vAlign w:val="center"/>
          </w:tcPr>
          <w:p w14:paraId="48404CDE"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Servicios</w:t>
            </w:r>
          </w:p>
        </w:tc>
      </w:tr>
      <w:tr w:rsidR="00835945" w:rsidRPr="0021307D" w14:paraId="4093093B"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3B6A6DE2" w14:textId="77777777" w:rsidR="00835945" w:rsidRPr="0021307D" w:rsidRDefault="00835945" w:rsidP="00A6302C"/>
        </w:tc>
        <w:tc>
          <w:tcPr>
            <w:tcW w:w="1811" w:type="dxa"/>
            <w:vMerge/>
          </w:tcPr>
          <w:p w14:paraId="7D064579"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74A4330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Brinda apoyo jurídico en los tramites y solicitudes necesarias para el desarrollo de las tareas y funciones que desarrolla la secretaria General y especialmente el área de Gestión Servicios.</w:t>
            </w:r>
          </w:p>
        </w:tc>
        <w:tc>
          <w:tcPr>
            <w:tcW w:w="2000" w:type="dxa"/>
            <w:vMerge/>
          </w:tcPr>
          <w:p w14:paraId="5A45BDE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A0DAFFB"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63D5ECC1" w14:textId="77777777" w:rsidR="00835945" w:rsidRPr="0021307D" w:rsidRDefault="00835945" w:rsidP="00A6302C"/>
        </w:tc>
        <w:tc>
          <w:tcPr>
            <w:tcW w:w="1811" w:type="dxa"/>
            <w:vMerge/>
          </w:tcPr>
          <w:p w14:paraId="20E89D87"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16F00FB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Brindar apoyo jurídico para responder las inquietudes y peticiones respecto de los asuntos y supervisiones.</w:t>
            </w:r>
          </w:p>
        </w:tc>
        <w:tc>
          <w:tcPr>
            <w:tcW w:w="2000" w:type="dxa"/>
            <w:vMerge/>
          </w:tcPr>
          <w:p w14:paraId="1297F13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0D4B945A"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tcPr>
          <w:p w14:paraId="2A252AB1" w14:textId="77777777" w:rsidR="00835945" w:rsidRPr="002657CE" w:rsidRDefault="00835945" w:rsidP="00A6302C">
            <w:pPr>
              <w:jc w:val="center"/>
              <w:rPr>
                <w:b w:val="0"/>
              </w:rPr>
            </w:pPr>
            <w:r w:rsidRPr="002657CE">
              <w:rPr>
                <w:rFonts w:eastAsia="Arial" w:cs="Arial"/>
                <w:b w:val="0"/>
                <w:sz w:val="22"/>
                <w:szCs w:val="22"/>
              </w:rPr>
              <w:lastRenderedPageBreak/>
              <w:t>1</w:t>
            </w:r>
          </w:p>
        </w:tc>
        <w:tc>
          <w:tcPr>
            <w:tcW w:w="1811" w:type="dxa"/>
          </w:tcPr>
          <w:p w14:paraId="6EE3A17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2DB631EA"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la estructuración, formulación, evaluación y hace</w:t>
            </w:r>
            <w:r>
              <w:rPr>
                <w:rFonts w:eastAsia="Arial" w:cs="Arial"/>
                <w:sz w:val="22"/>
                <w:szCs w:val="22"/>
              </w:rPr>
              <w:t>r</w:t>
            </w:r>
            <w:r w:rsidRPr="0021307D">
              <w:rPr>
                <w:rFonts w:eastAsia="Arial" w:cs="Arial"/>
                <w:sz w:val="22"/>
                <w:szCs w:val="22"/>
              </w:rPr>
              <w:t xml:space="preserve"> seguimiento al proyecto de infraestructura física.</w:t>
            </w:r>
          </w:p>
        </w:tc>
        <w:tc>
          <w:tcPr>
            <w:tcW w:w="2000" w:type="dxa"/>
            <w:vAlign w:val="center"/>
          </w:tcPr>
          <w:p w14:paraId="41A5B633"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servicios</w:t>
            </w:r>
          </w:p>
        </w:tc>
      </w:tr>
      <w:tr w:rsidR="00835945" w:rsidRPr="0021307D" w14:paraId="1656D48B" w14:textId="77777777" w:rsidTr="00A6302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58" w:type="dxa"/>
          </w:tcPr>
          <w:p w14:paraId="278701A9" w14:textId="77777777" w:rsidR="00835945" w:rsidRPr="002657CE" w:rsidRDefault="00835945" w:rsidP="00A6302C">
            <w:pPr>
              <w:jc w:val="center"/>
              <w:rPr>
                <w:b w:val="0"/>
              </w:rPr>
            </w:pPr>
            <w:r w:rsidRPr="002657CE">
              <w:rPr>
                <w:rFonts w:eastAsia="Arial" w:cs="Arial"/>
                <w:b w:val="0"/>
                <w:sz w:val="22"/>
                <w:szCs w:val="22"/>
              </w:rPr>
              <w:t>18</w:t>
            </w:r>
          </w:p>
        </w:tc>
        <w:tc>
          <w:tcPr>
            <w:tcW w:w="1811" w:type="dxa"/>
          </w:tcPr>
          <w:p w14:paraId="0157766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Asistenciales</w:t>
            </w:r>
          </w:p>
        </w:tc>
        <w:tc>
          <w:tcPr>
            <w:tcW w:w="4191" w:type="dxa"/>
          </w:tcPr>
          <w:p w14:paraId="136533B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Conductores de la Entidad</w:t>
            </w:r>
          </w:p>
        </w:tc>
        <w:tc>
          <w:tcPr>
            <w:tcW w:w="2000" w:type="dxa"/>
            <w:vAlign w:val="center"/>
          </w:tcPr>
          <w:p w14:paraId="2C7EC4F6"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servicios</w:t>
            </w:r>
          </w:p>
        </w:tc>
      </w:tr>
      <w:tr w:rsidR="00835945" w:rsidRPr="0021307D" w14:paraId="26BD21F0"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tcPr>
          <w:p w14:paraId="1C24990D" w14:textId="77777777" w:rsidR="00835945" w:rsidRPr="002657CE" w:rsidRDefault="00835945" w:rsidP="00A6302C">
            <w:pPr>
              <w:jc w:val="center"/>
              <w:rPr>
                <w:b w:val="0"/>
              </w:rPr>
            </w:pPr>
            <w:r w:rsidRPr="002657CE">
              <w:rPr>
                <w:rFonts w:eastAsia="Arial" w:cs="Arial"/>
                <w:b w:val="0"/>
                <w:sz w:val="22"/>
                <w:szCs w:val="22"/>
              </w:rPr>
              <w:t>2</w:t>
            </w:r>
          </w:p>
        </w:tc>
        <w:tc>
          <w:tcPr>
            <w:tcW w:w="1811" w:type="dxa"/>
          </w:tcPr>
          <w:p w14:paraId="43103A9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Asistenciales</w:t>
            </w:r>
          </w:p>
        </w:tc>
        <w:tc>
          <w:tcPr>
            <w:tcW w:w="4191" w:type="dxa"/>
          </w:tcPr>
          <w:p w14:paraId="60A3764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Prestar los servicios generales en la Entidad</w:t>
            </w:r>
          </w:p>
        </w:tc>
        <w:tc>
          <w:tcPr>
            <w:tcW w:w="2000" w:type="dxa"/>
            <w:vAlign w:val="center"/>
          </w:tcPr>
          <w:p w14:paraId="79FE2ACE"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servicios</w:t>
            </w:r>
          </w:p>
        </w:tc>
      </w:tr>
      <w:tr w:rsidR="00835945" w:rsidRPr="0021307D" w14:paraId="08EEDD83"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40CBCCD4" w14:textId="77777777" w:rsidR="00835945" w:rsidRPr="002657CE" w:rsidRDefault="00835945" w:rsidP="00A6302C">
            <w:pPr>
              <w:jc w:val="center"/>
              <w:rPr>
                <w:b w:val="0"/>
              </w:rPr>
            </w:pPr>
            <w:r w:rsidRPr="002657CE">
              <w:rPr>
                <w:rFonts w:eastAsia="Arial" w:cs="Arial"/>
                <w:b w:val="0"/>
                <w:bCs w:val="0"/>
                <w:sz w:val="22"/>
                <w:szCs w:val="22"/>
              </w:rPr>
              <w:t>1</w:t>
            </w:r>
          </w:p>
        </w:tc>
        <w:tc>
          <w:tcPr>
            <w:tcW w:w="1811" w:type="dxa"/>
            <w:vMerge w:val="restart"/>
          </w:tcPr>
          <w:p w14:paraId="657DB64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Especializado</w:t>
            </w:r>
          </w:p>
        </w:tc>
        <w:tc>
          <w:tcPr>
            <w:tcW w:w="4191" w:type="dxa"/>
          </w:tcPr>
          <w:p w14:paraId="22C6DD1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Gestionar la salida e ingreso de los bienes y el proceso para la baja de éstos.</w:t>
            </w:r>
          </w:p>
        </w:tc>
        <w:tc>
          <w:tcPr>
            <w:tcW w:w="2000" w:type="dxa"/>
            <w:vMerge w:val="restart"/>
            <w:vAlign w:val="center"/>
          </w:tcPr>
          <w:p w14:paraId="421DB67E"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Inventarios</w:t>
            </w:r>
          </w:p>
        </w:tc>
      </w:tr>
      <w:tr w:rsidR="00835945" w:rsidRPr="0021307D" w14:paraId="04C64E7E"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4EB4A6FB" w14:textId="77777777" w:rsidR="00835945" w:rsidRPr="0021307D" w:rsidRDefault="00835945" w:rsidP="00A6302C"/>
        </w:tc>
        <w:tc>
          <w:tcPr>
            <w:tcW w:w="1811" w:type="dxa"/>
            <w:vMerge/>
          </w:tcPr>
          <w:p w14:paraId="0376D476"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0C16E3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Estudiar, evaluar y conceptuar sobre el manejo de inventarios de bienes de consumo y devolutivos, y absuelve consultas de acuerdo con los procedimientos vigentes. </w:t>
            </w:r>
          </w:p>
        </w:tc>
        <w:tc>
          <w:tcPr>
            <w:tcW w:w="2000" w:type="dxa"/>
            <w:vMerge/>
          </w:tcPr>
          <w:p w14:paraId="17ADE21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81E95BE"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46BDEC1C" w14:textId="77777777" w:rsidR="00835945" w:rsidRPr="0021307D" w:rsidRDefault="00835945" w:rsidP="00A6302C"/>
        </w:tc>
        <w:tc>
          <w:tcPr>
            <w:tcW w:w="1811" w:type="dxa"/>
            <w:vMerge/>
          </w:tcPr>
          <w:p w14:paraId="7F17D66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508A43D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Administra, controla y evalúa el desarrollo del aplicativo para el manejo de bienes de consumo y devolutivos de la entidad.</w:t>
            </w:r>
          </w:p>
        </w:tc>
        <w:tc>
          <w:tcPr>
            <w:tcW w:w="2000" w:type="dxa"/>
            <w:vMerge/>
          </w:tcPr>
          <w:p w14:paraId="6358FE3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3F200BEF"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8639893" w14:textId="77777777" w:rsidR="00835945" w:rsidRPr="0021307D" w:rsidRDefault="00835945" w:rsidP="00A6302C"/>
        </w:tc>
        <w:tc>
          <w:tcPr>
            <w:tcW w:w="1811" w:type="dxa"/>
            <w:vMerge/>
          </w:tcPr>
          <w:p w14:paraId="1FE1379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E1E5CD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Prepara los informes relacionados con el manejo de bienes devolutivos y de consumos en el almacén General.</w:t>
            </w:r>
          </w:p>
        </w:tc>
        <w:tc>
          <w:tcPr>
            <w:tcW w:w="2000" w:type="dxa"/>
            <w:vMerge/>
          </w:tcPr>
          <w:p w14:paraId="0DDBAA47"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3B6D808A" w14:textId="77777777" w:rsidTr="00A6302C">
        <w:trPr>
          <w:cnfStyle w:val="000000100000" w:firstRow="0" w:lastRow="0" w:firstColumn="0" w:lastColumn="0" w:oddVBand="0" w:evenVBand="0" w:oddHBand="1" w:evenHBand="0" w:firstRowFirstColumn="0" w:firstRowLastColumn="0" w:lastRowFirstColumn="0" w:lastRowLastColumn="0"/>
          <w:trHeight w:val="944"/>
        </w:trPr>
        <w:tc>
          <w:tcPr>
            <w:cnfStyle w:val="001000000000" w:firstRow="0" w:lastRow="0" w:firstColumn="1" w:lastColumn="0" w:oddVBand="0" w:evenVBand="0" w:oddHBand="0" w:evenHBand="0" w:firstRowFirstColumn="0" w:firstRowLastColumn="0" w:lastRowFirstColumn="0" w:lastRowLastColumn="0"/>
            <w:tcW w:w="1358" w:type="dxa"/>
            <w:vMerge/>
          </w:tcPr>
          <w:p w14:paraId="4B7694C2" w14:textId="77777777" w:rsidR="00835945" w:rsidRPr="0021307D" w:rsidRDefault="00835945" w:rsidP="00A6302C"/>
        </w:tc>
        <w:tc>
          <w:tcPr>
            <w:tcW w:w="1811" w:type="dxa"/>
            <w:vMerge/>
          </w:tcPr>
          <w:p w14:paraId="1F35B48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A5ADDD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Elabora planes de mejora para los procesos del Almacén General y realizar seguimiento a su implementación.</w:t>
            </w:r>
          </w:p>
        </w:tc>
        <w:tc>
          <w:tcPr>
            <w:tcW w:w="2000" w:type="dxa"/>
            <w:vMerge/>
          </w:tcPr>
          <w:p w14:paraId="3AFDF359"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79DF7B3"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72E8F47D"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6DF84EC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Profesional Universitario</w:t>
            </w:r>
          </w:p>
        </w:tc>
        <w:tc>
          <w:tcPr>
            <w:tcW w:w="4191" w:type="dxa"/>
          </w:tcPr>
          <w:p w14:paraId="69F218F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 la entrega y recepción de los bienes devolutivos y de consumo con el alistamiento de comprobantes y verificación de pedidos del Instituto y realizar el inventario físico de elementos en la Sede Central.</w:t>
            </w:r>
          </w:p>
        </w:tc>
        <w:tc>
          <w:tcPr>
            <w:tcW w:w="2000" w:type="dxa"/>
            <w:vMerge w:val="restart"/>
            <w:vAlign w:val="center"/>
          </w:tcPr>
          <w:p w14:paraId="07B43690"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Inventarios</w:t>
            </w:r>
          </w:p>
        </w:tc>
      </w:tr>
      <w:tr w:rsidR="00835945" w:rsidRPr="0021307D" w14:paraId="100E7FA8"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2344925" w14:textId="77777777" w:rsidR="00835945" w:rsidRPr="0021307D" w:rsidRDefault="00835945" w:rsidP="00A6302C">
            <w:pPr>
              <w:jc w:val="both"/>
            </w:pPr>
          </w:p>
        </w:tc>
        <w:tc>
          <w:tcPr>
            <w:tcW w:w="1811" w:type="dxa"/>
            <w:vMerge/>
          </w:tcPr>
          <w:p w14:paraId="5AE6F65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985690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Identifica los bienes con el fin de determinar la disposición final de los bienes obsoletos, inservibles y/o no utilizables. </w:t>
            </w:r>
          </w:p>
        </w:tc>
        <w:tc>
          <w:tcPr>
            <w:tcW w:w="2000" w:type="dxa"/>
            <w:vMerge/>
          </w:tcPr>
          <w:p w14:paraId="3E1A3FC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C656127"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1743FDE4" w14:textId="77777777" w:rsidR="00835945" w:rsidRPr="0021307D" w:rsidRDefault="00835945" w:rsidP="00A6302C">
            <w:pPr>
              <w:jc w:val="both"/>
            </w:pPr>
          </w:p>
        </w:tc>
        <w:tc>
          <w:tcPr>
            <w:tcW w:w="1811" w:type="dxa"/>
            <w:vMerge/>
          </w:tcPr>
          <w:p w14:paraId="266FCD9A"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A2F422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Acompaña a las Direcciones Territoriales en el manejo de los bienes de consumo y devolutivos, así como en el aplicativo. </w:t>
            </w:r>
          </w:p>
        </w:tc>
        <w:tc>
          <w:tcPr>
            <w:tcW w:w="2000" w:type="dxa"/>
            <w:vMerge/>
          </w:tcPr>
          <w:p w14:paraId="72095DEE"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866A3B3" w14:textId="77777777" w:rsidTr="00A6302C">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84D1260" w14:textId="77777777" w:rsidR="00835945" w:rsidRPr="0021307D" w:rsidRDefault="00835945" w:rsidP="00A6302C">
            <w:pPr>
              <w:jc w:val="center"/>
            </w:pPr>
            <w:r w:rsidRPr="0021307D">
              <w:rPr>
                <w:rFonts w:eastAsia="Arial" w:cs="Arial"/>
                <w:b w:val="0"/>
                <w:bCs w:val="0"/>
                <w:sz w:val="22"/>
                <w:szCs w:val="22"/>
              </w:rPr>
              <w:t>1</w:t>
            </w:r>
          </w:p>
        </w:tc>
        <w:tc>
          <w:tcPr>
            <w:tcW w:w="1811" w:type="dxa"/>
            <w:vMerge w:val="restart"/>
          </w:tcPr>
          <w:p w14:paraId="0FC6B46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5504CBB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rPr>
                <w:rFonts w:eastAsia="Arial" w:cs="Arial"/>
                <w:sz w:val="22"/>
                <w:szCs w:val="22"/>
              </w:rPr>
            </w:pPr>
            <w:r w:rsidRPr="0021307D">
              <w:rPr>
                <w:rFonts w:eastAsia="Arial" w:cs="Arial"/>
                <w:sz w:val="22"/>
                <w:szCs w:val="22"/>
              </w:rPr>
              <w:t>Verifica los registros de los movimientos de ingreso, egreso y traspaso de bienes de consumo y devolutivos en el módulo ERP del almacén general y boletín contable mensual.</w:t>
            </w:r>
          </w:p>
        </w:tc>
        <w:tc>
          <w:tcPr>
            <w:tcW w:w="2000" w:type="dxa"/>
            <w:vMerge w:val="restart"/>
            <w:vAlign w:val="center"/>
          </w:tcPr>
          <w:p w14:paraId="3407C03D"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Inventarios</w:t>
            </w:r>
          </w:p>
        </w:tc>
      </w:tr>
      <w:tr w:rsidR="00835945" w:rsidRPr="0021307D" w14:paraId="17CEFECB"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04A2E512" w14:textId="77777777" w:rsidR="00835945" w:rsidRPr="0021307D" w:rsidRDefault="00835945" w:rsidP="00A6302C"/>
        </w:tc>
        <w:tc>
          <w:tcPr>
            <w:tcW w:w="1811" w:type="dxa"/>
            <w:vMerge/>
          </w:tcPr>
          <w:p w14:paraId="783A8B3F"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78FCFA6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Llevar el control de los bienes de consumo y devolutivo en las oficinas y dependencias de Sede Central y en el GIT Documental-correspondencia para el envío a las direcciones territoriales. </w:t>
            </w:r>
          </w:p>
        </w:tc>
        <w:tc>
          <w:tcPr>
            <w:tcW w:w="2000" w:type="dxa"/>
            <w:vMerge/>
          </w:tcPr>
          <w:p w14:paraId="1C20224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377B9CA2" w14:textId="77777777" w:rsidTr="00A6302C">
        <w:trPr>
          <w:cnfStyle w:val="000000100000" w:firstRow="0" w:lastRow="0" w:firstColumn="0" w:lastColumn="0" w:oddVBand="0" w:evenVBand="0" w:oddHBand="1" w:evenHBand="0" w:firstRowFirstColumn="0" w:firstRowLastColumn="0" w:lastRowFirstColumn="0" w:lastRowLastColumn="0"/>
          <w:trHeight w:val="1725"/>
        </w:trPr>
        <w:tc>
          <w:tcPr>
            <w:cnfStyle w:val="001000000000" w:firstRow="0" w:lastRow="0" w:firstColumn="1" w:lastColumn="0" w:oddVBand="0" w:evenVBand="0" w:oddHBand="0" w:evenHBand="0" w:firstRowFirstColumn="0" w:firstRowLastColumn="0" w:lastRowFirstColumn="0" w:lastRowLastColumn="0"/>
            <w:tcW w:w="1358" w:type="dxa"/>
            <w:vMerge/>
          </w:tcPr>
          <w:p w14:paraId="7B1169CA" w14:textId="77777777" w:rsidR="00835945" w:rsidRPr="0021307D" w:rsidRDefault="00835945" w:rsidP="00A6302C"/>
        </w:tc>
        <w:tc>
          <w:tcPr>
            <w:tcW w:w="1811" w:type="dxa"/>
            <w:vMerge/>
          </w:tcPr>
          <w:p w14:paraId="6614657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3786570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seguimiento y control al inventario de bienes a cargo de exfuncionarios y ex</w:t>
            </w:r>
            <w:r>
              <w:rPr>
                <w:rFonts w:eastAsia="Arial" w:cs="Arial"/>
                <w:sz w:val="22"/>
                <w:szCs w:val="22"/>
              </w:rPr>
              <w:t xml:space="preserve"> </w:t>
            </w:r>
            <w:r w:rsidRPr="0021307D">
              <w:rPr>
                <w:rFonts w:eastAsia="Arial" w:cs="Arial"/>
                <w:sz w:val="22"/>
                <w:szCs w:val="22"/>
              </w:rPr>
              <w:t xml:space="preserve">contratistas, así mismo atiende las solicitudes de inventario individual, como insumo para la verificación física de los mismos y expedición paz y salvo. </w:t>
            </w:r>
          </w:p>
        </w:tc>
        <w:tc>
          <w:tcPr>
            <w:tcW w:w="2000" w:type="dxa"/>
            <w:vMerge/>
          </w:tcPr>
          <w:p w14:paraId="37C5B9F4"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558FF6E"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1C34C846" w14:textId="77777777" w:rsidR="00835945" w:rsidRPr="0021307D" w:rsidRDefault="00835945" w:rsidP="00A6302C">
            <w:pPr>
              <w:jc w:val="center"/>
            </w:pPr>
            <w:r w:rsidRPr="0021307D">
              <w:rPr>
                <w:rFonts w:eastAsia="Arial" w:cs="Arial"/>
                <w:b w:val="0"/>
                <w:bCs w:val="0"/>
                <w:sz w:val="22"/>
                <w:szCs w:val="22"/>
              </w:rPr>
              <w:t>3</w:t>
            </w:r>
          </w:p>
        </w:tc>
        <w:tc>
          <w:tcPr>
            <w:tcW w:w="1811" w:type="dxa"/>
            <w:vMerge w:val="restart"/>
          </w:tcPr>
          <w:p w14:paraId="2FF3DB9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Contratistas</w:t>
            </w:r>
          </w:p>
        </w:tc>
        <w:tc>
          <w:tcPr>
            <w:tcW w:w="4191" w:type="dxa"/>
          </w:tcPr>
          <w:p w14:paraId="393C894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el registro de los movimientos de ingreso, egreso y traspaso de bienes de consumo y devolutivos en el módulo ERP del almacén general y boletín contable mensual.</w:t>
            </w:r>
          </w:p>
        </w:tc>
        <w:tc>
          <w:tcPr>
            <w:tcW w:w="2000" w:type="dxa"/>
            <w:vMerge w:val="restart"/>
            <w:vAlign w:val="center"/>
          </w:tcPr>
          <w:p w14:paraId="626C0718"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Gestión de Inventarios</w:t>
            </w:r>
          </w:p>
        </w:tc>
      </w:tr>
      <w:tr w:rsidR="00835945" w:rsidRPr="0021307D" w14:paraId="43223F0D"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224C0564" w14:textId="77777777" w:rsidR="00835945" w:rsidRPr="0021307D" w:rsidRDefault="00835945" w:rsidP="00A6302C"/>
        </w:tc>
        <w:tc>
          <w:tcPr>
            <w:tcW w:w="1811" w:type="dxa"/>
            <w:vMerge/>
          </w:tcPr>
          <w:p w14:paraId="59778C6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5A52BC7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Recepcionar, almacenar y organizar los bienes de consumo y devolutivos adquiridos por el Instituto.</w:t>
            </w:r>
          </w:p>
        </w:tc>
        <w:tc>
          <w:tcPr>
            <w:tcW w:w="2000" w:type="dxa"/>
            <w:vMerge/>
          </w:tcPr>
          <w:p w14:paraId="3314E1AB"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00BDB8A6"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vMerge/>
          </w:tcPr>
          <w:p w14:paraId="13D9BF13" w14:textId="77777777" w:rsidR="00835945" w:rsidRPr="0021307D" w:rsidRDefault="00835945" w:rsidP="00A6302C"/>
        </w:tc>
        <w:tc>
          <w:tcPr>
            <w:tcW w:w="1811" w:type="dxa"/>
            <w:vMerge/>
          </w:tcPr>
          <w:p w14:paraId="2383FE3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9BC544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Alistar, embalar y entregar los bienes de consumo y devolutivo en las oficinas y dependencias de Sede Central y en el GIT Documental-correspondencia para el envío a las direcciones territoriales.</w:t>
            </w:r>
          </w:p>
        </w:tc>
        <w:tc>
          <w:tcPr>
            <w:tcW w:w="2000" w:type="dxa"/>
            <w:vMerge/>
          </w:tcPr>
          <w:p w14:paraId="68FB036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4CDB26D"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096156F4" w14:textId="77777777" w:rsidR="00835945" w:rsidRPr="0021307D" w:rsidRDefault="00835945" w:rsidP="00A6302C"/>
        </w:tc>
        <w:tc>
          <w:tcPr>
            <w:tcW w:w="1811" w:type="dxa"/>
            <w:vMerge/>
          </w:tcPr>
          <w:p w14:paraId="76518D4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1A5E2C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Prestar apoyo en la realización de la toma física y actualización de inventarios, así como participar activamente en el proceso de baja de los bienes que son responsabilidad del IGAC.</w:t>
            </w:r>
          </w:p>
        </w:tc>
        <w:tc>
          <w:tcPr>
            <w:tcW w:w="2000" w:type="dxa"/>
            <w:vMerge/>
          </w:tcPr>
          <w:p w14:paraId="43FABA66"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41BF919"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6242AB21" w14:textId="77777777" w:rsidR="00835945" w:rsidRPr="0021307D" w:rsidRDefault="00835945" w:rsidP="00A6302C"/>
        </w:tc>
        <w:tc>
          <w:tcPr>
            <w:tcW w:w="1811" w:type="dxa"/>
            <w:vMerge/>
          </w:tcPr>
          <w:p w14:paraId="32ABFF4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B6D556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Pr>
                <w:rFonts w:eastAsia="Arial" w:cs="Arial"/>
                <w:sz w:val="22"/>
                <w:szCs w:val="22"/>
              </w:rPr>
              <w:t xml:space="preserve">Apoya la elaboración de </w:t>
            </w:r>
            <w:r w:rsidRPr="0021307D">
              <w:rPr>
                <w:rFonts w:eastAsia="Arial" w:cs="Arial"/>
                <w:sz w:val="22"/>
                <w:szCs w:val="22"/>
              </w:rPr>
              <w:t>trámites, organización y archivo de memorandos de acuerdo con las TRD.</w:t>
            </w:r>
          </w:p>
        </w:tc>
        <w:tc>
          <w:tcPr>
            <w:tcW w:w="2000" w:type="dxa"/>
            <w:vMerge/>
          </w:tcPr>
          <w:p w14:paraId="7C715D7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BB23A14"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602FFD96" w14:textId="77777777" w:rsidR="00835945" w:rsidRPr="0021307D" w:rsidRDefault="00835945" w:rsidP="00A6302C"/>
        </w:tc>
        <w:tc>
          <w:tcPr>
            <w:tcW w:w="1811" w:type="dxa"/>
            <w:vMerge/>
          </w:tcPr>
          <w:p w14:paraId="2C20449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CF48B0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actividades de legalización, organización y archivo de documentos correspondientes al almacén general.</w:t>
            </w:r>
          </w:p>
        </w:tc>
        <w:tc>
          <w:tcPr>
            <w:tcW w:w="2000" w:type="dxa"/>
            <w:vMerge/>
          </w:tcPr>
          <w:p w14:paraId="7C85950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ECE321B"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6F6AEEB3" w14:textId="77777777" w:rsidR="00835945" w:rsidRPr="0021307D" w:rsidRDefault="00835945" w:rsidP="00A6302C"/>
        </w:tc>
        <w:tc>
          <w:tcPr>
            <w:tcW w:w="1811" w:type="dxa"/>
            <w:vMerge/>
          </w:tcPr>
          <w:p w14:paraId="7454364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5DB2EEF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Generar la emisión e impresión de placas para los bienes devolutivos a nivel nacional y Sede Central, realizar el paqueteo físico de los bienes devolutivos que se requieran en Sede Central.</w:t>
            </w:r>
          </w:p>
        </w:tc>
        <w:tc>
          <w:tcPr>
            <w:tcW w:w="2000" w:type="dxa"/>
            <w:vMerge/>
          </w:tcPr>
          <w:p w14:paraId="3486B4AD"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B50BD4D"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376506CF" w14:textId="77777777" w:rsidR="00835945" w:rsidRPr="0021307D" w:rsidRDefault="00835945" w:rsidP="00A6302C">
            <w:pPr>
              <w:jc w:val="center"/>
            </w:pPr>
            <w:r w:rsidRPr="0021307D">
              <w:rPr>
                <w:rFonts w:eastAsia="Arial" w:cs="Arial"/>
                <w:b w:val="0"/>
                <w:bCs w:val="0"/>
                <w:sz w:val="22"/>
                <w:szCs w:val="22"/>
              </w:rPr>
              <w:t>3</w:t>
            </w:r>
          </w:p>
          <w:p w14:paraId="39C2F43D" w14:textId="77777777" w:rsidR="00835945" w:rsidRPr="0021307D" w:rsidRDefault="00835945" w:rsidP="00A6302C">
            <w:pPr>
              <w:jc w:val="center"/>
            </w:pPr>
          </w:p>
          <w:p w14:paraId="0720951E" w14:textId="77777777" w:rsidR="00835945" w:rsidRPr="0021307D" w:rsidRDefault="00835945" w:rsidP="00A6302C">
            <w:pPr>
              <w:jc w:val="center"/>
            </w:pPr>
          </w:p>
          <w:p w14:paraId="080541EB" w14:textId="77777777" w:rsidR="00835945" w:rsidRPr="0021307D" w:rsidRDefault="00835945" w:rsidP="00A6302C">
            <w:pPr>
              <w:jc w:val="center"/>
            </w:pPr>
          </w:p>
          <w:p w14:paraId="4CBE99AE" w14:textId="77777777" w:rsidR="00835945" w:rsidRPr="0021307D" w:rsidRDefault="00835945" w:rsidP="00A6302C">
            <w:pPr>
              <w:jc w:val="center"/>
            </w:pPr>
          </w:p>
          <w:p w14:paraId="471A82B9" w14:textId="77777777" w:rsidR="00835945" w:rsidRPr="0021307D" w:rsidRDefault="00835945" w:rsidP="00A6302C">
            <w:pPr>
              <w:jc w:val="center"/>
            </w:pPr>
          </w:p>
        </w:tc>
        <w:tc>
          <w:tcPr>
            <w:tcW w:w="1811" w:type="dxa"/>
            <w:vMerge w:val="restart"/>
          </w:tcPr>
          <w:p w14:paraId="5F15DD3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lastRenderedPageBreak/>
              <w:t xml:space="preserve">Profesionales </w:t>
            </w:r>
          </w:p>
          <w:p w14:paraId="64D4FB1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w:t>
            </w:r>
          </w:p>
          <w:p w14:paraId="59B1BFA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lastRenderedPageBreak/>
              <w:t xml:space="preserve"> </w:t>
            </w:r>
          </w:p>
          <w:p w14:paraId="131348A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w:t>
            </w:r>
          </w:p>
          <w:p w14:paraId="65D6413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w:t>
            </w:r>
          </w:p>
          <w:p w14:paraId="67900CE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 </w:t>
            </w:r>
          </w:p>
        </w:tc>
        <w:tc>
          <w:tcPr>
            <w:tcW w:w="4191" w:type="dxa"/>
          </w:tcPr>
          <w:p w14:paraId="1C4BEFC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lastRenderedPageBreak/>
              <w:t xml:space="preserve">Mantener infraestructura sede central y 22 Direcciones territoriales, preventivo y correctivo. </w:t>
            </w:r>
          </w:p>
        </w:tc>
        <w:tc>
          <w:tcPr>
            <w:tcW w:w="2000" w:type="dxa"/>
            <w:vMerge w:val="restart"/>
            <w:vAlign w:val="center"/>
          </w:tcPr>
          <w:p w14:paraId="283A9AC8"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Gestión de servicios</w:t>
            </w:r>
          </w:p>
        </w:tc>
      </w:tr>
      <w:tr w:rsidR="00835945" w:rsidRPr="0021307D" w14:paraId="35066BB5"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37B1A3A" w14:textId="77777777" w:rsidR="00835945" w:rsidRPr="0021307D" w:rsidRDefault="00835945" w:rsidP="00A6302C"/>
        </w:tc>
        <w:tc>
          <w:tcPr>
            <w:tcW w:w="1811" w:type="dxa"/>
            <w:vMerge/>
          </w:tcPr>
          <w:p w14:paraId="74A9E23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3458F65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Velar por el servicio de aseo, cafetería y vigilancia.</w:t>
            </w:r>
          </w:p>
        </w:tc>
        <w:tc>
          <w:tcPr>
            <w:tcW w:w="2000" w:type="dxa"/>
            <w:vMerge/>
          </w:tcPr>
          <w:p w14:paraId="53EFE3E3"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73525B3D"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525EDC57" w14:textId="77777777" w:rsidR="00835945" w:rsidRPr="0021307D" w:rsidRDefault="00835945" w:rsidP="00A6302C"/>
        </w:tc>
        <w:tc>
          <w:tcPr>
            <w:tcW w:w="1811" w:type="dxa"/>
            <w:vMerge/>
          </w:tcPr>
          <w:p w14:paraId="1C37CA6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235D82C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Seguimiento y atención al plan ambiental y de seguridad vial.</w:t>
            </w:r>
          </w:p>
        </w:tc>
        <w:tc>
          <w:tcPr>
            <w:tcW w:w="2000" w:type="dxa"/>
            <w:vMerge/>
          </w:tcPr>
          <w:p w14:paraId="556DE0B5"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0840668" w14:textId="77777777" w:rsidTr="00A6302C">
        <w:trPr>
          <w:trHeight w:val="315"/>
        </w:trPr>
        <w:tc>
          <w:tcPr>
            <w:cnfStyle w:val="001000000000" w:firstRow="0" w:lastRow="0" w:firstColumn="1" w:lastColumn="0" w:oddVBand="0" w:evenVBand="0" w:oddHBand="0" w:evenHBand="0" w:firstRowFirstColumn="0" w:firstRowLastColumn="0" w:lastRowFirstColumn="0" w:lastRowLastColumn="0"/>
            <w:tcW w:w="1358" w:type="dxa"/>
            <w:vMerge/>
          </w:tcPr>
          <w:p w14:paraId="39832B0C" w14:textId="77777777" w:rsidR="00835945" w:rsidRPr="0021307D" w:rsidRDefault="00835945" w:rsidP="00A6302C"/>
        </w:tc>
        <w:tc>
          <w:tcPr>
            <w:tcW w:w="1811" w:type="dxa"/>
            <w:vMerge/>
          </w:tcPr>
          <w:p w14:paraId="781736CF"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2D9EA008"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Asegurar los bienes de la Entidad.</w:t>
            </w:r>
          </w:p>
        </w:tc>
        <w:tc>
          <w:tcPr>
            <w:tcW w:w="2000" w:type="dxa"/>
            <w:vMerge/>
          </w:tcPr>
          <w:p w14:paraId="396E1E0F"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34878A1"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3F69F44" w14:textId="77777777" w:rsidR="00835945" w:rsidRPr="0021307D" w:rsidRDefault="00835945" w:rsidP="00A6302C"/>
        </w:tc>
        <w:tc>
          <w:tcPr>
            <w:tcW w:w="1811" w:type="dxa"/>
            <w:vMerge/>
          </w:tcPr>
          <w:p w14:paraId="5748EB96"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2382CB4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Mantener y hacer seguimiento al servicio de transporte con planta de vehículos y contrato de transporte especial.</w:t>
            </w:r>
          </w:p>
        </w:tc>
        <w:tc>
          <w:tcPr>
            <w:tcW w:w="2000" w:type="dxa"/>
            <w:vMerge/>
          </w:tcPr>
          <w:p w14:paraId="6BBE6C2A"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92A1992"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0E486539" w14:textId="77777777" w:rsidR="00835945" w:rsidRPr="0021307D" w:rsidRDefault="00835945" w:rsidP="00A6302C"/>
        </w:tc>
        <w:tc>
          <w:tcPr>
            <w:tcW w:w="1811" w:type="dxa"/>
            <w:vMerge/>
          </w:tcPr>
          <w:p w14:paraId="0A60000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1FEE89A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Seguimiento y suministro de tiquetes aéreos para los servidores públicos del IGAC.</w:t>
            </w:r>
          </w:p>
        </w:tc>
        <w:tc>
          <w:tcPr>
            <w:tcW w:w="2000" w:type="dxa"/>
            <w:vMerge/>
          </w:tcPr>
          <w:p w14:paraId="1D23957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187FBD4" w14:textId="77777777" w:rsidTr="00A6302C">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360" w:type="dxa"/>
            <w:gridSpan w:val="4"/>
          </w:tcPr>
          <w:p w14:paraId="5F23F557" w14:textId="77777777" w:rsidR="00835945" w:rsidRPr="001065D1" w:rsidRDefault="00835945" w:rsidP="00A6302C">
            <w:pPr>
              <w:jc w:val="center"/>
            </w:pPr>
            <w:r w:rsidRPr="001065D1">
              <w:rPr>
                <w:rFonts w:eastAsia="Arial" w:cs="Arial"/>
                <w:bCs w:val="0"/>
                <w:sz w:val="22"/>
                <w:szCs w:val="22"/>
              </w:rPr>
              <w:t>Proceso de Gestión de Talento Humano</w:t>
            </w:r>
          </w:p>
        </w:tc>
      </w:tr>
      <w:tr w:rsidR="00835945" w:rsidRPr="0021307D" w14:paraId="7023DE7E" w14:textId="77777777" w:rsidTr="00A6302C">
        <w:trPr>
          <w:trHeight w:val="172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58D492BC" w14:textId="77777777" w:rsidR="00835945" w:rsidRPr="0021307D" w:rsidRDefault="00835945" w:rsidP="00A6302C">
            <w:pPr>
              <w:jc w:val="center"/>
            </w:pPr>
            <w:r w:rsidRPr="0021307D">
              <w:rPr>
                <w:rFonts w:eastAsia="Arial" w:cs="Arial"/>
                <w:b w:val="0"/>
                <w:bCs w:val="0"/>
                <w:sz w:val="22"/>
                <w:szCs w:val="22"/>
              </w:rPr>
              <w:t>3</w:t>
            </w:r>
          </w:p>
        </w:tc>
        <w:tc>
          <w:tcPr>
            <w:tcW w:w="1811" w:type="dxa"/>
          </w:tcPr>
          <w:p w14:paraId="6E0E224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Subdirectora de Talento Humano</w:t>
            </w:r>
          </w:p>
        </w:tc>
        <w:tc>
          <w:tcPr>
            <w:tcW w:w="4191" w:type="dxa"/>
          </w:tcPr>
          <w:p w14:paraId="2F458C8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Liderar el proceso Gestión de Talento Humano y sus cinco subprocesos:  Administración de Planta, Provisión de Empleo, Sistema de Gestión de Seguridad y Salud en el Trabajo, Calidad de Vida, Formación y Gestión del Desempeño.</w:t>
            </w:r>
          </w:p>
        </w:tc>
        <w:tc>
          <w:tcPr>
            <w:tcW w:w="2000" w:type="dxa"/>
            <w:vMerge w:val="restart"/>
            <w:vAlign w:val="center"/>
          </w:tcPr>
          <w:p w14:paraId="1A2DF52F"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Pr>
                <w:rFonts w:eastAsia="Arial" w:cs="Arial"/>
                <w:sz w:val="22"/>
                <w:szCs w:val="22"/>
              </w:rPr>
              <w:t>Gestión de talento humano</w:t>
            </w:r>
          </w:p>
        </w:tc>
      </w:tr>
      <w:tr w:rsidR="00835945" w:rsidRPr="0021307D" w14:paraId="3E3C171A"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2B1B807C" w14:textId="77777777" w:rsidR="00835945" w:rsidRPr="0021307D" w:rsidRDefault="00835945" w:rsidP="00A6302C"/>
        </w:tc>
        <w:tc>
          <w:tcPr>
            <w:tcW w:w="1811" w:type="dxa"/>
            <w:vMerge w:val="restart"/>
          </w:tcPr>
          <w:p w14:paraId="591CE08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43DD64F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el trámite de firmas de las certificaciones Cetil y de igual manera el Sistema de correspondencia SIGAC.</w:t>
            </w:r>
          </w:p>
        </w:tc>
        <w:tc>
          <w:tcPr>
            <w:tcW w:w="2000" w:type="dxa"/>
            <w:vMerge/>
          </w:tcPr>
          <w:p w14:paraId="1F774919"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70B3001"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224F242D" w14:textId="77777777" w:rsidR="00835945" w:rsidRPr="0021307D" w:rsidRDefault="00835945" w:rsidP="00A6302C"/>
        </w:tc>
        <w:tc>
          <w:tcPr>
            <w:tcW w:w="1811" w:type="dxa"/>
            <w:vMerge/>
          </w:tcPr>
          <w:p w14:paraId="512BA31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21DAEC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los procesos administrativos de los funcionarios y contratistas</w:t>
            </w:r>
          </w:p>
        </w:tc>
        <w:tc>
          <w:tcPr>
            <w:tcW w:w="2000" w:type="dxa"/>
            <w:vMerge/>
          </w:tcPr>
          <w:p w14:paraId="17C621C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AD85AF7"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733D663C" w14:textId="77777777" w:rsidR="00835945" w:rsidRPr="0021307D" w:rsidRDefault="00835945" w:rsidP="00A6302C"/>
        </w:tc>
        <w:tc>
          <w:tcPr>
            <w:tcW w:w="1811" w:type="dxa"/>
          </w:tcPr>
          <w:p w14:paraId="1587FDC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1D1F065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Asesorar y apoyar los procesos de Talento Humano en matetria de normatividad.</w:t>
            </w:r>
          </w:p>
        </w:tc>
        <w:tc>
          <w:tcPr>
            <w:tcW w:w="2000" w:type="dxa"/>
            <w:vMerge/>
          </w:tcPr>
          <w:p w14:paraId="4A424185"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B70103E"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92692CC" w14:textId="77777777" w:rsidR="00835945" w:rsidRPr="0021307D" w:rsidRDefault="00835945" w:rsidP="00A6302C">
            <w:pPr>
              <w:jc w:val="center"/>
            </w:pPr>
            <w:r>
              <w:rPr>
                <w:rFonts w:eastAsia="Arial" w:cs="Arial"/>
                <w:b w:val="0"/>
                <w:bCs w:val="0"/>
                <w:sz w:val="22"/>
                <w:szCs w:val="22"/>
              </w:rPr>
              <w:t>1</w:t>
            </w:r>
          </w:p>
        </w:tc>
        <w:tc>
          <w:tcPr>
            <w:tcW w:w="1811" w:type="dxa"/>
            <w:vMerge w:val="restart"/>
          </w:tcPr>
          <w:p w14:paraId="27DA404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Profesional Especializado</w:t>
            </w:r>
          </w:p>
        </w:tc>
        <w:tc>
          <w:tcPr>
            <w:tcW w:w="4191" w:type="dxa"/>
          </w:tcPr>
          <w:p w14:paraId="7AE1998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Liderar el Plan Anual de Vacantes y Previsión de Recursos Humanos.</w:t>
            </w:r>
          </w:p>
        </w:tc>
        <w:tc>
          <w:tcPr>
            <w:tcW w:w="2000" w:type="dxa"/>
            <w:vMerge w:val="restart"/>
            <w:vAlign w:val="center"/>
          </w:tcPr>
          <w:p w14:paraId="3BCC65F4"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Administración de Planta / Provisión de Empleo</w:t>
            </w:r>
          </w:p>
        </w:tc>
      </w:tr>
      <w:tr w:rsidR="00835945" w:rsidRPr="0021307D" w14:paraId="650845A6"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052BE2C2" w14:textId="77777777" w:rsidR="00835945" w:rsidRPr="0021307D" w:rsidRDefault="00835945" w:rsidP="00A6302C"/>
        </w:tc>
        <w:tc>
          <w:tcPr>
            <w:tcW w:w="1811" w:type="dxa"/>
            <w:vMerge/>
          </w:tcPr>
          <w:p w14:paraId="7FA6E3D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407FDE9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Gestionar el trámite de situaciones administrativas</w:t>
            </w:r>
          </w:p>
        </w:tc>
        <w:tc>
          <w:tcPr>
            <w:tcW w:w="2000" w:type="dxa"/>
            <w:vMerge/>
          </w:tcPr>
          <w:p w14:paraId="048B09EC"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3D28A8B"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vMerge/>
          </w:tcPr>
          <w:p w14:paraId="0964E3E0" w14:textId="77777777" w:rsidR="00835945" w:rsidRPr="0021307D" w:rsidRDefault="00835945" w:rsidP="00A6302C"/>
        </w:tc>
        <w:tc>
          <w:tcPr>
            <w:tcW w:w="1811" w:type="dxa"/>
            <w:vMerge/>
          </w:tcPr>
          <w:p w14:paraId="7E86B16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1051DDD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Ejecutar el proceso de Encargos y nombramientos provisionales</w:t>
            </w:r>
          </w:p>
        </w:tc>
        <w:tc>
          <w:tcPr>
            <w:tcW w:w="2000" w:type="dxa"/>
            <w:vMerge/>
          </w:tcPr>
          <w:p w14:paraId="2FB87E5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4B4D2C9"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4F19DB46" w14:textId="77777777" w:rsidR="00835945" w:rsidRPr="0021307D" w:rsidRDefault="00835945" w:rsidP="00A6302C"/>
        </w:tc>
        <w:tc>
          <w:tcPr>
            <w:tcW w:w="1811" w:type="dxa"/>
            <w:vMerge/>
          </w:tcPr>
          <w:p w14:paraId="2DFDF20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23B027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seguimiento para el cumplimiento del Plan anual de vacantes y Previsión de Recursos Humanos, elaborar y presentar los respectivos informes de gestión.</w:t>
            </w:r>
          </w:p>
        </w:tc>
        <w:tc>
          <w:tcPr>
            <w:tcW w:w="2000" w:type="dxa"/>
            <w:vMerge/>
          </w:tcPr>
          <w:p w14:paraId="2CD93AE3"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61DB025C"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48073BF7" w14:textId="77777777" w:rsidR="00835945" w:rsidRPr="0021307D" w:rsidRDefault="00835945" w:rsidP="00A6302C"/>
        </w:tc>
        <w:tc>
          <w:tcPr>
            <w:tcW w:w="1811" w:type="dxa"/>
            <w:vMerge/>
          </w:tcPr>
          <w:p w14:paraId="58944F7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CBA69A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Coordinar el proceso del concurso de ascenso y abierto.</w:t>
            </w:r>
          </w:p>
        </w:tc>
        <w:tc>
          <w:tcPr>
            <w:tcW w:w="2000" w:type="dxa"/>
            <w:vMerge/>
          </w:tcPr>
          <w:p w14:paraId="2674973F"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6D31E5C"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29F65F49" w14:textId="77777777" w:rsidR="00835945" w:rsidRPr="001065D1" w:rsidRDefault="00835945" w:rsidP="00A6302C">
            <w:pPr>
              <w:jc w:val="center"/>
              <w:rPr>
                <w:b w:val="0"/>
                <w:sz w:val="22"/>
                <w:szCs w:val="22"/>
              </w:rPr>
            </w:pPr>
            <w:r w:rsidRPr="001065D1">
              <w:rPr>
                <w:b w:val="0"/>
                <w:sz w:val="22"/>
                <w:szCs w:val="22"/>
              </w:rPr>
              <w:t>1</w:t>
            </w:r>
          </w:p>
        </w:tc>
        <w:tc>
          <w:tcPr>
            <w:tcW w:w="1811" w:type="dxa"/>
          </w:tcPr>
          <w:p w14:paraId="6BB2418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w:t>
            </w:r>
          </w:p>
        </w:tc>
        <w:tc>
          <w:tcPr>
            <w:tcW w:w="4191" w:type="dxa"/>
          </w:tcPr>
          <w:p w14:paraId="3088688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el Sistema de certificaciones de Cetil y Situaciones Administrativas</w:t>
            </w:r>
          </w:p>
        </w:tc>
        <w:tc>
          <w:tcPr>
            <w:tcW w:w="2000" w:type="dxa"/>
            <w:vAlign w:val="center"/>
          </w:tcPr>
          <w:p w14:paraId="7C1EDB61"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Administración de Planta / Provisión de Empleo</w:t>
            </w:r>
          </w:p>
        </w:tc>
      </w:tr>
      <w:tr w:rsidR="00835945" w:rsidRPr="0021307D" w14:paraId="275AE5F7"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tcPr>
          <w:p w14:paraId="2C408EA8" w14:textId="77777777" w:rsidR="00835945" w:rsidRPr="0021307D" w:rsidRDefault="00835945" w:rsidP="00A6302C">
            <w:pPr>
              <w:jc w:val="center"/>
            </w:pPr>
            <w:r w:rsidRPr="001065D1">
              <w:rPr>
                <w:b w:val="0"/>
                <w:sz w:val="22"/>
                <w:szCs w:val="22"/>
              </w:rPr>
              <w:lastRenderedPageBreak/>
              <w:t>1</w:t>
            </w:r>
          </w:p>
        </w:tc>
        <w:tc>
          <w:tcPr>
            <w:tcW w:w="1811" w:type="dxa"/>
          </w:tcPr>
          <w:p w14:paraId="43AD97B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Profesional</w:t>
            </w:r>
          </w:p>
        </w:tc>
        <w:tc>
          <w:tcPr>
            <w:tcW w:w="4191" w:type="dxa"/>
          </w:tcPr>
          <w:p w14:paraId="75A1919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Liderar el proceso de nómina del Instituto</w:t>
            </w:r>
          </w:p>
        </w:tc>
        <w:tc>
          <w:tcPr>
            <w:tcW w:w="2000" w:type="dxa"/>
            <w:vAlign w:val="center"/>
          </w:tcPr>
          <w:p w14:paraId="525BD082"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Administración de Planta / Provisión de Empleo</w:t>
            </w:r>
          </w:p>
        </w:tc>
      </w:tr>
      <w:tr w:rsidR="00835945" w:rsidRPr="0021307D" w14:paraId="7413A49E"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65350D4B" w14:textId="77777777" w:rsidR="00835945" w:rsidRPr="0021307D" w:rsidRDefault="00835945" w:rsidP="00A6302C">
            <w:pPr>
              <w:jc w:val="center"/>
            </w:pPr>
            <w:r w:rsidRPr="001065D1">
              <w:rPr>
                <w:b w:val="0"/>
                <w:sz w:val="22"/>
                <w:szCs w:val="22"/>
              </w:rPr>
              <w:t>1</w:t>
            </w:r>
          </w:p>
        </w:tc>
        <w:tc>
          <w:tcPr>
            <w:tcW w:w="1811" w:type="dxa"/>
          </w:tcPr>
          <w:p w14:paraId="3F4BEAE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Técnico</w:t>
            </w:r>
          </w:p>
        </w:tc>
        <w:tc>
          <w:tcPr>
            <w:tcW w:w="4191" w:type="dxa"/>
          </w:tcPr>
          <w:p w14:paraId="5E7FBF5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Realizar seguimiento a la información del Sistema de Información y Gestión del Empleo Público.</w:t>
            </w:r>
          </w:p>
        </w:tc>
        <w:tc>
          <w:tcPr>
            <w:tcW w:w="2000" w:type="dxa"/>
            <w:vAlign w:val="center"/>
          </w:tcPr>
          <w:p w14:paraId="65DD4101"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Administración de Planta / Provisión de Empleo</w:t>
            </w:r>
          </w:p>
        </w:tc>
      </w:tr>
      <w:tr w:rsidR="00835945" w:rsidRPr="0021307D" w14:paraId="4B26DE16"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tcPr>
          <w:p w14:paraId="309F38C3" w14:textId="77777777" w:rsidR="00835945" w:rsidRPr="0021307D" w:rsidRDefault="00835945" w:rsidP="00A6302C">
            <w:pPr>
              <w:jc w:val="center"/>
            </w:pPr>
            <w:r w:rsidRPr="001065D1">
              <w:rPr>
                <w:b w:val="0"/>
                <w:sz w:val="22"/>
                <w:szCs w:val="22"/>
              </w:rPr>
              <w:t>1</w:t>
            </w:r>
          </w:p>
        </w:tc>
        <w:tc>
          <w:tcPr>
            <w:tcW w:w="1811" w:type="dxa"/>
          </w:tcPr>
          <w:p w14:paraId="675151F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Asistencial</w:t>
            </w:r>
          </w:p>
        </w:tc>
        <w:tc>
          <w:tcPr>
            <w:tcW w:w="4191" w:type="dxa"/>
          </w:tcPr>
          <w:p w14:paraId="35C1D190"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el Sistema de certificaciones - Cetil</w:t>
            </w:r>
          </w:p>
        </w:tc>
        <w:tc>
          <w:tcPr>
            <w:tcW w:w="2000" w:type="dxa"/>
            <w:vAlign w:val="center"/>
          </w:tcPr>
          <w:p w14:paraId="67914592"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5AFF7292"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tcPr>
          <w:p w14:paraId="2D22C8FC" w14:textId="77777777" w:rsidR="00835945" w:rsidRPr="0021307D" w:rsidRDefault="00835945" w:rsidP="00A6302C">
            <w:pPr>
              <w:jc w:val="center"/>
            </w:pPr>
            <w:r w:rsidRPr="001065D1">
              <w:rPr>
                <w:b w:val="0"/>
                <w:sz w:val="22"/>
                <w:szCs w:val="22"/>
              </w:rPr>
              <w:t>1</w:t>
            </w:r>
          </w:p>
        </w:tc>
        <w:tc>
          <w:tcPr>
            <w:tcW w:w="1811" w:type="dxa"/>
          </w:tcPr>
          <w:p w14:paraId="2A8540F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551A204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el proceso de Encargos - Asesorar y apoyar los procesos de vinculación, situaciones administrativas y retiro en materia de normatividad.</w:t>
            </w:r>
          </w:p>
        </w:tc>
        <w:tc>
          <w:tcPr>
            <w:tcW w:w="2000" w:type="dxa"/>
            <w:vAlign w:val="center"/>
          </w:tcPr>
          <w:p w14:paraId="6654B70E"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1D68F99E"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tcPr>
          <w:p w14:paraId="14DB26C1" w14:textId="77777777" w:rsidR="00835945" w:rsidRPr="0021307D" w:rsidRDefault="00835945" w:rsidP="00A6302C">
            <w:pPr>
              <w:jc w:val="center"/>
            </w:pPr>
            <w:r w:rsidRPr="001065D1">
              <w:rPr>
                <w:b w:val="0"/>
                <w:sz w:val="22"/>
                <w:szCs w:val="22"/>
              </w:rPr>
              <w:t>1</w:t>
            </w:r>
          </w:p>
        </w:tc>
        <w:tc>
          <w:tcPr>
            <w:tcW w:w="1811" w:type="dxa"/>
          </w:tcPr>
          <w:p w14:paraId="366A7A2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2DDDF5C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las estadísticas del proceso de vinculación y encargos.</w:t>
            </w:r>
          </w:p>
        </w:tc>
        <w:tc>
          <w:tcPr>
            <w:tcW w:w="2000" w:type="dxa"/>
            <w:vAlign w:val="center"/>
          </w:tcPr>
          <w:p w14:paraId="372B9111"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52E6E66C"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tcPr>
          <w:p w14:paraId="5F3CDDF7" w14:textId="77777777" w:rsidR="00835945" w:rsidRPr="0021307D" w:rsidRDefault="00835945" w:rsidP="00A6302C">
            <w:pPr>
              <w:jc w:val="center"/>
            </w:pPr>
            <w:r w:rsidRPr="001065D1">
              <w:rPr>
                <w:b w:val="0"/>
                <w:sz w:val="22"/>
                <w:szCs w:val="22"/>
              </w:rPr>
              <w:t>1</w:t>
            </w:r>
          </w:p>
        </w:tc>
        <w:tc>
          <w:tcPr>
            <w:tcW w:w="1811" w:type="dxa"/>
          </w:tcPr>
          <w:p w14:paraId="3D1C361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7E5385F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la administración de la planta, situaciones administrativas y reintegro de los funcionarios</w:t>
            </w:r>
          </w:p>
        </w:tc>
        <w:tc>
          <w:tcPr>
            <w:tcW w:w="2000" w:type="dxa"/>
            <w:vAlign w:val="center"/>
          </w:tcPr>
          <w:p w14:paraId="65463EDF"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55735028"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tcPr>
          <w:p w14:paraId="7F22AF46" w14:textId="77777777" w:rsidR="00835945" w:rsidRPr="0021307D" w:rsidRDefault="00835945" w:rsidP="00A6302C">
            <w:pPr>
              <w:jc w:val="center"/>
            </w:pPr>
            <w:r w:rsidRPr="001065D1">
              <w:rPr>
                <w:b w:val="0"/>
                <w:sz w:val="22"/>
                <w:szCs w:val="22"/>
              </w:rPr>
              <w:t>1</w:t>
            </w:r>
          </w:p>
        </w:tc>
        <w:tc>
          <w:tcPr>
            <w:tcW w:w="1811" w:type="dxa"/>
          </w:tcPr>
          <w:p w14:paraId="70AAFBC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6A8ACC8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la administración de la planta, situaciones administrativas y retiro de los funcionarios.</w:t>
            </w:r>
          </w:p>
        </w:tc>
        <w:tc>
          <w:tcPr>
            <w:tcW w:w="2000" w:type="dxa"/>
            <w:vAlign w:val="center"/>
          </w:tcPr>
          <w:p w14:paraId="69D61868"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573DCB96"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tcPr>
          <w:p w14:paraId="43D6EA78" w14:textId="77777777" w:rsidR="00835945" w:rsidRPr="0021307D" w:rsidRDefault="00835945" w:rsidP="00A6302C">
            <w:pPr>
              <w:jc w:val="center"/>
            </w:pPr>
            <w:r w:rsidRPr="001065D1">
              <w:rPr>
                <w:b w:val="0"/>
                <w:sz w:val="22"/>
                <w:szCs w:val="22"/>
              </w:rPr>
              <w:t>1</w:t>
            </w:r>
          </w:p>
        </w:tc>
        <w:tc>
          <w:tcPr>
            <w:tcW w:w="1811" w:type="dxa"/>
          </w:tcPr>
          <w:p w14:paraId="26EDD29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0CB3B76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el seguimiento de ausentismo laboral, programación del PAC y proceso de facturación de los contratistas.</w:t>
            </w:r>
          </w:p>
        </w:tc>
        <w:tc>
          <w:tcPr>
            <w:tcW w:w="2000" w:type="dxa"/>
            <w:vAlign w:val="center"/>
          </w:tcPr>
          <w:p w14:paraId="658FC322"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2CABFA44" w14:textId="77777777" w:rsidTr="00A6302C">
        <w:trPr>
          <w:trHeight w:val="1440"/>
        </w:trPr>
        <w:tc>
          <w:tcPr>
            <w:cnfStyle w:val="001000000000" w:firstRow="0" w:lastRow="0" w:firstColumn="1" w:lastColumn="0" w:oddVBand="0" w:evenVBand="0" w:oddHBand="0" w:evenHBand="0" w:firstRowFirstColumn="0" w:firstRowLastColumn="0" w:lastRowFirstColumn="0" w:lastRowLastColumn="0"/>
            <w:tcW w:w="1358" w:type="dxa"/>
          </w:tcPr>
          <w:p w14:paraId="78B82A55" w14:textId="77777777" w:rsidR="00835945" w:rsidRPr="0021307D" w:rsidRDefault="00835945" w:rsidP="00A6302C">
            <w:pPr>
              <w:jc w:val="center"/>
            </w:pPr>
            <w:r w:rsidRPr="001065D1">
              <w:rPr>
                <w:b w:val="0"/>
                <w:sz w:val="22"/>
                <w:szCs w:val="22"/>
              </w:rPr>
              <w:t>1</w:t>
            </w:r>
          </w:p>
        </w:tc>
        <w:tc>
          <w:tcPr>
            <w:tcW w:w="1811" w:type="dxa"/>
          </w:tcPr>
          <w:p w14:paraId="4C3CEDD9"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Contratista</w:t>
            </w:r>
          </w:p>
        </w:tc>
        <w:tc>
          <w:tcPr>
            <w:tcW w:w="4191" w:type="dxa"/>
          </w:tcPr>
          <w:p w14:paraId="587D781F"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Apoyar el proceso contractual de Talento Humano - atender requerimiento internos y externos - proyectar concepto técnico de respuesta acciones constitucionales y demandas.</w:t>
            </w:r>
          </w:p>
        </w:tc>
        <w:tc>
          <w:tcPr>
            <w:tcW w:w="2000" w:type="dxa"/>
            <w:vAlign w:val="center"/>
          </w:tcPr>
          <w:p w14:paraId="60761261"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1D54CA">
              <w:rPr>
                <w:rFonts w:eastAsia="Arial" w:cs="Arial"/>
                <w:sz w:val="22"/>
                <w:szCs w:val="22"/>
              </w:rPr>
              <w:t>Administración de Planta / Provisión de Empleo</w:t>
            </w:r>
          </w:p>
        </w:tc>
      </w:tr>
      <w:tr w:rsidR="00835945" w:rsidRPr="0021307D" w14:paraId="7887200D"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5CACD32D" w14:textId="77777777" w:rsidR="00835945" w:rsidRPr="0021307D" w:rsidRDefault="00835945" w:rsidP="00A6302C">
            <w:pPr>
              <w:jc w:val="center"/>
            </w:pPr>
            <w:r>
              <w:rPr>
                <w:rFonts w:eastAsia="Arial" w:cs="Arial"/>
                <w:b w:val="0"/>
                <w:bCs w:val="0"/>
                <w:sz w:val="22"/>
                <w:szCs w:val="22"/>
              </w:rPr>
              <w:t>1</w:t>
            </w:r>
          </w:p>
        </w:tc>
        <w:tc>
          <w:tcPr>
            <w:tcW w:w="1811" w:type="dxa"/>
            <w:vMerge w:val="restart"/>
          </w:tcPr>
          <w:p w14:paraId="6D2E4255"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22B3A0A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Orientación de las investigaciones de accidentes de trabajo y enfermedades laborales, cuando estos ocurren</w:t>
            </w:r>
          </w:p>
        </w:tc>
        <w:tc>
          <w:tcPr>
            <w:tcW w:w="2000" w:type="dxa"/>
            <w:vMerge w:val="restart"/>
            <w:vAlign w:val="center"/>
          </w:tcPr>
          <w:p w14:paraId="6027F8F8"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SG Seguridad y Salud en el Trabajo</w:t>
            </w:r>
          </w:p>
        </w:tc>
      </w:tr>
      <w:tr w:rsidR="00835945" w:rsidRPr="0021307D" w14:paraId="55F44F15"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72E58A61" w14:textId="77777777" w:rsidR="00835945" w:rsidRPr="0021307D" w:rsidRDefault="00835945" w:rsidP="00A6302C"/>
        </w:tc>
        <w:tc>
          <w:tcPr>
            <w:tcW w:w="1811" w:type="dxa"/>
            <w:vMerge/>
          </w:tcPr>
          <w:p w14:paraId="6AFAAE96"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E089A5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Brindar apoyo psicológico a los trabajadores que lo requieran</w:t>
            </w:r>
          </w:p>
        </w:tc>
        <w:tc>
          <w:tcPr>
            <w:tcW w:w="2000" w:type="dxa"/>
            <w:vMerge/>
          </w:tcPr>
          <w:p w14:paraId="1B16D4F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5030F14"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88ACC8C" w14:textId="77777777" w:rsidR="00835945" w:rsidRPr="0021307D" w:rsidRDefault="00835945" w:rsidP="00A6302C"/>
        </w:tc>
        <w:tc>
          <w:tcPr>
            <w:tcW w:w="1811" w:type="dxa"/>
            <w:vMerge/>
          </w:tcPr>
          <w:p w14:paraId="1FD5CA4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67BD370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Formulación, implementación y evaluación del Programa para la gestión del riesgo psicosocial </w:t>
            </w:r>
          </w:p>
        </w:tc>
        <w:tc>
          <w:tcPr>
            <w:tcW w:w="2000" w:type="dxa"/>
            <w:vMerge/>
          </w:tcPr>
          <w:p w14:paraId="60F57E81"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FC0AEB5"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2166418B" w14:textId="77777777" w:rsidR="00835945" w:rsidRPr="0021307D" w:rsidRDefault="00835945" w:rsidP="00A6302C"/>
        </w:tc>
        <w:tc>
          <w:tcPr>
            <w:tcW w:w="1811" w:type="dxa"/>
            <w:vMerge/>
          </w:tcPr>
          <w:p w14:paraId="6AED2BB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7B2EA7E"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Coordinación de la programación y realización de evaluaciones médicas de ingreso, periódicas y de egreso</w:t>
            </w:r>
          </w:p>
        </w:tc>
        <w:tc>
          <w:tcPr>
            <w:tcW w:w="2000" w:type="dxa"/>
            <w:vMerge/>
          </w:tcPr>
          <w:p w14:paraId="15DAA38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9E73707"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DFB6432" w14:textId="77777777" w:rsidR="00835945" w:rsidRPr="0021307D" w:rsidRDefault="00835945" w:rsidP="00A6302C"/>
        </w:tc>
        <w:tc>
          <w:tcPr>
            <w:tcW w:w="1811" w:type="dxa"/>
            <w:vMerge/>
          </w:tcPr>
          <w:p w14:paraId="503F912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1B1625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Cálculo, análisis y presentación de estadísticas de ausentismo y accidentalidad</w:t>
            </w:r>
          </w:p>
        </w:tc>
        <w:tc>
          <w:tcPr>
            <w:tcW w:w="2000" w:type="dxa"/>
            <w:vMerge/>
          </w:tcPr>
          <w:p w14:paraId="7D1641CC"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05E81C2C"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1636F491" w14:textId="77777777" w:rsidR="00835945" w:rsidRPr="0021307D" w:rsidRDefault="00835945" w:rsidP="00A6302C"/>
        </w:tc>
        <w:tc>
          <w:tcPr>
            <w:tcW w:w="1811" w:type="dxa"/>
            <w:vMerge/>
          </w:tcPr>
          <w:p w14:paraId="55511D2A"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3D8C0D5"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Coordinación y seguimiento de la conformación y funcionamiento de los Comités de Convivencia Laboral de la Entidad</w:t>
            </w:r>
          </w:p>
        </w:tc>
        <w:tc>
          <w:tcPr>
            <w:tcW w:w="2000" w:type="dxa"/>
            <w:vMerge/>
          </w:tcPr>
          <w:p w14:paraId="4D6A666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33F0B3D"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348D7CC8" w14:textId="77777777" w:rsidR="00835945" w:rsidRPr="009569E0" w:rsidRDefault="00835945" w:rsidP="00A6302C">
            <w:pPr>
              <w:jc w:val="center"/>
              <w:rPr>
                <w:b w:val="0"/>
                <w:sz w:val="22"/>
                <w:szCs w:val="22"/>
              </w:rPr>
            </w:pPr>
            <w:r w:rsidRPr="009569E0">
              <w:rPr>
                <w:b w:val="0"/>
                <w:sz w:val="22"/>
                <w:szCs w:val="22"/>
              </w:rPr>
              <w:lastRenderedPageBreak/>
              <w:t>1</w:t>
            </w:r>
          </w:p>
        </w:tc>
        <w:tc>
          <w:tcPr>
            <w:tcW w:w="1811" w:type="dxa"/>
            <w:vMerge w:val="restart"/>
          </w:tcPr>
          <w:p w14:paraId="32F8D25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especializado</w:t>
            </w:r>
          </w:p>
        </w:tc>
        <w:tc>
          <w:tcPr>
            <w:tcW w:w="4191" w:type="dxa"/>
          </w:tcPr>
          <w:p w14:paraId="0EAAD4C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Asesoramiento procesos de la Subdirección de Talento Humano </w:t>
            </w:r>
          </w:p>
        </w:tc>
        <w:tc>
          <w:tcPr>
            <w:tcW w:w="2000" w:type="dxa"/>
            <w:vMerge w:val="restart"/>
            <w:vAlign w:val="center"/>
          </w:tcPr>
          <w:p w14:paraId="4AB0FF4D"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SG Seguridad y Salud en el Trabajo</w:t>
            </w:r>
          </w:p>
        </w:tc>
      </w:tr>
      <w:tr w:rsidR="00835945" w:rsidRPr="0021307D" w14:paraId="071E2B3A"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249EC39B" w14:textId="77777777" w:rsidR="00835945" w:rsidRPr="0021307D" w:rsidRDefault="00835945" w:rsidP="00A6302C"/>
        </w:tc>
        <w:tc>
          <w:tcPr>
            <w:tcW w:w="1811" w:type="dxa"/>
            <w:vMerge/>
          </w:tcPr>
          <w:p w14:paraId="79C2DDB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3C170A1"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Apoyo en realización de auditorías internas.</w:t>
            </w:r>
          </w:p>
        </w:tc>
        <w:tc>
          <w:tcPr>
            <w:tcW w:w="2000" w:type="dxa"/>
            <w:vMerge/>
          </w:tcPr>
          <w:p w14:paraId="6F0AA9B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08197F3"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2B6CFDDA" w14:textId="77777777" w:rsidR="00835945" w:rsidRPr="0021307D" w:rsidRDefault="00835945" w:rsidP="00A6302C"/>
        </w:tc>
        <w:tc>
          <w:tcPr>
            <w:tcW w:w="1811" w:type="dxa"/>
            <w:vMerge/>
          </w:tcPr>
          <w:p w14:paraId="0F536D5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E97421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Coordinación de la elaboración y actualización de la documentación del SGI del proceso de Talento Humano</w:t>
            </w:r>
          </w:p>
        </w:tc>
        <w:tc>
          <w:tcPr>
            <w:tcW w:w="2000" w:type="dxa"/>
            <w:vMerge/>
          </w:tcPr>
          <w:p w14:paraId="5BCFDDEC"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3377BFA"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16AF30BA" w14:textId="77777777" w:rsidR="00835945" w:rsidRPr="0021307D" w:rsidRDefault="00835945" w:rsidP="00A6302C"/>
        </w:tc>
        <w:tc>
          <w:tcPr>
            <w:tcW w:w="1811" w:type="dxa"/>
            <w:vMerge/>
          </w:tcPr>
          <w:p w14:paraId="59ED152D"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775255B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Orientación de las investigaciones de accidentes de trabajo y enfermedades laborales, cuando estos ocurren</w:t>
            </w:r>
          </w:p>
        </w:tc>
        <w:tc>
          <w:tcPr>
            <w:tcW w:w="2000" w:type="dxa"/>
            <w:vMerge/>
          </w:tcPr>
          <w:p w14:paraId="2CAFE6D6"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0A7ED5B"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329C16AA" w14:textId="77777777" w:rsidR="00835945" w:rsidRPr="0021307D" w:rsidRDefault="00835945" w:rsidP="00A6302C"/>
        </w:tc>
        <w:tc>
          <w:tcPr>
            <w:tcW w:w="1811" w:type="dxa"/>
            <w:vMerge/>
          </w:tcPr>
          <w:p w14:paraId="291E4084"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089DC9B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Formulación, cálculo y análisis de los indicadores del subproceso de Gestión de Seguridad y Salud en el Trabajo</w:t>
            </w:r>
          </w:p>
        </w:tc>
        <w:tc>
          <w:tcPr>
            <w:tcW w:w="2000" w:type="dxa"/>
            <w:vMerge/>
          </w:tcPr>
          <w:p w14:paraId="285143E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116983BF"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5549AB7A" w14:textId="77777777" w:rsidR="00835945" w:rsidRPr="0021307D" w:rsidRDefault="00835945" w:rsidP="00A6302C"/>
        </w:tc>
        <w:tc>
          <w:tcPr>
            <w:tcW w:w="1811" w:type="dxa"/>
            <w:vMerge/>
          </w:tcPr>
          <w:p w14:paraId="064444F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04172CFA"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Asesoramiento en la formulación del Sistema de Gestión de Seguridad y Salud en el Trabajo y en su articulación con los demás sistemas de gestión de la entidad</w:t>
            </w:r>
          </w:p>
        </w:tc>
        <w:tc>
          <w:tcPr>
            <w:tcW w:w="2000" w:type="dxa"/>
            <w:vMerge/>
          </w:tcPr>
          <w:p w14:paraId="0825137E"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6EB51EE5"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17EFE7FE" w14:textId="77777777" w:rsidR="00835945" w:rsidRPr="0021307D" w:rsidRDefault="00835945" w:rsidP="00A6302C"/>
        </w:tc>
        <w:tc>
          <w:tcPr>
            <w:tcW w:w="1811" w:type="dxa"/>
            <w:vMerge/>
          </w:tcPr>
          <w:p w14:paraId="69A3B83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48DDFD20"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Apoyo a la subdirección en la implementación del programa de Teletrabajo en la entidad</w:t>
            </w:r>
          </w:p>
        </w:tc>
        <w:tc>
          <w:tcPr>
            <w:tcW w:w="2000" w:type="dxa"/>
            <w:vMerge/>
          </w:tcPr>
          <w:p w14:paraId="07449FDA"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B3315E6"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356F39F1" w14:textId="77777777" w:rsidR="00835945" w:rsidRPr="0021307D" w:rsidRDefault="00835945" w:rsidP="00A6302C"/>
        </w:tc>
        <w:tc>
          <w:tcPr>
            <w:tcW w:w="1811" w:type="dxa"/>
            <w:vMerge/>
          </w:tcPr>
          <w:p w14:paraId="070EAB0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58C48C54"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Implementación de prospectiva estratégica en el proceso de talento humano</w:t>
            </w:r>
          </w:p>
        </w:tc>
        <w:tc>
          <w:tcPr>
            <w:tcW w:w="2000" w:type="dxa"/>
            <w:vMerge/>
          </w:tcPr>
          <w:p w14:paraId="0748495C"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588210D"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71DC23B2" w14:textId="77777777" w:rsidR="00835945" w:rsidRPr="001E2B5E" w:rsidRDefault="00835945" w:rsidP="00A6302C">
            <w:pPr>
              <w:jc w:val="center"/>
              <w:rPr>
                <w:b w:val="0"/>
                <w:sz w:val="22"/>
                <w:szCs w:val="22"/>
              </w:rPr>
            </w:pPr>
            <w:r>
              <w:rPr>
                <w:b w:val="0"/>
                <w:sz w:val="22"/>
                <w:szCs w:val="22"/>
              </w:rPr>
              <w:t>1</w:t>
            </w:r>
          </w:p>
        </w:tc>
        <w:tc>
          <w:tcPr>
            <w:tcW w:w="1811" w:type="dxa"/>
            <w:vMerge w:val="restart"/>
          </w:tcPr>
          <w:p w14:paraId="2552495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especializado</w:t>
            </w:r>
          </w:p>
        </w:tc>
        <w:tc>
          <w:tcPr>
            <w:tcW w:w="4191" w:type="dxa"/>
          </w:tcPr>
          <w:p w14:paraId="60D47B2D"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Coordinación de la actualización de las matrices de Identificación de Peligros, Evaluación y Valoración de Riesgos</w:t>
            </w:r>
          </w:p>
        </w:tc>
        <w:tc>
          <w:tcPr>
            <w:tcW w:w="2000" w:type="dxa"/>
            <w:vMerge w:val="restart"/>
            <w:vAlign w:val="center"/>
          </w:tcPr>
          <w:p w14:paraId="52864EC1"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SG Seguridad y Salud en el Trabajo</w:t>
            </w:r>
          </w:p>
        </w:tc>
      </w:tr>
      <w:tr w:rsidR="00835945" w:rsidRPr="0021307D" w14:paraId="1FE6CB89"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5268A884" w14:textId="77777777" w:rsidR="00835945" w:rsidRPr="0021307D" w:rsidRDefault="00835945" w:rsidP="00A6302C"/>
        </w:tc>
        <w:tc>
          <w:tcPr>
            <w:tcW w:w="1811" w:type="dxa"/>
            <w:vMerge/>
          </w:tcPr>
          <w:p w14:paraId="1415C405"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220DB528"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Coordinación con la ARL para la elaboración del programa y política de sustancias psicoactivas</w:t>
            </w:r>
          </w:p>
        </w:tc>
        <w:tc>
          <w:tcPr>
            <w:tcW w:w="2000" w:type="dxa"/>
            <w:vMerge/>
          </w:tcPr>
          <w:p w14:paraId="02EB81FF"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54D9A7A"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41B0D94" w14:textId="77777777" w:rsidR="00835945" w:rsidRPr="0021307D" w:rsidRDefault="00835945" w:rsidP="00A6302C"/>
        </w:tc>
        <w:tc>
          <w:tcPr>
            <w:tcW w:w="1811" w:type="dxa"/>
            <w:vMerge/>
          </w:tcPr>
          <w:p w14:paraId="4CE4CA3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002DBB82"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Adquisición, entrega a trabajadores y capacitación de los elementos de protección de personal</w:t>
            </w:r>
          </w:p>
        </w:tc>
        <w:tc>
          <w:tcPr>
            <w:tcW w:w="2000" w:type="dxa"/>
            <w:vMerge/>
          </w:tcPr>
          <w:p w14:paraId="757F0772"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00129F2C"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2D2BF823" w14:textId="77777777" w:rsidR="00835945" w:rsidRPr="0021307D" w:rsidRDefault="00835945" w:rsidP="00A6302C"/>
        </w:tc>
        <w:tc>
          <w:tcPr>
            <w:tcW w:w="1811" w:type="dxa"/>
            <w:vMerge/>
          </w:tcPr>
          <w:p w14:paraId="0ADB2AF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150AF2F6"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Socialización y seguimiento a las mediciones de higiene industrial</w:t>
            </w:r>
          </w:p>
        </w:tc>
        <w:tc>
          <w:tcPr>
            <w:tcW w:w="2000" w:type="dxa"/>
            <w:vMerge/>
          </w:tcPr>
          <w:p w14:paraId="60177C91"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091212FF"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6570FBF3" w14:textId="77777777" w:rsidR="00835945" w:rsidRPr="00DF1CE0" w:rsidRDefault="00835945" w:rsidP="00A6302C">
            <w:pPr>
              <w:jc w:val="center"/>
              <w:rPr>
                <w:b w:val="0"/>
                <w:sz w:val="22"/>
                <w:szCs w:val="22"/>
              </w:rPr>
            </w:pPr>
            <w:r w:rsidRPr="00DF1CE0">
              <w:rPr>
                <w:b w:val="0"/>
                <w:sz w:val="22"/>
                <w:szCs w:val="22"/>
              </w:rPr>
              <w:t>1</w:t>
            </w:r>
          </w:p>
        </w:tc>
        <w:tc>
          <w:tcPr>
            <w:tcW w:w="1811" w:type="dxa"/>
            <w:vMerge w:val="restart"/>
          </w:tcPr>
          <w:p w14:paraId="3A7E967C"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255FE82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Coordinación y seguimiento de la conformación y funcionamiento de los Comités Paritarios de Seguridad y Salud en el Trabajo de la Entidad</w:t>
            </w:r>
          </w:p>
        </w:tc>
        <w:tc>
          <w:tcPr>
            <w:tcW w:w="2000" w:type="dxa"/>
            <w:vMerge w:val="restart"/>
            <w:vAlign w:val="center"/>
          </w:tcPr>
          <w:p w14:paraId="6B5A7A48"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SG Seguridad y Salud en el Trabajo</w:t>
            </w:r>
          </w:p>
        </w:tc>
      </w:tr>
      <w:tr w:rsidR="00835945" w:rsidRPr="0021307D" w14:paraId="65D1A97A" w14:textId="77777777" w:rsidTr="00A6302C">
        <w:trPr>
          <w:trHeight w:val="30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156F776A" w14:textId="77777777" w:rsidR="00835945" w:rsidRPr="0021307D" w:rsidRDefault="00835945" w:rsidP="00A6302C"/>
        </w:tc>
        <w:tc>
          <w:tcPr>
            <w:tcW w:w="1811" w:type="dxa"/>
            <w:vMerge/>
          </w:tcPr>
          <w:p w14:paraId="7044C88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19CD53D6"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Afiliación a la ARL de contratistas y funcionarios</w:t>
            </w:r>
          </w:p>
        </w:tc>
        <w:tc>
          <w:tcPr>
            <w:tcW w:w="2000" w:type="dxa"/>
            <w:vMerge/>
          </w:tcPr>
          <w:p w14:paraId="7515F129"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7F5903C7"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375FA9A1" w14:textId="77777777" w:rsidR="00835945" w:rsidRPr="0021307D" w:rsidRDefault="00835945" w:rsidP="00A6302C"/>
        </w:tc>
        <w:tc>
          <w:tcPr>
            <w:tcW w:w="1811" w:type="dxa"/>
            <w:vMerge/>
          </w:tcPr>
          <w:p w14:paraId="6BFB4613"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21BC36C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Elaboración, divulgación, implementación de los planes de emergencia</w:t>
            </w:r>
          </w:p>
        </w:tc>
        <w:tc>
          <w:tcPr>
            <w:tcW w:w="2000" w:type="dxa"/>
            <w:vMerge/>
          </w:tcPr>
          <w:p w14:paraId="4C8E04BF"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2BDB26D1"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14F2D4D1" w14:textId="77777777" w:rsidR="00835945" w:rsidRPr="0021307D" w:rsidRDefault="00835945" w:rsidP="00A6302C"/>
        </w:tc>
        <w:tc>
          <w:tcPr>
            <w:tcW w:w="1811" w:type="dxa"/>
            <w:vMerge/>
          </w:tcPr>
          <w:p w14:paraId="42DB229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6BCA5AA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Implementación y actualización del protocolo de bioseguridad, así como el seguimiento a los casos reportados.</w:t>
            </w:r>
          </w:p>
        </w:tc>
        <w:tc>
          <w:tcPr>
            <w:tcW w:w="2000" w:type="dxa"/>
            <w:vMerge/>
          </w:tcPr>
          <w:p w14:paraId="4D03F50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9DD752E"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116CF8A5" w14:textId="77777777" w:rsidR="00835945" w:rsidRPr="0021307D" w:rsidRDefault="00835945" w:rsidP="00A6302C">
            <w:pPr>
              <w:jc w:val="center"/>
            </w:pPr>
            <w:r>
              <w:rPr>
                <w:rFonts w:eastAsia="Arial" w:cs="Arial"/>
                <w:b w:val="0"/>
                <w:bCs w:val="0"/>
                <w:sz w:val="22"/>
                <w:szCs w:val="22"/>
              </w:rPr>
              <w:t>1</w:t>
            </w:r>
          </w:p>
        </w:tc>
        <w:tc>
          <w:tcPr>
            <w:tcW w:w="1811" w:type="dxa"/>
            <w:vMerge w:val="restart"/>
          </w:tcPr>
          <w:p w14:paraId="1C8B87D1"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Profesional especializado</w:t>
            </w:r>
          </w:p>
        </w:tc>
        <w:tc>
          <w:tcPr>
            <w:tcW w:w="4191" w:type="dxa"/>
          </w:tcPr>
          <w:p w14:paraId="2FE62768"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Consolidar las necesidades de capacitación que reportan las áreas a nivel nacional </w:t>
            </w:r>
          </w:p>
        </w:tc>
        <w:tc>
          <w:tcPr>
            <w:tcW w:w="2000" w:type="dxa"/>
            <w:vMerge w:val="restart"/>
            <w:vAlign w:val="center"/>
          </w:tcPr>
          <w:p w14:paraId="2B828963"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Formación y Gestión del Desempeño</w:t>
            </w:r>
          </w:p>
        </w:tc>
      </w:tr>
      <w:tr w:rsidR="00835945" w:rsidRPr="0021307D" w14:paraId="7D2BAE3F"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4FE533DC" w14:textId="77777777" w:rsidR="00835945" w:rsidRPr="0021307D" w:rsidRDefault="00835945" w:rsidP="00A6302C"/>
        </w:tc>
        <w:tc>
          <w:tcPr>
            <w:tcW w:w="1811" w:type="dxa"/>
            <w:vMerge/>
          </w:tcPr>
          <w:p w14:paraId="27036A12"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490904A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Liderar la ejecución de las actividades que integran el Plan Institucional de Capacitación de la entidad.</w:t>
            </w:r>
          </w:p>
        </w:tc>
        <w:tc>
          <w:tcPr>
            <w:tcW w:w="2000" w:type="dxa"/>
            <w:vMerge/>
            <w:shd w:val="clear" w:color="auto" w:fill="DBE5F1" w:themeFill="accent1" w:themeFillTint="33"/>
          </w:tcPr>
          <w:p w14:paraId="7A03C1B8"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895A1EE" w14:textId="77777777" w:rsidTr="00A6302C">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358" w:type="dxa"/>
            <w:vMerge/>
          </w:tcPr>
          <w:p w14:paraId="0FC89137" w14:textId="77777777" w:rsidR="00835945" w:rsidRPr="0021307D" w:rsidRDefault="00835945" w:rsidP="00A6302C"/>
        </w:tc>
        <w:tc>
          <w:tcPr>
            <w:tcW w:w="1811" w:type="dxa"/>
            <w:vMerge/>
          </w:tcPr>
          <w:p w14:paraId="1C7794DE"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3296D0B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Identificar y desarrollar las estrategias de transferencia y de aprendizaje a través de las cuales se pueden ejecutar las actividades del Plan Institucional de Capacitación. </w:t>
            </w:r>
          </w:p>
        </w:tc>
        <w:tc>
          <w:tcPr>
            <w:tcW w:w="2000" w:type="dxa"/>
            <w:vMerge/>
          </w:tcPr>
          <w:p w14:paraId="5ED265BB"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56323DE2" w14:textId="77777777" w:rsidTr="00A6302C">
        <w:trPr>
          <w:trHeight w:val="58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2F720FFD" w14:textId="77777777" w:rsidR="00835945" w:rsidRPr="0021307D" w:rsidRDefault="00835945" w:rsidP="00A6302C"/>
        </w:tc>
        <w:tc>
          <w:tcPr>
            <w:tcW w:w="1811" w:type="dxa"/>
            <w:vMerge/>
          </w:tcPr>
          <w:p w14:paraId="45DC1F4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28A97DE7"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Elaborar y presentar los informes de gestión requeridos</w:t>
            </w:r>
          </w:p>
        </w:tc>
        <w:tc>
          <w:tcPr>
            <w:tcW w:w="2000" w:type="dxa"/>
            <w:vMerge/>
            <w:shd w:val="clear" w:color="auto" w:fill="DBE5F1" w:themeFill="accent1" w:themeFillTint="33"/>
          </w:tcPr>
          <w:p w14:paraId="094FD1D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2AE63C75"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tcPr>
          <w:p w14:paraId="607CEEF3" w14:textId="77777777" w:rsidR="00835945" w:rsidRPr="000E30D6" w:rsidRDefault="00835945" w:rsidP="00A6302C">
            <w:pPr>
              <w:jc w:val="center"/>
              <w:rPr>
                <w:b w:val="0"/>
                <w:sz w:val="22"/>
                <w:szCs w:val="22"/>
              </w:rPr>
            </w:pPr>
            <w:r>
              <w:rPr>
                <w:b w:val="0"/>
                <w:sz w:val="22"/>
                <w:szCs w:val="22"/>
              </w:rPr>
              <w:t>1</w:t>
            </w:r>
          </w:p>
        </w:tc>
        <w:tc>
          <w:tcPr>
            <w:tcW w:w="1811" w:type="dxa"/>
          </w:tcPr>
          <w:p w14:paraId="33E7D70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603170A6"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Apoyar la gestión requerida para ejecutar las actividades del Plan Institucional de Capacitación. </w:t>
            </w:r>
          </w:p>
        </w:tc>
        <w:tc>
          <w:tcPr>
            <w:tcW w:w="2000" w:type="dxa"/>
            <w:vAlign w:val="center"/>
          </w:tcPr>
          <w:p w14:paraId="63BB7E39"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0E30D6">
              <w:t>Formación y Gestión del Desempeño</w:t>
            </w:r>
          </w:p>
        </w:tc>
      </w:tr>
      <w:tr w:rsidR="00835945" w:rsidRPr="0021307D" w14:paraId="2A509F41" w14:textId="77777777" w:rsidTr="00A6302C">
        <w:trPr>
          <w:trHeight w:val="1725"/>
        </w:trPr>
        <w:tc>
          <w:tcPr>
            <w:cnfStyle w:val="001000000000" w:firstRow="0" w:lastRow="0" w:firstColumn="1" w:lastColumn="0" w:oddVBand="0" w:evenVBand="0" w:oddHBand="0" w:evenHBand="0" w:firstRowFirstColumn="0" w:firstRowLastColumn="0" w:lastRowFirstColumn="0" w:lastRowLastColumn="0"/>
            <w:tcW w:w="1358" w:type="dxa"/>
            <w:vMerge w:val="restart"/>
            <w:shd w:val="clear" w:color="auto" w:fill="DBE5F1" w:themeFill="accent1" w:themeFillTint="33"/>
          </w:tcPr>
          <w:p w14:paraId="5DAA0F9F" w14:textId="77777777" w:rsidR="00835945" w:rsidRPr="00762652" w:rsidRDefault="00835945" w:rsidP="00A6302C">
            <w:pPr>
              <w:jc w:val="center"/>
              <w:rPr>
                <w:b w:val="0"/>
                <w:sz w:val="22"/>
                <w:szCs w:val="22"/>
              </w:rPr>
            </w:pPr>
            <w:r w:rsidRPr="00762652">
              <w:rPr>
                <w:b w:val="0"/>
                <w:sz w:val="22"/>
                <w:szCs w:val="22"/>
              </w:rPr>
              <w:t>1</w:t>
            </w:r>
          </w:p>
        </w:tc>
        <w:tc>
          <w:tcPr>
            <w:tcW w:w="1811" w:type="dxa"/>
            <w:vMerge w:val="restart"/>
          </w:tcPr>
          <w:p w14:paraId="60262CAA"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Funcionario</w:t>
            </w:r>
          </w:p>
        </w:tc>
        <w:tc>
          <w:tcPr>
            <w:tcW w:w="4191" w:type="dxa"/>
          </w:tcPr>
          <w:p w14:paraId="338C50C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Identificar y desarrollar las estrategias para adelantar el proceso de gestión del desempeño laboral de los funcionarios de carrera administrativa, libre nombramiento y remoción a través del seguimiento de la evaluación del desempeño laboral</w:t>
            </w:r>
          </w:p>
        </w:tc>
        <w:tc>
          <w:tcPr>
            <w:tcW w:w="2000" w:type="dxa"/>
            <w:vMerge w:val="restart"/>
            <w:shd w:val="clear" w:color="auto" w:fill="DBE5F1" w:themeFill="accent1" w:themeFillTint="33"/>
            <w:vAlign w:val="center"/>
          </w:tcPr>
          <w:p w14:paraId="29047030"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0E30D6">
              <w:t>Formación y Gestión del Desempeño</w:t>
            </w:r>
          </w:p>
        </w:tc>
      </w:tr>
      <w:tr w:rsidR="00835945" w:rsidRPr="0021307D" w14:paraId="4DC4249E" w14:textId="77777777" w:rsidTr="00A6302C">
        <w:trPr>
          <w:cnfStyle w:val="000000100000" w:firstRow="0" w:lastRow="0" w:firstColumn="0" w:lastColumn="0" w:oddVBand="0" w:evenVBand="0" w:oddHBand="1" w:evenHBand="0" w:firstRowFirstColumn="0" w:firstRowLastColumn="0" w:lastRowFirstColumn="0" w:lastRowLastColumn="0"/>
          <w:trHeight w:val="870"/>
        </w:trPr>
        <w:tc>
          <w:tcPr>
            <w:cnfStyle w:val="001000000000" w:firstRow="0" w:lastRow="0" w:firstColumn="1" w:lastColumn="0" w:oddVBand="0" w:evenVBand="0" w:oddHBand="0" w:evenHBand="0" w:firstRowFirstColumn="0" w:firstRowLastColumn="0" w:lastRowFirstColumn="0" w:lastRowLastColumn="0"/>
            <w:tcW w:w="1358" w:type="dxa"/>
            <w:vMerge/>
          </w:tcPr>
          <w:p w14:paraId="71FA54D4" w14:textId="77777777" w:rsidR="00835945" w:rsidRPr="0021307D" w:rsidRDefault="00835945" w:rsidP="00A6302C"/>
        </w:tc>
        <w:tc>
          <w:tcPr>
            <w:tcW w:w="1811" w:type="dxa"/>
            <w:vMerge/>
          </w:tcPr>
          <w:p w14:paraId="2B954F83"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1A18303B"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 xml:space="preserve">Elaborar y presentar los informes de gestión requeridos en el proceso de gestión del desempeño laboral </w:t>
            </w:r>
          </w:p>
        </w:tc>
        <w:tc>
          <w:tcPr>
            <w:tcW w:w="2000" w:type="dxa"/>
            <w:vMerge/>
          </w:tcPr>
          <w:p w14:paraId="2CFF008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0FE8E7A"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shd w:val="clear" w:color="auto" w:fill="DBE5F1" w:themeFill="accent1" w:themeFillTint="33"/>
          </w:tcPr>
          <w:p w14:paraId="78BD989D" w14:textId="77777777" w:rsidR="00835945" w:rsidRPr="0021307D" w:rsidRDefault="00835945" w:rsidP="00A6302C">
            <w:pPr>
              <w:jc w:val="center"/>
            </w:pPr>
            <w:r w:rsidRPr="00762652">
              <w:rPr>
                <w:b w:val="0"/>
                <w:sz w:val="22"/>
                <w:szCs w:val="22"/>
              </w:rPr>
              <w:t>1</w:t>
            </w:r>
          </w:p>
        </w:tc>
        <w:tc>
          <w:tcPr>
            <w:tcW w:w="1811" w:type="dxa"/>
          </w:tcPr>
          <w:p w14:paraId="1C94A95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Asistencial</w:t>
            </w:r>
          </w:p>
        </w:tc>
        <w:tc>
          <w:tcPr>
            <w:tcW w:w="4191" w:type="dxa"/>
          </w:tcPr>
          <w:p w14:paraId="0E31FEAC"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 xml:space="preserve">Consolidar en las bases de datos que permitan realizar el seguimiento al proceso de Evaluación del desempeño </w:t>
            </w:r>
          </w:p>
        </w:tc>
        <w:tc>
          <w:tcPr>
            <w:tcW w:w="2000" w:type="dxa"/>
            <w:shd w:val="clear" w:color="auto" w:fill="DBE5F1" w:themeFill="accent1" w:themeFillTint="33"/>
            <w:vAlign w:val="center"/>
          </w:tcPr>
          <w:p w14:paraId="2F03D491" w14:textId="77777777" w:rsidR="00835945" w:rsidRPr="0021307D" w:rsidRDefault="00835945" w:rsidP="00A6302C">
            <w:pPr>
              <w:jc w:val="center"/>
              <w:cnfStyle w:val="000000000000" w:firstRow="0" w:lastRow="0" w:firstColumn="0" w:lastColumn="0" w:oddVBand="0" w:evenVBand="0" w:oddHBand="0" w:evenHBand="0" w:firstRowFirstColumn="0" w:firstRowLastColumn="0" w:lastRowFirstColumn="0" w:lastRowLastColumn="0"/>
            </w:pPr>
            <w:r w:rsidRPr="000E30D6">
              <w:t>Formación y Gestión del Desempeño</w:t>
            </w:r>
          </w:p>
        </w:tc>
      </w:tr>
      <w:tr w:rsidR="00835945" w:rsidRPr="0021307D" w14:paraId="4AFBBDD4"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val="restart"/>
          </w:tcPr>
          <w:p w14:paraId="00ACA2F5" w14:textId="77777777" w:rsidR="00835945" w:rsidRPr="0021307D" w:rsidRDefault="00835945" w:rsidP="00A6302C">
            <w:pPr>
              <w:jc w:val="center"/>
            </w:pPr>
            <w:r w:rsidRPr="0021307D">
              <w:rPr>
                <w:rFonts w:eastAsia="Arial" w:cs="Arial"/>
                <w:b w:val="0"/>
                <w:bCs w:val="0"/>
                <w:sz w:val="22"/>
                <w:szCs w:val="22"/>
              </w:rPr>
              <w:t>2</w:t>
            </w:r>
          </w:p>
        </w:tc>
        <w:tc>
          <w:tcPr>
            <w:tcW w:w="1811" w:type="dxa"/>
            <w:vMerge w:val="restart"/>
          </w:tcPr>
          <w:p w14:paraId="79F4532A"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Contratista</w:t>
            </w:r>
          </w:p>
        </w:tc>
        <w:tc>
          <w:tcPr>
            <w:tcW w:w="4191" w:type="dxa"/>
          </w:tcPr>
          <w:p w14:paraId="2D275B03"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Consolidar las necesidades del Plan de Bienestar e Incentivos a nivel nacional</w:t>
            </w:r>
          </w:p>
        </w:tc>
        <w:tc>
          <w:tcPr>
            <w:tcW w:w="2000" w:type="dxa"/>
            <w:vMerge w:val="restart"/>
            <w:vAlign w:val="center"/>
          </w:tcPr>
          <w:p w14:paraId="59DB3E8E"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Calidad de Vida</w:t>
            </w:r>
          </w:p>
        </w:tc>
      </w:tr>
      <w:tr w:rsidR="00835945" w:rsidRPr="0021307D" w14:paraId="1FD025F1"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36AE4B9A" w14:textId="77777777" w:rsidR="00835945" w:rsidRPr="0021307D" w:rsidRDefault="00835945" w:rsidP="00A6302C"/>
        </w:tc>
        <w:tc>
          <w:tcPr>
            <w:tcW w:w="1811" w:type="dxa"/>
            <w:vMerge/>
          </w:tcPr>
          <w:p w14:paraId="579727C3"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4191" w:type="dxa"/>
          </w:tcPr>
          <w:p w14:paraId="5CDD555B" w14:textId="77777777" w:rsidR="00835945" w:rsidRPr="0021307D" w:rsidRDefault="00835945" w:rsidP="00A6302C">
            <w:pPr>
              <w:jc w:val="both"/>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Liderar la ejecución de las actividades que integran el Plan Ide Bienestar e Incentivos y clima organizacional.</w:t>
            </w:r>
          </w:p>
        </w:tc>
        <w:tc>
          <w:tcPr>
            <w:tcW w:w="2000" w:type="dxa"/>
            <w:vMerge/>
          </w:tcPr>
          <w:p w14:paraId="32206504"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1A787005"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0F4C6013" w14:textId="77777777" w:rsidR="00835945" w:rsidRPr="0021307D" w:rsidRDefault="00835945" w:rsidP="00A6302C"/>
        </w:tc>
        <w:tc>
          <w:tcPr>
            <w:tcW w:w="1811" w:type="dxa"/>
            <w:vMerge/>
          </w:tcPr>
          <w:p w14:paraId="000E845C"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p>
        </w:tc>
        <w:tc>
          <w:tcPr>
            <w:tcW w:w="4191" w:type="dxa"/>
          </w:tcPr>
          <w:p w14:paraId="47F86D87"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Identificar y generar estrategias para mejorar el clima organizacional de la entidad.</w:t>
            </w:r>
          </w:p>
        </w:tc>
        <w:tc>
          <w:tcPr>
            <w:tcW w:w="2000" w:type="dxa"/>
            <w:vMerge/>
          </w:tcPr>
          <w:p w14:paraId="208E9F0D"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7C1A95B4" w14:textId="77777777" w:rsidTr="00A6302C">
        <w:trPr>
          <w:trHeight w:val="1155"/>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196E2F6F" w14:textId="77777777" w:rsidR="00835945" w:rsidRPr="0021307D" w:rsidRDefault="00835945" w:rsidP="00A6302C"/>
        </w:tc>
        <w:tc>
          <w:tcPr>
            <w:tcW w:w="1811" w:type="dxa"/>
            <w:vMerge/>
          </w:tcPr>
          <w:p w14:paraId="331E70F8"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31E0A40D"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seguimiento a los procesos de Talento Humano, para el respectivo reporte del Plan de Acción, Riesgos, Plan Anticorrupción, y Proyecto de Inversión.</w:t>
            </w:r>
          </w:p>
        </w:tc>
        <w:tc>
          <w:tcPr>
            <w:tcW w:w="2000" w:type="dxa"/>
            <w:vMerge/>
          </w:tcPr>
          <w:p w14:paraId="120244EB"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5E6A7D50"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vMerge/>
          </w:tcPr>
          <w:p w14:paraId="22EE0C49" w14:textId="77777777" w:rsidR="00835945" w:rsidRPr="0021307D" w:rsidRDefault="00835945" w:rsidP="00A6302C"/>
        </w:tc>
        <w:tc>
          <w:tcPr>
            <w:tcW w:w="1811" w:type="dxa"/>
            <w:vMerge/>
          </w:tcPr>
          <w:p w14:paraId="215A039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c>
          <w:tcPr>
            <w:tcW w:w="4191" w:type="dxa"/>
          </w:tcPr>
          <w:p w14:paraId="1548A51B"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los diferentes procesos de Talento Humano</w:t>
            </w:r>
          </w:p>
        </w:tc>
        <w:tc>
          <w:tcPr>
            <w:tcW w:w="2000" w:type="dxa"/>
            <w:vMerge/>
          </w:tcPr>
          <w:p w14:paraId="1EF2A9D8" w14:textId="77777777" w:rsidR="00835945" w:rsidRPr="0021307D"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rsidRPr="0021307D" w14:paraId="49B60217" w14:textId="77777777" w:rsidTr="00A6302C">
        <w:trPr>
          <w:trHeight w:val="870"/>
        </w:trPr>
        <w:tc>
          <w:tcPr>
            <w:cnfStyle w:val="001000000000" w:firstRow="0" w:lastRow="0" w:firstColumn="1" w:lastColumn="0" w:oddVBand="0" w:evenVBand="0" w:oddHBand="0" w:evenHBand="0" w:firstRowFirstColumn="0" w:firstRowLastColumn="0" w:lastRowFirstColumn="0" w:lastRowLastColumn="0"/>
            <w:tcW w:w="1358" w:type="dxa"/>
            <w:vMerge/>
            <w:shd w:val="clear" w:color="auto" w:fill="DBE5F1" w:themeFill="accent1" w:themeFillTint="33"/>
          </w:tcPr>
          <w:p w14:paraId="36564898" w14:textId="77777777" w:rsidR="00835945" w:rsidRPr="0021307D" w:rsidRDefault="00835945" w:rsidP="00A6302C"/>
        </w:tc>
        <w:tc>
          <w:tcPr>
            <w:tcW w:w="1811" w:type="dxa"/>
            <w:vMerge/>
          </w:tcPr>
          <w:p w14:paraId="272BC397"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c>
          <w:tcPr>
            <w:tcW w:w="4191" w:type="dxa"/>
          </w:tcPr>
          <w:p w14:paraId="54FB3F90"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r w:rsidRPr="0021307D">
              <w:rPr>
                <w:rFonts w:eastAsia="Arial" w:cs="Arial"/>
                <w:sz w:val="22"/>
                <w:szCs w:val="22"/>
              </w:rPr>
              <w:t>Realizar seguimiento para el cumplimiento del Plan de Bienestar e Incentivos, elaborar y presentar los respectivos informes de gestión.</w:t>
            </w:r>
          </w:p>
        </w:tc>
        <w:tc>
          <w:tcPr>
            <w:tcW w:w="2000" w:type="dxa"/>
            <w:vMerge/>
          </w:tcPr>
          <w:p w14:paraId="45C24AA2" w14:textId="77777777" w:rsidR="00835945" w:rsidRPr="0021307D"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rsidRPr="0021307D" w14:paraId="46F2579E" w14:textId="77777777" w:rsidTr="00A6302C">
        <w:trPr>
          <w:cnfStyle w:val="000000100000" w:firstRow="0" w:lastRow="0" w:firstColumn="0" w:lastColumn="0" w:oddVBand="0" w:evenVBand="0" w:oddHBand="1"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1358" w:type="dxa"/>
          </w:tcPr>
          <w:p w14:paraId="667B1301" w14:textId="77777777" w:rsidR="00835945" w:rsidRPr="00D75023" w:rsidRDefault="00835945" w:rsidP="00A6302C">
            <w:pPr>
              <w:jc w:val="center"/>
              <w:rPr>
                <w:b w:val="0"/>
                <w:sz w:val="22"/>
                <w:szCs w:val="22"/>
              </w:rPr>
            </w:pPr>
            <w:r>
              <w:rPr>
                <w:b w:val="0"/>
                <w:sz w:val="22"/>
                <w:szCs w:val="22"/>
              </w:rPr>
              <w:t>1</w:t>
            </w:r>
          </w:p>
        </w:tc>
        <w:tc>
          <w:tcPr>
            <w:tcW w:w="1811" w:type="dxa"/>
          </w:tcPr>
          <w:p w14:paraId="1A9507B9"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Asistencial</w:t>
            </w:r>
          </w:p>
        </w:tc>
        <w:tc>
          <w:tcPr>
            <w:tcW w:w="4191" w:type="dxa"/>
          </w:tcPr>
          <w:p w14:paraId="62560F6F" w14:textId="77777777" w:rsidR="00835945" w:rsidRPr="0021307D" w:rsidRDefault="00835945" w:rsidP="00A6302C">
            <w:pPr>
              <w:jc w:val="both"/>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Apoyar las actividades para el cumplimiento del Plan de Bienestar e Incentivos</w:t>
            </w:r>
          </w:p>
        </w:tc>
        <w:tc>
          <w:tcPr>
            <w:tcW w:w="2000" w:type="dxa"/>
            <w:vAlign w:val="center"/>
          </w:tcPr>
          <w:p w14:paraId="1A9AFD41" w14:textId="77777777" w:rsidR="00835945" w:rsidRPr="0021307D" w:rsidRDefault="00835945" w:rsidP="00A6302C">
            <w:pPr>
              <w:jc w:val="center"/>
              <w:cnfStyle w:val="000000100000" w:firstRow="0" w:lastRow="0" w:firstColumn="0" w:lastColumn="0" w:oddVBand="0" w:evenVBand="0" w:oddHBand="1" w:evenHBand="0" w:firstRowFirstColumn="0" w:firstRowLastColumn="0" w:lastRowFirstColumn="0" w:lastRowLastColumn="0"/>
            </w:pPr>
            <w:r w:rsidRPr="0021307D">
              <w:rPr>
                <w:rFonts w:eastAsia="Arial" w:cs="Arial"/>
                <w:sz w:val="22"/>
                <w:szCs w:val="22"/>
              </w:rPr>
              <w:t>Calidad de Vida</w:t>
            </w:r>
          </w:p>
        </w:tc>
      </w:tr>
    </w:tbl>
    <w:p w14:paraId="5A181A4B" w14:textId="77777777" w:rsidR="00835945" w:rsidRPr="00CB53C0" w:rsidRDefault="00835945" w:rsidP="00835945">
      <w:pPr>
        <w:spacing w:line="276" w:lineRule="auto"/>
        <w:jc w:val="center"/>
        <w:rPr>
          <w:rFonts w:eastAsia="Arial" w:cs="Arial"/>
          <w:b/>
          <w:bCs/>
          <w:sz w:val="16"/>
          <w:szCs w:val="16"/>
          <w:lang w:val="es"/>
        </w:rPr>
      </w:pPr>
      <w:r w:rsidRPr="00CB53C0">
        <w:rPr>
          <w:rFonts w:eastAsia="Arial" w:cs="Arial"/>
          <w:b/>
          <w:bCs/>
          <w:sz w:val="16"/>
          <w:szCs w:val="16"/>
          <w:lang w:val="es"/>
        </w:rPr>
        <w:t>Fuente: Secretaría General</w:t>
      </w:r>
    </w:p>
    <w:p w14:paraId="69B59D8A" w14:textId="77777777" w:rsidR="00835945" w:rsidRDefault="00835945" w:rsidP="00835945">
      <w:pPr>
        <w:spacing w:line="276" w:lineRule="auto"/>
        <w:jc w:val="both"/>
        <w:rPr>
          <w:rFonts w:eastAsia="Arial" w:cs="Arial"/>
          <w:b/>
          <w:bCs/>
          <w:sz w:val="22"/>
          <w:szCs w:val="22"/>
          <w:lang w:val="es"/>
        </w:rPr>
      </w:pPr>
    </w:p>
    <w:p w14:paraId="67691410" w14:textId="7B9943BA" w:rsidR="00CB53C0" w:rsidRPr="00CB53C0" w:rsidRDefault="00835945" w:rsidP="000A20EE">
      <w:pPr>
        <w:pStyle w:val="Prrafodelista"/>
        <w:numPr>
          <w:ilvl w:val="2"/>
          <w:numId w:val="22"/>
        </w:numPr>
        <w:spacing w:line="276" w:lineRule="auto"/>
        <w:rPr>
          <w:rFonts w:eastAsia="Arial" w:cs="Arial"/>
          <w:b/>
          <w:bCs/>
          <w:sz w:val="22"/>
          <w:szCs w:val="22"/>
          <w:lang w:val="es"/>
        </w:rPr>
      </w:pPr>
      <w:r w:rsidRPr="00CB53C0">
        <w:rPr>
          <w:rFonts w:eastAsia="Arial" w:cs="Arial"/>
          <w:b/>
          <w:bCs/>
          <w:sz w:val="22"/>
          <w:szCs w:val="22"/>
          <w:lang w:val="es"/>
        </w:rPr>
        <w:t xml:space="preserve">PROCESOS A CARGO DE LA SECRETARÍA GENERAL </w:t>
      </w:r>
    </w:p>
    <w:p w14:paraId="5FE3BDA3" w14:textId="77777777" w:rsidR="0098074F" w:rsidRPr="00FF379D" w:rsidRDefault="0098074F" w:rsidP="00835945">
      <w:pPr>
        <w:spacing w:line="276" w:lineRule="auto"/>
        <w:jc w:val="both"/>
        <w:rPr>
          <w:rFonts w:eastAsia="Arial" w:cs="Arial"/>
          <w:b/>
          <w:bCs/>
          <w:sz w:val="22"/>
          <w:szCs w:val="22"/>
          <w:lang w:val="es"/>
        </w:rPr>
      </w:pPr>
    </w:p>
    <w:p w14:paraId="4355A089" w14:textId="77777777" w:rsidR="00835945" w:rsidRDefault="00835945" w:rsidP="00835945">
      <w:pPr>
        <w:spacing w:line="276" w:lineRule="auto"/>
        <w:jc w:val="both"/>
      </w:pPr>
      <w:r w:rsidRPr="31FF9146">
        <w:rPr>
          <w:rFonts w:eastAsia="Arial" w:cs="Arial"/>
          <w:sz w:val="22"/>
          <w:szCs w:val="22"/>
        </w:rPr>
        <w:t>La Secretaría General cuenta con cinco procesos de apoyo detallados a continuación:</w:t>
      </w:r>
    </w:p>
    <w:p w14:paraId="46FC7F23" w14:textId="77777777" w:rsidR="00835945" w:rsidRDefault="00835945" w:rsidP="00835945">
      <w:pPr>
        <w:spacing w:line="276" w:lineRule="auto"/>
        <w:jc w:val="both"/>
      </w:pPr>
      <w:r w:rsidRPr="31FF9146">
        <w:rPr>
          <w:rFonts w:eastAsia="Arial" w:cs="Arial"/>
          <w:sz w:val="22"/>
          <w:szCs w:val="22"/>
        </w:rPr>
        <w:t xml:space="preserve"> </w:t>
      </w:r>
    </w:p>
    <w:p w14:paraId="5FA6339C" w14:textId="77777777" w:rsidR="00835945" w:rsidRDefault="00835945" w:rsidP="000A20EE">
      <w:pPr>
        <w:pStyle w:val="Prrafodelista"/>
        <w:numPr>
          <w:ilvl w:val="0"/>
          <w:numId w:val="19"/>
        </w:numPr>
        <w:rPr>
          <w:rFonts w:eastAsia="Arial" w:cs="Arial"/>
          <w:b/>
          <w:bCs/>
          <w:sz w:val="22"/>
          <w:szCs w:val="22"/>
        </w:rPr>
      </w:pPr>
      <w:r w:rsidRPr="31FF9146">
        <w:rPr>
          <w:rFonts w:eastAsia="Arial" w:cs="Arial"/>
          <w:b/>
          <w:bCs/>
          <w:sz w:val="22"/>
          <w:szCs w:val="22"/>
        </w:rPr>
        <w:t>Proceso de Gestión Documental</w:t>
      </w:r>
      <w:r w:rsidRPr="31FF9146">
        <w:rPr>
          <w:rFonts w:eastAsia="Arial" w:cs="Arial"/>
          <w:sz w:val="22"/>
          <w:szCs w:val="22"/>
        </w:rPr>
        <w:t>: Este proceso cuenta con dos subprocesos, Gestión de Correspondencia, el cual inicia con la recepción de la correspondencia y finaliza con la gestión y respuesta a la solicitud, presentada por las partes interesadas. Aplica para todos los funcionarios, contratistas, dependencias del IGAC en Sede Central y Direcciones Territoriales – DT. y Gestión de archivos el cual inicia desde el análisis para identificar la serie, sub serie y/o asunto en la que serán clasificados los documentos generados, continua con el procesamiento técnico para ordenar y foliar la documentación y finaliza con el adecuado almacenamiento y conservación para facil</w:t>
      </w:r>
      <w:r>
        <w:rPr>
          <w:rFonts w:eastAsia="Arial" w:cs="Arial"/>
          <w:sz w:val="22"/>
          <w:szCs w:val="22"/>
        </w:rPr>
        <w:t xml:space="preserve">itar el acceso a la información. </w:t>
      </w:r>
      <w:r w:rsidRPr="31FF9146">
        <w:rPr>
          <w:rFonts w:eastAsia="Arial" w:cs="Arial"/>
          <w:sz w:val="22"/>
          <w:szCs w:val="22"/>
        </w:rPr>
        <w:t xml:space="preserve"> </w:t>
      </w:r>
    </w:p>
    <w:p w14:paraId="0616D5F8" w14:textId="77777777" w:rsidR="00835945" w:rsidRPr="00094DF0" w:rsidRDefault="00835945" w:rsidP="000A20EE">
      <w:pPr>
        <w:pStyle w:val="Prrafodelista"/>
        <w:numPr>
          <w:ilvl w:val="0"/>
          <w:numId w:val="19"/>
        </w:numPr>
        <w:rPr>
          <w:rFonts w:eastAsia="Arial" w:cs="Arial"/>
          <w:b/>
          <w:bCs/>
          <w:sz w:val="22"/>
          <w:szCs w:val="22"/>
        </w:rPr>
      </w:pPr>
      <w:r w:rsidRPr="31FF9146">
        <w:rPr>
          <w:rFonts w:eastAsia="Arial" w:cs="Arial"/>
          <w:b/>
          <w:bCs/>
          <w:sz w:val="22"/>
          <w:szCs w:val="22"/>
        </w:rPr>
        <w:t>Proceso de Gestión Financiera</w:t>
      </w:r>
      <w:r w:rsidRPr="31FF9146">
        <w:rPr>
          <w:rFonts w:eastAsia="Arial" w:cs="Arial"/>
          <w:sz w:val="22"/>
          <w:szCs w:val="22"/>
        </w:rPr>
        <w:t>, que a su vez cuenta con el Subproceso de Gestión de Presupuestal, el cual inicia con la distribución del presupuesto en el sistema financiero, continúa con la generación de los certificados de disponibilidad y registros presupuestales y finaliza con el control de la ejecución presupuestal y la implementación de acciones de mejora; y el Subproceso de Gestión Contable, el cual inicia con la recepción de la información de las diferentes áreas que participan en el proceso contable y termina con la consolidación y publicación de la información contable de la entidad. y Gestión de Tesorería, el cual inicia con la recepción de las obligaciones por parte de los diferentes procesos y subprocesos y finaliza con el pago de estas.</w:t>
      </w:r>
    </w:p>
    <w:p w14:paraId="351B4CF5" w14:textId="77777777" w:rsidR="00835945" w:rsidRDefault="00835945" w:rsidP="000A20EE">
      <w:pPr>
        <w:pStyle w:val="Prrafodelista"/>
        <w:numPr>
          <w:ilvl w:val="0"/>
          <w:numId w:val="19"/>
        </w:numPr>
        <w:rPr>
          <w:rFonts w:eastAsia="Arial" w:cs="Arial"/>
          <w:b/>
          <w:bCs/>
          <w:sz w:val="22"/>
          <w:szCs w:val="22"/>
        </w:rPr>
      </w:pPr>
      <w:r w:rsidRPr="31FF9146">
        <w:rPr>
          <w:rFonts w:eastAsia="Arial" w:cs="Arial"/>
          <w:b/>
          <w:bCs/>
          <w:sz w:val="22"/>
          <w:szCs w:val="22"/>
        </w:rPr>
        <w:t>Proceso de Gestión Contractual</w:t>
      </w:r>
      <w:r w:rsidRPr="31FF9146">
        <w:rPr>
          <w:rFonts w:eastAsia="Arial" w:cs="Arial"/>
          <w:sz w:val="22"/>
          <w:szCs w:val="22"/>
        </w:rPr>
        <w:t xml:space="preserve"> inicia con la definición de lineamientos para contratación a nivel nacional, continua con la identificación de necesidades de contratación de egresos, incluye la planificación, programación, consolidación, ejecución, supervisión del contrato y si aplica, la liquidación de los diferentes tipos de contratación tanto en la Sede Central como en las Direcciones Territoriales, continúa con las actividades administrativas necesarias para la entrega y disposición de los bienes, y el establecimiento de acciones de mejora del proceso. Igualmente incluye la elaboración y/o revisión de los contratos de ingresos de las ofertas comerciales que presente la Entidad y sean aceptadas por el contratante.</w:t>
      </w:r>
    </w:p>
    <w:p w14:paraId="73641FE1" w14:textId="77777777" w:rsidR="00835945" w:rsidRDefault="00835945" w:rsidP="00835945">
      <w:pPr>
        <w:jc w:val="both"/>
        <w:rPr>
          <w:rFonts w:eastAsia="Arial" w:cs="Arial"/>
          <w:sz w:val="22"/>
          <w:szCs w:val="22"/>
        </w:rPr>
      </w:pPr>
      <w:r w:rsidRPr="31FF9146">
        <w:rPr>
          <w:rFonts w:eastAsia="Arial" w:cs="Arial"/>
          <w:sz w:val="22"/>
          <w:szCs w:val="22"/>
        </w:rPr>
        <w:lastRenderedPageBreak/>
        <w:t xml:space="preserve"> </w:t>
      </w:r>
    </w:p>
    <w:p w14:paraId="6327E283" w14:textId="77777777" w:rsidR="00835945" w:rsidRPr="00F56751" w:rsidRDefault="00835945" w:rsidP="000A20EE">
      <w:pPr>
        <w:pStyle w:val="Prrafodelista"/>
        <w:numPr>
          <w:ilvl w:val="0"/>
          <w:numId w:val="19"/>
        </w:numPr>
        <w:rPr>
          <w:rFonts w:eastAsia="Arial" w:cs="Arial"/>
          <w:b/>
          <w:bCs/>
          <w:sz w:val="22"/>
          <w:szCs w:val="22"/>
        </w:rPr>
      </w:pPr>
      <w:r w:rsidRPr="31FF9146">
        <w:rPr>
          <w:rFonts w:eastAsia="Arial" w:cs="Arial"/>
          <w:b/>
          <w:bCs/>
          <w:sz w:val="22"/>
          <w:szCs w:val="22"/>
        </w:rPr>
        <w:t>Proceso Gestión Administrativa</w:t>
      </w:r>
      <w:r w:rsidRPr="31FF9146">
        <w:rPr>
          <w:rFonts w:eastAsia="Arial" w:cs="Arial"/>
          <w:sz w:val="22"/>
          <w:szCs w:val="22"/>
        </w:rPr>
        <w:t xml:space="preserve"> que tiene dos subprocesos: Gestión de Servicios, el cual inicia con la identificación de necesidades y/o solicitudes de servicios generales y mantenimiento de la infraestructura física y finaliza con la prestación del servicio. y Gestión de Inventarios, el cual inicia con la solicitud de ingreso y/o egreso de bienes del almacén general y finaliza con la entrega y/o almacenamiento de estos</w:t>
      </w:r>
    </w:p>
    <w:p w14:paraId="0C29AB76" w14:textId="77777777" w:rsidR="00835945" w:rsidRDefault="00835945" w:rsidP="000A20EE">
      <w:pPr>
        <w:pStyle w:val="Prrafodelista"/>
        <w:numPr>
          <w:ilvl w:val="0"/>
          <w:numId w:val="19"/>
        </w:numPr>
        <w:rPr>
          <w:rFonts w:eastAsia="Arial" w:cs="Arial"/>
          <w:b/>
          <w:bCs/>
          <w:sz w:val="22"/>
          <w:szCs w:val="22"/>
        </w:rPr>
      </w:pPr>
      <w:r w:rsidRPr="31FF9146">
        <w:rPr>
          <w:rFonts w:eastAsia="Arial" w:cs="Arial"/>
          <w:b/>
          <w:bCs/>
          <w:sz w:val="22"/>
          <w:szCs w:val="22"/>
        </w:rPr>
        <w:t>Proceso de Gestión de Talento Humano</w:t>
      </w:r>
      <w:r w:rsidRPr="31FF9146">
        <w:rPr>
          <w:rFonts w:eastAsia="Arial" w:cs="Arial"/>
          <w:sz w:val="22"/>
          <w:szCs w:val="22"/>
        </w:rPr>
        <w:t xml:space="preserve">, que cuenta con 5 subprocesos: </w:t>
      </w:r>
    </w:p>
    <w:p w14:paraId="35A3889D" w14:textId="77777777" w:rsidR="00835945" w:rsidRDefault="00835945" w:rsidP="000A20EE">
      <w:pPr>
        <w:pStyle w:val="Prrafodelista"/>
        <w:numPr>
          <w:ilvl w:val="1"/>
          <w:numId w:val="19"/>
        </w:numPr>
        <w:rPr>
          <w:rFonts w:eastAsia="Arial" w:cs="Arial"/>
          <w:sz w:val="22"/>
          <w:szCs w:val="22"/>
        </w:rPr>
      </w:pPr>
      <w:r w:rsidRPr="31FF9146">
        <w:rPr>
          <w:rFonts w:eastAsia="Arial" w:cs="Arial"/>
          <w:sz w:val="22"/>
          <w:szCs w:val="22"/>
        </w:rPr>
        <w:t xml:space="preserve">Administración de personal y Provisión de empleo: desarrolla las acciones requeridas para la administración de personal y provisión de los cargos vacantes en la Entidad para garantizar el cumplimiento de los objetivos estratégicos institucionales. </w:t>
      </w:r>
    </w:p>
    <w:p w14:paraId="5DBCB218" w14:textId="77777777" w:rsidR="00835945" w:rsidRDefault="00835945" w:rsidP="000A20EE">
      <w:pPr>
        <w:pStyle w:val="Prrafodelista"/>
        <w:numPr>
          <w:ilvl w:val="1"/>
          <w:numId w:val="19"/>
        </w:numPr>
        <w:rPr>
          <w:rFonts w:eastAsia="Arial" w:cs="Arial"/>
          <w:sz w:val="22"/>
          <w:szCs w:val="22"/>
        </w:rPr>
      </w:pPr>
      <w:r w:rsidRPr="31FF9146">
        <w:rPr>
          <w:rFonts w:eastAsia="Arial" w:cs="Arial"/>
          <w:sz w:val="22"/>
          <w:szCs w:val="22"/>
        </w:rPr>
        <w:t>Calidad de vida: establecer las actividades para gestionar el Bienestar Social en el Instituto, con dirección al talento humano y sus familias, dentro del marco legal vigente y el Modelo Integrado de Planeación y Gestión</w:t>
      </w:r>
    </w:p>
    <w:p w14:paraId="2B09325D" w14:textId="77777777" w:rsidR="00835945" w:rsidRDefault="00835945" w:rsidP="000A20EE">
      <w:pPr>
        <w:pStyle w:val="Prrafodelista"/>
        <w:numPr>
          <w:ilvl w:val="1"/>
          <w:numId w:val="19"/>
        </w:numPr>
        <w:rPr>
          <w:rFonts w:eastAsia="Arial" w:cs="Arial"/>
          <w:sz w:val="22"/>
          <w:szCs w:val="22"/>
        </w:rPr>
      </w:pPr>
      <w:r w:rsidRPr="31FF9146">
        <w:rPr>
          <w:rFonts w:eastAsia="Arial" w:cs="Arial"/>
          <w:sz w:val="22"/>
          <w:szCs w:val="22"/>
        </w:rPr>
        <w:t>Sistema de Gestión de Seguridad y Salud en el Trabajo: identificar y realizar la valoración de los riesgos laborales de la Entidad, a fin de promover la seguridad y salud de los servidores públicos, mediante el cumplimiento de un plan de trabajo orientado a la prevención y mitigación de la accidentalidad y la enfermedad laboral.</w:t>
      </w:r>
    </w:p>
    <w:p w14:paraId="1ADDE5FD" w14:textId="77777777" w:rsidR="00835945" w:rsidRDefault="00835945" w:rsidP="000A20EE">
      <w:pPr>
        <w:pStyle w:val="Prrafodelista"/>
        <w:numPr>
          <w:ilvl w:val="1"/>
          <w:numId w:val="19"/>
        </w:numPr>
        <w:rPr>
          <w:rFonts w:eastAsia="Arial" w:cs="Arial"/>
          <w:sz w:val="22"/>
          <w:szCs w:val="22"/>
        </w:rPr>
      </w:pPr>
      <w:r w:rsidRPr="31FF9146">
        <w:rPr>
          <w:rFonts w:eastAsia="Arial" w:cs="Arial"/>
          <w:sz w:val="22"/>
          <w:szCs w:val="22"/>
        </w:rPr>
        <w:t xml:space="preserve">Formación y Gestión de desempeño: realizar e implementar el Plan Institucional de Capacitación, con el fin de fortalecer en el talento humano del Instituto las habilidades y competencias, acompañando el proceso de Evaluación de Desempeño Laboral y acuerdos de Gestión, con fundamento en los principios de igualdad, moralidad, eficacia, economía, celeridad, transparencia, imparcialidad, objetividad y mérito que rigen la función pública.  </w:t>
      </w:r>
    </w:p>
    <w:p w14:paraId="4946AD66" w14:textId="0434DE7F" w:rsidR="00835945" w:rsidRDefault="00835945" w:rsidP="00835945">
      <w:pPr>
        <w:spacing w:line="276" w:lineRule="auto"/>
        <w:jc w:val="both"/>
        <w:rPr>
          <w:rFonts w:eastAsia="Arial" w:cs="Arial"/>
          <w:sz w:val="22"/>
          <w:szCs w:val="22"/>
        </w:rPr>
      </w:pPr>
      <w:r w:rsidRPr="31FF9146">
        <w:rPr>
          <w:rFonts w:eastAsia="Arial" w:cs="Arial"/>
          <w:sz w:val="22"/>
          <w:szCs w:val="22"/>
        </w:rPr>
        <w:t xml:space="preserve"> </w:t>
      </w:r>
    </w:p>
    <w:p w14:paraId="6A34772A" w14:textId="2EF13C52" w:rsidR="00835945" w:rsidRDefault="00835945" w:rsidP="000A20EE">
      <w:pPr>
        <w:pStyle w:val="Prrafodelista"/>
        <w:numPr>
          <w:ilvl w:val="2"/>
          <w:numId w:val="22"/>
        </w:numPr>
        <w:spacing w:line="276" w:lineRule="auto"/>
        <w:rPr>
          <w:rFonts w:eastAsia="Arial" w:cs="Arial"/>
          <w:b/>
          <w:bCs/>
          <w:sz w:val="22"/>
          <w:szCs w:val="22"/>
          <w:lang w:val="es"/>
        </w:rPr>
      </w:pPr>
      <w:r w:rsidRPr="00CB53C0">
        <w:rPr>
          <w:rFonts w:eastAsia="Arial" w:cs="Arial"/>
          <w:b/>
          <w:bCs/>
          <w:sz w:val="22"/>
          <w:szCs w:val="22"/>
          <w:lang w:val="es"/>
        </w:rPr>
        <w:t>RESULTADO Y LOGROS</w:t>
      </w:r>
    </w:p>
    <w:p w14:paraId="5A535E1D" w14:textId="77777777" w:rsidR="00CB53C0" w:rsidRPr="00CB53C0" w:rsidRDefault="00CB53C0" w:rsidP="00CB53C0">
      <w:pPr>
        <w:pStyle w:val="Lista"/>
        <w:rPr>
          <w:rFonts w:eastAsia="Arial"/>
          <w:lang w:val="es"/>
        </w:rPr>
      </w:pPr>
    </w:p>
    <w:p w14:paraId="79CC6F27" w14:textId="77777777" w:rsidR="00835945" w:rsidRDefault="00835945" w:rsidP="00835945">
      <w:pPr>
        <w:jc w:val="both"/>
        <w:rPr>
          <w:rFonts w:eastAsia="Arial" w:cs="Arial"/>
          <w:sz w:val="22"/>
          <w:szCs w:val="22"/>
          <w:lang w:val="es"/>
        </w:rPr>
      </w:pPr>
      <w:r w:rsidRPr="31FF9146">
        <w:rPr>
          <w:rFonts w:eastAsia="Arial" w:cs="Arial"/>
          <w:sz w:val="22"/>
          <w:szCs w:val="22"/>
          <w:lang w:val="es"/>
        </w:rPr>
        <w:t>Desde la Secretaría General se cuenta con dos proyectos de inversión “</w:t>
      </w:r>
      <w:r w:rsidRPr="31FF9146">
        <w:rPr>
          <w:rFonts w:eastAsia="Arial" w:cs="Arial"/>
          <w:i/>
          <w:iCs/>
          <w:sz w:val="22"/>
          <w:szCs w:val="22"/>
          <w:lang w:val="es"/>
        </w:rPr>
        <w:t>Implementación de un sistema de gestión documental en el IGAC a nivel Nacional”</w:t>
      </w:r>
      <w:r w:rsidRPr="31FF9146">
        <w:rPr>
          <w:rFonts w:eastAsia="Arial" w:cs="Arial"/>
          <w:sz w:val="22"/>
          <w:szCs w:val="22"/>
          <w:lang w:val="es"/>
        </w:rPr>
        <w:t xml:space="preserve"> y “</w:t>
      </w:r>
      <w:r w:rsidRPr="31FF9146">
        <w:rPr>
          <w:rFonts w:eastAsia="Arial" w:cs="Arial"/>
          <w:i/>
          <w:iCs/>
          <w:sz w:val="22"/>
          <w:szCs w:val="22"/>
          <w:lang w:val="es"/>
        </w:rPr>
        <w:t>Fortalecimiento de la infraestructura física del IGAC a nivel Nacional</w:t>
      </w:r>
      <w:r w:rsidRPr="31FF9146">
        <w:rPr>
          <w:rFonts w:eastAsia="Arial" w:cs="Arial"/>
          <w:sz w:val="22"/>
          <w:szCs w:val="22"/>
          <w:lang w:val="es"/>
        </w:rPr>
        <w:t xml:space="preserve">” los cuales son liderados por el proceso de Gestión Documental y el proceso de Gestión Administrativa respectivamente </w:t>
      </w:r>
    </w:p>
    <w:p w14:paraId="32D136C3" w14:textId="77777777" w:rsidR="00835945" w:rsidRDefault="00835945" w:rsidP="00835945">
      <w:pPr>
        <w:jc w:val="both"/>
        <w:rPr>
          <w:rFonts w:eastAsia="Arial" w:cs="Arial"/>
          <w:sz w:val="22"/>
          <w:szCs w:val="22"/>
          <w:lang w:val="es"/>
        </w:rPr>
      </w:pPr>
      <w:r w:rsidRPr="31FF9146">
        <w:rPr>
          <w:rFonts w:eastAsia="Arial" w:cs="Arial"/>
          <w:sz w:val="22"/>
          <w:szCs w:val="22"/>
          <w:lang w:val="es"/>
        </w:rPr>
        <w:t xml:space="preserve"> </w:t>
      </w:r>
    </w:p>
    <w:p w14:paraId="1F2E999A" w14:textId="77777777" w:rsidR="00835945" w:rsidRDefault="00835945" w:rsidP="00835945">
      <w:pPr>
        <w:jc w:val="both"/>
        <w:rPr>
          <w:rFonts w:eastAsia="Arial" w:cs="Arial"/>
          <w:sz w:val="22"/>
          <w:szCs w:val="22"/>
          <w:lang w:val="es"/>
        </w:rPr>
      </w:pPr>
      <w:r w:rsidRPr="31FF9146">
        <w:rPr>
          <w:rFonts w:eastAsia="Arial" w:cs="Arial"/>
          <w:sz w:val="22"/>
          <w:szCs w:val="22"/>
          <w:lang w:val="es"/>
        </w:rPr>
        <w:t xml:space="preserve">Desde el proyecto de inversión Implementación de un sistema de gestión documental en el IGAC se ha realizado la actualización de los instrumentos archivísticos en el marco del Programa de Gestión Documental, adicionalmente se realizó el levantamiento de las Tablas de Retención Documental – TRD y se remitió al Archivo General de la Nación para su respectiva convalidación, adicionalmente se ha podido realizar la intervención y el proceso de organización alrededor de 400 metros lineales y adicionalmente, ha estos metros lineales se les han aplicado los procedimientos para la conservación documental; adicionalmente, durante la vigencia 2019 y 2020 se realizó todo el proceso de diagnóstico y mesas de trabajo lo cual conllevó a que en el mes de diciembre de 2020 se pusiera en marcha el nuevo Sistema de Gestión Documental SIGAC, el cual ha permitido control, administración, manejo y gestión de las comunicaciones oficiales del Instituto. </w:t>
      </w:r>
    </w:p>
    <w:p w14:paraId="59C77CB7" w14:textId="77777777" w:rsidR="00835945" w:rsidRDefault="00835945" w:rsidP="00835945">
      <w:pPr>
        <w:jc w:val="both"/>
        <w:rPr>
          <w:rFonts w:eastAsia="Arial" w:cs="Arial"/>
          <w:sz w:val="22"/>
          <w:szCs w:val="22"/>
          <w:lang w:val="es"/>
        </w:rPr>
      </w:pPr>
      <w:r w:rsidRPr="31FF9146">
        <w:rPr>
          <w:rFonts w:eastAsia="Arial" w:cs="Arial"/>
          <w:sz w:val="22"/>
          <w:szCs w:val="22"/>
          <w:lang w:val="es"/>
        </w:rPr>
        <w:t xml:space="preserve"> </w:t>
      </w:r>
    </w:p>
    <w:p w14:paraId="5508552A" w14:textId="77777777" w:rsidR="00835945" w:rsidRDefault="00835945" w:rsidP="00835945">
      <w:pPr>
        <w:jc w:val="both"/>
        <w:rPr>
          <w:rFonts w:eastAsia="Arial" w:cs="Arial"/>
          <w:sz w:val="22"/>
          <w:szCs w:val="22"/>
          <w:lang w:val="es"/>
        </w:rPr>
      </w:pPr>
      <w:r w:rsidRPr="31FF9146">
        <w:rPr>
          <w:rFonts w:eastAsia="Arial" w:cs="Arial"/>
          <w:sz w:val="22"/>
          <w:szCs w:val="22"/>
          <w:lang w:val="es"/>
        </w:rPr>
        <w:t>El proyecto de inversión” Fortalecimiento de la infraestructura física del IGAC a nivel Nacional” mediante actividades tendientes a lograr los siguientes productos: Sedes Mantenidas, Sedes Adecuadas, Sedes Construidas y dotadas, Sedes Ampliadas. Dando una cobertura en las zonas a nivel nacional.</w:t>
      </w:r>
    </w:p>
    <w:p w14:paraId="3BB8208C" w14:textId="77777777" w:rsidR="00835945" w:rsidRDefault="00835945" w:rsidP="00835945">
      <w:pPr>
        <w:jc w:val="both"/>
        <w:rPr>
          <w:rFonts w:eastAsia="Arial" w:cs="Arial"/>
          <w:sz w:val="22"/>
          <w:szCs w:val="22"/>
          <w:lang w:val="es"/>
        </w:rPr>
      </w:pPr>
      <w:r w:rsidRPr="31FF9146">
        <w:rPr>
          <w:rFonts w:eastAsia="Arial" w:cs="Arial"/>
          <w:sz w:val="22"/>
          <w:szCs w:val="22"/>
          <w:lang w:val="es"/>
        </w:rPr>
        <w:t xml:space="preserve"> </w:t>
      </w:r>
    </w:p>
    <w:p w14:paraId="21C5711B" w14:textId="77777777" w:rsidR="00835945" w:rsidRDefault="00835945" w:rsidP="00835945">
      <w:pPr>
        <w:jc w:val="both"/>
        <w:rPr>
          <w:rFonts w:eastAsia="Arial" w:cs="Arial"/>
          <w:sz w:val="22"/>
          <w:szCs w:val="22"/>
          <w:lang w:val="es"/>
        </w:rPr>
      </w:pPr>
      <w:r w:rsidRPr="31FF9146">
        <w:rPr>
          <w:rFonts w:eastAsia="Arial" w:cs="Arial"/>
          <w:sz w:val="22"/>
          <w:szCs w:val="22"/>
          <w:lang w:val="es"/>
        </w:rPr>
        <w:lastRenderedPageBreak/>
        <w:t>Frente a los recursos obtenidos en este proyecto de inversión se han podido realizar adecuaciones, mantenimientos, suministros para las 22 direcciones territoriales.</w:t>
      </w:r>
    </w:p>
    <w:p w14:paraId="2E90CEE9" w14:textId="77777777" w:rsidR="00835945" w:rsidRDefault="00835945" w:rsidP="00835945">
      <w:pPr>
        <w:spacing w:line="276" w:lineRule="auto"/>
        <w:jc w:val="both"/>
        <w:rPr>
          <w:rFonts w:eastAsia="Arial" w:cs="Arial"/>
          <w:color w:val="FF0000"/>
          <w:sz w:val="22"/>
          <w:szCs w:val="22"/>
          <w:lang w:val="es"/>
        </w:rPr>
      </w:pPr>
      <w:r w:rsidRPr="31FF9146">
        <w:rPr>
          <w:rFonts w:eastAsia="Arial" w:cs="Arial"/>
          <w:color w:val="FF0000"/>
          <w:sz w:val="22"/>
          <w:szCs w:val="22"/>
          <w:lang w:val="es"/>
        </w:rPr>
        <w:t xml:space="preserve"> </w:t>
      </w:r>
    </w:p>
    <w:p w14:paraId="666B873B" w14:textId="404AC0FE" w:rsidR="00CB53C0" w:rsidRPr="00CB53C0" w:rsidRDefault="00835945" w:rsidP="000A20EE">
      <w:pPr>
        <w:pStyle w:val="Prrafodelista"/>
        <w:numPr>
          <w:ilvl w:val="3"/>
          <w:numId w:val="22"/>
        </w:numPr>
        <w:spacing w:line="276" w:lineRule="auto"/>
        <w:rPr>
          <w:rFonts w:eastAsia="Arial" w:cs="Arial"/>
          <w:b/>
          <w:bCs/>
          <w:sz w:val="22"/>
          <w:szCs w:val="22"/>
          <w:lang w:val="es"/>
        </w:rPr>
      </w:pPr>
      <w:r w:rsidRPr="00CB53C0">
        <w:rPr>
          <w:rFonts w:eastAsia="Arial" w:cs="Arial"/>
          <w:b/>
          <w:bCs/>
          <w:sz w:val="22"/>
          <w:szCs w:val="22"/>
          <w:lang w:val="es"/>
        </w:rPr>
        <w:t>PROCESO GESTIÓN DOCUMENTAL</w:t>
      </w:r>
    </w:p>
    <w:p w14:paraId="376E515D" w14:textId="77777777" w:rsidR="00835945" w:rsidRDefault="00835945" w:rsidP="00835945">
      <w:pPr>
        <w:spacing w:line="276" w:lineRule="auto"/>
        <w:jc w:val="both"/>
        <w:rPr>
          <w:rFonts w:eastAsia="Arial" w:cs="Arial"/>
          <w:b/>
          <w:bCs/>
          <w:sz w:val="22"/>
          <w:szCs w:val="22"/>
          <w:lang w:val="es"/>
        </w:rPr>
      </w:pPr>
      <w:r w:rsidRPr="31FF9146">
        <w:rPr>
          <w:rFonts w:eastAsia="Arial" w:cs="Arial"/>
          <w:b/>
          <w:bCs/>
          <w:sz w:val="22"/>
          <w:szCs w:val="22"/>
          <w:lang w:val="es"/>
        </w:rPr>
        <w:t xml:space="preserve"> </w:t>
      </w:r>
    </w:p>
    <w:p w14:paraId="1E343820" w14:textId="77777777" w:rsidR="00835945" w:rsidRDefault="00835945" w:rsidP="00835945">
      <w:pPr>
        <w:jc w:val="both"/>
        <w:rPr>
          <w:rFonts w:eastAsia="Arial" w:cs="Arial"/>
          <w:sz w:val="22"/>
          <w:szCs w:val="22"/>
          <w:lang w:val="es"/>
        </w:rPr>
      </w:pPr>
      <w:r w:rsidRPr="31FF9146">
        <w:rPr>
          <w:rFonts w:eastAsia="Arial" w:cs="Arial"/>
          <w:sz w:val="22"/>
          <w:szCs w:val="22"/>
          <w:lang w:val="es"/>
        </w:rPr>
        <w:t>Se han presentado logros y resultados encaminados a la mejora continua del proceso a través del Sistema SIGAC y de otros documentos y herramientas, a continuación, se detallan lo más relevantes:</w:t>
      </w:r>
    </w:p>
    <w:p w14:paraId="5459E736" w14:textId="77777777" w:rsidR="00835945" w:rsidRDefault="00835945" w:rsidP="00835945">
      <w:pPr>
        <w:spacing w:line="276" w:lineRule="auto"/>
        <w:jc w:val="both"/>
        <w:rPr>
          <w:rFonts w:eastAsia="Arial" w:cs="Arial"/>
          <w:b/>
          <w:bCs/>
          <w:sz w:val="22"/>
          <w:szCs w:val="22"/>
          <w:lang w:val="es"/>
        </w:rPr>
      </w:pPr>
      <w:r w:rsidRPr="31FF9146">
        <w:rPr>
          <w:rFonts w:eastAsia="Arial" w:cs="Arial"/>
          <w:b/>
          <w:bCs/>
          <w:sz w:val="22"/>
          <w:szCs w:val="22"/>
          <w:lang w:val="es"/>
        </w:rPr>
        <w:t xml:space="preserve"> </w:t>
      </w:r>
    </w:p>
    <w:p w14:paraId="1807D651" w14:textId="77777777" w:rsidR="00835945" w:rsidRDefault="00835945" w:rsidP="00835945">
      <w:pPr>
        <w:spacing w:line="276" w:lineRule="auto"/>
        <w:jc w:val="both"/>
        <w:rPr>
          <w:rFonts w:eastAsia="Arial" w:cs="Arial"/>
          <w:b/>
          <w:bCs/>
          <w:sz w:val="22"/>
          <w:szCs w:val="22"/>
          <w:lang w:val="es"/>
        </w:rPr>
      </w:pPr>
      <w:r w:rsidRPr="31FF9146">
        <w:rPr>
          <w:rFonts w:eastAsia="Arial" w:cs="Arial"/>
          <w:b/>
          <w:bCs/>
          <w:sz w:val="22"/>
          <w:szCs w:val="22"/>
          <w:lang w:val="es"/>
        </w:rPr>
        <w:t>GESTIÓN DE CORRESPONDENCIA</w:t>
      </w:r>
    </w:p>
    <w:p w14:paraId="7FB590C7" w14:textId="77777777" w:rsidR="00835945" w:rsidRDefault="00835945" w:rsidP="00835945">
      <w:pPr>
        <w:jc w:val="both"/>
      </w:pPr>
      <w:r w:rsidRPr="31FF9146">
        <w:rPr>
          <w:rFonts w:eastAsia="Arial" w:cs="Arial"/>
          <w:color w:val="000000" w:themeColor="text1"/>
          <w:lang w:val="es"/>
        </w:rPr>
        <w:t xml:space="preserve"> </w:t>
      </w:r>
    </w:p>
    <w:p w14:paraId="73801AB3" w14:textId="77777777" w:rsidR="00835945" w:rsidRPr="008B6C38"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lang w:val="es"/>
        </w:rPr>
        <w:t>Gracias a la puesta en marcha del nuevo Sistema de Gestión Documental SIGAC hemos logrado radicar 151.690 comunicaciones oficiales externas enviadas y se han recibido 131.234 Comunicaciones Oficiales las cuales han ingresado al repositorio destinado digitalmente, permitiendo realizar una optimización importante en el uso de papel.</w:t>
      </w:r>
    </w:p>
    <w:p w14:paraId="148D4156" w14:textId="77777777" w:rsidR="00835945" w:rsidRPr="008B6C38"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lang w:val="es"/>
        </w:rPr>
        <w:t xml:space="preserve">Facilidad en la trazabilidad de las diferentes comunicaciones oficiales recepcionadas, internas y enviadas por el Instituto. </w:t>
      </w:r>
    </w:p>
    <w:p w14:paraId="0A1040E9" w14:textId="77777777" w:rsidR="00835945" w:rsidRPr="008B6C38"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lang w:val="es"/>
        </w:rPr>
        <w:t>Transformación y adaptación del Sistema, enmarcado en las necesidades organizacionales y normativas, establecidas durante el proceso de Modernización del Instituto.</w:t>
      </w:r>
    </w:p>
    <w:p w14:paraId="2C96D4C1" w14:textId="77777777" w:rsidR="00835945" w:rsidRPr="008B6C38"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rPr>
        <w:t>Elaboración del Modelo de Requisitos para la Gestión de Documentos Electrónicos de acuerdo con los lineamientos emitidos por el Archivo General de la Nación y necesidades identificadas en el instituto.</w:t>
      </w:r>
    </w:p>
    <w:p w14:paraId="316CCD1A" w14:textId="77777777" w:rsidR="00835945"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lang w:val="es"/>
        </w:rPr>
        <w:t>Elaboración de matriz que contiene esquema de metadatos con elementos y subelementos que permitan la preservación, la descripción archivística y la identificación del entorno en que se generan los documentos en la Entidad. Se tomaron como referencia el modelo eEMGDE, la norma NTC ISO 23081, AGRkMS y apartes del modelo Premis.</w:t>
      </w:r>
    </w:p>
    <w:p w14:paraId="360521E2" w14:textId="77777777" w:rsidR="00835945" w:rsidRPr="008B6C38"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rPr>
        <w:t xml:space="preserve">Identificación de requerimientos del modelo de operación SGDEA, por medio de la elaboración del diagnóstico de necesidades específicas de gestión documental. </w:t>
      </w:r>
    </w:p>
    <w:p w14:paraId="7DF1A0DB" w14:textId="77777777" w:rsidR="00835945" w:rsidRDefault="00835945" w:rsidP="000A20EE">
      <w:pPr>
        <w:pStyle w:val="Prrafodelista"/>
        <w:numPr>
          <w:ilvl w:val="0"/>
          <w:numId w:val="18"/>
        </w:numPr>
        <w:rPr>
          <w:rFonts w:eastAsia="Arial" w:cs="Arial"/>
          <w:color w:val="000000" w:themeColor="text1"/>
          <w:sz w:val="22"/>
          <w:szCs w:val="22"/>
        </w:rPr>
      </w:pPr>
      <w:r w:rsidRPr="31FF9146">
        <w:rPr>
          <w:rFonts w:eastAsia="Arial" w:cs="Arial"/>
          <w:color w:val="000000" w:themeColor="text1"/>
          <w:sz w:val="22"/>
          <w:szCs w:val="22"/>
          <w:lang w:val="es"/>
        </w:rPr>
        <w:t>Sistema de Gestión Documental de Archivo Electrónico: Diseño del Sistema con interoperabilidad con Sistema Nacional Catastral.</w:t>
      </w:r>
    </w:p>
    <w:p w14:paraId="39B4F5E2" w14:textId="77777777" w:rsidR="00835945" w:rsidRDefault="00835945" w:rsidP="00835945">
      <w:pPr>
        <w:spacing w:line="276" w:lineRule="auto"/>
        <w:jc w:val="both"/>
      </w:pPr>
      <w:r w:rsidRPr="31FF9146">
        <w:rPr>
          <w:rFonts w:eastAsia="Arial" w:cs="Arial"/>
          <w:color w:val="000000" w:themeColor="text1"/>
          <w:sz w:val="22"/>
          <w:szCs w:val="22"/>
        </w:rPr>
        <w:t xml:space="preserve"> </w:t>
      </w:r>
    </w:p>
    <w:p w14:paraId="6E49B08C" w14:textId="77777777" w:rsidR="00835945" w:rsidRDefault="00835945" w:rsidP="00835945">
      <w:pPr>
        <w:spacing w:line="276" w:lineRule="auto"/>
        <w:jc w:val="both"/>
      </w:pPr>
      <w:r w:rsidRPr="31FF9146">
        <w:rPr>
          <w:rFonts w:eastAsia="Arial" w:cs="Arial"/>
          <w:b/>
          <w:bCs/>
          <w:sz w:val="22"/>
          <w:szCs w:val="22"/>
          <w:lang w:val="es"/>
        </w:rPr>
        <w:t xml:space="preserve">GESTIÓN DE ARCHIVOS </w:t>
      </w:r>
    </w:p>
    <w:p w14:paraId="1C06D5B6" w14:textId="77777777" w:rsidR="00835945" w:rsidRDefault="00835945" w:rsidP="00835945">
      <w:pPr>
        <w:jc w:val="both"/>
      </w:pPr>
      <w:r w:rsidRPr="31FF9146">
        <w:rPr>
          <w:rFonts w:eastAsia="Arial" w:cs="Arial"/>
          <w:color w:val="000000" w:themeColor="text1"/>
          <w:sz w:val="22"/>
          <w:szCs w:val="22"/>
          <w:lang w:val="es"/>
        </w:rPr>
        <w:t xml:space="preserve"> </w:t>
      </w:r>
    </w:p>
    <w:p w14:paraId="4D415B7E" w14:textId="77777777" w:rsidR="00835945" w:rsidRPr="00522D23" w:rsidRDefault="00835945" w:rsidP="000A20EE">
      <w:pPr>
        <w:pStyle w:val="Prrafodelista"/>
        <w:numPr>
          <w:ilvl w:val="0"/>
          <w:numId w:val="17"/>
        </w:numPr>
        <w:rPr>
          <w:rFonts w:eastAsia="Arial" w:cs="Arial"/>
          <w:color w:val="000000" w:themeColor="text1"/>
          <w:sz w:val="22"/>
          <w:szCs w:val="22"/>
        </w:rPr>
      </w:pPr>
      <w:r w:rsidRPr="31FF9146">
        <w:rPr>
          <w:rFonts w:eastAsia="Arial" w:cs="Arial"/>
          <w:color w:val="000000" w:themeColor="text1"/>
          <w:sz w:val="22"/>
          <w:szCs w:val="22"/>
          <w:lang w:val="es"/>
        </w:rPr>
        <w:t>Se encuentra en ejecución el levantamiento del Diagnóstico Integral de Archivo a (28) Oficinas Productoras, de las cuales, se han adelantado el levantamiento de la información en su totalidad a 16 de éstas, quedando pendiente 12 oficinas productoras</w:t>
      </w:r>
    </w:p>
    <w:p w14:paraId="5F5FC956" w14:textId="77777777" w:rsidR="00835945" w:rsidRPr="00522D23" w:rsidRDefault="00835945" w:rsidP="000A20EE">
      <w:pPr>
        <w:pStyle w:val="Prrafodelista"/>
        <w:numPr>
          <w:ilvl w:val="0"/>
          <w:numId w:val="17"/>
        </w:numPr>
        <w:rPr>
          <w:rFonts w:eastAsia="Arial" w:cs="Arial"/>
          <w:color w:val="000000" w:themeColor="text1"/>
          <w:sz w:val="22"/>
          <w:szCs w:val="22"/>
        </w:rPr>
      </w:pPr>
      <w:r w:rsidRPr="31FF9146">
        <w:rPr>
          <w:rFonts w:eastAsia="Arial" w:cs="Arial"/>
          <w:color w:val="000000" w:themeColor="text1"/>
          <w:sz w:val="22"/>
          <w:szCs w:val="22"/>
          <w:lang w:val="es"/>
        </w:rPr>
        <w:t>Elaboración de la propuesta de actualización de Tablas de Retención Documental del Nivel Central y Territorial que se encuentra en Proceso de Aprobación y Convalidación ante el Archivo General de la Nación.</w:t>
      </w:r>
    </w:p>
    <w:p w14:paraId="78BBDCE7" w14:textId="77777777" w:rsidR="00835945" w:rsidRPr="00522D23" w:rsidRDefault="00835945" w:rsidP="000A20EE">
      <w:pPr>
        <w:pStyle w:val="Prrafodelista"/>
        <w:numPr>
          <w:ilvl w:val="1"/>
          <w:numId w:val="16"/>
        </w:numPr>
        <w:ind w:left="720"/>
        <w:rPr>
          <w:rFonts w:eastAsia="Arial" w:cs="Arial"/>
          <w:color w:val="000000" w:themeColor="text1"/>
          <w:sz w:val="22"/>
          <w:szCs w:val="22"/>
        </w:rPr>
      </w:pPr>
      <w:r w:rsidRPr="31FF9146">
        <w:rPr>
          <w:rFonts w:eastAsia="Arial" w:cs="Arial"/>
          <w:color w:val="000000" w:themeColor="text1"/>
          <w:sz w:val="22"/>
          <w:szCs w:val="22"/>
          <w:lang w:val="es"/>
        </w:rPr>
        <w:t>Elaboración del Programa de Documentos Especiales del IGAC, e</w:t>
      </w:r>
      <w:r w:rsidRPr="31FF9146">
        <w:rPr>
          <w:rFonts w:eastAsia="Arial" w:cs="Arial"/>
          <w:color w:val="000000" w:themeColor="text1"/>
          <w:sz w:val="22"/>
          <w:szCs w:val="22"/>
          <w:lang w:val="es-MX"/>
        </w:rPr>
        <w:t>l Listado de Documentos Vitales y Esenciales del IGAC y el</w:t>
      </w:r>
      <w:r w:rsidRPr="31FF9146">
        <w:rPr>
          <w:rFonts w:eastAsia="Arial" w:cs="Arial"/>
          <w:color w:val="000000" w:themeColor="text1"/>
          <w:sz w:val="22"/>
          <w:szCs w:val="22"/>
          <w:lang w:val="es"/>
        </w:rPr>
        <w:t xml:space="preserve"> programa de Gestión de Documentos Electrónicos </w:t>
      </w:r>
    </w:p>
    <w:p w14:paraId="5A168300" w14:textId="77777777" w:rsidR="00835945" w:rsidRPr="00522D23" w:rsidRDefault="00835945" w:rsidP="000A20EE">
      <w:pPr>
        <w:pStyle w:val="Prrafodelista"/>
        <w:numPr>
          <w:ilvl w:val="0"/>
          <w:numId w:val="17"/>
        </w:numPr>
        <w:rPr>
          <w:rFonts w:eastAsia="Arial" w:cs="Arial"/>
          <w:color w:val="000000" w:themeColor="text1"/>
          <w:sz w:val="22"/>
          <w:szCs w:val="22"/>
        </w:rPr>
      </w:pPr>
      <w:r w:rsidRPr="31FF9146">
        <w:rPr>
          <w:rFonts w:eastAsia="Arial" w:cs="Arial"/>
          <w:color w:val="000000" w:themeColor="text1"/>
          <w:sz w:val="22"/>
          <w:szCs w:val="22"/>
          <w:lang w:val="es"/>
        </w:rPr>
        <w:t>Avance en el diligenciamiento de Registro Especial de Archivos de DDHH – READH</w:t>
      </w:r>
      <w:r w:rsidRPr="31FF9146">
        <w:rPr>
          <w:rFonts w:eastAsia="Arial" w:cs="Arial"/>
          <w:sz w:val="22"/>
          <w:szCs w:val="22"/>
          <w:lang w:val="es"/>
        </w:rPr>
        <w:t xml:space="preserve"> </w:t>
      </w:r>
      <w:r w:rsidRPr="31FF9146">
        <w:rPr>
          <w:rFonts w:eastAsia="Arial" w:cs="Arial"/>
          <w:color w:val="000000" w:themeColor="text1"/>
          <w:sz w:val="22"/>
          <w:szCs w:val="22"/>
          <w:lang w:val="es"/>
        </w:rPr>
        <w:t>con el fin de reunir, ordenar, clasificar y describir los documentos relativos a la violación de los derechos humanos y el DIH al interior del Instituto, con el propósito de garantizar su custodia, preservación y uso, por parte de las Víctimas del Conflicto Armado, investigadores y público en general</w:t>
      </w:r>
    </w:p>
    <w:p w14:paraId="2CAC8539" w14:textId="77777777" w:rsidR="00835945" w:rsidRDefault="00835945" w:rsidP="000A20EE">
      <w:pPr>
        <w:pStyle w:val="Prrafodelista"/>
        <w:numPr>
          <w:ilvl w:val="0"/>
          <w:numId w:val="17"/>
        </w:numPr>
        <w:rPr>
          <w:rFonts w:eastAsia="Arial" w:cs="Arial"/>
          <w:sz w:val="22"/>
          <w:szCs w:val="22"/>
        </w:rPr>
      </w:pPr>
      <w:r w:rsidRPr="31FF9146">
        <w:rPr>
          <w:rFonts w:eastAsia="Arial" w:cs="Arial"/>
          <w:sz w:val="22"/>
          <w:szCs w:val="22"/>
          <w:lang w:val="es"/>
        </w:rPr>
        <w:lastRenderedPageBreak/>
        <w:t>Gracias al acompañamiento, asesorías y capacitaciones realizadas en materia de gestión documental, se han podido recibir 394 cajas por concepto de Transferencias documentales Primarias de las Oficinas Productoras del nivel central y el proceso de intervención a 804 cajas de referencia X-200, equivalentes a 200 metros lineales, los cuales corresponde al Fondo Documental Acumulado que se custodian en el Archivo Central</w:t>
      </w:r>
      <w:r w:rsidRPr="31FF9146">
        <w:rPr>
          <w:rFonts w:eastAsia="Arial" w:cs="Arial"/>
          <w:color w:val="FF0000"/>
          <w:sz w:val="22"/>
          <w:szCs w:val="22"/>
          <w:lang w:val="es"/>
        </w:rPr>
        <w:t>.</w:t>
      </w:r>
    </w:p>
    <w:p w14:paraId="040D4C29" w14:textId="1E2D801A" w:rsidR="00CB53C0" w:rsidRPr="00CB53C0" w:rsidRDefault="00CB53C0" w:rsidP="00835945">
      <w:pPr>
        <w:jc w:val="both"/>
      </w:pPr>
    </w:p>
    <w:p w14:paraId="33CAA377" w14:textId="779C8755" w:rsidR="00835945" w:rsidRDefault="00835945" w:rsidP="000A20EE">
      <w:pPr>
        <w:pStyle w:val="Prrafodelista"/>
        <w:numPr>
          <w:ilvl w:val="3"/>
          <w:numId w:val="22"/>
        </w:numPr>
        <w:spacing w:line="276" w:lineRule="auto"/>
        <w:rPr>
          <w:rFonts w:eastAsia="Arial" w:cs="Arial"/>
          <w:b/>
          <w:bCs/>
          <w:sz w:val="22"/>
          <w:szCs w:val="22"/>
          <w:lang w:val="es"/>
        </w:rPr>
      </w:pPr>
      <w:r w:rsidRPr="00CB53C0">
        <w:rPr>
          <w:rFonts w:eastAsia="Arial" w:cs="Arial"/>
          <w:b/>
          <w:bCs/>
          <w:sz w:val="22"/>
          <w:szCs w:val="22"/>
          <w:lang w:val="es"/>
        </w:rPr>
        <w:t>PROCESO GESTIÓN FINANCIERA</w:t>
      </w:r>
    </w:p>
    <w:p w14:paraId="6F07EDD9" w14:textId="77777777" w:rsidR="00CB53C0" w:rsidRPr="00CB53C0" w:rsidRDefault="00CB53C0" w:rsidP="00CB53C0">
      <w:pPr>
        <w:pStyle w:val="Lista"/>
        <w:rPr>
          <w:lang w:val="es"/>
        </w:rPr>
      </w:pPr>
    </w:p>
    <w:p w14:paraId="7FEDD07D" w14:textId="77777777" w:rsidR="00835945" w:rsidRDefault="00835945" w:rsidP="00835945">
      <w:pPr>
        <w:spacing w:line="276" w:lineRule="auto"/>
        <w:jc w:val="both"/>
      </w:pPr>
      <w:r w:rsidRPr="31FF9146">
        <w:rPr>
          <w:rFonts w:eastAsia="Arial" w:cs="Arial"/>
          <w:sz w:val="22"/>
          <w:szCs w:val="22"/>
          <w:lang w:val="es"/>
        </w:rPr>
        <w:t>A continuación, se presentan los principales logros y resultados del proceso:</w:t>
      </w:r>
    </w:p>
    <w:p w14:paraId="61643774" w14:textId="77777777" w:rsidR="00835945" w:rsidRDefault="00835945" w:rsidP="00835945">
      <w:pPr>
        <w:spacing w:line="276" w:lineRule="auto"/>
        <w:jc w:val="both"/>
      </w:pPr>
      <w:r w:rsidRPr="31FF9146">
        <w:rPr>
          <w:rFonts w:eastAsia="Arial" w:cs="Arial"/>
          <w:sz w:val="22"/>
          <w:szCs w:val="22"/>
          <w:lang w:val="es"/>
        </w:rPr>
        <w:t xml:space="preserve"> </w:t>
      </w:r>
    </w:p>
    <w:p w14:paraId="5CB05AA5" w14:textId="77777777" w:rsidR="00835945" w:rsidRPr="00522D23" w:rsidRDefault="00835945" w:rsidP="000A20EE">
      <w:pPr>
        <w:pStyle w:val="Prrafodelista"/>
        <w:numPr>
          <w:ilvl w:val="0"/>
          <w:numId w:val="15"/>
        </w:numPr>
        <w:rPr>
          <w:rFonts w:eastAsia="Arial" w:cs="Arial"/>
          <w:sz w:val="22"/>
          <w:szCs w:val="22"/>
        </w:rPr>
      </w:pPr>
      <w:r w:rsidRPr="31FF9146">
        <w:rPr>
          <w:rFonts w:eastAsia="Arial" w:cs="Arial"/>
          <w:sz w:val="22"/>
          <w:szCs w:val="22"/>
          <w:lang w:val="es-MX"/>
        </w:rPr>
        <w:t>El proceso de Gestión Financiera ha apoyado el registro de la ejecución de gastos asociados a la utilización del Crédito externo con la banca multilateral, que financia el programa para la adopción e implementación del Catastro Multipropósito</w:t>
      </w:r>
      <w:r w:rsidRPr="31FF9146">
        <w:rPr>
          <w:rFonts w:eastAsia="Arial" w:cs="Arial"/>
          <w:color w:val="FF0000"/>
          <w:sz w:val="22"/>
          <w:szCs w:val="22"/>
          <w:lang w:val="es-MX"/>
        </w:rPr>
        <w:t>.</w:t>
      </w:r>
    </w:p>
    <w:p w14:paraId="74924F4B" w14:textId="77777777" w:rsidR="00835945" w:rsidRPr="00522D23" w:rsidRDefault="00835945" w:rsidP="000A20EE">
      <w:pPr>
        <w:pStyle w:val="Prrafodelista"/>
        <w:numPr>
          <w:ilvl w:val="0"/>
          <w:numId w:val="14"/>
        </w:numPr>
        <w:rPr>
          <w:rFonts w:eastAsia="Arial" w:cs="Arial"/>
          <w:sz w:val="22"/>
          <w:szCs w:val="22"/>
        </w:rPr>
      </w:pPr>
      <w:r w:rsidRPr="31FF9146">
        <w:rPr>
          <w:rFonts w:eastAsia="Arial" w:cs="Arial"/>
          <w:sz w:val="22"/>
          <w:szCs w:val="22"/>
          <w:lang w:val="es-MX"/>
        </w:rPr>
        <w:t>Uso del aplicativo Ekogui, como herramienta estratégica en la trazabilidad y control financiero de los procesos jurídicos en los que interviene el Instituto.</w:t>
      </w:r>
    </w:p>
    <w:p w14:paraId="2BF8EAE8" w14:textId="77777777" w:rsidR="00835945" w:rsidRPr="00522D23" w:rsidRDefault="00835945" w:rsidP="000A20EE">
      <w:pPr>
        <w:pStyle w:val="Prrafodelista"/>
        <w:numPr>
          <w:ilvl w:val="0"/>
          <w:numId w:val="15"/>
        </w:numPr>
        <w:rPr>
          <w:rFonts w:eastAsia="Arial" w:cs="Arial"/>
          <w:sz w:val="22"/>
          <w:szCs w:val="22"/>
        </w:rPr>
      </w:pPr>
      <w:r w:rsidRPr="31FF9146">
        <w:rPr>
          <w:rFonts w:eastAsia="Arial" w:cs="Arial"/>
          <w:sz w:val="22"/>
          <w:szCs w:val="22"/>
          <w:lang w:val="es"/>
        </w:rPr>
        <w:t>Implementación de la facturación electrónica por Ventas a Crédito del IGAC.</w:t>
      </w:r>
    </w:p>
    <w:p w14:paraId="07588719" w14:textId="77777777" w:rsidR="00835945" w:rsidRPr="00522D23" w:rsidRDefault="00835945" w:rsidP="000A20EE">
      <w:pPr>
        <w:pStyle w:val="Prrafodelista"/>
        <w:numPr>
          <w:ilvl w:val="0"/>
          <w:numId w:val="15"/>
        </w:numPr>
        <w:rPr>
          <w:rFonts w:eastAsia="Arial" w:cs="Arial"/>
          <w:sz w:val="22"/>
          <w:szCs w:val="22"/>
        </w:rPr>
      </w:pPr>
      <w:r w:rsidRPr="31FF9146">
        <w:rPr>
          <w:rFonts w:eastAsia="Arial" w:cs="Arial"/>
          <w:sz w:val="22"/>
          <w:szCs w:val="22"/>
          <w:lang w:val="es"/>
        </w:rPr>
        <w:t>Puesta en marcha de la recepción de facturación electrónica de proveedores, a partir de abril de 2021, lo cual posibilitó la aprobación virtual de las facturas por parte de los supervisores de contratos</w:t>
      </w:r>
    </w:p>
    <w:p w14:paraId="6A438220" w14:textId="77777777" w:rsidR="00835945" w:rsidRDefault="00835945" w:rsidP="000A20EE">
      <w:pPr>
        <w:pStyle w:val="Prrafodelista"/>
        <w:numPr>
          <w:ilvl w:val="0"/>
          <w:numId w:val="15"/>
        </w:numPr>
        <w:rPr>
          <w:rFonts w:eastAsia="Arial" w:cs="Arial"/>
          <w:sz w:val="22"/>
          <w:szCs w:val="22"/>
        </w:rPr>
      </w:pPr>
      <w:r w:rsidRPr="31FF9146">
        <w:rPr>
          <w:rFonts w:eastAsia="Arial" w:cs="Arial"/>
          <w:sz w:val="22"/>
          <w:szCs w:val="22"/>
          <w:lang w:val="es"/>
        </w:rPr>
        <w:t>Con el fin de apoyar a las áreas misionales y Direcciones Territoriales en el cumplimiento de las metas propuestas para la vigencia, durante el año 2021, se elaboraron 1.091 órdenes de comisión, aproximadamente el 71 % del total de las comisiones se generaron por requerimientos de las Direcciones Territoriales; ahora bien, aproximadamente el 62% del valor total girado correspondió a las dependencias de la Sede Central.</w:t>
      </w:r>
    </w:p>
    <w:p w14:paraId="3AE400BC" w14:textId="77777777" w:rsidR="00835945" w:rsidRDefault="00835945" w:rsidP="00835945">
      <w:pPr>
        <w:spacing w:line="276" w:lineRule="auto"/>
        <w:jc w:val="both"/>
        <w:rPr>
          <w:color w:val="000000" w:themeColor="text1"/>
          <w:lang w:val="es"/>
        </w:rPr>
      </w:pPr>
    </w:p>
    <w:p w14:paraId="1DA283C4" w14:textId="5E3D4AF9" w:rsidR="00835945" w:rsidRDefault="00835945" w:rsidP="000A20EE">
      <w:pPr>
        <w:pStyle w:val="Prrafodelista"/>
        <w:numPr>
          <w:ilvl w:val="3"/>
          <w:numId w:val="22"/>
        </w:numPr>
        <w:rPr>
          <w:rFonts w:eastAsia="Arial" w:cs="Arial"/>
          <w:b/>
          <w:bCs/>
          <w:sz w:val="22"/>
          <w:szCs w:val="22"/>
          <w:lang w:val="es"/>
        </w:rPr>
      </w:pPr>
      <w:r w:rsidRPr="00CB53C0">
        <w:rPr>
          <w:rFonts w:eastAsia="Arial" w:cs="Arial"/>
          <w:b/>
          <w:bCs/>
          <w:sz w:val="22"/>
          <w:szCs w:val="22"/>
          <w:lang w:val="es"/>
        </w:rPr>
        <w:t>PROCESO GESTIÓN CONTRACTUAL</w:t>
      </w:r>
    </w:p>
    <w:p w14:paraId="7B1485C3" w14:textId="77777777" w:rsidR="00CB53C0" w:rsidRPr="00CB53C0" w:rsidRDefault="00CB53C0" w:rsidP="00CB53C0">
      <w:pPr>
        <w:pStyle w:val="Lista"/>
        <w:rPr>
          <w:lang w:val="es"/>
        </w:rPr>
      </w:pPr>
    </w:p>
    <w:p w14:paraId="7EA5AAF3" w14:textId="77777777" w:rsidR="00835945" w:rsidRDefault="00835945" w:rsidP="00835945">
      <w:pPr>
        <w:spacing w:line="276" w:lineRule="auto"/>
        <w:jc w:val="both"/>
      </w:pPr>
      <w:r w:rsidRPr="31FF9146">
        <w:rPr>
          <w:rFonts w:eastAsia="Arial" w:cs="Arial"/>
          <w:sz w:val="22"/>
          <w:szCs w:val="22"/>
          <w:lang w:val="es"/>
        </w:rPr>
        <w:t>A continuación, se presentan los principales logros y resultados del proceso:</w:t>
      </w:r>
    </w:p>
    <w:p w14:paraId="349C27AF" w14:textId="77777777" w:rsidR="00835945" w:rsidRDefault="00835945" w:rsidP="00835945">
      <w:pPr>
        <w:spacing w:line="276" w:lineRule="auto"/>
        <w:jc w:val="both"/>
      </w:pPr>
      <w:r w:rsidRPr="31FF9146">
        <w:rPr>
          <w:rFonts w:ascii="Calibri" w:eastAsia="Calibri" w:hAnsi="Calibri" w:cs="Calibri"/>
          <w:b/>
          <w:bCs/>
          <w:sz w:val="22"/>
          <w:szCs w:val="22"/>
          <w:lang w:val="es"/>
        </w:rPr>
        <w:t xml:space="preserve"> </w:t>
      </w:r>
    </w:p>
    <w:p w14:paraId="65AB44B5" w14:textId="77777777" w:rsidR="00835945" w:rsidRPr="00B337D1" w:rsidRDefault="00835945" w:rsidP="000A20EE">
      <w:pPr>
        <w:pStyle w:val="Prrafodelista"/>
        <w:numPr>
          <w:ilvl w:val="0"/>
          <w:numId w:val="13"/>
        </w:numPr>
        <w:rPr>
          <w:rFonts w:eastAsia="Arial" w:cs="Arial"/>
          <w:sz w:val="22"/>
          <w:szCs w:val="22"/>
        </w:rPr>
      </w:pPr>
      <w:r w:rsidRPr="31FF9146">
        <w:rPr>
          <w:rFonts w:eastAsia="Arial" w:cs="Arial"/>
          <w:sz w:val="22"/>
          <w:szCs w:val="22"/>
          <w:lang w:val="es"/>
        </w:rPr>
        <w:t>Implementación desde la vigencia 2021 de la conformación de expedientes contractuales digitales, lo cual contribuye en las políticas ambientales del IGAC de cero papel y ahorro de energía, minimizando costos operativos, además de optimizar el espacio físico, por otro lado, garantizando la seguridad de la información con  repositorios de expedientes en los servidores  del instituto, con acceso restringido para la manipulación de expedientes, con base en los lineamientos impartidos por el proceso de gestión documental en atención al cumplimiento de las normas archivísticas.</w:t>
      </w:r>
    </w:p>
    <w:p w14:paraId="7677AF50" w14:textId="77777777" w:rsidR="00835945" w:rsidRPr="00B337D1" w:rsidRDefault="00835945" w:rsidP="000A20EE">
      <w:pPr>
        <w:pStyle w:val="Prrafodelista"/>
        <w:numPr>
          <w:ilvl w:val="0"/>
          <w:numId w:val="13"/>
        </w:numPr>
        <w:rPr>
          <w:rFonts w:eastAsia="Arial" w:cs="Arial"/>
          <w:sz w:val="22"/>
          <w:szCs w:val="22"/>
        </w:rPr>
      </w:pPr>
      <w:r w:rsidRPr="31FF9146">
        <w:rPr>
          <w:rFonts w:eastAsia="Arial" w:cs="Arial"/>
          <w:sz w:val="22"/>
          <w:szCs w:val="22"/>
          <w:lang w:val="es"/>
        </w:rPr>
        <w:t>Debido a la implementación de seguimiento al Plan Anual de Adquisiciones, a los acompañamientos y capacitaciones realizadas a los procesos se ha podido tramitar 736 contratos de manera oportuna y ágil.</w:t>
      </w:r>
    </w:p>
    <w:p w14:paraId="688D8EEA" w14:textId="77777777" w:rsidR="00835945" w:rsidRPr="00B337D1" w:rsidRDefault="00835945" w:rsidP="000A20EE">
      <w:pPr>
        <w:pStyle w:val="Prrafodelista"/>
        <w:numPr>
          <w:ilvl w:val="0"/>
          <w:numId w:val="13"/>
        </w:numPr>
        <w:rPr>
          <w:rFonts w:eastAsia="Arial" w:cs="Arial"/>
          <w:sz w:val="22"/>
          <w:szCs w:val="22"/>
        </w:rPr>
      </w:pPr>
      <w:r w:rsidRPr="31FF9146">
        <w:rPr>
          <w:rFonts w:eastAsia="Arial" w:cs="Arial"/>
          <w:sz w:val="22"/>
          <w:szCs w:val="22"/>
          <w:lang w:val="es"/>
        </w:rPr>
        <w:t xml:space="preserve">Apoyar la consolidación y articulación en la gestión de contratación de los equipos de trabajo para la ejecución para los siguientes proyectos de Gestión Catastral: </w:t>
      </w:r>
    </w:p>
    <w:p w14:paraId="19B094C8"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 xml:space="preserve">Popayán </w:t>
      </w:r>
    </w:p>
    <w:p w14:paraId="2648741B"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Chinácota</w:t>
      </w:r>
    </w:p>
    <w:p w14:paraId="449AF32B"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Ricaurte</w:t>
      </w:r>
    </w:p>
    <w:p w14:paraId="076F9DC7"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Barahona</w:t>
      </w:r>
    </w:p>
    <w:p w14:paraId="60049702"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San Carlos</w:t>
      </w:r>
    </w:p>
    <w:p w14:paraId="2B221F04"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Arauquita</w:t>
      </w:r>
    </w:p>
    <w:p w14:paraId="570C9685"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Río Blanco</w:t>
      </w:r>
    </w:p>
    <w:p w14:paraId="18F763C1"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lastRenderedPageBreak/>
        <w:t>Pitalito</w:t>
      </w:r>
    </w:p>
    <w:p w14:paraId="65BAAB1E"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Gachancipá</w:t>
      </w:r>
    </w:p>
    <w:p w14:paraId="45438D18"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La Tebaida (En trámite)</w:t>
      </w:r>
    </w:p>
    <w:p w14:paraId="4B889A79"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Paipa (En trámite)</w:t>
      </w:r>
    </w:p>
    <w:p w14:paraId="529AFC1B"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Villarica (En trámite)</w:t>
      </w:r>
    </w:p>
    <w:p w14:paraId="1EC68415" w14:textId="77777777" w:rsidR="00835945"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Dibulla (En trámite)</w:t>
      </w:r>
    </w:p>
    <w:p w14:paraId="40C5DF2A" w14:textId="77777777" w:rsidR="00835945" w:rsidRPr="00C9333C" w:rsidRDefault="00835945" w:rsidP="000A20EE">
      <w:pPr>
        <w:pStyle w:val="Prrafodelista"/>
        <w:numPr>
          <w:ilvl w:val="1"/>
          <w:numId w:val="13"/>
        </w:numPr>
        <w:rPr>
          <w:rFonts w:eastAsia="Arial" w:cs="Arial"/>
          <w:sz w:val="22"/>
          <w:szCs w:val="22"/>
        </w:rPr>
      </w:pPr>
      <w:r w:rsidRPr="31FF9146">
        <w:rPr>
          <w:rFonts w:eastAsia="Arial" w:cs="Arial"/>
          <w:sz w:val="22"/>
          <w:szCs w:val="22"/>
          <w:lang w:val="es"/>
        </w:rPr>
        <w:t>Paz de Ariporo (En trámite)</w:t>
      </w:r>
    </w:p>
    <w:p w14:paraId="020F1751" w14:textId="77777777" w:rsidR="00835945" w:rsidRPr="00B337D1" w:rsidRDefault="00835945" w:rsidP="000A20EE">
      <w:pPr>
        <w:pStyle w:val="Prrafodelista"/>
        <w:numPr>
          <w:ilvl w:val="0"/>
          <w:numId w:val="13"/>
        </w:numPr>
        <w:rPr>
          <w:rFonts w:eastAsia="Arial" w:cs="Arial"/>
          <w:sz w:val="22"/>
          <w:szCs w:val="22"/>
        </w:rPr>
      </w:pPr>
      <w:r w:rsidRPr="31FF9146">
        <w:rPr>
          <w:rFonts w:eastAsia="Arial" w:cs="Arial"/>
          <w:sz w:val="22"/>
          <w:szCs w:val="22"/>
          <w:lang w:val="es"/>
        </w:rPr>
        <w:t>Optimización del sistema SICO (Sistema Interno de Contratación) mediante la implementación de un nuevo proceso en la expedición de certificaciones de contratos y la eliminación de procesos en el aplicativo, maximizando resultados de gestión y minimizando tiempos de respuesta.</w:t>
      </w:r>
    </w:p>
    <w:p w14:paraId="17FE35BA" w14:textId="77777777" w:rsidR="00835945" w:rsidRPr="00B337D1" w:rsidRDefault="00835945" w:rsidP="000A20EE">
      <w:pPr>
        <w:pStyle w:val="Prrafodelista"/>
        <w:numPr>
          <w:ilvl w:val="0"/>
          <w:numId w:val="13"/>
        </w:numPr>
        <w:rPr>
          <w:rFonts w:eastAsia="Arial" w:cs="Arial"/>
          <w:sz w:val="22"/>
          <w:szCs w:val="22"/>
        </w:rPr>
      </w:pPr>
      <w:r w:rsidRPr="31FF9146">
        <w:rPr>
          <w:rFonts w:eastAsia="Arial" w:cs="Arial"/>
          <w:sz w:val="22"/>
          <w:szCs w:val="22"/>
          <w:lang w:val="es"/>
        </w:rPr>
        <w:t>Fortalecimiento del proceso de gestión contractual del Instituto, a través de estrategias como el acompañamiento y capacitaciones periódicas a supervisores y demás actores y responsables de las actividades en el proceso, garantizando la eficiencia, transparencia y oportuna adquisición de bienes, obras y servicios requeridos para el cumplimiento del propósito y objetivos estratégicos del instituto.</w:t>
      </w:r>
    </w:p>
    <w:p w14:paraId="55963188" w14:textId="77777777" w:rsidR="00B16E42" w:rsidRPr="00B16E42" w:rsidRDefault="00B16E42" w:rsidP="00B16E42">
      <w:pPr>
        <w:pStyle w:val="Prrafodelista"/>
        <w:numPr>
          <w:ilvl w:val="0"/>
          <w:numId w:val="13"/>
        </w:numPr>
        <w:suppressAutoHyphens w:val="0"/>
        <w:spacing w:after="160"/>
        <w:contextualSpacing/>
        <w:rPr>
          <w:rFonts w:cs="Arial"/>
          <w:b/>
          <w:bCs/>
          <w:color w:val="000000" w:themeColor="text1"/>
          <w:sz w:val="22"/>
          <w:szCs w:val="22"/>
          <w:lang w:val="es" w:eastAsia="en-US"/>
        </w:rPr>
      </w:pPr>
      <w:bookmarkStart w:id="159" w:name="_Hlk88675993"/>
      <w:r w:rsidRPr="00B16E42">
        <w:rPr>
          <w:rFonts w:cs="Arial"/>
          <w:color w:val="000000" w:themeColor="text1"/>
          <w:sz w:val="22"/>
          <w:szCs w:val="22"/>
          <w:lang w:val="es" w:eastAsia="en-US"/>
        </w:rPr>
        <w:t>Mantenimiento de la adecuada y oportuna gestión de los contratos de ingreso atendiendo la competencia que le fue asignada mediante Resolución No. 212 del 9 de abril de 2021 y Resolución No. 1095 del 06 Agosto de 2021</w:t>
      </w:r>
      <w:bookmarkEnd w:id="159"/>
      <w:r w:rsidRPr="00B16E42">
        <w:rPr>
          <w:rFonts w:cs="Arial"/>
          <w:color w:val="000000" w:themeColor="text1"/>
          <w:sz w:val="22"/>
          <w:szCs w:val="22"/>
          <w:lang w:val="es" w:eastAsia="en-US"/>
        </w:rPr>
        <w:t xml:space="preserve">, tramitando un total de 52 contratos, aspecto que ha permitido dar garantía a las entidades contratantes en adquirir los servicios que ofrece el IGAC como autoridad rectora en materia catastral, geográfica, cartográfica, geodésica y agrológica en cuanto a la satisfacción de sus necesidades y expectativas, con altos estándares de calidad. Ver detalle en </w:t>
      </w:r>
      <w:r w:rsidRPr="00B16E42">
        <w:rPr>
          <w:rFonts w:cs="Arial"/>
          <w:b/>
          <w:bCs/>
          <w:color w:val="000000" w:themeColor="text1"/>
          <w:sz w:val="22"/>
          <w:szCs w:val="22"/>
          <w:lang w:val="es" w:eastAsia="en-US"/>
        </w:rPr>
        <w:t>Anexo 5. Contratos de ingreso tramitados.</w:t>
      </w:r>
    </w:p>
    <w:p w14:paraId="0DA175AD" w14:textId="77777777" w:rsidR="00835945" w:rsidRPr="004D00C6" w:rsidRDefault="00835945" w:rsidP="004E1F1C">
      <w:pPr>
        <w:pStyle w:val="Prrafodelista"/>
        <w:numPr>
          <w:ilvl w:val="0"/>
          <w:numId w:val="27"/>
        </w:numPr>
        <w:rPr>
          <w:rFonts w:eastAsia="Arial" w:cs="Arial"/>
          <w:color w:val="000000" w:themeColor="text1"/>
          <w:sz w:val="22"/>
          <w:szCs w:val="22"/>
        </w:rPr>
      </w:pPr>
      <w:r w:rsidRPr="31FF9146">
        <w:rPr>
          <w:rFonts w:eastAsia="Arial" w:cs="Arial"/>
          <w:color w:val="000000" w:themeColor="text1"/>
          <w:sz w:val="22"/>
          <w:szCs w:val="22"/>
          <w:lang w:val="es"/>
        </w:rPr>
        <w:t>Cumplimiento efectivo y eficiente de cada una de las metas establecidas en el Plan de Acción, debido al eficaz control y seguimiento, así como la identificación oportuna del impacto generado por circunstancias ajenas.</w:t>
      </w:r>
    </w:p>
    <w:p w14:paraId="062C1FC1" w14:textId="77777777" w:rsidR="00835945" w:rsidRDefault="00835945" w:rsidP="004E1F1C">
      <w:pPr>
        <w:pStyle w:val="Prrafodelista"/>
        <w:numPr>
          <w:ilvl w:val="0"/>
          <w:numId w:val="27"/>
        </w:numPr>
        <w:rPr>
          <w:rFonts w:eastAsia="Arial" w:cs="Arial"/>
          <w:color w:val="000000" w:themeColor="text1"/>
          <w:sz w:val="22"/>
          <w:szCs w:val="22"/>
        </w:rPr>
      </w:pPr>
      <w:r w:rsidRPr="31FF9146">
        <w:rPr>
          <w:rFonts w:eastAsia="Arial" w:cs="Arial"/>
          <w:color w:val="000000" w:themeColor="text1"/>
          <w:sz w:val="22"/>
          <w:szCs w:val="22"/>
          <w:lang w:val="es"/>
        </w:rPr>
        <w:t>Actualización del procedimiento de contratación alineado a la nueva estructura del instituto adoptada mediante el Decreto 846 de 2021, en el cual se definieron nuevos responsables en la etapa precontractual y ajustaron algunas actividades en los distintos procedimientos de selección, con el fin de mejorar los índices de eficiencia en la contratación, dinamizar y hacer más simples las distintas fases del proceso de gestión contractual en el Instituto bajo un enfoque más transparente</w:t>
      </w:r>
    </w:p>
    <w:p w14:paraId="65CAE18A" w14:textId="77777777" w:rsidR="00835945" w:rsidRDefault="00835945" w:rsidP="00835945">
      <w:pPr>
        <w:jc w:val="both"/>
        <w:rPr>
          <w:rFonts w:eastAsia="Arial" w:cs="Arial"/>
          <w:color w:val="000000" w:themeColor="text1"/>
          <w:sz w:val="22"/>
          <w:szCs w:val="22"/>
          <w:lang w:val="es"/>
        </w:rPr>
      </w:pPr>
    </w:p>
    <w:p w14:paraId="333B4E57" w14:textId="68AECDCD" w:rsidR="00835945" w:rsidRPr="0058131D" w:rsidRDefault="00835945" w:rsidP="000A20EE">
      <w:pPr>
        <w:pStyle w:val="Prrafodelista"/>
        <w:numPr>
          <w:ilvl w:val="3"/>
          <w:numId w:val="22"/>
        </w:numPr>
        <w:spacing w:line="276" w:lineRule="auto"/>
        <w:rPr>
          <w:rFonts w:eastAsia="Arial" w:cs="Arial"/>
          <w:b/>
          <w:bCs/>
          <w:sz w:val="22"/>
          <w:szCs w:val="22"/>
          <w:lang w:val="es"/>
        </w:rPr>
      </w:pPr>
      <w:r w:rsidRPr="0058131D">
        <w:rPr>
          <w:rFonts w:eastAsia="Arial" w:cs="Arial"/>
          <w:b/>
          <w:bCs/>
          <w:sz w:val="22"/>
          <w:szCs w:val="22"/>
          <w:lang w:val="es"/>
        </w:rPr>
        <w:t>PROCESO GESTIÓN ADMINISTRATIVA</w:t>
      </w:r>
    </w:p>
    <w:p w14:paraId="1FAB52D1" w14:textId="77777777" w:rsidR="0058131D" w:rsidRDefault="0058131D" w:rsidP="0058131D">
      <w:pPr>
        <w:spacing w:line="276" w:lineRule="auto"/>
        <w:jc w:val="both"/>
        <w:rPr>
          <w:rFonts w:eastAsia="Arial" w:cs="Arial"/>
          <w:sz w:val="22"/>
          <w:szCs w:val="22"/>
          <w:lang w:val="es"/>
        </w:rPr>
      </w:pPr>
    </w:p>
    <w:p w14:paraId="7C723DB5" w14:textId="6EE699E8" w:rsidR="00835945" w:rsidRDefault="00835945" w:rsidP="0058131D">
      <w:pPr>
        <w:spacing w:line="276" w:lineRule="auto"/>
        <w:jc w:val="both"/>
      </w:pPr>
      <w:r w:rsidRPr="31FF9146">
        <w:rPr>
          <w:rFonts w:eastAsia="Arial" w:cs="Arial"/>
          <w:sz w:val="22"/>
          <w:szCs w:val="22"/>
          <w:lang w:val="es"/>
        </w:rPr>
        <w:t>A continuación, se presentan los principales logros y resultados del proceso:</w:t>
      </w:r>
    </w:p>
    <w:p w14:paraId="45B645CF" w14:textId="77777777" w:rsidR="00835945" w:rsidRDefault="00835945" w:rsidP="00835945">
      <w:pPr>
        <w:jc w:val="both"/>
      </w:pPr>
      <w:r w:rsidRPr="31FF9146">
        <w:rPr>
          <w:rFonts w:eastAsia="Arial" w:cs="Arial"/>
          <w:b/>
          <w:bCs/>
          <w:sz w:val="22"/>
          <w:szCs w:val="22"/>
          <w:lang w:val="es"/>
        </w:rPr>
        <w:t xml:space="preserve"> </w:t>
      </w:r>
    </w:p>
    <w:p w14:paraId="7CA0F62E" w14:textId="77777777" w:rsidR="00835945" w:rsidRPr="00C9333C"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 xml:space="preserve">Elaboración y ejecución del plan de trabajo PESV que interviene la articulación de la Subdirección de talento humano, fundamentado en los objetivos específicos del mismo relacionado con labores de capacitación, mantenimientos preventivos y correctivos al pool de transporte y divulgación del PESV y procedimiento en atención a víctimas. </w:t>
      </w:r>
    </w:p>
    <w:p w14:paraId="1D6C51C3" w14:textId="17405917" w:rsidR="00835945" w:rsidRPr="00A605F2"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 xml:space="preserve">Integración del IGAC a la Red Empresarial de Seguridad Vial y la Red Muévete Mejor, promovidas por la Secretaría Distrital de Movilidad. </w:t>
      </w:r>
    </w:p>
    <w:p w14:paraId="5F896C6C" w14:textId="77777777" w:rsidR="00835945" w:rsidRPr="00C9333C"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El IGAC celebró acuerdo de corresponsabilidad No. 1 de 2021 entre la Secretaría General y la organización recicladora Asociación De Recicladores Crecer Sin Fronteras -ARCRECIFRONT. Se ha dispuesto 35.794 toneladas de residuos aprovechables.</w:t>
      </w:r>
    </w:p>
    <w:p w14:paraId="3611491F" w14:textId="77777777" w:rsidR="00835945" w:rsidRPr="00C9333C" w:rsidRDefault="00835945" w:rsidP="00DB7E6D">
      <w:pPr>
        <w:pStyle w:val="Prrafodelista"/>
        <w:numPr>
          <w:ilvl w:val="0"/>
          <w:numId w:val="12"/>
        </w:numPr>
        <w:rPr>
          <w:rFonts w:eastAsia="Arial" w:cs="Arial"/>
          <w:sz w:val="22"/>
          <w:szCs w:val="22"/>
        </w:rPr>
      </w:pPr>
      <w:r w:rsidRPr="31FF9146">
        <w:rPr>
          <w:rFonts w:eastAsia="Arial" w:cs="Arial"/>
          <w:sz w:val="22"/>
          <w:szCs w:val="22"/>
          <w:lang w:val="es"/>
        </w:rPr>
        <w:lastRenderedPageBreak/>
        <w:t xml:space="preserve">El IGAC dispuso por medio de programas posconsumo y reciclatón distrital 832.8 kg de residuos peligrosos (RESPEL) y 588 kg de Residuos de Aparatos Eléctricos y Electrónicos (RAEES). </w:t>
      </w:r>
    </w:p>
    <w:p w14:paraId="502EF497" w14:textId="77777777" w:rsidR="00835945" w:rsidRPr="00C9333C"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 xml:space="preserve">Por medio de la Fundación Bioentorno se realizó la instalación de 1 contenedor para los medicamentos vencidos y 1 contenedor para plaguicidas domésticos como mecanismo de devolución, en la Sede Central. </w:t>
      </w:r>
    </w:p>
    <w:p w14:paraId="346A25E3" w14:textId="77777777" w:rsidR="00835945" w:rsidRPr="00C9333C"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 xml:space="preserve">Los siguientes ítems, son algunos contratos que cuenta el proceso para dar soporte a algunas necesidades de las 22 Direcciones Territoriales: </w:t>
      </w:r>
    </w:p>
    <w:p w14:paraId="673C57EB" w14:textId="77777777" w:rsidR="00835945" w:rsidRPr="001E6E83" w:rsidRDefault="00835945" w:rsidP="000A20EE">
      <w:pPr>
        <w:pStyle w:val="Prrafodelista"/>
        <w:numPr>
          <w:ilvl w:val="0"/>
          <w:numId w:val="196"/>
        </w:numPr>
        <w:ind w:left="1560" w:hanging="284"/>
        <w:rPr>
          <w:rFonts w:eastAsia="Arial" w:cs="Arial"/>
          <w:sz w:val="22"/>
          <w:szCs w:val="22"/>
        </w:rPr>
      </w:pPr>
      <w:r w:rsidRPr="31FF9146">
        <w:rPr>
          <w:rFonts w:eastAsia="Arial" w:cs="Arial"/>
          <w:sz w:val="22"/>
          <w:szCs w:val="22"/>
          <w:lang w:val="es"/>
        </w:rPr>
        <w:t>El IGAC desde el año 2021 cuenta con taller multimarca para el mantenimiento preventivo y correctivo de los vehículos que hacen parte del pool de transportes, garantizando el buen servicio de los bienes automotores, de igual modo se hizo uso del Acuerdo marco de Precios reduciendo significativamente el tiempo de la etapa precontractual tanto como el tiempo de servicio estimado en el mantenimiento de cada vehículo</w:t>
      </w:r>
      <w:r w:rsidRPr="31FF9146">
        <w:rPr>
          <w:rFonts w:eastAsia="Arial" w:cs="Arial"/>
          <w:color w:val="498205"/>
          <w:sz w:val="22"/>
          <w:szCs w:val="22"/>
          <w:u w:val="single"/>
          <w:lang w:val="es"/>
        </w:rPr>
        <w:t>.</w:t>
      </w:r>
      <w:r w:rsidRPr="31FF9146">
        <w:rPr>
          <w:rFonts w:eastAsia="Arial" w:cs="Arial"/>
          <w:color w:val="000000" w:themeColor="text1"/>
          <w:sz w:val="22"/>
          <w:szCs w:val="22"/>
          <w:lang w:val="es"/>
        </w:rPr>
        <w:t xml:space="preserve"> </w:t>
      </w:r>
    </w:p>
    <w:p w14:paraId="1105C623" w14:textId="77777777" w:rsidR="00835945" w:rsidRPr="00682CD1" w:rsidRDefault="00835945" w:rsidP="000A20EE">
      <w:pPr>
        <w:pStyle w:val="Prrafodelista"/>
        <w:numPr>
          <w:ilvl w:val="0"/>
          <w:numId w:val="196"/>
        </w:numPr>
        <w:ind w:left="1560" w:hanging="284"/>
        <w:rPr>
          <w:rFonts w:eastAsia="Arial" w:cs="Arial"/>
          <w:sz w:val="22"/>
          <w:szCs w:val="22"/>
        </w:rPr>
      </w:pPr>
      <w:r w:rsidRPr="001E6E83">
        <w:rPr>
          <w:rFonts w:eastAsia="Arial" w:cs="Arial"/>
          <w:color w:val="000000" w:themeColor="text1"/>
          <w:sz w:val="22"/>
          <w:szCs w:val="22"/>
          <w:lang w:val="es"/>
        </w:rPr>
        <w:t xml:space="preserve">Desde la Secretaría General en las anteriores vigencias se realizaba una resolución y giraba los recursos a las Direcciones Territoriales para que ellas realizaran el proceso contractual y así poder desarrollar las revisiones técnico-mecanica de los vehículos a cargo, a partir de este año se realizó un contrato a nivel nacional para revisión técnico-mecánica, y así disminuir los tiempos administrativos y poder realizar un seguimiento y control centralizado. </w:t>
      </w:r>
    </w:p>
    <w:p w14:paraId="258EF88B" w14:textId="77777777" w:rsidR="00835945" w:rsidRPr="00682CD1" w:rsidRDefault="00835945" w:rsidP="000A20EE">
      <w:pPr>
        <w:pStyle w:val="Prrafodelista"/>
        <w:numPr>
          <w:ilvl w:val="0"/>
          <w:numId w:val="196"/>
        </w:numPr>
        <w:ind w:left="1560" w:hanging="284"/>
        <w:rPr>
          <w:rFonts w:eastAsia="Arial" w:cs="Arial"/>
          <w:sz w:val="22"/>
          <w:szCs w:val="22"/>
        </w:rPr>
      </w:pPr>
      <w:r w:rsidRPr="00682CD1">
        <w:rPr>
          <w:rFonts w:eastAsia="Arial" w:cs="Arial"/>
          <w:color w:val="000000" w:themeColor="text1"/>
          <w:sz w:val="22"/>
          <w:szCs w:val="22"/>
          <w:lang w:val="es"/>
        </w:rPr>
        <w:t xml:space="preserve">Se encuentra asegurado el 100% de bienes muebles e inmuebles del IGAC, mediante contrato con UT Previsora –Chubb y Mapfre. </w:t>
      </w:r>
    </w:p>
    <w:p w14:paraId="78E1BF70" w14:textId="77777777" w:rsidR="00835945" w:rsidRPr="00754C09" w:rsidRDefault="00835945" w:rsidP="000A20EE">
      <w:pPr>
        <w:pStyle w:val="Prrafodelista"/>
        <w:numPr>
          <w:ilvl w:val="0"/>
          <w:numId w:val="196"/>
        </w:numPr>
        <w:ind w:left="1560" w:hanging="284"/>
        <w:rPr>
          <w:rFonts w:eastAsia="Arial" w:cs="Arial"/>
          <w:sz w:val="22"/>
          <w:szCs w:val="22"/>
        </w:rPr>
      </w:pPr>
      <w:r w:rsidRPr="00682CD1">
        <w:rPr>
          <w:rFonts w:eastAsia="Arial" w:cs="Arial"/>
          <w:color w:val="000000" w:themeColor="text1"/>
          <w:sz w:val="22"/>
          <w:szCs w:val="22"/>
          <w:lang w:val="es"/>
        </w:rPr>
        <w:t xml:space="preserve">Contrato para saneamiento básico ambiental sede central, y disposición de recursos para DT. </w:t>
      </w:r>
    </w:p>
    <w:p w14:paraId="077A2ED1" w14:textId="77777777" w:rsidR="00835945" w:rsidRPr="00754C09"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MX"/>
        </w:rPr>
        <w:t xml:space="preserve">Recepción, registro, identificación y almacenamiento de los bienes en las dos bodegas principales y en cuatro bodegas auxiliares. </w:t>
      </w:r>
    </w:p>
    <w:p w14:paraId="7562B69A" w14:textId="77777777" w:rsidR="00835945"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MX"/>
        </w:rPr>
        <w:t>Recepción y trámite de los requerimientos de bienes de consumo (tapabocas, guantes, dotación y papelería), devolutivo y consumo controlado realizados por las dependencias de la sede central, 22 direcciones territoriales y actualizaciones catastrales.</w:t>
      </w:r>
    </w:p>
    <w:p w14:paraId="6704385D" w14:textId="77777777" w:rsidR="00835945"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MX"/>
        </w:rPr>
        <w:t>El almacén gracias a el levantamiento del inventario de bienes de consumo, devolutivo y consumo que se encontraban en la bodega, así como el levantamiento del Inventario físico de bienes en servicio en las oficinas y dependencias de la Sede Central para las vigencias 2019 y 2020, cuenta con un inventario actualizado y confiable.</w:t>
      </w:r>
      <w:r w:rsidRPr="31FF9146">
        <w:rPr>
          <w:rFonts w:eastAsia="Arial" w:cs="Arial"/>
          <w:sz w:val="22"/>
          <w:szCs w:val="22"/>
          <w:lang w:val="es-MX"/>
        </w:rPr>
        <w:t xml:space="preserve"> </w:t>
      </w:r>
    </w:p>
    <w:p w14:paraId="27F342E5" w14:textId="77777777" w:rsidR="00835945" w:rsidRDefault="00835945" w:rsidP="00DB7E6D">
      <w:pPr>
        <w:pStyle w:val="Prrafodelista"/>
        <w:numPr>
          <w:ilvl w:val="0"/>
          <w:numId w:val="12"/>
        </w:numPr>
        <w:rPr>
          <w:rFonts w:eastAsia="Arial" w:cs="Arial"/>
          <w:color w:val="000000" w:themeColor="text1"/>
          <w:sz w:val="22"/>
          <w:szCs w:val="22"/>
        </w:rPr>
      </w:pPr>
      <w:r w:rsidRPr="31FF9146">
        <w:rPr>
          <w:rFonts w:eastAsia="Arial" w:cs="Arial"/>
          <w:color w:val="000000" w:themeColor="text1"/>
          <w:sz w:val="22"/>
          <w:szCs w:val="22"/>
          <w:lang w:val="es"/>
        </w:rPr>
        <w:t xml:space="preserve">Mejoramiento de las funcionalidades del aplicativo del ERP SAE y SAI, para lo cual se realizó la actualización de las cuentas contables para los bienes devolutivos, creación de reportes mensuales, cambio de estado a inservible, actualización catálogos y clasificación por tipo de bienes: Consumo controlado (CC) y devolutivo (DE). </w:t>
      </w:r>
    </w:p>
    <w:p w14:paraId="3A5A0F60" w14:textId="77777777" w:rsidR="00835945" w:rsidRDefault="00835945" w:rsidP="00835945">
      <w:pPr>
        <w:spacing w:line="276" w:lineRule="auto"/>
        <w:jc w:val="both"/>
        <w:rPr>
          <w:rFonts w:ascii="Calibri" w:eastAsia="Calibri" w:hAnsi="Calibri" w:cs="Calibri"/>
          <w:lang w:val="es"/>
        </w:rPr>
      </w:pPr>
    </w:p>
    <w:p w14:paraId="0C53A264" w14:textId="0BD670A4" w:rsidR="0058131D" w:rsidRPr="0058131D" w:rsidRDefault="00835945" w:rsidP="000A20EE">
      <w:pPr>
        <w:pStyle w:val="Prrafodelista"/>
        <w:numPr>
          <w:ilvl w:val="3"/>
          <w:numId w:val="22"/>
        </w:numPr>
        <w:spacing w:line="276" w:lineRule="auto"/>
        <w:rPr>
          <w:rFonts w:eastAsia="Arial" w:cs="Arial"/>
          <w:b/>
          <w:bCs/>
          <w:sz w:val="22"/>
          <w:szCs w:val="22"/>
          <w:lang w:val="es"/>
        </w:rPr>
      </w:pPr>
      <w:r w:rsidRPr="0058131D">
        <w:rPr>
          <w:rFonts w:eastAsia="Arial" w:cs="Arial"/>
          <w:b/>
          <w:bCs/>
          <w:sz w:val="22"/>
          <w:szCs w:val="22"/>
          <w:lang w:val="es"/>
        </w:rPr>
        <w:t>GESTIÓN DE TALENTO HUMANO</w:t>
      </w:r>
    </w:p>
    <w:p w14:paraId="7F6CFDC0" w14:textId="77777777" w:rsidR="00835945" w:rsidRDefault="00835945" w:rsidP="00835945">
      <w:pPr>
        <w:spacing w:line="276" w:lineRule="auto"/>
        <w:jc w:val="both"/>
      </w:pPr>
      <w:r w:rsidRPr="31FF9146">
        <w:rPr>
          <w:rFonts w:eastAsia="Arial" w:cs="Arial"/>
          <w:sz w:val="22"/>
          <w:szCs w:val="22"/>
          <w:lang w:val="es"/>
        </w:rPr>
        <w:t xml:space="preserve"> </w:t>
      </w:r>
    </w:p>
    <w:p w14:paraId="134FAA29" w14:textId="77777777" w:rsidR="00835945" w:rsidRDefault="00835945" w:rsidP="00835945">
      <w:pPr>
        <w:spacing w:line="276" w:lineRule="auto"/>
        <w:jc w:val="both"/>
      </w:pPr>
      <w:r w:rsidRPr="31FF9146">
        <w:rPr>
          <w:rFonts w:eastAsia="Arial" w:cs="Arial"/>
          <w:b/>
          <w:bCs/>
          <w:sz w:val="22"/>
          <w:szCs w:val="22"/>
          <w:lang w:val="es"/>
        </w:rPr>
        <w:t>CALIDAD DE VIDA</w:t>
      </w:r>
    </w:p>
    <w:p w14:paraId="723FA0A9" w14:textId="77777777" w:rsidR="00835945" w:rsidRDefault="00835945" w:rsidP="00835945">
      <w:pPr>
        <w:spacing w:line="276" w:lineRule="auto"/>
        <w:jc w:val="both"/>
      </w:pPr>
    </w:p>
    <w:p w14:paraId="0E037553" w14:textId="77777777" w:rsidR="00835945" w:rsidRDefault="00835945" w:rsidP="00835945">
      <w:pPr>
        <w:jc w:val="both"/>
      </w:pPr>
      <w:r w:rsidRPr="31FF9146">
        <w:rPr>
          <w:rFonts w:eastAsia="Arial" w:cs="Arial"/>
          <w:sz w:val="22"/>
          <w:szCs w:val="22"/>
          <w:lang w:val="es"/>
        </w:rPr>
        <w:t>Atendiendo los resultados de la encuesta de Clima Organizacional, se realizaron estrategias para generar espacios de bienestar e incentivos nuevos para funcionarios y sus familias, teniendo como resultados el siguiente portafolio de actividades ejecutadas a la fecha.</w:t>
      </w:r>
    </w:p>
    <w:p w14:paraId="35B8A36E" w14:textId="77777777" w:rsidR="00835945" w:rsidRDefault="00835945" w:rsidP="00835945">
      <w:pPr>
        <w:spacing w:line="276" w:lineRule="auto"/>
        <w:jc w:val="both"/>
        <w:rPr>
          <w:color w:val="000000" w:themeColor="text1"/>
          <w:lang w:val="es"/>
        </w:rPr>
      </w:pPr>
    </w:p>
    <w:p w14:paraId="7F6B27B6" w14:textId="77777777" w:rsidR="00A605F2" w:rsidRDefault="00A605F2" w:rsidP="00835945">
      <w:pPr>
        <w:spacing w:line="276" w:lineRule="auto"/>
        <w:jc w:val="both"/>
        <w:rPr>
          <w:color w:val="000000" w:themeColor="text1"/>
          <w:lang w:val="es"/>
        </w:rPr>
      </w:pPr>
    </w:p>
    <w:p w14:paraId="2AE714A2" w14:textId="77777777" w:rsidR="0058131D" w:rsidRDefault="0058131D" w:rsidP="00835945">
      <w:pPr>
        <w:spacing w:line="276" w:lineRule="auto"/>
        <w:jc w:val="both"/>
        <w:rPr>
          <w:color w:val="000000" w:themeColor="text1"/>
          <w:lang w:val="es"/>
        </w:rPr>
      </w:pPr>
    </w:p>
    <w:p w14:paraId="4594C698" w14:textId="77777777" w:rsidR="0058131D" w:rsidRDefault="0058131D" w:rsidP="00835945">
      <w:pPr>
        <w:spacing w:line="276" w:lineRule="auto"/>
        <w:jc w:val="both"/>
        <w:rPr>
          <w:color w:val="000000" w:themeColor="text1"/>
          <w:lang w:val="es"/>
        </w:rPr>
      </w:pPr>
    </w:p>
    <w:p w14:paraId="41FBBAF5" w14:textId="61C5DA4C" w:rsidR="0058131D" w:rsidRDefault="0058131D" w:rsidP="00835945">
      <w:pPr>
        <w:spacing w:line="276" w:lineRule="auto"/>
        <w:jc w:val="both"/>
        <w:rPr>
          <w:color w:val="000000" w:themeColor="text1"/>
          <w:lang w:val="es"/>
        </w:rPr>
      </w:pPr>
    </w:p>
    <w:p w14:paraId="3519B181" w14:textId="77777777" w:rsidR="00A605F2" w:rsidRDefault="00A605F2" w:rsidP="00835945">
      <w:pPr>
        <w:spacing w:line="276" w:lineRule="auto"/>
        <w:jc w:val="both"/>
        <w:rPr>
          <w:color w:val="000000" w:themeColor="text1"/>
          <w:lang w:val="es"/>
        </w:rPr>
      </w:pPr>
    </w:p>
    <w:p w14:paraId="386F503B" w14:textId="6CE8E3D1" w:rsidR="006679CF" w:rsidRPr="00AB1FD7" w:rsidRDefault="00AB1FD7" w:rsidP="00AB1FD7">
      <w:pPr>
        <w:pStyle w:val="Descripcin"/>
        <w:jc w:val="center"/>
        <w:rPr>
          <w:rFonts w:ascii="Arial" w:hAnsi="Arial" w:cs="Arial"/>
          <w:b/>
          <w:i w:val="0"/>
          <w:color w:val="000000" w:themeColor="text1"/>
          <w:sz w:val="14"/>
          <w:szCs w:val="16"/>
          <w:lang w:val="es"/>
        </w:rPr>
      </w:pPr>
      <w:bookmarkStart w:id="160" w:name="_Toc88677200"/>
      <w:r w:rsidRPr="00AB1FD7">
        <w:rPr>
          <w:rFonts w:ascii="Arial" w:hAnsi="Arial" w:cs="Arial"/>
          <w:b/>
          <w:i w:val="0"/>
          <w:color w:val="000000" w:themeColor="text1"/>
          <w:sz w:val="16"/>
        </w:rPr>
        <w:t xml:space="preserve">Ilustración </w:t>
      </w:r>
      <w:r w:rsidRPr="00AB1FD7">
        <w:rPr>
          <w:rFonts w:ascii="Arial" w:hAnsi="Arial" w:cs="Arial"/>
          <w:b/>
          <w:i w:val="0"/>
          <w:color w:val="000000" w:themeColor="text1"/>
          <w:sz w:val="16"/>
        </w:rPr>
        <w:fldChar w:fldCharType="begin"/>
      </w:r>
      <w:r w:rsidRPr="00AB1FD7">
        <w:rPr>
          <w:rFonts w:ascii="Arial" w:hAnsi="Arial" w:cs="Arial"/>
          <w:b/>
          <w:i w:val="0"/>
          <w:color w:val="000000" w:themeColor="text1"/>
          <w:sz w:val="16"/>
        </w:rPr>
        <w:instrText xml:space="preserve"> SEQ Ilustración \* ARABIC </w:instrText>
      </w:r>
      <w:r w:rsidRPr="00AB1FD7">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44</w:t>
      </w:r>
      <w:r w:rsidRPr="00AB1FD7">
        <w:rPr>
          <w:rFonts w:ascii="Arial" w:hAnsi="Arial" w:cs="Arial"/>
          <w:b/>
          <w:i w:val="0"/>
          <w:color w:val="000000" w:themeColor="text1"/>
          <w:sz w:val="16"/>
        </w:rPr>
        <w:fldChar w:fldCharType="end"/>
      </w:r>
      <w:r w:rsidRPr="00AB1FD7">
        <w:rPr>
          <w:rFonts w:ascii="Arial" w:hAnsi="Arial" w:cs="Arial"/>
          <w:b/>
          <w:i w:val="0"/>
          <w:color w:val="000000" w:themeColor="text1"/>
          <w:sz w:val="16"/>
        </w:rPr>
        <w:t>. Componentes Plan de Bienestar e Incentivos 2021</w:t>
      </w:r>
      <w:bookmarkEnd w:id="160"/>
    </w:p>
    <w:p w14:paraId="6A110E08" w14:textId="6C209133" w:rsidR="00835945" w:rsidRDefault="00835945" w:rsidP="00835945">
      <w:pPr>
        <w:spacing w:line="276" w:lineRule="auto"/>
        <w:jc w:val="center"/>
      </w:pPr>
      <w:r>
        <w:rPr>
          <w:noProof/>
          <w:lang w:val="es-CO" w:eastAsia="es-CO"/>
        </w:rPr>
        <w:drawing>
          <wp:inline distT="0" distB="0" distL="0" distR="0" wp14:anchorId="5276C202" wp14:editId="30FDA0F1">
            <wp:extent cx="4572000" cy="2571750"/>
            <wp:effectExtent l="0" t="0" r="0" b="0"/>
            <wp:docPr id="2065077554" name="Imagen 2065077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3">
                      <a:extLst>
                        <a:ext uri="{28A0092B-C50C-407E-A947-70E740481C1C}">
                          <a14:useLocalDpi xmlns:a14="http://schemas.microsoft.com/office/drawing/2010/main" val="0"/>
                        </a:ext>
                      </a:extLst>
                    </a:blip>
                    <a:stretch>
                      <a:fillRect/>
                    </a:stretch>
                  </pic:blipFill>
                  <pic:spPr>
                    <a:xfrm>
                      <a:off x="0" y="0"/>
                      <a:ext cx="4572000" cy="2571750"/>
                    </a:xfrm>
                    <a:prstGeom prst="rect">
                      <a:avLst/>
                    </a:prstGeom>
                  </pic:spPr>
                </pic:pic>
              </a:graphicData>
            </a:graphic>
          </wp:inline>
        </w:drawing>
      </w:r>
    </w:p>
    <w:p w14:paraId="2B543781" w14:textId="77777777" w:rsidR="00835945" w:rsidRPr="006679CF" w:rsidRDefault="00835945" w:rsidP="00835945">
      <w:pPr>
        <w:spacing w:line="276" w:lineRule="auto"/>
        <w:jc w:val="center"/>
        <w:rPr>
          <w:b/>
          <w:color w:val="000000" w:themeColor="text1"/>
          <w:sz w:val="16"/>
          <w:szCs w:val="16"/>
        </w:rPr>
      </w:pPr>
      <w:r w:rsidRPr="006679CF">
        <w:rPr>
          <w:b/>
          <w:color w:val="000000" w:themeColor="text1"/>
          <w:sz w:val="16"/>
          <w:szCs w:val="16"/>
        </w:rPr>
        <w:t>Fuente: Subdirección de Talento Humano - IGAC</w:t>
      </w:r>
    </w:p>
    <w:p w14:paraId="58E2073C" w14:textId="77777777" w:rsidR="00835945" w:rsidRDefault="00835945" w:rsidP="00835945">
      <w:pPr>
        <w:jc w:val="both"/>
      </w:pPr>
    </w:p>
    <w:p w14:paraId="723C6B8D" w14:textId="77777777" w:rsidR="00835945" w:rsidRDefault="00835945" w:rsidP="00835945">
      <w:pPr>
        <w:spacing w:line="276" w:lineRule="auto"/>
        <w:jc w:val="both"/>
      </w:pPr>
      <w:r w:rsidRPr="31FF9146">
        <w:rPr>
          <w:rFonts w:eastAsia="Arial" w:cs="Arial"/>
          <w:b/>
          <w:bCs/>
          <w:sz w:val="22"/>
          <w:szCs w:val="22"/>
          <w:lang w:val="es"/>
        </w:rPr>
        <w:t>ADMINISTRACIÓN DE PERSONAL Y PROVISIÓN DE PLANTA</w:t>
      </w:r>
    </w:p>
    <w:p w14:paraId="12F6E980" w14:textId="77777777" w:rsidR="00835945" w:rsidRDefault="00835945" w:rsidP="00835945">
      <w:pPr>
        <w:spacing w:line="276" w:lineRule="auto"/>
        <w:ind w:firstLine="360"/>
        <w:jc w:val="both"/>
      </w:pPr>
      <w:r w:rsidRPr="31FF9146">
        <w:rPr>
          <w:rFonts w:eastAsia="Arial" w:cs="Arial"/>
          <w:b/>
          <w:bCs/>
          <w:sz w:val="22"/>
          <w:szCs w:val="22"/>
          <w:lang w:val="es"/>
        </w:rPr>
        <w:t xml:space="preserve"> </w:t>
      </w:r>
    </w:p>
    <w:p w14:paraId="25688EEC" w14:textId="77777777" w:rsidR="00835945" w:rsidRPr="001F6E08" w:rsidRDefault="00835945" w:rsidP="00835945">
      <w:pPr>
        <w:jc w:val="both"/>
      </w:pPr>
      <w:r w:rsidRPr="31FF9146">
        <w:rPr>
          <w:rFonts w:eastAsia="Arial" w:cs="Arial"/>
          <w:sz w:val="22"/>
          <w:szCs w:val="22"/>
          <w:lang w:val="es"/>
        </w:rPr>
        <w:t>Antes de modernización la planta estaba conformada 1.054 empleos y a la fecha se cuenta con 1.125 empleos.</w:t>
      </w:r>
    </w:p>
    <w:p w14:paraId="203AF193" w14:textId="6EBA0E03" w:rsidR="00835945" w:rsidRDefault="00835945" w:rsidP="00AB1FD7">
      <w:pPr>
        <w:spacing w:line="276" w:lineRule="auto"/>
        <w:jc w:val="both"/>
        <w:rPr>
          <w:color w:val="000000" w:themeColor="text1"/>
          <w:sz w:val="16"/>
          <w:szCs w:val="16"/>
          <w:lang w:val="es"/>
        </w:rPr>
      </w:pPr>
    </w:p>
    <w:p w14:paraId="105263FB" w14:textId="39A961D1" w:rsidR="00835945" w:rsidRPr="00AB1FD7" w:rsidRDefault="00AB1FD7" w:rsidP="00AB1FD7">
      <w:pPr>
        <w:pStyle w:val="Descripcin"/>
        <w:jc w:val="center"/>
        <w:rPr>
          <w:rFonts w:ascii="Arial" w:eastAsia="Times New Roman" w:hAnsi="Arial" w:cs="Times New Roman"/>
          <w:b/>
          <w:i w:val="0"/>
          <w:iCs w:val="0"/>
          <w:color w:val="000000" w:themeColor="text1"/>
          <w:sz w:val="16"/>
          <w:szCs w:val="16"/>
          <w:lang w:val="es-ES" w:eastAsia="ar-SA"/>
        </w:rPr>
      </w:pPr>
      <w:bookmarkStart w:id="161" w:name="_Toc88677201"/>
      <w:r w:rsidRPr="00AB1FD7">
        <w:rPr>
          <w:rFonts w:ascii="Arial" w:eastAsia="Times New Roman" w:hAnsi="Arial" w:cs="Times New Roman"/>
          <w:b/>
          <w:i w:val="0"/>
          <w:iCs w:val="0"/>
          <w:color w:val="000000" w:themeColor="text1"/>
          <w:sz w:val="16"/>
          <w:szCs w:val="16"/>
          <w:lang w:val="es-ES" w:eastAsia="ar-SA"/>
        </w:rPr>
        <w:t xml:space="preserve">Ilustración </w:t>
      </w:r>
      <w:r w:rsidRPr="00AB1FD7">
        <w:rPr>
          <w:rFonts w:ascii="Arial" w:eastAsia="Times New Roman" w:hAnsi="Arial" w:cs="Times New Roman"/>
          <w:b/>
          <w:i w:val="0"/>
          <w:iCs w:val="0"/>
          <w:color w:val="000000" w:themeColor="text1"/>
          <w:sz w:val="16"/>
          <w:szCs w:val="16"/>
          <w:lang w:val="es-ES" w:eastAsia="ar-SA"/>
        </w:rPr>
        <w:fldChar w:fldCharType="begin"/>
      </w:r>
      <w:r w:rsidRPr="00AB1FD7">
        <w:rPr>
          <w:rFonts w:ascii="Arial" w:eastAsia="Times New Roman" w:hAnsi="Arial" w:cs="Times New Roman"/>
          <w:b/>
          <w:i w:val="0"/>
          <w:iCs w:val="0"/>
          <w:color w:val="000000" w:themeColor="text1"/>
          <w:sz w:val="16"/>
          <w:szCs w:val="16"/>
          <w:lang w:val="es-ES" w:eastAsia="ar-SA"/>
        </w:rPr>
        <w:instrText xml:space="preserve"> SEQ Ilustración \* ARABIC </w:instrText>
      </w:r>
      <w:r w:rsidRPr="00AB1FD7">
        <w:rPr>
          <w:rFonts w:ascii="Arial" w:eastAsia="Times New Roman" w:hAnsi="Arial" w:cs="Times New Roman"/>
          <w:b/>
          <w:i w:val="0"/>
          <w:iCs w:val="0"/>
          <w:color w:val="000000" w:themeColor="text1"/>
          <w:sz w:val="16"/>
          <w:szCs w:val="16"/>
          <w:lang w:val="es-ES" w:eastAsia="ar-SA"/>
        </w:rPr>
        <w:fldChar w:fldCharType="separate"/>
      </w:r>
      <w:r w:rsidR="005D5B0E">
        <w:rPr>
          <w:rFonts w:ascii="Arial" w:eastAsia="Times New Roman" w:hAnsi="Arial" w:cs="Times New Roman"/>
          <w:b/>
          <w:i w:val="0"/>
          <w:iCs w:val="0"/>
          <w:noProof/>
          <w:color w:val="000000" w:themeColor="text1"/>
          <w:sz w:val="16"/>
          <w:szCs w:val="16"/>
          <w:lang w:val="es-ES" w:eastAsia="ar-SA"/>
        </w:rPr>
        <w:t>45</w:t>
      </w:r>
      <w:r w:rsidRPr="00AB1FD7">
        <w:rPr>
          <w:rFonts w:ascii="Arial" w:eastAsia="Times New Roman" w:hAnsi="Arial" w:cs="Times New Roman"/>
          <w:b/>
          <w:i w:val="0"/>
          <w:iCs w:val="0"/>
          <w:color w:val="000000" w:themeColor="text1"/>
          <w:sz w:val="16"/>
          <w:szCs w:val="16"/>
          <w:lang w:val="es-ES" w:eastAsia="ar-SA"/>
        </w:rPr>
        <w:fldChar w:fldCharType="end"/>
      </w:r>
      <w:r w:rsidRPr="00AB1FD7">
        <w:rPr>
          <w:rFonts w:ascii="Arial" w:eastAsia="Times New Roman" w:hAnsi="Arial" w:cs="Times New Roman"/>
          <w:b/>
          <w:i w:val="0"/>
          <w:iCs w:val="0"/>
          <w:color w:val="000000" w:themeColor="text1"/>
          <w:sz w:val="16"/>
          <w:szCs w:val="16"/>
          <w:lang w:val="es-ES" w:eastAsia="ar-SA"/>
        </w:rPr>
        <w:t>. Implementación de la modernización</w:t>
      </w:r>
      <w:bookmarkEnd w:id="161"/>
    </w:p>
    <w:p w14:paraId="43D243EA" w14:textId="77777777" w:rsidR="00835945" w:rsidRPr="0058131D" w:rsidRDefault="00835945" w:rsidP="00835945">
      <w:pPr>
        <w:spacing w:line="276" w:lineRule="auto"/>
        <w:jc w:val="center"/>
        <w:rPr>
          <w:b/>
          <w:color w:val="000000" w:themeColor="text1"/>
          <w:sz w:val="16"/>
          <w:szCs w:val="16"/>
        </w:rPr>
      </w:pPr>
      <w:r>
        <w:t xml:space="preserve">        </w:t>
      </w:r>
      <w:r>
        <w:rPr>
          <w:noProof/>
          <w:lang w:val="es-CO" w:eastAsia="es-CO"/>
        </w:rPr>
        <w:drawing>
          <wp:inline distT="0" distB="0" distL="0" distR="0" wp14:anchorId="0D140BB4" wp14:editId="5511BD2D">
            <wp:extent cx="4572000" cy="2686050"/>
            <wp:effectExtent l="190500" t="190500" r="171450" b="171450"/>
            <wp:docPr id="1504003707" name="Imagen 1504003707" descr="fsfssfs" title="fsdf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4">
                      <a:extLst>
                        <a:ext uri="{28A0092B-C50C-407E-A947-70E740481C1C}">
                          <a14:useLocalDpi xmlns:a14="http://schemas.microsoft.com/office/drawing/2010/main" val="0"/>
                        </a:ext>
                      </a:extLst>
                    </a:blip>
                    <a:srcRect/>
                    <a:stretch>
                      <a:fillRect/>
                    </a:stretch>
                  </pic:blipFill>
                  <pic:spPr>
                    <a:xfrm>
                      <a:off x="0" y="0"/>
                      <a:ext cx="4572000" cy="2686050"/>
                    </a:xfrm>
                    <a:prstGeom prst="rect">
                      <a:avLst/>
                    </a:prstGeom>
                    <a:ln>
                      <a:noFill/>
                    </a:ln>
                    <a:effectLst>
                      <a:outerShdw blurRad="190500" algn="tl" rotWithShape="0">
                        <a:srgbClr val="000000">
                          <a:alpha val="70000"/>
                        </a:srgbClr>
                      </a:outerShdw>
                    </a:effectLst>
                  </pic:spPr>
                </pic:pic>
              </a:graphicData>
            </a:graphic>
          </wp:inline>
        </w:drawing>
      </w:r>
      <w:r w:rsidRPr="31FF9146">
        <w:rPr>
          <w:color w:val="000000" w:themeColor="text1"/>
          <w:sz w:val="16"/>
          <w:szCs w:val="16"/>
        </w:rPr>
        <w:t xml:space="preserve">              </w:t>
      </w:r>
      <w:r w:rsidRPr="0058131D">
        <w:rPr>
          <w:b/>
          <w:color w:val="000000" w:themeColor="text1"/>
          <w:sz w:val="16"/>
          <w:szCs w:val="16"/>
        </w:rPr>
        <w:t>Fuente: Subdirección de Talento Humano - IGAC</w:t>
      </w:r>
    </w:p>
    <w:p w14:paraId="74843688" w14:textId="77777777" w:rsidR="00835945" w:rsidRDefault="00835945" w:rsidP="00835945">
      <w:pPr>
        <w:jc w:val="both"/>
      </w:pPr>
    </w:p>
    <w:p w14:paraId="0F2CE709" w14:textId="77777777" w:rsidR="00835945" w:rsidRDefault="00835945" w:rsidP="00835945">
      <w:pPr>
        <w:jc w:val="both"/>
      </w:pPr>
    </w:p>
    <w:p w14:paraId="48A7FFD6" w14:textId="77777777" w:rsidR="00835945" w:rsidRDefault="00835945" w:rsidP="00835945">
      <w:pPr>
        <w:spacing w:line="276" w:lineRule="auto"/>
        <w:ind w:firstLine="360"/>
        <w:jc w:val="both"/>
        <w:rPr>
          <w:rFonts w:eastAsia="Arial" w:cs="Arial"/>
          <w:b/>
          <w:bCs/>
          <w:sz w:val="22"/>
          <w:szCs w:val="22"/>
          <w:lang w:val="es"/>
        </w:rPr>
      </w:pPr>
    </w:p>
    <w:p w14:paraId="700E9E17" w14:textId="77777777" w:rsidR="00835945" w:rsidRDefault="00835945" w:rsidP="00835945">
      <w:pPr>
        <w:spacing w:line="276" w:lineRule="auto"/>
        <w:ind w:firstLine="360"/>
        <w:jc w:val="both"/>
        <w:rPr>
          <w:rFonts w:eastAsia="Arial" w:cs="Arial"/>
          <w:b/>
          <w:bCs/>
          <w:sz w:val="22"/>
          <w:szCs w:val="22"/>
          <w:lang w:val="es"/>
        </w:rPr>
      </w:pPr>
      <w:r>
        <w:rPr>
          <w:rFonts w:eastAsia="Arial" w:cs="Arial"/>
          <w:b/>
          <w:bCs/>
          <w:sz w:val="22"/>
          <w:szCs w:val="22"/>
          <w:lang w:val="es"/>
        </w:rPr>
        <w:t xml:space="preserve">  </w:t>
      </w:r>
    </w:p>
    <w:p w14:paraId="7BD3C107" w14:textId="77777777" w:rsidR="00835945" w:rsidRPr="001F6E08" w:rsidRDefault="00835945" w:rsidP="00835945">
      <w:pPr>
        <w:spacing w:line="276" w:lineRule="auto"/>
        <w:jc w:val="both"/>
        <w:rPr>
          <w:rFonts w:eastAsia="Arial" w:cs="Arial"/>
          <w:b/>
          <w:bCs/>
          <w:sz w:val="22"/>
          <w:szCs w:val="22"/>
          <w:lang w:val="es"/>
        </w:rPr>
      </w:pPr>
      <w:r w:rsidRPr="31FF9146">
        <w:rPr>
          <w:rFonts w:eastAsia="Arial" w:cs="Arial"/>
          <w:b/>
          <w:bCs/>
          <w:sz w:val="22"/>
          <w:szCs w:val="22"/>
          <w:lang w:val="es"/>
        </w:rPr>
        <w:t xml:space="preserve">SISTEMA DE GESTIÓN DE SEGURIDAD Y SALUD EN EL TRABAJO </w:t>
      </w:r>
    </w:p>
    <w:p w14:paraId="05A1204F" w14:textId="77777777" w:rsidR="00835945" w:rsidRDefault="00835945" w:rsidP="00835945">
      <w:pPr>
        <w:spacing w:line="276" w:lineRule="auto"/>
        <w:jc w:val="both"/>
      </w:pPr>
      <w:r w:rsidRPr="31FF9146">
        <w:rPr>
          <w:rFonts w:eastAsia="Arial" w:cs="Arial"/>
          <w:b/>
          <w:bCs/>
          <w:sz w:val="22"/>
          <w:szCs w:val="22"/>
          <w:lang w:val="es"/>
        </w:rPr>
        <w:t xml:space="preserve"> </w:t>
      </w:r>
    </w:p>
    <w:p w14:paraId="1161266F" w14:textId="77777777" w:rsidR="00490C3B" w:rsidRPr="00490C3B" w:rsidRDefault="00835945" w:rsidP="00490C3B">
      <w:pPr>
        <w:jc w:val="both"/>
        <w:rPr>
          <w:rFonts w:eastAsia="Arial" w:cs="Arial"/>
          <w:sz w:val="22"/>
          <w:szCs w:val="22"/>
          <w:lang w:val="es"/>
        </w:rPr>
      </w:pPr>
      <w:r w:rsidRPr="31FF9146">
        <w:rPr>
          <w:rFonts w:eastAsia="Arial" w:cs="Arial"/>
          <w:sz w:val="22"/>
          <w:szCs w:val="22"/>
          <w:lang w:val="es"/>
        </w:rPr>
        <w:t xml:space="preserve">Para la vigencia 2021, se actualizó la matriz legal, encontrando 1064 requerimientos legales aplicables al Instituto en seguridad y salud en el trabajo y teniendo como ejecución la siguiente estadística: </w:t>
      </w:r>
    </w:p>
    <w:p w14:paraId="570C187C" w14:textId="67494D44" w:rsidR="00835945" w:rsidRDefault="00835945" w:rsidP="00835945">
      <w:pPr>
        <w:spacing w:line="276" w:lineRule="auto"/>
        <w:jc w:val="both"/>
        <w:rPr>
          <w:rFonts w:eastAsia="Arial" w:cs="Arial"/>
          <w:lang w:val="es"/>
        </w:rPr>
      </w:pPr>
    </w:p>
    <w:p w14:paraId="696DFC09" w14:textId="77777777" w:rsidR="000D4401" w:rsidRDefault="00AB1FD7" w:rsidP="00AB1FD7">
      <w:pPr>
        <w:pStyle w:val="Descripcin"/>
        <w:jc w:val="center"/>
        <w:rPr>
          <w:rFonts w:ascii="Arial" w:eastAsia="Arial" w:hAnsi="Arial" w:cs="Arial"/>
          <w:b/>
          <w:i w:val="0"/>
          <w:iCs w:val="0"/>
          <w:color w:val="auto"/>
          <w:sz w:val="16"/>
          <w:szCs w:val="16"/>
          <w:lang w:val="es-MX" w:eastAsia="ar-SA"/>
        </w:rPr>
      </w:pPr>
      <w:bookmarkStart w:id="162" w:name="_Toc88677202"/>
      <w:r w:rsidRPr="00AB1FD7">
        <w:rPr>
          <w:rFonts w:ascii="Arial" w:eastAsia="Arial" w:hAnsi="Arial" w:cs="Arial"/>
          <w:b/>
          <w:i w:val="0"/>
          <w:iCs w:val="0"/>
          <w:color w:val="auto"/>
          <w:sz w:val="16"/>
          <w:szCs w:val="16"/>
          <w:lang w:val="es-MX" w:eastAsia="ar-SA"/>
        </w:rPr>
        <w:t xml:space="preserve">Ilustración </w:t>
      </w:r>
      <w:r w:rsidRPr="00AB1FD7">
        <w:rPr>
          <w:rFonts w:ascii="Arial" w:eastAsia="Arial" w:hAnsi="Arial" w:cs="Arial"/>
          <w:b/>
          <w:i w:val="0"/>
          <w:iCs w:val="0"/>
          <w:color w:val="auto"/>
          <w:sz w:val="16"/>
          <w:szCs w:val="16"/>
          <w:lang w:val="es-MX" w:eastAsia="ar-SA"/>
        </w:rPr>
        <w:fldChar w:fldCharType="begin"/>
      </w:r>
      <w:r w:rsidRPr="00AB1FD7">
        <w:rPr>
          <w:rFonts w:ascii="Arial" w:eastAsia="Arial" w:hAnsi="Arial" w:cs="Arial"/>
          <w:b/>
          <w:i w:val="0"/>
          <w:iCs w:val="0"/>
          <w:color w:val="auto"/>
          <w:sz w:val="16"/>
          <w:szCs w:val="16"/>
          <w:lang w:val="es-MX" w:eastAsia="ar-SA"/>
        </w:rPr>
        <w:instrText xml:space="preserve"> SEQ Ilustración \* ARABIC </w:instrText>
      </w:r>
      <w:r w:rsidRPr="00AB1FD7">
        <w:rPr>
          <w:rFonts w:ascii="Arial" w:eastAsia="Arial" w:hAnsi="Arial" w:cs="Arial"/>
          <w:b/>
          <w:i w:val="0"/>
          <w:iCs w:val="0"/>
          <w:color w:val="auto"/>
          <w:sz w:val="16"/>
          <w:szCs w:val="16"/>
          <w:lang w:val="es-MX" w:eastAsia="ar-SA"/>
        </w:rPr>
        <w:fldChar w:fldCharType="separate"/>
      </w:r>
      <w:r w:rsidR="005D5B0E">
        <w:rPr>
          <w:rFonts w:ascii="Arial" w:eastAsia="Arial" w:hAnsi="Arial" w:cs="Arial"/>
          <w:b/>
          <w:i w:val="0"/>
          <w:iCs w:val="0"/>
          <w:noProof/>
          <w:color w:val="auto"/>
          <w:sz w:val="16"/>
          <w:szCs w:val="16"/>
          <w:lang w:val="es-MX" w:eastAsia="ar-SA"/>
        </w:rPr>
        <w:t>46</w:t>
      </w:r>
      <w:r w:rsidRPr="00AB1FD7">
        <w:rPr>
          <w:rFonts w:ascii="Arial" w:eastAsia="Arial" w:hAnsi="Arial" w:cs="Arial"/>
          <w:b/>
          <w:i w:val="0"/>
          <w:iCs w:val="0"/>
          <w:color w:val="auto"/>
          <w:sz w:val="16"/>
          <w:szCs w:val="16"/>
          <w:lang w:val="es-MX" w:eastAsia="ar-SA"/>
        </w:rPr>
        <w:fldChar w:fldCharType="end"/>
      </w:r>
      <w:r w:rsidRPr="00AB1FD7">
        <w:rPr>
          <w:rFonts w:ascii="Arial" w:eastAsia="Arial" w:hAnsi="Arial" w:cs="Arial"/>
          <w:b/>
          <w:i w:val="0"/>
          <w:iCs w:val="0"/>
          <w:color w:val="auto"/>
          <w:sz w:val="16"/>
          <w:szCs w:val="16"/>
          <w:lang w:val="es-MX" w:eastAsia="ar-SA"/>
        </w:rPr>
        <w:t>. Avance ejecución del Plan Anual de Trabajo de SST - Corte 31 de octubre 2021</w:t>
      </w:r>
      <w:bookmarkEnd w:id="162"/>
    </w:p>
    <w:p w14:paraId="50358C57" w14:textId="49BCC212" w:rsidR="00835945" w:rsidRDefault="00835945" w:rsidP="00AB1FD7">
      <w:pPr>
        <w:pStyle w:val="Descripcin"/>
        <w:jc w:val="center"/>
      </w:pPr>
      <w:r>
        <w:rPr>
          <w:noProof/>
          <w:lang w:eastAsia="es-CO"/>
        </w:rPr>
        <w:drawing>
          <wp:inline distT="0" distB="0" distL="0" distR="0" wp14:anchorId="24933773" wp14:editId="3EC2F0EC">
            <wp:extent cx="4572000" cy="2305050"/>
            <wp:effectExtent l="133350" t="114300" r="95250" b="133350"/>
            <wp:docPr id="1837296946" name="Imagen 1837296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5">
                      <a:extLst>
                        <a:ext uri="{28A0092B-C50C-407E-A947-70E740481C1C}">
                          <a14:useLocalDpi xmlns:a14="http://schemas.microsoft.com/office/drawing/2010/main" val="0"/>
                        </a:ext>
                      </a:extLst>
                    </a:blip>
                    <a:srcRect/>
                    <a:stretch>
                      <a:fillRect/>
                    </a:stretch>
                  </pic:blipFill>
                  <pic:spPr>
                    <a:xfrm>
                      <a:off x="0" y="0"/>
                      <a:ext cx="4572000" cy="23050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3155C7FD" w14:textId="77777777" w:rsidR="00835945" w:rsidRPr="00CA7B70" w:rsidRDefault="00835945" w:rsidP="00835945">
      <w:pPr>
        <w:spacing w:line="276" w:lineRule="auto"/>
        <w:ind w:firstLine="708"/>
        <w:jc w:val="center"/>
        <w:rPr>
          <w:rFonts w:eastAsia="Arial" w:cs="Arial"/>
          <w:b/>
          <w:sz w:val="16"/>
          <w:szCs w:val="16"/>
          <w:lang w:val="es-MX"/>
        </w:rPr>
      </w:pPr>
      <w:r w:rsidRPr="00CA7B70">
        <w:rPr>
          <w:rFonts w:eastAsia="Arial" w:cs="Arial"/>
          <w:b/>
          <w:sz w:val="16"/>
          <w:szCs w:val="16"/>
          <w:lang w:val="es-MX"/>
        </w:rPr>
        <w:t>Fuente: Subdirección de Talento Humano- IGAC</w:t>
      </w:r>
    </w:p>
    <w:p w14:paraId="42E5FB58" w14:textId="77777777" w:rsidR="00835945" w:rsidRPr="001F6E08" w:rsidRDefault="00835945" w:rsidP="00835945">
      <w:pPr>
        <w:spacing w:line="276" w:lineRule="auto"/>
        <w:jc w:val="both"/>
      </w:pPr>
      <w:r w:rsidRPr="31FF9146">
        <w:rPr>
          <w:rFonts w:eastAsia="Arial" w:cs="Arial"/>
          <w:sz w:val="22"/>
          <w:szCs w:val="22"/>
          <w:lang w:val="es"/>
        </w:rPr>
        <w:t xml:space="preserve"> </w:t>
      </w:r>
    </w:p>
    <w:p w14:paraId="0BE82EEC" w14:textId="77777777" w:rsidR="00835945" w:rsidRDefault="00835945" w:rsidP="00AB1FD7">
      <w:pPr>
        <w:spacing w:line="276" w:lineRule="auto"/>
        <w:jc w:val="both"/>
      </w:pPr>
      <w:r w:rsidRPr="31FF9146">
        <w:rPr>
          <w:rFonts w:eastAsia="Arial" w:cs="Arial"/>
          <w:sz w:val="22"/>
          <w:szCs w:val="22"/>
          <w:lang w:val="es"/>
        </w:rPr>
        <w:t>De igual manera como logros 2020-2021 se obtuvo:</w:t>
      </w:r>
    </w:p>
    <w:p w14:paraId="655CBFF1" w14:textId="77777777" w:rsidR="00835945" w:rsidRDefault="00835945" w:rsidP="00835945">
      <w:pPr>
        <w:spacing w:line="276" w:lineRule="auto"/>
        <w:ind w:firstLine="708"/>
        <w:jc w:val="both"/>
      </w:pPr>
      <w:r w:rsidRPr="31FF9146">
        <w:rPr>
          <w:rFonts w:eastAsia="Arial" w:cs="Arial"/>
          <w:sz w:val="22"/>
          <w:szCs w:val="22"/>
          <w:lang w:val="es"/>
        </w:rPr>
        <w:t xml:space="preserve"> </w:t>
      </w:r>
    </w:p>
    <w:p w14:paraId="323C60D6" w14:textId="77777777" w:rsidR="00835945" w:rsidRDefault="00835945" w:rsidP="00DB7E6D">
      <w:pPr>
        <w:pStyle w:val="Prrafodelista"/>
        <w:numPr>
          <w:ilvl w:val="0"/>
          <w:numId w:val="11"/>
        </w:numPr>
        <w:rPr>
          <w:rFonts w:eastAsia="Arial" w:cs="Arial"/>
          <w:sz w:val="22"/>
          <w:szCs w:val="22"/>
        </w:rPr>
      </w:pPr>
      <w:r w:rsidRPr="31FF9146">
        <w:rPr>
          <w:rFonts w:eastAsia="Arial" w:cs="Arial"/>
          <w:sz w:val="22"/>
          <w:szCs w:val="22"/>
          <w:lang w:val="es"/>
        </w:rPr>
        <w:t>Implementación de protocolo de bioseguridad ante virus COVID-19</w:t>
      </w:r>
    </w:p>
    <w:p w14:paraId="515BB4E1" w14:textId="77777777" w:rsidR="00835945" w:rsidRDefault="00835945" w:rsidP="00DB7E6D">
      <w:pPr>
        <w:pStyle w:val="Prrafodelista"/>
        <w:numPr>
          <w:ilvl w:val="0"/>
          <w:numId w:val="11"/>
        </w:numPr>
        <w:rPr>
          <w:rFonts w:eastAsia="Arial" w:cs="Arial"/>
          <w:sz w:val="22"/>
          <w:szCs w:val="22"/>
        </w:rPr>
      </w:pPr>
      <w:r w:rsidRPr="31FF9146">
        <w:rPr>
          <w:rFonts w:eastAsia="Arial" w:cs="Arial"/>
          <w:sz w:val="22"/>
          <w:szCs w:val="22"/>
          <w:lang w:val="es"/>
        </w:rPr>
        <w:t>Acompañamiento y seguimiento en casos positivos de virus COVID-19</w:t>
      </w:r>
    </w:p>
    <w:p w14:paraId="4636EBFD" w14:textId="77777777" w:rsidR="00835945" w:rsidRDefault="00835945" w:rsidP="00DB7E6D">
      <w:pPr>
        <w:pStyle w:val="Prrafodelista"/>
        <w:numPr>
          <w:ilvl w:val="0"/>
          <w:numId w:val="11"/>
        </w:numPr>
        <w:rPr>
          <w:rFonts w:eastAsia="Arial" w:cs="Arial"/>
          <w:sz w:val="22"/>
          <w:szCs w:val="22"/>
        </w:rPr>
      </w:pPr>
      <w:r w:rsidRPr="31FF9146">
        <w:rPr>
          <w:rFonts w:eastAsia="Arial" w:cs="Arial"/>
          <w:sz w:val="22"/>
          <w:szCs w:val="22"/>
          <w:lang w:val="es"/>
        </w:rPr>
        <w:t>Talleres de prevención de desórdenes musculoesqueléticos</w:t>
      </w:r>
    </w:p>
    <w:p w14:paraId="440810FE" w14:textId="77777777" w:rsidR="00835945" w:rsidRDefault="00835945" w:rsidP="00DB7E6D">
      <w:pPr>
        <w:pStyle w:val="Prrafodelista"/>
        <w:numPr>
          <w:ilvl w:val="0"/>
          <w:numId w:val="11"/>
        </w:numPr>
        <w:rPr>
          <w:rFonts w:eastAsia="Arial" w:cs="Arial"/>
          <w:sz w:val="22"/>
          <w:szCs w:val="22"/>
        </w:rPr>
      </w:pPr>
      <w:r w:rsidRPr="31FF9146">
        <w:rPr>
          <w:rFonts w:eastAsia="Arial" w:cs="Arial"/>
          <w:sz w:val="22"/>
          <w:szCs w:val="22"/>
          <w:lang w:val="es"/>
        </w:rPr>
        <w:t>Intervención ante riesgo psicosocial</w:t>
      </w:r>
    </w:p>
    <w:p w14:paraId="0480B013" w14:textId="77777777" w:rsidR="00835945" w:rsidRDefault="00835945" w:rsidP="00DB7E6D">
      <w:pPr>
        <w:pStyle w:val="Prrafodelista"/>
        <w:numPr>
          <w:ilvl w:val="0"/>
          <w:numId w:val="11"/>
        </w:numPr>
        <w:rPr>
          <w:rFonts w:eastAsia="Arial" w:cs="Arial"/>
          <w:sz w:val="22"/>
          <w:szCs w:val="22"/>
        </w:rPr>
      </w:pPr>
      <w:r w:rsidRPr="31FF9146">
        <w:rPr>
          <w:rFonts w:eastAsia="Arial" w:cs="Arial"/>
          <w:sz w:val="22"/>
          <w:szCs w:val="22"/>
          <w:lang w:val="es"/>
        </w:rPr>
        <w:t>Capacitación a los servidores públicos y contratistas en 19 temáticas de seguridad y salud en el trabajo</w:t>
      </w:r>
    </w:p>
    <w:p w14:paraId="38655C8A" w14:textId="7F4EF1BC" w:rsidR="00563C8B" w:rsidRDefault="00835945" w:rsidP="00835945">
      <w:pPr>
        <w:pStyle w:val="Prrafodelista"/>
        <w:numPr>
          <w:ilvl w:val="0"/>
          <w:numId w:val="11"/>
        </w:numPr>
        <w:rPr>
          <w:rFonts w:eastAsia="Arial" w:cs="Arial"/>
          <w:sz w:val="22"/>
          <w:szCs w:val="22"/>
          <w:lang w:val="es"/>
        </w:rPr>
      </w:pPr>
      <w:r w:rsidRPr="31FF9146">
        <w:rPr>
          <w:rFonts w:eastAsia="Arial" w:cs="Arial"/>
          <w:sz w:val="22"/>
          <w:szCs w:val="22"/>
          <w:lang w:val="es"/>
        </w:rPr>
        <w:t>Accidentalidad:</w:t>
      </w:r>
    </w:p>
    <w:p w14:paraId="129CC69D" w14:textId="77777777" w:rsidR="00563C8B" w:rsidRPr="00563C8B" w:rsidRDefault="00563C8B" w:rsidP="00563C8B">
      <w:pPr>
        <w:pStyle w:val="Lista"/>
        <w:rPr>
          <w:lang w:val="es"/>
        </w:rPr>
      </w:pPr>
    </w:p>
    <w:p w14:paraId="2A3D2FEE" w14:textId="07E28F1D" w:rsidR="00835945" w:rsidRPr="00563C8B" w:rsidRDefault="00563C8B" w:rsidP="00563C8B">
      <w:pPr>
        <w:pStyle w:val="Descripcin"/>
        <w:jc w:val="center"/>
        <w:rPr>
          <w:rFonts w:ascii="Arial" w:eastAsia="Times New Roman" w:hAnsi="Arial" w:cs="Times New Roman"/>
          <w:b/>
          <w:i w:val="0"/>
          <w:iCs w:val="0"/>
          <w:color w:val="auto"/>
          <w:sz w:val="16"/>
          <w:szCs w:val="16"/>
          <w:lang w:val="es-ES" w:eastAsia="ar-SA"/>
        </w:rPr>
      </w:pPr>
      <w:bookmarkStart w:id="163" w:name="_Toc88677129"/>
      <w:r w:rsidRPr="00563C8B">
        <w:rPr>
          <w:rFonts w:ascii="Arial" w:eastAsia="Times New Roman" w:hAnsi="Arial" w:cs="Times New Roman"/>
          <w:b/>
          <w:i w:val="0"/>
          <w:iCs w:val="0"/>
          <w:color w:val="auto"/>
          <w:sz w:val="16"/>
          <w:szCs w:val="16"/>
          <w:lang w:val="es-ES" w:eastAsia="ar-SA"/>
        </w:rPr>
        <w:t xml:space="preserve">Tabla </w:t>
      </w:r>
      <w:r w:rsidRPr="00563C8B">
        <w:rPr>
          <w:rFonts w:ascii="Arial" w:eastAsia="Times New Roman" w:hAnsi="Arial" w:cs="Times New Roman"/>
          <w:b/>
          <w:i w:val="0"/>
          <w:iCs w:val="0"/>
          <w:color w:val="auto"/>
          <w:sz w:val="16"/>
          <w:szCs w:val="16"/>
          <w:lang w:val="es-ES" w:eastAsia="ar-SA"/>
        </w:rPr>
        <w:fldChar w:fldCharType="begin"/>
      </w:r>
      <w:r w:rsidRPr="00563C8B">
        <w:rPr>
          <w:rFonts w:ascii="Arial" w:eastAsia="Times New Roman" w:hAnsi="Arial" w:cs="Times New Roman"/>
          <w:b/>
          <w:i w:val="0"/>
          <w:iCs w:val="0"/>
          <w:color w:val="auto"/>
          <w:sz w:val="16"/>
          <w:szCs w:val="16"/>
          <w:lang w:val="es-ES" w:eastAsia="ar-SA"/>
        </w:rPr>
        <w:instrText xml:space="preserve"> SEQ Tabla \* ARABIC </w:instrText>
      </w:r>
      <w:r w:rsidRPr="00563C8B">
        <w:rPr>
          <w:rFonts w:ascii="Arial" w:eastAsia="Times New Roman" w:hAnsi="Arial" w:cs="Times New Roman"/>
          <w:b/>
          <w:i w:val="0"/>
          <w:iCs w:val="0"/>
          <w:color w:val="auto"/>
          <w:sz w:val="16"/>
          <w:szCs w:val="16"/>
          <w:lang w:val="es-ES" w:eastAsia="ar-SA"/>
        </w:rPr>
        <w:fldChar w:fldCharType="separate"/>
      </w:r>
      <w:r w:rsidR="004D4C6A">
        <w:rPr>
          <w:rFonts w:ascii="Arial" w:eastAsia="Times New Roman" w:hAnsi="Arial" w:cs="Times New Roman"/>
          <w:b/>
          <w:i w:val="0"/>
          <w:iCs w:val="0"/>
          <w:noProof/>
          <w:color w:val="auto"/>
          <w:sz w:val="16"/>
          <w:szCs w:val="16"/>
          <w:lang w:val="es-ES" w:eastAsia="ar-SA"/>
        </w:rPr>
        <w:t>57</w:t>
      </w:r>
      <w:r w:rsidRPr="00563C8B">
        <w:rPr>
          <w:rFonts w:ascii="Arial" w:eastAsia="Times New Roman" w:hAnsi="Arial" w:cs="Times New Roman"/>
          <w:b/>
          <w:i w:val="0"/>
          <w:iCs w:val="0"/>
          <w:color w:val="auto"/>
          <w:sz w:val="16"/>
          <w:szCs w:val="16"/>
          <w:lang w:val="es-ES" w:eastAsia="ar-SA"/>
        </w:rPr>
        <w:fldChar w:fldCharType="end"/>
      </w:r>
      <w:r w:rsidRPr="00563C8B">
        <w:rPr>
          <w:rFonts w:ascii="Arial" w:eastAsia="Times New Roman" w:hAnsi="Arial" w:cs="Times New Roman"/>
          <w:b/>
          <w:i w:val="0"/>
          <w:iCs w:val="0"/>
          <w:color w:val="auto"/>
          <w:sz w:val="16"/>
          <w:szCs w:val="16"/>
          <w:lang w:val="es-ES" w:eastAsia="ar-SA"/>
        </w:rPr>
        <w:t>. Distribución tipos de accidentes presentados 2020-2021</w:t>
      </w:r>
      <w:bookmarkEnd w:id="163"/>
    </w:p>
    <w:tbl>
      <w:tblPr>
        <w:tblStyle w:val="Tabladecuadrcula4-nfasis1"/>
        <w:tblW w:w="0" w:type="auto"/>
        <w:jc w:val="center"/>
        <w:tblLayout w:type="fixed"/>
        <w:tblLook w:val="01E0" w:firstRow="1" w:lastRow="1" w:firstColumn="1" w:lastColumn="1" w:noHBand="0" w:noVBand="0"/>
      </w:tblPr>
      <w:tblGrid>
        <w:gridCol w:w="2145"/>
        <w:gridCol w:w="900"/>
        <w:gridCol w:w="735"/>
        <w:gridCol w:w="1035"/>
      </w:tblGrid>
      <w:tr w:rsidR="00835945" w:rsidRPr="00563C8B" w14:paraId="146C6522" w14:textId="77777777" w:rsidTr="00563C8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08648865" w14:textId="77777777" w:rsidR="00835945" w:rsidRPr="00563C8B" w:rsidRDefault="00835945" w:rsidP="00A6302C">
            <w:pPr>
              <w:jc w:val="center"/>
            </w:pPr>
            <w:r w:rsidRPr="00563C8B">
              <w:rPr>
                <w:rFonts w:eastAsia="Arial" w:cs="Arial"/>
                <w:bCs w:val="0"/>
                <w:sz w:val="20"/>
                <w:szCs w:val="20"/>
              </w:rPr>
              <w:t>TIPO AT</w:t>
            </w:r>
          </w:p>
        </w:tc>
        <w:tc>
          <w:tcPr>
            <w:cnfStyle w:val="000010000000" w:firstRow="0" w:lastRow="0" w:firstColumn="0" w:lastColumn="0" w:oddVBand="1" w:evenVBand="0" w:oddHBand="0" w:evenHBand="0" w:firstRowFirstColumn="0" w:firstRowLastColumn="0" w:lastRowFirstColumn="0" w:lastRowLastColumn="0"/>
            <w:tcW w:w="900" w:type="dxa"/>
          </w:tcPr>
          <w:p w14:paraId="13D13062" w14:textId="77777777" w:rsidR="00835945" w:rsidRPr="00563C8B" w:rsidRDefault="00835945" w:rsidP="00A6302C">
            <w:pPr>
              <w:jc w:val="center"/>
              <w:rPr>
                <w:rFonts w:eastAsia="Arial" w:cs="Arial"/>
                <w:bCs w:val="0"/>
                <w:sz w:val="20"/>
                <w:szCs w:val="20"/>
              </w:rPr>
            </w:pPr>
            <w:r w:rsidRPr="00563C8B">
              <w:rPr>
                <w:rFonts w:eastAsia="Arial" w:cs="Arial"/>
                <w:bCs w:val="0"/>
                <w:sz w:val="20"/>
                <w:szCs w:val="20"/>
              </w:rPr>
              <w:t>2020</w:t>
            </w:r>
          </w:p>
        </w:tc>
        <w:tc>
          <w:tcPr>
            <w:tcW w:w="735" w:type="dxa"/>
          </w:tcPr>
          <w:p w14:paraId="5B39E116" w14:textId="77777777" w:rsidR="00835945" w:rsidRPr="00563C8B" w:rsidRDefault="00835945" w:rsidP="00A6302C">
            <w:pPr>
              <w:jc w:val="center"/>
              <w:cnfStyle w:val="100000000000" w:firstRow="1" w:lastRow="0" w:firstColumn="0" w:lastColumn="0" w:oddVBand="0" w:evenVBand="0" w:oddHBand="0" w:evenHBand="0" w:firstRowFirstColumn="0" w:firstRowLastColumn="0" w:lastRowFirstColumn="0" w:lastRowLastColumn="0"/>
            </w:pPr>
            <w:r w:rsidRPr="00563C8B">
              <w:rPr>
                <w:rFonts w:eastAsia="Arial" w:cs="Arial"/>
                <w:bCs w:val="0"/>
                <w:sz w:val="20"/>
                <w:szCs w:val="20"/>
              </w:rPr>
              <w:t>2021</w:t>
            </w:r>
          </w:p>
        </w:tc>
        <w:tc>
          <w:tcPr>
            <w:cnfStyle w:val="000100000000" w:firstRow="0" w:lastRow="0" w:firstColumn="0" w:lastColumn="1" w:oddVBand="0" w:evenVBand="0" w:oddHBand="0" w:evenHBand="0" w:firstRowFirstColumn="0" w:firstRowLastColumn="0" w:lastRowFirstColumn="0" w:lastRowLastColumn="0"/>
            <w:tcW w:w="1035" w:type="dxa"/>
          </w:tcPr>
          <w:p w14:paraId="567CFFC1" w14:textId="77777777" w:rsidR="00835945" w:rsidRPr="00563C8B" w:rsidRDefault="00835945" w:rsidP="00A6302C">
            <w:pPr>
              <w:jc w:val="center"/>
            </w:pPr>
            <w:r w:rsidRPr="00563C8B">
              <w:rPr>
                <w:rFonts w:eastAsia="Arial" w:cs="Arial"/>
                <w:bCs w:val="0"/>
                <w:sz w:val="20"/>
                <w:szCs w:val="20"/>
              </w:rPr>
              <w:t>TOTAL</w:t>
            </w:r>
          </w:p>
        </w:tc>
      </w:tr>
      <w:tr w:rsidR="00835945" w:rsidRPr="00563C8B" w14:paraId="404511AC" w14:textId="77777777" w:rsidTr="00563C8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1D7090E9" w14:textId="77777777" w:rsidR="00835945" w:rsidRPr="00563C8B" w:rsidRDefault="00835945" w:rsidP="00A6302C">
            <w:r w:rsidRPr="00563C8B">
              <w:rPr>
                <w:rFonts w:eastAsia="Arial" w:cs="Arial"/>
                <w:color w:val="000000" w:themeColor="text1"/>
                <w:sz w:val="20"/>
                <w:szCs w:val="20"/>
              </w:rPr>
              <w:t>Propios del Trabajo</w:t>
            </w:r>
          </w:p>
        </w:tc>
        <w:tc>
          <w:tcPr>
            <w:cnfStyle w:val="000010000000" w:firstRow="0" w:lastRow="0" w:firstColumn="0" w:lastColumn="0" w:oddVBand="1" w:evenVBand="0" w:oddHBand="0" w:evenHBand="0" w:firstRowFirstColumn="0" w:firstRowLastColumn="0" w:lastRowFirstColumn="0" w:lastRowLastColumn="0"/>
            <w:tcW w:w="900" w:type="dxa"/>
          </w:tcPr>
          <w:p w14:paraId="02740008" w14:textId="77777777" w:rsidR="00835945" w:rsidRPr="00563C8B" w:rsidRDefault="00835945" w:rsidP="00A6302C">
            <w:pPr>
              <w:jc w:val="center"/>
              <w:rPr>
                <w:b/>
              </w:rPr>
            </w:pPr>
            <w:r w:rsidRPr="00563C8B">
              <w:rPr>
                <w:rFonts w:eastAsia="Arial" w:cs="Arial"/>
                <w:b/>
                <w:color w:val="000000" w:themeColor="text1"/>
                <w:sz w:val="20"/>
                <w:szCs w:val="20"/>
              </w:rPr>
              <w:t>9</w:t>
            </w:r>
          </w:p>
        </w:tc>
        <w:tc>
          <w:tcPr>
            <w:tcW w:w="735" w:type="dxa"/>
          </w:tcPr>
          <w:p w14:paraId="3731EE07" w14:textId="77777777" w:rsidR="00835945" w:rsidRPr="00563C8B" w:rsidRDefault="00835945" w:rsidP="00A6302C">
            <w:pPr>
              <w:jc w:val="center"/>
              <w:cnfStyle w:val="000000100000" w:firstRow="0" w:lastRow="0" w:firstColumn="0" w:lastColumn="0" w:oddVBand="0" w:evenVBand="0" w:oddHBand="1" w:evenHBand="0" w:firstRowFirstColumn="0" w:firstRowLastColumn="0" w:lastRowFirstColumn="0" w:lastRowLastColumn="0"/>
              <w:rPr>
                <w:b/>
              </w:rPr>
            </w:pPr>
            <w:r w:rsidRPr="00563C8B">
              <w:rPr>
                <w:rFonts w:eastAsia="Arial" w:cs="Arial"/>
                <w:b/>
                <w:color w:val="000000" w:themeColor="text1"/>
                <w:sz w:val="20"/>
                <w:szCs w:val="20"/>
              </w:rPr>
              <w:t>2</w:t>
            </w:r>
          </w:p>
        </w:tc>
        <w:tc>
          <w:tcPr>
            <w:cnfStyle w:val="000100000000" w:firstRow="0" w:lastRow="0" w:firstColumn="0" w:lastColumn="1" w:oddVBand="0" w:evenVBand="0" w:oddHBand="0" w:evenHBand="0" w:firstRowFirstColumn="0" w:firstRowLastColumn="0" w:lastRowFirstColumn="0" w:lastRowLastColumn="0"/>
            <w:tcW w:w="1035" w:type="dxa"/>
          </w:tcPr>
          <w:p w14:paraId="11854216" w14:textId="77777777" w:rsidR="00835945" w:rsidRPr="00563C8B" w:rsidRDefault="00835945" w:rsidP="00A6302C">
            <w:pPr>
              <w:jc w:val="center"/>
            </w:pPr>
            <w:r w:rsidRPr="00563C8B">
              <w:rPr>
                <w:rFonts w:eastAsia="Arial" w:cs="Arial"/>
                <w:color w:val="000000" w:themeColor="text1"/>
                <w:sz w:val="20"/>
                <w:szCs w:val="20"/>
              </w:rPr>
              <w:t>11</w:t>
            </w:r>
          </w:p>
        </w:tc>
      </w:tr>
      <w:tr w:rsidR="00835945" w:rsidRPr="00563C8B" w14:paraId="650173E0" w14:textId="77777777" w:rsidTr="00563C8B">
        <w:trPr>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34C3B87F" w14:textId="77777777" w:rsidR="00835945" w:rsidRPr="00563C8B" w:rsidRDefault="00835945" w:rsidP="00A6302C">
            <w:r w:rsidRPr="00563C8B">
              <w:rPr>
                <w:rFonts w:eastAsia="Arial" w:cs="Arial"/>
                <w:color w:val="000000" w:themeColor="text1"/>
                <w:sz w:val="20"/>
                <w:szCs w:val="20"/>
              </w:rPr>
              <w:t>Riesgo Biológico</w:t>
            </w:r>
          </w:p>
        </w:tc>
        <w:tc>
          <w:tcPr>
            <w:cnfStyle w:val="000010000000" w:firstRow="0" w:lastRow="0" w:firstColumn="0" w:lastColumn="0" w:oddVBand="1" w:evenVBand="0" w:oddHBand="0" w:evenHBand="0" w:firstRowFirstColumn="0" w:firstRowLastColumn="0" w:lastRowFirstColumn="0" w:lastRowLastColumn="0"/>
            <w:tcW w:w="900" w:type="dxa"/>
          </w:tcPr>
          <w:p w14:paraId="53899EC7" w14:textId="77777777" w:rsidR="00835945" w:rsidRPr="00563C8B" w:rsidRDefault="00835945" w:rsidP="00A6302C">
            <w:pPr>
              <w:jc w:val="center"/>
              <w:rPr>
                <w:b/>
              </w:rPr>
            </w:pPr>
            <w:r w:rsidRPr="00563C8B">
              <w:rPr>
                <w:rFonts w:eastAsia="Arial" w:cs="Arial"/>
                <w:b/>
                <w:color w:val="000000" w:themeColor="text1"/>
                <w:sz w:val="20"/>
                <w:szCs w:val="20"/>
              </w:rPr>
              <w:t>32</w:t>
            </w:r>
          </w:p>
        </w:tc>
        <w:tc>
          <w:tcPr>
            <w:tcW w:w="735" w:type="dxa"/>
          </w:tcPr>
          <w:p w14:paraId="619D0C70" w14:textId="77777777" w:rsidR="00835945" w:rsidRPr="00563C8B" w:rsidRDefault="00835945" w:rsidP="00A6302C">
            <w:pPr>
              <w:jc w:val="center"/>
              <w:cnfStyle w:val="000000000000" w:firstRow="0" w:lastRow="0" w:firstColumn="0" w:lastColumn="0" w:oddVBand="0" w:evenVBand="0" w:oddHBand="0" w:evenHBand="0" w:firstRowFirstColumn="0" w:firstRowLastColumn="0" w:lastRowFirstColumn="0" w:lastRowLastColumn="0"/>
              <w:rPr>
                <w:b/>
              </w:rPr>
            </w:pPr>
            <w:r w:rsidRPr="00563C8B">
              <w:rPr>
                <w:rFonts w:eastAsia="Arial" w:cs="Arial"/>
                <w:b/>
                <w:color w:val="000000" w:themeColor="text1"/>
                <w:sz w:val="20"/>
                <w:szCs w:val="20"/>
              </w:rPr>
              <w:t>5</w:t>
            </w:r>
          </w:p>
        </w:tc>
        <w:tc>
          <w:tcPr>
            <w:cnfStyle w:val="000100000000" w:firstRow="0" w:lastRow="0" w:firstColumn="0" w:lastColumn="1" w:oddVBand="0" w:evenVBand="0" w:oddHBand="0" w:evenHBand="0" w:firstRowFirstColumn="0" w:firstRowLastColumn="0" w:lastRowFirstColumn="0" w:lastRowLastColumn="0"/>
            <w:tcW w:w="1035" w:type="dxa"/>
          </w:tcPr>
          <w:p w14:paraId="60F2FDDA" w14:textId="77777777" w:rsidR="00835945" w:rsidRPr="00563C8B" w:rsidRDefault="00835945" w:rsidP="00A6302C">
            <w:pPr>
              <w:jc w:val="center"/>
            </w:pPr>
            <w:r w:rsidRPr="00563C8B">
              <w:rPr>
                <w:rFonts w:eastAsia="Arial" w:cs="Arial"/>
                <w:color w:val="000000" w:themeColor="text1"/>
                <w:sz w:val="20"/>
                <w:szCs w:val="20"/>
              </w:rPr>
              <w:t>37</w:t>
            </w:r>
          </w:p>
        </w:tc>
      </w:tr>
      <w:tr w:rsidR="00835945" w:rsidRPr="00563C8B" w14:paraId="0EC3D20B" w14:textId="77777777" w:rsidTr="00563C8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03C756DC" w14:textId="77777777" w:rsidR="00835945" w:rsidRPr="00563C8B" w:rsidRDefault="00835945" w:rsidP="00A6302C">
            <w:r w:rsidRPr="00563C8B">
              <w:rPr>
                <w:rFonts w:eastAsia="Arial" w:cs="Arial"/>
                <w:color w:val="000000" w:themeColor="text1"/>
                <w:sz w:val="20"/>
                <w:szCs w:val="20"/>
              </w:rPr>
              <w:t>Deportivos</w:t>
            </w:r>
          </w:p>
        </w:tc>
        <w:tc>
          <w:tcPr>
            <w:cnfStyle w:val="000010000000" w:firstRow="0" w:lastRow="0" w:firstColumn="0" w:lastColumn="0" w:oddVBand="1" w:evenVBand="0" w:oddHBand="0" w:evenHBand="0" w:firstRowFirstColumn="0" w:firstRowLastColumn="0" w:lastRowFirstColumn="0" w:lastRowLastColumn="0"/>
            <w:tcW w:w="900" w:type="dxa"/>
          </w:tcPr>
          <w:p w14:paraId="115BDA6A" w14:textId="77777777" w:rsidR="00835945" w:rsidRPr="00563C8B" w:rsidRDefault="00835945" w:rsidP="00A6302C">
            <w:pPr>
              <w:jc w:val="center"/>
              <w:rPr>
                <w:b/>
              </w:rPr>
            </w:pPr>
            <w:r w:rsidRPr="00563C8B">
              <w:rPr>
                <w:rFonts w:eastAsia="Arial" w:cs="Arial"/>
                <w:b/>
                <w:color w:val="000000" w:themeColor="text1"/>
                <w:sz w:val="20"/>
                <w:szCs w:val="20"/>
              </w:rPr>
              <w:t>0</w:t>
            </w:r>
          </w:p>
        </w:tc>
        <w:tc>
          <w:tcPr>
            <w:tcW w:w="735" w:type="dxa"/>
          </w:tcPr>
          <w:p w14:paraId="0BD6D998" w14:textId="77777777" w:rsidR="00835945" w:rsidRPr="00563C8B" w:rsidRDefault="00835945" w:rsidP="00A6302C">
            <w:pPr>
              <w:jc w:val="center"/>
              <w:cnfStyle w:val="000000100000" w:firstRow="0" w:lastRow="0" w:firstColumn="0" w:lastColumn="0" w:oddVBand="0" w:evenVBand="0" w:oddHBand="1" w:evenHBand="0" w:firstRowFirstColumn="0" w:firstRowLastColumn="0" w:lastRowFirstColumn="0" w:lastRowLastColumn="0"/>
              <w:rPr>
                <w:b/>
              </w:rPr>
            </w:pPr>
            <w:r w:rsidRPr="00563C8B">
              <w:rPr>
                <w:rFonts w:eastAsia="Arial" w:cs="Arial"/>
                <w:b/>
                <w:color w:val="000000" w:themeColor="text1"/>
                <w:sz w:val="20"/>
                <w:szCs w:val="20"/>
              </w:rPr>
              <w:t>0</w:t>
            </w:r>
          </w:p>
        </w:tc>
        <w:tc>
          <w:tcPr>
            <w:cnfStyle w:val="000100000000" w:firstRow="0" w:lastRow="0" w:firstColumn="0" w:lastColumn="1" w:oddVBand="0" w:evenVBand="0" w:oddHBand="0" w:evenHBand="0" w:firstRowFirstColumn="0" w:firstRowLastColumn="0" w:lastRowFirstColumn="0" w:lastRowLastColumn="0"/>
            <w:tcW w:w="1035" w:type="dxa"/>
          </w:tcPr>
          <w:p w14:paraId="4C6661D4" w14:textId="77777777" w:rsidR="00835945" w:rsidRPr="00563C8B" w:rsidRDefault="00835945" w:rsidP="00A6302C">
            <w:pPr>
              <w:jc w:val="center"/>
            </w:pPr>
            <w:r w:rsidRPr="00563C8B">
              <w:rPr>
                <w:rFonts w:eastAsia="Arial" w:cs="Arial"/>
                <w:color w:val="000000" w:themeColor="text1"/>
                <w:sz w:val="20"/>
                <w:szCs w:val="20"/>
              </w:rPr>
              <w:t>0</w:t>
            </w:r>
          </w:p>
        </w:tc>
      </w:tr>
      <w:tr w:rsidR="00835945" w:rsidRPr="00563C8B" w14:paraId="5BA91601" w14:textId="77777777" w:rsidTr="00563C8B">
        <w:trPr>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095DA32D" w14:textId="77777777" w:rsidR="00835945" w:rsidRPr="00563C8B" w:rsidRDefault="00835945" w:rsidP="00A6302C">
            <w:r w:rsidRPr="00563C8B">
              <w:rPr>
                <w:rFonts w:eastAsia="Arial" w:cs="Arial"/>
                <w:color w:val="000000" w:themeColor="text1"/>
                <w:sz w:val="20"/>
                <w:szCs w:val="20"/>
              </w:rPr>
              <w:t>Recreativo o cultural</w:t>
            </w:r>
          </w:p>
        </w:tc>
        <w:tc>
          <w:tcPr>
            <w:cnfStyle w:val="000010000000" w:firstRow="0" w:lastRow="0" w:firstColumn="0" w:lastColumn="0" w:oddVBand="1" w:evenVBand="0" w:oddHBand="0" w:evenHBand="0" w:firstRowFirstColumn="0" w:firstRowLastColumn="0" w:lastRowFirstColumn="0" w:lastRowLastColumn="0"/>
            <w:tcW w:w="900" w:type="dxa"/>
          </w:tcPr>
          <w:p w14:paraId="6849AB25" w14:textId="77777777" w:rsidR="00835945" w:rsidRPr="00563C8B" w:rsidRDefault="00835945" w:rsidP="00A6302C">
            <w:pPr>
              <w:jc w:val="center"/>
              <w:rPr>
                <w:b/>
              </w:rPr>
            </w:pPr>
            <w:r w:rsidRPr="00563C8B">
              <w:rPr>
                <w:rFonts w:eastAsia="Arial" w:cs="Arial"/>
                <w:b/>
                <w:color w:val="000000" w:themeColor="text1"/>
                <w:sz w:val="20"/>
                <w:szCs w:val="20"/>
              </w:rPr>
              <w:t>0</w:t>
            </w:r>
          </w:p>
        </w:tc>
        <w:tc>
          <w:tcPr>
            <w:tcW w:w="735" w:type="dxa"/>
          </w:tcPr>
          <w:p w14:paraId="6D379450" w14:textId="77777777" w:rsidR="00835945" w:rsidRPr="00563C8B" w:rsidRDefault="00835945" w:rsidP="00A6302C">
            <w:pPr>
              <w:jc w:val="center"/>
              <w:cnfStyle w:val="000000000000" w:firstRow="0" w:lastRow="0" w:firstColumn="0" w:lastColumn="0" w:oddVBand="0" w:evenVBand="0" w:oddHBand="0" w:evenHBand="0" w:firstRowFirstColumn="0" w:firstRowLastColumn="0" w:lastRowFirstColumn="0" w:lastRowLastColumn="0"/>
              <w:rPr>
                <w:b/>
              </w:rPr>
            </w:pPr>
            <w:r w:rsidRPr="00563C8B">
              <w:rPr>
                <w:rFonts w:eastAsia="Arial" w:cs="Arial"/>
                <w:b/>
                <w:color w:val="000000" w:themeColor="text1"/>
                <w:sz w:val="20"/>
                <w:szCs w:val="20"/>
              </w:rPr>
              <w:t>0</w:t>
            </w:r>
          </w:p>
        </w:tc>
        <w:tc>
          <w:tcPr>
            <w:cnfStyle w:val="000100000000" w:firstRow="0" w:lastRow="0" w:firstColumn="0" w:lastColumn="1" w:oddVBand="0" w:evenVBand="0" w:oddHBand="0" w:evenHBand="0" w:firstRowFirstColumn="0" w:firstRowLastColumn="0" w:lastRowFirstColumn="0" w:lastRowLastColumn="0"/>
            <w:tcW w:w="1035" w:type="dxa"/>
          </w:tcPr>
          <w:p w14:paraId="0841B428" w14:textId="77777777" w:rsidR="00835945" w:rsidRPr="00563C8B" w:rsidRDefault="00835945" w:rsidP="00A6302C">
            <w:pPr>
              <w:jc w:val="center"/>
              <w:rPr>
                <w:rFonts w:eastAsia="Arial" w:cs="Arial"/>
                <w:color w:val="000000" w:themeColor="text1"/>
                <w:sz w:val="20"/>
                <w:szCs w:val="20"/>
              </w:rPr>
            </w:pPr>
            <w:r w:rsidRPr="00563C8B">
              <w:rPr>
                <w:rFonts w:eastAsia="Arial" w:cs="Arial"/>
                <w:color w:val="000000" w:themeColor="text1"/>
                <w:sz w:val="20"/>
                <w:szCs w:val="20"/>
              </w:rPr>
              <w:t>0</w:t>
            </w:r>
          </w:p>
        </w:tc>
      </w:tr>
      <w:tr w:rsidR="00835945" w:rsidRPr="00563C8B" w14:paraId="5E24091E" w14:textId="77777777" w:rsidTr="00563C8B">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00BE1C67" w14:textId="77777777" w:rsidR="00835945" w:rsidRPr="00563C8B" w:rsidRDefault="00835945" w:rsidP="00A6302C">
            <w:r w:rsidRPr="00563C8B">
              <w:rPr>
                <w:rFonts w:eastAsia="Arial" w:cs="Arial"/>
                <w:color w:val="000000" w:themeColor="text1"/>
                <w:sz w:val="20"/>
                <w:szCs w:val="20"/>
              </w:rPr>
              <w:t>SOAT</w:t>
            </w:r>
          </w:p>
        </w:tc>
        <w:tc>
          <w:tcPr>
            <w:cnfStyle w:val="000010000000" w:firstRow="0" w:lastRow="0" w:firstColumn="0" w:lastColumn="0" w:oddVBand="1" w:evenVBand="0" w:oddHBand="0" w:evenHBand="0" w:firstRowFirstColumn="0" w:firstRowLastColumn="0" w:lastRowFirstColumn="0" w:lastRowLastColumn="0"/>
            <w:tcW w:w="900" w:type="dxa"/>
          </w:tcPr>
          <w:p w14:paraId="18544E72" w14:textId="77777777" w:rsidR="00835945" w:rsidRPr="00563C8B" w:rsidRDefault="00835945" w:rsidP="00A6302C">
            <w:pPr>
              <w:jc w:val="center"/>
              <w:rPr>
                <w:b/>
              </w:rPr>
            </w:pPr>
            <w:r w:rsidRPr="00563C8B">
              <w:rPr>
                <w:rFonts w:eastAsia="Arial" w:cs="Arial"/>
                <w:b/>
                <w:color w:val="000000" w:themeColor="text1"/>
                <w:sz w:val="20"/>
                <w:szCs w:val="20"/>
              </w:rPr>
              <w:t>0</w:t>
            </w:r>
          </w:p>
        </w:tc>
        <w:tc>
          <w:tcPr>
            <w:tcW w:w="735" w:type="dxa"/>
          </w:tcPr>
          <w:p w14:paraId="755239A3" w14:textId="77777777" w:rsidR="00835945" w:rsidRPr="00563C8B" w:rsidRDefault="00835945" w:rsidP="00A6302C">
            <w:pPr>
              <w:jc w:val="center"/>
              <w:cnfStyle w:val="000000100000" w:firstRow="0" w:lastRow="0" w:firstColumn="0" w:lastColumn="0" w:oddVBand="0" w:evenVBand="0" w:oddHBand="1" w:evenHBand="0" w:firstRowFirstColumn="0" w:firstRowLastColumn="0" w:lastRowFirstColumn="0" w:lastRowLastColumn="0"/>
              <w:rPr>
                <w:b/>
              </w:rPr>
            </w:pPr>
            <w:r w:rsidRPr="00563C8B">
              <w:rPr>
                <w:rFonts w:eastAsia="Arial" w:cs="Arial"/>
                <w:b/>
                <w:color w:val="000000" w:themeColor="text1"/>
                <w:sz w:val="20"/>
                <w:szCs w:val="20"/>
              </w:rPr>
              <w:t>0</w:t>
            </w:r>
          </w:p>
        </w:tc>
        <w:tc>
          <w:tcPr>
            <w:cnfStyle w:val="000100000000" w:firstRow="0" w:lastRow="0" w:firstColumn="0" w:lastColumn="1" w:oddVBand="0" w:evenVBand="0" w:oddHBand="0" w:evenHBand="0" w:firstRowFirstColumn="0" w:firstRowLastColumn="0" w:lastRowFirstColumn="0" w:lastRowLastColumn="0"/>
            <w:tcW w:w="1035" w:type="dxa"/>
          </w:tcPr>
          <w:p w14:paraId="6E7A1FD4" w14:textId="77777777" w:rsidR="00835945" w:rsidRPr="00563C8B" w:rsidRDefault="00835945" w:rsidP="00A6302C">
            <w:pPr>
              <w:jc w:val="center"/>
            </w:pPr>
            <w:r w:rsidRPr="00563C8B">
              <w:rPr>
                <w:rFonts w:eastAsia="Arial" w:cs="Arial"/>
                <w:color w:val="000000" w:themeColor="text1"/>
                <w:sz w:val="20"/>
                <w:szCs w:val="20"/>
              </w:rPr>
              <w:t>0</w:t>
            </w:r>
          </w:p>
        </w:tc>
      </w:tr>
      <w:tr w:rsidR="00835945" w:rsidRPr="00563C8B" w14:paraId="343CAB19" w14:textId="77777777" w:rsidTr="00563C8B">
        <w:trPr>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277E9C8A" w14:textId="77777777" w:rsidR="00835945" w:rsidRPr="00563C8B" w:rsidRDefault="00835945" w:rsidP="00A6302C">
            <w:r w:rsidRPr="00563C8B">
              <w:rPr>
                <w:rFonts w:eastAsia="Arial" w:cs="Arial"/>
                <w:color w:val="000000" w:themeColor="text1"/>
                <w:sz w:val="20"/>
                <w:szCs w:val="20"/>
              </w:rPr>
              <w:lastRenderedPageBreak/>
              <w:t>No aplica</w:t>
            </w:r>
          </w:p>
        </w:tc>
        <w:tc>
          <w:tcPr>
            <w:cnfStyle w:val="000010000000" w:firstRow="0" w:lastRow="0" w:firstColumn="0" w:lastColumn="0" w:oddVBand="1" w:evenVBand="0" w:oddHBand="0" w:evenHBand="0" w:firstRowFirstColumn="0" w:firstRowLastColumn="0" w:lastRowFirstColumn="0" w:lastRowLastColumn="0"/>
            <w:tcW w:w="900" w:type="dxa"/>
          </w:tcPr>
          <w:p w14:paraId="3F482F67" w14:textId="77777777" w:rsidR="00835945" w:rsidRPr="00563C8B" w:rsidRDefault="00835945" w:rsidP="00A6302C">
            <w:pPr>
              <w:jc w:val="center"/>
              <w:rPr>
                <w:b/>
              </w:rPr>
            </w:pPr>
            <w:r w:rsidRPr="00563C8B">
              <w:rPr>
                <w:rFonts w:eastAsia="Arial" w:cs="Arial"/>
                <w:b/>
                <w:color w:val="000000" w:themeColor="text1"/>
                <w:sz w:val="20"/>
                <w:szCs w:val="20"/>
              </w:rPr>
              <w:t>1</w:t>
            </w:r>
          </w:p>
        </w:tc>
        <w:tc>
          <w:tcPr>
            <w:tcW w:w="735" w:type="dxa"/>
          </w:tcPr>
          <w:p w14:paraId="4F4F5104" w14:textId="77777777" w:rsidR="00835945" w:rsidRPr="00563C8B" w:rsidRDefault="00835945" w:rsidP="00A6302C">
            <w:pPr>
              <w:jc w:val="center"/>
              <w:cnfStyle w:val="000000000000" w:firstRow="0" w:lastRow="0" w:firstColumn="0" w:lastColumn="0" w:oddVBand="0" w:evenVBand="0" w:oddHBand="0" w:evenHBand="0" w:firstRowFirstColumn="0" w:firstRowLastColumn="0" w:lastRowFirstColumn="0" w:lastRowLastColumn="0"/>
              <w:rPr>
                <w:b/>
              </w:rPr>
            </w:pPr>
            <w:r w:rsidRPr="00563C8B">
              <w:rPr>
                <w:rFonts w:eastAsia="Arial" w:cs="Arial"/>
                <w:b/>
                <w:color w:val="000000" w:themeColor="text1"/>
                <w:sz w:val="20"/>
                <w:szCs w:val="20"/>
              </w:rPr>
              <w:t>30</w:t>
            </w:r>
          </w:p>
        </w:tc>
        <w:tc>
          <w:tcPr>
            <w:cnfStyle w:val="000100000000" w:firstRow="0" w:lastRow="0" w:firstColumn="0" w:lastColumn="1" w:oddVBand="0" w:evenVBand="0" w:oddHBand="0" w:evenHBand="0" w:firstRowFirstColumn="0" w:firstRowLastColumn="0" w:lastRowFirstColumn="0" w:lastRowLastColumn="0"/>
            <w:tcW w:w="1035" w:type="dxa"/>
          </w:tcPr>
          <w:p w14:paraId="30E3F50C" w14:textId="77777777" w:rsidR="00835945" w:rsidRPr="00563C8B" w:rsidRDefault="00835945" w:rsidP="00A6302C">
            <w:pPr>
              <w:jc w:val="center"/>
            </w:pPr>
            <w:r w:rsidRPr="00563C8B">
              <w:rPr>
                <w:rFonts w:eastAsia="Arial" w:cs="Arial"/>
                <w:color w:val="000000" w:themeColor="text1"/>
                <w:sz w:val="20"/>
                <w:szCs w:val="20"/>
              </w:rPr>
              <w:t>31</w:t>
            </w:r>
          </w:p>
        </w:tc>
      </w:tr>
      <w:tr w:rsidR="00835945" w:rsidRPr="00563C8B" w14:paraId="10BBCA5C" w14:textId="77777777" w:rsidTr="00563C8B">
        <w:trPr>
          <w:cnfStyle w:val="010000000000" w:firstRow="0" w:lastRow="1"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45" w:type="dxa"/>
          </w:tcPr>
          <w:p w14:paraId="167C9A7A" w14:textId="77777777" w:rsidR="00835945" w:rsidRPr="00563C8B" w:rsidRDefault="00835945" w:rsidP="00A6302C">
            <w:r w:rsidRPr="00563C8B">
              <w:rPr>
                <w:rFonts w:eastAsia="Arial" w:cs="Arial"/>
                <w:bCs w:val="0"/>
                <w:color w:val="000000" w:themeColor="text1"/>
                <w:sz w:val="20"/>
                <w:szCs w:val="20"/>
              </w:rPr>
              <w:t>TOTAL</w:t>
            </w:r>
          </w:p>
        </w:tc>
        <w:tc>
          <w:tcPr>
            <w:cnfStyle w:val="000010000000" w:firstRow="0" w:lastRow="0" w:firstColumn="0" w:lastColumn="0" w:oddVBand="1" w:evenVBand="0" w:oddHBand="0" w:evenHBand="0" w:firstRowFirstColumn="0" w:firstRowLastColumn="0" w:lastRowFirstColumn="0" w:lastRowLastColumn="0"/>
            <w:tcW w:w="900" w:type="dxa"/>
          </w:tcPr>
          <w:p w14:paraId="453EFD3B" w14:textId="77777777" w:rsidR="00835945" w:rsidRPr="00563C8B" w:rsidRDefault="00835945" w:rsidP="00A6302C">
            <w:pPr>
              <w:jc w:val="center"/>
            </w:pPr>
            <w:r w:rsidRPr="00563C8B">
              <w:rPr>
                <w:rFonts w:eastAsia="Arial" w:cs="Arial"/>
                <w:bCs w:val="0"/>
                <w:color w:val="000000" w:themeColor="text1"/>
                <w:sz w:val="20"/>
                <w:szCs w:val="20"/>
              </w:rPr>
              <w:t>42</w:t>
            </w:r>
          </w:p>
        </w:tc>
        <w:tc>
          <w:tcPr>
            <w:tcW w:w="735" w:type="dxa"/>
          </w:tcPr>
          <w:p w14:paraId="1C85A224" w14:textId="77777777" w:rsidR="00835945" w:rsidRPr="00563C8B" w:rsidRDefault="00835945" w:rsidP="00A6302C">
            <w:pPr>
              <w:jc w:val="center"/>
              <w:cnfStyle w:val="010000000000" w:firstRow="0" w:lastRow="1" w:firstColumn="0" w:lastColumn="0" w:oddVBand="0" w:evenVBand="0" w:oddHBand="0" w:evenHBand="0" w:firstRowFirstColumn="0" w:firstRowLastColumn="0" w:lastRowFirstColumn="0" w:lastRowLastColumn="0"/>
            </w:pPr>
            <w:r w:rsidRPr="00563C8B">
              <w:rPr>
                <w:rFonts w:eastAsia="Arial" w:cs="Arial"/>
                <w:bCs w:val="0"/>
                <w:color w:val="000000" w:themeColor="text1"/>
                <w:sz w:val="20"/>
                <w:szCs w:val="20"/>
              </w:rPr>
              <w:t>37</w:t>
            </w:r>
          </w:p>
        </w:tc>
        <w:tc>
          <w:tcPr>
            <w:cnfStyle w:val="000100000000" w:firstRow="0" w:lastRow="0" w:firstColumn="0" w:lastColumn="1" w:oddVBand="0" w:evenVBand="0" w:oddHBand="0" w:evenHBand="0" w:firstRowFirstColumn="0" w:firstRowLastColumn="0" w:lastRowFirstColumn="0" w:lastRowLastColumn="0"/>
            <w:tcW w:w="1035" w:type="dxa"/>
          </w:tcPr>
          <w:p w14:paraId="4DAA1386" w14:textId="77777777" w:rsidR="00835945" w:rsidRPr="00563C8B" w:rsidRDefault="00835945" w:rsidP="00A6302C">
            <w:pPr>
              <w:jc w:val="center"/>
            </w:pPr>
            <w:r w:rsidRPr="00563C8B">
              <w:rPr>
                <w:rFonts w:eastAsia="Arial" w:cs="Arial"/>
                <w:bCs w:val="0"/>
                <w:color w:val="000000" w:themeColor="text1"/>
                <w:sz w:val="20"/>
                <w:szCs w:val="20"/>
              </w:rPr>
              <w:t>79</w:t>
            </w:r>
          </w:p>
        </w:tc>
      </w:tr>
    </w:tbl>
    <w:p w14:paraId="0F4ED443" w14:textId="77777777" w:rsidR="00835945" w:rsidRPr="00CA7B70" w:rsidRDefault="00835945" w:rsidP="00835945">
      <w:pPr>
        <w:spacing w:line="259" w:lineRule="auto"/>
        <w:jc w:val="center"/>
        <w:rPr>
          <w:b/>
          <w:sz w:val="16"/>
          <w:szCs w:val="16"/>
        </w:rPr>
      </w:pPr>
      <w:r w:rsidRPr="00CA7B70">
        <w:rPr>
          <w:b/>
          <w:sz w:val="16"/>
          <w:szCs w:val="16"/>
        </w:rPr>
        <w:t>Fuente: Subdirección Talento Humano- IGAC</w:t>
      </w:r>
    </w:p>
    <w:p w14:paraId="5E31C197" w14:textId="77777777" w:rsidR="00835945" w:rsidRDefault="00835945" w:rsidP="00835945">
      <w:pPr>
        <w:jc w:val="both"/>
      </w:pPr>
    </w:p>
    <w:p w14:paraId="35DCA0FD" w14:textId="77777777" w:rsidR="00835945" w:rsidRDefault="00835945" w:rsidP="00835945">
      <w:pPr>
        <w:jc w:val="both"/>
      </w:pPr>
    </w:p>
    <w:p w14:paraId="6C18C94C" w14:textId="77777777" w:rsidR="00835945" w:rsidRDefault="00835945" w:rsidP="00DB7E6D">
      <w:pPr>
        <w:pStyle w:val="Prrafodelista"/>
        <w:numPr>
          <w:ilvl w:val="0"/>
          <w:numId w:val="10"/>
        </w:numPr>
        <w:rPr>
          <w:rFonts w:eastAsia="Arial" w:cs="Arial"/>
          <w:sz w:val="22"/>
          <w:szCs w:val="22"/>
        </w:rPr>
      </w:pPr>
      <w:r w:rsidRPr="31FF9146">
        <w:rPr>
          <w:rFonts w:eastAsia="Arial" w:cs="Arial"/>
          <w:sz w:val="22"/>
          <w:szCs w:val="22"/>
          <w:lang w:val="es"/>
        </w:rPr>
        <w:t>Enfermedad Laboral:</w:t>
      </w:r>
    </w:p>
    <w:p w14:paraId="0DEF5C14" w14:textId="77777777" w:rsidR="00835945" w:rsidRPr="00B90B85" w:rsidRDefault="00835945" w:rsidP="00835945">
      <w:pPr>
        <w:jc w:val="both"/>
        <w:rPr>
          <w:color w:val="FF0000"/>
        </w:rPr>
      </w:pPr>
    </w:p>
    <w:p w14:paraId="32AC1B4C" w14:textId="24C18501" w:rsidR="00835945" w:rsidRPr="005D5B0E" w:rsidRDefault="005D5B0E" w:rsidP="005D5B0E">
      <w:pPr>
        <w:pStyle w:val="Descripcin"/>
        <w:jc w:val="center"/>
        <w:rPr>
          <w:rFonts w:ascii="Arial" w:eastAsia="Times New Roman" w:hAnsi="Arial" w:cs="Times New Roman"/>
          <w:b/>
          <w:i w:val="0"/>
          <w:iCs w:val="0"/>
          <w:color w:val="auto"/>
          <w:sz w:val="16"/>
          <w:szCs w:val="16"/>
          <w:lang w:val="es-ES" w:eastAsia="ar-SA"/>
        </w:rPr>
      </w:pPr>
      <w:bookmarkStart w:id="164" w:name="_Toc88677130"/>
      <w:r w:rsidRPr="005D5B0E">
        <w:rPr>
          <w:rFonts w:ascii="Arial" w:eastAsia="Times New Roman" w:hAnsi="Arial" w:cs="Times New Roman"/>
          <w:b/>
          <w:i w:val="0"/>
          <w:iCs w:val="0"/>
          <w:color w:val="auto"/>
          <w:sz w:val="16"/>
          <w:szCs w:val="16"/>
          <w:lang w:val="es-ES" w:eastAsia="ar-SA"/>
        </w:rPr>
        <w:t xml:space="preserve">Tabla </w:t>
      </w:r>
      <w:r w:rsidRPr="005D5B0E">
        <w:rPr>
          <w:rFonts w:ascii="Arial" w:eastAsia="Times New Roman" w:hAnsi="Arial" w:cs="Times New Roman"/>
          <w:b/>
          <w:i w:val="0"/>
          <w:iCs w:val="0"/>
          <w:color w:val="auto"/>
          <w:sz w:val="16"/>
          <w:szCs w:val="16"/>
          <w:lang w:val="es-ES" w:eastAsia="ar-SA"/>
        </w:rPr>
        <w:fldChar w:fldCharType="begin"/>
      </w:r>
      <w:r w:rsidRPr="005D5B0E">
        <w:rPr>
          <w:rFonts w:ascii="Arial" w:eastAsia="Times New Roman" w:hAnsi="Arial" w:cs="Times New Roman"/>
          <w:b/>
          <w:i w:val="0"/>
          <w:iCs w:val="0"/>
          <w:color w:val="auto"/>
          <w:sz w:val="16"/>
          <w:szCs w:val="16"/>
          <w:lang w:val="es-ES" w:eastAsia="ar-SA"/>
        </w:rPr>
        <w:instrText xml:space="preserve"> SEQ Tabla \* ARABIC </w:instrText>
      </w:r>
      <w:r w:rsidRPr="005D5B0E">
        <w:rPr>
          <w:rFonts w:ascii="Arial" w:eastAsia="Times New Roman" w:hAnsi="Arial" w:cs="Times New Roman"/>
          <w:b/>
          <w:i w:val="0"/>
          <w:iCs w:val="0"/>
          <w:color w:val="auto"/>
          <w:sz w:val="16"/>
          <w:szCs w:val="16"/>
          <w:lang w:val="es-ES" w:eastAsia="ar-SA"/>
        </w:rPr>
        <w:fldChar w:fldCharType="separate"/>
      </w:r>
      <w:r w:rsidR="004D4C6A">
        <w:rPr>
          <w:rFonts w:ascii="Arial" w:eastAsia="Times New Roman" w:hAnsi="Arial" w:cs="Times New Roman"/>
          <w:b/>
          <w:i w:val="0"/>
          <w:iCs w:val="0"/>
          <w:noProof/>
          <w:color w:val="auto"/>
          <w:sz w:val="16"/>
          <w:szCs w:val="16"/>
          <w:lang w:val="es-ES" w:eastAsia="ar-SA"/>
        </w:rPr>
        <w:t>58</w:t>
      </w:r>
      <w:r w:rsidRPr="005D5B0E">
        <w:rPr>
          <w:rFonts w:ascii="Arial" w:eastAsia="Times New Roman" w:hAnsi="Arial" w:cs="Times New Roman"/>
          <w:b/>
          <w:i w:val="0"/>
          <w:iCs w:val="0"/>
          <w:color w:val="auto"/>
          <w:sz w:val="16"/>
          <w:szCs w:val="16"/>
          <w:lang w:val="es-ES" w:eastAsia="ar-SA"/>
        </w:rPr>
        <w:fldChar w:fldCharType="end"/>
      </w:r>
      <w:r w:rsidRPr="005D5B0E">
        <w:rPr>
          <w:rFonts w:ascii="Arial" w:eastAsia="Times New Roman" w:hAnsi="Arial" w:cs="Times New Roman"/>
          <w:b/>
          <w:i w:val="0"/>
          <w:iCs w:val="0"/>
          <w:color w:val="auto"/>
          <w:sz w:val="16"/>
          <w:szCs w:val="16"/>
          <w:lang w:val="es-ES" w:eastAsia="ar-SA"/>
        </w:rPr>
        <w:t>. Distribución origen enfermedades presentadas 2020-2021</w:t>
      </w:r>
      <w:bookmarkEnd w:id="164"/>
    </w:p>
    <w:tbl>
      <w:tblPr>
        <w:tblStyle w:val="Tabladecuadrcula4-nfasis1"/>
        <w:tblW w:w="0" w:type="auto"/>
        <w:jc w:val="center"/>
        <w:tblLayout w:type="fixed"/>
        <w:tblLook w:val="01E0" w:firstRow="1" w:lastRow="1" w:firstColumn="1" w:lastColumn="1" w:noHBand="0" w:noVBand="0"/>
      </w:tblPr>
      <w:tblGrid>
        <w:gridCol w:w="1980"/>
        <w:gridCol w:w="855"/>
        <w:gridCol w:w="990"/>
        <w:gridCol w:w="990"/>
        <w:gridCol w:w="1140"/>
      </w:tblGrid>
      <w:tr w:rsidR="00835945" w14:paraId="3A9AC191" w14:textId="77777777" w:rsidTr="00CA7B70">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980" w:type="dxa"/>
          </w:tcPr>
          <w:p w14:paraId="0F9FF6A6" w14:textId="77777777" w:rsidR="00835945" w:rsidRDefault="00835945" w:rsidP="00A6302C">
            <w:pPr>
              <w:jc w:val="center"/>
            </w:pPr>
            <w:r w:rsidRPr="31FF9146">
              <w:rPr>
                <w:rFonts w:eastAsia="Arial" w:cs="Arial"/>
                <w:sz w:val="20"/>
                <w:szCs w:val="20"/>
              </w:rPr>
              <w:t>ORIGEN</w:t>
            </w:r>
          </w:p>
        </w:tc>
        <w:tc>
          <w:tcPr>
            <w:cnfStyle w:val="000010000000" w:firstRow="0" w:lastRow="0" w:firstColumn="0" w:lastColumn="0" w:oddVBand="1" w:evenVBand="0" w:oddHBand="0" w:evenHBand="0" w:firstRowFirstColumn="0" w:firstRowLastColumn="0" w:lastRowFirstColumn="0" w:lastRowLastColumn="0"/>
            <w:tcW w:w="855" w:type="dxa"/>
          </w:tcPr>
          <w:p w14:paraId="06C5EF16" w14:textId="77777777" w:rsidR="00835945" w:rsidRDefault="00835945" w:rsidP="00A6302C">
            <w:pPr>
              <w:jc w:val="center"/>
            </w:pPr>
            <w:r w:rsidRPr="31FF9146">
              <w:rPr>
                <w:rFonts w:eastAsia="Arial" w:cs="Arial"/>
                <w:sz w:val="20"/>
                <w:szCs w:val="20"/>
              </w:rPr>
              <w:t>2020</w:t>
            </w:r>
          </w:p>
        </w:tc>
        <w:tc>
          <w:tcPr>
            <w:tcW w:w="990" w:type="dxa"/>
          </w:tcPr>
          <w:p w14:paraId="7271DBFB"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0"/>
                <w:szCs w:val="20"/>
              </w:rPr>
              <w:t>2021</w:t>
            </w:r>
          </w:p>
        </w:tc>
        <w:tc>
          <w:tcPr>
            <w:cnfStyle w:val="000010000000" w:firstRow="0" w:lastRow="0" w:firstColumn="0" w:lastColumn="0" w:oddVBand="1" w:evenVBand="0" w:oddHBand="0" w:evenHBand="0" w:firstRowFirstColumn="0" w:firstRowLastColumn="0" w:lastRowFirstColumn="0" w:lastRowLastColumn="0"/>
            <w:tcW w:w="990" w:type="dxa"/>
          </w:tcPr>
          <w:p w14:paraId="151126D8" w14:textId="77777777" w:rsidR="00835945" w:rsidRDefault="00835945" w:rsidP="00A6302C">
            <w:pPr>
              <w:jc w:val="center"/>
            </w:pPr>
            <w:r w:rsidRPr="31FF9146">
              <w:rPr>
                <w:rFonts w:eastAsia="Arial" w:cs="Arial"/>
                <w:sz w:val="20"/>
                <w:szCs w:val="20"/>
              </w:rPr>
              <w:t>TOTAL</w:t>
            </w:r>
          </w:p>
        </w:tc>
        <w:tc>
          <w:tcPr>
            <w:cnfStyle w:val="000100000000" w:firstRow="0" w:lastRow="0" w:firstColumn="0" w:lastColumn="1" w:oddVBand="0" w:evenVBand="0" w:oddHBand="0" w:evenHBand="0" w:firstRowFirstColumn="0" w:firstRowLastColumn="0" w:lastRowFirstColumn="0" w:lastRowLastColumn="0"/>
            <w:tcW w:w="1140" w:type="dxa"/>
          </w:tcPr>
          <w:p w14:paraId="4E0BED48" w14:textId="77777777" w:rsidR="00835945" w:rsidRDefault="00835945" w:rsidP="00A6302C">
            <w:pPr>
              <w:jc w:val="center"/>
            </w:pPr>
            <w:r w:rsidRPr="31FF9146">
              <w:rPr>
                <w:rFonts w:eastAsia="Arial" w:cs="Arial"/>
                <w:sz w:val="20"/>
                <w:szCs w:val="20"/>
              </w:rPr>
              <w:t>%</w:t>
            </w:r>
          </w:p>
        </w:tc>
      </w:tr>
      <w:tr w:rsidR="00835945" w14:paraId="56EB7692" w14:textId="77777777" w:rsidTr="00CA7B70">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1980" w:type="dxa"/>
          </w:tcPr>
          <w:p w14:paraId="5E00AC6B" w14:textId="77777777" w:rsidR="00835945" w:rsidRDefault="00835945" w:rsidP="00A6302C">
            <w:pPr>
              <w:jc w:val="center"/>
            </w:pPr>
            <w:r w:rsidRPr="31FF9146">
              <w:rPr>
                <w:rFonts w:eastAsia="Arial" w:cs="Arial"/>
                <w:color w:val="000000" w:themeColor="text1"/>
                <w:sz w:val="20"/>
                <w:szCs w:val="20"/>
              </w:rPr>
              <w:t>Laboral</w:t>
            </w:r>
          </w:p>
        </w:tc>
        <w:tc>
          <w:tcPr>
            <w:cnfStyle w:val="000010000000" w:firstRow="0" w:lastRow="0" w:firstColumn="0" w:lastColumn="0" w:oddVBand="1" w:evenVBand="0" w:oddHBand="0" w:evenHBand="0" w:firstRowFirstColumn="0" w:firstRowLastColumn="0" w:lastRowFirstColumn="0" w:lastRowLastColumn="0"/>
            <w:tcW w:w="855" w:type="dxa"/>
          </w:tcPr>
          <w:p w14:paraId="5AE36F6B" w14:textId="77777777" w:rsidR="00835945" w:rsidRDefault="00835945" w:rsidP="00A6302C">
            <w:pPr>
              <w:jc w:val="center"/>
            </w:pPr>
            <w:r w:rsidRPr="31FF9146">
              <w:rPr>
                <w:rFonts w:eastAsia="Arial" w:cs="Arial"/>
                <w:color w:val="000000" w:themeColor="text1"/>
                <w:sz w:val="20"/>
                <w:szCs w:val="20"/>
              </w:rPr>
              <w:t>1</w:t>
            </w:r>
          </w:p>
        </w:tc>
        <w:tc>
          <w:tcPr>
            <w:tcW w:w="990" w:type="dxa"/>
          </w:tcPr>
          <w:p w14:paraId="623640F3" w14:textId="77777777" w:rsidR="00835945" w:rsidRDefault="00835945" w:rsidP="00A6302C">
            <w:pPr>
              <w:jc w:val="center"/>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0"/>
                <w:szCs w:val="20"/>
              </w:rPr>
              <w:t>0</w:t>
            </w:r>
          </w:p>
        </w:tc>
        <w:tc>
          <w:tcPr>
            <w:cnfStyle w:val="000010000000" w:firstRow="0" w:lastRow="0" w:firstColumn="0" w:lastColumn="0" w:oddVBand="1" w:evenVBand="0" w:oddHBand="0" w:evenHBand="0" w:firstRowFirstColumn="0" w:firstRowLastColumn="0" w:lastRowFirstColumn="0" w:lastRowLastColumn="0"/>
            <w:tcW w:w="990" w:type="dxa"/>
          </w:tcPr>
          <w:p w14:paraId="56668564" w14:textId="77777777" w:rsidR="00835945" w:rsidRDefault="00835945" w:rsidP="00A6302C">
            <w:pPr>
              <w:jc w:val="center"/>
            </w:pPr>
            <w:r w:rsidRPr="31FF9146">
              <w:rPr>
                <w:rFonts w:eastAsia="Arial" w:cs="Arial"/>
                <w:color w:val="000000" w:themeColor="text1"/>
                <w:sz w:val="20"/>
                <w:szCs w:val="20"/>
              </w:rPr>
              <w:t>1</w:t>
            </w:r>
          </w:p>
        </w:tc>
        <w:tc>
          <w:tcPr>
            <w:cnfStyle w:val="000100000000" w:firstRow="0" w:lastRow="0" w:firstColumn="0" w:lastColumn="1" w:oddVBand="0" w:evenVBand="0" w:oddHBand="0" w:evenHBand="0" w:firstRowFirstColumn="0" w:firstRowLastColumn="0" w:lastRowFirstColumn="0" w:lastRowLastColumn="0"/>
            <w:tcW w:w="1140" w:type="dxa"/>
          </w:tcPr>
          <w:p w14:paraId="3618225F" w14:textId="77777777" w:rsidR="00835945" w:rsidRDefault="00835945" w:rsidP="00A6302C">
            <w:pPr>
              <w:jc w:val="center"/>
            </w:pPr>
            <w:r w:rsidRPr="31FF9146">
              <w:rPr>
                <w:rFonts w:eastAsia="Arial" w:cs="Arial"/>
                <w:color w:val="000000" w:themeColor="text1"/>
                <w:sz w:val="20"/>
                <w:szCs w:val="20"/>
              </w:rPr>
              <w:t>50%</w:t>
            </w:r>
          </w:p>
        </w:tc>
      </w:tr>
      <w:tr w:rsidR="00835945" w14:paraId="72966DDA" w14:textId="77777777" w:rsidTr="00CA7B70">
        <w:trPr>
          <w:trHeight w:val="270"/>
          <w:jc w:val="center"/>
        </w:trPr>
        <w:tc>
          <w:tcPr>
            <w:cnfStyle w:val="001000000000" w:firstRow="0" w:lastRow="0" w:firstColumn="1" w:lastColumn="0" w:oddVBand="0" w:evenVBand="0" w:oddHBand="0" w:evenHBand="0" w:firstRowFirstColumn="0" w:firstRowLastColumn="0" w:lastRowFirstColumn="0" w:lastRowLastColumn="0"/>
            <w:tcW w:w="1980" w:type="dxa"/>
          </w:tcPr>
          <w:p w14:paraId="223093A3" w14:textId="77777777" w:rsidR="00835945" w:rsidRDefault="00835945" w:rsidP="00A6302C">
            <w:pPr>
              <w:jc w:val="center"/>
            </w:pPr>
            <w:r w:rsidRPr="31FF9146">
              <w:rPr>
                <w:rFonts w:eastAsia="Arial" w:cs="Arial"/>
                <w:color w:val="000000" w:themeColor="text1"/>
                <w:sz w:val="20"/>
                <w:szCs w:val="20"/>
              </w:rPr>
              <w:t>Común</w:t>
            </w:r>
          </w:p>
        </w:tc>
        <w:tc>
          <w:tcPr>
            <w:cnfStyle w:val="000010000000" w:firstRow="0" w:lastRow="0" w:firstColumn="0" w:lastColumn="0" w:oddVBand="1" w:evenVBand="0" w:oddHBand="0" w:evenHBand="0" w:firstRowFirstColumn="0" w:firstRowLastColumn="0" w:lastRowFirstColumn="0" w:lastRowLastColumn="0"/>
            <w:tcW w:w="855" w:type="dxa"/>
          </w:tcPr>
          <w:p w14:paraId="3C9C8A77" w14:textId="77777777" w:rsidR="00835945" w:rsidRDefault="00835945" w:rsidP="00A6302C">
            <w:pPr>
              <w:jc w:val="center"/>
            </w:pPr>
            <w:r w:rsidRPr="31FF9146">
              <w:rPr>
                <w:rFonts w:eastAsia="Arial" w:cs="Arial"/>
                <w:color w:val="000000" w:themeColor="text1"/>
                <w:sz w:val="20"/>
                <w:szCs w:val="20"/>
              </w:rPr>
              <w:t>1</w:t>
            </w:r>
          </w:p>
        </w:tc>
        <w:tc>
          <w:tcPr>
            <w:tcW w:w="990" w:type="dxa"/>
          </w:tcPr>
          <w:p w14:paraId="5C78BE30" w14:textId="77777777" w:rsidR="00835945" w:rsidRDefault="00835945" w:rsidP="00A6302C">
            <w:pPr>
              <w:jc w:val="center"/>
              <w:cnfStyle w:val="000000000000" w:firstRow="0" w:lastRow="0"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rPr>
              <w:t>0</w:t>
            </w:r>
          </w:p>
        </w:tc>
        <w:tc>
          <w:tcPr>
            <w:cnfStyle w:val="000010000000" w:firstRow="0" w:lastRow="0" w:firstColumn="0" w:lastColumn="0" w:oddVBand="1" w:evenVBand="0" w:oddHBand="0" w:evenHBand="0" w:firstRowFirstColumn="0" w:firstRowLastColumn="0" w:lastRowFirstColumn="0" w:lastRowLastColumn="0"/>
            <w:tcW w:w="990" w:type="dxa"/>
          </w:tcPr>
          <w:p w14:paraId="1F2511CE" w14:textId="77777777" w:rsidR="00835945" w:rsidRDefault="00835945" w:rsidP="00A6302C">
            <w:pPr>
              <w:jc w:val="center"/>
            </w:pPr>
            <w:r w:rsidRPr="31FF9146">
              <w:rPr>
                <w:rFonts w:eastAsia="Arial" w:cs="Arial"/>
                <w:color w:val="000000" w:themeColor="text1"/>
                <w:sz w:val="20"/>
                <w:szCs w:val="20"/>
              </w:rPr>
              <w:t>1</w:t>
            </w:r>
          </w:p>
        </w:tc>
        <w:tc>
          <w:tcPr>
            <w:cnfStyle w:val="000100000000" w:firstRow="0" w:lastRow="0" w:firstColumn="0" w:lastColumn="1" w:oddVBand="0" w:evenVBand="0" w:oddHBand="0" w:evenHBand="0" w:firstRowFirstColumn="0" w:firstRowLastColumn="0" w:lastRowFirstColumn="0" w:lastRowLastColumn="0"/>
            <w:tcW w:w="1140" w:type="dxa"/>
          </w:tcPr>
          <w:p w14:paraId="6C28C18F" w14:textId="77777777" w:rsidR="00835945" w:rsidRDefault="00835945" w:rsidP="00A6302C">
            <w:pPr>
              <w:jc w:val="center"/>
            </w:pPr>
            <w:r w:rsidRPr="31FF9146">
              <w:rPr>
                <w:rFonts w:eastAsia="Arial" w:cs="Arial"/>
                <w:color w:val="000000" w:themeColor="text1"/>
                <w:sz w:val="20"/>
                <w:szCs w:val="20"/>
              </w:rPr>
              <w:t>50%</w:t>
            </w:r>
          </w:p>
        </w:tc>
      </w:tr>
      <w:tr w:rsidR="00835945" w14:paraId="16C8AA09" w14:textId="77777777" w:rsidTr="00CA7B70">
        <w:trPr>
          <w:cnfStyle w:val="010000000000" w:firstRow="0" w:lastRow="1" w:firstColumn="0" w:lastColumn="0" w:oddVBand="0" w:evenVBand="0" w:oddHBand="0" w:evenHBand="0" w:firstRowFirstColumn="0" w:firstRowLastColumn="0" w:lastRowFirstColumn="0" w:lastRowLastColumn="0"/>
          <w:trHeight w:val="75"/>
          <w:jc w:val="center"/>
        </w:trPr>
        <w:tc>
          <w:tcPr>
            <w:cnfStyle w:val="001000000000" w:firstRow="0" w:lastRow="0" w:firstColumn="1" w:lastColumn="0" w:oddVBand="0" w:evenVBand="0" w:oddHBand="0" w:evenHBand="0" w:firstRowFirstColumn="0" w:firstRowLastColumn="0" w:lastRowFirstColumn="0" w:lastRowLastColumn="0"/>
            <w:tcW w:w="1980" w:type="dxa"/>
          </w:tcPr>
          <w:p w14:paraId="10013B69" w14:textId="77777777" w:rsidR="00835945" w:rsidRDefault="00835945" w:rsidP="00A6302C">
            <w:pPr>
              <w:jc w:val="center"/>
            </w:pPr>
            <w:r w:rsidRPr="31FF9146">
              <w:rPr>
                <w:rFonts w:eastAsia="Arial" w:cs="Arial"/>
                <w:color w:val="000000" w:themeColor="text1"/>
                <w:sz w:val="20"/>
                <w:szCs w:val="20"/>
              </w:rPr>
              <w:t>TOTAL</w:t>
            </w:r>
          </w:p>
        </w:tc>
        <w:tc>
          <w:tcPr>
            <w:cnfStyle w:val="000010000000" w:firstRow="0" w:lastRow="0" w:firstColumn="0" w:lastColumn="0" w:oddVBand="1" w:evenVBand="0" w:oddHBand="0" w:evenHBand="0" w:firstRowFirstColumn="0" w:firstRowLastColumn="0" w:lastRowFirstColumn="0" w:lastRowLastColumn="0"/>
            <w:tcW w:w="855" w:type="dxa"/>
          </w:tcPr>
          <w:p w14:paraId="1A50DE53" w14:textId="77777777" w:rsidR="00835945" w:rsidRDefault="00835945" w:rsidP="00A6302C">
            <w:pPr>
              <w:jc w:val="center"/>
            </w:pPr>
            <w:r w:rsidRPr="31FF9146">
              <w:rPr>
                <w:rFonts w:eastAsia="Arial" w:cs="Arial"/>
                <w:color w:val="000000" w:themeColor="text1"/>
                <w:sz w:val="20"/>
                <w:szCs w:val="20"/>
              </w:rPr>
              <w:t>2</w:t>
            </w:r>
          </w:p>
        </w:tc>
        <w:tc>
          <w:tcPr>
            <w:tcW w:w="990" w:type="dxa"/>
          </w:tcPr>
          <w:p w14:paraId="2B6DCBF4" w14:textId="77777777" w:rsidR="00835945" w:rsidRDefault="00835945" w:rsidP="00A6302C">
            <w:pPr>
              <w:jc w:val="center"/>
              <w:cnfStyle w:val="010000000000" w:firstRow="0" w:lastRow="1" w:firstColumn="0" w:lastColumn="0" w:oddVBand="0" w:evenVBand="0" w:oddHBand="0" w:evenHBand="0" w:firstRowFirstColumn="0" w:firstRowLastColumn="0" w:lastRowFirstColumn="0" w:lastRowLastColumn="0"/>
            </w:pPr>
            <w:r w:rsidRPr="31FF9146">
              <w:rPr>
                <w:rFonts w:eastAsia="Arial" w:cs="Arial"/>
                <w:color w:val="000000" w:themeColor="text1"/>
                <w:sz w:val="20"/>
                <w:szCs w:val="20"/>
              </w:rPr>
              <w:t>0</w:t>
            </w:r>
          </w:p>
        </w:tc>
        <w:tc>
          <w:tcPr>
            <w:cnfStyle w:val="000010000000" w:firstRow="0" w:lastRow="0" w:firstColumn="0" w:lastColumn="0" w:oddVBand="1" w:evenVBand="0" w:oddHBand="0" w:evenHBand="0" w:firstRowFirstColumn="0" w:firstRowLastColumn="0" w:lastRowFirstColumn="0" w:lastRowLastColumn="0"/>
            <w:tcW w:w="990" w:type="dxa"/>
          </w:tcPr>
          <w:p w14:paraId="2E361327" w14:textId="77777777" w:rsidR="00835945" w:rsidRDefault="00835945" w:rsidP="00A6302C">
            <w:pPr>
              <w:jc w:val="center"/>
            </w:pPr>
            <w:r w:rsidRPr="31FF9146">
              <w:rPr>
                <w:rFonts w:eastAsia="Arial" w:cs="Arial"/>
                <w:color w:val="000000" w:themeColor="text1"/>
                <w:sz w:val="20"/>
                <w:szCs w:val="20"/>
              </w:rPr>
              <w:t>2</w:t>
            </w:r>
          </w:p>
        </w:tc>
        <w:tc>
          <w:tcPr>
            <w:cnfStyle w:val="000100000000" w:firstRow="0" w:lastRow="0" w:firstColumn="0" w:lastColumn="1" w:oddVBand="0" w:evenVBand="0" w:oddHBand="0" w:evenHBand="0" w:firstRowFirstColumn="0" w:firstRowLastColumn="0" w:lastRowFirstColumn="0" w:lastRowLastColumn="0"/>
            <w:tcW w:w="1140" w:type="dxa"/>
          </w:tcPr>
          <w:p w14:paraId="6B898BE4" w14:textId="77777777" w:rsidR="00835945" w:rsidRDefault="00835945" w:rsidP="00A6302C">
            <w:pPr>
              <w:jc w:val="center"/>
            </w:pPr>
            <w:r w:rsidRPr="31FF9146">
              <w:rPr>
                <w:rFonts w:eastAsia="Arial" w:cs="Arial"/>
                <w:color w:val="000000" w:themeColor="text1"/>
                <w:sz w:val="20"/>
                <w:szCs w:val="20"/>
              </w:rPr>
              <w:t>100%</w:t>
            </w:r>
          </w:p>
        </w:tc>
      </w:tr>
    </w:tbl>
    <w:p w14:paraId="2B2FC6A8" w14:textId="77777777" w:rsidR="00835945" w:rsidRPr="00CA7B70" w:rsidRDefault="00835945" w:rsidP="00835945">
      <w:pPr>
        <w:spacing w:line="259" w:lineRule="auto"/>
        <w:jc w:val="center"/>
        <w:rPr>
          <w:b/>
          <w:sz w:val="16"/>
          <w:szCs w:val="16"/>
        </w:rPr>
      </w:pPr>
      <w:r w:rsidRPr="00CA7B70">
        <w:rPr>
          <w:b/>
          <w:sz w:val="16"/>
          <w:szCs w:val="16"/>
        </w:rPr>
        <w:t>Fuente: Subdirección Talento Humano- IGAC</w:t>
      </w:r>
    </w:p>
    <w:p w14:paraId="7FCD37A5" w14:textId="4D611F80" w:rsidR="00835945" w:rsidRDefault="00835945" w:rsidP="00835945">
      <w:pPr>
        <w:spacing w:line="276" w:lineRule="auto"/>
        <w:jc w:val="both"/>
      </w:pPr>
    </w:p>
    <w:p w14:paraId="7EDCA76E" w14:textId="77777777" w:rsidR="00835945" w:rsidRDefault="00835945" w:rsidP="00835945">
      <w:pPr>
        <w:spacing w:line="276" w:lineRule="auto"/>
        <w:jc w:val="both"/>
      </w:pPr>
      <w:r w:rsidRPr="31FF9146">
        <w:rPr>
          <w:rFonts w:eastAsia="Arial" w:cs="Arial"/>
          <w:b/>
          <w:bCs/>
          <w:sz w:val="22"/>
          <w:szCs w:val="22"/>
          <w:lang w:val="es"/>
        </w:rPr>
        <w:t>FORMACIÓN Y GESTIÓN DEL DESEMPEÑO</w:t>
      </w:r>
    </w:p>
    <w:p w14:paraId="721015C7" w14:textId="77777777" w:rsidR="00835945" w:rsidRDefault="00835945" w:rsidP="00835945">
      <w:pPr>
        <w:spacing w:line="276" w:lineRule="auto"/>
        <w:jc w:val="both"/>
      </w:pPr>
      <w:r w:rsidRPr="31FF9146">
        <w:rPr>
          <w:rFonts w:eastAsia="Arial" w:cs="Arial"/>
          <w:b/>
          <w:bCs/>
          <w:sz w:val="22"/>
          <w:szCs w:val="22"/>
          <w:lang w:val="es"/>
        </w:rPr>
        <w:t xml:space="preserve"> </w:t>
      </w:r>
    </w:p>
    <w:p w14:paraId="6BF63829" w14:textId="314B157F" w:rsidR="00835945" w:rsidRPr="00684E08" w:rsidRDefault="00835945" w:rsidP="00684E08">
      <w:pPr>
        <w:jc w:val="both"/>
      </w:pPr>
      <w:r w:rsidRPr="31FF9146">
        <w:rPr>
          <w:rFonts w:eastAsia="Arial" w:cs="Arial"/>
          <w:color w:val="000000" w:themeColor="text1"/>
          <w:sz w:val="22"/>
          <w:szCs w:val="22"/>
          <w:lang w:val="es"/>
        </w:rPr>
        <w:t>En lo relacionado con el Plan Institucional de Capacitación a corte a octubre 2021, se ha logrado un avance del 81% con respecto a lo proyectado en el Plan de Acción. En cuanto a la vigencia 2020, se logró un 91.33% de avance de las actividades proyectadas.</w:t>
      </w:r>
    </w:p>
    <w:p w14:paraId="5FD56A37" w14:textId="77777777" w:rsidR="00835945" w:rsidRPr="005D5B0E" w:rsidRDefault="00835945" w:rsidP="005D5B0E">
      <w:pPr>
        <w:spacing w:line="276" w:lineRule="auto"/>
        <w:jc w:val="center"/>
        <w:rPr>
          <w:b/>
          <w:sz w:val="16"/>
          <w:szCs w:val="16"/>
        </w:rPr>
      </w:pPr>
    </w:p>
    <w:p w14:paraId="2F3DFCB6" w14:textId="11164BF2" w:rsidR="005D5B0E" w:rsidRPr="005D5B0E" w:rsidRDefault="005D5B0E" w:rsidP="005D5B0E">
      <w:pPr>
        <w:pStyle w:val="Descripcin"/>
        <w:jc w:val="center"/>
        <w:rPr>
          <w:rFonts w:ascii="Arial" w:eastAsia="Times New Roman" w:hAnsi="Arial" w:cs="Times New Roman"/>
          <w:b/>
          <w:i w:val="0"/>
          <w:iCs w:val="0"/>
          <w:color w:val="auto"/>
          <w:sz w:val="16"/>
          <w:szCs w:val="16"/>
          <w:lang w:val="es-ES" w:eastAsia="ar-SA"/>
        </w:rPr>
      </w:pPr>
      <w:bookmarkStart w:id="165" w:name="_Toc88677203"/>
      <w:r w:rsidRPr="005D5B0E">
        <w:rPr>
          <w:rFonts w:ascii="Arial" w:eastAsia="Times New Roman" w:hAnsi="Arial" w:cs="Times New Roman"/>
          <w:b/>
          <w:i w:val="0"/>
          <w:iCs w:val="0"/>
          <w:color w:val="auto"/>
          <w:sz w:val="16"/>
          <w:szCs w:val="16"/>
          <w:lang w:val="es-ES" w:eastAsia="ar-SA"/>
        </w:rPr>
        <w:t xml:space="preserve">Ilustración </w:t>
      </w:r>
      <w:r w:rsidRPr="005D5B0E">
        <w:rPr>
          <w:rFonts w:ascii="Arial" w:eastAsia="Times New Roman" w:hAnsi="Arial" w:cs="Times New Roman"/>
          <w:b/>
          <w:i w:val="0"/>
          <w:iCs w:val="0"/>
          <w:color w:val="auto"/>
          <w:sz w:val="16"/>
          <w:szCs w:val="16"/>
          <w:lang w:val="es-ES" w:eastAsia="ar-SA"/>
        </w:rPr>
        <w:fldChar w:fldCharType="begin"/>
      </w:r>
      <w:r w:rsidRPr="005D5B0E">
        <w:rPr>
          <w:rFonts w:ascii="Arial" w:eastAsia="Times New Roman" w:hAnsi="Arial" w:cs="Times New Roman"/>
          <w:b/>
          <w:i w:val="0"/>
          <w:iCs w:val="0"/>
          <w:color w:val="auto"/>
          <w:sz w:val="16"/>
          <w:szCs w:val="16"/>
          <w:lang w:val="es-ES" w:eastAsia="ar-SA"/>
        </w:rPr>
        <w:instrText xml:space="preserve"> SEQ Ilustración \* ARABIC </w:instrText>
      </w:r>
      <w:r w:rsidRPr="005D5B0E">
        <w:rPr>
          <w:rFonts w:ascii="Arial" w:eastAsia="Times New Roman" w:hAnsi="Arial" w:cs="Times New Roman"/>
          <w:b/>
          <w:i w:val="0"/>
          <w:iCs w:val="0"/>
          <w:color w:val="auto"/>
          <w:sz w:val="16"/>
          <w:szCs w:val="16"/>
          <w:lang w:val="es-ES" w:eastAsia="ar-SA"/>
        </w:rPr>
        <w:fldChar w:fldCharType="separate"/>
      </w:r>
      <w:r w:rsidRPr="005D5B0E">
        <w:rPr>
          <w:rFonts w:ascii="Arial" w:eastAsia="Times New Roman" w:hAnsi="Arial" w:cs="Times New Roman"/>
          <w:b/>
          <w:i w:val="0"/>
          <w:iCs w:val="0"/>
          <w:color w:val="auto"/>
          <w:sz w:val="16"/>
          <w:szCs w:val="16"/>
          <w:lang w:val="es-ES" w:eastAsia="ar-SA"/>
        </w:rPr>
        <w:t>47</w:t>
      </w:r>
      <w:r w:rsidRPr="005D5B0E">
        <w:rPr>
          <w:rFonts w:ascii="Arial" w:eastAsia="Times New Roman" w:hAnsi="Arial" w:cs="Times New Roman"/>
          <w:b/>
          <w:i w:val="0"/>
          <w:iCs w:val="0"/>
          <w:color w:val="auto"/>
          <w:sz w:val="16"/>
          <w:szCs w:val="16"/>
          <w:lang w:val="es-ES" w:eastAsia="ar-SA"/>
        </w:rPr>
        <w:fldChar w:fldCharType="end"/>
      </w:r>
      <w:r w:rsidRPr="005D5B0E">
        <w:rPr>
          <w:rFonts w:ascii="Arial" w:eastAsia="Times New Roman" w:hAnsi="Arial" w:cs="Times New Roman"/>
          <w:b/>
          <w:i w:val="0"/>
          <w:iCs w:val="0"/>
          <w:color w:val="auto"/>
          <w:sz w:val="16"/>
          <w:szCs w:val="16"/>
          <w:lang w:val="es-ES" w:eastAsia="ar-SA"/>
        </w:rPr>
        <w:t>. Capacitaciones realizadas 2021</w:t>
      </w:r>
      <w:bookmarkEnd w:id="165"/>
    </w:p>
    <w:p w14:paraId="7728DDEC" w14:textId="77777777" w:rsidR="00835945" w:rsidRDefault="00835945" w:rsidP="00835945">
      <w:pPr>
        <w:jc w:val="center"/>
      </w:pPr>
      <w:r>
        <w:rPr>
          <w:noProof/>
          <w:lang w:val="es-CO" w:eastAsia="es-CO"/>
        </w:rPr>
        <w:drawing>
          <wp:inline distT="0" distB="0" distL="0" distR="0" wp14:anchorId="57A165C6" wp14:editId="65CA472D">
            <wp:extent cx="4949372" cy="3248025"/>
            <wp:effectExtent l="0" t="0" r="0" b="0"/>
            <wp:docPr id="809960815" name="Imagen 809960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6">
                      <a:extLst>
                        <a:ext uri="{28A0092B-C50C-407E-A947-70E740481C1C}">
                          <a14:useLocalDpi xmlns:a14="http://schemas.microsoft.com/office/drawing/2010/main" val="0"/>
                        </a:ext>
                      </a:extLst>
                    </a:blip>
                    <a:stretch>
                      <a:fillRect/>
                    </a:stretch>
                  </pic:blipFill>
                  <pic:spPr>
                    <a:xfrm>
                      <a:off x="0" y="0"/>
                      <a:ext cx="4949372" cy="3248025"/>
                    </a:xfrm>
                    <a:prstGeom prst="rect">
                      <a:avLst/>
                    </a:prstGeom>
                  </pic:spPr>
                </pic:pic>
              </a:graphicData>
            </a:graphic>
          </wp:inline>
        </w:drawing>
      </w:r>
    </w:p>
    <w:p w14:paraId="478CCE66" w14:textId="262BA6C9" w:rsidR="00835945" w:rsidRPr="00684E08" w:rsidRDefault="00835945" w:rsidP="00684E08">
      <w:pPr>
        <w:jc w:val="center"/>
        <w:rPr>
          <w:b/>
        </w:rPr>
      </w:pPr>
      <w:r w:rsidRPr="00684E08">
        <w:rPr>
          <w:b/>
          <w:sz w:val="16"/>
          <w:szCs w:val="16"/>
        </w:rPr>
        <w:t>Fuente: Subdirección Talento Humano- IGAC</w:t>
      </w:r>
    </w:p>
    <w:p w14:paraId="7FD6FC0A" w14:textId="77777777" w:rsidR="00835945" w:rsidRDefault="00835945" w:rsidP="00835945">
      <w:pPr>
        <w:jc w:val="both"/>
      </w:pPr>
    </w:p>
    <w:p w14:paraId="758FF56E" w14:textId="77777777" w:rsidR="00835945" w:rsidRDefault="00835945" w:rsidP="00835945">
      <w:pPr>
        <w:jc w:val="both"/>
        <w:rPr>
          <w:rFonts w:eastAsia="Arial" w:cs="Arial"/>
          <w:sz w:val="22"/>
          <w:szCs w:val="22"/>
        </w:rPr>
      </w:pPr>
      <w:r w:rsidRPr="31FF9146">
        <w:rPr>
          <w:rFonts w:eastAsia="Arial" w:cs="Arial"/>
          <w:sz w:val="22"/>
          <w:szCs w:val="22"/>
        </w:rPr>
        <w:t xml:space="preserve">El Instituto en el 2020, adopta el sistema tipo de evaluación del desempeño laboral de la Comisión Nacional del Servicio Civil y la herramienta EDL – CNSC, para la Evaluación de Desempeño Laboral, el seguimiento y control del proceso de evaluación a 587 funcionarios vinculados como empleados públicos de carrera administrativa y en período de prueba en el aplicativo establecido por la CNSC conforme en el Acuerdo No. CNSC – 2018000006176 de 2018 y el anexo técnico </w:t>
      </w:r>
      <w:r w:rsidRPr="31FF9146">
        <w:rPr>
          <w:rFonts w:eastAsia="Arial" w:cs="Arial"/>
          <w:sz w:val="22"/>
          <w:szCs w:val="22"/>
        </w:rPr>
        <w:lastRenderedPageBreak/>
        <w:t>del sistema tipo de evaluación del desempeño laboral de la Comisión Nacional del Servicio Civil. Así mismo el acompañamiento a la Dirección General en el proceso de evaluación de 46 funcionarios de libre nombramiento y remoción en su rol de gerente públicos como también a (personal de libre nombramiento y remoción que no pertenece a Gerencia Pública).</w:t>
      </w:r>
    </w:p>
    <w:p w14:paraId="2EC76915" w14:textId="77777777" w:rsidR="00835945" w:rsidRDefault="00835945" w:rsidP="00835945">
      <w:pPr>
        <w:spacing w:line="276" w:lineRule="auto"/>
        <w:jc w:val="both"/>
      </w:pPr>
      <w:r w:rsidRPr="31FF9146">
        <w:rPr>
          <w:rFonts w:eastAsia="Arial" w:cs="Arial"/>
        </w:rPr>
        <w:t xml:space="preserve"> </w:t>
      </w:r>
    </w:p>
    <w:p w14:paraId="1A7FDA07" w14:textId="233E7D42" w:rsidR="00835945" w:rsidRDefault="00835945" w:rsidP="00835945">
      <w:pPr>
        <w:spacing w:line="276" w:lineRule="auto"/>
        <w:jc w:val="both"/>
        <w:rPr>
          <w:sz w:val="22"/>
        </w:rPr>
      </w:pPr>
      <w:r w:rsidRPr="00684E08">
        <w:rPr>
          <w:rFonts w:eastAsia="Arial" w:cs="Arial"/>
          <w:b/>
          <w:bCs/>
          <w:sz w:val="22"/>
          <w:lang w:val="es"/>
        </w:rPr>
        <w:t>NÓMINA</w:t>
      </w:r>
    </w:p>
    <w:p w14:paraId="4CC578D9" w14:textId="77777777" w:rsidR="00684E08" w:rsidRPr="00684E08" w:rsidRDefault="00684E08" w:rsidP="00835945">
      <w:pPr>
        <w:spacing w:line="276" w:lineRule="auto"/>
        <w:jc w:val="both"/>
        <w:rPr>
          <w:sz w:val="22"/>
        </w:rPr>
      </w:pPr>
    </w:p>
    <w:p w14:paraId="35DBF0F8" w14:textId="77777777" w:rsidR="00835945" w:rsidRDefault="00835945" w:rsidP="00835945">
      <w:pPr>
        <w:jc w:val="both"/>
      </w:pPr>
      <w:r w:rsidRPr="31FF9146">
        <w:rPr>
          <w:rFonts w:eastAsia="Arial" w:cs="Arial"/>
          <w:sz w:val="22"/>
          <w:szCs w:val="22"/>
          <w:lang w:val="es"/>
        </w:rPr>
        <w:t xml:space="preserve">Desde septiembre de 2020 la Administración del SIIF Nación desplegó varias funcionalidades para facilitar los pagos de nómina de las entidades que hacen parte del Presupuesto General de la Nación, efectuando el pago de sus obligaciones directamente a los beneficiarios a través de SIIF Nación con abono a una cuenta bancaria previamente registrada; por consiguiente, el IGAC dio cumplimiento a esta disposición en Abril de 2021, efectuando los cambios correspondientes en su Sistema de Personal de Nomina, logrando así generar los archivos planos que son cargados en  SIIF Nación para luego hacer la dispersión directamente desde el Banco de la República a cada funcionario. </w:t>
      </w:r>
    </w:p>
    <w:p w14:paraId="51B83D4C" w14:textId="77777777" w:rsidR="00835945" w:rsidRDefault="00835945" w:rsidP="00835945">
      <w:pPr>
        <w:spacing w:line="276" w:lineRule="auto"/>
        <w:jc w:val="both"/>
      </w:pPr>
      <w:r w:rsidRPr="31FF9146">
        <w:rPr>
          <w:rFonts w:eastAsia="Arial" w:cs="Arial"/>
          <w:sz w:val="22"/>
          <w:szCs w:val="22"/>
          <w:lang w:val="es"/>
        </w:rPr>
        <w:t xml:space="preserve"> </w:t>
      </w:r>
    </w:p>
    <w:p w14:paraId="24147955" w14:textId="77777777" w:rsidR="00835945" w:rsidRDefault="00835945" w:rsidP="00835945">
      <w:pPr>
        <w:spacing w:line="276" w:lineRule="auto"/>
        <w:jc w:val="both"/>
      </w:pPr>
      <w:r>
        <w:rPr>
          <w:rFonts w:eastAsia="Arial" w:cs="Arial"/>
          <w:b/>
          <w:bCs/>
          <w:sz w:val="22"/>
          <w:szCs w:val="22"/>
          <w:lang w:val="es"/>
        </w:rPr>
        <w:t>ALIANZAS ESTRATÉGICAS</w:t>
      </w:r>
    </w:p>
    <w:p w14:paraId="407F7ADC" w14:textId="77777777" w:rsidR="00835945" w:rsidRDefault="00835945" w:rsidP="00835945">
      <w:pPr>
        <w:spacing w:line="276" w:lineRule="auto"/>
        <w:jc w:val="both"/>
      </w:pPr>
      <w:r w:rsidRPr="31FF9146">
        <w:rPr>
          <w:rFonts w:eastAsia="Arial" w:cs="Arial"/>
          <w:b/>
          <w:bCs/>
          <w:sz w:val="22"/>
          <w:szCs w:val="22"/>
          <w:lang w:val="es"/>
        </w:rPr>
        <w:t xml:space="preserve"> </w:t>
      </w:r>
    </w:p>
    <w:p w14:paraId="0E8506F2" w14:textId="51A4B65D" w:rsidR="00835945" w:rsidRDefault="00835945" w:rsidP="00684E08">
      <w:pPr>
        <w:spacing w:line="276" w:lineRule="auto"/>
        <w:jc w:val="both"/>
      </w:pPr>
      <w:r w:rsidRPr="31FF9146">
        <w:rPr>
          <w:rFonts w:eastAsia="Arial" w:cs="Arial"/>
          <w:b/>
          <w:bCs/>
          <w:sz w:val="22"/>
          <w:szCs w:val="22"/>
          <w:lang w:val="es"/>
        </w:rPr>
        <w:t xml:space="preserve">Desarrollo del Plan Institucional de Capacitación </w:t>
      </w:r>
    </w:p>
    <w:p w14:paraId="20683893" w14:textId="77777777" w:rsidR="00835945" w:rsidRPr="007E1F16" w:rsidRDefault="00835945" w:rsidP="00835945">
      <w:pPr>
        <w:jc w:val="both"/>
        <w:rPr>
          <w:rFonts w:eastAsia="Arial" w:cs="Arial"/>
          <w:sz w:val="22"/>
          <w:szCs w:val="22"/>
        </w:rPr>
      </w:pPr>
      <w:r w:rsidRPr="007E1F16">
        <w:rPr>
          <w:rFonts w:eastAsia="Arial" w:cs="Arial"/>
          <w:sz w:val="22"/>
          <w:szCs w:val="22"/>
          <w:lang w:val="es"/>
        </w:rPr>
        <w:t xml:space="preserve">De diciembre 2019 a noviembre 2021, en el marco del Proyecto de Inversión Fortalecimiento de la Gestión Institucional del IGAC a nivel Nacional, atendiendo al producto: </w:t>
      </w:r>
      <w:r w:rsidRPr="007E1F16">
        <w:rPr>
          <w:rFonts w:eastAsia="Arial" w:cs="Arial"/>
          <w:color w:val="000000" w:themeColor="text1"/>
          <w:sz w:val="22"/>
          <w:szCs w:val="22"/>
          <w:lang w:val="es"/>
        </w:rPr>
        <w:t>Servicio de Educación informal para la gestión Administrativa,</w:t>
      </w:r>
      <w:r w:rsidRPr="007E1F16">
        <w:rPr>
          <w:rFonts w:eastAsia="Arial" w:cs="Arial"/>
          <w:sz w:val="22"/>
          <w:szCs w:val="22"/>
          <w:lang w:val="es"/>
        </w:rPr>
        <w:t xml:space="preserve"> se han realizado dos contratos interadministrativos con la Universidad Nacional de Colombia y la Universidad Distrital Francisco José de Caldas, adicional, con  un contrato con la Caja de Compensación Familiar Compensar, con el propósito de llevar a cabo las actividades proyectadas en el Plan Institucional de Capacitación de la entidad y, de esta manera, orientar el fortalecimiento de las </w:t>
      </w:r>
      <w:r w:rsidRPr="007E1F16">
        <w:rPr>
          <w:rFonts w:eastAsia="Arial" w:cs="Arial"/>
          <w:color w:val="000000" w:themeColor="text1"/>
          <w:sz w:val="22"/>
          <w:szCs w:val="22"/>
          <w:lang w:val="es"/>
        </w:rPr>
        <w:t>competencias laborales y socioemocionales de los funcionarios.</w:t>
      </w:r>
    </w:p>
    <w:p w14:paraId="594F1DE4" w14:textId="77777777" w:rsidR="00835945" w:rsidRDefault="00835945" w:rsidP="00835945">
      <w:pPr>
        <w:spacing w:line="276" w:lineRule="auto"/>
        <w:jc w:val="both"/>
      </w:pPr>
      <w:r w:rsidRPr="31FF9146">
        <w:rPr>
          <w:rFonts w:eastAsia="Arial" w:cs="Arial"/>
          <w:color w:val="000000" w:themeColor="text1"/>
          <w:sz w:val="22"/>
          <w:szCs w:val="22"/>
          <w:lang w:val="es"/>
        </w:rPr>
        <w:t xml:space="preserve"> </w:t>
      </w:r>
    </w:p>
    <w:p w14:paraId="23284A77" w14:textId="7DD93BC3" w:rsidR="00835945" w:rsidRDefault="00835945" w:rsidP="00835945">
      <w:pPr>
        <w:spacing w:line="276" w:lineRule="auto"/>
        <w:jc w:val="both"/>
      </w:pPr>
      <w:r w:rsidRPr="31FF9146">
        <w:rPr>
          <w:rFonts w:eastAsia="Arial" w:cs="Arial"/>
          <w:b/>
          <w:bCs/>
          <w:sz w:val="22"/>
          <w:szCs w:val="22"/>
          <w:lang w:val="es"/>
        </w:rPr>
        <w:t xml:space="preserve">Desarrollo del Plan de Bienestar e Incentivos </w:t>
      </w:r>
    </w:p>
    <w:p w14:paraId="5BBD6FCD" w14:textId="77777777" w:rsidR="00835945" w:rsidRPr="005E341F" w:rsidRDefault="00835945" w:rsidP="00835945">
      <w:pPr>
        <w:jc w:val="both"/>
      </w:pPr>
      <w:r w:rsidRPr="005E341F">
        <w:rPr>
          <w:rFonts w:eastAsia="Arial" w:cs="Arial"/>
          <w:sz w:val="22"/>
          <w:szCs w:val="22"/>
          <w:lang w:val="es"/>
        </w:rPr>
        <w:t>De diciembre 2020 a noviembre 2021, se han realizado dos contratos con la Caja de Compensación Familiar Compensar y  la Caja de Compensación Familiar Cafam con el propósito de llevar a cabo las actividades proytadecas en el Plan de Bienestar e Incentivos, de igual manera atendiendo los resultados de la encuesta de clima organizacional, aplicada en el 2020, se generó el plan de intervención para el 2021, dando cumplimiento y de esta manera generar bienestar en los funcionarios y sus familias.</w:t>
      </w:r>
    </w:p>
    <w:p w14:paraId="0D76EAA3" w14:textId="77777777" w:rsidR="00835945" w:rsidRDefault="00835945" w:rsidP="00835945">
      <w:pPr>
        <w:spacing w:line="276" w:lineRule="auto"/>
        <w:jc w:val="both"/>
      </w:pPr>
      <w:r w:rsidRPr="31FF9146">
        <w:rPr>
          <w:rFonts w:eastAsia="Arial" w:cs="Arial"/>
          <w:color w:val="000000" w:themeColor="text1"/>
          <w:sz w:val="22"/>
          <w:szCs w:val="22"/>
          <w:lang w:val="es"/>
        </w:rPr>
        <w:t xml:space="preserve"> </w:t>
      </w:r>
    </w:p>
    <w:p w14:paraId="6BB206EC" w14:textId="0DF5E032" w:rsidR="00835945" w:rsidRDefault="00835945" w:rsidP="00835945">
      <w:pPr>
        <w:spacing w:line="276" w:lineRule="auto"/>
        <w:jc w:val="both"/>
      </w:pPr>
      <w:r w:rsidRPr="31FF9146">
        <w:rPr>
          <w:rFonts w:eastAsia="Arial" w:cs="Arial"/>
          <w:b/>
          <w:bCs/>
          <w:sz w:val="22"/>
          <w:szCs w:val="22"/>
          <w:lang w:val="es"/>
        </w:rPr>
        <w:t>Desarrollo del Plan de Seguridad y Salud en el Trabajo</w:t>
      </w:r>
    </w:p>
    <w:p w14:paraId="27C07490" w14:textId="77777777" w:rsidR="00835945" w:rsidRDefault="00835945" w:rsidP="00DB7E6D">
      <w:pPr>
        <w:pStyle w:val="Prrafodelista"/>
        <w:numPr>
          <w:ilvl w:val="0"/>
          <w:numId w:val="9"/>
        </w:numPr>
        <w:rPr>
          <w:rFonts w:eastAsia="Arial" w:cs="Arial"/>
          <w:sz w:val="22"/>
          <w:szCs w:val="22"/>
        </w:rPr>
      </w:pPr>
      <w:r w:rsidRPr="31FF9146">
        <w:rPr>
          <w:rFonts w:eastAsia="Arial" w:cs="Arial"/>
          <w:sz w:val="22"/>
          <w:szCs w:val="22"/>
          <w:lang w:val="es"/>
        </w:rPr>
        <w:t xml:space="preserve">El IGAC cuenta con dos aliados estratégicos para el desarrollo del Sistema de </w:t>
      </w:r>
      <w:r w:rsidRPr="31FF9146">
        <w:rPr>
          <w:rFonts w:eastAsia="Arial" w:cs="Arial"/>
          <w:b/>
          <w:bCs/>
          <w:sz w:val="22"/>
          <w:szCs w:val="22"/>
          <w:lang w:val="es"/>
        </w:rPr>
        <w:t>Gestión de Seguridad y Salud en el Trabajo:</w:t>
      </w:r>
    </w:p>
    <w:p w14:paraId="1D447049" w14:textId="77777777" w:rsidR="00835945" w:rsidRDefault="00835945" w:rsidP="00DB7E6D">
      <w:pPr>
        <w:pStyle w:val="Prrafodelista"/>
        <w:numPr>
          <w:ilvl w:val="1"/>
          <w:numId w:val="9"/>
        </w:numPr>
        <w:rPr>
          <w:rFonts w:eastAsia="Arial" w:cs="Arial"/>
          <w:color w:val="000000" w:themeColor="text1"/>
          <w:sz w:val="22"/>
          <w:szCs w:val="22"/>
        </w:rPr>
      </w:pPr>
      <w:r w:rsidRPr="31FF9146">
        <w:rPr>
          <w:rFonts w:eastAsia="Arial" w:cs="Arial"/>
          <w:color w:val="000000" w:themeColor="text1"/>
          <w:sz w:val="22"/>
          <w:szCs w:val="22"/>
          <w:lang w:val="es"/>
        </w:rPr>
        <w:t>Administradora de Riesgos Laborales (ARL): Actualmente la Entidad se encuentra afiliada a la ARL Positiva</w:t>
      </w:r>
    </w:p>
    <w:p w14:paraId="65946E4B" w14:textId="77777777" w:rsidR="00835945" w:rsidRDefault="00835945" w:rsidP="00DB7E6D">
      <w:pPr>
        <w:pStyle w:val="Prrafodelista"/>
        <w:numPr>
          <w:ilvl w:val="1"/>
          <w:numId w:val="9"/>
        </w:numPr>
        <w:rPr>
          <w:rFonts w:eastAsia="Arial" w:cs="Arial"/>
          <w:color w:val="000000" w:themeColor="text1"/>
          <w:sz w:val="22"/>
          <w:szCs w:val="22"/>
        </w:rPr>
      </w:pPr>
      <w:r w:rsidRPr="31FF9146">
        <w:rPr>
          <w:rFonts w:eastAsia="Arial" w:cs="Arial"/>
          <w:color w:val="000000" w:themeColor="text1"/>
          <w:sz w:val="22"/>
          <w:szCs w:val="22"/>
          <w:lang w:val="es"/>
        </w:rPr>
        <w:t>Corredor de Seguros en Riesgos Laborales: Actualmente, AON realiza la labor de intermediación en Riesgos Laborales</w:t>
      </w:r>
    </w:p>
    <w:p w14:paraId="0A5821EB" w14:textId="77777777" w:rsidR="00835945" w:rsidRDefault="00835945" w:rsidP="00835945">
      <w:pPr>
        <w:jc w:val="both"/>
        <w:rPr>
          <w:rFonts w:eastAsia="Arial" w:cs="Arial"/>
          <w:color w:val="000000" w:themeColor="text1"/>
          <w:sz w:val="22"/>
          <w:szCs w:val="22"/>
          <w:lang w:val="es"/>
        </w:rPr>
      </w:pPr>
    </w:p>
    <w:p w14:paraId="7219F2B5" w14:textId="77777777" w:rsidR="00835945" w:rsidRDefault="00835945" w:rsidP="00835945">
      <w:pPr>
        <w:jc w:val="both"/>
        <w:rPr>
          <w:rFonts w:eastAsia="Arial" w:cs="Arial"/>
          <w:color w:val="000000" w:themeColor="text1"/>
          <w:sz w:val="22"/>
          <w:szCs w:val="22"/>
          <w:lang w:val="es"/>
        </w:rPr>
      </w:pPr>
      <w:r w:rsidRPr="31FF9146">
        <w:rPr>
          <w:rFonts w:eastAsia="Arial" w:cs="Arial"/>
          <w:color w:val="000000" w:themeColor="text1"/>
          <w:sz w:val="22"/>
          <w:szCs w:val="22"/>
          <w:lang w:val="es"/>
        </w:rPr>
        <w:t xml:space="preserve">Estas compañías reinvierten un porcentaje de los aportes a riesgos laborales de la Entidad, en la ejecución de diferentes actividades necesarias para la gestión del riesgo: actividades de prevención, asesoría y evaluación de riesgos laborales, promoción y divulgación de programas de medicina laboral e higiene y seguridad industrial. De igual manera, mediante la afiliación y </w:t>
      </w:r>
      <w:r w:rsidRPr="31FF9146">
        <w:rPr>
          <w:rFonts w:eastAsia="Arial" w:cs="Arial"/>
          <w:color w:val="000000" w:themeColor="text1"/>
          <w:sz w:val="22"/>
          <w:szCs w:val="22"/>
          <w:lang w:val="es"/>
        </w:rPr>
        <w:lastRenderedPageBreak/>
        <w:t xml:space="preserve">aporte a la ARL, se garantiza el suministro oportuno de las prestaciones asistenciales y económicas a que haya lugar, derivadas de la ocurrencia de accidentes de trabajo y/o enfermedades laborales. </w:t>
      </w:r>
    </w:p>
    <w:p w14:paraId="08E8EBAE" w14:textId="77777777" w:rsidR="00684E08" w:rsidRDefault="00684E08" w:rsidP="00835945">
      <w:pPr>
        <w:jc w:val="both"/>
      </w:pPr>
    </w:p>
    <w:p w14:paraId="68810EC0" w14:textId="77777777" w:rsidR="00835945" w:rsidRPr="00AF45E3" w:rsidRDefault="00835945" w:rsidP="00835945">
      <w:pPr>
        <w:spacing w:line="276" w:lineRule="auto"/>
        <w:jc w:val="both"/>
      </w:pPr>
      <w:r w:rsidRPr="31FF9146">
        <w:rPr>
          <w:rFonts w:eastAsia="Arial" w:cs="Arial"/>
          <w:sz w:val="22"/>
          <w:szCs w:val="22"/>
          <w:lang w:val="es"/>
        </w:rPr>
        <w:t xml:space="preserve"> </w:t>
      </w:r>
    </w:p>
    <w:p w14:paraId="146770B6" w14:textId="77777777" w:rsidR="00684E08" w:rsidRDefault="00835945" w:rsidP="000A20EE">
      <w:pPr>
        <w:pStyle w:val="Prrafodelista"/>
        <w:numPr>
          <w:ilvl w:val="2"/>
          <w:numId w:val="22"/>
        </w:numPr>
        <w:spacing w:line="276" w:lineRule="auto"/>
        <w:rPr>
          <w:rFonts w:eastAsia="Arial" w:cs="Arial"/>
          <w:b/>
          <w:bCs/>
          <w:lang w:val="es"/>
        </w:rPr>
      </w:pPr>
      <w:r w:rsidRPr="00684E08">
        <w:rPr>
          <w:rFonts w:eastAsia="Arial" w:cs="Arial"/>
          <w:b/>
          <w:bCs/>
          <w:sz w:val="22"/>
          <w:szCs w:val="22"/>
          <w:lang w:val="es"/>
        </w:rPr>
        <w:t>ANTECEDENTES Y ESTADO ACTUAL DE LA DEPENDENCIA</w:t>
      </w:r>
      <w:r w:rsidRPr="00684E08">
        <w:rPr>
          <w:rFonts w:eastAsia="Arial" w:cs="Arial"/>
          <w:b/>
          <w:bCs/>
          <w:lang w:val="es"/>
        </w:rPr>
        <w:t xml:space="preserve"> </w:t>
      </w:r>
    </w:p>
    <w:p w14:paraId="22C34C41" w14:textId="2D1082D7" w:rsidR="002B0501" w:rsidRPr="00684E08" w:rsidRDefault="00835945" w:rsidP="000A20EE">
      <w:pPr>
        <w:pStyle w:val="Prrafodelista"/>
        <w:numPr>
          <w:ilvl w:val="4"/>
          <w:numId w:val="22"/>
        </w:numPr>
        <w:spacing w:line="276" w:lineRule="auto"/>
        <w:rPr>
          <w:rFonts w:eastAsia="Arial" w:cs="Arial"/>
          <w:b/>
          <w:bCs/>
          <w:lang w:val="es"/>
        </w:rPr>
      </w:pPr>
      <w:r w:rsidRPr="00684E08">
        <w:rPr>
          <w:rFonts w:eastAsia="Arial" w:cs="Arial"/>
          <w:b/>
          <w:bCs/>
          <w:sz w:val="22"/>
          <w:szCs w:val="22"/>
          <w:lang w:val="es"/>
        </w:rPr>
        <w:t>GESTIÓN DOCUMENTAL</w:t>
      </w:r>
    </w:p>
    <w:p w14:paraId="39512A9D" w14:textId="77777777" w:rsidR="00835945" w:rsidRDefault="00835945" w:rsidP="00835945">
      <w:pPr>
        <w:spacing w:line="276" w:lineRule="auto"/>
        <w:jc w:val="both"/>
        <w:rPr>
          <w:rFonts w:eastAsia="Arial" w:cs="Arial"/>
          <w:b/>
          <w:bCs/>
          <w:sz w:val="22"/>
          <w:szCs w:val="22"/>
          <w:lang w:val="es"/>
        </w:rPr>
      </w:pPr>
    </w:p>
    <w:tbl>
      <w:tblPr>
        <w:tblStyle w:val="Tabladecuadrcula4-nfasis1"/>
        <w:tblW w:w="0" w:type="auto"/>
        <w:tblLayout w:type="fixed"/>
        <w:tblLook w:val="04A0" w:firstRow="1" w:lastRow="0" w:firstColumn="1" w:lastColumn="0" w:noHBand="0" w:noVBand="1"/>
      </w:tblPr>
      <w:tblGrid>
        <w:gridCol w:w="2318"/>
        <w:gridCol w:w="3419"/>
        <w:gridCol w:w="3622"/>
      </w:tblGrid>
      <w:tr w:rsidR="00835945" w14:paraId="11B296BC" w14:textId="77777777" w:rsidTr="00A6302C">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2318" w:type="dxa"/>
            <w:tcBorders>
              <w:top w:val="single" w:sz="8" w:space="0" w:color="4F81BD" w:themeColor="accent1"/>
              <w:left w:val="single" w:sz="8" w:space="0" w:color="4F81BD" w:themeColor="accent1"/>
              <w:bottom w:val="single" w:sz="8" w:space="0" w:color="4F81BD" w:themeColor="accent1"/>
            </w:tcBorders>
            <w:vAlign w:val="center"/>
          </w:tcPr>
          <w:p w14:paraId="79DC8A12" w14:textId="77777777" w:rsidR="00835945" w:rsidRDefault="00835945" w:rsidP="00A6302C">
            <w:pPr>
              <w:jc w:val="center"/>
            </w:pPr>
            <w:r w:rsidRPr="31FF9146">
              <w:rPr>
                <w:rFonts w:eastAsia="Arial" w:cs="Arial"/>
                <w:sz w:val="22"/>
                <w:szCs w:val="22"/>
                <w:lang w:val="es-MX"/>
              </w:rPr>
              <w:t>Ítem</w:t>
            </w:r>
          </w:p>
        </w:tc>
        <w:tc>
          <w:tcPr>
            <w:tcW w:w="3419" w:type="dxa"/>
            <w:tcBorders>
              <w:top w:val="single" w:sz="8" w:space="0" w:color="4F81BD" w:themeColor="accent1"/>
              <w:bottom w:val="single" w:sz="8" w:space="0" w:color="4F81BD" w:themeColor="accent1"/>
            </w:tcBorders>
            <w:vAlign w:val="center"/>
          </w:tcPr>
          <w:p w14:paraId="1CA9C7DB"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Estado Inicial  </w:t>
            </w:r>
          </w:p>
        </w:tc>
        <w:tc>
          <w:tcPr>
            <w:tcW w:w="3622" w:type="dxa"/>
            <w:tcBorders>
              <w:top w:val="single" w:sz="8" w:space="0" w:color="4F81BD" w:themeColor="accent1"/>
              <w:bottom w:val="single" w:sz="8" w:space="0" w:color="4F81BD" w:themeColor="accent1"/>
              <w:right w:val="single" w:sz="8" w:space="0" w:color="4F81BD" w:themeColor="accent1"/>
            </w:tcBorders>
            <w:vAlign w:val="center"/>
          </w:tcPr>
          <w:p w14:paraId="3864E504"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Estado Actual</w:t>
            </w:r>
          </w:p>
        </w:tc>
      </w:tr>
      <w:tr w:rsidR="00835945" w14:paraId="1B0E5C5F" w14:textId="77777777" w:rsidTr="00A6302C">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31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0B4D5A54" w14:textId="77777777" w:rsidR="00835945" w:rsidRDefault="00835945" w:rsidP="00A6302C">
            <w:pPr>
              <w:jc w:val="center"/>
            </w:pPr>
            <w:r w:rsidRPr="31FF9146">
              <w:rPr>
                <w:rFonts w:eastAsia="Arial" w:cs="Arial"/>
                <w:color w:val="000000" w:themeColor="text1"/>
                <w:sz w:val="22"/>
                <w:szCs w:val="22"/>
                <w:lang w:val="es-MX"/>
              </w:rPr>
              <w:t>Información</w:t>
            </w:r>
          </w:p>
        </w:tc>
        <w:tc>
          <w:tcPr>
            <w:tcW w:w="341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318F0C8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 xml:space="preserve">En la vigencia 2019 se tenía un sistema de radicación de correspondencia que no cumplía con las necesidades funcionales del IGAC. </w:t>
            </w:r>
          </w:p>
          <w:p w14:paraId="57E1545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7A6E5723"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con el levantamiento para la creación de las TRD, por lo tanto, en la vigencia 2019 inició el levantamiento de información para la actualización de las TRD.</w:t>
            </w:r>
          </w:p>
          <w:p w14:paraId="7611D45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250D27B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 xml:space="preserve">Instrumentos Archivísticos (PINAR, PGD, SIC) desactualizados </w:t>
            </w:r>
          </w:p>
          <w:p w14:paraId="04B8696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tc>
        <w:tc>
          <w:tcPr>
            <w:tcW w:w="3622"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31B12FF3"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 xml:space="preserve">-Hacia finales de 2020 y lo que lleva corrido la presente vigencia, se implementó el Sistema de Gestión Documental – SIGAC- para la gestión de las comunicaciones de la entidad, que ha permitido la automatización, normalización y distribución de las comunicaciones, mejorando de esta manera los tiempos de respuesta, trazabilidad y racionalización de recursos. </w:t>
            </w:r>
          </w:p>
          <w:p w14:paraId="75893D5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2D03180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 xml:space="preserve">-Durante la vigencia 2021 el Proceso de Gestión Documental se encuentra adelantado el proceso de Evaluación y Convalidación de las TRD ante el Archivo General de la Nación, aclarando que, en ese instante se encuentran listas para ser sustentadas en Precomité Evaluador. </w:t>
            </w:r>
          </w:p>
          <w:p w14:paraId="6ABECF3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351F592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 xml:space="preserve">Instrumentos Archivísticos (PINAR, PGD, SIC) actualizados y aprobados por Comité de Gestión y Desempeño Institucional. </w:t>
            </w:r>
          </w:p>
          <w:p w14:paraId="0EACED0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rPr>
                <w:color w:val="000000" w:themeColor="text1"/>
                <w:lang w:val="es-MX"/>
              </w:rPr>
            </w:pPr>
          </w:p>
        </w:tc>
      </w:tr>
      <w:tr w:rsidR="00835945" w14:paraId="292EF438" w14:textId="77777777" w:rsidTr="00A6302C">
        <w:trPr>
          <w:trHeight w:val="2700"/>
        </w:trPr>
        <w:tc>
          <w:tcPr>
            <w:cnfStyle w:val="001000000000" w:firstRow="0" w:lastRow="0" w:firstColumn="1" w:lastColumn="0" w:oddVBand="0" w:evenVBand="0" w:oddHBand="0" w:evenHBand="0" w:firstRowFirstColumn="0" w:firstRowLastColumn="0" w:lastRowFirstColumn="0" w:lastRowLastColumn="0"/>
            <w:tcW w:w="231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0FA63C8" w14:textId="77777777" w:rsidR="00835945" w:rsidRDefault="00835945" w:rsidP="00A6302C">
            <w:pPr>
              <w:jc w:val="center"/>
            </w:pPr>
            <w:r w:rsidRPr="31FF9146">
              <w:rPr>
                <w:rFonts w:eastAsia="Arial" w:cs="Arial"/>
                <w:sz w:val="22"/>
                <w:szCs w:val="22"/>
                <w:lang w:val="es-MX"/>
              </w:rPr>
              <w:t>Alcance del proceso</w:t>
            </w:r>
          </w:p>
        </w:tc>
        <w:tc>
          <w:tcPr>
            <w:tcW w:w="34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0D2BD21"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El proceso de Gestión Documental era un Grupo Interno de Trabajo que pertenecía a la Secretaría General.</w:t>
            </w:r>
          </w:p>
          <w:p w14:paraId="5FAE9425"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477644B4"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En 2019 la gestión de correspondencia enmarcaba el proceso de </w:t>
            </w:r>
            <w:r w:rsidRPr="31FF9146">
              <w:rPr>
                <w:rFonts w:eastAsia="Arial" w:cs="Arial"/>
                <w:color w:val="000000" w:themeColor="text1"/>
                <w:sz w:val="22"/>
                <w:szCs w:val="22"/>
                <w:lang w:val="es"/>
              </w:rPr>
              <w:t xml:space="preserve">Recepción, registro, </w:t>
            </w:r>
            <w:r w:rsidRPr="31FF9146">
              <w:rPr>
                <w:rFonts w:eastAsia="Arial" w:cs="Arial"/>
                <w:i/>
                <w:iCs/>
                <w:color w:val="000000" w:themeColor="text1"/>
                <w:sz w:val="22"/>
                <w:szCs w:val="22"/>
                <w:lang w:val="es"/>
              </w:rPr>
              <w:t>radicación y distribución</w:t>
            </w:r>
            <w:r w:rsidRPr="31FF9146">
              <w:rPr>
                <w:rFonts w:eastAsia="Arial" w:cs="Arial"/>
                <w:color w:val="000000" w:themeColor="text1"/>
                <w:sz w:val="22"/>
                <w:szCs w:val="22"/>
                <w:lang w:val="es"/>
              </w:rPr>
              <w:t xml:space="preserve"> de comunicaciones en forma física, situación que incurría en </w:t>
            </w:r>
            <w:r w:rsidRPr="31FF9146">
              <w:rPr>
                <w:rFonts w:eastAsia="Arial" w:cs="Arial"/>
                <w:color w:val="000000" w:themeColor="text1"/>
                <w:sz w:val="22"/>
                <w:szCs w:val="22"/>
                <w:lang w:val="es"/>
              </w:rPr>
              <w:lastRenderedPageBreak/>
              <w:t xml:space="preserve">demoras y en riesgos de pérdida de información. </w:t>
            </w:r>
          </w:p>
        </w:tc>
        <w:tc>
          <w:tcPr>
            <w:tcW w:w="362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F36917F"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lastRenderedPageBreak/>
              <w:t>S</w:t>
            </w:r>
            <w:r w:rsidRPr="31FF9146">
              <w:rPr>
                <w:rFonts w:eastAsia="Arial" w:cs="Arial"/>
                <w:sz w:val="22"/>
                <w:szCs w:val="22"/>
                <w:lang w:val="es"/>
              </w:rPr>
              <w:t xml:space="preserve">e implementó el Sistema de Gestión Documental SIGAC, en razón, al impacto y trascendencia del mismo en el Instituto, resaltando que el mismo, permitió optimizar la Gestión, consulta y cargue de información segura, confiable, evitar pérdida de la documentación e información de la compañía, así como, la aceleración digital y de búsquedas de datos de forma rápida, precisa y oportuna en </w:t>
            </w:r>
            <w:r w:rsidRPr="31FF9146">
              <w:rPr>
                <w:rFonts w:eastAsia="Arial" w:cs="Arial"/>
                <w:sz w:val="22"/>
                <w:szCs w:val="22"/>
                <w:lang w:val="es"/>
              </w:rPr>
              <w:lastRenderedPageBreak/>
              <w:t>grandes volúmenes de información.</w:t>
            </w:r>
          </w:p>
          <w:p w14:paraId="0B788264"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
              </w:rPr>
              <w:t xml:space="preserve"> </w:t>
            </w:r>
          </w:p>
        </w:tc>
      </w:tr>
      <w:tr w:rsidR="00835945" w14:paraId="29C8022B" w14:textId="77777777" w:rsidTr="00A6302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31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095BE389" w14:textId="77777777" w:rsidR="00835945" w:rsidRDefault="00835945" w:rsidP="00A6302C">
            <w:pPr>
              <w:spacing w:line="254" w:lineRule="auto"/>
              <w:jc w:val="center"/>
            </w:pPr>
            <w:r w:rsidRPr="31FF9146">
              <w:rPr>
                <w:rFonts w:eastAsia="Arial" w:cs="Arial"/>
                <w:color w:val="000000" w:themeColor="text1"/>
                <w:sz w:val="22"/>
                <w:szCs w:val="22"/>
                <w:lang w:val="es-MX"/>
              </w:rPr>
              <w:lastRenderedPageBreak/>
              <w:t>Procedimientos</w:t>
            </w:r>
          </w:p>
        </w:tc>
        <w:tc>
          <w:tcPr>
            <w:tcW w:w="34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534B46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rPr>
              <w:t>Se contaba con unos procedimientos de la gestión de correspondencia enmarcados al Sistema CORDÍS.</w:t>
            </w:r>
          </w:p>
        </w:tc>
        <w:tc>
          <w:tcPr>
            <w:tcW w:w="362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1FA48C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rPr>
              <w:t>Se actualizaron los procedimientos de correspondencias a las nuevas funcionalidades del SIGAC</w:t>
            </w:r>
          </w:p>
        </w:tc>
      </w:tr>
      <w:tr w:rsidR="00835945" w14:paraId="3D663467" w14:textId="77777777" w:rsidTr="00A6302C">
        <w:trPr>
          <w:trHeight w:val="285"/>
        </w:trPr>
        <w:tc>
          <w:tcPr>
            <w:cnfStyle w:val="001000000000" w:firstRow="0" w:lastRow="0" w:firstColumn="1" w:lastColumn="0" w:oddVBand="0" w:evenVBand="0" w:oddHBand="0" w:evenHBand="0" w:firstRowFirstColumn="0" w:firstRowLastColumn="0" w:lastRowFirstColumn="0" w:lastRowLastColumn="0"/>
            <w:tcW w:w="231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790804DC" w14:textId="77777777" w:rsidR="00835945" w:rsidRDefault="00835945" w:rsidP="00A6302C">
            <w:pPr>
              <w:spacing w:line="254" w:lineRule="auto"/>
              <w:jc w:val="center"/>
            </w:pPr>
            <w:r w:rsidRPr="31FF9146">
              <w:rPr>
                <w:rFonts w:eastAsia="Arial" w:cs="Arial"/>
                <w:sz w:val="22"/>
                <w:szCs w:val="22"/>
                <w:lang w:val="es-MX"/>
              </w:rPr>
              <w:t>Equipo Humano</w:t>
            </w:r>
          </w:p>
        </w:tc>
        <w:tc>
          <w:tcPr>
            <w:tcW w:w="34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3AF5293"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2"/>
                <w:szCs w:val="22"/>
                <w:lang w:val="es-MX"/>
              </w:rPr>
            </w:pPr>
          </w:p>
          <w:p w14:paraId="37FFA58C"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El Grupo Interno de Trabajo contaba con 4 funcionarios de planta y 31 contratistas para realizar el proceso de acervo documental</w:t>
            </w:r>
          </w:p>
          <w:p w14:paraId="657EC506"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p>
        </w:tc>
        <w:tc>
          <w:tcPr>
            <w:tcW w:w="362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B5956DD"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2"/>
                <w:szCs w:val="22"/>
                <w:lang w:val="es-MX"/>
              </w:rPr>
            </w:pPr>
            <w:r w:rsidRPr="31FF9146">
              <w:rPr>
                <w:rFonts w:eastAsia="Arial" w:cs="Arial"/>
                <w:sz w:val="22"/>
                <w:szCs w:val="22"/>
                <w:lang w:val="es-MX"/>
              </w:rPr>
              <w:t>El proceso de Gestión Documental cuenta con 4 funcionarios de planta y 10 contratistas para realizar el proceso de acervo documental. La reducción de los contratistas se debe a la disminución del presupuesto del proyecto de inversión a cargo del proceso</w:t>
            </w:r>
          </w:p>
        </w:tc>
      </w:tr>
    </w:tbl>
    <w:p w14:paraId="14F51E46" w14:textId="77777777" w:rsidR="00835945" w:rsidRPr="007B552C" w:rsidRDefault="00835945" w:rsidP="00835945">
      <w:pPr>
        <w:spacing w:line="276" w:lineRule="auto"/>
        <w:jc w:val="center"/>
        <w:rPr>
          <w:rFonts w:eastAsia="Arial" w:cs="Arial"/>
          <w:b/>
          <w:bCs/>
          <w:sz w:val="16"/>
          <w:szCs w:val="16"/>
          <w:lang w:val="es"/>
        </w:rPr>
      </w:pPr>
      <w:r w:rsidRPr="007B552C">
        <w:rPr>
          <w:rFonts w:eastAsia="Arial" w:cs="Arial"/>
          <w:b/>
          <w:bCs/>
          <w:sz w:val="16"/>
          <w:szCs w:val="16"/>
          <w:lang w:val="es"/>
        </w:rPr>
        <w:t>Fuente: Secretaria General</w:t>
      </w:r>
    </w:p>
    <w:p w14:paraId="1A972884" w14:textId="77777777" w:rsidR="00835945" w:rsidRDefault="00835945" w:rsidP="00835945">
      <w:pPr>
        <w:spacing w:line="276" w:lineRule="auto"/>
        <w:jc w:val="both"/>
      </w:pPr>
    </w:p>
    <w:p w14:paraId="572D329A" w14:textId="76B06125" w:rsidR="007B552C" w:rsidRPr="007B552C" w:rsidRDefault="00835945" w:rsidP="000A20EE">
      <w:pPr>
        <w:pStyle w:val="Prrafodelista"/>
        <w:numPr>
          <w:ilvl w:val="3"/>
          <w:numId w:val="22"/>
        </w:numPr>
        <w:spacing w:line="276" w:lineRule="auto"/>
        <w:rPr>
          <w:rFonts w:eastAsia="Arial" w:cs="Arial"/>
          <w:b/>
          <w:bCs/>
          <w:sz w:val="22"/>
          <w:szCs w:val="22"/>
          <w:lang w:val="es"/>
        </w:rPr>
      </w:pPr>
      <w:r w:rsidRPr="007B552C">
        <w:rPr>
          <w:rFonts w:eastAsia="Arial" w:cs="Arial"/>
          <w:b/>
          <w:bCs/>
          <w:sz w:val="22"/>
          <w:szCs w:val="22"/>
          <w:lang w:val="es"/>
        </w:rPr>
        <w:t>GESTIÓN CONTRACTUAL</w:t>
      </w:r>
    </w:p>
    <w:p w14:paraId="1C1A0557" w14:textId="77777777" w:rsidR="00835945" w:rsidRDefault="00835945" w:rsidP="00835945">
      <w:pPr>
        <w:spacing w:line="276" w:lineRule="auto"/>
        <w:jc w:val="both"/>
      </w:pPr>
      <w:r w:rsidRPr="31FF9146">
        <w:rPr>
          <w:rFonts w:eastAsia="Arial" w:cs="Arial"/>
          <w:b/>
          <w:bCs/>
          <w:lang w:val="es"/>
        </w:rPr>
        <w:t xml:space="preserve"> </w:t>
      </w:r>
    </w:p>
    <w:tbl>
      <w:tblPr>
        <w:tblStyle w:val="Tablaconcuadrcula"/>
        <w:tblW w:w="0" w:type="auto"/>
        <w:tblLayout w:type="fixed"/>
        <w:tblLook w:val="04A0" w:firstRow="1" w:lastRow="0" w:firstColumn="1" w:lastColumn="0" w:noHBand="0" w:noVBand="1"/>
      </w:tblPr>
      <w:tblGrid>
        <w:gridCol w:w="2315"/>
        <w:gridCol w:w="3559"/>
        <w:gridCol w:w="3486"/>
      </w:tblGrid>
      <w:tr w:rsidR="00835945" w14:paraId="49C52933" w14:textId="77777777" w:rsidTr="00A6302C">
        <w:trPr>
          <w:trHeight w:val="315"/>
          <w:tblHeader/>
        </w:trPr>
        <w:tc>
          <w:tcPr>
            <w:tcW w:w="2315"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2D4B8DC8" w14:textId="77777777" w:rsidR="00835945" w:rsidRDefault="00835945" w:rsidP="00A6302C">
            <w:pPr>
              <w:jc w:val="center"/>
            </w:pPr>
            <w:r w:rsidRPr="31FF9146">
              <w:rPr>
                <w:rFonts w:eastAsia="Arial" w:cs="Arial"/>
                <w:b/>
                <w:bCs/>
                <w:color w:val="FFFFFF" w:themeColor="background1"/>
                <w:sz w:val="22"/>
                <w:szCs w:val="22"/>
                <w:lang w:val="es-MX"/>
              </w:rPr>
              <w:t>Ítem</w:t>
            </w:r>
          </w:p>
        </w:tc>
        <w:tc>
          <w:tcPr>
            <w:tcW w:w="3559" w:type="dxa"/>
            <w:tcBorders>
              <w:top w:val="single" w:sz="8" w:space="0" w:color="4F81BD" w:themeColor="accent1"/>
              <w:left w:val="nil"/>
              <w:bottom w:val="single" w:sz="8" w:space="0" w:color="4F81BD" w:themeColor="accent1"/>
              <w:right w:val="nil"/>
            </w:tcBorders>
            <w:shd w:val="clear" w:color="auto" w:fill="4F81BD" w:themeFill="accent1"/>
          </w:tcPr>
          <w:p w14:paraId="468B0DD1" w14:textId="77777777" w:rsidR="00835945" w:rsidRDefault="00835945" w:rsidP="00A6302C">
            <w:pPr>
              <w:jc w:val="center"/>
            </w:pPr>
            <w:r w:rsidRPr="31FF9146">
              <w:rPr>
                <w:rFonts w:eastAsia="Arial" w:cs="Arial"/>
                <w:b/>
                <w:bCs/>
                <w:color w:val="FFFFFF" w:themeColor="background1"/>
                <w:sz w:val="22"/>
                <w:szCs w:val="22"/>
                <w:lang w:val="es-MX"/>
              </w:rPr>
              <w:t xml:space="preserve">Estado Inicial  </w:t>
            </w:r>
          </w:p>
        </w:tc>
        <w:tc>
          <w:tcPr>
            <w:tcW w:w="3486"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5F9DF4CC" w14:textId="77777777" w:rsidR="00835945" w:rsidRDefault="00835945" w:rsidP="00A6302C">
            <w:pPr>
              <w:jc w:val="center"/>
            </w:pPr>
            <w:r w:rsidRPr="31FF9146">
              <w:rPr>
                <w:rFonts w:eastAsia="Arial" w:cs="Arial"/>
                <w:b/>
                <w:bCs/>
                <w:color w:val="FFFFFF" w:themeColor="background1"/>
                <w:sz w:val="22"/>
                <w:szCs w:val="22"/>
                <w:lang w:val="es-MX"/>
              </w:rPr>
              <w:t>Estado Actual</w:t>
            </w:r>
          </w:p>
        </w:tc>
      </w:tr>
      <w:tr w:rsidR="00835945" w14:paraId="29DB727D" w14:textId="77777777" w:rsidTr="00A6302C">
        <w:trPr>
          <w:trHeight w:val="240"/>
        </w:trPr>
        <w:tc>
          <w:tcPr>
            <w:tcW w:w="231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2BCA635E" w14:textId="77777777" w:rsidR="00835945" w:rsidRDefault="00835945" w:rsidP="00A6302C">
            <w:pPr>
              <w:jc w:val="center"/>
            </w:pPr>
            <w:r w:rsidRPr="31FF9146">
              <w:rPr>
                <w:rFonts w:eastAsia="Arial" w:cs="Arial"/>
                <w:b/>
                <w:bCs/>
                <w:color w:val="000000" w:themeColor="text1"/>
                <w:sz w:val="22"/>
                <w:szCs w:val="22"/>
                <w:lang w:val="es-MX"/>
              </w:rPr>
              <w:t>Información</w:t>
            </w:r>
          </w:p>
        </w:tc>
        <w:tc>
          <w:tcPr>
            <w:tcW w:w="355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E52DED3" w14:textId="77777777" w:rsidR="00835945" w:rsidRDefault="00835945" w:rsidP="00A6302C">
            <w:pPr>
              <w:jc w:val="both"/>
              <w:rPr>
                <w:rFonts w:eastAsia="Arial" w:cs="Arial"/>
                <w:color w:val="000000" w:themeColor="text1"/>
                <w:sz w:val="22"/>
                <w:szCs w:val="22"/>
                <w:lang w:val="es"/>
              </w:rPr>
            </w:pPr>
            <w:r w:rsidRPr="31FF9146">
              <w:rPr>
                <w:rFonts w:eastAsia="Arial" w:cs="Arial"/>
                <w:color w:val="000000" w:themeColor="text1"/>
                <w:sz w:val="22"/>
                <w:szCs w:val="22"/>
                <w:lang w:val="es"/>
              </w:rPr>
              <w:t>La conformación de expedientes de procesos contractuales se realizaba de forma física.</w:t>
            </w:r>
          </w:p>
          <w:p w14:paraId="1C3AF7AE" w14:textId="77777777" w:rsidR="00835945" w:rsidRDefault="00835945" w:rsidP="00A6302C">
            <w:pPr>
              <w:jc w:val="both"/>
              <w:rPr>
                <w:rFonts w:eastAsia="Arial" w:cs="Arial"/>
                <w:color w:val="000000" w:themeColor="text1"/>
                <w:sz w:val="22"/>
                <w:szCs w:val="22"/>
                <w:lang w:val="es"/>
              </w:rPr>
            </w:pPr>
          </w:p>
          <w:p w14:paraId="1D3C9C70" w14:textId="77777777" w:rsidR="00835945" w:rsidRDefault="00835945" w:rsidP="00A6302C">
            <w:pPr>
              <w:jc w:val="both"/>
            </w:pPr>
            <w:r w:rsidRPr="31FF9146">
              <w:rPr>
                <w:rFonts w:eastAsia="Arial" w:cs="Arial"/>
                <w:color w:val="000000" w:themeColor="text1"/>
                <w:sz w:val="22"/>
                <w:szCs w:val="22"/>
                <w:lang w:val="es"/>
              </w:rPr>
              <w:t>Flujos excesivos de aprobación en el SECOPII para trámites.</w:t>
            </w:r>
          </w:p>
          <w:p w14:paraId="394A4071" w14:textId="77777777" w:rsidR="00835945" w:rsidRDefault="00835945" w:rsidP="00A6302C">
            <w:pPr>
              <w:jc w:val="both"/>
            </w:pPr>
          </w:p>
        </w:tc>
        <w:tc>
          <w:tcPr>
            <w:tcW w:w="348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7096FB07" w14:textId="77777777" w:rsidR="00835945" w:rsidRDefault="00835945" w:rsidP="00A6302C">
            <w:pPr>
              <w:jc w:val="both"/>
              <w:rPr>
                <w:rFonts w:eastAsia="Arial" w:cs="Arial"/>
                <w:color w:val="000000" w:themeColor="text1"/>
                <w:sz w:val="22"/>
                <w:szCs w:val="22"/>
                <w:lang w:val="es"/>
              </w:rPr>
            </w:pPr>
            <w:r w:rsidRPr="31FF9146">
              <w:rPr>
                <w:rFonts w:eastAsia="Arial" w:cs="Arial"/>
                <w:color w:val="000000" w:themeColor="text1"/>
                <w:sz w:val="22"/>
                <w:szCs w:val="22"/>
                <w:lang w:val="es"/>
              </w:rPr>
              <w:t>Conformación de expedientes digitales para los procesos contractuales vigencia 2021.</w:t>
            </w:r>
          </w:p>
          <w:p w14:paraId="6B291C6C" w14:textId="77777777" w:rsidR="00835945" w:rsidRDefault="00835945" w:rsidP="00A6302C">
            <w:pPr>
              <w:jc w:val="both"/>
              <w:rPr>
                <w:color w:val="000000" w:themeColor="text1"/>
                <w:lang w:val="es"/>
              </w:rPr>
            </w:pPr>
          </w:p>
          <w:p w14:paraId="23345632" w14:textId="77777777" w:rsidR="00835945" w:rsidRDefault="00835945" w:rsidP="00A6302C">
            <w:pPr>
              <w:jc w:val="both"/>
            </w:pPr>
            <w:r w:rsidRPr="31FF9146">
              <w:rPr>
                <w:rFonts w:eastAsia="Arial" w:cs="Arial"/>
                <w:color w:val="000000" w:themeColor="text1"/>
                <w:sz w:val="22"/>
                <w:szCs w:val="22"/>
                <w:lang w:val="es-MX"/>
              </w:rPr>
              <w:t>Se ajustaron los flujos de aprobación en SECOPII para minimizar tiempos.</w:t>
            </w:r>
          </w:p>
        </w:tc>
      </w:tr>
      <w:tr w:rsidR="00835945" w14:paraId="38C5679C" w14:textId="77777777" w:rsidTr="00A6302C">
        <w:trPr>
          <w:trHeight w:val="240"/>
        </w:trPr>
        <w:tc>
          <w:tcPr>
            <w:tcW w:w="23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2C3F355" w14:textId="77777777" w:rsidR="00835945" w:rsidRDefault="00835945" w:rsidP="00A6302C">
            <w:pPr>
              <w:jc w:val="center"/>
            </w:pPr>
            <w:r w:rsidRPr="31FF9146">
              <w:rPr>
                <w:rFonts w:eastAsia="Arial" w:cs="Arial"/>
                <w:b/>
                <w:bCs/>
                <w:sz w:val="22"/>
                <w:szCs w:val="22"/>
                <w:lang w:val="es-MX"/>
              </w:rPr>
              <w:t>Alcance del proceso</w:t>
            </w:r>
          </w:p>
        </w:tc>
        <w:tc>
          <w:tcPr>
            <w:tcW w:w="355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25B007D" w14:textId="77777777" w:rsidR="00835945" w:rsidRDefault="00835945" w:rsidP="00A6302C">
            <w:pPr>
              <w:spacing w:line="276" w:lineRule="auto"/>
              <w:jc w:val="both"/>
            </w:pPr>
            <w:r w:rsidRPr="31FF9146">
              <w:rPr>
                <w:rFonts w:eastAsia="Arial" w:cs="Arial"/>
                <w:sz w:val="22"/>
                <w:szCs w:val="22"/>
                <w:lang w:val="es"/>
              </w:rPr>
              <w:t>Estaba conformado como Grupo Interno de Trabajo dependiendo de la Secretaría General y a su vez estaba a cargo el almacén de la entidad</w:t>
            </w:r>
          </w:p>
        </w:tc>
        <w:tc>
          <w:tcPr>
            <w:tcW w:w="348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82E7182" w14:textId="77777777" w:rsidR="00835945" w:rsidRDefault="00835945" w:rsidP="00A6302C">
            <w:pPr>
              <w:spacing w:line="276" w:lineRule="auto"/>
              <w:jc w:val="both"/>
            </w:pPr>
            <w:r w:rsidRPr="31FF9146">
              <w:rPr>
                <w:rFonts w:eastAsia="Arial" w:cs="Arial"/>
                <w:sz w:val="22"/>
                <w:szCs w:val="22"/>
                <w:lang w:val="es"/>
              </w:rPr>
              <w:t>Mediante la resolución 1095 de 2021 se conforma el Grupo Interno de Trabajo de Gestión Contractual el cual depende de la Subdirección Administrativa y Financiera, adicionalmente, debido al proceso de modernización, el proceso de inventarios pasó a depender del proceso de Gestión Administrativa</w:t>
            </w:r>
          </w:p>
        </w:tc>
      </w:tr>
      <w:tr w:rsidR="00835945" w14:paraId="2D0E6FA2" w14:textId="77777777" w:rsidTr="00A6302C">
        <w:trPr>
          <w:trHeight w:val="255"/>
        </w:trPr>
        <w:tc>
          <w:tcPr>
            <w:tcW w:w="23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824AE48" w14:textId="77777777" w:rsidR="00835945" w:rsidRDefault="00835945" w:rsidP="00A6302C">
            <w:pPr>
              <w:jc w:val="center"/>
            </w:pPr>
            <w:r w:rsidRPr="31FF9146">
              <w:rPr>
                <w:rFonts w:eastAsia="Arial" w:cs="Arial"/>
                <w:b/>
                <w:bCs/>
                <w:color w:val="000000" w:themeColor="text1"/>
                <w:sz w:val="22"/>
                <w:szCs w:val="22"/>
                <w:lang w:val="es-MX"/>
              </w:rPr>
              <w:lastRenderedPageBreak/>
              <w:t>Procedimientos</w:t>
            </w:r>
          </w:p>
        </w:tc>
        <w:tc>
          <w:tcPr>
            <w:tcW w:w="355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23EB522" w14:textId="77777777" w:rsidR="00835945" w:rsidRDefault="00835945" w:rsidP="00A6302C">
            <w:pPr>
              <w:spacing w:line="276" w:lineRule="auto"/>
              <w:jc w:val="both"/>
            </w:pPr>
            <w:r w:rsidRPr="31FF9146">
              <w:rPr>
                <w:rFonts w:eastAsia="Arial" w:cs="Arial"/>
                <w:color w:val="000000" w:themeColor="text1"/>
                <w:sz w:val="22"/>
                <w:szCs w:val="22"/>
              </w:rPr>
              <w:t>Se contaba con 2 manuales de procedimiento: contratación y supervisión, que permitían verificar las actividades desarrolladas por el proceso, adicional se tenía a cargo el almacén que contaban con 2 manuales de procedimientos con la gestión del almacén</w:t>
            </w:r>
          </w:p>
        </w:tc>
        <w:tc>
          <w:tcPr>
            <w:tcW w:w="348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AB79CF0" w14:textId="77777777" w:rsidR="00835945" w:rsidRDefault="00835945" w:rsidP="00A6302C">
            <w:pPr>
              <w:spacing w:line="276" w:lineRule="auto"/>
              <w:jc w:val="both"/>
            </w:pPr>
            <w:r w:rsidRPr="31FF9146">
              <w:rPr>
                <w:rFonts w:eastAsia="Arial" w:cs="Arial"/>
                <w:color w:val="000000" w:themeColor="text1"/>
                <w:sz w:val="22"/>
                <w:szCs w:val="22"/>
                <w:lang w:val="es"/>
              </w:rPr>
              <w:t>Se realizó el proceso de actualización de los manuales convirtiéndolos en procedimientos, en el cual, se establecieron las actividades que realmente se están desarrollando para propender con la transparencia del proceso.</w:t>
            </w:r>
          </w:p>
          <w:p w14:paraId="310C76E3" w14:textId="77777777" w:rsidR="00835945" w:rsidRDefault="00835945" w:rsidP="00A6302C">
            <w:pPr>
              <w:spacing w:line="276" w:lineRule="auto"/>
              <w:jc w:val="both"/>
            </w:pPr>
            <w:r w:rsidRPr="31FF9146">
              <w:rPr>
                <w:rFonts w:eastAsia="Arial" w:cs="Arial"/>
                <w:sz w:val="22"/>
                <w:szCs w:val="22"/>
                <w:lang w:val="es"/>
              </w:rPr>
              <w:t xml:space="preserve"> </w:t>
            </w:r>
          </w:p>
          <w:p w14:paraId="4639A8D3" w14:textId="77777777" w:rsidR="00835945" w:rsidRDefault="00835945" w:rsidP="00A6302C">
            <w:pPr>
              <w:spacing w:line="276" w:lineRule="auto"/>
              <w:jc w:val="both"/>
            </w:pPr>
            <w:r w:rsidRPr="31FF9146">
              <w:rPr>
                <w:rFonts w:eastAsia="Arial" w:cs="Arial"/>
                <w:color w:val="000000" w:themeColor="text1"/>
                <w:sz w:val="22"/>
                <w:szCs w:val="22"/>
                <w:lang w:val="es"/>
              </w:rPr>
              <w:t>El almacén fue traslado al proceso de gestión administrativa después de la modernización institucional.</w:t>
            </w:r>
          </w:p>
        </w:tc>
      </w:tr>
    </w:tbl>
    <w:p w14:paraId="1DDD708C" w14:textId="77777777" w:rsidR="00835945" w:rsidRPr="00871290" w:rsidRDefault="00835945" w:rsidP="00835945">
      <w:pPr>
        <w:spacing w:line="276" w:lineRule="auto"/>
        <w:jc w:val="center"/>
        <w:rPr>
          <w:rFonts w:eastAsia="Arial" w:cs="Arial"/>
          <w:b/>
          <w:bCs/>
          <w:sz w:val="16"/>
          <w:szCs w:val="16"/>
          <w:lang w:val="es"/>
        </w:rPr>
      </w:pPr>
      <w:r w:rsidRPr="00871290">
        <w:rPr>
          <w:rFonts w:eastAsia="Arial" w:cs="Arial"/>
          <w:b/>
          <w:bCs/>
          <w:lang w:val="es"/>
        </w:rPr>
        <w:t xml:space="preserve"> </w:t>
      </w:r>
      <w:r w:rsidRPr="00871290">
        <w:rPr>
          <w:rFonts w:eastAsia="Arial" w:cs="Arial"/>
          <w:b/>
          <w:bCs/>
          <w:sz w:val="16"/>
          <w:szCs w:val="16"/>
          <w:lang w:val="es"/>
        </w:rPr>
        <w:t>Fuente: Secretaria General</w:t>
      </w:r>
    </w:p>
    <w:p w14:paraId="53336467" w14:textId="77777777" w:rsidR="00835945" w:rsidRDefault="00835945" w:rsidP="00835945">
      <w:pPr>
        <w:spacing w:line="276" w:lineRule="auto"/>
        <w:jc w:val="both"/>
      </w:pPr>
    </w:p>
    <w:p w14:paraId="0DA380F6" w14:textId="6D61FFF5" w:rsidR="00871290" w:rsidRPr="00871290" w:rsidRDefault="00835945" w:rsidP="000A20EE">
      <w:pPr>
        <w:pStyle w:val="Prrafodelista"/>
        <w:numPr>
          <w:ilvl w:val="3"/>
          <w:numId w:val="22"/>
        </w:numPr>
        <w:spacing w:line="276" w:lineRule="auto"/>
        <w:rPr>
          <w:rFonts w:eastAsia="Arial" w:cs="Arial"/>
          <w:b/>
          <w:bCs/>
          <w:sz w:val="22"/>
          <w:szCs w:val="22"/>
          <w:lang w:val="es"/>
        </w:rPr>
      </w:pPr>
      <w:r w:rsidRPr="00871290">
        <w:rPr>
          <w:rFonts w:eastAsia="Arial" w:cs="Arial"/>
          <w:b/>
          <w:bCs/>
          <w:sz w:val="22"/>
          <w:szCs w:val="22"/>
          <w:lang w:val="es"/>
        </w:rPr>
        <w:t>GESTIÓN ADMINISTRATIVA</w:t>
      </w:r>
    </w:p>
    <w:p w14:paraId="0A409D8B" w14:textId="77777777" w:rsidR="00835945" w:rsidRDefault="00835945" w:rsidP="00835945">
      <w:pPr>
        <w:spacing w:line="276" w:lineRule="auto"/>
        <w:jc w:val="both"/>
      </w:pPr>
      <w:r w:rsidRPr="31FF9146">
        <w:rPr>
          <w:rFonts w:eastAsia="Arial" w:cs="Arial"/>
          <w:b/>
          <w:bCs/>
          <w:lang w:val="es"/>
        </w:rPr>
        <w:t xml:space="preserve"> </w:t>
      </w:r>
    </w:p>
    <w:tbl>
      <w:tblPr>
        <w:tblStyle w:val="Tabladecuadrcula4-nfasis1"/>
        <w:tblW w:w="0" w:type="auto"/>
        <w:tblLayout w:type="fixed"/>
        <w:tblLook w:val="04A0" w:firstRow="1" w:lastRow="0" w:firstColumn="1" w:lastColumn="0" w:noHBand="0" w:noVBand="1"/>
      </w:tblPr>
      <w:tblGrid>
        <w:gridCol w:w="2440"/>
        <w:gridCol w:w="3115"/>
        <w:gridCol w:w="3804"/>
      </w:tblGrid>
      <w:tr w:rsidR="00835945" w14:paraId="0B5A4B4E" w14:textId="77777777" w:rsidTr="00A6302C">
        <w:trPr>
          <w:cnfStyle w:val="100000000000" w:firstRow="1" w:lastRow="0" w:firstColumn="0" w:lastColumn="0" w:oddVBand="0" w:evenVBand="0" w:oddHBand="0"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440" w:type="dxa"/>
          </w:tcPr>
          <w:p w14:paraId="6BE8A3DA" w14:textId="77777777" w:rsidR="00835945" w:rsidRDefault="00835945" w:rsidP="00A6302C">
            <w:pPr>
              <w:jc w:val="center"/>
            </w:pPr>
            <w:r w:rsidRPr="31FF9146">
              <w:rPr>
                <w:rFonts w:eastAsia="Arial" w:cs="Arial"/>
                <w:b w:val="0"/>
                <w:bCs w:val="0"/>
                <w:sz w:val="22"/>
                <w:szCs w:val="22"/>
                <w:lang w:val="es-MX"/>
              </w:rPr>
              <w:t xml:space="preserve">Ítem </w:t>
            </w:r>
          </w:p>
        </w:tc>
        <w:tc>
          <w:tcPr>
            <w:tcW w:w="3115" w:type="dxa"/>
          </w:tcPr>
          <w:p w14:paraId="56E2D18A"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b w:val="0"/>
                <w:bCs w:val="0"/>
                <w:sz w:val="22"/>
                <w:szCs w:val="22"/>
                <w:lang w:val="es-MX"/>
              </w:rPr>
              <w:t xml:space="preserve">Estado Inicial   </w:t>
            </w:r>
          </w:p>
        </w:tc>
        <w:tc>
          <w:tcPr>
            <w:tcW w:w="3804" w:type="dxa"/>
          </w:tcPr>
          <w:p w14:paraId="568D71F9"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b w:val="0"/>
                <w:bCs w:val="0"/>
                <w:sz w:val="22"/>
                <w:szCs w:val="22"/>
                <w:lang w:val="es-MX"/>
              </w:rPr>
              <w:t xml:space="preserve">Estado Actual </w:t>
            </w:r>
          </w:p>
        </w:tc>
      </w:tr>
      <w:tr w:rsidR="00835945" w14:paraId="04CCBE63" w14:textId="77777777" w:rsidTr="00967F18">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2440" w:type="dxa"/>
            <w:vAlign w:val="center"/>
          </w:tcPr>
          <w:p w14:paraId="2207ADC1" w14:textId="1F575B26" w:rsidR="00835945" w:rsidRPr="00967F18" w:rsidRDefault="00835945" w:rsidP="00967F18">
            <w:pPr>
              <w:jc w:val="center"/>
            </w:pPr>
            <w:r w:rsidRPr="00967F18">
              <w:rPr>
                <w:rFonts w:eastAsia="Arial" w:cs="Arial"/>
                <w:bCs w:val="0"/>
                <w:sz w:val="22"/>
                <w:szCs w:val="22"/>
                <w:lang w:val="es-MX"/>
              </w:rPr>
              <w:t>Alcance del proceso</w:t>
            </w:r>
          </w:p>
        </w:tc>
        <w:tc>
          <w:tcPr>
            <w:tcW w:w="3115" w:type="dxa"/>
          </w:tcPr>
          <w:p w14:paraId="1BA1845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
              </w:rPr>
              <w:t>Se encontraba conformado como un Grupo Interno de Trabajo que pertenecía a la Secretaría General, adicionalmente lideraba el Sistema de Gestión Ambiental</w:t>
            </w:r>
          </w:p>
        </w:tc>
        <w:tc>
          <w:tcPr>
            <w:tcW w:w="3804" w:type="dxa"/>
          </w:tcPr>
          <w:p w14:paraId="1E5F563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
              </w:rPr>
              <w:t xml:space="preserve">Se encuentra como proceso de Gestión Administrativa perteneciente a la Subdirección Administrativa y Financiera, adicionalmente, cuenta con el proceso de inventarios (almacén) a cargo. </w:t>
            </w:r>
          </w:p>
          <w:p w14:paraId="4A7BA744"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rPr>
              <w:t>El Sistema de Gestión Ambiental es liderado por la Oficina Asesora de Planeación</w:t>
            </w:r>
          </w:p>
        </w:tc>
      </w:tr>
      <w:tr w:rsidR="00835945" w14:paraId="7582B7B8" w14:textId="77777777" w:rsidTr="00967F18">
        <w:trPr>
          <w:trHeight w:val="300"/>
        </w:trPr>
        <w:tc>
          <w:tcPr>
            <w:cnfStyle w:val="001000000000" w:firstRow="0" w:lastRow="0" w:firstColumn="1" w:lastColumn="0" w:oddVBand="0" w:evenVBand="0" w:oddHBand="0" w:evenHBand="0" w:firstRowFirstColumn="0" w:firstRowLastColumn="0" w:lastRowFirstColumn="0" w:lastRowLastColumn="0"/>
            <w:tcW w:w="2440" w:type="dxa"/>
            <w:vAlign w:val="center"/>
          </w:tcPr>
          <w:p w14:paraId="3DB097E8" w14:textId="7550953F" w:rsidR="00835945" w:rsidRPr="00967F18" w:rsidRDefault="00835945" w:rsidP="00967F18">
            <w:pPr>
              <w:jc w:val="center"/>
            </w:pPr>
            <w:r w:rsidRPr="00967F18">
              <w:rPr>
                <w:rFonts w:eastAsia="Arial" w:cs="Arial"/>
                <w:bCs w:val="0"/>
                <w:sz w:val="22"/>
                <w:szCs w:val="22"/>
                <w:lang w:val="es-MX"/>
              </w:rPr>
              <w:t>Equipo Humano</w:t>
            </w:r>
          </w:p>
        </w:tc>
        <w:tc>
          <w:tcPr>
            <w:tcW w:w="3115" w:type="dxa"/>
          </w:tcPr>
          <w:p w14:paraId="3AC0851C"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El Grupo Interno de Trabajo contaba con 40 funcionarios de planta y 22 contratistas para realizar las funciones asignadas</w:t>
            </w:r>
            <w:r w:rsidRPr="31FF9146">
              <w:rPr>
                <w:rFonts w:eastAsia="Arial" w:cs="Arial"/>
                <w:sz w:val="22"/>
                <w:szCs w:val="22"/>
              </w:rPr>
              <w:t>, dentro de este personal de planta tenemos a cargo a los conductores y personal de servicios generales</w:t>
            </w:r>
          </w:p>
        </w:tc>
        <w:tc>
          <w:tcPr>
            <w:tcW w:w="3804" w:type="dxa"/>
          </w:tcPr>
          <w:p w14:paraId="06BF573F"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rPr>
              <w:t>Actualmente contamos con 25 funcionarios de Planta y 8 contratistas .</w:t>
            </w:r>
          </w:p>
        </w:tc>
      </w:tr>
    </w:tbl>
    <w:p w14:paraId="0166C1A6" w14:textId="276AB5D5" w:rsidR="00835945" w:rsidRDefault="00835945" w:rsidP="00871290">
      <w:pPr>
        <w:spacing w:line="276" w:lineRule="auto"/>
        <w:jc w:val="center"/>
        <w:rPr>
          <w:rFonts w:eastAsia="Arial" w:cs="Arial"/>
          <w:b/>
          <w:bCs/>
          <w:sz w:val="16"/>
          <w:szCs w:val="16"/>
          <w:lang w:val="es"/>
        </w:rPr>
      </w:pPr>
      <w:r w:rsidRPr="00871290">
        <w:rPr>
          <w:rFonts w:eastAsia="Arial" w:cs="Arial"/>
          <w:b/>
          <w:bCs/>
          <w:lang w:val="es"/>
        </w:rPr>
        <w:t xml:space="preserve"> </w:t>
      </w:r>
      <w:r w:rsidRPr="00871290">
        <w:rPr>
          <w:rFonts w:eastAsia="Arial" w:cs="Arial"/>
          <w:b/>
          <w:bCs/>
          <w:sz w:val="16"/>
          <w:szCs w:val="16"/>
          <w:lang w:val="es"/>
        </w:rPr>
        <w:t>Fuente: Secretaria General</w:t>
      </w:r>
    </w:p>
    <w:p w14:paraId="70CE46C1" w14:textId="77777777" w:rsidR="00871290" w:rsidRPr="00871290" w:rsidRDefault="00871290" w:rsidP="00871290">
      <w:pPr>
        <w:spacing w:line="276" w:lineRule="auto"/>
        <w:jc w:val="center"/>
        <w:rPr>
          <w:rFonts w:eastAsia="Arial" w:cs="Arial"/>
          <w:b/>
          <w:bCs/>
          <w:sz w:val="16"/>
          <w:szCs w:val="16"/>
          <w:lang w:val="es"/>
        </w:rPr>
      </w:pPr>
    </w:p>
    <w:p w14:paraId="6B1D0EB1" w14:textId="261D9286" w:rsidR="00871290" w:rsidRPr="00871290" w:rsidRDefault="00835945" w:rsidP="000A20EE">
      <w:pPr>
        <w:pStyle w:val="Prrafodelista"/>
        <w:numPr>
          <w:ilvl w:val="3"/>
          <w:numId w:val="22"/>
        </w:numPr>
        <w:spacing w:line="276" w:lineRule="auto"/>
        <w:rPr>
          <w:rFonts w:eastAsia="Arial" w:cs="Arial"/>
          <w:b/>
          <w:bCs/>
          <w:sz w:val="22"/>
          <w:szCs w:val="22"/>
          <w:lang w:val="es"/>
        </w:rPr>
      </w:pPr>
      <w:r w:rsidRPr="00871290">
        <w:rPr>
          <w:rFonts w:eastAsia="Arial" w:cs="Arial"/>
          <w:b/>
          <w:bCs/>
          <w:sz w:val="22"/>
          <w:szCs w:val="22"/>
          <w:lang w:val="es"/>
        </w:rPr>
        <w:t>GESTIÓN FINANCIERA</w:t>
      </w:r>
    </w:p>
    <w:p w14:paraId="01F8ACE2" w14:textId="77777777" w:rsidR="00835945" w:rsidRDefault="00835945" w:rsidP="00835945">
      <w:pPr>
        <w:spacing w:line="276" w:lineRule="auto"/>
        <w:jc w:val="both"/>
      </w:pPr>
      <w:r w:rsidRPr="31FF9146">
        <w:rPr>
          <w:rFonts w:eastAsia="Arial" w:cs="Arial"/>
          <w:b/>
          <w:bCs/>
          <w:lang w:val="es"/>
        </w:rPr>
        <w:t xml:space="preserve"> </w:t>
      </w:r>
    </w:p>
    <w:tbl>
      <w:tblPr>
        <w:tblStyle w:val="Tabladecuadrcula4-nfasis1"/>
        <w:tblW w:w="0" w:type="auto"/>
        <w:tblLayout w:type="fixed"/>
        <w:tblLook w:val="04A0" w:firstRow="1" w:lastRow="0" w:firstColumn="1" w:lastColumn="0" w:noHBand="0" w:noVBand="1"/>
      </w:tblPr>
      <w:tblGrid>
        <w:gridCol w:w="2440"/>
        <w:gridCol w:w="3115"/>
        <w:gridCol w:w="3804"/>
      </w:tblGrid>
      <w:tr w:rsidR="00835945" w14:paraId="1C0F13C1" w14:textId="77777777" w:rsidTr="00871290">
        <w:trPr>
          <w:cnfStyle w:val="100000000000" w:firstRow="1" w:lastRow="0" w:firstColumn="0" w:lastColumn="0" w:oddVBand="0" w:evenVBand="0" w:oddHBand="0"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440" w:type="dxa"/>
          </w:tcPr>
          <w:p w14:paraId="3C0D1200" w14:textId="77777777" w:rsidR="00835945" w:rsidRDefault="00835945" w:rsidP="00A6302C">
            <w:pPr>
              <w:jc w:val="center"/>
            </w:pPr>
            <w:r w:rsidRPr="31FF9146">
              <w:rPr>
                <w:rFonts w:eastAsia="Arial" w:cs="Arial"/>
                <w:sz w:val="22"/>
                <w:szCs w:val="22"/>
                <w:lang w:val="es-MX"/>
              </w:rPr>
              <w:t xml:space="preserve">Ítem </w:t>
            </w:r>
          </w:p>
        </w:tc>
        <w:tc>
          <w:tcPr>
            <w:tcW w:w="3115" w:type="dxa"/>
          </w:tcPr>
          <w:p w14:paraId="5C7850CF"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Estado Inicial   </w:t>
            </w:r>
          </w:p>
        </w:tc>
        <w:tc>
          <w:tcPr>
            <w:tcW w:w="3804" w:type="dxa"/>
          </w:tcPr>
          <w:p w14:paraId="0EC0F8A2"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Estado Actual </w:t>
            </w:r>
          </w:p>
        </w:tc>
      </w:tr>
      <w:tr w:rsidR="00835945" w14:paraId="6B720D5C" w14:textId="77777777" w:rsidTr="00871290">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2440" w:type="dxa"/>
          </w:tcPr>
          <w:p w14:paraId="09758FBC" w14:textId="77777777" w:rsidR="00835945" w:rsidRDefault="00835945" w:rsidP="00A6302C">
            <w:pPr>
              <w:jc w:val="center"/>
            </w:pPr>
            <w:r w:rsidRPr="31FF9146">
              <w:rPr>
                <w:rFonts w:eastAsia="Arial" w:cs="Arial"/>
                <w:sz w:val="22"/>
                <w:szCs w:val="22"/>
                <w:lang w:val="es-MX"/>
              </w:rPr>
              <w:lastRenderedPageBreak/>
              <w:t xml:space="preserve">Alcance del proceso </w:t>
            </w:r>
          </w:p>
        </w:tc>
        <w:tc>
          <w:tcPr>
            <w:tcW w:w="3115" w:type="dxa"/>
          </w:tcPr>
          <w:p w14:paraId="7E17D0B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
              </w:rPr>
              <w:t>Se encontraba conformado como un Grupo Interno de Trabajo de Gestión Financiera y al interior de este GIT se contaba con el GIT de Presupuesto, el Git de Contabilidad y el GIT de Tesorería</w:t>
            </w:r>
          </w:p>
        </w:tc>
        <w:tc>
          <w:tcPr>
            <w:tcW w:w="3804" w:type="dxa"/>
          </w:tcPr>
          <w:p w14:paraId="72B02B1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
              </w:rPr>
              <w:t>Se encuentra como proceso de Gestión Financiera perteneciente a la Subdirección Administrativa y Financiera, mediante la resolución 1095 de 2021 se conforma el GIT de Contabilidad</w:t>
            </w:r>
          </w:p>
        </w:tc>
      </w:tr>
    </w:tbl>
    <w:p w14:paraId="117773F1" w14:textId="77777777" w:rsidR="00835945" w:rsidRPr="00871290" w:rsidRDefault="00835945" w:rsidP="00835945">
      <w:pPr>
        <w:spacing w:line="276" w:lineRule="auto"/>
        <w:jc w:val="center"/>
        <w:rPr>
          <w:rFonts w:eastAsia="Arial" w:cs="Arial"/>
          <w:b/>
          <w:bCs/>
          <w:sz w:val="16"/>
          <w:szCs w:val="16"/>
          <w:lang w:val="es"/>
        </w:rPr>
      </w:pPr>
      <w:r w:rsidRPr="31FF9146">
        <w:rPr>
          <w:rFonts w:eastAsia="Arial" w:cs="Arial"/>
          <w:b/>
          <w:bCs/>
          <w:lang w:val="es"/>
        </w:rPr>
        <w:t xml:space="preserve"> </w:t>
      </w:r>
      <w:r w:rsidRPr="00871290">
        <w:rPr>
          <w:rFonts w:eastAsia="Arial" w:cs="Arial"/>
          <w:b/>
          <w:bCs/>
          <w:sz w:val="16"/>
          <w:szCs w:val="16"/>
          <w:lang w:val="es"/>
        </w:rPr>
        <w:t>Fuente: Secretaria General</w:t>
      </w:r>
    </w:p>
    <w:p w14:paraId="2EA79F39" w14:textId="77777777" w:rsidR="00835945" w:rsidRDefault="00835945" w:rsidP="00835945">
      <w:pPr>
        <w:spacing w:line="276" w:lineRule="auto"/>
        <w:jc w:val="both"/>
      </w:pPr>
    </w:p>
    <w:p w14:paraId="6F9409CC" w14:textId="77777777" w:rsidR="00835945" w:rsidRDefault="00835945" w:rsidP="00835945">
      <w:pPr>
        <w:spacing w:line="276" w:lineRule="auto"/>
        <w:jc w:val="both"/>
      </w:pPr>
      <w:r>
        <w:rPr>
          <w:rFonts w:eastAsia="Arial" w:cs="Arial"/>
          <w:b/>
          <w:bCs/>
          <w:sz w:val="22"/>
          <w:szCs w:val="22"/>
          <w:lang w:val="es"/>
        </w:rPr>
        <w:t>4.6.4</w:t>
      </w:r>
      <w:r w:rsidRPr="31FF9146">
        <w:rPr>
          <w:rFonts w:eastAsia="Arial" w:cs="Arial"/>
          <w:b/>
          <w:bCs/>
          <w:sz w:val="22"/>
          <w:szCs w:val="22"/>
          <w:lang w:val="es"/>
        </w:rPr>
        <w:t>.5 GESTIÓN DE TALENTO HUMANO</w:t>
      </w:r>
    </w:p>
    <w:p w14:paraId="1D48CAE0" w14:textId="77777777" w:rsidR="001E5F34" w:rsidRPr="001E5F34" w:rsidRDefault="00835945" w:rsidP="001E5F34">
      <w:pPr>
        <w:spacing w:line="276" w:lineRule="auto"/>
        <w:jc w:val="both"/>
        <w:rPr>
          <w:rFonts w:eastAsia="Arial" w:cs="Arial"/>
          <w:b/>
          <w:bCs/>
          <w:lang w:val="es"/>
        </w:rPr>
      </w:pPr>
      <w:r w:rsidRPr="31FF9146">
        <w:rPr>
          <w:rFonts w:eastAsia="Arial" w:cs="Arial"/>
          <w:b/>
          <w:bCs/>
          <w:lang w:val="es"/>
        </w:rPr>
        <w:t xml:space="preserve"> </w:t>
      </w:r>
    </w:p>
    <w:tbl>
      <w:tblPr>
        <w:tblStyle w:val="Tabladecuadrcula4-nfasis1"/>
        <w:tblW w:w="0" w:type="auto"/>
        <w:tblLayout w:type="fixed"/>
        <w:tblLook w:val="04A0" w:firstRow="1" w:lastRow="0" w:firstColumn="1" w:lastColumn="0" w:noHBand="0" w:noVBand="1"/>
      </w:tblPr>
      <w:tblGrid>
        <w:gridCol w:w="2440"/>
        <w:gridCol w:w="3115"/>
        <w:gridCol w:w="3804"/>
      </w:tblGrid>
      <w:tr w:rsidR="00835945" w14:paraId="206DEFF6" w14:textId="77777777" w:rsidTr="00A6302C">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4F81BD" w:themeColor="accent1"/>
              <w:left w:val="single" w:sz="8" w:space="0" w:color="4F81BD" w:themeColor="accent1"/>
              <w:bottom w:val="single" w:sz="8" w:space="0" w:color="4F81BD" w:themeColor="accent1"/>
            </w:tcBorders>
          </w:tcPr>
          <w:p w14:paraId="0C9BBF48" w14:textId="77777777" w:rsidR="00835945" w:rsidRDefault="00835945" w:rsidP="00A6302C">
            <w:pPr>
              <w:spacing w:line="276" w:lineRule="auto"/>
              <w:jc w:val="center"/>
            </w:pPr>
            <w:r w:rsidRPr="31FF9146">
              <w:rPr>
                <w:rFonts w:eastAsia="Arial" w:cs="Arial"/>
                <w:sz w:val="22"/>
                <w:szCs w:val="22"/>
                <w:lang w:val="es-MX"/>
              </w:rPr>
              <w:t>Ítem</w:t>
            </w:r>
          </w:p>
        </w:tc>
        <w:tc>
          <w:tcPr>
            <w:tcW w:w="3115" w:type="dxa"/>
            <w:tcBorders>
              <w:top w:val="single" w:sz="8" w:space="0" w:color="4F81BD" w:themeColor="accent1"/>
              <w:bottom w:val="single" w:sz="8" w:space="0" w:color="4F81BD" w:themeColor="accent1"/>
            </w:tcBorders>
          </w:tcPr>
          <w:p w14:paraId="4E05E0B5" w14:textId="77777777" w:rsidR="00835945" w:rsidRDefault="00835945" w:rsidP="00A6302C">
            <w:pPr>
              <w:spacing w:line="276" w:lineRule="auto"/>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Estado Inicial  </w:t>
            </w:r>
          </w:p>
        </w:tc>
        <w:tc>
          <w:tcPr>
            <w:tcW w:w="3804" w:type="dxa"/>
            <w:tcBorders>
              <w:top w:val="single" w:sz="8" w:space="0" w:color="4F81BD" w:themeColor="accent1"/>
              <w:bottom w:val="single" w:sz="8" w:space="0" w:color="4F81BD" w:themeColor="accent1"/>
              <w:right w:val="single" w:sz="8" w:space="0" w:color="4F81BD" w:themeColor="accent1"/>
            </w:tcBorders>
          </w:tcPr>
          <w:p w14:paraId="528A5865" w14:textId="77777777" w:rsidR="00835945" w:rsidRDefault="00835945" w:rsidP="00A6302C">
            <w:pPr>
              <w:spacing w:line="276" w:lineRule="auto"/>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Estado Actual</w:t>
            </w:r>
          </w:p>
        </w:tc>
      </w:tr>
      <w:tr w:rsidR="00835945" w14:paraId="374EE374" w14:textId="77777777" w:rsidTr="00A6302C">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349B7EF8" w14:textId="77777777" w:rsidR="00835945" w:rsidRDefault="00835945" w:rsidP="00A6302C">
            <w:pPr>
              <w:spacing w:line="276" w:lineRule="auto"/>
              <w:jc w:val="center"/>
              <w:rPr>
                <w:rFonts w:eastAsia="Arial" w:cs="Arial"/>
                <w:color w:val="000000" w:themeColor="text1"/>
                <w:sz w:val="22"/>
                <w:szCs w:val="22"/>
                <w:lang w:val="es-MX"/>
              </w:rPr>
            </w:pPr>
          </w:p>
          <w:p w14:paraId="4C62B853" w14:textId="77777777" w:rsidR="00835945" w:rsidRDefault="00835945" w:rsidP="00A6302C">
            <w:pPr>
              <w:spacing w:line="276" w:lineRule="auto"/>
              <w:jc w:val="center"/>
              <w:rPr>
                <w:rFonts w:eastAsia="Arial" w:cs="Arial"/>
                <w:color w:val="000000" w:themeColor="text1"/>
                <w:sz w:val="22"/>
                <w:szCs w:val="22"/>
                <w:lang w:val="es-MX"/>
              </w:rPr>
            </w:pPr>
          </w:p>
          <w:p w14:paraId="024625E4" w14:textId="77777777" w:rsidR="00835945" w:rsidRDefault="00835945" w:rsidP="00A6302C">
            <w:pPr>
              <w:spacing w:line="276" w:lineRule="auto"/>
              <w:jc w:val="center"/>
              <w:rPr>
                <w:rFonts w:eastAsia="Arial" w:cs="Arial"/>
                <w:color w:val="000000" w:themeColor="text1"/>
                <w:sz w:val="22"/>
                <w:szCs w:val="22"/>
                <w:lang w:val="es-MX"/>
              </w:rPr>
            </w:pPr>
          </w:p>
          <w:p w14:paraId="58285838" w14:textId="77777777" w:rsidR="00835945" w:rsidRDefault="00835945" w:rsidP="00A6302C">
            <w:pPr>
              <w:spacing w:line="276" w:lineRule="auto"/>
              <w:jc w:val="center"/>
              <w:rPr>
                <w:rFonts w:eastAsia="Arial" w:cs="Arial"/>
                <w:color w:val="000000" w:themeColor="text1"/>
                <w:sz w:val="22"/>
                <w:szCs w:val="22"/>
                <w:lang w:val="es-MX"/>
              </w:rPr>
            </w:pPr>
          </w:p>
          <w:p w14:paraId="1ECD459F" w14:textId="77777777" w:rsidR="00835945" w:rsidRDefault="00835945" w:rsidP="00A6302C">
            <w:pPr>
              <w:spacing w:line="276" w:lineRule="auto"/>
              <w:jc w:val="center"/>
              <w:rPr>
                <w:rFonts w:eastAsia="Arial" w:cs="Arial"/>
                <w:color w:val="000000" w:themeColor="text1"/>
                <w:sz w:val="22"/>
                <w:szCs w:val="22"/>
                <w:lang w:val="es-MX"/>
              </w:rPr>
            </w:pPr>
          </w:p>
          <w:p w14:paraId="43F4B71C" w14:textId="77777777" w:rsidR="00835945" w:rsidRDefault="00835945" w:rsidP="00A6302C">
            <w:pPr>
              <w:spacing w:line="276" w:lineRule="auto"/>
              <w:jc w:val="center"/>
              <w:rPr>
                <w:rFonts w:eastAsia="Arial" w:cs="Arial"/>
                <w:color w:val="000000" w:themeColor="text1"/>
                <w:sz w:val="22"/>
                <w:szCs w:val="22"/>
                <w:lang w:val="es-MX"/>
              </w:rPr>
            </w:pPr>
          </w:p>
          <w:p w14:paraId="1E21788D" w14:textId="77777777" w:rsidR="00835945" w:rsidRDefault="00835945" w:rsidP="00A6302C">
            <w:pPr>
              <w:spacing w:line="276" w:lineRule="auto"/>
              <w:jc w:val="center"/>
              <w:rPr>
                <w:rFonts w:eastAsia="Arial" w:cs="Arial"/>
                <w:color w:val="000000" w:themeColor="text1"/>
                <w:sz w:val="22"/>
                <w:szCs w:val="22"/>
                <w:lang w:val="es-MX"/>
              </w:rPr>
            </w:pPr>
          </w:p>
          <w:p w14:paraId="051A88BA" w14:textId="77777777" w:rsidR="00835945" w:rsidRDefault="00835945" w:rsidP="00A6302C">
            <w:pPr>
              <w:spacing w:line="276" w:lineRule="auto"/>
              <w:jc w:val="center"/>
              <w:rPr>
                <w:rFonts w:eastAsia="Arial" w:cs="Arial"/>
                <w:color w:val="000000" w:themeColor="text1"/>
                <w:sz w:val="22"/>
                <w:szCs w:val="22"/>
                <w:lang w:val="es-MX"/>
              </w:rPr>
            </w:pPr>
          </w:p>
          <w:p w14:paraId="65FBF054" w14:textId="77777777" w:rsidR="00835945" w:rsidRDefault="00835945" w:rsidP="00A6302C">
            <w:pPr>
              <w:spacing w:line="276" w:lineRule="auto"/>
              <w:jc w:val="center"/>
              <w:rPr>
                <w:rFonts w:eastAsia="Arial" w:cs="Arial"/>
                <w:color w:val="000000" w:themeColor="text1"/>
                <w:sz w:val="22"/>
                <w:szCs w:val="22"/>
                <w:lang w:val="es-MX"/>
              </w:rPr>
            </w:pPr>
          </w:p>
          <w:p w14:paraId="0D3FBF87" w14:textId="77777777" w:rsidR="00835945" w:rsidRDefault="00835945" w:rsidP="00A6302C">
            <w:pPr>
              <w:spacing w:line="276" w:lineRule="auto"/>
              <w:jc w:val="center"/>
            </w:pPr>
            <w:r w:rsidRPr="31FF9146">
              <w:rPr>
                <w:rFonts w:eastAsia="Arial" w:cs="Arial"/>
                <w:color w:val="000000" w:themeColor="text1"/>
                <w:sz w:val="22"/>
                <w:szCs w:val="22"/>
                <w:lang w:val="es-MX"/>
              </w:rPr>
              <w:t>Información</w:t>
            </w:r>
          </w:p>
        </w:tc>
        <w:tc>
          <w:tcPr>
            <w:tcW w:w="311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1A35EE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Información diversa, donde no se articulaban los procesos de Gestión de Talento Humano.</w:t>
            </w:r>
          </w:p>
          <w:p w14:paraId="537DB5D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18B5C9B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con un repositorio para consulta de la información por parte del equipo de trabajo.</w:t>
            </w:r>
          </w:p>
          <w:p w14:paraId="1108CF7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1A0CF655"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con actos administrativos para adoptar los diferentes planes de los procesos de Gestión de Talento Humano.</w:t>
            </w:r>
          </w:p>
          <w:p w14:paraId="7E52E162"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4C9D69E2"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Directorios internos actualizados para consulta de los funcionarios.</w:t>
            </w:r>
          </w:p>
          <w:p w14:paraId="4DF3D18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1DBAEEE2"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con el Manual de Funciones actualizado y publicado para consulta de los funcionarios</w:t>
            </w:r>
          </w:p>
        </w:tc>
        <w:tc>
          <w:tcPr>
            <w:tcW w:w="3804"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276B13B8"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51E0357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procesos articulados.</w:t>
            </w:r>
          </w:p>
          <w:p w14:paraId="2170C65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7E76C256"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un repositorio - Drive con los procesos de Talento Humano, donde registra los informes de gestión con sus respectivas evidencias.</w:t>
            </w:r>
          </w:p>
          <w:p w14:paraId="2D0A544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0050FFF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actos administrativos de adopción de los seis (6) planes del proceso de Talento Humano.</w:t>
            </w:r>
          </w:p>
          <w:p w14:paraId="3E777E98"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09404FF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los directorios actualizados en IGACNET y Pagina Web.</w:t>
            </w:r>
          </w:p>
          <w:p w14:paraId="03493258"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2A1D0B7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el Manual de Funciones actualizado y publicado en la página web de la entidad.</w:t>
            </w:r>
          </w:p>
        </w:tc>
      </w:tr>
      <w:tr w:rsidR="00835945" w14:paraId="0151DB6B"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8789B3A" w14:textId="77777777" w:rsidR="00835945" w:rsidRDefault="00835945" w:rsidP="00A6302C">
            <w:pPr>
              <w:spacing w:line="276" w:lineRule="auto"/>
              <w:jc w:val="center"/>
              <w:rPr>
                <w:lang w:val="es-MX"/>
              </w:rPr>
            </w:pPr>
          </w:p>
          <w:p w14:paraId="75E7E1D9" w14:textId="77777777" w:rsidR="00835945" w:rsidRDefault="00835945" w:rsidP="00A6302C">
            <w:pPr>
              <w:spacing w:line="276" w:lineRule="auto"/>
              <w:jc w:val="center"/>
              <w:rPr>
                <w:rFonts w:eastAsia="Arial" w:cs="Arial"/>
                <w:sz w:val="22"/>
                <w:szCs w:val="22"/>
                <w:lang w:val="es-MX"/>
              </w:rPr>
            </w:pPr>
          </w:p>
          <w:p w14:paraId="5BD0439B" w14:textId="77777777" w:rsidR="00835945" w:rsidRDefault="00835945" w:rsidP="00A6302C">
            <w:pPr>
              <w:spacing w:line="276" w:lineRule="auto"/>
              <w:jc w:val="center"/>
            </w:pPr>
            <w:r w:rsidRPr="31FF9146">
              <w:rPr>
                <w:rFonts w:eastAsia="Arial" w:cs="Arial"/>
                <w:sz w:val="22"/>
                <w:szCs w:val="22"/>
                <w:lang w:val="es-MX"/>
              </w:rPr>
              <w:t>Alcance del proceso</w:t>
            </w:r>
          </w:p>
        </w:tc>
        <w:tc>
          <w:tcPr>
            <w:tcW w:w="31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FBE8239"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2A96BAA5"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Estaba conformado como Grupo Interno de Trabajo que se encontraba a cargo de la Secretaría General.</w:t>
            </w:r>
          </w:p>
          <w:p w14:paraId="73832208"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08BD81CC"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No se contaba con la modalidad de Teletrabajo.</w:t>
            </w:r>
          </w:p>
          <w:p w14:paraId="6929305F"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6C318E5E"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No se contaba con Comisión de Personal de Orden Nacional</w:t>
            </w:r>
          </w:p>
          <w:p w14:paraId="442F8E88"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lastRenderedPageBreak/>
              <w:t xml:space="preserve"> </w:t>
            </w:r>
          </w:p>
          <w:p w14:paraId="6F7BBDE9"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No se contaba con lineamientos para el proceso de Encargos</w:t>
            </w:r>
          </w:p>
        </w:tc>
        <w:tc>
          <w:tcPr>
            <w:tcW w:w="380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93190EC"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lastRenderedPageBreak/>
              <w:t xml:space="preserve">Se cuenta con una Subdirección de Talento Humano. </w:t>
            </w:r>
          </w:p>
          <w:p w14:paraId="7D91A28B"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5715B597"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Mediante acto administrativo, se conforma el Equipo Líder de Teletrabajo y se implementan las acciones tendientes a la realización de Teletrabajo en el Instituto.</w:t>
            </w:r>
          </w:p>
          <w:p w14:paraId="76E44EE0"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2FB2CC3B"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La creación y materialización del proceso de votaciones de manera </w:t>
            </w:r>
            <w:r w:rsidRPr="31FF9146">
              <w:rPr>
                <w:rFonts w:eastAsia="Arial" w:cs="Arial"/>
                <w:sz w:val="22"/>
                <w:szCs w:val="22"/>
                <w:lang w:val="es-MX"/>
              </w:rPr>
              <w:lastRenderedPageBreak/>
              <w:t>virtual y creación de la Comisión de Personal de Orden Nacional.</w:t>
            </w:r>
          </w:p>
          <w:p w14:paraId="7951B9CA"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4F5169BA"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Se cuenta con un procedimiento de Encargos.</w:t>
            </w:r>
          </w:p>
        </w:tc>
      </w:tr>
      <w:tr w:rsidR="00835945" w14:paraId="7DA95721" w14:textId="77777777" w:rsidTr="00A6302C">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C5B38FD" w14:textId="77777777" w:rsidR="00835945" w:rsidRDefault="00835945" w:rsidP="00A6302C">
            <w:pPr>
              <w:spacing w:line="276" w:lineRule="auto"/>
              <w:jc w:val="center"/>
            </w:pPr>
            <w:r w:rsidRPr="31FF9146">
              <w:rPr>
                <w:rFonts w:eastAsia="Arial" w:cs="Arial"/>
                <w:sz w:val="22"/>
                <w:szCs w:val="22"/>
                <w:lang w:val="es-MX"/>
              </w:rPr>
              <w:lastRenderedPageBreak/>
              <w:t xml:space="preserve"> </w:t>
            </w:r>
          </w:p>
          <w:p w14:paraId="12A626B1" w14:textId="77777777" w:rsidR="00835945" w:rsidRDefault="00835945" w:rsidP="00A6302C">
            <w:pPr>
              <w:spacing w:line="276" w:lineRule="auto"/>
              <w:jc w:val="center"/>
              <w:rPr>
                <w:rFonts w:eastAsia="Arial" w:cs="Arial"/>
                <w:color w:val="000000" w:themeColor="text1"/>
                <w:sz w:val="22"/>
                <w:szCs w:val="22"/>
                <w:lang w:val="es-MX"/>
              </w:rPr>
            </w:pPr>
          </w:p>
          <w:p w14:paraId="0B271F02" w14:textId="77777777" w:rsidR="00835945" w:rsidRDefault="00835945" w:rsidP="00A6302C">
            <w:pPr>
              <w:spacing w:line="276" w:lineRule="auto"/>
              <w:jc w:val="center"/>
              <w:rPr>
                <w:rFonts w:eastAsia="Arial" w:cs="Arial"/>
                <w:color w:val="000000" w:themeColor="text1"/>
                <w:sz w:val="22"/>
                <w:szCs w:val="22"/>
                <w:lang w:val="es-MX"/>
              </w:rPr>
            </w:pPr>
          </w:p>
          <w:p w14:paraId="76DD46DF" w14:textId="77777777" w:rsidR="00835945" w:rsidRDefault="00835945" w:rsidP="00A6302C">
            <w:pPr>
              <w:spacing w:line="276" w:lineRule="auto"/>
              <w:jc w:val="center"/>
            </w:pPr>
            <w:r w:rsidRPr="31FF9146">
              <w:rPr>
                <w:rFonts w:eastAsia="Arial" w:cs="Arial"/>
                <w:color w:val="000000" w:themeColor="text1"/>
                <w:sz w:val="22"/>
                <w:szCs w:val="22"/>
                <w:lang w:val="es-MX"/>
              </w:rPr>
              <w:t>Seguimiento</w:t>
            </w:r>
          </w:p>
        </w:tc>
        <w:tc>
          <w:tcPr>
            <w:tcW w:w="31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1F4CD3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No se contaba con mesas de trabajo con las Direcciones Territoriales para el acompañamiento de los procesos de Talento Humano.</w:t>
            </w:r>
          </w:p>
          <w:p w14:paraId="4771F96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7A7A656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tc>
        <w:tc>
          <w:tcPr>
            <w:tcW w:w="380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491BB1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realizan mesas de trabajo cada dos meses con el objetivo de acompañar a las Direcciones Territoriales en lo concerniente a los procesos de Talento Humano.</w:t>
            </w:r>
          </w:p>
          <w:p w14:paraId="25C47AD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tc>
      </w:tr>
      <w:tr w:rsidR="00835945" w14:paraId="2B41D68D"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48082B3" w14:textId="77777777" w:rsidR="00835945" w:rsidRDefault="00835945" w:rsidP="00A6302C">
            <w:pPr>
              <w:spacing w:line="276" w:lineRule="auto"/>
              <w:jc w:val="center"/>
            </w:pPr>
            <w:r w:rsidRPr="31FF9146">
              <w:rPr>
                <w:rFonts w:eastAsia="Arial" w:cs="Arial"/>
                <w:sz w:val="22"/>
                <w:szCs w:val="22"/>
                <w:lang w:val="es-MX"/>
              </w:rPr>
              <w:t xml:space="preserve"> </w:t>
            </w:r>
          </w:p>
          <w:p w14:paraId="3122F4A8" w14:textId="77777777" w:rsidR="00835945" w:rsidRDefault="00835945" w:rsidP="00A6302C">
            <w:pPr>
              <w:spacing w:line="276" w:lineRule="auto"/>
              <w:jc w:val="center"/>
            </w:pPr>
            <w:r w:rsidRPr="31FF9146">
              <w:rPr>
                <w:rFonts w:eastAsia="Arial" w:cs="Arial"/>
                <w:sz w:val="22"/>
                <w:szCs w:val="22"/>
                <w:lang w:val="es-MX"/>
              </w:rPr>
              <w:t xml:space="preserve"> </w:t>
            </w:r>
          </w:p>
          <w:p w14:paraId="25108C87" w14:textId="77777777" w:rsidR="00835945" w:rsidRDefault="00835945" w:rsidP="00A6302C">
            <w:pPr>
              <w:spacing w:line="276" w:lineRule="auto"/>
              <w:jc w:val="center"/>
            </w:pPr>
            <w:r w:rsidRPr="31FF9146">
              <w:rPr>
                <w:rFonts w:eastAsia="Arial" w:cs="Arial"/>
                <w:sz w:val="22"/>
                <w:szCs w:val="22"/>
                <w:lang w:val="es-MX"/>
              </w:rPr>
              <w:t xml:space="preserve"> </w:t>
            </w:r>
          </w:p>
          <w:p w14:paraId="06EBD310" w14:textId="77777777" w:rsidR="00835945" w:rsidRDefault="00835945" w:rsidP="00A6302C">
            <w:pPr>
              <w:spacing w:line="276" w:lineRule="auto"/>
              <w:jc w:val="center"/>
            </w:pPr>
            <w:r w:rsidRPr="31FF9146">
              <w:rPr>
                <w:rFonts w:eastAsia="Arial" w:cs="Arial"/>
                <w:sz w:val="22"/>
                <w:szCs w:val="22"/>
                <w:lang w:val="es-MX"/>
              </w:rPr>
              <w:t xml:space="preserve">  </w:t>
            </w:r>
          </w:p>
          <w:p w14:paraId="200CD33F" w14:textId="77777777" w:rsidR="00835945" w:rsidRDefault="00835945" w:rsidP="00A6302C">
            <w:pPr>
              <w:spacing w:line="276" w:lineRule="auto"/>
              <w:jc w:val="center"/>
            </w:pPr>
            <w:r w:rsidRPr="31FF9146">
              <w:rPr>
                <w:rFonts w:eastAsia="Arial" w:cs="Arial"/>
                <w:sz w:val="22"/>
                <w:szCs w:val="22"/>
                <w:lang w:val="es-MX"/>
              </w:rPr>
              <w:t>Procedimientos</w:t>
            </w:r>
          </w:p>
        </w:tc>
        <w:tc>
          <w:tcPr>
            <w:tcW w:w="31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710E7D6"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4E9ACF50"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 xml:space="preserve"> </w:t>
            </w:r>
          </w:p>
          <w:p w14:paraId="24101059"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color w:val="FF0000"/>
                <w:sz w:val="22"/>
                <w:szCs w:val="22"/>
                <w:lang w:val="es-MX"/>
              </w:rPr>
              <w:t xml:space="preserve"> </w:t>
            </w:r>
          </w:p>
          <w:p w14:paraId="174FE978"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Se contaba con doce (12) manuales de procedimientos desactualizados.</w:t>
            </w:r>
          </w:p>
        </w:tc>
        <w:tc>
          <w:tcPr>
            <w:tcW w:w="380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FBC70D7"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Se ha realizado la actualización de los procedimientos, en los cuales se están plasmando las actividades y puntos de control para el correcto funcionamiento de los procesos, adicionalmente, gracias al trabajo realizado de revisión de todos los procesos nos encontramos en etapa de creación de cinco (5) procedimientos.</w:t>
            </w:r>
          </w:p>
        </w:tc>
      </w:tr>
      <w:tr w:rsidR="00835945" w14:paraId="4B41C80D" w14:textId="77777777" w:rsidTr="00A6302C">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4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7D0AF2D" w14:textId="77777777" w:rsidR="00835945" w:rsidRDefault="00835945" w:rsidP="00A6302C">
            <w:pPr>
              <w:spacing w:line="276" w:lineRule="auto"/>
              <w:jc w:val="center"/>
            </w:pPr>
            <w:r w:rsidRPr="31FF9146">
              <w:rPr>
                <w:rFonts w:eastAsia="Arial" w:cs="Arial"/>
                <w:sz w:val="22"/>
                <w:szCs w:val="22"/>
                <w:lang w:val="es-MX"/>
              </w:rPr>
              <w:t xml:space="preserve"> </w:t>
            </w:r>
          </w:p>
          <w:p w14:paraId="3BDCFD8E" w14:textId="77777777" w:rsidR="00835945" w:rsidRDefault="00835945" w:rsidP="00A6302C">
            <w:pPr>
              <w:spacing w:line="276" w:lineRule="auto"/>
              <w:jc w:val="center"/>
            </w:pPr>
            <w:r w:rsidRPr="31FF9146">
              <w:rPr>
                <w:rFonts w:eastAsia="Arial" w:cs="Arial"/>
                <w:color w:val="000000" w:themeColor="text1"/>
                <w:sz w:val="22"/>
                <w:szCs w:val="22"/>
                <w:lang w:val="es-MX"/>
              </w:rPr>
              <w:t>Equipo Humano</w:t>
            </w:r>
          </w:p>
        </w:tc>
        <w:tc>
          <w:tcPr>
            <w:tcW w:w="311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7F810DF"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contaba con un equipo de trabajo de 32 personas (15 contratistas y 17 de planta)</w:t>
            </w:r>
          </w:p>
        </w:tc>
        <w:tc>
          <w:tcPr>
            <w:tcW w:w="380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2ABFE25"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Se cuenta con un equipo de trabajo 24 personas (8 contratistas y 16 de planta)</w:t>
            </w:r>
          </w:p>
        </w:tc>
      </w:tr>
    </w:tbl>
    <w:p w14:paraId="35A4893E" w14:textId="77777777" w:rsidR="00835945" w:rsidRPr="00CB183A" w:rsidRDefault="00835945" w:rsidP="00835945">
      <w:pPr>
        <w:spacing w:line="276" w:lineRule="auto"/>
        <w:jc w:val="center"/>
        <w:rPr>
          <w:rFonts w:eastAsia="Arial" w:cs="Arial"/>
          <w:b/>
          <w:bCs/>
          <w:sz w:val="16"/>
          <w:szCs w:val="16"/>
          <w:lang w:val="es"/>
        </w:rPr>
      </w:pPr>
      <w:r w:rsidRPr="00CB183A">
        <w:rPr>
          <w:rFonts w:eastAsia="Arial" w:cs="Arial"/>
          <w:b/>
          <w:bCs/>
          <w:lang w:val="es"/>
        </w:rPr>
        <w:t xml:space="preserve"> </w:t>
      </w:r>
      <w:r w:rsidRPr="00CB183A">
        <w:rPr>
          <w:rFonts w:eastAsia="Arial" w:cs="Arial"/>
          <w:b/>
          <w:bCs/>
          <w:sz w:val="16"/>
          <w:szCs w:val="16"/>
          <w:lang w:val="es"/>
        </w:rPr>
        <w:t>Fuente: Secretaria General</w:t>
      </w:r>
    </w:p>
    <w:p w14:paraId="0431E64B" w14:textId="77777777" w:rsidR="00835945" w:rsidRDefault="00835945" w:rsidP="00835945">
      <w:pPr>
        <w:spacing w:line="276" w:lineRule="auto"/>
        <w:jc w:val="both"/>
      </w:pPr>
    </w:p>
    <w:p w14:paraId="095C8BC3" w14:textId="617CD5F9" w:rsidR="00835945" w:rsidRDefault="00835945" w:rsidP="00835945">
      <w:pPr>
        <w:jc w:val="both"/>
      </w:pPr>
      <w:r>
        <w:rPr>
          <w:rFonts w:eastAsia="Arial" w:cs="Arial"/>
          <w:b/>
          <w:bCs/>
          <w:sz w:val="22"/>
          <w:szCs w:val="22"/>
          <w:lang w:val="es"/>
        </w:rPr>
        <w:t>4.6.5</w:t>
      </w:r>
      <w:r w:rsidRPr="31FF9146">
        <w:rPr>
          <w:rFonts w:eastAsia="Arial" w:cs="Arial"/>
          <w:b/>
          <w:bCs/>
          <w:sz w:val="22"/>
          <w:szCs w:val="22"/>
          <w:lang w:val="es"/>
        </w:rPr>
        <w:t xml:space="preserve"> PROCEDIMIENTOS, INDICADORES Y RIESGOS ASOCIADOS A LOS PROCESOS DE LA SECRETARÍA GENERAL</w:t>
      </w:r>
    </w:p>
    <w:p w14:paraId="3E6A7A60" w14:textId="77777777" w:rsidR="00835945" w:rsidRDefault="00835945" w:rsidP="00835945">
      <w:pPr>
        <w:jc w:val="both"/>
      </w:pPr>
      <w:r w:rsidRPr="31FF9146">
        <w:rPr>
          <w:rFonts w:eastAsia="Arial" w:cs="Arial"/>
          <w:sz w:val="22"/>
          <w:szCs w:val="22"/>
          <w:lang w:val="es-MX"/>
        </w:rPr>
        <w:t xml:space="preserve"> </w:t>
      </w:r>
    </w:p>
    <w:p w14:paraId="15E59A1B" w14:textId="77777777" w:rsidR="00CB53C0" w:rsidRPr="00CB53C0" w:rsidRDefault="00835945" w:rsidP="00CB53C0">
      <w:pPr>
        <w:jc w:val="both"/>
        <w:rPr>
          <w:rFonts w:eastAsia="Arial" w:cs="Arial"/>
          <w:color w:val="000000" w:themeColor="text1"/>
          <w:sz w:val="22"/>
          <w:szCs w:val="22"/>
          <w:lang w:val="es"/>
        </w:rPr>
      </w:pPr>
      <w:r w:rsidRPr="31FF9146">
        <w:rPr>
          <w:rFonts w:eastAsia="Arial" w:cs="Arial"/>
          <w:color w:val="000000" w:themeColor="text1"/>
          <w:sz w:val="22"/>
          <w:szCs w:val="22"/>
          <w:lang w:val="es"/>
        </w:rPr>
        <w:t>A continuación, se detallan el total de procedimientos, indicadores y riesgos por proceso y subproceso:</w:t>
      </w:r>
    </w:p>
    <w:p w14:paraId="2455C07F" w14:textId="77777777" w:rsidR="00835945" w:rsidRDefault="00835945" w:rsidP="00835945">
      <w:pPr>
        <w:spacing w:line="254" w:lineRule="auto"/>
        <w:jc w:val="both"/>
      </w:pPr>
      <w:r w:rsidRPr="31FF9146">
        <w:rPr>
          <w:rFonts w:eastAsia="Arial" w:cs="Arial"/>
          <w:sz w:val="22"/>
          <w:szCs w:val="22"/>
          <w:lang w:val="es-MX"/>
        </w:rPr>
        <w:t xml:space="preserve"> </w:t>
      </w:r>
    </w:p>
    <w:tbl>
      <w:tblPr>
        <w:tblStyle w:val="Tablaconcuadrcula"/>
        <w:tblW w:w="0" w:type="auto"/>
        <w:tblLayout w:type="fixed"/>
        <w:tblLook w:val="04A0" w:firstRow="1" w:lastRow="0" w:firstColumn="1" w:lastColumn="0" w:noHBand="0" w:noVBand="1"/>
      </w:tblPr>
      <w:tblGrid>
        <w:gridCol w:w="1528"/>
        <w:gridCol w:w="3468"/>
        <w:gridCol w:w="1807"/>
        <w:gridCol w:w="1528"/>
        <w:gridCol w:w="1029"/>
      </w:tblGrid>
      <w:tr w:rsidR="00835945" w:rsidRPr="006C4C5F" w14:paraId="389E07BB" w14:textId="77777777" w:rsidTr="00A6302C">
        <w:trPr>
          <w:trHeight w:val="15"/>
        </w:trPr>
        <w:tc>
          <w:tcPr>
            <w:tcW w:w="1528"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08C694F1" w14:textId="77777777" w:rsidR="00835945" w:rsidRPr="006C4C5F" w:rsidRDefault="00835945" w:rsidP="00A6302C">
            <w:pPr>
              <w:jc w:val="center"/>
              <w:rPr>
                <w:b/>
                <w:color w:val="FFFFFF" w:themeColor="background1"/>
                <w:sz w:val="20"/>
                <w:szCs w:val="20"/>
              </w:rPr>
            </w:pPr>
            <w:r w:rsidRPr="006C4C5F">
              <w:rPr>
                <w:rFonts w:eastAsia="Arial" w:cs="Arial"/>
                <w:b/>
                <w:bCs/>
                <w:color w:val="FFFFFF" w:themeColor="background1"/>
                <w:sz w:val="20"/>
                <w:szCs w:val="20"/>
                <w:lang w:val="es"/>
              </w:rPr>
              <w:t>Proceso</w:t>
            </w:r>
          </w:p>
        </w:tc>
        <w:tc>
          <w:tcPr>
            <w:tcW w:w="3468" w:type="dxa"/>
            <w:tcBorders>
              <w:top w:val="single" w:sz="8" w:space="0" w:color="4F81BD" w:themeColor="accent1"/>
              <w:left w:val="nil"/>
              <w:bottom w:val="single" w:sz="8" w:space="0" w:color="4F81BD" w:themeColor="accent1"/>
              <w:right w:val="nil"/>
            </w:tcBorders>
            <w:shd w:val="clear" w:color="auto" w:fill="4F81BD" w:themeFill="accent1"/>
          </w:tcPr>
          <w:p w14:paraId="454C9BFF" w14:textId="77777777" w:rsidR="00835945" w:rsidRPr="006C4C5F" w:rsidRDefault="00835945" w:rsidP="00A6302C">
            <w:pPr>
              <w:jc w:val="center"/>
              <w:rPr>
                <w:b/>
                <w:color w:val="FFFFFF" w:themeColor="background1"/>
                <w:sz w:val="20"/>
                <w:szCs w:val="20"/>
              </w:rPr>
            </w:pPr>
            <w:r w:rsidRPr="006C4C5F">
              <w:rPr>
                <w:rFonts w:eastAsia="Arial" w:cs="Arial"/>
                <w:b/>
                <w:color w:val="FFFFFF" w:themeColor="background1"/>
                <w:sz w:val="20"/>
                <w:szCs w:val="20"/>
                <w:lang w:val="es"/>
              </w:rPr>
              <w:t>Subproceso</w:t>
            </w:r>
          </w:p>
        </w:tc>
        <w:tc>
          <w:tcPr>
            <w:tcW w:w="1807" w:type="dxa"/>
            <w:tcBorders>
              <w:top w:val="single" w:sz="8" w:space="0" w:color="4F81BD" w:themeColor="accent1"/>
              <w:left w:val="nil"/>
              <w:bottom w:val="single" w:sz="8" w:space="0" w:color="4F81BD" w:themeColor="accent1"/>
              <w:right w:val="nil"/>
            </w:tcBorders>
            <w:shd w:val="clear" w:color="auto" w:fill="4F81BD" w:themeFill="accent1"/>
          </w:tcPr>
          <w:p w14:paraId="27095330" w14:textId="77777777" w:rsidR="00835945" w:rsidRPr="006C4C5F" w:rsidRDefault="00835945" w:rsidP="00A6302C">
            <w:pPr>
              <w:jc w:val="center"/>
              <w:rPr>
                <w:b/>
                <w:color w:val="FFFFFF" w:themeColor="background1"/>
                <w:sz w:val="20"/>
                <w:szCs w:val="20"/>
              </w:rPr>
            </w:pPr>
            <w:r w:rsidRPr="006C4C5F">
              <w:rPr>
                <w:rFonts w:eastAsia="Arial" w:cs="Arial"/>
                <w:b/>
                <w:color w:val="FFFFFF" w:themeColor="background1"/>
                <w:sz w:val="20"/>
                <w:szCs w:val="20"/>
                <w:lang w:val="es"/>
              </w:rPr>
              <w:t>Procedimientos</w:t>
            </w:r>
          </w:p>
        </w:tc>
        <w:tc>
          <w:tcPr>
            <w:tcW w:w="1528" w:type="dxa"/>
            <w:tcBorders>
              <w:top w:val="single" w:sz="8" w:space="0" w:color="4F81BD" w:themeColor="accent1"/>
              <w:left w:val="nil"/>
              <w:bottom w:val="single" w:sz="8" w:space="0" w:color="4F81BD" w:themeColor="accent1"/>
              <w:right w:val="nil"/>
            </w:tcBorders>
            <w:shd w:val="clear" w:color="auto" w:fill="4F81BD" w:themeFill="accent1"/>
          </w:tcPr>
          <w:p w14:paraId="2BC93234" w14:textId="77777777" w:rsidR="00835945" w:rsidRPr="006C4C5F" w:rsidRDefault="00835945" w:rsidP="00A6302C">
            <w:pPr>
              <w:jc w:val="center"/>
              <w:rPr>
                <w:b/>
                <w:color w:val="FFFFFF" w:themeColor="background1"/>
                <w:sz w:val="20"/>
                <w:szCs w:val="20"/>
              </w:rPr>
            </w:pPr>
            <w:r w:rsidRPr="006C4C5F">
              <w:rPr>
                <w:rFonts w:eastAsia="Arial" w:cs="Arial"/>
                <w:b/>
                <w:color w:val="FFFFFF" w:themeColor="background1"/>
                <w:sz w:val="20"/>
                <w:szCs w:val="20"/>
                <w:lang w:val="es"/>
              </w:rPr>
              <w:t>Indicadores</w:t>
            </w:r>
          </w:p>
        </w:tc>
        <w:tc>
          <w:tcPr>
            <w:tcW w:w="1029"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6097BF98" w14:textId="77777777" w:rsidR="00835945" w:rsidRPr="006C4C5F" w:rsidRDefault="00835945" w:rsidP="00A6302C">
            <w:pPr>
              <w:jc w:val="center"/>
              <w:rPr>
                <w:b/>
                <w:color w:val="FFFFFF" w:themeColor="background1"/>
                <w:sz w:val="20"/>
                <w:szCs w:val="20"/>
              </w:rPr>
            </w:pPr>
            <w:r w:rsidRPr="006C4C5F">
              <w:rPr>
                <w:rFonts w:eastAsia="Arial" w:cs="Arial"/>
                <w:b/>
                <w:color w:val="FFFFFF" w:themeColor="background1"/>
                <w:sz w:val="20"/>
                <w:szCs w:val="20"/>
                <w:lang w:val="es"/>
              </w:rPr>
              <w:t>Riesgos</w:t>
            </w:r>
          </w:p>
        </w:tc>
      </w:tr>
      <w:tr w:rsidR="00835945" w:rsidRPr="006C4C5F" w14:paraId="40D6F5F4" w14:textId="77777777" w:rsidTr="00A6302C">
        <w:trPr>
          <w:trHeight w:val="15"/>
        </w:trPr>
        <w:tc>
          <w:tcPr>
            <w:tcW w:w="1528" w:type="dxa"/>
            <w:vMerge w:val="restart"/>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219B5EC9" w14:textId="77777777" w:rsidR="00835945" w:rsidRPr="006C4C5F" w:rsidRDefault="00835945" w:rsidP="00A6302C">
            <w:pPr>
              <w:jc w:val="center"/>
              <w:rPr>
                <w:sz w:val="20"/>
                <w:szCs w:val="20"/>
              </w:rPr>
            </w:pPr>
          </w:p>
          <w:p w14:paraId="6090144B" w14:textId="77777777" w:rsidR="00835945" w:rsidRPr="006C4C5F" w:rsidRDefault="00835945" w:rsidP="00A6302C">
            <w:pPr>
              <w:jc w:val="center"/>
              <w:rPr>
                <w:sz w:val="20"/>
                <w:szCs w:val="20"/>
              </w:rPr>
            </w:pPr>
          </w:p>
          <w:p w14:paraId="126761D5" w14:textId="77777777" w:rsidR="00835945" w:rsidRPr="006C4C5F" w:rsidRDefault="00835945" w:rsidP="00A6302C">
            <w:pPr>
              <w:jc w:val="center"/>
              <w:rPr>
                <w:sz w:val="20"/>
                <w:szCs w:val="20"/>
              </w:rPr>
            </w:pPr>
            <w:r w:rsidRPr="006C4C5F">
              <w:rPr>
                <w:rFonts w:eastAsia="Arial" w:cs="Arial"/>
                <w:b/>
                <w:bCs/>
                <w:color w:val="000000" w:themeColor="text1"/>
                <w:sz w:val="20"/>
                <w:szCs w:val="20"/>
                <w:lang w:val="es"/>
              </w:rPr>
              <w:t>Gestión de Talento Humano</w:t>
            </w:r>
          </w:p>
        </w:tc>
        <w:tc>
          <w:tcPr>
            <w:tcW w:w="346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2320E107" w14:textId="77777777" w:rsidR="00835945" w:rsidRPr="006C4C5F" w:rsidRDefault="00835945" w:rsidP="00A6302C">
            <w:pPr>
              <w:jc w:val="both"/>
              <w:rPr>
                <w:sz w:val="20"/>
                <w:szCs w:val="20"/>
              </w:rPr>
            </w:pPr>
            <w:r w:rsidRPr="006C4C5F">
              <w:rPr>
                <w:rFonts w:eastAsia="Arial" w:cs="Arial"/>
                <w:color w:val="000000" w:themeColor="text1"/>
                <w:sz w:val="20"/>
                <w:szCs w:val="20"/>
                <w:lang w:val="es"/>
              </w:rPr>
              <w:t>Administración de Personal</w:t>
            </w:r>
          </w:p>
        </w:tc>
        <w:tc>
          <w:tcPr>
            <w:tcW w:w="180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F65894F"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2</w:t>
            </w:r>
          </w:p>
        </w:tc>
        <w:tc>
          <w:tcPr>
            <w:tcW w:w="152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5516548"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0</w:t>
            </w:r>
          </w:p>
        </w:tc>
        <w:tc>
          <w:tcPr>
            <w:tcW w:w="102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EA73CDF"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1</w:t>
            </w:r>
          </w:p>
        </w:tc>
      </w:tr>
      <w:tr w:rsidR="00835945" w:rsidRPr="006C4C5F" w14:paraId="1DAD5616" w14:textId="77777777" w:rsidTr="00A6302C">
        <w:trPr>
          <w:trHeight w:val="15"/>
        </w:trPr>
        <w:tc>
          <w:tcPr>
            <w:tcW w:w="1528" w:type="dxa"/>
            <w:vMerge/>
            <w:tcBorders>
              <w:left w:val="single" w:sz="0" w:space="0" w:color="95B3D7" w:themeColor="accent1" w:themeTint="99"/>
              <w:right w:val="single" w:sz="0" w:space="0" w:color="95B3D7" w:themeColor="accent1" w:themeTint="99"/>
            </w:tcBorders>
            <w:vAlign w:val="center"/>
          </w:tcPr>
          <w:p w14:paraId="11A65B4C" w14:textId="77777777" w:rsidR="00835945" w:rsidRPr="006C4C5F"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36093B4A" w14:textId="77777777" w:rsidR="00835945" w:rsidRPr="006C4C5F" w:rsidRDefault="00835945" w:rsidP="00A6302C">
            <w:pPr>
              <w:jc w:val="both"/>
              <w:rPr>
                <w:sz w:val="20"/>
                <w:szCs w:val="20"/>
              </w:rPr>
            </w:pPr>
            <w:r w:rsidRPr="006C4C5F">
              <w:rPr>
                <w:rFonts w:eastAsia="Arial" w:cs="Arial"/>
                <w:sz w:val="20"/>
                <w:szCs w:val="20"/>
                <w:lang w:val="es"/>
              </w:rPr>
              <w:t>Calidad de Vida</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B346711" w14:textId="77777777" w:rsidR="00835945" w:rsidRPr="006C4C5F" w:rsidRDefault="00835945" w:rsidP="00A6302C">
            <w:pPr>
              <w:jc w:val="center"/>
              <w:rPr>
                <w:sz w:val="20"/>
                <w:szCs w:val="20"/>
              </w:rPr>
            </w:pPr>
            <w:r w:rsidRPr="006C4C5F">
              <w:rPr>
                <w:rFonts w:eastAsia="Arial" w:cs="Arial"/>
                <w:sz w:val="20"/>
                <w:szCs w:val="20"/>
                <w:lang w:val="es"/>
              </w:rPr>
              <w:t>2</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4462C134" w14:textId="77777777" w:rsidR="00835945" w:rsidRPr="006C4C5F" w:rsidRDefault="00835945" w:rsidP="00A6302C">
            <w:pPr>
              <w:jc w:val="center"/>
              <w:rPr>
                <w:sz w:val="20"/>
                <w:szCs w:val="20"/>
              </w:rPr>
            </w:pPr>
            <w:r w:rsidRPr="006C4C5F">
              <w:rPr>
                <w:rFonts w:eastAsia="Arial" w:cs="Arial"/>
                <w:sz w:val="20"/>
                <w:szCs w:val="20"/>
                <w:lang w:val="es"/>
              </w:rPr>
              <w:t>0</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B9AD36A" w14:textId="77777777" w:rsidR="00835945" w:rsidRPr="006C4C5F" w:rsidRDefault="00835945" w:rsidP="00A6302C">
            <w:pPr>
              <w:jc w:val="center"/>
              <w:rPr>
                <w:sz w:val="20"/>
                <w:szCs w:val="20"/>
              </w:rPr>
            </w:pPr>
            <w:r w:rsidRPr="006C4C5F">
              <w:rPr>
                <w:rFonts w:eastAsia="Arial" w:cs="Arial"/>
                <w:sz w:val="20"/>
                <w:szCs w:val="20"/>
                <w:lang w:val="es"/>
              </w:rPr>
              <w:t>0</w:t>
            </w:r>
          </w:p>
        </w:tc>
      </w:tr>
      <w:tr w:rsidR="00835945" w:rsidRPr="006C4C5F" w14:paraId="625E30AC" w14:textId="77777777" w:rsidTr="00A6302C">
        <w:trPr>
          <w:trHeight w:val="15"/>
        </w:trPr>
        <w:tc>
          <w:tcPr>
            <w:tcW w:w="1528" w:type="dxa"/>
            <w:vMerge/>
            <w:tcBorders>
              <w:left w:val="single" w:sz="0" w:space="0" w:color="95B3D7" w:themeColor="accent1" w:themeTint="99"/>
              <w:right w:val="single" w:sz="0" w:space="0" w:color="95B3D7" w:themeColor="accent1" w:themeTint="99"/>
            </w:tcBorders>
            <w:vAlign w:val="center"/>
          </w:tcPr>
          <w:p w14:paraId="1DCC55E6" w14:textId="77777777" w:rsidR="00835945" w:rsidRPr="006C4C5F"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43080C1B" w14:textId="77777777" w:rsidR="00835945" w:rsidRPr="006C4C5F" w:rsidRDefault="00835945" w:rsidP="00A6302C">
            <w:pPr>
              <w:jc w:val="both"/>
              <w:rPr>
                <w:sz w:val="20"/>
                <w:szCs w:val="20"/>
              </w:rPr>
            </w:pPr>
            <w:r w:rsidRPr="006C4C5F">
              <w:rPr>
                <w:rFonts w:eastAsia="Arial" w:cs="Arial"/>
                <w:color w:val="000000" w:themeColor="text1"/>
                <w:sz w:val="20"/>
                <w:szCs w:val="20"/>
                <w:lang w:val="es"/>
              </w:rPr>
              <w:t>Formación y Gestión del Desempeño</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26C54073"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1</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7846510B"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1</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CA007F6"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1</w:t>
            </w:r>
          </w:p>
        </w:tc>
      </w:tr>
      <w:tr w:rsidR="00835945" w:rsidRPr="006C4C5F" w14:paraId="7D66CB25" w14:textId="77777777" w:rsidTr="00A6302C">
        <w:trPr>
          <w:trHeight w:val="15"/>
        </w:trPr>
        <w:tc>
          <w:tcPr>
            <w:tcW w:w="1528" w:type="dxa"/>
            <w:vMerge/>
            <w:tcBorders>
              <w:left w:val="single" w:sz="0" w:space="0" w:color="95B3D7" w:themeColor="accent1" w:themeTint="99"/>
              <w:right w:val="single" w:sz="0" w:space="0" w:color="95B3D7" w:themeColor="accent1" w:themeTint="99"/>
            </w:tcBorders>
            <w:vAlign w:val="center"/>
          </w:tcPr>
          <w:p w14:paraId="527E1B30" w14:textId="77777777" w:rsidR="00835945" w:rsidRPr="006C4C5F"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4AE5DF12" w14:textId="77777777" w:rsidR="00835945" w:rsidRPr="006C4C5F" w:rsidRDefault="00835945" w:rsidP="00A6302C">
            <w:pPr>
              <w:jc w:val="both"/>
              <w:rPr>
                <w:sz w:val="20"/>
                <w:szCs w:val="20"/>
              </w:rPr>
            </w:pPr>
            <w:r w:rsidRPr="006C4C5F">
              <w:rPr>
                <w:rFonts w:eastAsia="Arial" w:cs="Arial"/>
                <w:sz w:val="20"/>
                <w:szCs w:val="20"/>
                <w:lang w:val="es"/>
              </w:rPr>
              <w:t>Sistema de Gestión de Seguridad y Salud en el Trabajo</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FAB9F2F" w14:textId="77777777" w:rsidR="00835945" w:rsidRPr="006C4C5F" w:rsidRDefault="00835945" w:rsidP="00A6302C">
            <w:pPr>
              <w:jc w:val="center"/>
              <w:rPr>
                <w:sz w:val="20"/>
                <w:szCs w:val="20"/>
              </w:rPr>
            </w:pPr>
            <w:r w:rsidRPr="006C4C5F">
              <w:rPr>
                <w:rFonts w:eastAsia="Arial" w:cs="Arial"/>
                <w:sz w:val="20"/>
                <w:szCs w:val="20"/>
                <w:lang w:val="es"/>
              </w:rPr>
              <w:t>8</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606D2A0" w14:textId="77777777" w:rsidR="00835945" w:rsidRPr="006C4C5F" w:rsidRDefault="00835945" w:rsidP="00A6302C">
            <w:pPr>
              <w:jc w:val="center"/>
              <w:rPr>
                <w:sz w:val="20"/>
                <w:szCs w:val="20"/>
              </w:rPr>
            </w:pPr>
            <w:r w:rsidRPr="006C4C5F">
              <w:rPr>
                <w:rFonts w:eastAsia="Arial" w:cs="Arial"/>
                <w:sz w:val="20"/>
                <w:szCs w:val="20"/>
                <w:lang w:val="es"/>
              </w:rPr>
              <w:t>1</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ECB0409" w14:textId="77777777" w:rsidR="00835945" w:rsidRPr="006C4C5F" w:rsidRDefault="00835945" w:rsidP="00A6302C">
            <w:pPr>
              <w:jc w:val="center"/>
              <w:rPr>
                <w:sz w:val="20"/>
                <w:szCs w:val="20"/>
              </w:rPr>
            </w:pPr>
            <w:r w:rsidRPr="006C4C5F">
              <w:rPr>
                <w:rFonts w:eastAsia="Arial" w:cs="Arial"/>
                <w:sz w:val="20"/>
                <w:szCs w:val="20"/>
                <w:lang w:val="es"/>
              </w:rPr>
              <w:t>1</w:t>
            </w:r>
          </w:p>
        </w:tc>
      </w:tr>
      <w:tr w:rsidR="00835945" w:rsidRPr="006C4C5F" w14:paraId="41CE180F" w14:textId="77777777" w:rsidTr="00A6302C">
        <w:trPr>
          <w:trHeight w:val="15"/>
        </w:trPr>
        <w:tc>
          <w:tcPr>
            <w:tcW w:w="1528"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6B8C50A3" w14:textId="77777777" w:rsidR="00835945" w:rsidRPr="006C4C5F"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00FE6359" w14:textId="77777777" w:rsidR="00835945" w:rsidRPr="006C4C5F" w:rsidRDefault="00835945" w:rsidP="00A6302C">
            <w:pPr>
              <w:jc w:val="both"/>
              <w:rPr>
                <w:sz w:val="20"/>
                <w:szCs w:val="20"/>
              </w:rPr>
            </w:pPr>
            <w:r w:rsidRPr="006C4C5F">
              <w:rPr>
                <w:rFonts w:eastAsia="Arial" w:cs="Arial"/>
                <w:color w:val="000000" w:themeColor="text1"/>
                <w:sz w:val="20"/>
                <w:szCs w:val="20"/>
                <w:lang w:val="es"/>
              </w:rPr>
              <w:t>Provisión de Empleo</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A35F0A0"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0</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25CF2CF"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2</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2DBB57C" w14:textId="77777777" w:rsidR="00835945" w:rsidRPr="006C4C5F" w:rsidRDefault="00835945" w:rsidP="00A6302C">
            <w:pPr>
              <w:jc w:val="center"/>
              <w:rPr>
                <w:sz w:val="20"/>
                <w:szCs w:val="20"/>
              </w:rPr>
            </w:pPr>
            <w:r w:rsidRPr="006C4C5F">
              <w:rPr>
                <w:rFonts w:eastAsia="Arial" w:cs="Arial"/>
                <w:color w:val="000000" w:themeColor="text1"/>
                <w:sz w:val="20"/>
                <w:szCs w:val="20"/>
                <w:lang w:val="es"/>
              </w:rPr>
              <w:t>1</w:t>
            </w:r>
          </w:p>
        </w:tc>
      </w:tr>
      <w:tr w:rsidR="00835945" w:rsidRPr="006C4C5F" w14:paraId="69301028" w14:textId="77777777" w:rsidTr="00A6302C">
        <w:trPr>
          <w:trHeight w:val="15"/>
        </w:trPr>
        <w:tc>
          <w:tcPr>
            <w:tcW w:w="4996" w:type="dxa"/>
            <w:gridSpan w:val="2"/>
            <w:tcBorders>
              <w:top w:val="nil"/>
              <w:left w:val="single" w:sz="8" w:space="0" w:color="95B3D7" w:themeColor="accent1" w:themeTint="99"/>
              <w:bottom w:val="single" w:sz="8" w:space="0" w:color="95B3D7" w:themeColor="accent1" w:themeTint="99"/>
              <w:right w:val="single" w:sz="8" w:space="0" w:color="95B3D7" w:themeColor="accent1" w:themeTint="99"/>
            </w:tcBorders>
          </w:tcPr>
          <w:p w14:paraId="1A7DD244" w14:textId="77777777" w:rsidR="00835945" w:rsidRPr="006C4C5F" w:rsidRDefault="00835945" w:rsidP="00A6302C">
            <w:pPr>
              <w:rPr>
                <w:sz w:val="20"/>
                <w:szCs w:val="20"/>
              </w:rPr>
            </w:pPr>
            <w:r w:rsidRPr="006C4C5F">
              <w:rPr>
                <w:rFonts w:eastAsia="Arial" w:cs="Arial"/>
                <w:b/>
                <w:bCs/>
                <w:sz w:val="20"/>
                <w:szCs w:val="20"/>
                <w:lang w:val="es"/>
              </w:rPr>
              <w:t>Total</w:t>
            </w:r>
          </w:p>
        </w:tc>
        <w:tc>
          <w:tcPr>
            <w:tcW w:w="1807" w:type="dxa"/>
            <w:tcBorders>
              <w:top w:val="single" w:sz="8" w:space="0" w:color="95B3D7" w:themeColor="accent1" w:themeTint="99"/>
              <w:left w:val="nil"/>
              <w:bottom w:val="single" w:sz="8" w:space="0" w:color="95B3D7" w:themeColor="accent1" w:themeTint="99"/>
              <w:right w:val="single" w:sz="8" w:space="0" w:color="95B3D7" w:themeColor="accent1" w:themeTint="99"/>
            </w:tcBorders>
            <w:vAlign w:val="center"/>
          </w:tcPr>
          <w:p w14:paraId="67F84AE0" w14:textId="77777777" w:rsidR="00835945" w:rsidRPr="006C4C5F" w:rsidRDefault="00835945" w:rsidP="00A6302C">
            <w:pPr>
              <w:jc w:val="center"/>
              <w:rPr>
                <w:sz w:val="20"/>
                <w:szCs w:val="20"/>
              </w:rPr>
            </w:pPr>
            <w:r w:rsidRPr="006C4C5F">
              <w:rPr>
                <w:rFonts w:eastAsia="Arial" w:cs="Arial"/>
                <w:b/>
                <w:bCs/>
                <w:sz w:val="20"/>
                <w:szCs w:val="20"/>
                <w:lang w:val="es"/>
              </w:rPr>
              <w:t>13</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B5D5ADA" w14:textId="77777777" w:rsidR="00835945" w:rsidRPr="006C4C5F" w:rsidRDefault="00835945" w:rsidP="00A6302C">
            <w:pPr>
              <w:jc w:val="center"/>
              <w:rPr>
                <w:sz w:val="20"/>
                <w:szCs w:val="20"/>
              </w:rPr>
            </w:pPr>
            <w:r w:rsidRPr="006C4C5F">
              <w:rPr>
                <w:rFonts w:eastAsia="Arial" w:cs="Arial"/>
                <w:b/>
                <w:bCs/>
                <w:sz w:val="20"/>
                <w:szCs w:val="20"/>
                <w:lang w:val="es"/>
              </w:rPr>
              <w:t>4</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0773311E" w14:textId="77777777" w:rsidR="00835945" w:rsidRPr="006C4C5F" w:rsidRDefault="00835945" w:rsidP="00A6302C">
            <w:pPr>
              <w:jc w:val="center"/>
              <w:rPr>
                <w:sz w:val="20"/>
                <w:szCs w:val="20"/>
              </w:rPr>
            </w:pPr>
            <w:r w:rsidRPr="006C4C5F">
              <w:rPr>
                <w:rFonts w:eastAsia="Arial" w:cs="Arial"/>
                <w:b/>
                <w:bCs/>
                <w:sz w:val="20"/>
                <w:szCs w:val="20"/>
                <w:lang w:val="es"/>
              </w:rPr>
              <w:t>4</w:t>
            </w:r>
          </w:p>
        </w:tc>
      </w:tr>
    </w:tbl>
    <w:p w14:paraId="73E8BA93" w14:textId="77777777" w:rsidR="00835945" w:rsidRPr="002102D7" w:rsidRDefault="00835945" w:rsidP="00835945">
      <w:pPr>
        <w:spacing w:line="254" w:lineRule="auto"/>
        <w:jc w:val="center"/>
        <w:rPr>
          <w:rFonts w:eastAsia="Arial" w:cs="Arial"/>
          <w:b/>
          <w:sz w:val="16"/>
          <w:szCs w:val="16"/>
          <w:lang w:val="es"/>
        </w:rPr>
      </w:pPr>
      <w:r w:rsidRPr="002102D7">
        <w:rPr>
          <w:rFonts w:eastAsia="Arial" w:cs="Arial"/>
          <w:b/>
          <w:sz w:val="16"/>
          <w:szCs w:val="16"/>
          <w:lang w:val="es"/>
        </w:rPr>
        <w:t>Fuente: Oficina Asesora de Planeación</w:t>
      </w:r>
    </w:p>
    <w:p w14:paraId="424A96C2" w14:textId="77777777" w:rsidR="00CB53C0" w:rsidRPr="00CB53C0" w:rsidRDefault="00CB53C0" w:rsidP="00CB53C0">
      <w:pPr>
        <w:spacing w:line="254" w:lineRule="auto"/>
        <w:jc w:val="center"/>
        <w:rPr>
          <w:sz w:val="16"/>
          <w:szCs w:val="16"/>
        </w:rPr>
      </w:pPr>
    </w:p>
    <w:tbl>
      <w:tblPr>
        <w:tblStyle w:val="Tablaconcuadrcula"/>
        <w:tblW w:w="0" w:type="auto"/>
        <w:tblLayout w:type="fixed"/>
        <w:tblLook w:val="04A0" w:firstRow="1" w:lastRow="0" w:firstColumn="1" w:lastColumn="0" w:noHBand="0" w:noVBand="1"/>
      </w:tblPr>
      <w:tblGrid>
        <w:gridCol w:w="1528"/>
        <w:gridCol w:w="3468"/>
        <w:gridCol w:w="1807"/>
        <w:gridCol w:w="1528"/>
        <w:gridCol w:w="1029"/>
      </w:tblGrid>
      <w:tr w:rsidR="00835945" w:rsidRPr="00A308BC" w14:paraId="16C2B56C" w14:textId="77777777" w:rsidTr="00A6302C">
        <w:trPr>
          <w:trHeight w:val="15"/>
        </w:trPr>
        <w:tc>
          <w:tcPr>
            <w:tcW w:w="1528"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428665F8" w14:textId="77777777" w:rsidR="00835945" w:rsidRPr="00A308BC" w:rsidRDefault="00835945" w:rsidP="00A6302C">
            <w:pPr>
              <w:jc w:val="center"/>
              <w:rPr>
                <w:b/>
                <w:sz w:val="20"/>
                <w:szCs w:val="20"/>
              </w:rPr>
            </w:pPr>
            <w:r w:rsidRPr="00A308BC">
              <w:rPr>
                <w:rFonts w:eastAsia="Arial" w:cs="Arial"/>
                <w:b/>
                <w:bCs/>
                <w:color w:val="FFFFFF" w:themeColor="background1"/>
                <w:sz w:val="20"/>
                <w:szCs w:val="20"/>
                <w:lang w:val="es"/>
              </w:rPr>
              <w:t>Proceso</w:t>
            </w:r>
          </w:p>
        </w:tc>
        <w:tc>
          <w:tcPr>
            <w:tcW w:w="3468" w:type="dxa"/>
            <w:tcBorders>
              <w:top w:val="single" w:sz="8" w:space="0" w:color="4F81BD" w:themeColor="accent1"/>
              <w:left w:val="nil"/>
              <w:bottom w:val="single" w:sz="8" w:space="0" w:color="4F81BD" w:themeColor="accent1"/>
              <w:right w:val="nil"/>
            </w:tcBorders>
            <w:shd w:val="clear" w:color="auto" w:fill="4F81BD" w:themeFill="accent1"/>
          </w:tcPr>
          <w:p w14:paraId="3902BE99" w14:textId="77777777" w:rsidR="00835945" w:rsidRPr="00A308BC" w:rsidRDefault="00835945" w:rsidP="00A6302C">
            <w:pPr>
              <w:jc w:val="center"/>
              <w:rPr>
                <w:b/>
                <w:sz w:val="20"/>
                <w:szCs w:val="20"/>
              </w:rPr>
            </w:pPr>
            <w:r w:rsidRPr="00A308BC">
              <w:rPr>
                <w:rFonts w:eastAsia="Arial" w:cs="Arial"/>
                <w:b/>
                <w:color w:val="FFFFFF" w:themeColor="background1"/>
                <w:sz w:val="20"/>
                <w:szCs w:val="20"/>
                <w:lang w:val="es"/>
              </w:rPr>
              <w:t>Subproceso</w:t>
            </w:r>
          </w:p>
        </w:tc>
        <w:tc>
          <w:tcPr>
            <w:tcW w:w="1807" w:type="dxa"/>
            <w:tcBorders>
              <w:top w:val="single" w:sz="8" w:space="0" w:color="4F81BD" w:themeColor="accent1"/>
              <w:left w:val="nil"/>
              <w:bottom w:val="single" w:sz="8" w:space="0" w:color="4F81BD" w:themeColor="accent1"/>
              <w:right w:val="nil"/>
            </w:tcBorders>
            <w:shd w:val="clear" w:color="auto" w:fill="4F81BD" w:themeFill="accent1"/>
          </w:tcPr>
          <w:p w14:paraId="3956D5D0" w14:textId="77777777" w:rsidR="00835945" w:rsidRPr="00A308BC" w:rsidRDefault="00835945" w:rsidP="00A6302C">
            <w:pPr>
              <w:jc w:val="center"/>
              <w:rPr>
                <w:b/>
                <w:sz w:val="20"/>
                <w:szCs w:val="20"/>
              </w:rPr>
            </w:pPr>
            <w:r w:rsidRPr="00A308BC">
              <w:rPr>
                <w:rFonts w:eastAsia="Arial" w:cs="Arial"/>
                <w:b/>
                <w:color w:val="FFFFFF" w:themeColor="background1"/>
                <w:sz w:val="20"/>
                <w:szCs w:val="20"/>
                <w:lang w:val="es"/>
              </w:rPr>
              <w:t>Procedimientos</w:t>
            </w:r>
          </w:p>
        </w:tc>
        <w:tc>
          <w:tcPr>
            <w:tcW w:w="1528" w:type="dxa"/>
            <w:tcBorders>
              <w:top w:val="single" w:sz="8" w:space="0" w:color="4F81BD" w:themeColor="accent1"/>
              <w:left w:val="nil"/>
              <w:bottom w:val="single" w:sz="8" w:space="0" w:color="4F81BD" w:themeColor="accent1"/>
              <w:right w:val="nil"/>
            </w:tcBorders>
            <w:shd w:val="clear" w:color="auto" w:fill="4F81BD" w:themeFill="accent1"/>
          </w:tcPr>
          <w:p w14:paraId="53556B6C" w14:textId="77777777" w:rsidR="00835945" w:rsidRPr="00A308BC" w:rsidRDefault="00835945" w:rsidP="00A6302C">
            <w:pPr>
              <w:jc w:val="center"/>
              <w:rPr>
                <w:b/>
                <w:sz w:val="20"/>
                <w:szCs w:val="20"/>
              </w:rPr>
            </w:pPr>
            <w:r w:rsidRPr="00A308BC">
              <w:rPr>
                <w:rFonts w:eastAsia="Arial" w:cs="Arial"/>
                <w:b/>
                <w:color w:val="FFFFFF" w:themeColor="background1"/>
                <w:sz w:val="20"/>
                <w:szCs w:val="20"/>
                <w:lang w:val="es"/>
              </w:rPr>
              <w:t>Indicadores</w:t>
            </w:r>
          </w:p>
        </w:tc>
        <w:tc>
          <w:tcPr>
            <w:tcW w:w="1029"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0F06E66E" w14:textId="77777777" w:rsidR="00835945" w:rsidRPr="00A308BC" w:rsidRDefault="00835945" w:rsidP="00A6302C">
            <w:pPr>
              <w:jc w:val="center"/>
              <w:rPr>
                <w:b/>
                <w:sz w:val="20"/>
                <w:szCs w:val="20"/>
              </w:rPr>
            </w:pPr>
            <w:r w:rsidRPr="00A308BC">
              <w:rPr>
                <w:rFonts w:eastAsia="Arial" w:cs="Arial"/>
                <w:b/>
                <w:color w:val="FFFFFF" w:themeColor="background1"/>
                <w:sz w:val="20"/>
                <w:szCs w:val="20"/>
                <w:lang w:val="es"/>
              </w:rPr>
              <w:t>Riesgos</w:t>
            </w:r>
          </w:p>
        </w:tc>
      </w:tr>
      <w:tr w:rsidR="00835945" w:rsidRPr="00A308BC" w14:paraId="584637A8" w14:textId="77777777" w:rsidTr="00A6302C">
        <w:trPr>
          <w:trHeight w:val="15"/>
        </w:trPr>
        <w:tc>
          <w:tcPr>
            <w:tcW w:w="1528" w:type="dxa"/>
            <w:vMerge w:val="restart"/>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6B6B132" w14:textId="77777777" w:rsidR="00835945" w:rsidRPr="00A308BC" w:rsidRDefault="00835945" w:rsidP="00A6302C">
            <w:pPr>
              <w:jc w:val="center"/>
              <w:rPr>
                <w:sz w:val="20"/>
                <w:szCs w:val="20"/>
              </w:rPr>
            </w:pPr>
            <w:r w:rsidRPr="00A308BC">
              <w:rPr>
                <w:rFonts w:eastAsia="Arial" w:cs="Arial"/>
                <w:b/>
                <w:bCs/>
                <w:color w:val="000000" w:themeColor="text1"/>
                <w:sz w:val="20"/>
                <w:szCs w:val="20"/>
                <w:lang w:val="es"/>
              </w:rPr>
              <w:t>Gestión Financiera</w:t>
            </w:r>
          </w:p>
        </w:tc>
        <w:tc>
          <w:tcPr>
            <w:tcW w:w="346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69B8B782" w14:textId="77777777" w:rsidR="00835945" w:rsidRPr="00A308BC" w:rsidRDefault="00835945" w:rsidP="00A6302C">
            <w:pPr>
              <w:jc w:val="both"/>
              <w:rPr>
                <w:sz w:val="20"/>
                <w:szCs w:val="20"/>
              </w:rPr>
            </w:pPr>
            <w:r w:rsidRPr="00A308BC">
              <w:rPr>
                <w:rFonts w:eastAsia="Arial" w:cs="Arial"/>
                <w:color w:val="000000" w:themeColor="text1"/>
                <w:sz w:val="20"/>
                <w:szCs w:val="20"/>
                <w:lang w:val="es"/>
              </w:rPr>
              <w:t>Gestión Contable</w:t>
            </w:r>
          </w:p>
        </w:tc>
        <w:tc>
          <w:tcPr>
            <w:tcW w:w="180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6E64E917"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4</w:t>
            </w:r>
          </w:p>
        </w:tc>
        <w:tc>
          <w:tcPr>
            <w:tcW w:w="152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04F02A7"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3</w:t>
            </w:r>
          </w:p>
        </w:tc>
        <w:tc>
          <w:tcPr>
            <w:tcW w:w="102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62259EB4"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2</w:t>
            </w:r>
          </w:p>
        </w:tc>
      </w:tr>
      <w:tr w:rsidR="00835945" w:rsidRPr="00A308BC" w14:paraId="0021CBC5" w14:textId="77777777" w:rsidTr="00A6302C">
        <w:trPr>
          <w:trHeight w:val="15"/>
        </w:trPr>
        <w:tc>
          <w:tcPr>
            <w:tcW w:w="1528" w:type="dxa"/>
            <w:vMerge/>
            <w:tcBorders>
              <w:left w:val="single" w:sz="0" w:space="0" w:color="95B3D7" w:themeColor="accent1" w:themeTint="99"/>
              <w:right w:val="single" w:sz="0" w:space="0" w:color="95B3D7" w:themeColor="accent1" w:themeTint="99"/>
            </w:tcBorders>
            <w:vAlign w:val="center"/>
          </w:tcPr>
          <w:p w14:paraId="18D200D3" w14:textId="77777777" w:rsidR="00835945" w:rsidRPr="00A308BC"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4B765B7E" w14:textId="77777777" w:rsidR="00835945" w:rsidRPr="00A308BC" w:rsidRDefault="00835945" w:rsidP="00A6302C">
            <w:pPr>
              <w:jc w:val="both"/>
              <w:rPr>
                <w:sz w:val="20"/>
                <w:szCs w:val="20"/>
              </w:rPr>
            </w:pPr>
            <w:r w:rsidRPr="00A308BC">
              <w:rPr>
                <w:rFonts w:eastAsia="Arial" w:cs="Arial"/>
                <w:sz w:val="20"/>
                <w:szCs w:val="20"/>
                <w:lang w:val="es"/>
              </w:rPr>
              <w:t>Gestión De Tesorería</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6A0DD7F" w14:textId="77777777" w:rsidR="00835945" w:rsidRPr="00A308BC" w:rsidRDefault="00835945" w:rsidP="00A6302C">
            <w:pPr>
              <w:jc w:val="center"/>
              <w:rPr>
                <w:sz w:val="20"/>
                <w:szCs w:val="20"/>
              </w:rPr>
            </w:pPr>
            <w:r w:rsidRPr="00A308BC">
              <w:rPr>
                <w:rFonts w:eastAsia="Arial" w:cs="Arial"/>
                <w:sz w:val="20"/>
                <w:szCs w:val="20"/>
                <w:lang w:val="es"/>
              </w:rPr>
              <w:t>2</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45E1A1E" w14:textId="77777777" w:rsidR="00835945" w:rsidRPr="00A308BC" w:rsidRDefault="00835945" w:rsidP="00A6302C">
            <w:pPr>
              <w:jc w:val="center"/>
              <w:rPr>
                <w:sz w:val="20"/>
                <w:szCs w:val="20"/>
              </w:rPr>
            </w:pPr>
            <w:r w:rsidRPr="00A308BC">
              <w:rPr>
                <w:rFonts w:eastAsia="Arial" w:cs="Arial"/>
                <w:sz w:val="20"/>
                <w:szCs w:val="20"/>
                <w:lang w:val="es"/>
              </w:rPr>
              <w:t>3</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91CC798" w14:textId="77777777" w:rsidR="00835945" w:rsidRPr="00A308BC" w:rsidRDefault="00835945" w:rsidP="00A6302C">
            <w:pPr>
              <w:jc w:val="center"/>
              <w:rPr>
                <w:sz w:val="20"/>
                <w:szCs w:val="20"/>
              </w:rPr>
            </w:pPr>
            <w:r w:rsidRPr="00A308BC">
              <w:rPr>
                <w:rFonts w:eastAsia="Arial" w:cs="Arial"/>
                <w:sz w:val="20"/>
                <w:szCs w:val="20"/>
                <w:lang w:val="es"/>
              </w:rPr>
              <w:t>0</w:t>
            </w:r>
          </w:p>
        </w:tc>
      </w:tr>
      <w:tr w:rsidR="00835945" w:rsidRPr="00A308BC" w14:paraId="1806EA13" w14:textId="77777777" w:rsidTr="00A6302C">
        <w:trPr>
          <w:trHeight w:val="15"/>
        </w:trPr>
        <w:tc>
          <w:tcPr>
            <w:tcW w:w="1528"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2B92E4DD" w14:textId="77777777" w:rsidR="00835945" w:rsidRPr="00A308BC" w:rsidRDefault="00835945" w:rsidP="00A6302C">
            <w:pPr>
              <w:rPr>
                <w:sz w:val="20"/>
                <w:szCs w:val="20"/>
              </w:rPr>
            </w:pPr>
          </w:p>
        </w:tc>
        <w:tc>
          <w:tcPr>
            <w:tcW w:w="3468"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3D62B0C7" w14:textId="77777777" w:rsidR="00835945" w:rsidRPr="00A308BC" w:rsidRDefault="00835945" w:rsidP="00A6302C">
            <w:pPr>
              <w:jc w:val="both"/>
              <w:rPr>
                <w:sz w:val="20"/>
                <w:szCs w:val="20"/>
              </w:rPr>
            </w:pPr>
            <w:r w:rsidRPr="00A308BC">
              <w:rPr>
                <w:rFonts w:eastAsia="Arial" w:cs="Arial"/>
                <w:color w:val="000000" w:themeColor="text1"/>
                <w:sz w:val="20"/>
                <w:szCs w:val="20"/>
                <w:lang w:val="es"/>
              </w:rPr>
              <w:t>Gestión Presupuestal</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E2496E4"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4</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2CBD5F14"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1</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77F54938" w14:textId="77777777" w:rsidR="00835945" w:rsidRPr="00A308BC" w:rsidRDefault="00835945" w:rsidP="00A6302C">
            <w:pPr>
              <w:jc w:val="center"/>
              <w:rPr>
                <w:sz w:val="20"/>
                <w:szCs w:val="20"/>
              </w:rPr>
            </w:pPr>
            <w:r w:rsidRPr="00A308BC">
              <w:rPr>
                <w:rFonts w:eastAsia="Arial" w:cs="Arial"/>
                <w:color w:val="000000" w:themeColor="text1"/>
                <w:sz w:val="20"/>
                <w:szCs w:val="20"/>
                <w:lang w:val="es"/>
              </w:rPr>
              <w:t>1</w:t>
            </w:r>
          </w:p>
        </w:tc>
      </w:tr>
      <w:tr w:rsidR="00835945" w:rsidRPr="00A308BC" w14:paraId="007A7EB4" w14:textId="77777777" w:rsidTr="00A6302C">
        <w:trPr>
          <w:trHeight w:val="15"/>
        </w:trPr>
        <w:tc>
          <w:tcPr>
            <w:tcW w:w="4996" w:type="dxa"/>
            <w:gridSpan w:val="2"/>
            <w:tcBorders>
              <w:top w:val="nil"/>
              <w:left w:val="single" w:sz="8" w:space="0" w:color="95B3D7" w:themeColor="accent1" w:themeTint="99"/>
              <w:bottom w:val="single" w:sz="8" w:space="0" w:color="95B3D7" w:themeColor="accent1" w:themeTint="99"/>
              <w:right w:val="single" w:sz="8" w:space="0" w:color="95B3D7" w:themeColor="accent1" w:themeTint="99"/>
            </w:tcBorders>
          </w:tcPr>
          <w:p w14:paraId="5C4E90C6" w14:textId="77777777" w:rsidR="00835945" w:rsidRPr="00A308BC" w:rsidRDefault="00835945" w:rsidP="00A6302C">
            <w:pPr>
              <w:rPr>
                <w:sz w:val="20"/>
                <w:szCs w:val="20"/>
              </w:rPr>
            </w:pPr>
            <w:r w:rsidRPr="00A308BC">
              <w:rPr>
                <w:rFonts w:eastAsia="Arial" w:cs="Arial"/>
                <w:b/>
                <w:bCs/>
                <w:sz w:val="20"/>
                <w:szCs w:val="20"/>
                <w:lang w:val="es"/>
              </w:rPr>
              <w:t>Total</w:t>
            </w:r>
          </w:p>
        </w:tc>
        <w:tc>
          <w:tcPr>
            <w:tcW w:w="1807"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4D14ECC5" w14:textId="77777777" w:rsidR="00835945" w:rsidRPr="00A308BC" w:rsidRDefault="00835945" w:rsidP="00A6302C">
            <w:pPr>
              <w:jc w:val="center"/>
              <w:rPr>
                <w:sz w:val="20"/>
                <w:szCs w:val="20"/>
              </w:rPr>
            </w:pPr>
            <w:r w:rsidRPr="00A308BC">
              <w:rPr>
                <w:rFonts w:eastAsia="Arial" w:cs="Arial"/>
                <w:b/>
                <w:bCs/>
                <w:sz w:val="20"/>
                <w:szCs w:val="20"/>
                <w:lang w:val="es"/>
              </w:rPr>
              <w:t>10</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6CC3089" w14:textId="77777777" w:rsidR="00835945" w:rsidRPr="00A308BC" w:rsidRDefault="00835945" w:rsidP="00A6302C">
            <w:pPr>
              <w:jc w:val="center"/>
              <w:rPr>
                <w:sz w:val="20"/>
                <w:szCs w:val="20"/>
              </w:rPr>
            </w:pPr>
            <w:r w:rsidRPr="00A308BC">
              <w:rPr>
                <w:rFonts w:eastAsia="Arial" w:cs="Arial"/>
                <w:b/>
                <w:bCs/>
                <w:sz w:val="20"/>
                <w:szCs w:val="20"/>
                <w:lang w:val="es"/>
              </w:rPr>
              <w:t>7</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26ED1FB" w14:textId="77777777" w:rsidR="00835945" w:rsidRPr="00A308BC" w:rsidRDefault="00835945" w:rsidP="00A6302C">
            <w:pPr>
              <w:jc w:val="center"/>
              <w:rPr>
                <w:sz w:val="20"/>
                <w:szCs w:val="20"/>
              </w:rPr>
            </w:pPr>
            <w:r w:rsidRPr="00A308BC">
              <w:rPr>
                <w:rFonts w:eastAsia="Arial" w:cs="Arial"/>
                <w:b/>
                <w:bCs/>
                <w:sz w:val="20"/>
                <w:szCs w:val="20"/>
                <w:lang w:val="es"/>
              </w:rPr>
              <w:t>3</w:t>
            </w:r>
          </w:p>
        </w:tc>
      </w:tr>
    </w:tbl>
    <w:p w14:paraId="765B5DCF" w14:textId="77777777" w:rsidR="00835945" w:rsidRPr="002102D7" w:rsidRDefault="00835945" w:rsidP="00835945">
      <w:pPr>
        <w:spacing w:line="254" w:lineRule="auto"/>
        <w:jc w:val="center"/>
        <w:rPr>
          <w:rFonts w:eastAsia="Arial" w:cs="Arial"/>
          <w:b/>
          <w:sz w:val="16"/>
          <w:szCs w:val="16"/>
          <w:lang w:val="es"/>
        </w:rPr>
      </w:pPr>
      <w:r w:rsidRPr="002102D7">
        <w:rPr>
          <w:rFonts w:eastAsia="Arial" w:cs="Arial"/>
          <w:b/>
          <w:sz w:val="22"/>
          <w:szCs w:val="22"/>
          <w:lang w:val="es"/>
        </w:rPr>
        <w:lastRenderedPageBreak/>
        <w:t xml:space="preserve"> </w:t>
      </w:r>
      <w:r w:rsidRPr="002102D7">
        <w:rPr>
          <w:rFonts w:eastAsia="Arial" w:cs="Arial"/>
          <w:b/>
          <w:sz w:val="16"/>
          <w:szCs w:val="16"/>
          <w:lang w:val="es"/>
        </w:rPr>
        <w:t>Fuente: Oficina Asesora de Planeación</w:t>
      </w:r>
    </w:p>
    <w:p w14:paraId="2A2AC4AA" w14:textId="77777777" w:rsidR="0058131D" w:rsidRPr="002102D7" w:rsidRDefault="00835945" w:rsidP="0058131D">
      <w:pPr>
        <w:spacing w:line="254" w:lineRule="auto"/>
        <w:jc w:val="both"/>
        <w:rPr>
          <w:rFonts w:eastAsia="Arial" w:cs="Arial"/>
          <w:b/>
          <w:sz w:val="22"/>
          <w:szCs w:val="22"/>
          <w:lang w:val="es"/>
        </w:rPr>
      </w:pPr>
      <w:r w:rsidRPr="002102D7">
        <w:rPr>
          <w:rFonts w:eastAsia="Arial" w:cs="Arial"/>
          <w:b/>
          <w:sz w:val="22"/>
          <w:szCs w:val="22"/>
          <w:lang w:val="es"/>
        </w:rPr>
        <w:t xml:space="preserve"> </w:t>
      </w:r>
    </w:p>
    <w:tbl>
      <w:tblPr>
        <w:tblStyle w:val="Tablaconcuadrcula"/>
        <w:tblW w:w="0" w:type="auto"/>
        <w:tblLayout w:type="fixed"/>
        <w:tblLook w:val="04A0" w:firstRow="1" w:lastRow="0" w:firstColumn="1" w:lastColumn="0" w:noHBand="0" w:noVBand="1"/>
      </w:tblPr>
      <w:tblGrid>
        <w:gridCol w:w="1523"/>
        <w:gridCol w:w="3457"/>
        <w:gridCol w:w="1802"/>
        <w:gridCol w:w="1523"/>
        <w:gridCol w:w="1055"/>
      </w:tblGrid>
      <w:tr w:rsidR="00835945" w:rsidRPr="007846B2" w14:paraId="3698CEB9" w14:textId="77777777" w:rsidTr="00A6302C">
        <w:trPr>
          <w:trHeight w:val="15"/>
        </w:trPr>
        <w:tc>
          <w:tcPr>
            <w:tcW w:w="1523"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45C77384" w14:textId="77777777" w:rsidR="00835945" w:rsidRPr="007846B2" w:rsidRDefault="00835945" w:rsidP="00A6302C">
            <w:pPr>
              <w:jc w:val="center"/>
              <w:rPr>
                <w:b/>
                <w:sz w:val="20"/>
                <w:szCs w:val="20"/>
              </w:rPr>
            </w:pPr>
            <w:r w:rsidRPr="007846B2">
              <w:rPr>
                <w:rFonts w:eastAsia="Arial" w:cs="Arial"/>
                <w:b/>
                <w:bCs/>
                <w:color w:val="FFFFFF" w:themeColor="background1"/>
                <w:sz w:val="20"/>
                <w:szCs w:val="20"/>
                <w:lang w:val="es"/>
              </w:rPr>
              <w:t>Proceso</w:t>
            </w:r>
          </w:p>
        </w:tc>
        <w:tc>
          <w:tcPr>
            <w:tcW w:w="3457" w:type="dxa"/>
            <w:tcBorders>
              <w:top w:val="single" w:sz="8" w:space="0" w:color="4F81BD" w:themeColor="accent1"/>
              <w:left w:val="nil"/>
              <w:bottom w:val="single" w:sz="8" w:space="0" w:color="4F81BD" w:themeColor="accent1"/>
              <w:right w:val="nil"/>
            </w:tcBorders>
            <w:shd w:val="clear" w:color="auto" w:fill="4F81BD" w:themeFill="accent1"/>
          </w:tcPr>
          <w:p w14:paraId="0FA76CEB" w14:textId="77777777" w:rsidR="00835945" w:rsidRPr="007846B2" w:rsidRDefault="00835945" w:rsidP="00A6302C">
            <w:pPr>
              <w:jc w:val="center"/>
              <w:rPr>
                <w:b/>
                <w:sz w:val="20"/>
                <w:szCs w:val="20"/>
              </w:rPr>
            </w:pPr>
            <w:r w:rsidRPr="007846B2">
              <w:rPr>
                <w:rFonts w:eastAsia="Arial" w:cs="Arial"/>
                <w:b/>
                <w:color w:val="FFFFFF" w:themeColor="background1"/>
                <w:sz w:val="20"/>
                <w:szCs w:val="20"/>
                <w:lang w:val="es"/>
              </w:rPr>
              <w:t>Subproceso</w:t>
            </w:r>
          </w:p>
        </w:tc>
        <w:tc>
          <w:tcPr>
            <w:tcW w:w="1802" w:type="dxa"/>
            <w:tcBorders>
              <w:top w:val="single" w:sz="8" w:space="0" w:color="4F81BD" w:themeColor="accent1"/>
              <w:left w:val="nil"/>
              <w:bottom w:val="single" w:sz="8" w:space="0" w:color="4F81BD" w:themeColor="accent1"/>
              <w:right w:val="nil"/>
            </w:tcBorders>
            <w:shd w:val="clear" w:color="auto" w:fill="4F81BD" w:themeFill="accent1"/>
          </w:tcPr>
          <w:p w14:paraId="250A1E4F" w14:textId="77777777" w:rsidR="00835945" w:rsidRPr="007846B2" w:rsidRDefault="00835945" w:rsidP="00A6302C">
            <w:pPr>
              <w:jc w:val="center"/>
              <w:rPr>
                <w:b/>
                <w:sz w:val="20"/>
                <w:szCs w:val="20"/>
              </w:rPr>
            </w:pPr>
            <w:r w:rsidRPr="007846B2">
              <w:rPr>
                <w:rFonts w:eastAsia="Arial" w:cs="Arial"/>
                <w:b/>
                <w:color w:val="FFFFFF" w:themeColor="background1"/>
                <w:sz w:val="20"/>
                <w:szCs w:val="20"/>
                <w:lang w:val="es"/>
              </w:rPr>
              <w:t>Procedimientos</w:t>
            </w:r>
          </w:p>
        </w:tc>
        <w:tc>
          <w:tcPr>
            <w:tcW w:w="1523" w:type="dxa"/>
            <w:tcBorders>
              <w:top w:val="single" w:sz="8" w:space="0" w:color="4F81BD" w:themeColor="accent1"/>
              <w:left w:val="nil"/>
              <w:bottom w:val="single" w:sz="8" w:space="0" w:color="4F81BD" w:themeColor="accent1"/>
              <w:right w:val="nil"/>
            </w:tcBorders>
            <w:shd w:val="clear" w:color="auto" w:fill="4F81BD" w:themeFill="accent1"/>
          </w:tcPr>
          <w:p w14:paraId="10397340" w14:textId="77777777" w:rsidR="00835945" w:rsidRPr="007846B2" w:rsidRDefault="00835945" w:rsidP="00A6302C">
            <w:pPr>
              <w:jc w:val="center"/>
              <w:rPr>
                <w:b/>
                <w:sz w:val="20"/>
                <w:szCs w:val="20"/>
              </w:rPr>
            </w:pPr>
            <w:r w:rsidRPr="007846B2">
              <w:rPr>
                <w:rFonts w:eastAsia="Arial" w:cs="Arial"/>
                <w:b/>
                <w:color w:val="FFFFFF" w:themeColor="background1"/>
                <w:sz w:val="20"/>
                <w:szCs w:val="20"/>
                <w:lang w:val="es"/>
              </w:rPr>
              <w:t>Indicadores</w:t>
            </w:r>
          </w:p>
        </w:tc>
        <w:tc>
          <w:tcPr>
            <w:tcW w:w="1055"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07071AB9" w14:textId="77777777" w:rsidR="00835945" w:rsidRPr="007846B2" w:rsidRDefault="00835945" w:rsidP="00A6302C">
            <w:pPr>
              <w:jc w:val="center"/>
              <w:rPr>
                <w:b/>
                <w:sz w:val="20"/>
                <w:szCs w:val="20"/>
              </w:rPr>
            </w:pPr>
            <w:r w:rsidRPr="007846B2">
              <w:rPr>
                <w:rFonts w:eastAsia="Arial" w:cs="Arial"/>
                <w:b/>
                <w:color w:val="FFFFFF" w:themeColor="background1"/>
                <w:sz w:val="20"/>
                <w:szCs w:val="20"/>
                <w:lang w:val="es"/>
              </w:rPr>
              <w:t>Riesgos</w:t>
            </w:r>
          </w:p>
        </w:tc>
      </w:tr>
      <w:tr w:rsidR="00835945" w:rsidRPr="007846B2" w14:paraId="7256166F" w14:textId="77777777" w:rsidTr="00A6302C">
        <w:trPr>
          <w:trHeight w:val="15"/>
        </w:trPr>
        <w:tc>
          <w:tcPr>
            <w:tcW w:w="1523"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1F3F6CCB" w14:textId="77777777" w:rsidR="00835945" w:rsidRPr="007846B2" w:rsidRDefault="00835945" w:rsidP="00A6302C">
            <w:pPr>
              <w:jc w:val="center"/>
              <w:rPr>
                <w:sz w:val="20"/>
                <w:szCs w:val="20"/>
              </w:rPr>
            </w:pPr>
            <w:r w:rsidRPr="007846B2">
              <w:rPr>
                <w:rFonts w:eastAsia="Arial" w:cs="Arial"/>
                <w:b/>
                <w:bCs/>
                <w:color w:val="000000" w:themeColor="text1"/>
                <w:sz w:val="20"/>
                <w:szCs w:val="20"/>
                <w:lang w:val="es"/>
              </w:rPr>
              <w:t>Gestión Contractual</w:t>
            </w:r>
          </w:p>
        </w:tc>
        <w:tc>
          <w:tcPr>
            <w:tcW w:w="345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5F3D7C90" w14:textId="77777777" w:rsidR="00835945" w:rsidRPr="007846B2" w:rsidRDefault="00835945" w:rsidP="00A6302C">
            <w:pPr>
              <w:jc w:val="both"/>
              <w:rPr>
                <w:sz w:val="20"/>
                <w:szCs w:val="20"/>
              </w:rPr>
            </w:pPr>
            <w:r w:rsidRPr="007846B2">
              <w:rPr>
                <w:rFonts w:eastAsia="Arial" w:cs="Arial"/>
                <w:color w:val="000000" w:themeColor="text1"/>
                <w:sz w:val="20"/>
                <w:szCs w:val="20"/>
                <w:lang w:val="es"/>
              </w:rPr>
              <w:t>No Aplica</w:t>
            </w:r>
          </w:p>
        </w:tc>
        <w:tc>
          <w:tcPr>
            <w:tcW w:w="1802"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54E091D4" w14:textId="77777777" w:rsidR="00835945" w:rsidRPr="007846B2" w:rsidRDefault="00835945" w:rsidP="00A6302C">
            <w:pPr>
              <w:jc w:val="center"/>
              <w:rPr>
                <w:sz w:val="20"/>
                <w:szCs w:val="20"/>
              </w:rPr>
            </w:pPr>
            <w:r w:rsidRPr="007846B2">
              <w:rPr>
                <w:rFonts w:eastAsia="Arial" w:cs="Arial"/>
                <w:color w:val="000000" w:themeColor="text1"/>
                <w:sz w:val="20"/>
                <w:szCs w:val="20"/>
                <w:lang w:val="es"/>
              </w:rPr>
              <w:t>2</w:t>
            </w:r>
          </w:p>
        </w:tc>
        <w:tc>
          <w:tcPr>
            <w:tcW w:w="1523"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464752F9" w14:textId="77777777" w:rsidR="00835945" w:rsidRPr="007846B2" w:rsidRDefault="00835945" w:rsidP="00A6302C">
            <w:pPr>
              <w:jc w:val="center"/>
              <w:rPr>
                <w:sz w:val="20"/>
                <w:szCs w:val="20"/>
              </w:rPr>
            </w:pPr>
            <w:r w:rsidRPr="007846B2">
              <w:rPr>
                <w:rFonts w:eastAsia="Arial" w:cs="Arial"/>
                <w:color w:val="000000" w:themeColor="text1"/>
                <w:sz w:val="20"/>
                <w:szCs w:val="20"/>
                <w:lang w:val="es"/>
              </w:rPr>
              <w:t>7</w:t>
            </w:r>
          </w:p>
        </w:tc>
        <w:tc>
          <w:tcPr>
            <w:tcW w:w="105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946F5F2" w14:textId="77777777" w:rsidR="00835945" w:rsidRPr="007846B2" w:rsidRDefault="00835945" w:rsidP="00A6302C">
            <w:pPr>
              <w:jc w:val="center"/>
              <w:rPr>
                <w:sz w:val="20"/>
                <w:szCs w:val="20"/>
              </w:rPr>
            </w:pPr>
            <w:r w:rsidRPr="007846B2">
              <w:rPr>
                <w:rFonts w:eastAsia="Arial" w:cs="Arial"/>
                <w:color w:val="000000" w:themeColor="text1"/>
                <w:sz w:val="20"/>
                <w:szCs w:val="20"/>
                <w:lang w:val="es"/>
              </w:rPr>
              <w:t>2</w:t>
            </w:r>
          </w:p>
        </w:tc>
      </w:tr>
      <w:tr w:rsidR="00835945" w:rsidRPr="007846B2" w14:paraId="6B15E128" w14:textId="77777777" w:rsidTr="00A6302C">
        <w:trPr>
          <w:trHeight w:val="15"/>
        </w:trPr>
        <w:tc>
          <w:tcPr>
            <w:tcW w:w="4980" w:type="dxa"/>
            <w:gridSpan w:val="2"/>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BA79223" w14:textId="77777777" w:rsidR="00835945" w:rsidRPr="007846B2" w:rsidRDefault="00835945" w:rsidP="00A6302C">
            <w:pPr>
              <w:rPr>
                <w:sz w:val="20"/>
                <w:szCs w:val="20"/>
              </w:rPr>
            </w:pPr>
            <w:r w:rsidRPr="007846B2">
              <w:rPr>
                <w:rFonts w:eastAsia="Arial" w:cs="Arial"/>
                <w:b/>
                <w:bCs/>
                <w:sz w:val="20"/>
                <w:szCs w:val="20"/>
                <w:lang w:val="es"/>
              </w:rPr>
              <w:t>Total</w:t>
            </w:r>
          </w:p>
        </w:tc>
        <w:tc>
          <w:tcPr>
            <w:tcW w:w="1802"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169E45A0" w14:textId="77777777" w:rsidR="00835945" w:rsidRPr="007846B2" w:rsidRDefault="00835945" w:rsidP="00A6302C">
            <w:pPr>
              <w:jc w:val="center"/>
              <w:rPr>
                <w:sz w:val="20"/>
                <w:szCs w:val="20"/>
              </w:rPr>
            </w:pPr>
            <w:r w:rsidRPr="007846B2">
              <w:rPr>
                <w:rFonts w:eastAsia="Arial" w:cs="Arial"/>
                <w:b/>
                <w:bCs/>
                <w:sz w:val="20"/>
                <w:szCs w:val="20"/>
                <w:lang w:val="es"/>
              </w:rPr>
              <w:t>2</w:t>
            </w:r>
          </w:p>
        </w:tc>
        <w:tc>
          <w:tcPr>
            <w:tcW w:w="1523"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0E1B6CF" w14:textId="77777777" w:rsidR="00835945" w:rsidRPr="007846B2" w:rsidRDefault="00835945" w:rsidP="00A6302C">
            <w:pPr>
              <w:jc w:val="center"/>
              <w:rPr>
                <w:sz w:val="20"/>
                <w:szCs w:val="20"/>
              </w:rPr>
            </w:pPr>
            <w:r w:rsidRPr="007846B2">
              <w:rPr>
                <w:rFonts w:eastAsia="Arial" w:cs="Arial"/>
                <w:b/>
                <w:bCs/>
                <w:sz w:val="20"/>
                <w:szCs w:val="20"/>
                <w:lang w:val="es"/>
              </w:rPr>
              <w:t>7</w:t>
            </w:r>
          </w:p>
        </w:tc>
        <w:tc>
          <w:tcPr>
            <w:tcW w:w="105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E2EF910" w14:textId="77777777" w:rsidR="00835945" w:rsidRPr="007846B2" w:rsidRDefault="00835945" w:rsidP="00A6302C">
            <w:pPr>
              <w:jc w:val="center"/>
              <w:rPr>
                <w:sz w:val="20"/>
                <w:szCs w:val="20"/>
              </w:rPr>
            </w:pPr>
            <w:r w:rsidRPr="007846B2">
              <w:rPr>
                <w:rFonts w:eastAsia="Arial" w:cs="Arial"/>
                <w:b/>
                <w:bCs/>
                <w:sz w:val="20"/>
                <w:szCs w:val="20"/>
                <w:lang w:val="es"/>
              </w:rPr>
              <w:t>2</w:t>
            </w:r>
          </w:p>
        </w:tc>
      </w:tr>
    </w:tbl>
    <w:p w14:paraId="416BAF98" w14:textId="77777777" w:rsidR="00835945" w:rsidRPr="00872F37" w:rsidRDefault="00835945" w:rsidP="00835945">
      <w:pPr>
        <w:spacing w:line="254" w:lineRule="auto"/>
        <w:jc w:val="center"/>
        <w:rPr>
          <w:rFonts w:eastAsia="Arial" w:cs="Arial"/>
          <w:b/>
          <w:sz w:val="16"/>
          <w:szCs w:val="16"/>
          <w:lang w:val="es"/>
        </w:rPr>
      </w:pPr>
      <w:r w:rsidRPr="00872F37">
        <w:rPr>
          <w:rFonts w:eastAsia="Arial" w:cs="Arial"/>
          <w:b/>
          <w:sz w:val="22"/>
          <w:szCs w:val="22"/>
          <w:lang w:val="es"/>
        </w:rPr>
        <w:t xml:space="preserve"> </w:t>
      </w:r>
      <w:r w:rsidRPr="00872F37">
        <w:rPr>
          <w:rFonts w:eastAsia="Arial" w:cs="Arial"/>
          <w:b/>
          <w:sz w:val="16"/>
          <w:szCs w:val="16"/>
          <w:lang w:val="es"/>
        </w:rPr>
        <w:t>Fuente: Oficina Asesora de Planeación</w:t>
      </w:r>
    </w:p>
    <w:p w14:paraId="5B3C41FE" w14:textId="77777777" w:rsidR="0058131D" w:rsidRPr="0058131D" w:rsidRDefault="0058131D" w:rsidP="0058131D">
      <w:pPr>
        <w:spacing w:line="254" w:lineRule="auto"/>
        <w:jc w:val="both"/>
        <w:rPr>
          <w:b/>
        </w:rPr>
      </w:pPr>
    </w:p>
    <w:tbl>
      <w:tblPr>
        <w:tblStyle w:val="Tablaconcuadrcula"/>
        <w:tblW w:w="0" w:type="auto"/>
        <w:tblLayout w:type="fixed"/>
        <w:tblLook w:val="04A0" w:firstRow="1" w:lastRow="0" w:firstColumn="1" w:lastColumn="0" w:noHBand="0" w:noVBand="1"/>
      </w:tblPr>
      <w:tblGrid>
        <w:gridCol w:w="1526"/>
        <w:gridCol w:w="3462"/>
        <w:gridCol w:w="1805"/>
        <w:gridCol w:w="1526"/>
        <w:gridCol w:w="1042"/>
      </w:tblGrid>
      <w:tr w:rsidR="00835945" w:rsidRPr="00677A18" w14:paraId="6BDEEA70" w14:textId="77777777" w:rsidTr="00A6302C">
        <w:trPr>
          <w:trHeight w:val="15"/>
        </w:trPr>
        <w:tc>
          <w:tcPr>
            <w:tcW w:w="1526"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31BC9D11" w14:textId="77777777" w:rsidR="00835945" w:rsidRPr="00677A18" w:rsidRDefault="00835945" w:rsidP="00A6302C">
            <w:pPr>
              <w:jc w:val="center"/>
              <w:rPr>
                <w:b/>
                <w:sz w:val="20"/>
                <w:szCs w:val="20"/>
              </w:rPr>
            </w:pPr>
            <w:r w:rsidRPr="00677A18">
              <w:rPr>
                <w:rFonts w:eastAsia="Arial" w:cs="Arial"/>
                <w:b/>
                <w:bCs/>
                <w:color w:val="FFFFFF" w:themeColor="background1"/>
                <w:sz w:val="20"/>
                <w:szCs w:val="20"/>
                <w:lang w:val="es"/>
              </w:rPr>
              <w:t>Proceso</w:t>
            </w:r>
          </w:p>
        </w:tc>
        <w:tc>
          <w:tcPr>
            <w:tcW w:w="3462" w:type="dxa"/>
            <w:tcBorders>
              <w:top w:val="single" w:sz="8" w:space="0" w:color="4F81BD" w:themeColor="accent1"/>
              <w:left w:val="nil"/>
              <w:bottom w:val="single" w:sz="8" w:space="0" w:color="4F81BD" w:themeColor="accent1"/>
              <w:right w:val="nil"/>
            </w:tcBorders>
            <w:shd w:val="clear" w:color="auto" w:fill="4F81BD" w:themeFill="accent1"/>
          </w:tcPr>
          <w:p w14:paraId="2BE26F51" w14:textId="77777777" w:rsidR="00835945" w:rsidRPr="00677A18" w:rsidRDefault="00835945" w:rsidP="00A6302C">
            <w:pPr>
              <w:jc w:val="center"/>
              <w:rPr>
                <w:b/>
                <w:sz w:val="20"/>
                <w:szCs w:val="20"/>
              </w:rPr>
            </w:pPr>
            <w:r w:rsidRPr="00677A18">
              <w:rPr>
                <w:rFonts w:eastAsia="Arial" w:cs="Arial"/>
                <w:b/>
                <w:color w:val="FFFFFF" w:themeColor="background1"/>
                <w:sz w:val="20"/>
                <w:szCs w:val="20"/>
                <w:lang w:val="es"/>
              </w:rPr>
              <w:t>Subproceso</w:t>
            </w:r>
          </w:p>
        </w:tc>
        <w:tc>
          <w:tcPr>
            <w:tcW w:w="1805" w:type="dxa"/>
            <w:tcBorders>
              <w:top w:val="single" w:sz="8" w:space="0" w:color="4F81BD" w:themeColor="accent1"/>
              <w:left w:val="nil"/>
              <w:bottom w:val="single" w:sz="8" w:space="0" w:color="4F81BD" w:themeColor="accent1"/>
              <w:right w:val="nil"/>
            </w:tcBorders>
            <w:shd w:val="clear" w:color="auto" w:fill="4F81BD" w:themeFill="accent1"/>
          </w:tcPr>
          <w:p w14:paraId="28D53D9C" w14:textId="77777777" w:rsidR="00835945" w:rsidRPr="00677A18" w:rsidRDefault="00835945" w:rsidP="00A6302C">
            <w:pPr>
              <w:jc w:val="center"/>
              <w:rPr>
                <w:b/>
                <w:sz w:val="20"/>
                <w:szCs w:val="20"/>
              </w:rPr>
            </w:pPr>
            <w:r w:rsidRPr="00677A18">
              <w:rPr>
                <w:rFonts w:eastAsia="Arial" w:cs="Arial"/>
                <w:b/>
                <w:color w:val="FFFFFF" w:themeColor="background1"/>
                <w:sz w:val="20"/>
                <w:szCs w:val="20"/>
                <w:lang w:val="es"/>
              </w:rPr>
              <w:t>Procedimientos</w:t>
            </w:r>
          </w:p>
        </w:tc>
        <w:tc>
          <w:tcPr>
            <w:tcW w:w="1526" w:type="dxa"/>
            <w:tcBorders>
              <w:top w:val="single" w:sz="8" w:space="0" w:color="4F81BD" w:themeColor="accent1"/>
              <w:left w:val="nil"/>
              <w:bottom w:val="single" w:sz="8" w:space="0" w:color="4F81BD" w:themeColor="accent1"/>
              <w:right w:val="nil"/>
            </w:tcBorders>
            <w:shd w:val="clear" w:color="auto" w:fill="4F81BD" w:themeFill="accent1"/>
          </w:tcPr>
          <w:p w14:paraId="17A95294" w14:textId="77777777" w:rsidR="00835945" w:rsidRPr="00677A18" w:rsidRDefault="00835945" w:rsidP="00A6302C">
            <w:pPr>
              <w:jc w:val="center"/>
              <w:rPr>
                <w:b/>
                <w:sz w:val="20"/>
                <w:szCs w:val="20"/>
              </w:rPr>
            </w:pPr>
            <w:r w:rsidRPr="00677A18">
              <w:rPr>
                <w:rFonts w:eastAsia="Arial" w:cs="Arial"/>
                <w:b/>
                <w:color w:val="FFFFFF" w:themeColor="background1"/>
                <w:sz w:val="20"/>
                <w:szCs w:val="20"/>
                <w:lang w:val="es"/>
              </w:rPr>
              <w:t>Indicadores</w:t>
            </w:r>
          </w:p>
        </w:tc>
        <w:tc>
          <w:tcPr>
            <w:tcW w:w="1042"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55D1C77D" w14:textId="77777777" w:rsidR="00835945" w:rsidRPr="00677A18" w:rsidRDefault="00835945" w:rsidP="00A6302C">
            <w:pPr>
              <w:jc w:val="center"/>
              <w:rPr>
                <w:b/>
                <w:sz w:val="20"/>
                <w:szCs w:val="20"/>
              </w:rPr>
            </w:pPr>
            <w:r w:rsidRPr="00677A18">
              <w:rPr>
                <w:rFonts w:eastAsia="Arial" w:cs="Arial"/>
                <w:b/>
                <w:color w:val="FFFFFF" w:themeColor="background1"/>
                <w:sz w:val="20"/>
                <w:szCs w:val="20"/>
                <w:lang w:val="es"/>
              </w:rPr>
              <w:t>Riesgos</w:t>
            </w:r>
          </w:p>
        </w:tc>
      </w:tr>
      <w:tr w:rsidR="00835945" w:rsidRPr="00677A18" w14:paraId="3C52B23E" w14:textId="77777777" w:rsidTr="00A6302C">
        <w:trPr>
          <w:trHeight w:val="15"/>
        </w:trPr>
        <w:tc>
          <w:tcPr>
            <w:tcW w:w="1526" w:type="dxa"/>
            <w:vMerge w:val="restart"/>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1D4B755" w14:textId="77777777" w:rsidR="00835945" w:rsidRPr="00677A18" w:rsidRDefault="00835945" w:rsidP="00A6302C">
            <w:pPr>
              <w:jc w:val="center"/>
              <w:rPr>
                <w:sz w:val="20"/>
                <w:szCs w:val="20"/>
              </w:rPr>
            </w:pPr>
            <w:r w:rsidRPr="00677A18">
              <w:rPr>
                <w:rFonts w:eastAsia="Arial" w:cs="Arial"/>
                <w:b/>
                <w:bCs/>
                <w:color w:val="000000" w:themeColor="text1"/>
                <w:sz w:val="20"/>
                <w:szCs w:val="20"/>
                <w:lang w:val="es"/>
              </w:rPr>
              <w:t>Gestión Documental</w:t>
            </w:r>
          </w:p>
        </w:tc>
        <w:tc>
          <w:tcPr>
            <w:tcW w:w="3462"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388A2068" w14:textId="77777777" w:rsidR="00835945" w:rsidRPr="00677A18" w:rsidRDefault="00835945" w:rsidP="00A6302C">
            <w:pPr>
              <w:jc w:val="both"/>
              <w:rPr>
                <w:sz w:val="20"/>
                <w:szCs w:val="20"/>
              </w:rPr>
            </w:pPr>
            <w:r w:rsidRPr="00677A18">
              <w:rPr>
                <w:rFonts w:eastAsia="Arial" w:cs="Arial"/>
                <w:color w:val="000000" w:themeColor="text1"/>
                <w:sz w:val="20"/>
                <w:szCs w:val="20"/>
                <w:lang w:val="es"/>
              </w:rPr>
              <w:t>Gestión de Archivos</w:t>
            </w:r>
          </w:p>
        </w:tc>
        <w:tc>
          <w:tcPr>
            <w:tcW w:w="180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2609F82B" w14:textId="77777777" w:rsidR="00835945" w:rsidRPr="00677A18" w:rsidRDefault="00835945" w:rsidP="00A6302C">
            <w:pPr>
              <w:jc w:val="center"/>
              <w:rPr>
                <w:sz w:val="20"/>
                <w:szCs w:val="20"/>
              </w:rPr>
            </w:pPr>
            <w:r w:rsidRPr="00677A18">
              <w:rPr>
                <w:rFonts w:eastAsia="Arial" w:cs="Arial"/>
                <w:color w:val="000000" w:themeColor="text1"/>
                <w:sz w:val="20"/>
                <w:szCs w:val="20"/>
                <w:lang w:val="es"/>
              </w:rPr>
              <w:t>6</w:t>
            </w:r>
          </w:p>
        </w:tc>
        <w:tc>
          <w:tcPr>
            <w:tcW w:w="152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678260E9" w14:textId="77777777" w:rsidR="00835945" w:rsidRPr="00677A18" w:rsidRDefault="00835945" w:rsidP="00A6302C">
            <w:pPr>
              <w:jc w:val="center"/>
              <w:rPr>
                <w:sz w:val="20"/>
                <w:szCs w:val="20"/>
              </w:rPr>
            </w:pPr>
            <w:r w:rsidRPr="00677A18">
              <w:rPr>
                <w:rFonts w:eastAsia="Arial" w:cs="Arial"/>
                <w:color w:val="000000" w:themeColor="text1"/>
                <w:sz w:val="20"/>
                <w:szCs w:val="20"/>
                <w:lang w:val="es"/>
              </w:rPr>
              <w:t>2</w:t>
            </w:r>
          </w:p>
        </w:tc>
        <w:tc>
          <w:tcPr>
            <w:tcW w:w="1042"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FCCBBF0" w14:textId="77777777" w:rsidR="00835945" w:rsidRPr="00677A18" w:rsidRDefault="00835945" w:rsidP="00A6302C">
            <w:pPr>
              <w:jc w:val="center"/>
              <w:rPr>
                <w:sz w:val="20"/>
                <w:szCs w:val="20"/>
              </w:rPr>
            </w:pPr>
            <w:r w:rsidRPr="00677A18">
              <w:rPr>
                <w:rFonts w:eastAsia="Arial" w:cs="Arial"/>
                <w:color w:val="000000" w:themeColor="text1"/>
                <w:sz w:val="20"/>
                <w:szCs w:val="20"/>
                <w:lang w:val="es"/>
              </w:rPr>
              <w:t>3</w:t>
            </w:r>
          </w:p>
        </w:tc>
      </w:tr>
      <w:tr w:rsidR="00835945" w:rsidRPr="00677A18" w14:paraId="2CA65C83" w14:textId="77777777" w:rsidTr="00A6302C">
        <w:trPr>
          <w:trHeight w:val="15"/>
        </w:trPr>
        <w:tc>
          <w:tcPr>
            <w:tcW w:w="1526"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4B8CB603" w14:textId="77777777" w:rsidR="00835945" w:rsidRPr="00677A18" w:rsidRDefault="00835945" w:rsidP="00A6302C">
            <w:pPr>
              <w:rPr>
                <w:sz w:val="20"/>
                <w:szCs w:val="20"/>
              </w:rPr>
            </w:pPr>
          </w:p>
        </w:tc>
        <w:tc>
          <w:tcPr>
            <w:tcW w:w="3462"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702F617C" w14:textId="77777777" w:rsidR="00835945" w:rsidRPr="00677A18" w:rsidRDefault="00835945" w:rsidP="00A6302C">
            <w:pPr>
              <w:jc w:val="both"/>
              <w:rPr>
                <w:sz w:val="20"/>
                <w:szCs w:val="20"/>
              </w:rPr>
            </w:pPr>
            <w:r w:rsidRPr="00677A18">
              <w:rPr>
                <w:rFonts w:eastAsia="Arial" w:cs="Arial"/>
                <w:sz w:val="20"/>
                <w:szCs w:val="20"/>
                <w:lang w:val="es"/>
              </w:rPr>
              <w:t>Gestión de Correspondencia</w:t>
            </w:r>
          </w:p>
        </w:tc>
        <w:tc>
          <w:tcPr>
            <w:tcW w:w="180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4BBCE6D" w14:textId="77777777" w:rsidR="00835945" w:rsidRPr="00677A18" w:rsidRDefault="00835945" w:rsidP="00A6302C">
            <w:pPr>
              <w:jc w:val="center"/>
              <w:rPr>
                <w:sz w:val="20"/>
                <w:szCs w:val="20"/>
              </w:rPr>
            </w:pPr>
            <w:r w:rsidRPr="00677A18">
              <w:rPr>
                <w:rFonts w:eastAsia="Arial" w:cs="Arial"/>
                <w:sz w:val="20"/>
                <w:szCs w:val="20"/>
                <w:lang w:val="es"/>
              </w:rPr>
              <w:t>2</w:t>
            </w:r>
          </w:p>
        </w:tc>
        <w:tc>
          <w:tcPr>
            <w:tcW w:w="152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3EB1985" w14:textId="77777777" w:rsidR="00835945" w:rsidRPr="00677A18" w:rsidRDefault="00835945" w:rsidP="00A6302C">
            <w:pPr>
              <w:jc w:val="center"/>
              <w:rPr>
                <w:sz w:val="20"/>
                <w:szCs w:val="20"/>
              </w:rPr>
            </w:pPr>
            <w:r w:rsidRPr="00677A18">
              <w:rPr>
                <w:rFonts w:eastAsia="Arial" w:cs="Arial"/>
                <w:sz w:val="20"/>
                <w:szCs w:val="20"/>
                <w:lang w:val="es"/>
              </w:rPr>
              <w:t>1</w:t>
            </w:r>
          </w:p>
        </w:tc>
        <w:tc>
          <w:tcPr>
            <w:tcW w:w="104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D3EC8B3" w14:textId="77777777" w:rsidR="00835945" w:rsidRPr="00677A18" w:rsidRDefault="00835945" w:rsidP="00A6302C">
            <w:pPr>
              <w:jc w:val="center"/>
              <w:rPr>
                <w:sz w:val="20"/>
                <w:szCs w:val="20"/>
              </w:rPr>
            </w:pPr>
            <w:r w:rsidRPr="00677A18">
              <w:rPr>
                <w:rFonts w:eastAsia="Arial" w:cs="Arial"/>
                <w:sz w:val="20"/>
                <w:szCs w:val="20"/>
                <w:lang w:val="es"/>
              </w:rPr>
              <w:t>0</w:t>
            </w:r>
          </w:p>
        </w:tc>
      </w:tr>
      <w:tr w:rsidR="00835945" w:rsidRPr="00677A18" w14:paraId="3F4E36FC" w14:textId="77777777" w:rsidTr="00A6302C">
        <w:trPr>
          <w:trHeight w:val="15"/>
        </w:trPr>
        <w:tc>
          <w:tcPr>
            <w:tcW w:w="4988" w:type="dxa"/>
            <w:gridSpan w:val="2"/>
            <w:tcBorders>
              <w:top w:val="nil"/>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537CD22" w14:textId="77777777" w:rsidR="00835945" w:rsidRPr="00677A18" w:rsidRDefault="00835945" w:rsidP="00A6302C">
            <w:pPr>
              <w:rPr>
                <w:sz w:val="20"/>
                <w:szCs w:val="20"/>
              </w:rPr>
            </w:pPr>
            <w:r w:rsidRPr="00677A18">
              <w:rPr>
                <w:rFonts w:eastAsia="Arial" w:cs="Arial"/>
                <w:b/>
                <w:bCs/>
                <w:color w:val="000000" w:themeColor="text1"/>
                <w:sz w:val="20"/>
                <w:szCs w:val="20"/>
                <w:lang w:val="es"/>
              </w:rPr>
              <w:t>Total</w:t>
            </w:r>
          </w:p>
        </w:tc>
        <w:tc>
          <w:tcPr>
            <w:tcW w:w="1805"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tcPr>
          <w:p w14:paraId="48C54607" w14:textId="77777777" w:rsidR="00835945" w:rsidRPr="00677A18" w:rsidRDefault="00835945" w:rsidP="00A6302C">
            <w:pPr>
              <w:jc w:val="center"/>
              <w:rPr>
                <w:sz w:val="20"/>
                <w:szCs w:val="20"/>
              </w:rPr>
            </w:pPr>
            <w:r w:rsidRPr="00677A18">
              <w:rPr>
                <w:rFonts w:eastAsia="Arial" w:cs="Arial"/>
                <w:b/>
                <w:bCs/>
                <w:color w:val="000000" w:themeColor="text1"/>
                <w:sz w:val="20"/>
                <w:szCs w:val="20"/>
                <w:lang w:val="es"/>
              </w:rPr>
              <w:t>8</w:t>
            </w:r>
          </w:p>
        </w:tc>
        <w:tc>
          <w:tcPr>
            <w:tcW w:w="152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531C489E" w14:textId="77777777" w:rsidR="00835945" w:rsidRPr="00677A18" w:rsidRDefault="00835945" w:rsidP="00A6302C">
            <w:pPr>
              <w:jc w:val="center"/>
              <w:rPr>
                <w:sz w:val="20"/>
                <w:szCs w:val="20"/>
              </w:rPr>
            </w:pPr>
            <w:r w:rsidRPr="00677A18">
              <w:rPr>
                <w:rFonts w:eastAsia="Arial" w:cs="Arial"/>
                <w:b/>
                <w:bCs/>
                <w:color w:val="000000" w:themeColor="text1"/>
                <w:sz w:val="20"/>
                <w:szCs w:val="20"/>
                <w:lang w:val="es"/>
              </w:rPr>
              <w:t>3</w:t>
            </w:r>
          </w:p>
        </w:tc>
        <w:tc>
          <w:tcPr>
            <w:tcW w:w="1042"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7F1AB993" w14:textId="77777777" w:rsidR="00835945" w:rsidRPr="00677A18" w:rsidRDefault="00835945" w:rsidP="00A6302C">
            <w:pPr>
              <w:jc w:val="center"/>
              <w:rPr>
                <w:sz w:val="20"/>
                <w:szCs w:val="20"/>
              </w:rPr>
            </w:pPr>
            <w:r w:rsidRPr="00677A18">
              <w:rPr>
                <w:rFonts w:eastAsia="Arial" w:cs="Arial"/>
                <w:b/>
                <w:bCs/>
                <w:color w:val="000000" w:themeColor="text1"/>
                <w:sz w:val="20"/>
                <w:szCs w:val="20"/>
                <w:lang w:val="es"/>
              </w:rPr>
              <w:t>3</w:t>
            </w:r>
          </w:p>
        </w:tc>
      </w:tr>
    </w:tbl>
    <w:p w14:paraId="36A041AE" w14:textId="77777777" w:rsidR="00835945" w:rsidRPr="00872F37" w:rsidRDefault="00835945" w:rsidP="00835945">
      <w:pPr>
        <w:spacing w:line="254" w:lineRule="auto"/>
        <w:jc w:val="center"/>
        <w:rPr>
          <w:rFonts w:eastAsia="Arial" w:cs="Arial"/>
          <w:b/>
          <w:sz w:val="16"/>
          <w:szCs w:val="16"/>
          <w:lang w:val="es"/>
        </w:rPr>
      </w:pPr>
      <w:r w:rsidRPr="31FF9146">
        <w:rPr>
          <w:rFonts w:eastAsia="Arial" w:cs="Arial"/>
          <w:sz w:val="22"/>
          <w:szCs w:val="22"/>
          <w:lang w:val="es"/>
        </w:rPr>
        <w:t xml:space="preserve"> </w:t>
      </w:r>
      <w:r w:rsidRPr="00872F37">
        <w:rPr>
          <w:rFonts w:eastAsia="Arial" w:cs="Arial"/>
          <w:b/>
          <w:sz w:val="16"/>
          <w:szCs w:val="16"/>
          <w:lang w:val="es"/>
        </w:rPr>
        <w:t>Fuente: Oficina Asesora de Planeación</w:t>
      </w:r>
    </w:p>
    <w:p w14:paraId="3D048BC6" w14:textId="77777777" w:rsidR="00CA7B70" w:rsidRPr="00CA7B70" w:rsidRDefault="00CA7B70" w:rsidP="00CA7B70">
      <w:pPr>
        <w:spacing w:line="254" w:lineRule="auto"/>
        <w:jc w:val="both"/>
      </w:pPr>
    </w:p>
    <w:tbl>
      <w:tblPr>
        <w:tblStyle w:val="Tabladecuadrcula4-nfasis1"/>
        <w:tblW w:w="0" w:type="auto"/>
        <w:tblLayout w:type="fixed"/>
        <w:tblLook w:val="04A0" w:firstRow="1" w:lastRow="0" w:firstColumn="1" w:lastColumn="0" w:noHBand="0" w:noVBand="1"/>
      </w:tblPr>
      <w:tblGrid>
        <w:gridCol w:w="1785"/>
        <w:gridCol w:w="3211"/>
        <w:gridCol w:w="1807"/>
        <w:gridCol w:w="1528"/>
        <w:gridCol w:w="1029"/>
      </w:tblGrid>
      <w:tr w:rsidR="00835945" w:rsidRPr="005F3AB0" w14:paraId="750D5711" w14:textId="77777777" w:rsidTr="00A6302C">
        <w:trPr>
          <w:cnfStyle w:val="100000000000" w:firstRow="1" w:lastRow="0" w:firstColumn="0" w:lastColumn="0" w:oddVBand="0" w:evenVBand="0" w:oddHBand="0" w:evenHBand="0" w:firstRowFirstColumn="0" w:firstRowLastColumn="0" w:lastRowFirstColumn="0" w:lastRowLastColumn="0"/>
          <w:trHeight w:val="15"/>
        </w:trPr>
        <w:tc>
          <w:tcPr>
            <w:cnfStyle w:val="001000000000" w:firstRow="0" w:lastRow="0" w:firstColumn="1" w:lastColumn="0" w:oddVBand="0" w:evenVBand="0" w:oddHBand="0" w:evenHBand="0" w:firstRowFirstColumn="0" w:firstRowLastColumn="0" w:lastRowFirstColumn="0" w:lastRowLastColumn="0"/>
            <w:tcW w:w="1785" w:type="dxa"/>
            <w:tcBorders>
              <w:top w:val="single" w:sz="8" w:space="0" w:color="4F81BD" w:themeColor="accent1"/>
              <w:left w:val="single" w:sz="8" w:space="0" w:color="4F81BD" w:themeColor="accent1"/>
              <w:bottom w:val="single" w:sz="8" w:space="0" w:color="4F81BD" w:themeColor="accent1"/>
            </w:tcBorders>
          </w:tcPr>
          <w:p w14:paraId="7273036B" w14:textId="77777777" w:rsidR="00835945" w:rsidRPr="005F3AB0" w:rsidRDefault="00835945" w:rsidP="00A6302C">
            <w:pPr>
              <w:jc w:val="center"/>
              <w:rPr>
                <w:sz w:val="20"/>
                <w:szCs w:val="20"/>
              </w:rPr>
            </w:pPr>
            <w:r w:rsidRPr="005F3AB0">
              <w:rPr>
                <w:rFonts w:eastAsia="Arial" w:cs="Arial"/>
                <w:sz w:val="20"/>
                <w:szCs w:val="20"/>
                <w:lang w:val="es"/>
              </w:rPr>
              <w:t>Proceso</w:t>
            </w:r>
          </w:p>
        </w:tc>
        <w:tc>
          <w:tcPr>
            <w:tcW w:w="3211" w:type="dxa"/>
            <w:tcBorders>
              <w:top w:val="single" w:sz="8" w:space="0" w:color="4F81BD" w:themeColor="accent1"/>
              <w:bottom w:val="single" w:sz="8" w:space="0" w:color="4F81BD" w:themeColor="accent1"/>
            </w:tcBorders>
          </w:tcPr>
          <w:p w14:paraId="41570D91" w14:textId="77777777" w:rsidR="00835945" w:rsidRPr="005F3AB0" w:rsidRDefault="00835945" w:rsidP="00A6302C">
            <w:pPr>
              <w:jc w:val="center"/>
              <w:cnfStyle w:val="100000000000" w:firstRow="1"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Subproceso</w:t>
            </w:r>
          </w:p>
        </w:tc>
        <w:tc>
          <w:tcPr>
            <w:tcW w:w="1807" w:type="dxa"/>
            <w:tcBorders>
              <w:top w:val="single" w:sz="8" w:space="0" w:color="4F81BD" w:themeColor="accent1"/>
              <w:bottom w:val="single" w:sz="8" w:space="0" w:color="4F81BD" w:themeColor="accent1"/>
            </w:tcBorders>
          </w:tcPr>
          <w:p w14:paraId="43B04A85" w14:textId="77777777" w:rsidR="00835945" w:rsidRPr="005F3AB0" w:rsidRDefault="00835945" w:rsidP="00A6302C">
            <w:pPr>
              <w:jc w:val="center"/>
              <w:cnfStyle w:val="100000000000" w:firstRow="1"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Procedimientos</w:t>
            </w:r>
          </w:p>
        </w:tc>
        <w:tc>
          <w:tcPr>
            <w:tcW w:w="1528" w:type="dxa"/>
            <w:tcBorders>
              <w:top w:val="single" w:sz="8" w:space="0" w:color="4F81BD" w:themeColor="accent1"/>
              <w:bottom w:val="single" w:sz="8" w:space="0" w:color="4F81BD" w:themeColor="accent1"/>
            </w:tcBorders>
          </w:tcPr>
          <w:p w14:paraId="5D2797CC" w14:textId="77777777" w:rsidR="00835945" w:rsidRPr="005F3AB0" w:rsidRDefault="00835945" w:rsidP="00A6302C">
            <w:pPr>
              <w:jc w:val="center"/>
              <w:cnfStyle w:val="100000000000" w:firstRow="1"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Indicadores</w:t>
            </w:r>
          </w:p>
        </w:tc>
        <w:tc>
          <w:tcPr>
            <w:tcW w:w="1029" w:type="dxa"/>
            <w:tcBorders>
              <w:top w:val="single" w:sz="8" w:space="0" w:color="4F81BD" w:themeColor="accent1"/>
              <w:bottom w:val="single" w:sz="8" w:space="0" w:color="4F81BD" w:themeColor="accent1"/>
              <w:right w:val="single" w:sz="8" w:space="0" w:color="4F81BD" w:themeColor="accent1"/>
            </w:tcBorders>
          </w:tcPr>
          <w:p w14:paraId="52F751E3" w14:textId="77777777" w:rsidR="00835945" w:rsidRPr="005F3AB0" w:rsidRDefault="00835945" w:rsidP="00A6302C">
            <w:pPr>
              <w:jc w:val="center"/>
              <w:cnfStyle w:val="100000000000" w:firstRow="1"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Riesgos</w:t>
            </w:r>
          </w:p>
        </w:tc>
      </w:tr>
      <w:tr w:rsidR="00835945" w:rsidRPr="005F3AB0" w14:paraId="312F727C" w14:textId="77777777" w:rsidTr="00A6302C">
        <w:trPr>
          <w:cnfStyle w:val="000000100000" w:firstRow="0" w:lastRow="0" w:firstColumn="0" w:lastColumn="0" w:oddVBand="0" w:evenVBand="0" w:oddHBand="1" w:evenHBand="0" w:firstRowFirstColumn="0" w:firstRowLastColumn="0" w:lastRowFirstColumn="0" w:lastRowLastColumn="0"/>
          <w:trHeight w:val="15"/>
        </w:trPr>
        <w:tc>
          <w:tcPr>
            <w:cnfStyle w:val="001000000000" w:firstRow="0" w:lastRow="0" w:firstColumn="1" w:lastColumn="0" w:oddVBand="0" w:evenVBand="0" w:oddHBand="0" w:evenHBand="0" w:firstRowFirstColumn="0" w:firstRowLastColumn="0" w:lastRowFirstColumn="0" w:lastRowLastColumn="0"/>
            <w:tcW w:w="1785" w:type="dxa"/>
            <w:vMerge w:val="restart"/>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1BD20CB5" w14:textId="77777777" w:rsidR="00835945" w:rsidRPr="005F3AB0" w:rsidRDefault="00835945" w:rsidP="00A6302C">
            <w:pPr>
              <w:jc w:val="center"/>
              <w:rPr>
                <w:sz w:val="20"/>
                <w:szCs w:val="20"/>
              </w:rPr>
            </w:pPr>
            <w:r w:rsidRPr="005F3AB0">
              <w:rPr>
                <w:rFonts w:eastAsia="Arial" w:cs="Arial"/>
                <w:color w:val="000000" w:themeColor="text1"/>
                <w:sz w:val="20"/>
                <w:szCs w:val="20"/>
                <w:lang w:val="es"/>
              </w:rPr>
              <w:t>Gestión Administrativa</w:t>
            </w:r>
          </w:p>
        </w:tc>
        <w:tc>
          <w:tcPr>
            <w:tcW w:w="321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43E3406" w14:textId="77777777" w:rsidR="00835945" w:rsidRPr="005F3AB0" w:rsidRDefault="00835945" w:rsidP="00A6302C">
            <w:pPr>
              <w:jc w:val="both"/>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color w:val="000000" w:themeColor="text1"/>
                <w:sz w:val="20"/>
                <w:szCs w:val="20"/>
                <w:lang w:val="es"/>
              </w:rPr>
              <w:t>Gestión de Inventarios</w:t>
            </w:r>
          </w:p>
        </w:tc>
        <w:tc>
          <w:tcPr>
            <w:tcW w:w="180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415EB3D4"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color w:val="000000" w:themeColor="text1"/>
                <w:sz w:val="20"/>
                <w:szCs w:val="20"/>
                <w:lang w:val="es"/>
              </w:rPr>
              <w:t>4</w:t>
            </w:r>
          </w:p>
        </w:tc>
        <w:tc>
          <w:tcPr>
            <w:tcW w:w="152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925AA33"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color w:val="000000" w:themeColor="text1"/>
                <w:sz w:val="20"/>
                <w:szCs w:val="20"/>
                <w:lang w:val="es"/>
              </w:rPr>
              <w:t>1</w:t>
            </w:r>
          </w:p>
        </w:tc>
        <w:tc>
          <w:tcPr>
            <w:tcW w:w="102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4FF4CBA"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color w:val="000000" w:themeColor="text1"/>
                <w:sz w:val="20"/>
                <w:szCs w:val="20"/>
                <w:lang w:val="es"/>
              </w:rPr>
              <w:t>1</w:t>
            </w:r>
          </w:p>
        </w:tc>
      </w:tr>
      <w:tr w:rsidR="00835945" w:rsidRPr="005F3AB0" w14:paraId="05D7EB6F" w14:textId="77777777" w:rsidTr="00A6302C">
        <w:trPr>
          <w:trHeight w:val="15"/>
        </w:trPr>
        <w:tc>
          <w:tcPr>
            <w:cnfStyle w:val="001000000000" w:firstRow="0" w:lastRow="0" w:firstColumn="1" w:lastColumn="0" w:oddVBand="0" w:evenVBand="0" w:oddHBand="0" w:evenHBand="0" w:firstRowFirstColumn="0" w:firstRowLastColumn="0" w:lastRowFirstColumn="0" w:lastRowLastColumn="0"/>
            <w:tcW w:w="1785"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0447BCA4" w14:textId="77777777" w:rsidR="00835945" w:rsidRPr="005F3AB0" w:rsidRDefault="00835945" w:rsidP="00A6302C">
            <w:pPr>
              <w:rPr>
                <w:sz w:val="20"/>
                <w:szCs w:val="20"/>
              </w:rPr>
            </w:pPr>
          </w:p>
        </w:tc>
        <w:tc>
          <w:tcPr>
            <w:tcW w:w="3211"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4F1C9EE4" w14:textId="77777777" w:rsidR="00835945" w:rsidRPr="005F3AB0" w:rsidRDefault="00835945" w:rsidP="00A6302C">
            <w:pPr>
              <w:jc w:val="both"/>
              <w:cnfStyle w:val="000000000000" w:firstRow="0"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Gestión de Servicios</w:t>
            </w:r>
          </w:p>
        </w:tc>
        <w:tc>
          <w:tcPr>
            <w:tcW w:w="1807"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8087D54" w14:textId="77777777" w:rsidR="00835945" w:rsidRPr="005F3AB0" w:rsidRDefault="00835945"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8</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8BCB398" w14:textId="77777777" w:rsidR="00835945" w:rsidRPr="005F3AB0" w:rsidRDefault="00835945"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2</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A428AEA" w14:textId="77777777" w:rsidR="00835945" w:rsidRPr="005F3AB0" w:rsidRDefault="00835945"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r w:rsidRPr="005F3AB0">
              <w:rPr>
                <w:rFonts w:eastAsia="Arial" w:cs="Arial"/>
                <w:sz w:val="20"/>
                <w:szCs w:val="20"/>
                <w:lang w:val="es"/>
              </w:rPr>
              <w:t>2</w:t>
            </w:r>
          </w:p>
        </w:tc>
      </w:tr>
      <w:tr w:rsidR="00835945" w:rsidRPr="005F3AB0" w14:paraId="2224A5A1" w14:textId="77777777" w:rsidTr="00A6302C">
        <w:trPr>
          <w:cnfStyle w:val="000000100000" w:firstRow="0" w:lastRow="0" w:firstColumn="0" w:lastColumn="0" w:oddVBand="0" w:evenVBand="0" w:oddHBand="1" w:evenHBand="0" w:firstRowFirstColumn="0" w:firstRowLastColumn="0" w:lastRowFirstColumn="0" w:lastRowLastColumn="0"/>
          <w:trHeight w:val="15"/>
        </w:trPr>
        <w:tc>
          <w:tcPr>
            <w:cnfStyle w:val="001000000000" w:firstRow="0" w:lastRow="0" w:firstColumn="1" w:lastColumn="0" w:oddVBand="0" w:evenVBand="0" w:oddHBand="0" w:evenHBand="0" w:firstRowFirstColumn="0" w:firstRowLastColumn="0" w:lastRowFirstColumn="0" w:lastRowLastColumn="0"/>
            <w:tcW w:w="4996" w:type="dxa"/>
            <w:gridSpan w:val="2"/>
            <w:tcBorders>
              <w:top w:val="nil"/>
              <w:left w:val="single" w:sz="8" w:space="0" w:color="95B3D7" w:themeColor="accent1" w:themeTint="99"/>
              <w:bottom w:val="single" w:sz="8" w:space="0" w:color="95B3D7" w:themeColor="accent1" w:themeTint="99"/>
              <w:right w:val="single" w:sz="8" w:space="0" w:color="95B3D7" w:themeColor="accent1" w:themeTint="99"/>
            </w:tcBorders>
          </w:tcPr>
          <w:p w14:paraId="476FAC2F" w14:textId="77777777" w:rsidR="00835945" w:rsidRPr="005F3AB0" w:rsidRDefault="00835945" w:rsidP="00A6302C">
            <w:pPr>
              <w:rPr>
                <w:sz w:val="20"/>
                <w:szCs w:val="20"/>
              </w:rPr>
            </w:pPr>
            <w:r w:rsidRPr="005F3AB0">
              <w:rPr>
                <w:rFonts w:eastAsia="Arial" w:cs="Arial"/>
                <w:color w:val="000000" w:themeColor="text1"/>
                <w:sz w:val="20"/>
                <w:szCs w:val="20"/>
                <w:lang w:val="es"/>
              </w:rPr>
              <w:t>Total</w:t>
            </w:r>
          </w:p>
        </w:tc>
        <w:tc>
          <w:tcPr>
            <w:tcW w:w="1807" w:type="dxa"/>
            <w:tcBorders>
              <w:top w:val="single" w:sz="8" w:space="0" w:color="95B3D7" w:themeColor="accent1" w:themeTint="99"/>
              <w:left w:val="nil"/>
              <w:bottom w:val="single" w:sz="8" w:space="0" w:color="95B3D7" w:themeColor="accent1" w:themeTint="99"/>
              <w:right w:val="single" w:sz="8" w:space="0" w:color="95B3D7" w:themeColor="accent1" w:themeTint="99"/>
            </w:tcBorders>
          </w:tcPr>
          <w:p w14:paraId="222D5D05"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b/>
                <w:bCs/>
                <w:color w:val="000000" w:themeColor="text1"/>
                <w:sz w:val="20"/>
                <w:szCs w:val="20"/>
                <w:lang w:val="es"/>
              </w:rPr>
              <w:t>12</w:t>
            </w:r>
          </w:p>
        </w:tc>
        <w:tc>
          <w:tcPr>
            <w:tcW w:w="1528"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1564968"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b/>
                <w:bCs/>
                <w:color w:val="000000" w:themeColor="text1"/>
                <w:sz w:val="20"/>
                <w:szCs w:val="20"/>
                <w:lang w:val="es"/>
              </w:rPr>
              <w:t>3</w:t>
            </w:r>
          </w:p>
        </w:tc>
        <w:tc>
          <w:tcPr>
            <w:tcW w:w="102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64AE44A" w14:textId="77777777" w:rsidR="00835945" w:rsidRPr="005F3AB0" w:rsidRDefault="00835945"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r w:rsidRPr="005F3AB0">
              <w:rPr>
                <w:rFonts w:eastAsia="Arial" w:cs="Arial"/>
                <w:b/>
                <w:bCs/>
                <w:color w:val="000000" w:themeColor="text1"/>
                <w:sz w:val="20"/>
                <w:szCs w:val="20"/>
                <w:lang w:val="es"/>
              </w:rPr>
              <w:t>3</w:t>
            </w:r>
          </w:p>
        </w:tc>
      </w:tr>
    </w:tbl>
    <w:p w14:paraId="72F2D48C" w14:textId="77777777" w:rsidR="00835945" w:rsidRPr="00872F37" w:rsidRDefault="00835945" w:rsidP="00835945">
      <w:pPr>
        <w:spacing w:line="254" w:lineRule="auto"/>
        <w:jc w:val="center"/>
        <w:rPr>
          <w:rFonts w:eastAsia="Arial" w:cs="Arial"/>
          <w:b/>
          <w:sz w:val="16"/>
          <w:szCs w:val="16"/>
          <w:lang w:val="es"/>
        </w:rPr>
      </w:pPr>
      <w:r w:rsidRPr="00872F37">
        <w:rPr>
          <w:rFonts w:eastAsia="Arial" w:cs="Arial"/>
          <w:b/>
          <w:sz w:val="22"/>
          <w:szCs w:val="22"/>
          <w:lang w:val="es-MX"/>
        </w:rPr>
        <w:t xml:space="preserve"> </w:t>
      </w:r>
      <w:r w:rsidRPr="00872F37">
        <w:rPr>
          <w:rFonts w:eastAsia="Arial" w:cs="Arial"/>
          <w:b/>
          <w:sz w:val="16"/>
          <w:szCs w:val="16"/>
          <w:lang w:val="es"/>
        </w:rPr>
        <w:t>Fuente: Oficina Asesora de Planeación</w:t>
      </w:r>
    </w:p>
    <w:p w14:paraId="325A9737" w14:textId="77D406EA" w:rsidR="00835945" w:rsidRDefault="00835945" w:rsidP="00835945">
      <w:pPr>
        <w:jc w:val="both"/>
      </w:pPr>
    </w:p>
    <w:p w14:paraId="0152AE9F" w14:textId="2CC5E43D" w:rsidR="00835945" w:rsidRDefault="00835945" w:rsidP="00835945">
      <w:pPr>
        <w:jc w:val="both"/>
      </w:pPr>
      <w:r w:rsidRPr="31FF9146">
        <w:rPr>
          <w:rFonts w:eastAsia="Arial" w:cs="Arial"/>
          <w:color w:val="000000" w:themeColor="text1"/>
          <w:sz w:val="22"/>
          <w:szCs w:val="22"/>
          <w:lang w:val="es"/>
        </w:rPr>
        <w:t>Para mayor detalle de la información consultar en:</w:t>
      </w:r>
    </w:p>
    <w:p w14:paraId="0C142686" w14:textId="77777777" w:rsidR="00C31EB1" w:rsidRDefault="00C31EB1" w:rsidP="00835945">
      <w:pPr>
        <w:jc w:val="both"/>
      </w:pPr>
    </w:p>
    <w:p w14:paraId="5C01C33B" w14:textId="77777777" w:rsidR="00835945" w:rsidRDefault="00835945" w:rsidP="000A20EE">
      <w:pPr>
        <w:pStyle w:val="Prrafodelista"/>
        <w:numPr>
          <w:ilvl w:val="0"/>
          <w:numId w:val="269"/>
        </w:numPr>
      </w:pPr>
      <w:r w:rsidRPr="00872F37">
        <w:rPr>
          <w:rFonts w:eastAsia="Arial" w:cs="Arial"/>
          <w:b/>
          <w:bCs/>
          <w:color w:val="000000" w:themeColor="text1"/>
          <w:sz w:val="22"/>
          <w:szCs w:val="22"/>
          <w:lang w:val="es"/>
        </w:rPr>
        <w:t>Procedimientos</w:t>
      </w:r>
      <w:r w:rsidRPr="00872F37">
        <w:rPr>
          <w:rFonts w:eastAsia="Arial" w:cs="Arial"/>
          <w:color w:val="000000" w:themeColor="text1"/>
          <w:sz w:val="22"/>
          <w:szCs w:val="22"/>
          <w:lang w:val="es"/>
        </w:rPr>
        <w:t xml:space="preserve">: </w:t>
      </w:r>
      <w:hyperlink r:id="rId117">
        <w:r w:rsidRPr="00872F37">
          <w:rPr>
            <w:rStyle w:val="Hipervnculo"/>
            <w:rFonts w:eastAsia="Arial" w:cs="Arial"/>
            <w:sz w:val="22"/>
            <w:szCs w:val="22"/>
            <w:lang w:val="es"/>
          </w:rPr>
          <w:t>https://www.igac.gov.co/es/listado-maestro-de-documentos</w:t>
        </w:r>
      </w:hyperlink>
    </w:p>
    <w:p w14:paraId="4AAB947D" w14:textId="77777777" w:rsidR="00835945" w:rsidRDefault="00835945" w:rsidP="000A20EE">
      <w:pPr>
        <w:pStyle w:val="Prrafodelista"/>
        <w:numPr>
          <w:ilvl w:val="0"/>
          <w:numId w:val="269"/>
        </w:numPr>
      </w:pPr>
      <w:r w:rsidRPr="00872F37">
        <w:rPr>
          <w:rFonts w:eastAsia="Arial" w:cs="Arial"/>
          <w:b/>
          <w:bCs/>
          <w:color w:val="000000" w:themeColor="text1"/>
          <w:sz w:val="22"/>
          <w:szCs w:val="22"/>
          <w:lang w:val="es"/>
        </w:rPr>
        <w:t>Indicadores</w:t>
      </w:r>
      <w:r w:rsidRPr="00872F37">
        <w:rPr>
          <w:rFonts w:eastAsia="Arial" w:cs="Arial"/>
          <w:color w:val="000000" w:themeColor="text1"/>
          <w:sz w:val="22"/>
          <w:szCs w:val="22"/>
          <w:lang w:val="es"/>
        </w:rPr>
        <w:t xml:space="preserve">: Plan Acción Anual 2021:  </w:t>
      </w:r>
      <w:hyperlink r:id="rId118">
        <w:r w:rsidRPr="00872F37">
          <w:rPr>
            <w:rStyle w:val="Hipervnculo"/>
            <w:rFonts w:eastAsia="Arial" w:cs="Arial"/>
            <w:sz w:val="22"/>
            <w:szCs w:val="22"/>
            <w:lang w:val="es"/>
          </w:rPr>
          <w:t>https://www.igac.gov.co/es/transparencia-y-acceso-a-la-informacion-publica/plan-de-accion-anual</w:t>
        </w:r>
      </w:hyperlink>
      <w:r w:rsidRPr="00872F37">
        <w:rPr>
          <w:rFonts w:eastAsia="Arial" w:cs="Arial"/>
          <w:color w:val="000000" w:themeColor="text1"/>
          <w:sz w:val="22"/>
          <w:szCs w:val="22"/>
          <w:lang w:val="es"/>
        </w:rPr>
        <w:t xml:space="preserve"> y en Herramienta Planigac</w:t>
      </w:r>
    </w:p>
    <w:p w14:paraId="336C4D7D" w14:textId="77777777" w:rsidR="00835945" w:rsidRPr="00101A67" w:rsidRDefault="00835945" w:rsidP="000A20EE">
      <w:pPr>
        <w:pStyle w:val="Prrafodelista"/>
        <w:numPr>
          <w:ilvl w:val="0"/>
          <w:numId w:val="269"/>
        </w:numPr>
      </w:pPr>
      <w:r w:rsidRPr="00872F37">
        <w:rPr>
          <w:rFonts w:eastAsia="Arial" w:cs="Arial"/>
          <w:b/>
          <w:bCs/>
          <w:color w:val="000000" w:themeColor="text1"/>
          <w:sz w:val="22"/>
          <w:szCs w:val="22"/>
          <w:lang w:val="es"/>
        </w:rPr>
        <w:t>Riesgos</w:t>
      </w:r>
      <w:r w:rsidRPr="00872F37">
        <w:rPr>
          <w:rFonts w:eastAsia="Arial" w:cs="Arial"/>
          <w:color w:val="000000" w:themeColor="text1"/>
          <w:sz w:val="22"/>
          <w:szCs w:val="22"/>
          <w:lang w:val="es"/>
        </w:rPr>
        <w:t xml:space="preserve">: Matriz de Riesgos Institucional IGAC 2021: </w:t>
      </w:r>
      <w:hyperlink r:id="rId119">
        <w:r w:rsidRPr="00872F37">
          <w:rPr>
            <w:rStyle w:val="Hipervnculo"/>
            <w:rFonts w:eastAsia="Arial" w:cs="Arial"/>
            <w:sz w:val="22"/>
            <w:szCs w:val="22"/>
            <w:lang w:val="es"/>
          </w:rPr>
          <w:t>https://www.igac.gov.co/es/transparencia-y-acceso-a-la-informacion-publica/plan-anticorrupcion-y-de-atencion-al-ciudadano</w:t>
        </w:r>
      </w:hyperlink>
      <w:r w:rsidRPr="00872F37">
        <w:rPr>
          <w:rFonts w:eastAsia="Arial" w:cs="Arial"/>
          <w:color w:val="000000" w:themeColor="text1"/>
          <w:sz w:val="22"/>
          <w:szCs w:val="22"/>
          <w:lang w:val="es"/>
        </w:rPr>
        <w:t xml:space="preserve">  y en Herramienta Planigac.</w:t>
      </w:r>
    </w:p>
    <w:p w14:paraId="5CE57239" w14:textId="77777777" w:rsidR="00835945" w:rsidRDefault="00835945" w:rsidP="00835945">
      <w:pPr>
        <w:jc w:val="both"/>
        <w:rPr>
          <w:rFonts w:eastAsia="Arial" w:cs="Arial"/>
          <w:lang w:val="es-MX"/>
        </w:rPr>
      </w:pPr>
    </w:p>
    <w:p w14:paraId="695BEF4A" w14:textId="77777777" w:rsidR="00835945" w:rsidRDefault="00835945" w:rsidP="00835945">
      <w:pPr>
        <w:jc w:val="both"/>
      </w:pPr>
      <w:r>
        <w:rPr>
          <w:rFonts w:eastAsia="Arial" w:cs="Arial"/>
          <w:b/>
          <w:bCs/>
          <w:sz w:val="22"/>
          <w:szCs w:val="22"/>
          <w:lang w:val="es"/>
        </w:rPr>
        <w:t>4.6.6</w:t>
      </w:r>
      <w:r w:rsidRPr="31FF9146">
        <w:rPr>
          <w:rFonts w:eastAsia="Arial" w:cs="Arial"/>
          <w:b/>
          <w:bCs/>
          <w:sz w:val="22"/>
          <w:szCs w:val="22"/>
          <w:lang w:val="es"/>
        </w:rPr>
        <w:t xml:space="preserve"> POLÍTICAS ASOCIADAS A LOS PROCESOS DE LA SECRETARÍA GENERAL</w:t>
      </w:r>
    </w:p>
    <w:p w14:paraId="06F7CA05" w14:textId="77777777" w:rsidR="00835945" w:rsidRDefault="00835945" w:rsidP="00835945">
      <w:pPr>
        <w:jc w:val="both"/>
      </w:pPr>
      <w:r w:rsidRPr="31FF9146">
        <w:rPr>
          <w:rFonts w:ascii="Calibri" w:eastAsia="Calibri" w:hAnsi="Calibri" w:cs="Calibri"/>
          <w:b/>
          <w:bCs/>
          <w:lang w:val="es"/>
        </w:rPr>
        <w:t xml:space="preserve"> </w:t>
      </w:r>
    </w:p>
    <w:p w14:paraId="6B0DD703" w14:textId="77777777" w:rsidR="00CA7B70" w:rsidRPr="00CA7B70" w:rsidRDefault="00835945" w:rsidP="00CA7B70">
      <w:pPr>
        <w:spacing w:line="276" w:lineRule="auto"/>
        <w:jc w:val="both"/>
        <w:rPr>
          <w:rFonts w:eastAsia="Arial" w:cs="Arial"/>
          <w:b/>
          <w:bCs/>
          <w:sz w:val="22"/>
          <w:szCs w:val="22"/>
          <w:lang w:val="es"/>
        </w:rPr>
      </w:pPr>
      <w:r>
        <w:rPr>
          <w:rFonts w:eastAsia="Arial" w:cs="Arial"/>
          <w:b/>
          <w:bCs/>
          <w:sz w:val="22"/>
          <w:szCs w:val="22"/>
          <w:lang w:val="es"/>
        </w:rPr>
        <w:t>4.6.6</w:t>
      </w:r>
      <w:r w:rsidRPr="31FF9146">
        <w:rPr>
          <w:rFonts w:eastAsia="Arial" w:cs="Arial"/>
          <w:b/>
          <w:bCs/>
          <w:sz w:val="22"/>
          <w:szCs w:val="22"/>
          <w:lang w:val="es"/>
        </w:rPr>
        <w:t>.1 GESTIÓN DOCUMENTAL</w:t>
      </w:r>
    </w:p>
    <w:tbl>
      <w:tblPr>
        <w:tblStyle w:val="Tabladecuadrcula4-nfasis1"/>
        <w:tblW w:w="9360" w:type="dxa"/>
        <w:tblLayout w:type="fixed"/>
        <w:tblLook w:val="04A0" w:firstRow="1" w:lastRow="0" w:firstColumn="1" w:lastColumn="0" w:noHBand="0" w:noVBand="1"/>
      </w:tblPr>
      <w:tblGrid>
        <w:gridCol w:w="3348"/>
        <w:gridCol w:w="2917"/>
        <w:gridCol w:w="3095"/>
      </w:tblGrid>
      <w:tr w:rsidR="00835945" w14:paraId="750A614E" w14:textId="77777777" w:rsidTr="00A6302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348" w:type="dxa"/>
            <w:tcBorders>
              <w:top w:val="single" w:sz="8" w:space="0" w:color="4F81BD" w:themeColor="accent1"/>
              <w:left w:val="single" w:sz="8" w:space="0" w:color="4F81BD" w:themeColor="accent1"/>
              <w:bottom w:val="single" w:sz="8" w:space="0" w:color="4F81BD" w:themeColor="accent1"/>
            </w:tcBorders>
          </w:tcPr>
          <w:p w14:paraId="0CFE8CF2" w14:textId="77777777" w:rsidR="00835945" w:rsidRDefault="00835945" w:rsidP="00A6302C">
            <w:pPr>
              <w:jc w:val="center"/>
            </w:pPr>
            <w:r w:rsidRPr="31FF9146">
              <w:rPr>
                <w:rFonts w:eastAsia="Arial" w:cs="Arial"/>
                <w:sz w:val="22"/>
                <w:szCs w:val="22"/>
                <w:lang w:val="es-MX"/>
              </w:rPr>
              <w:t>Política</w:t>
            </w:r>
          </w:p>
        </w:tc>
        <w:tc>
          <w:tcPr>
            <w:tcW w:w="2917" w:type="dxa"/>
            <w:tcBorders>
              <w:top w:val="single" w:sz="8" w:space="0" w:color="4F81BD" w:themeColor="accent1"/>
              <w:bottom w:val="single" w:sz="8" w:space="0" w:color="4F81BD" w:themeColor="accent1"/>
            </w:tcBorders>
          </w:tcPr>
          <w:p w14:paraId="1C71E753"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Objetivo</w:t>
            </w:r>
          </w:p>
        </w:tc>
        <w:tc>
          <w:tcPr>
            <w:tcW w:w="3095" w:type="dxa"/>
            <w:tcBorders>
              <w:top w:val="single" w:sz="8" w:space="0" w:color="4F81BD" w:themeColor="accent1"/>
              <w:bottom w:val="single" w:sz="8" w:space="0" w:color="4F81BD" w:themeColor="accent1"/>
              <w:right w:val="single" w:sz="8" w:space="0" w:color="4F81BD" w:themeColor="accent1"/>
            </w:tcBorders>
          </w:tcPr>
          <w:p w14:paraId="58C41299"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Alcance</w:t>
            </w:r>
          </w:p>
        </w:tc>
      </w:tr>
      <w:tr w:rsidR="00835945" w14:paraId="5948E50B"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2A43D27E" w14:textId="77777777" w:rsidR="00835945" w:rsidRDefault="00835945" w:rsidP="00A6302C">
            <w:pPr>
              <w:jc w:val="center"/>
            </w:pPr>
            <w:r w:rsidRPr="31FF9146">
              <w:rPr>
                <w:rFonts w:eastAsia="Arial" w:cs="Arial"/>
                <w:color w:val="000000" w:themeColor="text1"/>
                <w:sz w:val="22"/>
                <w:szCs w:val="22"/>
                <w:lang w:val="es-MX"/>
              </w:rPr>
              <w:t>Gestión Documental</w:t>
            </w:r>
          </w:p>
        </w:tc>
        <w:tc>
          <w:tcPr>
            <w:tcW w:w="291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06EEE7A5"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Brindar lineamientos institucionales con relación a los procesos archivísticos como son planeación,</w:t>
            </w:r>
          </w:p>
          <w:p w14:paraId="16395D7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producción, gestión y tramite, organización, transferencias, disposición de documentos, preservación</w:t>
            </w:r>
          </w:p>
          <w:p w14:paraId="31C269E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a largo plazo y valoración documental los cuales evidencien el cumplimiento de la misionalidad.</w:t>
            </w:r>
          </w:p>
        </w:tc>
        <w:tc>
          <w:tcPr>
            <w:tcW w:w="309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0A64AE9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Esta Política aplica a todos los procesos del Modelo Integrado de Planeación y Gestión establecidos en</w:t>
            </w:r>
          </w:p>
          <w:p w14:paraId="53898B46"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la Entidad a través de sus componentes de la planeación de la función archivística, la gestión</w:t>
            </w:r>
          </w:p>
          <w:p w14:paraId="5EB0E8C6"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documental, la administración electrónica de documentos y la interiorización de una cultura</w:t>
            </w:r>
          </w:p>
          <w:p w14:paraId="43DEE6C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archivística en el IGAC</w:t>
            </w:r>
          </w:p>
        </w:tc>
      </w:tr>
    </w:tbl>
    <w:p w14:paraId="5C87B508" w14:textId="77777777" w:rsidR="00835945" w:rsidRPr="002102D7" w:rsidRDefault="00835945" w:rsidP="00835945">
      <w:pPr>
        <w:spacing w:line="276" w:lineRule="auto"/>
        <w:jc w:val="center"/>
        <w:rPr>
          <w:rFonts w:eastAsia="Arial" w:cs="Arial"/>
          <w:b/>
          <w:bCs/>
          <w:sz w:val="16"/>
          <w:szCs w:val="16"/>
          <w:lang w:val="es"/>
        </w:rPr>
      </w:pPr>
      <w:r w:rsidRPr="002102D7">
        <w:rPr>
          <w:rFonts w:eastAsia="Arial" w:cs="Arial"/>
          <w:b/>
          <w:bCs/>
          <w:sz w:val="16"/>
          <w:szCs w:val="16"/>
          <w:lang w:val="es"/>
        </w:rPr>
        <w:t xml:space="preserve">Fuente: Secretaria General </w:t>
      </w:r>
    </w:p>
    <w:p w14:paraId="5D38CC2C" w14:textId="77777777" w:rsidR="00835945" w:rsidRPr="002102D7" w:rsidRDefault="00835945" w:rsidP="00835945">
      <w:pPr>
        <w:spacing w:line="276" w:lineRule="auto"/>
        <w:jc w:val="both"/>
        <w:rPr>
          <w:b/>
        </w:rPr>
      </w:pPr>
      <w:r w:rsidRPr="002102D7">
        <w:rPr>
          <w:rFonts w:eastAsia="Arial" w:cs="Arial"/>
          <w:b/>
          <w:bCs/>
          <w:sz w:val="22"/>
          <w:szCs w:val="22"/>
          <w:lang w:val="es"/>
        </w:rPr>
        <w:t xml:space="preserve"> </w:t>
      </w:r>
    </w:p>
    <w:p w14:paraId="66FD8CC6" w14:textId="77777777" w:rsidR="00CA7B70" w:rsidRPr="00CA7B70" w:rsidRDefault="00835945" w:rsidP="00CA7B70">
      <w:pPr>
        <w:spacing w:line="276" w:lineRule="auto"/>
        <w:jc w:val="both"/>
        <w:rPr>
          <w:rFonts w:eastAsia="Arial" w:cs="Arial"/>
          <w:b/>
          <w:bCs/>
          <w:sz w:val="22"/>
          <w:szCs w:val="22"/>
          <w:lang w:val="es"/>
        </w:rPr>
      </w:pPr>
      <w:r>
        <w:rPr>
          <w:rFonts w:eastAsia="Arial" w:cs="Arial"/>
          <w:b/>
          <w:bCs/>
          <w:sz w:val="22"/>
          <w:szCs w:val="22"/>
          <w:lang w:val="es"/>
        </w:rPr>
        <w:t>4.6.6</w:t>
      </w:r>
      <w:r w:rsidRPr="31FF9146">
        <w:rPr>
          <w:rFonts w:eastAsia="Arial" w:cs="Arial"/>
          <w:b/>
          <w:bCs/>
          <w:sz w:val="22"/>
          <w:szCs w:val="22"/>
          <w:lang w:val="es"/>
        </w:rPr>
        <w:t>.2 GESTIÓN FINANCIERA</w:t>
      </w:r>
    </w:p>
    <w:tbl>
      <w:tblPr>
        <w:tblStyle w:val="Tabladecuadrcula4-nfasis1"/>
        <w:tblW w:w="0" w:type="auto"/>
        <w:tblLayout w:type="fixed"/>
        <w:tblLook w:val="04A0" w:firstRow="1" w:lastRow="0" w:firstColumn="1" w:lastColumn="0" w:noHBand="0" w:noVBand="1"/>
      </w:tblPr>
      <w:tblGrid>
        <w:gridCol w:w="3066"/>
        <w:gridCol w:w="3081"/>
        <w:gridCol w:w="3214"/>
      </w:tblGrid>
      <w:tr w:rsidR="00835945" w14:paraId="487935CB" w14:textId="77777777" w:rsidTr="002102D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4F81BD" w:themeColor="accent1"/>
              <w:left w:val="single" w:sz="8" w:space="0" w:color="4F81BD" w:themeColor="accent1"/>
              <w:bottom w:val="single" w:sz="8" w:space="0" w:color="4F81BD" w:themeColor="accent1"/>
            </w:tcBorders>
          </w:tcPr>
          <w:p w14:paraId="280E6B23" w14:textId="77777777" w:rsidR="00835945" w:rsidRDefault="00835945" w:rsidP="00A6302C">
            <w:pPr>
              <w:jc w:val="center"/>
            </w:pPr>
            <w:r w:rsidRPr="31FF9146">
              <w:rPr>
                <w:rFonts w:eastAsia="Arial" w:cs="Arial"/>
                <w:sz w:val="22"/>
                <w:szCs w:val="22"/>
                <w:lang w:val="es-MX"/>
              </w:rPr>
              <w:lastRenderedPageBreak/>
              <w:t>Política</w:t>
            </w:r>
          </w:p>
        </w:tc>
        <w:tc>
          <w:tcPr>
            <w:tcW w:w="3081" w:type="dxa"/>
            <w:tcBorders>
              <w:top w:val="single" w:sz="8" w:space="0" w:color="4F81BD" w:themeColor="accent1"/>
              <w:bottom w:val="single" w:sz="8" w:space="0" w:color="4F81BD" w:themeColor="accent1"/>
            </w:tcBorders>
          </w:tcPr>
          <w:p w14:paraId="4C30E412"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Objetivo</w:t>
            </w:r>
          </w:p>
        </w:tc>
        <w:tc>
          <w:tcPr>
            <w:tcW w:w="3214" w:type="dxa"/>
            <w:tcBorders>
              <w:top w:val="single" w:sz="8" w:space="0" w:color="4F81BD" w:themeColor="accent1"/>
              <w:bottom w:val="single" w:sz="8" w:space="0" w:color="4F81BD" w:themeColor="accent1"/>
              <w:right w:val="single" w:sz="8" w:space="0" w:color="4F81BD" w:themeColor="accent1"/>
            </w:tcBorders>
          </w:tcPr>
          <w:p w14:paraId="0AAA75E3" w14:textId="77777777" w:rsidR="00835945" w:rsidRDefault="00835945" w:rsidP="00A6302C">
            <w:pPr>
              <w:jc w:val="center"/>
              <w:cnfStyle w:val="100000000000" w:firstRow="1" w:lastRow="0" w:firstColumn="0" w:lastColumn="0" w:oddVBand="0" w:evenVBand="0" w:oddHBand="0" w:evenHBand="0" w:firstRowFirstColumn="0" w:firstRowLastColumn="0" w:lastRowFirstColumn="0" w:lastRowLastColumn="0"/>
            </w:pPr>
            <w:r w:rsidRPr="31FF9146">
              <w:rPr>
                <w:rFonts w:eastAsia="Arial" w:cs="Arial"/>
                <w:sz w:val="22"/>
                <w:szCs w:val="22"/>
                <w:lang w:val="es-MX"/>
              </w:rPr>
              <w:t>Alcance</w:t>
            </w:r>
          </w:p>
        </w:tc>
      </w:tr>
      <w:tr w:rsidR="00835945" w14:paraId="42BE02B7"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252577DE" w14:textId="6C6A3A0E" w:rsidR="00835945" w:rsidRDefault="00835945" w:rsidP="002102D7">
            <w:pPr>
              <w:jc w:val="center"/>
            </w:pPr>
            <w:r w:rsidRPr="31FF9146">
              <w:rPr>
                <w:rFonts w:eastAsia="Arial" w:cs="Arial"/>
                <w:sz w:val="22"/>
                <w:szCs w:val="22"/>
                <w:lang w:val="es-MX"/>
              </w:rPr>
              <w:t xml:space="preserve">  </w:t>
            </w:r>
          </w:p>
          <w:p w14:paraId="29744CD4" w14:textId="77777777" w:rsidR="00835945" w:rsidRDefault="00835945" w:rsidP="00A6302C">
            <w:pPr>
              <w:jc w:val="center"/>
            </w:pPr>
            <w:r w:rsidRPr="31FF9146">
              <w:rPr>
                <w:rFonts w:eastAsia="Arial" w:cs="Arial"/>
                <w:sz w:val="22"/>
                <w:szCs w:val="22"/>
                <w:lang w:val="es-MX"/>
              </w:rPr>
              <w:t xml:space="preserve"> </w:t>
            </w:r>
          </w:p>
          <w:p w14:paraId="6DB417F0" w14:textId="77777777" w:rsidR="00835945" w:rsidRDefault="00835945" w:rsidP="00A6302C">
            <w:pPr>
              <w:jc w:val="center"/>
            </w:pPr>
            <w:r w:rsidRPr="31FF9146">
              <w:rPr>
                <w:rFonts w:eastAsia="Arial" w:cs="Arial"/>
                <w:sz w:val="22"/>
                <w:szCs w:val="22"/>
                <w:lang w:val="es-MX"/>
              </w:rPr>
              <w:t xml:space="preserve"> </w:t>
            </w:r>
          </w:p>
          <w:p w14:paraId="743E6EB0" w14:textId="3ED209FC" w:rsidR="00835945" w:rsidRDefault="00835945" w:rsidP="002102D7">
            <w:r w:rsidRPr="31FF9146">
              <w:rPr>
                <w:rFonts w:eastAsia="Arial" w:cs="Arial"/>
                <w:sz w:val="22"/>
                <w:szCs w:val="22"/>
                <w:lang w:val="es-MX"/>
              </w:rPr>
              <w:t xml:space="preserve"> </w:t>
            </w:r>
          </w:p>
          <w:p w14:paraId="1A293B18" w14:textId="77777777" w:rsidR="00835945" w:rsidRDefault="00835945" w:rsidP="00A6302C">
            <w:pPr>
              <w:jc w:val="center"/>
            </w:pPr>
            <w:r w:rsidRPr="31FF9146">
              <w:rPr>
                <w:rFonts w:eastAsia="Arial" w:cs="Arial"/>
                <w:sz w:val="22"/>
                <w:szCs w:val="22"/>
                <w:lang w:val="es-MX"/>
              </w:rPr>
              <w:t xml:space="preserve"> </w:t>
            </w:r>
          </w:p>
          <w:p w14:paraId="3ACCC396" w14:textId="77777777" w:rsidR="00835945" w:rsidRDefault="00835945" w:rsidP="00A6302C">
            <w:pPr>
              <w:jc w:val="center"/>
            </w:pPr>
            <w:r w:rsidRPr="31FF9146">
              <w:rPr>
                <w:rFonts w:eastAsia="Arial" w:cs="Arial"/>
                <w:color w:val="000000" w:themeColor="text1"/>
                <w:sz w:val="22"/>
                <w:szCs w:val="22"/>
                <w:lang w:val="es-MX"/>
              </w:rPr>
              <w:t>Gestión Presupuestal y Eficiencia del Gasto Público</w:t>
            </w:r>
          </w:p>
        </w:tc>
        <w:tc>
          <w:tcPr>
            <w:tcW w:w="308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5C78305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El objetivo de la política es orientar las acciones e iniciativas de las actividades relacionadas con el</w:t>
            </w:r>
          </w:p>
          <w:p w14:paraId="09E3C4E4"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Proceso Financiera para gestionar de manera eficiente los recursos de la Entidad, realizando la</w:t>
            </w:r>
          </w:p>
          <w:p w14:paraId="02050A4A"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planeación, proyección y ejecución de los ingresos y gastos de funcionamiento e inversión para dar</w:t>
            </w:r>
          </w:p>
          <w:p w14:paraId="166879D9"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cumplimiento a las metas y objetivos de la Entidad, así como administrar eficientemente la información</w:t>
            </w:r>
          </w:p>
          <w:p w14:paraId="41173FD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financiera para apoyar la toma de decisiones y el cumplimiento de las obligaciones a cargo de la</w:t>
            </w:r>
          </w:p>
          <w:p w14:paraId="33F8186E"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entidad, controlando la ejecución del presupuesto asignado, la cancelación de las obligaciones</w:t>
            </w:r>
          </w:p>
          <w:p w14:paraId="4FCE163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contraídas y la generación oportuna y confiable de los informes requeridos.</w:t>
            </w:r>
          </w:p>
        </w:tc>
        <w:tc>
          <w:tcPr>
            <w:tcW w:w="3214"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303634A9"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2A8F0F96"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Inicia con la distribución del presupuesto del IGAC en el sistema financiero y finaliza con la entrega de</w:t>
            </w:r>
          </w:p>
          <w:p w14:paraId="4D55BF5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los estados financieros de la gestión contable y financiera para la toma de decisiones del Instituto,</w:t>
            </w:r>
          </w:p>
          <w:p w14:paraId="6D994763"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incluyendo las actividades relacionadas con la ejecución y control del presupuesto, de contabilidad,</w:t>
            </w:r>
          </w:p>
          <w:p w14:paraId="2C548D5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de tesorería y con la implementación de acciones de mejora del proceso.</w:t>
            </w:r>
          </w:p>
        </w:tc>
      </w:tr>
      <w:tr w:rsidR="00835945" w14:paraId="026DACCD"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E7AF95B" w14:textId="77777777" w:rsidR="00835945" w:rsidRDefault="00835945" w:rsidP="00A6302C">
            <w:pPr>
              <w:jc w:val="center"/>
            </w:pPr>
            <w:r w:rsidRPr="31FF9146">
              <w:rPr>
                <w:rFonts w:eastAsia="Arial" w:cs="Arial"/>
                <w:sz w:val="22"/>
                <w:szCs w:val="22"/>
                <w:lang w:val="es-MX"/>
              </w:rPr>
              <w:t xml:space="preserve"> </w:t>
            </w:r>
          </w:p>
          <w:p w14:paraId="1EBCC77E" w14:textId="77777777" w:rsidR="00835945" w:rsidRDefault="00835945" w:rsidP="00A6302C">
            <w:pPr>
              <w:jc w:val="center"/>
            </w:pPr>
            <w:r w:rsidRPr="31FF9146">
              <w:rPr>
                <w:rFonts w:eastAsia="Arial" w:cs="Arial"/>
                <w:sz w:val="22"/>
                <w:szCs w:val="22"/>
                <w:lang w:val="es-MX"/>
              </w:rPr>
              <w:t xml:space="preserve"> </w:t>
            </w:r>
          </w:p>
          <w:p w14:paraId="4B3DDF6D" w14:textId="77777777" w:rsidR="00835945" w:rsidRDefault="00835945" w:rsidP="00A6302C">
            <w:pPr>
              <w:jc w:val="center"/>
            </w:pPr>
            <w:r w:rsidRPr="31FF9146">
              <w:rPr>
                <w:rFonts w:eastAsia="Arial" w:cs="Arial"/>
                <w:sz w:val="22"/>
                <w:szCs w:val="22"/>
                <w:lang w:val="es-MX"/>
              </w:rPr>
              <w:t xml:space="preserve"> </w:t>
            </w:r>
          </w:p>
          <w:p w14:paraId="1FB12A59" w14:textId="77777777" w:rsidR="00835945" w:rsidRDefault="00835945" w:rsidP="00A6302C">
            <w:pPr>
              <w:jc w:val="center"/>
            </w:pPr>
            <w:r w:rsidRPr="31FF9146">
              <w:rPr>
                <w:rFonts w:eastAsia="Arial" w:cs="Arial"/>
                <w:sz w:val="22"/>
                <w:szCs w:val="22"/>
                <w:lang w:val="es-MX"/>
              </w:rPr>
              <w:t xml:space="preserve"> </w:t>
            </w:r>
          </w:p>
          <w:p w14:paraId="6AB25253" w14:textId="77777777" w:rsidR="00835945" w:rsidRDefault="00835945" w:rsidP="00A6302C">
            <w:pPr>
              <w:jc w:val="center"/>
            </w:pPr>
            <w:r w:rsidRPr="31FF9146">
              <w:rPr>
                <w:rFonts w:eastAsia="Arial" w:cs="Arial"/>
                <w:sz w:val="22"/>
                <w:szCs w:val="22"/>
                <w:lang w:val="es-MX"/>
              </w:rPr>
              <w:t xml:space="preserve"> </w:t>
            </w:r>
          </w:p>
          <w:p w14:paraId="560D2A9E" w14:textId="77777777" w:rsidR="00835945" w:rsidRDefault="00835945" w:rsidP="00A6302C">
            <w:pPr>
              <w:jc w:val="center"/>
            </w:pPr>
            <w:r w:rsidRPr="31FF9146">
              <w:rPr>
                <w:rFonts w:eastAsia="Arial" w:cs="Arial"/>
                <w:sz w:val="22"/>
                <w:szCs w:val="22"/>
                <w:lang w:val="es-MX"/>
              </w:rPr>
              <w:t>Ley de presupuesto</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228E1E3"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Estas normas rigen para los órganos que conforman el Presupuesto General de la Nación, y para los recursos de la Nación asignados a las Empresas Industriales y Comerciales del Estado y a las Sociedades de Economía Mixta con el régimen de aquellas.</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56EB04A"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 política permite al área cumplir con los procedimientos de acuerdo a la normatividad vigente.</w:t>
            </w:r>
          </w:p>
        </w:tc>
      </w:tr>
      <w:tr w:rsidR="00835945" w14:paraId="4678BA8B"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48AE480" w14:textId="77777777" w:rsidR="00835945" w:rsidRDefault="00835945" w:rsidP="00A6302C">
            <w:pPr>
              <w:jc w:val="center"/>
            </w:pPr>
            <w:r w:rsidRPr="31FF9146">
              <w:rPr>
                <w:rFonts w:eastAsia="Arial" w:cs="Arial"/>
                <w:color w:val="000000" w:themeColor="text1"/>
                <w:sz w:val="22"/>
                <w:szCs w:val="22"/>
                <w:lang w:val="es-MX"/>
              </w:rPr>
              <w:t>Ley 1106 de 2006 – EVA Función Pública</w:t>
            </w:r>
          </w:p>
        </w:tc>
        <w:tc>
          <w:tcPr>
            <w:tcW w:w="3081" w:type="dxa"/>
            <w:vMerge w:val="restart"/>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F6CECE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El recaudo de contribución por contratos de Obra Pública.</w:t>
            </w:r>
          </w:p>
        </w:tc>
        <w:tc>
          <w:tcPr>
            <w:tcW w:w="3214" w:type="dxa"/>
            <w:vMerge w:val="restart"/>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0C921B3"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Ha permitido al área el diligenciamiento, consolidación y la presentación del reporte de información de descuentos generados por contratos de obra pública para reportar al Ministerio del Interior, los recaudos FONSECON.</w:t>
            </w:r>
          </w:p>
          <w:p w14:paraId="2F1EAA51"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tc>
      </w:tr>
      <w:tr w:rsidR="00835945" w14:paraId="06C7D0F8"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0994D86" w14:textId="77777777" w:rsidR="00835945" w:rsidRDefault="00835945" w:rsidP="00A6302C">
            <w:pPr>
              <w:jc w:val="center"/>
            </w:pPr>
            <w:r w:rsidRPr="31FF9146">
              <w:rPr>
                <w:rFonts w:eastAsia="Arial" w:cs="Arial"/>
                <w:sz w:val="22"/>
                <w:szCs w:val="22"/>
                <w:lang w:val="es-MX"/>
              </w:rPr>
              <w:t>Ley 1421 de 2010 Por medio de la cual se prorroga la vigencia de la Ley 418 de 1997, prorrogada y modificada por las Leyes 548 de 1999, 782 de 2002 y 1106 de 2006.</w:t>
            </w:r>
          </w:p>
        </w:tc>
        <w:tc>
          <w:tcPr>
            <w:tcW w:w="3081" w:type="dxa"/>
            <w:vMerge/>
            <w:tcBorders>
              <w:left w:val="single" w:sz="0" w:space="0" w:color="95B3D7" w:themeColor="accent1" w:themeTint="99"/>
              <w:right w:val="single" w:sz="0" w:space="0" w:color="95B3D7" w:themeColor="accent1" w:themeTint="99"/>
            </w:tcBorders>
            <w:vAlign w:val="center"/>
          </w:tcPr>
          <w:p w14:paraId="343FDE27" w14:textId="77777777" w:rsidR="00835945" w:rsidRDefault="00835945" w:rsidP="00A6302C">
            <w:pPr>
              <w:cnfStyle w:val="000000000000" w:firstRow="0" w:lastRow="0" w:firstColumn="0" w:lastColumn="0" w:oddVBand="0" w:evenVBand="0" w:oddHBand="0" w:evenHBand="0" w:firstRowFirstColumn="0" w:firstRowLastColumn="0" w:lastRowFirstColumn="0" w:lastRowLastColumn="0"/>
            </w:pPr>
          </w:p>
        </w:tc>
        <w:tc>
          <w:tcPr>
            <w:tcW w:w="3214" w:type="dxa"/>
            <w:vMerge/>
            <w:tcBorders>
              <w:left w:val="single" w:sz="0" w:space="0" w:color="95B3D7" w:themeColor="accent1" w:themeTint="99"/>
              <w:right w:val="single" w:sz="0" w:space="0" w:color="95B3D7" w:themeColor="accent1" w:themeTint="99"/>
            </w:tcBorders>
            <w:vAlign w:val="center"/>
          </w:tcPr>
          <w:p w14:paraId="113A5B28" w14:textId="77777777" w:rsidR="00835945" w:rsidRDefault="00835945" w:rsidP="00A6302C">
            <w:pPr>
              <w:cnfStyle w:val="000000000000" w:firstRow="0" w:lastRow="0" w:firstColumn="0" w:lastColumn="0" w:oddVBand="0" w:evenVBand="0" w:oddHBand="0" w:evenHBand="0" w:firstRowFirstColumn="0" w:firstRowLastColumn="0" w:lastRowFirstColumn="0" w:lastRowLastColumn="0"/>
            </w:pPr>
          </w:p>
        </w:tc>
      </w:tr>
      <w:tr w:rsidR="00835945" w14:paraId="5D23E100"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AA87FDA" w14:textId="77777777" w:rsidR="00835945" w:rsidRDefault="00835945" w:rsidP="00A6302C">
            <w:pPr>
              <w:jc w:val="center"/>
            </w:pPr>
            <w:r w:rsidRPr="31FF9146">
              <w:rPr>
                <w:rFonts w:eastAsia="Arial" w:cs="Arial"/>
                <w:color w:val="000000" w:themeColor="text1"/>
                <w:sz w:val="22"/>
                <w:szCs w:val="22"/>
                <w:lang w:val="es-MX"/>
              </w:rPr>
              <w:t>Decreto 399 de 201</w:t>
            </w:r>
          </w:p>
        </w:tc>
        <w:tc>
          <w:tcPr>
            <w:tcW w:w="3081"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6D3DAC27" w14:textId="77777777" w:rsidR="00835945" w:rsidRDefault="00835945" w:rsidP="00A6302C">
            <w:pPr>
              <w:cnfStyle w:val="000000100000" w:firstRow="0" w:lastRow="0" w:firstColumn="0" w:lastColumn="0" w:oddVBand="0" w:evenVBand="0" w:oddHBand="1" w:evenHBand="0" w:firstRowFirstColumn="0" w:firstRowLastColumn="0" w:lastRowFirstColumn="0" w:lastRowLastColumn="0"/>
            </w:pPr>
          </w:p>
        </w:tc>
        <w:tc>
          <w:tcPr>
            <w:tcW w:w="3214" w:type="dxa"/>
            <w:vMerge/>
            <w:tcBorders>
              <w:left w:val="single" w:sz="0" w:space="0" w:color="95B3D7" w:themeColor="accent1" w:themeTint="99"/>
              <w:bottom w:val="single" w:sz="0" w:space="0" w:color="95B3D7" w:themeColor="accent1" w:themeTint="99"/>
              <w:right w:val="single" w:sz="0" w:space="0" w:color="95B3D7" w:themeColor="accent1" w:themeTint="99"/>
            </w:tcBorders>
            <w:vAlign w:val="center"/>
          </w:tcPr>
          <w:p w14:paraId="72024BD3" w14:textId="77777777" w:rsidR="00835945" w:rsidRDefault="00835945" w:rsidP="00A6302C">
            <w:pPr>
              <w:cnfStyle w:val="000000100000" w:firstRow="0" w:lastRow="0" w:firstColumn="0" w:lastColumn="0" w:oddVBand="0" w:evenVBand="0" w:oddHBand="1" w:evenHBand="0" w:firstRowFirstColumn="0" w:firstRowLastColumn="0" w:lastRowFirstColumn="0" w:lastRowLastColumn="0"/>
            </w:pPr>
          </w:p>
        </w:tc>
      </w:tr>
      <w:tr w:rsidR="00835945" w14:paraId="3BBEFE31"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47BA6E0" w14:textId="77777777" w:rsidR="00835945" w:rsidRDefault="00835945" w:rsidP="00A6302C">
            <w:pPr>
              <w:jc w:val="center"/>
            </w:pPr>
            <w:r w:rsidRPr="31FF9146">
              <w:rPr>
                <w:rFonts w:eastAsia="Arial" w:cs="Arial"/>
                <w:sz w:val="22"/>
                <w:szCs w:val="22"/>
                <w:lang w:val="es-MX"/>
              </w:rPr>
              <w:lastRenderedPageBreak/>
              <w:t xml:space="preserve"> </w:t>
            </w:r>
          </w:p>
          <w:p w14:paraId="56BDAC1A" w14:textId="77777777" w:rsidR="00835945" w:rsidRDefault="00835945" w:rsidP="00A6302C">
            <w:pPr>
              <w:jc w:val="center"/>
            </w:pPr>
            <w:r w:rsidRPr="31FF9146">
              <w:rPr>
                <w:rFonts w:eastAsia="Arial" w:cs="Arial"/>
                <w:sz w:val="22"/>
                <w:szCs w:val="22"/>
                <w:lang w:val="es-MX"/>
              </w:rPr>
              <w:t>Ley 1697 de 2013; Por la cual se crea la estampilla Pro Universidad Nacional de Colombia y demás universidades estatales de Colombia.</w:t>
            </w:r>
          </w:p>
        </w:tc>
        <w:tc>
          <w:tcPr>
            <w:tcW w:w="3081" w:type="dxa"/>
            <w:tcBorders>
              <w:top w:val="nil"/>
              <w:left w:val="single" w:sz="8" w:space="0" w:color="95B3D7" w:themeColor="accent1" w:themeTint="99"/>
              <w:bottom w:val="single" w:sz="8" w:space="0" w:color="95B3D7" w:themeColor="accent1" w:themeTint="99"/>
              <w:right w:val="single" w:sz="8" w:space="0" w:color="95B3D7" w:themeColor="accent1" w:themeTint="99"/>
            </w:tcBorders>
            <w:vAlign w:val="center"/>
          </w:tcPr>
          <w:p w14:paraId="45803B49"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El recaudo de contribución por contratos de Obra Pública.</w:t>
            </w:r>
          </w:p>
        </w:tc>
        <w:tc>
          <w:tcPr>
            <w:tcW w:w="3214" w:type="dxa"/>
            <w:tcBorders>
              <w:top w:val="nil"/>
              <w:left w:val="single" w:sz="8" w:space="0" w:color="95B3D7" w:themeColor="accent1" w:themeTint="99"/>
              <w:bottom w:val="single" w:sz="8" w:space="0" w:color="95B3D7" w:themeColor="accent1" w:themeTint="99"/>
              <w:right w:val="single" w:sz="8" w:space="0" w:color="95B3D7" w:themeColor="accent1" w:themeTint="99"/>
            </w:tcBorders>
          </w:tcPr>
          <w:p w14:paraId="636F3131"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Permite al área registrar en el RIEL el recaudo de contribución parafiscal Estampilla Pro Universidad Nacional de Colombia y Demás Universidades Estatales de Colombia, al Min. Educación</w:t>
            </w:r>
          </w:p>
        </w:tc>
      </w:tr>
      <w:tr w:rsidR="00835945" w14:paraId="75409164"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92A6C07" w14:textId="77777777" w:rsidR="00835945" w:rsidRDefault="00835945" w:rsidP="00A6302C">
            <w:pPr>
              <w:jc w:val="center"/>
            </w:pPr>
            <w:r w:rsidRPr="31FF9146">
              <w:rPr>
                <w:rFonts w:eastAsia="Arial" w:cs="Arial"/>
                <w:color w:val="000000" w:themeColor="text1"/>
                <w:sz w:val="22"/>
                <w:szCs w:val="22"/>
                <w:lang w:val="es-MX"/>
              </w:rPr>
              <w:t>Circular externa 001 del 04 de enero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B7F144B"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Presentación del calendario PAC vigencia 2021 y consideraciones de importancia para su ejecución.</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53A7396"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1E71226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Registro del PAC en fechas establecidas de recursos nación.</w:t>
            </w:r>
          </w:p>
        </w:tc>
      </w:tr>
      <w:tr w:rsidR="00835945" w14:paraId="48BDA9CB"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4916A556" w14:textId="77777777" w:rsidR="00835945" w:rsidRDefault="00835945" w:rsidP="00A6302C">
            <w:pPr>
              <w:jc w:val="center"/>
            </w:pPr>
            <w:r w:rsidRPr="31FF9146">
              <w:rPr>
                <w:rFonts w:eastAsia="Arial" w:cs="Arial"/>
                <w:sz w:val="22"/>
                <w:szCs w:val="22"/>
                <w:lang w:val="es-MX"/>
              </w:rPr>
              <w:t>Acuerdo 01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4D19F66"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Se mensualizan los pagos presupuestales para la vigencia 2021 financiados con recursos propios.</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8DCC6A5"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Ejecución del presupuesto de la entidad por este tipo de recurso</w:t>
            </w:r>
          </w:p>
        </w:tc>
      </w:tr>
      <w:tr w:rsidR="00835945" w14:paraId="126409FC"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F27A258" w14:textId="77777777" w:rsidR="00835945" w:rsidRDefault="00835945" w:rsidP="00A6302C">
            <w:pPr>
              <w:jc w:val="center"/>
            </w:pPr>
            <w:r w:rsidRPr="31FF9146">
              <w:rPr>
                <w:rFonts w:eastAsia="Arial" w:cs="Arial"/>
                <w:color w:val="000000" w:themeColor="text1"/>
                <w:sz w:val="22"/>
                <w:szCs w:val="22"/>
                <w:lang w:val="es-MX"/>
              </w:rPr>
              <w:t>Acuerdo 02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E8BDC64"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Por el cual se aprueba el programa anual mensualizado de caja para la vigencia 2021, financiado con recursos propios para el pago de las cuentas por pagar y las reservas presupuestales, constituidas a 31 de diciembre de 2020</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692BAA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76104A39"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69FC62B8"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Ejecución de las cuentas por pagar y reservas presupuestales que quedaron constituidas a 31 de diciembre de 2020</w:t>
            </w:r>
          </w:p>
        </w:tc>
      </w:tr>
      <w:tr w:rsidR="00835945" w14:paraId="446428E6"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2DFB38F" w14:textId="77777777" w:rsidR="00835945" w:rsidRDefault="00835945" w:rsidP="00A6302C">
            <w:pPr>
              <w:jc w:val="center"/>
            </w:pPr>
            <w:r w:rsidRPr="31FF9146">
              <w:rPr>
                <w:rFonts w:eastAsia="Arial" w:cs="Arial"/>
                <w:sz w:val="22"/>
                <w:szCs w:val="22"/>
                <w:lang w:val="es-MX"/>
              </w:rPr>
              <w:t>Manual de Políticas contables del IGAC (Resolución 1534 de 2017)</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AF83276"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
              </w:rPr>
              <w:t>Dar cumplimiento a lo señalado en el marco regulatorio para las Entidades de Gobierno, en lo relacionado con la definición de las políticas contables del IGAC, el cual debe cumplirse para el reconocimiento, medición, presentación y revelación de los hechos económicos y financieros que se presentan en desarrollo de la actividad misional de la entidad.</w:t>
            </w:r>
          </w:p>
          <w:p w14:paraId="1EB4DDF1"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
              </w:rPr>
              <w:t xml:space="preserve"> </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BB330CF"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
              </w:rPr>
              <w:t>De consulta obligatoria por el personal del Instituto Geográfico Agustín Codazzi - IGAC que participa en las etapas del proceso contable, desde el reconocimiento de los hechos que deban ser contabilizados, hasta la presentación de los estados financieros de propósito general y demás informes específicos o especiales que deban prepararse para los diferentes usuarios y para los propósitos de la administración.</w:t>
            </w:r>
          </w:p>
        </w:tc>
      </w:tr>
      <w:tr w:rsidR="00835945" w14:paraId="180D3BA6"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181E621" w14:textId="77777777" w:rsidR="00835945" w:rsidRDefault="00835945" w:rsidP="00A6302C">
            <w:pPr>
              <w:jc w:val="center"/>
            </w:pPr>
            <w:r w:rsidRPr="31FF9146">
              <w:rPr>
                <w:rFonts w:eastAsia="Arial" w:cs="Arial"/>
                <w:sz w:val="22"/>
                <w:szCs w:val="22"/>
                <w:lang w:val="es-MX"/>
              </w:rPr>
              <w:t xml:space="preserve"> </w:t>
            </w:r>
          </w:p>
          <w:p w14:paraId="7F667360" w14:textId="77777777" w:rsidR="00835945" w:rsidRDefault="00835945" w:rsidP="00A6302C">
            <w:pPr>
              <w:jc w:val="center"/>
            </w:pPr>
            <w:r w:rsidRPr="31FF9146">
              <w:rPr>
                <w:rFonts w:eastAsia="Arial" w:cs="Arial"/>
                <w:color w:val="000000" w:themeColor="text1"/>
                <w:sz w:val="22"/>
                <w:szCs w:val="22"/>
                <w:lang w:val="es-MX"/>
              </w:rPr>
              <w:t>Decreto 961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8651F97"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Establecer la asignación básica mensual de escalas de empleos.</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A79A51D"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sz w:val="22"/>
                <w:szCs w:val="22"/>
                <w:lang w:val="es-MX"/>
              </w:rPr>
              <w:t xml:space="preserve"> </w:t>
            </w:r>
          </w:p>
          <w:p w14:paraId="27C051C2"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Funcionarios del IGAC.</w:t>
            </w:r>
          </w:p>
        </w:tc>
      </w:tr>
      <w:tr w:rsidR="00835945" w14:paraId="372DA20B" w14:textId="77777777" w:rsidTr="00A6302C">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EB5FD4F" w14:textId="77777777" w:rsidR="00835945" w:rsidRDefault="00835945" w:rsidP="00A6302C">
            <w:pPr>
              <w:jc w:val="center"/>
            </w:pPr>
            <w:r w:rsidRPr="31FF9146">
              <w:rPr>
                <w:rFonts w:eastAsia="Arial" w:cs="Arial"/>
                <w:sz w:val="22"/>
                <w:szCs w:val="22"/>
                <w:lang w:val="es-MX"/>
              </w:rPr>
              <w:t xml:space="preserve"> </w:t>
            </w:r>
          </w:p>
          <w:p w14:paraId="36C3ADC5" w14:textId="77777777" w:rsidR="00835945" w:rsidRDefault="00835945" w:rsidP="00A6302C">
            <w:pPr>
              <w:jc w:val="center"/>
            </w:pPr>
            <w:r w:rsidRPr="31FF9146">
              <w:rPr>
                <w:rFonts w:eastAsia="Arial" w:cs="Arial"/>
                <w:sz w:val="22"/>
                <w:szCs w:val="22"/>
                <w:lang w:val="es-MX"/>
              </w:rPr>
              <w:t>Decreto 979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BEE31E4"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Establecer las escalas de viáticos.</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BFCAAB4" w14:textId="77777777" w:rsidR="00835945" w:rsidRDefault="00835945" w:rsidP="00A6302C">
            <w:pPr>
              <w:jc w:val="both"/>
              <w:cnfStyle w:val="000000000000" w:firstRow="0" w:lastRow="0" w:firstColumn="0" w:lastColumn="0" w:oddVBand="0" w:evenVBand="0" w:oddHBand="0" w:evenHBand="0" w:firstRowFirstColumn="0" w:firstRowLastColumn="0" w:lastRowFirstColumn="0" w:lastRowLastColumn="0"/>
            </w:pPr>
            <w:r w:rsidRPr="31FF9146">
              <w:rPr>
                <w:rFonts w:eastAsia="Arial" w:cs="Arial"/>
                <w:sz w:val="22"/>
                <w:szCs w:val="22"/>
                <w:lang w:val="es-MX"/>
              </w:rPr>
              <w:t>Funcionarios del IGAC.</w:t>
            </w:r>
          </w:p>
        </w:tc>
      </w:tr>
      <w:tr w:rsidR="00835945" w14:paraId="3DE5BD0A"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66"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CAE53FD" w14:textId="77777777" w:rsidR="00835945" w:rsidRDefault="00835945" w:rsidP="00A6302C">
            <w:pPr>
              <w:jc w:val="center"/>
            </w:pPr>
            <w:r w:rsidRPr="31FF9146">
              <w:rPr>
                <w:rFonts w:eastAsia="Arial" w:cs="Arial"/>
                <w:color w:val="000000" w:themeColor="text1"/>
                <w:sz w:val="22"/>
                <w:szCs w:val="22"/>
                <w:lang w:val="es-MX"/>
              </w:rPr>
              <w:lastRenderedPageBreak/>
              <w:t>Resolución No. 1440 de 2021</w:t>
            </w:r>
          </w:p>
        </w:tc>
        <w:tc>
          <w:tcPr>
            <w:tcW w:w="30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6D90280"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Establecer los lineamientos para las comisiones de servicios.</w:t>
            </w:r>
          </w:p>
        </w:tc>
        <w:tc>
          <w:tcPr>
            <w:tcW w:w="3214"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E41D06C" w14:textId="77777777" w:rsidR="00835945" w:rsidRDefault="00835945" w:rsidP="00A6302C">
            <w:pPr>
              <w:jc w:val="both"/>
              <w:cnfStyle w:val="000000100000" w:firstRow="0" w:lastRow="0" w:firstColumn="0" w:lastColumn="0" w:oddVBand="0" w:evenVBand="0" w:oddHBand="1" w:evenHBand="0" w:firstRowFirstColumn="0" w:firstRowLastColumn="0" w:lastRowFirstColumn="0" w:lastRowLastColumn="0"/>
            </w:pPr>
            <w:r w:rsidRPr="31FF9146">
              <w:rPr>
                <w:rFonts w:eastAsia="Arial" w:cs="Arial"/>
                <w:color w:val="000000" w:themeColor="text1"/>
                <w:sz w:val="22"/>
                <w:szCs w:val="22"/>
                <w:lang w:val="es-MX"/>
              </w:rPr>
              <w:t>Contratistas y funcionarios del IGAC.</w:t>
            </w:r>
          </w:p>
        </w:tc>
      </w:tr>
    </w:tbl>
    <w:p w14:paraId="31920193" w14:textId="77777777" w:rsidR="00835945" w:rsidRPr="002102D7" w:rsidRDefault="00835945" w:rsidP="00835945">
      <w:pPr>
        <w:spacing w:line="276" w:lineRule="auto"/>
        <w:jc w:val="center"/>
        <w:rPr>
          <w:rFonts w:eastAsia="Arial" w:cs="Arial"/>
          <w:b/>
          <w:bCs/>
          <w:sz w:val="16"/>
          <w:szCs w:val="16"/>
          <w:lang w:val="es"/>
        </w:rPr>
      </w:pPr>
      <w:r w:rsidRPr="002102D7">
        <w:rPr>
          <w:rFonts w:eastAsia="Arial" w:cs="Arial"/>
          <w:b/>
          <w:bCs/>
          <w:sz w:val="16"/>
          <w:szCs w:val="16"/>
          <w:lang w:val="es"/>
        </w:rPr>
        <w:t>Fuente: Secretaria General</w:t>
      </w:r>
    </w:p>
    <w:p w14:paraId="49532F2E" w14:textId="77777777" w:rsidR="00835945" w:rsidRDefault="00835945" w:rsidP="00835945">
      <w:pPr>
        <w:spacing w:line="276" w:lineRule="auto"/>
        <w:jc w:val="both"/>
      </w:pPr>
    </w:p>
    <w:p w14:paraId="1745DC31" w14:textId="77777777" w:rsidR="00CA7B70" w:rsidRPr="00CA7B70" w:rsidRDefault="00835945" w:rsidP="00CA7B70">
      <w:pPr>
        <w:spacing w:line="276" w:lineRule="auto"/>
        <w:jc w:val="both"/>
        <w:rPr>
          <w:rFonts w:eastAsia="Arial" w:cs="Arial"/>
          <w:b/>
          <w:bCs/>
          <w:sz w:val="22"/>
          <w:szCs w:val="22"/>
          <w:lang w:val="es"/>
        </w:rPr>
      </w:pPr>
      <w:r>
        <w:rPr>
          <w:rFonts w:eastAsia="Arial" w:cs="Arial"/>
          <w:b/>
          <w:bCs/>
          <w:sz w:val="22"/>
          <w:szCs w:val="22"/>
          <w:lang w:val="es"/>
        </w:rPr>
        <w:t>4.6.6</w:t>
      </w:r>
      <w:r w:rsidRPr="31FF9146">
        <w:rPr>
          <w:rFonts w:eastAsia="Arial" w:cs="Arial"/>
          <w:b/>
          <w:bCs/>
          <w:sz w:val="22"/>
          <w:szCs w:val="22"/>
          <w:lang w:val="es"/>
        </w:rPr>
        <w:t>.3 GESTIÓN ADMINISTRATIVA</w:t>
      </w:r>
    </w:p>
    <w:tbl>
      <w:tblPr>
        <w:tblW w:w="9361" w:type="dxa"/>
        <w:tblLayout w:type="fixed"/>
        <w:tblLook w:val="04A0" w:firstRow="1" w:lastRow="0" w:firstColumn="1" w:lastColumn="0" w:noHBand="0" w:noVBand="1"/>
      </w:tblPr>
      <w:tblGrid>
        <w:gridCol w:w="3066"/>
        <w:gridCol w:w="3081"/>
        <w:gridCol w:w="3214"/>
      </w:tblGrid>
      <w:tr w:rsidR="00835945" w14:paraId="14FE7428" w14:textId="77777777" w:rsidTr="00A6302C">
        <w:tc>
          <w:tcPr>
            <w:tcW w:w="3066"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tcPr>
          <w:p w14:paraId="6E1D0D87" w14:textId="77777777" w:rsidR="00835945" w:rsidRDefault="00835945" w:rsidP="00A6302C">
            <w:pPr>
              <w:spacing w:line="276" w:lineRule="auto"/>
              <w:jc w:val="center"/>
            </w:pPr>
            <w:r w:rsidRPr="31FF9146">
              <w:rPr>
                <w:rFonts w:eastAsia="Arial" w:cs="Arial"/>
                <w:b/>
                <w:bCs/>
                <w:color w:val="FFFFFF" w:themeColor="background1"/>
                <w:sz w:val="22"/>
                <w:szCs w:val="22"/>
                <w:lang w:val="es-MX"/>
              </w:rPr>
              <w:t>Política</w:t>
            </w:r>
            <w:r w:rsidRPr="31FF9146">
              <w:rPr>
                <w:rFonts w:eastAsia="Arial" w:cs="Arial"/>
                <w:b/>
                <w:bCs/>
                <w:color w:val="FFFFFF" w:themeColor="background1"/>
                <w:sz w:val="22"/>
                <w:szCs w:val="22"/>
              </w:rPr>
              <w:t xml:space="preserve"> </w:t>
            </w:r>
          </w:p>
        </w:tc>
        <w:tc>
          <w:tcPr>
            <w:tcW w:w="3081" w:type="dxa"/>
            <w:tcBorders>
              <w:top w:val="single" w:sz="8" w:space="0" w:color="4F81BD" w:themeColor="accent1"/>
              <w:left w:val="nil"/>
              <w:bottom w:val="single" w:sz="8" w:space="0" w:color="4F81BD" w:themeColor="accent1"/>
              <w:right w:val="nil"/>
            </w:tcBorders>
            <w:shd w:val="clear" w:color="auto" w:fill="4F81BD" w:themeFill="accent1"/>
          </w:tcPr>
          <w:p w14:paraId="6B9CEA0D" w14:textId="77777777" w:rsidR="00835945" w:rsidRDefault="00835945" w:rsidP="00A6302C">
            <w:pPr>
              <w:spacing w:line="276" w:lineRule="auto"/>
              <w:jc w:val="center"/>
            </w:pPr>
            <w:r w:rsidRPr="31FF9146">
              <w:rPr>
                <w:rFonts w:eastAsia="Arial" w:cs="Arial"/>
                <w:b/>
                <w:bCs/>
                <w:color w:val="FFFFFF" w:themeColor="background1"/>
                <w:sz w:val="22"/>
                <w:szCs w:val="22"/>
                <w:lang w:val="es-MX"/>
              </w:rPr>
              <w:t>Objetivo</w:t>
            </w:r>
            <w:r w:rsidRPr="31FF9146">
              <w:rPr>
                <w:rFonts w:eastAsia="Arial" w:cs="Arial"/>
                <w:b/>
                <w:bCs/>
                <w:color w:val="FFFFFF" w:themeColor="background1"/>
                <w:sz w:val="22"/>
                <w:szCs w:val="22"/>
              </w:rPr>
              <w:t xml:space="preserve"> </w:t>
            </w:r>
          </w:p>
        </w:tc>
        <w:tc>
          <w:tcPr>
            <w:tcW w:w="3214"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tcPr>
          <w:p w14:paraId="7DCBF838" w14:textId="77777777" w:rsidR="00835945" w:rsidRDefault="00835945" w:rsidP="00A6302C">
            <w:pPr>
              <w:spacing w:line="276" w:lineRule="auto"/>
              <w:jc w:val="center"/>
            </w:pPr>
            <w:r w:rsidRPr="31FF9146">
              <w:rPr>
                <w:rFonts w:eastAsia="Arial" w:cs="Arial"/>
                <w:b/>
                <w:bCs/>
                <w:color w:val="FFFFFF" w:themeColor="background1"/>
                <w:sz w:val="22"/>
                <w:szCs w:val="22"/>
                <w:lang w:val="es-MX"/>
              </w:rPr>
              <w:t>Alcance</w:t>
            </w:r>
            <w:r w:rsidRPr="31FF9146">
              <w:rPr>
                <w:rFonts w:eastAsia="Arial" w:cs="Arial"/>
                <w:b/>
                <w:bCs/>
                <w:color w:val="FFFFFF" w:themeColor="background1"/>
                <w:sz w:val="22"/>
                <w:szCs w:val="22"/>
              </w:rPr>
              <w:t xml:space="preserve"> </w:t>
            </w:r>
          </w:p>
        </w:tc>
      </w:tr>
      <w:tr w:rsidR="00835945" w14:paraId="760F5713" w14:textId="77777777" w:rsidTr="00A6302C">
        <w:tc>
          <w:tcPr>
            <w:tcW w:w="306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00BAE718" w14:textId="77777777" w:rsidR="00835945" w:rsidRDefault="00835945" w:rsidP="00A6302C">
            <w:pPr>
              <w:spacing w:line="276" w:lineRule="auto"/>
              <w:jc w:val="both"/>
            </w:pPr>
            <w:r w:rsidRPr="31FF9146">
              <w:rPr>
                <w:rFonts w:eastAsia="Arial" w:cs="Arial"/>
                <w:sz w:val="22"/>
                <w:szCs w:val="22"/>
                <w:lang w:val="es-MX"/>
              </w:rPr>
              <w:t xml:space="preserve"> </w:t>
            </w:r>
          </w:p>
          <w:p w14:paraId="1D403EEA" w14:textId="77777777" w:rsidR="00835945" w:rsidRDefault="00835945" w:rsidP="00A6302C">
            <w:pPr>
              <w:spacing w:line="276" w:lineRule="auto"/>
              <w:jc w:val="both"/>
            </w:pPr>
            <w:r w:rsidRPr="31FF9146">
              <w:rPr>
                <w:rFonts w:eastAsia="Arial" w:cs="Arial"/>
                <w:sz w:val="22"/>
                <w:szCs w:val="22"/>
                <w:lang w:val="es-MX"/>
              </w:rPr>
              <w:t xml:space="preserve"> </w:t>
            </w:r>
          </w:p>
          <w:p w14:paraId="44BA5D84" w14:textId="77777777" w:rsidR="00835945" w:rsidRDefault="00835945" w:rsidP="00A6302C">
            <w:pPr>
              <w:spacing w:line="276" w:lineRule="auto"/>
              <w:jc w:val="both"/>
            </w:pPr>
            <w:r w:rsidRPr="31FF9146">
              <w:rPr>
                <w:rFonts w:eastAsia="Arial" w:cs="Arial"/>
                <w:sz w:val="22"/>
                <w:szCs w:val="22"/>
                <w:lang w:val="es-MX"/>
              </w:rPr>
              <w:t xml:space="preserve"> </w:t>
            </w:r>
          </w:p>
          <w:p w14:paraId="3CA2735F" w14:textId="77777777" w:rsidR="00835945" w:rsidRDefault="00835945" w:rsidP="00A6302C">
            <w:pPr>
              <w:spacing w:line="276" w:lineRule="auto"/>
              <w:jc w:val="both"/>
            </w:pPr>
            <w:r w:rsidRPr="31FF9146">
              <w:rPr>
                <w:rFonts w:eastAsia="Arial" w:cs="Arial"/>
                <w:sz w:val="22"/>
                <w:szCs w:val="22"/>
                <w:lang w:val="es-MX"/>
              </w:rPr>
              <w:t xml:space="preserve"> </w:t>
            </w:r>
          </w:p>
          <w:p w14:paraId="3F30E093" w14:textId="77777777" w:rsidR="00835945" w:rsidRPr="002648C0" w:rsidRDefault="00835945" w:rsidP="00A6302C">
            <w:pPr>
              <w:spacing w:line="276" w:lineRule="auto"/>
              <w:jc w:val="center"/>
              <w:rPr>
                <w:b/>
              </w:rPr>
            </w:pPr>
            <w:r w:rsidRPr="002648C0">
              <w:rPr>
                <w:rFonts w:eastAsia="Arial" w:cs="Arial"/>
                <w:b/>
                <w:color w:val="000000" w:themeColor="text1"/>
                <w:sz w:val="22"/>
                <w:szCs w:val="22"/>
                <w:lang w:val="es-MX"/>
              </w:rPr>
              <w:t>Seguridad Vial y comité de seguridad vial del IGAC</w:t>
            </w:r>
          </w:p>
        </w:tc>
        <w:tc>
          <w:tcPr>
            <w:tcW w:w="308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512431CE" w14:textId="77777777" w:rsidR="00835945" w:rsidRDefault="00835945" w:rsidP="00A6302C">
            <w:pPr>
              <w:spacing w:line="276" w:lineRule="auto"/>
              <w:jc w:val="both"/>
            </w:pPr>
            <w:r w:rsidRPr="31FF9146">
              <w:rPr>
                <w:rFonts w:eastAsia="Arial" w:cs="Arial"/>
                <w:color w:val="000000" w:themeColor="text1"/>
                <w:sz w:val="22"/>
                <w:szCs w:val="22"/>
                <w:lang w:val="es-MX"/>
              </w:rPr>
              <w:t>Definir y adoptar los lineamientos de la Política de Seguridad Vial del IGAC y conformar el Comité de Seguridad Vial para propender por la prevención y reducción de los accidentes de tránsito, así como fomentar y contribuir con la seguridad de todos los actores viales que se relacionan con la entidad.</w:t>
            </w:r>
            <w:r w:rsidRPr="31FF9146">
              <w:rPr>
                <w:rFonts w:eastAsia="Arial" w:cs="Arial"/>
                <w:color w:val="000000" w:themeColor="text1"/>
                <w:sz w:val="22"/>
                <w:szCs w:val="22"/>
                <w:lang w:val="es"/>
              </w:rPr>
              <w:t xml:space="preserve"> </w:t>
            </w:r>
          </w:p>
        </w:tc>
        <w:tc>
          <w:tcPr>
            <w:tcW w:w="3214"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tcPr>
          <w:p w14:paraId="749793D5" w14:textId="77777777" w:rsidR="00835945" w:rsidRDefault="00835945" w:rsidP="00A6302C">
            <w:pPr>
              <w:spacing w:line="276" w:lineRule="auto"/>
              <w:jc w:val="both"/>
            </w:pPr>
            <w:r w:rsidRPr="31FF9146">
              <w:rPr>
                <w:rFonts w:eastAsia="Arial" w:cs="Arial"/>
                <w:color w:val="000000" w:themeColor="text1"/>
                <w:sz w:val="22"/>
                <w:szCs w:val="22"/>
                <w:lang w:val="es-MX"/>
              </w:rPr>
              <w:t>Esta política aplica a la Secretaría General, a los procesos de Gestión del Talento Humano y Gestión de Servicios Administrativos, a los conductores y a todos los servidores públicos y contratistas del IGAC que estén a cargo de vehículos de la entidad o hagan uso de los servicios de transporte.</w:t>
            </w:r>
            <w:r w:rsidRPr="31FF9146">
              <w:rPr>
                <w:rFonts w:eastAsia="Arial" w:cs="Arial"/>
                <w:color w:val="000000" w:themeColor="text1"/>
                <w:sz w:val="22"/>
                <w:szCs w:val="22"/>
                <w:lang w:val="es"/>
              </w:rPr>
              <w:t xml:space="preserve"> </w:t>
            </w:r>
          </w:p>
        </w:tc>
      </w:tr>
    </w:tbl>
    <w:p w14:paraId="458C681E" w14:textId="77777777" w:rsidR="00835945" w:rsidRPr="002102D7" w:rsidRDefault="00835945" w:rsidP="00835945">
      <w:pPr>
        <w:spacing w:line="276" w:lineRule="auto"/>
        <w:jc w:val="center"/>
        <w:rPr>
          <w:rFonts w:eastAsia="Arial" w:cs="Arial"/>
          <w:b/>
          <w:bCs/>
          <w:sz w:val="16"/>
          <w:szCs w:val="16"/>
          <w:lang w:val="es"/>
        </w:rPr>
      </w:pPr>
      <w:r w:rsidRPr="002102D7">
        <w:rPr>
          <w:rFonts w:eastAsia="Arial" w:cs="Arial"/>
          <w:b/>
          <w:bCs/>
          <w:sz w:val="16"/>
          <w:szCs w:val="16"/>
          <w:lang w:val="es"/>
        </w:rPr>
        <w:t>Fuente: Secretaria General</w:t>
      </w:r>
    </w:p>
    <w:p w14:paraId="36831640" w14:textId="77777777" w:rsidR="00835945" w:rsidRDefault="00835945" w:rsidP="00835945">
      <w:pPr>
        <w:spacing w:line="276" w:lineRule="auto"/>
        <w:jc w:val="center"/>
      </w:pPr>
    </w:p>
    <w:p w14:paraId="5DF95670" w14:textId="77777777" w:rsidR="00684E08" w:rsidRPr="00684E08" w:rsidRDefault="00835945" w:rsidP="00684E08">
      <w:pPr>
        <w:spacing w:line="276" w:lineRule="auto"/>
        <w:jc w:val="both"/>
        <w:rPr>
          <w:rFonts w:eastAsia="Arial" w:cs="Arial"/>
          <w:b/>
          <w:bCs/>
          <w:sz w:val="22"/>
          <w:szCs w:val="22"/>
          <w:lang w:val="es"/>
        </w:rPr>
      </w:pPr>
      <w:r>
        <w:rPr>
          <w:rFonts w:eastAsia="Arial" w:cs="Arial"/>
          <w:b/>
          <w:bCs/>
          <w:sz w:val="22"/>
          <w:szCs w:val="22"/>
          <w:lang w:val="es"/>
        </w:rPr>
        <w:t>4.6.6</w:t>
      </w:r>
      <w:r w:rsidRPr="31FF9146">
        <w:rPr>
          <w:rFonts w:eastAsia="Arial" w:cs="Arial"/>
          <w:b/>
          <w:bCs/>
          <w:sz w:val="22"/>
          <w:szCs w:val="22"/>
          <w:lang w:val="es"/>
        </w:rPr>
        <w:t>.4 GESTIÓN DE TALENTO HUMANO</w:t>
      </w:r>
    </w:p>
    <w:tbl>
      <w:tblPr>
        <w:tblStyle w:val="Tabladecuadrcula4-nfasis1"/>
        <w:tblW w:w="0" w:type="auto"/>
        <w:tblLayout w:type="fixed"/>
        <w:tblLook w:val="04A0" w:firstRow="1" w:lastRow="0" w:firstColumn="1" w:lastColumn="0" w:noHBand="0" w:noVBand="1"/>
      </w:tblPr>
      <w:tblGrid>
        <w:gridCol w:w="3076"/>
        <w:gridCol w:w="3076"/>
        <w:gridCol w:w="3209"/>
      </w:tblGrid>
      <w:tr w:rsidR="00835945" w:rsidRPr="00ED7B4B" w14:paraId="46557913" w14:textId="77777777" w:rsidTr="00A630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6" w:type="dxa"/>
            <w:tcBorders>
              <w:top w:val="single" w:sz="8" w:space="0" w:color="4F81BD" w:themeColor="accent1"/>
              <w:left w:val="single" w:sz="8" w:space="0" w:color="4F81BD" w:themeColor="accent1"/>
              <w:bottom w:val="single" w:sz="8" w:space="0" w:color="4F81BD" w:themeColor="accent1"/>
            </w:tcBorders>
          </w:tcPr>
          <w:p w14:paraId="4175E193" w14:textId="77777777" w:rsidR="00835945" w:rsidRPr="00ED7B4B" w:rsidRDefault="00835945" w:rsidP="00A6302C">
            <w:pPr>
              <w:jc w:val="center"/>
              <w:rPr>
                <w:sz w:val="22"/>
                <w:szCs w:val="22"/>
              </w:rPr>
            </w:pPr>
            <w:r w:rsidRPr="00ED7B4B">
              <w:rPr>
                <w:rFonts w:eastAsia="Arial" w:cs="Arial"/>
                <w:sz w:val="22"/>
                <w:szCs w:val="22"/>
                <w:lang w:val="es-MX"/>
              </w:rPr>
              <w:t>Política</w:t>
            </w:r>
          </w:p>
        </w:tc>
        <w:tc>
          <w:tcPr>
            <w:tcW w:w="3076" w:type="dxa"/>
            <w:tcBorders>
              <w:top w:val="single" w:sz="8" w:space="0" w:color="4F81BD" w:themeColor="accent1"/>
              <w:bottom w:val="single" w:sz="8" w:space="0" w:color="4F81BD" w:themeColor="accent1"/>
            </w:tcBorders>
          </w:tcPr>
          <w:p w14:paraId="625BAAE7" w14:textId="77777777" w:rsidR="00835945" w:rsidRPr="00ED7B4B" w:rsidRDefault="00835945" w:rsidP="00A6302C">
            <w:pPr>
              <w:jc w:val="center"/>
              <w:cnfStyle w:val="100000000000" w:firstRow="1" w:lastRow="0" w:firstColumn="0" w:lastColumn="0" w:oddVBand="0" w:evenVBand="0" w:oddHBand="0" w:evenHBand="0" w:firstRowFirstColumn="0" w:firstRowLastColumn="0" w:lastRowFirstColumn="0" w:lastRowLastColumn="0"/>
              <w:rPr>
                <w:sz w:val="22"/>
                <w:szCs w:val="22"/>
              </w:rPr>
            </w:pPr>
            <w:r w:rsidRPr="00ED7B4B">
              <w:rPr>
                <w:rFonts w:eastAsia="Arial" w:cs="Arial"/>
                <w:sz w:val="22"/>
                <w:szCs w:val="22"/>
                <w:lang w:val="es-MX"/>
              </w:rPr>
              <w:t>Objetivo</w:t>
            </w:r>
          </w:p>
        </w:tc>
        <w:tc>
          <w:tcPr>
            <w:tcW w:w="3209" w:type="dxa"/>
            <w:tcBorders>
              <w:top w:val="single" w:sz="8" w:space="0" w:color="4F81BD" w:themeColor="accent1"/>
              <w:bottom w:val="single" w:sz="8" w:space="0" w:color="4F81BD" w:themeColor="accent1"/>
              <w:right w:val="single" w:sz="8" w:space="0" w:color="4F81BD" w:themeColor="accent1"/>
            </w:tcBorders>
          </w:tcPr>
          <w:p w14:paraId="71B84C56" w14:textId="77777777" w:rsidR="00835945" w:rsidRPr="00ED7B4B" w:rsidRDefault="00835945" w:rsidP="00A6302C">
            <w:pPr>
              <w:jc w:val="center"/>
              <w:cnfStyle w:val="100000000000" w:firstRow="1" w:lastRow="0" w:firstColumn="0" w:lastColumn="0" w:oddVBand="0" w:evenVBand="0" w:oddHBand="0" w:evenHBand="0" w:firstRowFirstColumn="0" w:firstRowLastColumn="0" w:lastRowFirstColumn="0" w:lastRowLastColumn="0"/>
              <w:rPr>
                <w:sz w:val="22"/>
                <w:szCs w:val="22"/>
              </w:rPr>
            </w:pPr>
            <w:r w:rsidRPr="00ED7B4B">
              <w:rPr>
                <w:rFonts w:eastAsia="Arial" w:cs="Arial"/>
                <w:sz w:val="22"/>
                <w:szCs w:val="22"/>
                <w:lang w:val="es-MX"/>
              </w:rPr>
              <w:t>Alcance</w:t>
            </w:r>
          </w:p>
        </w:tc>
      </w:tr>
      <w:tr w:rsidR="00835945" w:rsidRPr="00ED7B4B" w14:paraId="2C6E06E0"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5812B53A"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60BF5E6A"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2895FB60"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1CD956D0"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58E4213C"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42DBD310" w14:textId="77777777" w:rsidR="00835945" w:rsidRPr="00ED7B4B" w:rsidRDefault="00835945" w:rsidP="00A6302C">
            <w:pPr>
              <w:spacing w:line="276" w:lineRule="auto"/>
              <w:jc w:val="center"/>
              <w:rPr>
                <w:sz w:val="22"/>
                <w:szCs w:val="22"/>
              </w:rPr>
            </w:pPr>
            <w:r w:rsidRPr="00ED7B4B">
              <w:rPr>
                <w:rFonts w:eastAsia="Arial" w:cs="Arial"/>
                <w:sz w:val="22"/>
                <w:szCs w:val="22"/>
                <w:lang w:val="es-MX"/>
              </w:rPr>
              <w:t xml:space="preserve"> </w:t>
            </w:r>
          </w:p>
          <w:p w14:paraId="063CE59B" w14:textId="77777777" w:rsidR="00835945" w:rsidRPr="00ED7B4B" w:rsidRDefault="00835945" w:rsidP="00A6302C">
            <w:pPr>
              <w:spacing w:line="276" w:lineRule="auto"/>
              <w:jc w:val="center"/>
              <w:rPr>
                <w:sz w:val="22"/>
                <w:szCs w:val="22"/>
              </w:rPr>
            </w:pPr>
            <w:r w:rsidRPr="00ED7B4B">
              <w:rPr>
                <w:rFonts w:eastAsia="Arial" w:cs="Arial"/>
                <w:color w:val="000000" w:themeColor="text1"/>
                <w:sz w:val="22"/>
                <w:szCs w:val="22"/>
                <w:lang w:val="es-MX"/>
              </w:rPr>
              <w:t>Política Estratégica de Talento Humano</w:t>
            </w:r>
          </w:p>
        </w:tc>
        <w:tc>
          <w:tcPr>
            <w:tcW w:w="3076"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9412826" w14:textId="77777777" w:rsidR="00835945" w:rsidRPr="00ED7B4B" w:rsidRDefault="00835945" w:rsidP="00A6302C">
            <w:pPr>
              <w:tabs>
                <w:tab w:val="left" w:pos="324"/>
              </w:tabs>
              <w:spacing w:line="276" w:lineRule="auto"/>
              <w:jc w:val="both"/>
              <w:cnfStyle w:val="000000100000" w:firstRow="0" w:lastRow="0" w:firstColumn="0" w:lastColumn="0" w:oddVBand="0" w:evenVBand="0" w:oddHBand="1" w:evenHBand="0" w:firstRowFirstColumn="0" w:firstRowLastColumn="0" w:lastRowFirstColumn="0" w:lastRowLastColumn="0"/>
              <w:rPr>
                <w:sz w:val="22"/>
                <w:szCs w:val="22"/>
              </w:rPr>
            </w:pPr>
            <w:r w:rsidRPr="00ED7B4B">
              <w:rPr>
                <w:rFonts w:eastAsia="Arial" w:cs="Arial"/>
                <w:color w:val="000000" w:themeColor="text1"/>
                <w:sz w:val="22"/>
                <w:szCs w:val="22"/>
              </w:rPr>
              <w:t>Gestionar el desarrollo integral del talento humano a través del ciclo de vida del servidor público (ingreso, desarrollo y retiro), promoviendo la generación de bienestar, entornos seguros y saludables para lograr una cultura organizacional basada en el cumplimiento de valores institucionales y el trabajo en equipo para contribuir a las metas de la entidad.</w:t>
            </w:r>
          </w:p>
        </w:tc>
        <w:tc>
          <w:tcPr>
            <w:tcW w:w="320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03AE2688" w14:textId="77777777" w:rsidR="00835945" w:rsidRPr="00ED7B4B" w:rsidRDefault="00835945" w:rsidP="00A6302C">
            <w:pPr>
              <w:spacing w:line="276" w:lineRule="auto"/>
              <w:jc w:val="both"/>
              <w:cnfStyle w:val="000000100000" w:firstRow="0" w:lastRow="0" w:firstColumn="0" w:lastColumn="0" w:oddVBand="0" w:evenVBand="0" w:oddHBand="1" w:evenHBand="0" w:firstRowFirstColumn="0" w:firstRowLastColumn="0" w:lastRowFirstColumn="0" w:lastRowLastColumn="0"/>
              <w:rPr>
                <w:sz w:val="22"/>
                <w:szCs w:val="22"/>
              </w:rPr>
            </w:pPr>
            <w:r w:rsidRPr="00ED7B4B">
              <w:rPr>
                <w:rFonts w:eastAsia="Arial" w:cs="Arial"/>
                <w:color w:val="000000" w:themeColor="text1"/>
                <w:sz w:val="22"/>
                <w:szCs w:val="22"/>
              </w:rPr>
              <w:t>La Política Estratégica de Gestión del Talento Humano aplica a los funcionarios públicos a nivel nacional a quienes la Ley 909 de 2004 y sus decretos reglamentarios, han dispuesto como sujetos beneficiarios de cada uno de los planes y programas contenidos en ésta.</w:t>
            </w:r>
          </w:p>
          <w:p w14:paraId="4B08D206" w14:textId="77777777" w:rsidR="00835945" w:rsidRPr="00ED7B4B" w:rsidRDefault="00835945" w:rsidP="00A6302C">
            <w:pPr>
              <w:spacing w:line="276" w:lineRule="auto"/>
              <w:jc w:val="both"/>
              <w:cnfStyle w:val="000000100000" w:firstRow="0" w:lastRow="0" w:firstColumn="0" w:lastColumn="0" w:oddVBand="0" w:evenVBand="0" w:oddHBand="1" w:evenHBand="0" w:firstRowFirstColumn="0" w:firstRowLastColumn="0" w:lastRowFirstColumn="0" w:lastRowLastColumn="0"/>
              <w:rPr>
                <w:sz w:val="22"/>
                <w:szCs w:val="22"/>
              </w:rPr>
            </w:pPr>
            <w:r w:rsidRPr="00ED7B4B">
              <w:rPr>
                <w:rFonts w:eastAsia="Arial" w:cs="Arial"/>
                <w:b/>
                <w:bCs/>
                <w:sz w:val="22"/>
                <w:szCs w:val="22"/>
                <w:lang w:val="es-MX"/>
              </w:rPr>
              <w:t xml:space="preserve"> </w:t>
            </w:r>
          </w:p>
        </w:tc>
      </w:tr>
    </w:tbl>
    <w:p w14:paraId="140A78EC" w14:textId="77777777" w:rsidR="00835945" w:rsidRPr="002102D7" w:rsidRDefault="00835945" w:rsidP="00835945">
      <w:pPr>
        <w:spacing w:line="276" w:lineRule="auto"/>
        <w:jc w:val="center"/>
        <w:rPr>
          <w:rFonts w:eastAsia="Arial" w:cs="Arial"/>
          <w:b/>
          <w:bCs/>
          <w:sz w:val="16"/>
          <w:szCs w:val="16"/>
          <w:lang w:val="es"/>
        </w:rPr>
      </w:pPr>
      <w:r w:rsidRPr="002102D7">
        <w:rPr>
          <w:rFonts w:eastAsia="Arial" w:cs="Arial"/>
          <w:b/>
          <w:bCs/>
          <w:lang w:val="es"/>
        </w:rPr>
        <w:t xml:space="preserve"> </w:t>
      </w:r>
      <w:r w:rsidRPr="002102D7">
        <w:rPr>
          <w:rFonts w:eastAsia="Arial" w:cs="Arial"/>
          <w:b/>
          <w:bCs/>
          <w:sz w:val="16"/>
          <w:szCs w:val="16"/>
          <w:lang w:val="es"/>
        </w:rPr>
        <w:t>Fuente: Secretaria General</w:t>
      </w:r>
    </w:p>
    <w:p w14:paraId="50EF2A6E" w14:textId="1BB0727C" w:rsidR="00835945" w:rsidRPr="002102D7" w:rsidRDefault="00835945" w:rsidP="002102D7">
      <w:pPr>
        <w:tabs>
          <w:tab w:val="left" w:pos="3969"/>
        </w:tabs>
        <w:spacing w:line="276" w:lineRule="auto"/>
        <w:jc w:val="both"/>
        <w:rPr>
          <w:rFonts w:eastAsia="Arial" w:cs="Arial"/>
          <w:b/>
          <w:bCs/>
          <w:lang w:val="es"/>
        </w:rPr>
      </w:pPr>
    </w:p>
    <w:p w14:paraId="023BAD4F" w14:textId="77777777" w:rsidR="007B552C" w:rsidRPr="007B552C" w:rsidRDefault="00835945" w:rsidP="007B552C">
      <w:pPr>
        <w:jc w:val="both"/>
        <w:rPr>
          <w:rFonts w:eastAsia="Arial" w:cs="Arial"/>
          <w:b/>
          <w:bCs/>
          <w:sz w:val="22"/>
          <w:szCs w:val="22"/>
          <w:lang w:val="es"/>
        </w:rPr>
      </w:pPr>
      <w:r w:rsidRPr="00F50574">
        <w:rPr>
          <w:rFonts w:eastAsia="Arial" w:cs="Arial"/>
          <w:b/>
          <w:sz w:val="22"/>
          <w:szCs w:val="22"/>
          <w:lang w:val="es"/>
        </w:rPr>
        <w:t xml:space="preserve">4.6.7 </w:t>
      </w:r>
      <w:r w:rsidRPr="00F50574">
        <w:rPr>
          <w:rFonts w:eastAsia="Arial" w:cs="Arial"/>
          <w:b/>
          <w:bCs/>
          <w:sz w:val="22"/>
          <w:szCs w:val="22"/>
          <w:lang w:val="es"/>
        </w:rPr>
        <w:t>LISTADO DE INFORMES</w:t>
      </w:r>
    </w:p>
    <w:p w14:paraId="46746007" w14:textId="77777777" w:rsidR="00835945" w:rsidRDefault="00835945" w:rsidP="00835945">
      <w:pPr>
        <w:spacing w:line="276" w:lineRule="auto"/>
        <w:jc w:val="both"/>
      </w:pPr>
      <w:r w:rsidRPr="31FF9146">
        <w:rPr>
          <w:rFonts w:eastAsia="Arial" w:cs="Arial"/>
          <w:b/>
          <w:bCs/>
          <w:sz w:val="22"/>
          <w:szCs w:val="22"/>
          <w:lang w:val="es"/>
        </w:rPr>
        <w:t xml:space="preserve"> </w:t>
      </w:r>
    </w:p>
    <w:tbl>
      <w:tblPr>
        <w:tblW w:w="0" w:type="auto"/>
        <w:tblLayout w:type="fixed"/>
        <w:tblLook w:val="04A0" w:firstRow="1" w:lastRow="0" w:firstColumn="1" w:lastColumn="0" w:noHBand="0" w:noVBand="1"/>
      </w:tblPr>
      <w:tblGrid>
        <w:gridCol w:w="1290"/>
        <w:gridCol w:w="2052"/>
        <w:gridCol w:w="2237"/>
        <w:gridCol w:w="3781"/>
      </w:tblGrid>
      <w:tr w:rsidR="00835945" w14:paraId="55D0D9C6" w14:textId="77777777" w:rsidTr="00A6302C">
        <w:trPr>
          <w:trHeight w:val="405"/>
        </w:trPr>
        <w:tc>
          <w:tcPr>
            <w:tcW w:w="1290" w:type="dxa"/>
            <w:vMerge w:val="restart"/>
            <w:shd w:val="clear" w:color="auto" w:fill="4F81BD" w:themeFill="accent1"/>
            <w:vAlign w:val="center"/>
          </w:tcPr>
          <w:p w14:paraId="7994CC73" w14:textId="77777777" w:rsidR="00835945" w:rsidRDefault="00835945" w:rsidP="00A6302C">
            <w:pPr>
              <w:jc w:val="center"/>
            </w:pPr>
            <w:r w:rsidRPr="31FF9146">
              <w:rPr>
                <w:rFonts w:eastAsia="Arial" w:cs="Arial"/>
                <w:b/>
                <w:bCs/>
                <w:color w:val="FFFFFF" w:themeColor="background1"/>
                <w:sz w:val="22"/>
                <w:szCs w:val="22"/>
                <w:lang w:val="es-MX"/>
              </w:rPr>
              <w:t>Externos</w:t>
            </w:r>
          </w:p>
        </w:tc>
        <w:tc>
          <w:tcPr>
            <w:tcW w:w="2052" w:type="dxa"/>
            <w:tcBorders>
              <w:top w:val="single" w:sz="8" w:space="0" w:color="FFFFFF" w:themeColor="background1"/>
              <w:bottom w:val="single" w:sz="8" w:space="0" w:color="FFFFFF" w:themeColor="background1"/>
              <w:right w:val="nil"/>
            </w:tcBorders>
            <w:shd w:val="clear" w:color="auto" w:fill="4F81BD" w:themeFill="accent1"/>
            <w:vAlign w:val="center"/>
          </w:tcPr>
          <w:p w14:paraId="5C745BCD" w14:textId="77777777" w:rsidR="00835945" w:rsidRDefault="00835945" w:rsidP="00A6302C">
            <w:pPr>
              <w:jc w:val="center"/>
            </w:pPr>
            <w:r w:rsidRPr="31FF9146">
              <w:rPr>
                <w:rFonts w:eastAsia="Arial" w:cs="Arial"/>
                <w:b/>
                <w:bCs/>
                <w:color w:val="FFFFFF" w:themeColor="background1"/>
                <w:sz w:val="22"/>
                <w:szCs w:val="22"/>
                <w:lang w:val="es-MX"/>
              </w:rPr>
              <w:t>Informe</w:t>
            </w:r>
          </w:p>
        </w:tc>
        <w:tc>
          <w:tcPr>
            <w:tcW w:w="2237" w:type="dxa"/>
            <w:tcBorders>
              <w:top w:val="single" w:sz="8" w:space="0" w:color="FFFFFF" w:themeColor="background1"/>
              <w:left w:val="nil"/>
              <w:bottom w:val="single" w:sz="8" w:space="0" w:color="FFFFFF" w:themeColor="background1"/>
              <w:right w:val="nil"/>
            </w:tcBorders>
            <w:shd w:val="clear" w:color="auto" w:fill="4F81BD" w:themeFill="accent1"/>
            <w:vAlign w:val="center"/>
          </w:tcPr>
          <w:p w14:paraId="76F2A368" w14:textId="77777777" w:rsidR="00835945" w:rsidRDefault="00835945" w:rsidP="00A6302C">
            <w:pPr>
              <w:jc w:val="center"/>
            </w:pPr>
            <w:r w:rsidRPr="31FF9146">
              <w:rPr>
                <w:rFonts w:eastAsia="Arial" w:cs="Arial"/>
                <w:b/>
                <w:bCs/>
                <w:color w:val="FFFFFF" w:themeColor="background1"/>
                <w:sz w:val="22"/>
                <w:szCs w:val="22"/>
                <w:lang w:val="es-MX"/>
              </w:rPr>
              <w:t>Responsable</w:t>
            </w:r>
          </w:p>
        </w:tc>
        <w:tc>
          <w:tcPr>
            <w:tcW w:w="3781" w:type="dxa"/>
            <w:tcBorders>
              <w:top w:val="single" w:sz="8" w:space="0" w:color="FFFFFF" w:themeColor="background1"/>
              <w:left w:val="nil"/>
              <w:bottom w:val="single" w:sz="8" w:space="0" w:color="FFFFFF" w:themeColor="background1"/>
              <w:right w:val="single" w:sz="8" w:space="0" w:color="FFFFFF" w:themeColor="background1"/>
            </w:tcBorders>
            <w:shd w:val="clear" w:color="auto" w:fill="4F81BD" w:themeFill="accent1"/>
            <w:vAlign w:val="center"/>
          </w:tcPr>
          <w:p w14:paraId="5573C81D" w14:textId="77777777" w:rsidR="00835945" w:rsidRDefault="00835945" w:rsidP="00A6302C">
            <w:pPr>
              <w:jc w:val="center"/>
            </w:pPr>
            <w:r w:rsidRPr="31FF9146">
              <w:rPr>
                <w:rFonts w:eastAsia="Arial" w:cs="Arial"/>
                <w:b/>
                <w:bCs/>
                <w:color w:val="FFFFFF" w:themeColor="background1"/>
                <w:sz w:val="22"/>
                <w:szCs w:val="22"/>
                <w:lang w:val="es-MX"/>
              </w:rPr>
              <w:t>Entrega y Publicación</w:t>
            </w:r>
          </w:p>
        </w:tc>
      </w:tr>
      <w:tr w:rsidR="00835945" w14:paraId="3A2288A1" w14:textId="77777777" w:rsidTr="00C31EB1">
        <w:trPr>
          <w:trHeight w:val="1200"/>
        </w:trPr>
        <w:tc>
          <w:tcPr>
            <w:tcW w:w="1290" w:type="dxa"/>
            <w:vMerge/>
            <w:vAlign w:val="center"/>
          </w:tcPr>
          <w:p w14:paraId="483F6795" w14:textId="77777777" w:rsidR="00835945" w:rsidRDefault="00835945" w:rsidP="00A6302C"/>
        </w:tc>
        <w:tc>
          <w:tcPr>
            <w:tcW w:w="2052" w:type="dxa"/>
            <w:vMerge w:val="restart"/>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43759320" w14:textId="77777777" w:rsidR="00835945" w:rsidRDefault="00835945" w:rsidP="00C31EB1">
            <w:pPr>
              <w:jc w:val="both"/>
            </w:pPr>
            <w:r w:rsidRPr="31FF9146">
              <w:rPr>
                <w:rFonts w:eastAsia="Arial" w:cs="Arial"/>
                <w:color w:val="000000" w:themeColor="text1"/>
                <w:sz w:val="22"/>
                <w:szCs w:val="22"/>
                <w:lang w:val="es-MX"/>
              </w:rPr>
              <w:t>Informes a CGR en aplicativo SIRECI</w:t>
            </w:r>
          </w:p>
        </w:tc>
        <w:tc>
          <w:tcPr>
            <w:tcW w:w="2237" w:type="dxa"/>
            <w:vMerge w:val="restart"/>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1099FDDB" w14:textId="77777777" w:rsidR="00835945" w:rsidRDefault="00835945" w:rsidP="00C31EB1">
            <w:pPr>
              <w:jc w:val="both"/>
            </w:pPr>
            <w:r w:rsidRPr="31FF9146">
              <w:rPr>
                <w:rFonts w:eastAsia="Arial" w:cs="Arial"/>
                <w:color w:val="000000" w:themeColor="text1"/>
                <w:sz w:val="22"/>
                <w:szCs w:val="22"/>
                <w:lang w:val="es-MX"/>
              </w:rPr>
              <w:t>Áreas Correspondientes + Subproceso de Contabilidad</w:t>
            </w:r>
          </w:p>
        </w:tc>
        <w:tc>
          <w:tcPr>
            <w:tcW w:w="3781" w:type="dxa"/>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7EAC7C1E" w14:textId="6712F765" w:rsidR="00835945" w:rsidRDefault="00835945" w:rsidP="00C31EB1">
            <w:pPr>
              <w:jc w:val="both"/>
            </w:pPr>
            <w:r w:rsidRPr="31FF9146">
              <w:rPr>
                <w:rFonts w:eastAsia="Arial" w:cs="Arial"/>
                <w:color w:val="000000" w:themeColor="text1"/>
                <w:sz w:val="22"/>
                <w:szCs w:val="22"/>
                <w:lang w:val="es-MX"/>
              </w:rPr>
              <w:t>Contraloría General de la Nación</w:t>
            </w:r>
          </w:p>
        </w:tc>
      </w:tr>
      <w:tr w:rsidR="00835945" w14:paraId="6B3CE2E6" w14:textId="77777777" w:rsidTr="00C31EB1">
        <w:trPr>
          <w:trHeight w:val="60"/>
        </w:trPr>
        <w:tc>
          <w:tcPr>
            <w:tcW w:w="1290" w:type="dxa"/>
            <w:vMerge/>
            <w:vAlign w:val="center"/>
          </w:tcPr>
          <w:p w14:paraId="59E05A89" w14:textId="77777777" w:rsidR="00835945" w:rsidRDefault="00835945" w:rsidP="00A6302C"/>
        </w:tc>
        <w:tc>
          <w:tcPr>
            <w:tcW w:w="2052" w:type="dxa"/>
            <w:vMerge/>
            <w:tcBorders>
              <w:left w:val="single" w:sz="0" w:space="0" w:color="FFFFFF" w:themeColor="background1"/>
              <w:right w:val="single" w:sz="0" w:space="0" w:color="FFFFFF" w:themeColor="background1"/>
            </w:tcBorders>
            <w:vAlign w:val="center"/>
          </w:tcPr>
          <w:p w14:paraId="0EFE0FA4" w14:textId="77777777" w:rsidR="00835945" w:rsidRDefault="00835945" w:rsidP="00C31EB1">
            <w:pPr>
              <w:jc w:val="both"/>
            </w:pPr>
          </w:p>
        </w:tc>
        <w:tc>
          <w:tcPr>
            <w:tcW w:w="2237" w:type="dxa"/>
            <w:vMerge/>
            <w:tcBorders>
              <w:left w:val="single" w:sz="0" w:space="0" w:color="FFFFFF" w:themeColor="background1"/>
              <w:right w:val="single" w:sz="0" w:space="0" w:color="FFFFFF" w:themeColor="background1"/>
            </w:tcBorders>
            <w:vAlign w:val="center"/>
          </w:tcPr>
          <w:p w14:paraId="43AAC033" w14:textId="77777777" w:rsidR="00835945" w:rsidRDefault="00835945" w:rsidP="00C31EB1">
            <w:pPr>
              <w:jc w:val="both"/>
            </w:pPr>
          </w:p>
        </w:tc>
        <w:tc>
          <w:tcPr>
            <w:tcW w:w="3781" w:type="dxa"/>
            <w:tcBorders>
              <w:top w:val="nil"/>
              <w:left w:val="nil"/>
              <w:bottom w:val="single" w:sz="8" w:space="0" w:color="FFFFFF" w:themeColor="background1"/>
              <w:right w:val="single" w:sz="8" w:space="0" w:color="FFFFFF" w:themeColor="background1"/>
            </w:tcBorders>
            <w:shd w:val="clear" w:color="auto" w:fill="DBE5F1" w:themeFill="accent1" w:themeFillTint="33"/>
            <w:vAlign w:val="center"/>
          </w:tcPr>
          <w:p w14:paraId="089C3228" w14:textId="77777777" w:rsidR="00835945" w:rsidRDefault="00835945" w:rsidP="00C31EB1">
            <w:pPr>
              <w:jc w:val="both"/>
            </w:pPr>
            <w:r w:rsidRPr="31FF9146">
              <w:rPr>
                <w:rFonts w:eastAsia="Arial" w:cs="Arial"/>
                <w:color w:val="000000" w:themeColor="text1"/>
                <w:sz w:val="22"/>
                <w:szCs w:val="22"/>
                <w:lang w:val="es-MX"/>
              </w:rPr>
              <w:t>Mensual/Trimestral/Semestral/Anual</w:t>
            </w:r>
          </w:p>
        </w:tc>
      </w:tr>
      <w:tr w:rsidR="00835945" w14:paraId="6CF9C6A7" w14:textId="77777777" w:rsidTr="00C31EB1">
        <w:trPr>
          <w:trHeight w:val="1200"/>
        </w:trPr>
        <w:tc>
          <w:tcPr>
            <w:tcW w:w="1290" w:type="dxa"/>
            <w:vMerge/>
            <w:vAlign w:val="center"/>
          </w:tcPr>
          <w:p w14:paraId="19D97E81" w14:textId="77777777" w:rsidR="00835945" w:rsidRDefault="00835945" w:rsidP="00A6302C"/>
        </w:tc>
        <w:tc>
          <w:tcPr>
            <w:tcW w:w="2052" w:type="dxa"/>
            <w:vMerge w:val="restart"/>
            <w:tcBorders>
              <w:top w:val="nil"/>
              <w:left w:val="single" w:sz="8" w:space="0" w:color="FFFFFF" w:themeColor="background1"/>
              <w:bottom w:val="nil"/>
              <w:right w:val="single" w:sz="8" w:space="0" w:color="FFFFFF" w:themeColor="background1"/>
            </w:tcBorders>
            <w:shd w:val="clear" w:color="auto" w:fill="B8CCE4" w:themeFill="accent1" w:themeFillTint="66"/>
            <w:vAlign w:val="center"/>
          </w:tcPr>
          <w:p w14:paraId="47D6D289" w14:textId="77777777" w:rsidR="00835945" w:rsidRDefault="00835945" w:rsidP="00C31EB1">
            <w:pPr>
              <w:jc w:val="both"/>
            </w:pPr>
            <w:r w:rsidRPr="31FF9146">
              <w:rPr>
                <w:rFonts w:eastAsia="Arial" w:cs="Arial"/>
                <w:color w:val="000000" w:themeColor="text1"/>
                <w:sz w:val="22"/>
                <w:szCs w:val="22"/>
                <w:lang w:val="es-MX"/>
              </w:rPr>
              <w:t>Informe a CGN en aplicativo CHIP</w:t>
            </w:r>
          </w:p>
        </w:tc>
        <w:tc>
          <w:tcPr>
            <w:tcW w:w="2237" w:type="dxa"/>
            <w:vMerge w:val="restart"/>
            <w:tcBorders>
              <w:top w:val="nil"/>
              <w:left w:val="single" w:sz="8" w:space="0" w:color="FFFFFF" w:themeColor="background1"/>
              <w:bottom w:val="nil"/>
              <w:right w:val="single" w:sz="8" w:space="0" w:color="FFFFFF" w:themeColor="background1"/>
            </w:tcBorders>
            <w:shd w:val="clear" w:color="auto" w:fill="B8CCE4" w:themeFill="accent1" w:themeFillTint="66"/>
            <w:vAlign w:val="center"/>
          </w:tcPr>
          <w:p w14:paraId="1757AA0A" w14:textId="77777777" w:rsidR="00835945" w:rsidRDefault="00835945" w:rsidP="00C31EB1">
            <w:pPr>
              <w:jc w:val="both"/>
            </w:pPr>
            <w:r w:rsidRPr="31FF9146">
              <w:rPr>
                <w:rFonts w:eastAsia="Arial" w:cs="Arial"/>
                <w:color w:val="000000" w:themeColor="text1"/>
                <w:sz w:val="22"/>
                <w:szCs w:val="22"/>
                <w:lang w:val="es-MX"/>
              </w:rPr>
              <w:t>Subproceso de Contabilidad</w:t>
            </w:r>
          </w:p>
        </w:tc>
        <w:tc>
          <w:tcPr>
            <w:tcW w:w="3781" w:type="dxa"/>
            <w:tcBorders>
              <w:top w:val="single" w:sz="8" w:space="0" w:color="FFFFFF" w:themeColor="background1"/>
              <w:left w:val="single" w:sz="8" w:space="0" w:color="FFFFFF" w:themeColor="background1"/>
              <w:bottom w:val="nil"/>
              <w:right w:val="single" w:sz="8" w:space="0" w:color="FFFFFF" w:themeColor="background1"/>
            </w:tcBorders>
            <w:shd w:val="clear" w:color="auto" w:fill="B8CCE4" w:themeFill="accent1" w:themeFillTint="66"/>
            <w:vAlign w:val="center"/>
          </w:tcPr>
          <w:p w14:paraId="1922F410" w14:textId="77777777" w:rsidR="00835945" w:rsidRDefault="00835945" w:rsidP="00C31EB1">
            <w:pPr>
              <w:jc w:val="both"/>
            </w:pPr>
            <w:r w:rsidRPr="31FF9146">
              <w:rPr>
                <w:rFonts w:eastAsia="Arial" w:cs="Arial"/>
                <w:color w:val="000000" w:themeColor="text1"/>
                <w:sz w:val="22"/>
                <w:szCs w:val="22"/>
                <w:lang w:val="es-MX"/>
              </w:rPr>
              <w:t>Contaduría General de la Nación</w:t>
            </w:r>
          </w:p>
        </w:tc>
      </w:tr>
      <w:tr w:rsidR="00835945" w14:paraId="77198604" w14:textId="77777777" w:rsidTr="00C31EB1">
        <w:trPr>
          <w:trHeight w:val="60"/>
        </w:trPr>
        <w:tc>
          <w:tcPr>
            <w:tcW w:w="1290" w:type="dxa"/>
            <w:vMerge/>
            <w:vAlign w:val="center"/>
          </w:tcPr>
          <w:p w14:paraId="4546E164" w14:textId="77777777" w:rsidR="00835945" w:rsidRDefault="00835945" w:rsidP="00A6302C"/>
        </w:tc>
        <w:tc>
          <w:tcPr>
            <w:tcW w:w="2052" w:type="dxa"/>
            <w:vMerge/>
            <w:tcBorders>
              <w:left w:val="single" w:sz="0" w:space="0" w:color="FFFFFF" w:themeColor="background1"/>
              <w:right w:val="single" w:sz="0" w:space="0" w:color="FFFFFF" w:themeColor="background1"/>
            </w:tcBorders>
            <w:vAlign w:val="center"/>
          </w:tcPr>
          <w:p w14:paraId="4B418262" w14:textId="77777777" w:rsidR="00835945" w:rsidRDefault="00835945" w:rsidP="00C31EB1">
            <w:pPr>
              <w:jc w:val="both"/>
            </w:pPr>
          </w:p>
        </w:tc>
        <w:tc>
          <w:tcPr>
            <w:tcW w:w="2237" w:type="dxa"/>
            <w:vMerge/>
            <w:tcBorders>
              <w:left w:val="single" w:sz="0" w:space="0" w:color="FFFFFF" w:themeColor="background1"/>
              <w:right w:val="single" w:sz="0" w:space="0" w:color="FFFFFF" w:themeColor="background1"/>
            </w:tcBorders>
            <w:vAlign w:val="center"/>
          </w:tcPr>
          <w:p w14:paraId="2B33C743" w14:textId="77777777" w:rsidR="00835945" w:rsidRDefault="00835945" w:rsidP="00C31EB1">
            <w:pPr>
              <w:jc w:val="both"/>
            </w:pPr>
          </w:p>
        </w:tc>
        <w:tc>
          <w:tcPr>
            <w:tcW w:w="3781" w:type="dxa"/>
            <w:tcBorders>
              <w:top w:val="nil"/>
              <w:left w:val="nil"/>
              <w:bottom w:val="single" w:sz="8" w:space="0" w:color="FFFFFF" w:themeColor="background1"/>
              <w:right w:val="single" w:sz="8" w:space="0" w:color="FFFFFF" w:themeColor="background1"/>
            </w:tcBorders>
            <w:shd w:val="clear" w:color="auto" w:fill="B8CCE4" w:themeFill="accent1" w:themeFillTint="66"/>
            <w:vAlign w:val="center"/>
          </w:tcPr>
          <w:p w14:paraId="7C703120" w14:textId="77777777" w:rsidR="00835945" w:rsidRDefault="00835945" w:rsidP="00C31EB1">
            <w:pPr>
              <w:jc w:val="both"/>
            </w:pPr>
            <w:r w:rsidRPr="31FF9146">
              <w:rPr>
                <w:rFonts w:eastAsia="Arial" w:cs="Arial"/>
                <w:color w:val="000000" w:themeColor="text1"/>
                <w:sz w:val="22"/>
                <w:szCs w:val="22"/>
                <w:lang w:val="es-MX"/>
              </w:rPr>
              <w:t>Trimestral</w:t>
            </w:r>
          </w:p>
        </w:tc>
      </w:tr>
      <w:tr w:rsidR="00835945" w14:paraId="276AD7F5" w14:textId="77777777" w:rsidTr="00C31EB1">
        <w:trPr>
          <w:trHeight w:val="1200"/>
        </w:trPr>
        <w:tc>
          <w:tcPr>
            <w:tcW w:w="1290" w:type="dxa"/>
            <w:vMerge/>
            <w:vAlign w:val="center"/>
          </w:tcPr>
          <w:p w14:paraId="29374F26" w14:textId="77777777" w:rsidR="00835945" w:rsidRDefault="00835945" w:rsidP="00A6302C"/>
        </w:tc>
        <w:tc>
          <w:tcPr>
            <w:tcW w:w="2052" w:type="dxa"/>
            <w:vMerge w:val="restart"/>
            <w:tcBorders>
              <w:top w:val="nil"/>
              <w:left w:val="single" w:sz="8" w:space="0" w:color="FFFFFF" w:themeColor="background1"/>
              <w:bottom w:val="nil"/>
              <w:right w:val="single" w:sz="8" w:space="0" w:color="FFFFFF" w:themeColor="background1"/>
            </w:tcBorders>
            <w:shd w:val="clear" w:color="auto" w:fill="DBE5F1" w:themeFill="accent1" w:themeFillTint="33"/>
            <w:vAlign w:val="center"/>
          </w:tcPr>
          <w:p w14:paraId="49E43CD8" w14:textId="77777777" w:rsidR="00835945" w:rsidRDefault="00835945" w:rsidP="00C31EB1">
            <w:pPr>
              <w:jc w:val="both"/>
            </w:pPr>
            <w:r w:rsidRPr="31FF9146">
              <w:rPr>
                <w:rFonts w:eastAsia="Arial" w:cs="Arial"/>
                <w:color w:val="000000" w:themeColor="text1"/>
                <w:sz w:val="22"/>
                <w:szCs w:val="22"/>
                <w:lang w:val="es-MX"/>
              </w:rPr>
              <w:t>Reporte pagos moneda extranjera</w:t>
            </w:r>
          </w:p>
        </w:tc>
        <w:tc>
          <w:tcPr>
            <w:tcW w:w="2237" w:type="dxa"/>
            <w:vMerge w:val="restart"/>
            <w:tcBorders>
              <w:top w:val="nil"/>
              <w:left w:val="single" w:sz="8" w:space="0" w:color="FFFFFF" w:themeColor="background1"/>
              <w:bottom w:val="nil"/>
              <w:right w:val="single" w:sz="8" w:space="0" w:color="FFFFFF" w:themeColor="background1"/>
            </w:tcBorders>
            <w:shd w:val="clear" w:color="auto" w:fill="DBE5F1" w:themeFill="accent1" w:themeFillTint="33"/>
            <w:vAlign w:val="center"/>
          </w:tcPr>
          <w:p w14:paraId="53FF14B7" w14:textId="5DA9C145" w:rsidR="00835945" w:rsidRDefault="00835945" w:rsidP="00C31EB1">
            <w:pPr>
              <w:jc w:val="both"/>
            </w:pPr>
            <w:r w:rsidRPr="31FF9146">
              <w:rPr>
                <w:rFonts w:eastAsia="Arial" w:cs="Arial"/>
                <w:color w:val="000000" w:themeColor="text1"/>
                <w:sz w:val="22"/>
                <w:szCs w:val="22"/>
                <w:lang w:val="es-MX"/>
              </w:rPr>
              <w:t>Subproceso de Tesorería</w:t>
            </w:r>
          </w:p>
        </w:tc>
        <w:tc>
          <w:tcPr>
            <w:tcW w:w="3781" w:type="dxa"/>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7BCAA00C" w14:textId="54685D44" w:rsidR="00835945" w:rsidRDefault="00835945" w:rsidP="00C31EB1">
            <w:pPr>
              <w:jc w:val="both"/>
            </w:pPr>
            <w:r w:rsidRPr="31FF9146">
              <w:rPr>
                <w:rFonts w:eastAsia="Arial" w:cs="Arial"/>
                <w:color w:val="000000" w:themeColor="text1"/>
                <w:sz w:val="22"/>
                <w:szCs w:val="22"/>
                <w:lang w:val="es-MX"/>
              </w:rPr>
              <w:t>DANE y Banco de la Republica</w:t>
            </w:r>
          </w:p>
        </w:tc>
      </w:tr>
      <w:tr w:rsidR="00835945" w14:paraId="7518D70B" w14:textId="77777777" w:rsidTr="00C31EB1">
        <w:trPr>
          <w:trHeight w:val="60"/>
        </w:trPr>
        <w:tc>
          <w:tcPr>
            <w:tcW w:w="1290" w:type="dxa"/>
            <w:vMerge/>
            <w:vAlign w:val="center"/>
          </w:tcPr>
          <w:p w14:paraId="48EBA58C" w14:textId="77777777" w:rsidR="00835945" w:rsidRDefault="00835945" w:rsidP="00A6302C"/>
        </w:tc>
        <w:tc>
          <w:tcPr>
            <w:tcW w:w="2052" w:type="dxa"/>
            <w:vMerge/>
            <w:tcBorders>
              <w:left w:val="single" w:sz="0" w:space="0" w:color="FFFFFF" w:themeColor="background1"/>
              <w:right w:val="single" w:sz="0" w:space="0" w:color="FFFFFF" w:themeColor="background1"/>
            </w:tcBorders>
            <w:vAlign w:val="center"/>
          </w:tcPr>
          <w:p w14:paraId="133ADA02" w14:textId="77777777" w:rsidR="00835945" w:rsidRDefault="00835945" w:rsidP="00C31EB1">
            <w:pPr>
              <w:jc w:val="both"/>
            </w:pPr>
          </w:p>
        </w:tc>
        <w:tc>
          <w:tcPr>
            <w:tcW w:w="2237" w:type="dxa"/>
            <w:vMerge/>
            <w:tcBorders>
              <w:left w:val="single" w:sz="0" w:space="0" w:color="FFFFFF" w:themeColor="background1"/>
              <w:right w:val="single" w:sz="0" w:space="0" w:color="FFFFFF" w:themeColor="background1"/>
            </w:tcBorders>
            <w:vAlign w:val="center"/>
          </w:tcPr>
          <w:p w14:paraId="53CA32A7" w14:textId="77777777" w:rsidR="00835945" w:rsidRDefault="00835945" w:rsidP="00C31EB1">
            <w:pPr>
              <w:jc w:val="both"/>
            </w:pPr>
          </w:p>
        </w:tc>
        <w:tc>
          <w:tcPr>
            <w:tcW w:w="3781" w:type="dxa"/>
            <w:tcBorders>
              <w:top w:val="nil"/>
              <w:left w:val="nil"/>
              <w:bottom w:val="single" w:sz="8" w:space="0" w:color="FFFFFF" w:themeColor="background1"/>
              <w:right w:val="single" w:sz="8" w:space="0" w:color="FFFFFF" w:themeColor="background1"/>
            </w:tcBorders>
            <w:shd w:val="clear" w:color="auto" w:fill="DBE5F1" w:themeFill="accent1" w:themeFillTint="33"/>
            <w:vAlign w:val="center"/>
          </w:tcPr>
          <w:p w14:paraId="0F0605CA" w14:textId="77777777" w:rsidR="00835945" w:rsidRDefault="00835945" w:rsidP="00C31EB1">
            <w:pPr>
              <w:jc w:val="both"/>
            </w:pPr>
            <w:r w:rsidRPr="31FF9146">
              <w:rPr>
                <w:rFonts w:eastAsia="Arial" w:cs="Arial"/>
                <w:color w:val="000000" w:themeColor="text1"/>
                <w:sz w:val="22"/>
                <w:szCs w:val="22"/>
                <w:lang w:val="es-MX"/>
              </w:rPr>
              <w:t>Trimestral</w:t>
            </w:r>
          </w:p>
        </w:tc>
      </w:tr>
      <w:tr w:rsidR="00835945" w14:paraId="55FB05B1" w14:textId="77777777" w:rsidTr="00C31EB1">
        <w:trPr>
          <w:trHeight w:val="600"/>
        </w:trPr>
        <w:tc>
          <w:tcPr>
            <w:tcW w:w="1290" w:type="dxa"/>
            <w:vMerge/>
            <w:vAlign w:val="center"/>
          </w:tcPr>
          <w:p w14:paraId="54FEB7D5" w14:textId="77777777" w:rsidR="00835945" w:rsidRDefault="00835945" w:rsidP="00A6302C"/>
        </w:tc>
        <w:tc>
          <w:tcPr>
            <w:tcW w:w="2052" w:type="dxa"/>
            <w:tcBorders>
              <w:top w:val="nil"/>
              <w:left w:val="single" w:sz="8" w:space="0" w:color="FFFFFF" w:themeColor="background1"/>
              <w:bottom w:val="nil"/>
              <w:right w:val="single" w:sz="8" w:space="0" w:color="FFFFFF" w:themeColor="background1"/>
            </w:tcBorders>
            <w:shd w:val="clear" w:color="auto" w:fill="DBE5F1" w:themeFill="accent1" w:themeFillTint="33"/>
            <w:vAlign w:val="center"/>
          </w:tcPr>
          <w:p w14:paraId="4ADF4384" w14:textId="77777777" w:rsidR="00835945" w:rsidRDefault="00835945" w:rsidP="00C31EB1">
            <w:pPr>
              <w:jc w:val="both"/>
            </w:pPr>
            <w:r w:rsidRPr="31FF9146">
              <w:rPr>
                <w:rFonts w:eastAsia="Arial" w:cs="Arial"/>
                <w:color w:val="000000" w:themeColor="text1"/>
                <w:sz w:val="22"/>
                <w:szCs w:val="22"/>
                <w:lang w:val="es-MX"/>
              </w:rPr>
              <w:t>Informe de reporte ley de cuotas</w:t>
            </w:r>
          </w:p>
        </w:tc>
        <w:tc>
          <w:tcPr>
            <w:tcW w:w="2237" w:type="dxa"/>
            <w:tcBorders>
              <w:top w:val="nil"/>
              <w:left w:val="single" w:sz="8" w:space="0" w:color="FFFFFF" w:themeColor="background1"/>
              <w:bottom w:val="nil"/>
              <w:right w:val="single" w:sz="8" w:space="0" w:color="FFFFFF" w:themeColor="background1"/>
            </w:tcBorders>
            <w:shd w:val="clear" w:color="auto" w:fill="DBE5F1" w:themeFill="accent1" w:themeFillTint="33"/>
            <w:vAlign w:val="center"/>
          </w:tcPr>
          <w:p w14:paraId="722DF053" w14:textId="77777777" w:rsidR="00835945" w:rsidRDefault="00835945" w:rsidP="00C31EB1">
            <w:pPr>
              <w:jc w:val="both"/>
            </w:pPr>
            <w:r w:rsidRPr="31FF9146">
              <w:rPr>
                <w:rFonts w:eastAsia="Arial" w:cs="Arial"/>
                <w:color w:val="000000" w:themeColor="text1"/>
                <w:sz w:val="22"/>
                <w:szCs w:val="22"/>
                <w:lang w:val="es-MX"/>
              </w:rPr>
              <w:t>Proceso de Gestión de Talento Humano</w:t>
            </w:r>
          </w:p>
        </w:tc>
        <w:tc>
          <w:tcPr>
            <w:tcW w:w="3781" w:type="dxa"/>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67698408" w14:textId="77777777" w:rsidR="00835945" w:rsidRDefault="00835945" w:rsidP="00C31EB1">
            <w:pPr>
              <w:jc w:val="both"/>
            </w:pPr>
            <w:r w:rsidRPr="31FF9146">
              <w:rPr>
                <w:rFonts w:eastAsia="Arial" w:cs="Arial"/>
                <w:color w:val="000000" w:themeColor="text1"/>
                <w:sz w:val="22"/>
                <w:szCs w:val="22"/>
                <w:lang w:val="es-MX"/>
              </w:rPr>
              <w:t>DAFP</w:t>
            </w:r>
            <w:r>
              <w:br/>
            </w:r>
            <w:r w:rsidRPr="31FF9146">
              <w:rPr>
                <w:rFonts w:eastAsia="Arial" w:cs="Arial"/>
                <w:color w:val="000000" w:themeColor="text1"/>
                <w:sz w:val="22"/>
                <w:szCs w:val="22"/>
                <w:lang w:val="es-MX"/>
              </w:rPr>
              <w:t xml:space="preserve"> Semestral</w:t>
            </w:r>
          </w:p>
        </w:tc>
      </w:tr>
      <w:tr w:rsidR="00835945" w14:paraId="767729A7" w14:textId="77777777" w:rsidTr="00C31EB1">
        <w:trPr>
          <w:trHeight w:val="615"/>
        </w:trPr>
        <w:tc>
          <w:tcPr>
            <w:tcW w:w="1290" w:type="dxa"/>
            <w:vMerge/>
            <w:vAlign w:val="center"/>
          </w:tcPr>
          <w:p w14:paraId="1A162887" w14:textId="77777777" w:rsidR="00835945" w:rsidRDefault="00835945" w:rsidP="00A6302C"/>
        </w:tc>
        <w:tc>
          <w:tcPr>
            <w:tcW w:w="2052" w:type="dxa"/>
            <w:tcBorders>
              <w:top w:val="nil"/>
              <w:left w:val="single" w:sz="8" w:space="0" w:color="FFFFFF" w:themeColor="background1"/>
              <w:bottom w:val="single" w:sz="8" w:space="0" w:color="FFFFFF" w:themeColor="background1"/>
              <w:right w:val="single" w:sz="8" w:space="0" w:color="FFFFFF" w:themeColor="background1"/>
            </w:tcBorders>
            <w:shd w:val="clear" w:color="auto" w:fill="DBE5F1" w:themeFill="accent1" w:themeFillTint="33"/>
            <w:vAlign w:val="center"/>
          </w:tcPr>
          <w:p w14:paraId="5F1D729F" w14:textId="42CED471" w:rsidR="00835945" w:rsidRDefault="00835945" w:rsidP="00C31EB1">
            <w:pPr>
              <w:jc w:val="both"/>
            </w:pPr>
            <w:r w:rsidRPr="31FF9146">
              <w:rPr>
                <w:rFonts w:eastAsia="Arial" w:cs="Arial"/>
                <w:color w:val="000000" w:themeColor="text1"/>
                <w:sz w:val="22"/>
                <w:szCs w:val="22"/>
                <w:lang w:val="es-MX"/>
              </w:rPr>
              <w:t>Informe de reporte de vinculación de jóvenes de 18 a 24 años</w:t>
            </w:r>
          </w:p>
        </w:tc>
        <w:tc>
          <w:tcPr>
            <w:tcW w:w="2237" w:type="dxa"/>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07C324B8" w14:textId="77777777" w:rsidR="00835945" w:rsidRDefault="00835945" w:rsidP="00C31EB1">
            <w:pPr>
              <w:jc w:val="both"/>
            </w:pPr>
            <w:r w:rsidRPr="31FF9146">
              <w:rPr>
                <w:rFonts w:eastAsia="Arial" w:cs="Arial"/>
                <w:color w:val="000000" w:themeColor="text1"/>
                <w:sz w:val="22"/>
                <w:szCs w:val="22"/>
                <w:lang w:val="es-MX"/>
              </w:rPr>
              <w:t>Proceso de Gestión de Talento Humano</w:t>
            </w:r>
          </w:p>
        </w:tc>
        <w:tc>
          <w:tcPr>
            <w:tcW w:w="3781" w:type="dxa"/>
            <w:tcBorders>
              <w:top w:val="nil"/>
              <w:left w:val="single" w:sz="8" w:space="0" w:color="FFFFFF" w:themeColor="background1"/>
              <w:bottom w:val="single" w:sz="8" w:space="0" w:color="FFFFFF" w:themeColor="background1"/>
              <w:right w:val="single" w:sz="8" w:space="0" w:color="FFFFFF" w:themeColor="background1"/>
            </w:tcBorders>
            <w:shd w:val="clear" w:color="auto" w:fill="DBE5F1" w:themeFill="accent1" w:themeFillTint="33"/>
            <w:vAlign w:val="center"/>
          </w:tcPr>
          <w:p w14:paraId="646449FC" w14:textId="77777777" w:rsidR="00835945" w:rsidRDefault="00835945" w:rsidP="00C31EB1">
            <w:pPr>
              <w:jc w:val="both"/>
            </w:pPr>
            <w:r w:rsidRPr="31FF9146">
              <w:rPr>
                <w:rFonts w:eastAsia="Arial" w:cs="Arial"/>
                <w:color w:val="000000" w:themeColor="text1"/>
                <w:sz w:val="22"/>
                <w:szCs w:val="22"/>
                <w:lang w:val="es-MX"/>
              </w:rPr>
              <w:t>DAFP</w:t>
            </w:r>
            <w:r>
              <w:br/>
            </w:r>
            <w:r w:rsidRPr="31FF9146">
              <w:rPr>
                <w:rFonts w:eastAsia="Arial" w:cs="Arial"/>
                <w:color w:val="000000" w:themeColor="text1"/>
                <w:sz w:val="22"/>
                <w:szCs w:val="22"/>
                <w:lang w:val="es-MX"/>
              </w:rPr>
              <w:t xml:space="preserve"> Trimestral</w:t>
            </w:r>
          </w:p>
        </w:tc>
      </w:tr>
      <w:tr w:rsidR="00835945" w14:paraId="7B3D28DB" w14:textId="77777777" w:rsidTr="00C31EB1">
        <w:trPr>
          <w:trHeight w:val="1500"/>
        </w:trPr>
        <w:tc>
          <w:tcPr>
            <w:tcW w:w="1290" w:type="dxa"/>
            <w:vMerge/>
            <w:vAlign w:val="center"/>
          </w:tcPr>
          <w:p w14:paraId="5485D517" w14:textId="77777777" w:rsidR="00835945" w:rsidRDefault="00835945" w:rsidP="00A6302C"/>
        </w:tc>
        <w:tc>
          <w:tcPr>
            <w:tcW w:w="2052" w:type="dxa"/>
            <w:tcBorders>
              <w:top w:val="single" w:sz="8" w:space="0" w:color="FFFFFF" w:themeColor="background1"/>
              <w:left w:val="single" w:sz="8" w:space="0" w:color="FFFFFF" w:themeColor="background1"/>
              <w:bottom w:val="nil"/>
              <w:right w:val="single" w:sz="8" w:space="0" w:color="FFFFFF" w:themeColor="background1"/>
            </w:tcBorders>
            <w:shd w:val="clear" w:color="auto" w:fill="B8CCE4" w:themeFill="accent1" w:themeFillTint="66"/>
            <w:vAlign w:val="center"/>
          </w:tcPr>
          <w:p w14:paraId="2D4CC313" w14:textId="77777777" w:rsidR="00835945" w:rsidRDefault="00835945" w:rsidP="00C31EB1">
            <w:pPr>
              <w:jc w:val="both"/>
            </w:pPr>
            <w:r w:rsidRPr="31FF9146">
              <w:rPr>
                <w:rFonts w:eastAsia="Arial" w:cs="Arial"/>
                <w:color w:val="000000" w:themeColor="text1"/>
                <w:sz w:val="22"/>
                <w:szCs w:val="22"/>
                <w:lang w:val="es-MX"/>
              </w:rPr>
              <w:t>Informe Implementación trabajo en casa</w:t>
            </w:r>
          </w:p>
        </w:tc>
        <w:tc>
          <w:tcPr>
            <w:tcW w:w="2237" w:type="dxa"/>
            <w:tcBorders>
              <w:top w:val="single" w:sz="8" w:space="0" w:color="FFFFFF" w:themeColor="background1"/>
              <w:left w:val="single" w:sz="8" w:space="0" w:color="FFFFFF" w:themeColor="background1"/>
              <w:bottom w:val="nil"/>
              <w:right w:val="single" w:sz="8" w:space="0" w:color="FFFFFF" w:themeColor="background1"/>
            </w:tcBorders>
            <w:shd w:val="clear" w:color="auto" w:fill="DBE5F1" w:themeFill="accent1" w:themeFillTint="33"/>
            <w:vAlign w:val="center"/>
          </w:tcPr>
          <w:p w14:paraId="74E48312" w14:textId="77777777" w:rsidR="00835945" w:rsidRDefault="00835945" w:rsidP="00C31EB1">
            <w:pPr>
              <w:jc w:val="both"/>
            </w:pPr>
            <w:r w:rsidRPr="31FF9146">
              <w:rPr>
                <w:rFonts w:eastAsia="Arial" w:cs="Arial"/>
                <w:color w:val="000000" w:themeColor="text1"/>
                <w:sz w:val="22"/>
                <w:szCs w:val="22"/>
                <w:lang w:val="es-MX"/>
              </w:rPr>
              <w:t>Proceso de Gestión de Talento Humano</w:t>
            </w:r>
          </w:p>
        </w:tc>
        <w:tc>
          <w:tcPr>
            <w:tcW w:w="3781" w:type="dxa"/>
            <w:tcBorders>
              <w:top w:val="single" w:sz="8" w:space="0" w:color="FFFFFF" w:themeColor="background1"/>
              <w:left w:val="single" w:sz="8" w:space="0" w:color="FFFFFF" w:themeColor="background1"/>
              <w:bottom w:val="nil"/>
              <w:right w:val="single" w:sz="8" w:space="0" w:color="FFFFFF" w:themeColor="background1"/>
            </w:tcBorders>
            <w:shd w:val="clear" w:color="auto" w:fill="B8CCE4" w:themeFill="accent1" w:themeFillTint="66"/>
            <w:vAlign w:val="center"/>
          </w:tcPr>
          <w:p w14:paraId="7D853B34" w14:textId="77777777" w:rsidR="00835945" w:rsidRDefault="00835945" w:rsidP="00C31EB1">
            <w:pPr>
              <w:jc w:val="both"/>
            </w:pPr>
            <w:r w:rsidRPr="31FF9146">
              <w:rPr>
                <w:rFonts w:eastAsia="Arial" w:cs="Arial"/>
                <w:color w:val="000000" w:themeColor="text1"/>
                <w:sz w:val="22"/>
                <w:szCs w:val="22"/>
                <w:lang w:val="es-MX"/>
              </w:rPr>
              <w:t>DAFP</w:t>
            </w:r>
            <w:r>
              <w:br/>
            </w:r>
            <w:r w:rsidRPr="31FF9146">
              <w:rPr>
                <w:rFonts w:eastAsia="Arial" w:cs="Arial"/>
                <w:color w:val="000000" w:themeColor="text1"/>
                <w:sz w:val="22"/>
                <w:szCs w:val="22"/>
                <w:lang w:val="es-MX"/>
              </w:rPr>
              <w:t xml:space="preserve"> Trimestral</w:t>
            </w:r>
          </w:p>
        </w:tc>
      </w:tr>
    </w:tbl>
    <w:p w14:paraId="74555A35" w14:textId="77777777" w:rsidR="00835945" w:rsidRPr="002F2B4F" w:rsidRDefault="00835945" w:rsidP="00835945">
      <w:pPr>
        <w:spacing w:line="276" w:lineRule="auto"/>
        <w:jc w:val="center"/>
        <w:rPr>
          <w:rFonts w:eastAsia="Arial" w:cs="Arial"/>
          <w:b/>
          <w:bCs/>
          <w:sz w:val="16"/>
          <w:szCs w:val="16"/>
          <w:lang w:val="es"/>
        </w:rPr>
      </w:pPr>
      <w:r w:rsidRPr="002F2B4F">
        <w:rPr>
          <w:rFonts w:eastAsia="Arial" w:cs="Arial"/>
          <w:b/>
          <w:bCs/>
          <w:sz w:val="22"/>
          <w:szCs w:val="22"/>
          <w:lang w:val="es"/>
        </w:rPr>
        <w:t xml:space="preserve"> </w:t>
      </w:r>
      <w:r w:rsidRPr="002F2B4F">
        <w:rPr>
          <w:rFonts w:eastAsia="Arial" w:cs="Arial"/>
          <w:b/>
          <w:bCs/>
          <w:sz w:val="16"/>
          <w:szCs w:val="16"/>
          <w:lang w:val="es"/>
        </w:rPr>
        <w:t>Fuente: Secretaria General</w:t>
      </w:r>
    </w:p>
    <w:p w14:paraId="09729ED0" w14:textId="77777777" w:rsidR="00835945" w:rsidRDefault="00835945" w:rsidP="00835945">
      <w:pPr>
        <w:spacing w:line="276" w:lineRule="auto"/>
        <w:jc w:val="both"/>
      </w:pPr>
    </w:p>
    <w:p w14:paraId="0D435946" w14:textId="77777777" w:rsidR="00835945" w:rsidRDefault="00835945" w:rsidP="00835945">
      <w:pPr>
        <w:spacing w:line="276" w:lineRule="auto"/>
        <w:jc w:val="both"/>
      </w:pPr>
      <w:r>
        <w:rPr>
          <w:rFonts w:eastAsia="Arial" w:cs="Arial"/>
          <w:b/>
          <w:bCs/>
          <w:sz w:val="22"/>
          <w:szCs w:val="22"/>
          <w:lang w:val="es"/>
        </w:rPr>
        <w:t>4.6.8</w:t>
      </w:r>
      <w:r w:rsidRPr="31FF9146">
        <w:rPr>
          <w:rFonts w:eastAsia="Arial" w:cs="Arial"/>
          <w:b/>
          <w:bCs/>
          <w:sz w:val="22"/>
          <w:szCs w:val="22"/>
          <w:lang w:val="es"/>
        </w:rPr>
        <w:t xml:space="preserve"> RECOMENDACIONES</w:t>
      </w:r>
    </w:p>
    <w:p w14:paraId="6BC47F62" w14:textId="77777777" w:rsidR="00835945" w:rsidRDefault="00835945" w:rsidP="00835945">
      <w:pPr>
        <w:spacing w:line="276" w:lineRule="auto"/>
        <w:jc w:val="both"/>
      </w:pPr>
      <w:r w:rsidRPr="31FF9146">
        <w:rPr>
          <w:rFonts w:eastAsia="Arial" w:cs="Arial"/>
          <w:b/>
          <w:bCs/>
          <w:sz w:val="22"/>
          <w:szCs w:val="22"/>
          <w:lang w:val="es"/>
        </w:rPr>
        <w:t xml:space="preserve"> </w:t>
      </w:r>
    </w:p>
    <w:p w14:paraId="6C57D234" w14:textId="77777777" w:rsidR="00835945" w:rsidRDefault="00835945" w:rsidP="00835945">
      <w:pPr>
        <w:spacing w:line="276" w:lineRule="auto"/>
        <w:jc w:val="both"/>
      </w:pPr>
      <w:r>
        <w:rPr>
          <w:rFonts w:eastAsia="Arial" w:cs="Arial"/>
          <w:b/>
          <w:bCs/>
          <w:sz w:val="22"/>
          <w:szCs w:val="22"/>
          <w:lang w:val="es"/>
        </w:rPr>
        <w:t>4.6.8</w:t>
      </w:r>
      <w:r w:rsidRPr="31FF9146">
        <w:rPr>
          <w:rFonts w:eastAsia="Arial" w:cs="Arial"/>
          <w:b/>
          <w:bCs/>
          <w:sz w:val="22"/>
          <w:szCs w:val="22"/>
          <w:lang w:val="es"/>
        </w:rPr>
        <w:t>.1 SUBDIRECCIÓN ADMINISTRATIVA Y FINANCIERA</w:t>
      </w:r>
    </w:p>
    <w:p w14:paraId="0027FB9F"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Centralizar los Archivos de Gestión del Nivel Central permite tanto el control, adecuada aplicación de TRD y por consiguiente de Procesos Técnicos de Archivo en aras de garantizar la conservación, preservación y recuperación de la información.</w:t>
      </w:r>
    </w:p>
    <w:p w14:paraId="18ECB770"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Implementar los desarrollos necesarios en el Sistema SIGAC que faciliten la implementación del módulo de archivo, prioritariamente para la correcta administración de los Expedientes de Procesos Disciplinarios y Contractuales </w:t>
      </w:r>
    </w:p>
    <w:p w14:paraId="4C4611C4"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Contar con personal idóneo y suficiente para la realización periódica de visitas de seguimiento de aplicación de las TVD y las TRD en las dependencias de la Sede Central y Direcciones Territoriales; que permitan identificar las falencias en cuanto a gestión documental y de esta forma garantizar el acceso a los archivos y a la información a nivel institucional. </w:t>
      </w:r>
    </w:p>
    <w:p w14:paraId="37245863"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Es indispensable que se contrate a una o dos personas (que cuenten con el perfil adecuado y la experiencia relacionada) por cada Dirección Territorial que se encarguen de apoyar las actividades de gestión documental, sin que ello signifique que cada </w:t>
      </w:r>
      <w:r w:rsidRPr="31FF9146">
        <w:rPr>
          <w:rFonts w:eastAsia="Arial" w:cs="Arial"/>
          <w:sz w:val="22"/>
          <w:szCs w:val="22"/>
          <w:lang w:val="es"/>
        </w:rPr>
        <w:lastRenderedPageBreak/>
        <w:t xml:space="preserve">funcionario deje de ser responsable de los documentos que genera en el desarrollo de sus funciones. </w:t>
      </w:r>
    </w:p>
    <w:p w14:paraId="085FA543"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Realizar dos veces al año vistas de seguimiento a TVD y TRD tanto en la Sede Central como en las Direcciones Territoriales, con el fin de apoyar y orientar la aplicación de las mismas. </w:t>
      </w:r>
    </w:p>
    <w:p w14:paraId="58539FE7"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Realizar al menos una vez al año visitas de diagnóstico en conservación documental a las dependencias de la Sede Central, Direcciones Territoriales y con el fin de identificar las falencias a nivel locativo, de condiciones ambientales</w:t>
      </w:r>
      <w:r w:rsidRPr="31FF9146">
        <w:rPr>
          <w:rFonts w:eastAsia="Arial" w:cs="Arial"/>
          <w:b/>
          <w:bCs/>
          <w:sz w:val="22"/>
          <w:szCs w:val="22"/>
          <w:lang w:val="es"/>
        </w:rPr>
        <w:t xml:space="preserve"> </w:t>
      </w:r>
      <w:r w:rsidRPr="31FF9146">
        <w:rPr>
          <w:rFonts w:eastAsia="Arial" w:cs="Arial"/>
          <w:sz w:val="22"/>
          <w:szCs w:val="22"/>
          <w:lang w:val="es"/>
        </w:rPr>
        <w:t xml:space="preserve">y almacenamiento que inciden en los deterioros presentes en la documentación. </w:t>
      </w:r>
    </w:p>
    <w:p w14:paraId="1B2A5356"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Realizar al menos dos veces al año saneamientos ambientales (Conforme al Instructivo de limpieza y saneamiento ambiental de depósitos de archivo) en cada una de las dependencias de la Sede Central, Direcciones Territoriales, con el fin de contrarrestar la presencia de deterioro biológico en las edificaciones y archivo. </w:t>
      </w:r>
    </w:p>
    <w:p w14:paraId="41CBCBBB"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Es muy importante que en cada Dirección Territorial constituya un archivo de gestión centralizado y que este cumpla con las condiciones señaladas en el Acuerdo No. 049 de mayo de 2000- Archivo General de la Nación, lo cual permitiría realizar las transferencias, establecidas según tiempos de retención de las TRD, para así descongestionar los archivos de gestión, dar las condiciones adecuadas de conservación a los documentos y facilitar su consulta. </w:t>
      </w:r>
    </w:p>
    <w:p w14:paraId="42539555"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 xml:space="preserve">Se requiere ampliar los espacios físicos para áreas de archivos ya que no son suficientes para la cantidad de documentación que se genera anualmente, adicionalmente la adquisición de mobiliario adecuado como archivadores, estantes y planotecas para el almacenamiento y preservación de los archivos en general que sea acorde al Acuerdo 049 de 2000 del Archivo General de la Nación –AGN. </w:t>
      </w:r>
    </w:p>
    <w:p w14:paraId="1B94B3E6"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En este mismo sentido, debemos señalar que la aplicación de las TRD garantizan la descongestión de los archivos de gestión, la conservación de los documentos evitando la acumulación de los mismos en espacios inadecuados, asegura el control efectivo y ordenado de la documentación, evita la acumulación irracional de documentos, permite concentrar la información útil, ya sea para decisiones administrativas o para la preservación de la memoria institucional y garantizar a los ciudadanos el acceso a la información y la transparencia administrativa.</w:t>
      </w:r>
    </w:p>
    <w:p w14:paraId="32C6461D"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Continuar con la transferencia documental al archivo central conforme a lo establecido en las tablas de retención documental.</w:t>
      </w:r>
    </w:p>
    <w:p w14:paraId="7B7C8BEA" w14:textId="77777777" w:rsidR="00835945" w:rsidRDefault="00835945" w:rsidP="00DB7E6D">
      <w:pPr>
        <w:pStyle w:val="Prrafodelista"/>
        <w:numPr>
          <w:ilvl w:val="0"/>
          <w:numId w:val="8"/>
        </w:numPr>
        <w:rPr>
          <w:rFonts w:eastAsia="Arial" w:cs="Arial"/>
          <w:sz w:val="22"/>
          <w:szCs w:val="22"/>
        </w:rPr>
      </w:pPr>
      <w:r w:rsidRPr="31FF9146">
        <w:rPr>
          <w:rFonts w:eastAsia="Arial" w:cs="Arial"/>
          <w:sz w:val="22"/>
          <w:szCs w:val="22"/>
          <w:lang w:val="es"/>
        </w:rPr>
        <w:t>Continuar con la consolidación de los expedientes contractuales digitales en la sede central del instituto.</w:t>
      </w:r>
    </w:p>
    <w:p w14:paraId="741097DA" w14:textId="77777777" w:rsidR="00835945" w:rsidRPr="005B726C" w:rsidRDefault="00835945" w:rsidP="00DB7E6D">
      <w:pPr>
        <w:pStyle w:val="Prrafodelista"/>
        <w:numPr>
          <w:ilvl w:val="0"/>
          <w:numId w:val="8"/>
        </w:numPr>
        <w:rPr>
          <w:rFonts w:eastAsia="Arial" w:cs="Arial"/>
          <w:sz w:val="22"/>
          <w:szCs w:val="22"/>
        </w:rPr>
      </w:pPr>
      <w:r w:rsidRPr="005B726C">
        <w:rPr>
          <w:rFonts w:eastAsia="Arial" w:cs="Arial"/>
          <w:sz w:val="22"/>
          <w:szCs w:val="22"/>
          <w:lang w:val="es"/>
        </w:rPr>
        <w:t>Seguir haciendo seguimiento a los expedientes electrónicos 2020 y 2021 en aras de propender por la completitud de estos en la etapa de ejecución, de tal forma, que los mismos cuenten con la información sustancial que permita acreditar ante terceros el seguimiento y cumplimiento de las obligaciones de los contratos.</w:t>
      </w:r>
    </w:p>
    <w:p w14:paraId="3B9E6C2C" w14:textId="77777777" w:rsidR="00835945" w:rsidRDefault="00835945" w:rsidP="00DB7E6D">
      <w:pPr>
        <w:pStyle w:val="Prrafodelista"/>
        <w:numPr>
          <w:ilvl w:val="0"/>
          <w:numId w:val="7"/>
        </w:numPr>
        <w:rPr>
          <w:rFonts w:eastAsia="Arial" w:cs="Arial"/>
          <w:sz w:val="22"/>
          <w:szCs w:val="22"/>
        </w:rPr>
      </w:pPr>
      <w:r w:rsidRPr="31FF9146">
        <w:rPr>
          <w:rFonts w:eastAsia="Arial" w:cs="Arial"/>
          <w:sz w:val="22"/>
          <w:szCs w:val="22"/>
          <w:lang w:val="es"/>
        </w:rPr>
        <w:t>Mantener como estrategia del proceso, el desarrollo de jornadas de capacitación que faciliten a los supervisores el entendimiento y manejo de la plataforma SECOPII para efectos de seguimiento, publicidad y transparencia de la gestión contractual.</w:t>
      </w:r>
    </w:p>
    <w:p w14:paraId="47A8B611" w14:textId="77777777" w:rsidR="00835945" w:rsidRDefault="00835945" w:rsidP="00DB7E6D">
      <w:pPr>
        <w:pStyle w:val="Prrafodelista"/>
        <w:numPr>
          <w:ilvl w:val="0"/>
          <w:numId w:val="7"/>
        </w:numPr>
        <w:rPr>
          <w:rFonts w:eastAsia="Arial" w:cs="Arial"/>
          <w:sz w:val="22"/>
          <w:szCs w:val="22"/>
        </w:rPr>
      </w:pPr>
      <w:r w:rsidRPr="31FF9146">
        <w:rPr>
          <w:rFonts w:eastAsia="Arial" w:cs="Arial"/>
          <w:sz w:val="22"/>
          <w:szCs w:val="22"/>
          <w:lang w:val="es"/>
        </w:rPr>
        <w:t>Continuar con las gestiones conducentes a la liquidación de los contratos terminados, dentro del término legal previsto y/o acordado; propiciando la liquidación de mutuo acuerdo o unilateral dentro de los términos legales previstos o acordados para este fin y priorizando aquellos en los que la falta de liquidación pueda constituirse como fuente de riesgo legal para la Entidad.</w:t>
      </w:r>
    </w:p>
    <w:p w14:paraId="2E5D7B1A" w14:textId="77777777" w:rsidR="00835945" w:rsidRDefault="00835945" w:rsidP="00DB7E6D">
      <w:pPr>
        <w:pStyle w:val="Prrafodelista"/>
        <w:numPr>
          <w:ilvl w:val="0"/>
          <w:numId w:val="7"/>
        </w:numPr>
        <w:rPr>
          <w:rFonts w:eastAsia="Arial" w:cs="Arial"/>
          <w:sz w:val="22"/>
          <w:szCs w:val="22"/>
        </w:rPr>
      </w:pPr>
      <w:r w:rsidRPr="31FF9146">
        <w:rPr>
          <w:rFonts w:eastAsia="Arial" w:cs="Arial"/>
          <w:sz w:val="22"/>
          <w:szCs w:val="22"/>
          <w:lang w:val="es"/>
        </w:rPr>
        <w:t xml:space="preserve">Continuar reforzando a través de jornadas de capacitación dirigidas a los supervisores de contratos el conocimiento y manejo de los estándares de calidad aplicables al proceso, </w:t>
      </w:r>
      <w:r w:rsidRPr="31FF9146">
        <w:rPr>
          <w:rFonts w:eastAsia="Arial" w:cs="Arial"/>
          <w:sz w:val="22"/>
          <w:szCs w:val="22"/>
          <w:lang w:val="es"/>
        </w:rPr>
        <w:lastRenderedPageBreak/>
        <w:t>tales como; procedimientos y formatos que deben ser tenidos en cuenta para el desarrollo del rol asignado a cada uno de ellos.</w:t>
      </w:r>
    </w:p>
    <w:p w14:paraId="53484E84" w14:textId="77777777" w:rsidR="00835945" w:rsidRDefault="00835945" w:rsidP="00DB7E6D">
      <w:pPr>
        <w:pStyle w:val="Prrafodelista"/>
        <w:numPr>
          <w:ilvl w:val="0"/>
          <w:numId w:val="6"/>
        </w:numPr>
        <w:rPr>
          <w:rFonts w:eastAsia="Arial" w:cs="Arial"/>
          <w:sz w:val="22"/>
          <w:szCs w:val="22"/>
        </w:rPr>
      </w:pPr>
      <w:r w:rsidRPr="31FF9146">
        <w:rPr>
          <w:rFonts w:eastAsia="Arial" w:cs="Arial"/>
          <w:sz w:val="22"/>
          <w:szCs w:val="22"/>
          <w:lang w:val="es"/>
        </w:rPr>
        <w:t>Brindar capacitaciones a los supervisores para orientar la aplicación de los lineamientos impartidos en materia de contratos de prestación de servicios profesionales y de apoyo a la gestión en virtud de la Sentencia de Unificación de Jurisprudencia SUJ-025-CE-S2-2021 y la circular interna emitida por el IGAC sobre el particular.</w:t>
      </w:r>
    </w:p>
    <w:p w14:paraId="17F8EF07" w14:textId="77777777" w:rsidR="00835945" w:rsidRPr="00FA0C47" w:rsidRDefault="00835945" w:rsidP="00DB7E6D">
      <w:pPr>
        <w:pStyle w:val="Prrafodelista"/>
        <w:numPr>
          <w:ilvl w:val="0"/>
          <w:numId w:val="6"/>
        </w:numPr>
        <w:rPr>
          <w:rFonts w:eastAsia="Arial" w:cs="Arial"/>
          <w:sz w:val="22"/>
          <w:szCs w:val="22"/>
        </w:rPr>
      </w:pPr>
      <w:r w:rsidRPr="31FF9146">
        <w:rPr>
          <w:rFonts w:eastAsia="Arial" w:cs="Arial"/>
          <w:sz w:val="22"/>
          <w:szCs w:val="22"/>
          <w:lang w:val="es"/>
        </w:rPr>
        <w:t xml:space="preserve">Se requiere ampliar la capacidad de almacenamiento e infraestructura física ya que la que se encuentra actualmente es insuficiente para la cantidad de bienes en custodia, así como reforzar el equipo humano. </w:t>
      </w:r>
      <w:r w:rsidRPr="31FF9146">
        <w:rPr>
          <w:rFonts w:ascii="Segoe UI" w:eastAsia="Segoe UI" w:hAnsi="Segoe UI" w:cs="Segoe UI"/>
          <w:sz w:val="22"/>
          <w:szCs w:val="22"/>
          <w:lang w:val="es"/>
        </w:rPr>
        <w:t xml:space="preserve"> </w:t>
      </w:r>
    </w:p>
    <w:p w14:paraId="43F6A78D" w14:textId="77777777" w:rsidR="00835945" w:rsidRDefault="00835945" w:rsidP="00835945">
      <w:pPr>
        <w:jc w:val="both"/>
        <w:rPr>
          <w:rFonts w:eastAsia="Arial" w:cs="Arial"/>
          <w:b/>
          <w:bCs/>
          <w:sz w:val="22"/>
          <w:szCs w:val="22"/>
          <w:lang w:val="es"/>
        </w:rPr>
      </w:pPr>
    </w:p>
    <w:p w14:paraId="6886950D" w14:textId="77777777" w:rsidR="00835945" w:rsidRDefault="00835945" w:rsidP="00835945">
      <w:pPr>
        <w:jc w:val="both"/>
        <w:rPr>
          <w:rFonts w:eastAsia="Arial" w:cs="Arial"/>
          <w:b/>
          <w:bCs/>
          <w:sz w:val="22"/>
          <w:szCs w:val="22"/>
          <w:lang w:val="es"/>
        </w:rPr>
      </w:pPr>
      <w:r>
        <w:rPr>
          <w:rFonts w:eastAsia="Arial" w:cs="Arial"/>
          <w:b/>
          <w:bCs/>
          <w:sz w:val="22"/>
          <w:szCs w:val="22"/>
          <w:lang w:val="es"/>
        </w:rPr>
        <w:t xml:space="preserve">       4.6.8</w:t>
      </w:r>
      <w:r w:rsidRPr="31FF9146">
        <w:rPr>
          <w:rFonts w:eastAsia="Arial" w:cs="Arial"/>
          <w:b/>
          <w:bCs/>
          <w:sz w:val="22"/>
          <w:szCs w:val="22"/>
          <w:lang w:val="es"/>
        </w:rPr>
        <w:t>.2 SUBDIRECCIÓN DE TALENTO HUMANO</w:t>
      </w:r>
    </w:p>
    <w:p w14:paraId="0E1102D8" w14:textId="77777777" w:rsidR="00835945" w:rsidRDefault="00835945" w:rsidP="00835945">
      <w:pPr>
        <w:jc w:val="both"/>
      </w:pPr>
      <w:r w:rsidRPr="31FF9146">
        <w:rPr>
          <w:rFonts w:eastAsia="Arial" w:cs="Arial"/>
          <w:sz w:val="22"/>
          <w:szCs w:val="22"/>
          <w:lang w:val="es"/>
        </w:rPr>
        <w:t xml:space="preserve"> </w:t>
      </w:r>
    </w:p>
    <w:p w14:paraId="3DA6DA42" w14:textId="77777777" w:rsidR="00835945" w:rsidRDefault="00835945" w:rsidP="00DB7E6D">
      <w:pPr>
        <w:pStyle w:val="Prrafodelista"/>
        <w:numPr>
          <w:ilvl w:val="0"/>
          <w:numId w:val="5"/>
        </w:numPr>
        <w:rPr>
          <w:rFonts w:eastAsia="Arial" w:cs="Arial"/>
          <w:sz w:val="22"/>
          <w:szCs w:val="22"/>
        </w:rPr>
      </w:pPr>
      <w:r w:rsidRPr="31FF9146">
        <w:rPr>
          <w:rFonts w:eastAsia="Arial" w:cs="Arial"/>
          <w:sz w:val="22"/>
          <w:szCs w:val="22"/>
          <w:lang w:val="es"/>
        </w:rPr>
        <w:t>Conformar un equipo con personal suficiente e idóneo para gestionar los procesos de Talento Humano.</w:t>
      </w:r>
    </w:p>
    <w:p w14:paraId="450FDBE2" w14:textId="77777777" w:rsidR="00835945" w:rsidRDefault="00835945" w:rsidP="00DB7E6D">
      <w:pPr>
        <w:pStyle w:val="Prrafodelista"/>
        <w:numPr>
          <w:ilvl w:val="0"/>
          <w:numId w:val="5"/>
        </w:numPr>
        <w:rPr>
          <w:rFonts w:eastAsia="Arial" w:cs="Arial"/>
          <w:sz w:val="22"/>
          <w:szCs w:val="22"/>
        </w:rPr>
      </w:pPr>
      <w:r w:rsidRPr="31FF9146">
        <w:rPr>
          <w:rFonts w:eastAsia="Arial" w:cs="Arial"/>
          <w:sz w:val="22"/>
          <w:szCs w:val="22"/>
          <w:lang w:val="es"/>
        </w:rPr>
        <w:t>Generar estrategias que ayuden a promover la participación de todos los actores y responsables del Sistema de Gestión de Seguridad y Salud en el Trabajo.</w:t>
      </w:r>
    </w:p>
    <w:p w14:paraId="0C735900" w14:textId="77777777" w:rsidR="00835945" w:rsidRDefault="00835945" w:rsidP="00DB7E6D">
      <w:pPr>
        <w:pStyle w:val="Prrafodelista"/>
        <w:numPr>
          <w:ilvl w:val="0"/>
          <w:numId w:val="5"/>
        </w:numPr>
        <w:rPr>
          <w:rFonts w:eastAsia="Arial" w:cs="Arial"/>
          <w:sz w:val="22"/>
          <w:szCs w:val="22"/>
        </w:rPr>
      </w:pPr>
      <w:r w:rsidRPr="31FF9146">
        <w:rPr>
          <w:rFonts w:eastAsia="Arial" w:cs="Arial"/>
          <w:sz w:val="22"/>
          <w:szCs w:val="22"/>
          <w:lang w:val="es"/>
        </w:rPr>
        <w:t>Digitalizar las historias laborales de los funcionarios y exfuncionarios del Instituto y así tener un sistema de información eficiente y oportuna, para agilizar las respuestas de los requerimientos que se realizan, adicionalmente, salvaguardar la información y dar cumplimiento a la Política de cero papel.</w:t>
      </w:r>
    </w:p>
    <w:p w14:paraId="402A1E0E" w14:textId="77777777" w:rsidR="00835945" w:rsidRDefault="00835945" w:rsidP="00DB7E6D">
      <w:pPr>
        <w:pStyle w:val="Prrafodelista"/>
        <w:numPr>
          <w:ilvl w:val="0"/>
          <w:numId w:val="5"/>
        </w:numPr>
        <w:rPr>
          <w:rFonts w:eastAsia="Arial" w:cs="Arial"/>
          <w:sz w:val="22"/>
          <w:szCs w:val="22"/>
        </w:rPr>
      </w:pPr>
      <w:r w:rsidRPr="31FF9146">
        <w:rPr>
          <w:rFonts w:eastAsia="Arial" w:cs="Arial"/>
          <w:sz w:val="22"/>
          <w:szCs w:val="22"/>
          <w:lang w:val="es"/>
        </w:rPr>
        <w:t>Disponer de un sistema de información en el cual se puedan presentar todos los procesos de talento humano, que integre la información de nómina, planta y situaciones administrativas a nivel nacional.</w:t>
      </w:r>
    </w:p>
    <w:p w14:paraId="596E57A2" w14:textId="0FECCEAB" w:rsidR="31FF9146" w:rsidRDefault="31FF9146" w:rsidP="31FF9146"/>
    <w:p w14:paraId="7CB9BBCA" w14:textId="15A98B65" w:rsidR="31FF9146" w:rsidRDefault="31FF9146" w:rsidP="31FF9146"/>
    <w:p w14:paraId="211F6A64" w14:textId="1D631E0C" w:rsidR="31FF9146" w:rsidRDefault="31FF9146" w:rsidP="31FF9146"/>
    <w:p w14:paraId="7DD56323" w14:textId="0EFAD238" w:rsidR="31FF9146" w:rsidRDefault="31FF9146" w:rsidP="31FF9146"/>
    <w:p w14:paraId="6A86A9BA" w14:textId="6668D642" w:rsidR="31FF9146" w:rsidRDefault="31FF9146" w:rsidP="31FF9146"/>
    <w:p w14:paraId="64B399C8" w14:textId="1581FD44" w:rsidR="31FF9146" w:rsidRDefault="31FF9146" w:rsidP="31FF9146"/>
    <w:p w14:paraId="3A7D380C" w14:textId="50A52443" w:rsidR="31FF9146" w:rsidRDefault="31FF9146" w:rsidP="31FF9146"/>
    <w:p w14:paraId="6A84CD3D" w14:textId="77777777" w:rsidR="00D77A69" w:rsidRDefault="00D77A69" w:rsidP="31FF9146"/>
    <w:p w14:paraId="4B561438" w14:textId="77777777" w:rsidR="00D77A69" w:rsidRDefault="00D77A69" w:rsidP="31FF9146"/>
    <w:p w14:paraId="523B68A1" w14:textId="77777777" w:rsidR="00D77A69" w:rsidRDefault="00D77A69" w:rsidP="31FF9146"/>
    <w:p w14:paraId="3518BE97" w14:textId="77777777" w:rsidR="00D77A69" w:rsidRDefault="00D77A69" w:rsidP="31FF9146"/>
    <w:p w14:paraId="3F2CF4CF" w14:textId="77777777" w:rsidR="00D77A69" w:rsidRDefault="00D77A69" w:rsidP="31FF9146"/>
    <w:p w14:paraId="22874981" w14:textId="77777777" w:rsidR="00D77A69" w:rsidRDefault="00D77A69" w:rsidP="31FF9146"/>
    <w:p w14:paraId="662B06C6" w14:textId="77777777" w:rsidR="00D77A69" w:rsidRDefault="00D77A69" w:rsidP="31FF9146"/>
    <w:p w14:paraId="4DC0391B" w14:textId="77777777" w:rsidR="00D77A69" w:rsidRDefault="00D77A69" w:rsidP="31FF9146"/>
    <w:p w14:paraId="328DF448" w14:textId="77777777" w:rsidR="00D77A69" w:rsidRDefault="00D77A69" w:rsidP="31FF9146"/>
    <w:p w14:paraId="427C76E2" w14:textId="77777777" w:rsidR="00D77A69" w:rsidRDefault="00D77A69" w:rsidP="31FF9146"/>
    <w:p w14:paraId="3F18DE11" w14:textId="77777777" w:rsidR="00D77A69" w:rsidRDefault="00D77A69" w:rsidP="31FF9146"/>
    <w:p w14:paraId="434DF951" w14:textId="77777777" w:rsidR="00D77A69" w:rsidRDefault="00D77A69" w:rsidP="31FF9146"/>
    <w:p w14:paraId="363043B9" w14:textId="51A483BE" w:rsidR="005304EA" w:rsidRPr="005304EA" w:rsidRDefault="005304EA" w:rsidP="005304EA"/>
    <w:p w14:paraId="591E6DC7" w14:textId="453A1608" w:rsidR="00C9668F" w:rsidRDefault="00C9668F" w:rsidP="31FF9146"/>
    <w:p w14:paraId="133D2698" w14:textId="7AF5DCDC" w:rsidR="00C9668F" w:rsidRDefault="00C9668F" w:rsidP="31FF9146"/>
    <w:p w14:paraId="554EA54D" w14:textId="27A6C731" w:rsidR="00C9668F" w:rsidRDefault="00C9668F" w:rsidP="31FF9146"/>
    <w:p w14:paraId="380838B3" w14:textId="00E52817" w:rsidR="00C9668F" w:rsidRDefault="00C9668F" w:rsidP="31FF9146"/>
    <w:p w14:paraId="3356110C" w14:textId="38076AE5" w:rsidR="00C9668F" w:rsidRDefault="00C9668F" w:rsidP="31FF9146"/>
    <w:p w14:paraId="21B87965" w14:textId="1C60E649" w:rsidR="00C9668F" w:rsidRDefault="00C9668F" w:rsidP="31FF9146"/>
    <w:p w14:paraId="0A75E766" w14:textId="0A071F5D" w:rsidR="00C9668F" w:rsidRDefault="00C9668F" w:rsidP="31FF9146"/>
    <w:p w14:paraId="34C5F59E" w14:textId="66D0A1E1" w:rsidR="00C9668F" w:rsidRDefault="00C9668F" w:rsidP="31FF9146"/>
    <w:p w14:paraId="410CFC5A" w14:textId="6EF7DD04" w:rsidR="00C9668F" w:rsidRDefault="00C9668F" w:rsidP="31FF9146"/>
    <w:p w14:paraId="40CD6F48" w14:textId="77777777" w:rsidR="002F2B4F" w:rsidRDefault="002F2B4F" w:rsidP="002102D7"/>
    <w:p w14:paraId="3165E3DB" w14:textId="77777777" w:rsidR="002F2B4F" w:rsidRDefault="002F2B4F" w:rsidP="002102D7"/>
    <w:p w14:paraId="4A23ABCD" w14:textId="77777777" w:rsidR="002F2B4F" w:rsidRDefault="002F2B4F" w:rsidP="002102D7"/>
    <w:p w14:paraId="7BD5D2D2" w14:textId="77777777" w:rsidR="002F2B4F" w:rsidRDefault="002F2B4F" w:rsidP="002102D7"/>
    <w:p w14:paraId="49D814C8" w14:textId="0C23BE08" w:rsidR="002F2B4F" w:rsidRDefault="002F2B4F" w:rsidP="002102D7"/>
    <w:p w14:paraId="206CB49C" w14:textId="0AA36FD1" w:rsidR="00762F31" w:rsidRDefault="00762F31" w:rsidP="002102D7"/>
    <w:p w14:paraId="08B7391A" w14:textId="5A0142B9" w:rsidR="00762F31" w:rsidRDefault="00762F31" w:rsidP="002102D7"/>
    <w:p w14:paraId="6F949BD0" w14:textId="6AA78B74" w:rsidR="00762F31" w:rsidRDefault="00762F31" w:rsidP="002102D7"/>
    <w:p w14:paraId="234DAF3D" w14:textId="60019FA1" w:rsidR="00762F31" w:rsidRDefault="00762F31" w:rsidP="002102D7"/>
    <w:p w14:paraId="045CE83A" w14:textId="49C0E587" w:rsidR="00762F31" w:rsidRDefault="00762F31" w:rsidP="002102D7"/>
    <w:p w14:paraId="04ABF0C7" w14:textId="2D08FD0A" w:rsidR="00762F31" w:rsidRDefault="00762F31" w:rsidP="002102D7"/>
    <w:p w14:paraId="6B97FBEC" w14:textId="274E2A87" w:rsidR="002F2B4F" w:rsidRDefault="002F2B4F" w:rsidP="002102D7"/>
    <w:p w14:paraId="426BF607" w14:textId="15BCFE00" w:rsidR="00762F31" w:rsidRPr="002102D7" w:rsidRDefault="00762F31" w:rsidP="002102D7"/>
    <w:p w14:paraId="05E7E43B" w14:textId="48C44CDD" w:rsidR="00762F31" w:rsidRPr="00762F31" w:rsidRDefault="001A609E" w:rsidP="000A20EE">
      <w:pPr>
        <w:pStyle w:val="Ttulo2"/>
        <w:numPr>
          <w:ilvl w:val="1"/>
          <w:numId w:val="22"/>
        </w:numPr>
        <w:spacing w:line="240" w:lineRule="auto"/>
        <w:jc w:val="left"/>
        <w:rPr>
          <w:sz w:val="22"/>
          <w:szCs w:val="22"/>
        </w:rPr>
      </w:pPr>
      <w:bookmarkStart w:id="166" w:name="_Toc88677061"/>
      <w:r w:rsidRPr="31FF9146">
        <w:rPr>
          <w:sz w:val="22"/>
          <w:szCs w:val="22"/>
        </w:rPr>
        <w:t>OFICINA DE RELACIONAMIENTO CON EL CIUDADANO</w:t>
      </w:r>
      <w:bookmarkEnd w:id="166"/>
    </w:p>
    <w:p w14:paraId="61E6C37A" w14:textId="47DF3F4A" w:rsidR="005325D9" w:rsidRPr="00762F31" w:rsidRDefault="005325D9" w:rsidP="000A20EE">
      <w:pPr>
        <w:pStyle w:val="Prrafodelista"/>
        <w:numPr>
          <w:ilvl w:val="2"/>
          <w:numId w:val="22"/>
        </w:numPr>
        <w:rPr>
          <w:b/>
          <w:sz w:val="22"/>
        </w:rPr>
      </w:pPr>
      <w:r w:rsidRPr="00762F31">
        <w:rPr>
          <w:b/>
          <w:sz w:val="22"/>
        </w:rPr>
        <w:t xml:space="preserve">GENERALIDADES </w:t>
      </w:r>
    </w:p>
    <w:p w14:paraId="6CE5FBEE" w14:textId="7BCB0139" w:rsidR="005325D9" w:rsidRPr="00B77095" w:rsidRDefault="005325D9" w:rsidP="00B77095">
      <w:pPr>
        <w:rPr>
          <w:rFonts w:cstheme="majorBidi"/>
          <w:b/>
          <w:sz w:val="22"/>
          <w:szCs w:val="20"/>
        </w:rPr>
      </w:pPr>
    </w:p>
    <w:p w14:paraId="4DFEC6C8" w14:textId="77777777" w:rsidR="005325D9" w:rsidRPr="002B5F38" w:rsidRDefault="005325D9" w:rsidP="00C72779">
      <w:pPr>
        <w:pStyle w:val="Sinespaciado"/>
        <w:jc w:val="both"/>
        <w:rPr>
          <w:rFonts w:ascii="Arial" w:hAnsi="Arial" w:cs="Arial"/>
        </w:rPr>
      </w:pPr>
      <w:r w:rsidRPr="00207CCC">
        <w:rPr>
          <w:rFonts w:ascii="Arial" w:hAnsi="Arial" w:cs="Arial"/>
        </w:rPr>
        <w:t xml:space="preserve">En virtud de los derechos que ejercen las </w:t>
      </w:r>
      <w:r w:rsidRPr="002B5F38">
        <w:rPr>
          <w:rFonts w:ascii="Arial" w:hAnsi="Arial" w:cs="Arial"/>
        </w:rPr>
        <w:t>personas en su relación con el Estado, en el Instituto Geográfico Agustín Codazzi (IGAC) se venía dando cumplimiento a la Política Nacional de Eficiencia Administrativa al Servicio al Ciudadano promovida por el Documento CONPES 3785 de 2013 a través de la conformación del Grupo Interno de Trabajo PQRD y Atención al Ciudadano en el 2014 y su modificación a Grupo Interno de Trabajo Servicio al Ciudadano mediante Resolución 1669 de 2015, sin embargo, debido a la importancia del rol de los ciudadanos, grupos de valor e interés para el Instituto a través del Decreto 846 de 2021 se crea la Oficina de Relación con el Ciudadano.</w:t>
      </w:r>
    </w:p>
    <w:p w14:paraId="421CC118" w14:textId="35FAE6C9" w:rsidR="005325D9" w:rsidRPr="00207CCC" w:rsidRDefault="005325D9" w:rsidP="00C72779">
      <w:pPr>
        <w:pStyle w:val="Sinespaciado"/>
        <w:jc w:val="both"/>
        <w:rPr>
          <w:rFonts w:ascii="Arial" w:hAnsi="Arial" w:cs="Arial"/>
        </w:rPr>
      </w:pPr>
    </w:p>
    <w:p w14:paraId="642898C6" w14:textId="77777777" w:rsidR="005325D9" w:rsidRPr="002B5F38" w:rsidRDefault="005325D9" w:rsidP="00C72779">
      <w:pPr>
        <w:pStyle w:val="Sinespaciado"/>
        <w:jc w:val="both"/>
        <w:rPr>
          <w:rFonts w:ascii="Arial" w:hAnsi="Arial" w:cs="Arial"/>
        </w:rPr>
      </w:pPr>
      <w:r w:rsidRPr="00207CCC">
        <w:rPr>
          <w:rFonts w:ascii="Arial" w:hAnsi="Arial" w:cs="Arial"/>
        </w:rPr>
        <w:t>Atendiendo la ubicación de la Oficina en los procesos estratégicos del Instituto, se busca establecer una relación directa y amable con los ciudadanos, grupos de valor e interés, con enfoque y atención preferencial, enmarcado en los principios de transparencia, eficacia, imparcialidad e integridad y buen servicio.</w:t>
      </w:r>
    </w:p>
    <w:p w14:paraId="0479C2B8" w14:textId="75748941" w:rsidR="005325D9" w:rsidRPr="00207CCC" w:rsidRDefault="005325D9" w:rsidP="00C72779">
      <w:pPr>
        <w:pStyle w:val="Sinespaciado"/>
        <w:jc w:val="both"/>
        <w:rPr>
          <w:rFonts w:ascii="Arial" w:hAnsi="Arial" w:cs="Arial"/>
          <w:b/>
        </w:rPr>
      </w:pPr>
    </w:p>
    <w:p w14:paraId="4E2FB7B4" w14:textId="77777777" w:rsidR="00B77095" w:rsidRPr="002B5F38" w:rsidRDefault="005325D9" w:rsidP="00C72779">
      <w:pPr>
        <w:pStyle w:val="Sinespaciado"/>
        <w:jc w:val="both"/>
        <w:rPr>
          <w:rFonts w:ascii="Arial" w:hAnsi="Arial" w:cs="Arial"/>
          <w:b/>
        </w:rPr>
      </w:pPr>
      <w:r w:rsidRPr="00207CCC">
        <w:rPr>
          <w:rFonts w:ascii="Arial" w:hAnsi="Arial" w:cs="Arial"/>
          <w:b/>
        </w:rPr>
        <w:t>4.7.1.1 PRINCIPALES FUNCIONES</w:t>
      </w:r>
    </w:p>
    <w:p w14:paraId="17A74A56" w14:textId="12C27375" w:rsidR="005325D9" w:rsidRPr="00207CCC" w:rsidRDefault="005325D9" w:rsidP="00C72779">
      <w:pPr>
        <w:pStyle w:val="Sinespaciado"/>
        <w:jc w:val="both"/>
        <w:rPr>
          <w:rFonts w:ascii="Arial" w:hAnsi="Arial" w:cs="Arial"/>
        </w:rPr>
      </w:pPr>
    </w:p>
    <w:p w14:paraId="5C7CFFCF" w14:textId="77777777" w:rsidR="00580F4A" w:rsidRDefault="00942B8E" w:rsidP="000A20EE">
      <w:pPr>
        <w:pStyle w:val="Sinespaciado"/>
        <w:numPr>
          <w:ilvl w:val="0"/>
          <w:numId w:val="113"/>
        </w:numPr>
        <w:jc w:val="both"/>
        <w:rPr>
          <w:rFonts w:ascii="Arial" w:hAnsi="Arial" w:cs="Arial"/>
        </w:rPr>
      </w:pPr>
      <w:r>
        <w:rPr>
          <w:rFonts w:ascii="Arial" w:hAnsi="Arial" w:cs="Arial"/>
        </w:rPr>
        <w:t>Establecer</w:t>
      </w:r>
      <w:r w:rsidR="005325D9" w:rsidRPr="002B5F38">
        <w:rPr>
          <w:rFonts w:ascii="Arial" w:hAnsi="Arial" w:cs="Arial"/>
        </w:rPr>
        <w:t xml:space="preserve"> los lineamientos a nivel nacional para: el tratamiento y la gestión de las peticiones, quejas, reclamos, sugerencias, denuncias y felicitaciones</w:t>
      </w:r>
      <w:r w:rsidR="00580F4A">
        <w:rPr>
          <w:rFonts w:ascii="Arial" w:hAnsi="Arial" w:cs="Arial"/>
        </w:rPr>
        <w:t>.</w:t>
      </w:r>
    </w:p>
    <w:p w14:paraId="351DFFF1" w14:textId="77777777" w:rsidR="00580F4A" w:rsidRDefault="00580F4A" w:rsidP="000A20EE">
      <w:pPr>
        <w:pStyle w:val="Sinespaciado"/>
        <w:numPr>
          <w:ilvl w:val="0"/>
          <w:numId w:val="113"/>
        </w:numPr>
        <w:jc w:val="both"/>
        <w:rPr>
          <w:rFonts w:ascii="Arial" w:hAnsi="Arial" w:cs="Arial"/>
        </w:rPr>
      </w:pPr>
      <w:r>
        <w:rPr>
          <w:rFonts w:ascii="Arial" w:hAnsi="Arial" w:cs="Arial"/>
        </w:rPr>
        <w:t>Promover</w:t>
      </w:r>
      <w:r w:rsidR="005325D9" w:rsidRPr="002B5F38">
        <w:rPr>
          <w:rFonts w:ascii="Arial" w:hAnsi="Arial" w:cs="Arial"/>
        </w:rPr>
        <w:t xml:space="preserve"> el incremento de la satisfacción en la ciudadanía, grupos de valor e interés</w:t>
      </w:r>
      <w:r>
        <w:rPr>
          <w:rFonts w:ascii="Arial" w:hAnsi="Arial" w:cs="Arial"/>
        </w:rPr>
        <w:t>.</w:t>
      </w:r>
    </w:p>
    <w:p w14:paraId="19DBEFC1" w14:textId="77777777" w:rsidR="00580F4A" w:rsidRDefault="00580F4A" w:rsidP="000A20EE">
      <w:pPr>
        <w:pStyle w:val="Sinespaciado"/>
        <w:numPr>
          <w:ilvl w:val="0"/>
          <w:numId w:val="113"/>
        </w:numPr>
        <w:jc w:val="both"/>
        <w:rPr>
          <w:rFonts w:ascii="Arial" w:hAnsi="Arial" w:cs="Arial"/>
        </w:rPr>
      </w:pPr>
      <w:r>
        <w:rPr>
          <w:rFonts w:ascii="Arial" w:hAnsi="Arial" w:cs="Arial"/>
        </w:rPr>
        <w:t>I</w:t>
      </w:r>
      <w:r w:rsidR="005325D9" w:rsidRPr="00207CCC">
        <w:rPr>
          <w:rFonts w:ascii="Arial" w:hAnsi="Arial" w:cs="Arial"/>
        </w:rPr>
        <w:t>mplementar</w:t>
      </w:r>
      <w:r w:rsidR="005325D9" w:rsidRPr="002B5F38">
        <w:rPr>
          <w:rFonts w:ascii="Arial" w:hAnsi="Arial" w:cs="Arial"/>
        </w:rPr>
        <w:t xml:space="preserve"> acciones de mejora para fortalecer los canales de atención</w:t>
      </w:r>
      <w:r>
        <w:rPr>
          <w:rFonts w:ascii="Arial" w:hAnsi="Arial" w:cs="Arial"/>
        </w:rPr>
        <w:t>.</w:t>
      </w:r>
    </w:p>
    <w:p w14:paraId="13679DFC" w14:textId="77777777" w:rsidR="00580F4A" w:rsidRDefault="00580F4A" w:rsidP="000A20EE">
      <w:pPr>
        <w:pStyle w:val="Sinespaciado"/>
        <w:numPr>
          <w:ilvl w:val="0"/>
          <w:numId w:val="113"/>
        </w:numPr>
        <w:jc w:val="both"/>
        <w:rPr>
          <w:rFonts w:ascii="Arial" w:hAnsi="Arial" w:cs="Arial"/>
        </w:rPr>
      </w:pPr>
      <w:r>
        <w:rPr>
          <w:rFonts w:ascii="Arial" w:hAnsi="Arial" w:cs="Arial"/>
        </w:rPr>
        <w:t>P</w:t>
      </w:r>
      <w:r w:rsidR="005325D9" w:rsidRPr="00207CCC">
        <w:rPr>
          <w:rFonts w:ascii="Arial" w:hAnsi="Arial" w:cs="Arial"/>
        </w:rPr>
        <w:t>romover</w:t>
      </w:r>
      <w:r w:rsidR="005325D9" w:rsidRPr="002B5F38">
        <w:rPr>
          <w:rFonts w:ascii="Arial" w:hAnsi="Arial" w:cs="Arial"/>
        </w:rPr>
        <w:t xml:space="preserve"> lineamientos para el proceso de rendición de cuentas y control social</w:t>
      </w:r>
      <w:r>
        <w:rPr>
          <w:rFonts w:ascii="Arial" w:hAnsi="Arial" w:cs="Arial"/>
        </w:rPr>
        <w:t>.</w:t>
      </w:r>
    </w:p>
    <w:p w14:paraId="0865C0BE" w14:textId="77777777" w:rsidR="00580F4A" w:rsidRDefault="00580F4A" w:rsidP="000A20EE">
      <w:pPr>
        <w:pStyle w:val="Sinespaciado"/>
        <w:numPr>
          <w:ilvl w:val="0"/>
          <w:numId w:val="113"/>
        </w:numPr>
        <w:jc w:val="both"/>
        <w:rPr>
          <w:rFonts w:ascii="Arial" w:hAnsi="Arial" w:cs="Arial"/>
        </w:rPr>
      </w:pPr>
      <w:r>
        <w:rPr>
          <w:rFonts w:ascii="Arial" w:hAnsi="Arial" w:cs="Arial"/>
        </w:rPr>
        <w:t>A</w:t>
      </w:r>
      <w:r w:rsidR="005325D9" w:rsidRPr="00207CCC">
        <w:rPr>
          <w:rFonts w:ascii="Arial" w:hAnsi="Arial" w:cs="Arial"/>
        </w:rPr>
        <w:t>sesorar</w:t>
      </w:r>
      <w:r w:rsidR="005325D9" w:rsidRPr="002B5F38">
        <w:rPr>
          <w:rFonts w:ascii="Arial" w:hAnsi="Arial" w:cs="Arial"/>
        </w:rPr>
        <w:t xml:space="preserve"> la implementación de actividades de participación ciudadana</w:t>
      </w:r>
      <w:r>
        <w:rPr>
          <w:rFonts w:ascii="Arial" w:hAnsi="Arial" w:cs="Arial"/>
        </w:rPr>
        <w:t>.</w:t>
      </w:r>
    </w:p>
    <w:p w14:paraId="35D932E4" w14:textId="6B2B1767" w:rsidR="00580F4A" w:rsidRDefault="00580F4A" w:rsidP="000A20EE">
      <w:pPr>
        <w:pStyle w:val="Sinespaciado"/>
        <w:numPr>
          <w:ilvl w:val="0"/>
          <w:numId w:val="113"/>
        </w:numPr>
        <w:jc w:val="both"/>
        <w:rPr>
          <w:rFonts w:ascii="Arial" w:hAnsi="Arial" w:cs="Arial"/>
        </w:rPr>
      </w:pPr>
      <w:r>
        <w:rPr>
          <w:rFonts w:ascii="Arial" w:hAnsi="Arial" w:cs="Arial"/>
        </w:rPr>
        <w:t>Ll</w:t>
      </w:r>
      <w:r w:rsidR="005325D9" w:rsidRPr="00207CCC">
        <w:rPr>
          <w:rFonts w:ascii="Arial" w:hAnsi="Arial" w:cs="Arial"/>
        </w:rPr>
        <w:t>evar</w:t>
      </w:r>
      <w:r w:rsidR="005325D9" w:rsidRPr="002B5F38">
        <w:rPr>
          <w:rFonts w:ascii="Arial" w:hAnsi="Arial" w:cs="Arial"/>
        </w:rPr>
        <w:t xml:space="preserve"> a cabo las visitas guiadas, divulgar información de la Biblioteca de la Entidad</w:t>
      </w:r>
      <w:r>
        <w:rPr>
          <w:rFonts w:ascii="Arial" w:hAnsi="Arial" w:cs="Arial"/>
        </w:rPr>
        <w:t>.</w:t>
      </w:r>
    </w:p>
    <w:p w14:paraId="07DB85D6" w14:textId="5908FAB3" w:rsidR="005325D9" w:rsidRPr="002B5F38" w:rsidRDefault="00580F4A" w:rsidP="000A20EE">
      <w:pPr>
        <w:pStyle w:val="Sinespaciado"/>
        <w:numPr>
          <w:ilvl w:val="0"/>
          <w:numId w:val="113"/>
        </w:numPr>
        <w:jc w:val="both"/>
        <w:rPr>
          <w:rFonts w:ascii="Arial" w:hAnsi="Arial" w:cs="Arial"/>
        </w:rPr>
      </w:pPr>
      <w:r>
        <w:rPr>
          <w:rFonts w:ascii="Arial" w:hAnsi="Arial" w:cs="Arial"/>
        </w:rPr>
        <w:t>I</w:t>
      </w:r>
      <w:r w:rsidR="005325D9" w:rsidRPr="00207CCC">
        <w:rPr>
          <w:rFonts w:ascii="Arial" w:hAnsi="Arial" w:cs="Arial"/>
        </w:rPr>
        <w:t>mplementar</w:t>
      </w:r>
      <w:r w:rsidR="005325D9" w:rsidRPr="002B5F38">
        <w:rPr>
          <w:rFonts w:ascii="Arial" w:hAnsi="Arial" w:cs="Arial"/>
        </w:rPr>
        <w:t xml:space="preserve"> estrategias para la transferencia de conocimientos técnicos y mejora de la actitud de servicio en los funcionarios.</w:t>
      </w:r>
    </w:p>
    <w:p w14:paraId="545F3BE1" w14:textId="48D41842" w:rsidR="005325D9" w:rsidRDefault="005325D9" w:rsidP="00C72779">
      <w:pPr>
        <w:jc w:val="both"/>
        <w:rPr>
          <w:rFonts w:cs="Arial"/>
          <w:b/>
          <w:sz w:val="22"/>
          <w:szCs w:val="22"/>
        </w:rPr>
      </w:pPr>
    </w:p>
    <w:p w14:paraId="61AB4E67" w14:textId="5F9CECDA" w:rsidR="005325D9" w:rsidRPr="008179E9" w:rsidRDefault="005325D9" w:rsidP="00C72779">
      <w:pPr>
        <w:jc w:val="both"/>
        <w:rPr>
          <w:rFonts w:cs="Arial"/>
          <w:b/>
          <w:sz w:val="22"/>
          <w:szCs w:val="22"/>
        </w:rPr>
      </w:pPr>
      <w:r w:rsidRPr="008179E9">
        <w:rPr>
          <w:rFonts w:cs="Arial"/>
          <w:b/>
          <w:sz w:val="22"/>
          <w:szCs w:val="22"/>
        </w:rPr>
        <w:t xml:space="preserve">4.7.1.2 ESTRUCTURA </w:t>
      </w:r>
      <w:r w:rsidR="00D92D7F">
        <w:rPr>
          <w:rFonts w:cs="Arial"/>
          <w:b/>
          <w:bCs/>
          <w:sz w:val="22"/>
          <w:szCs w:val="22"/>
        </w:rPr>
        <w:t>FUNCIONAL</w:t>
      </w:r>
      <w:r w:rsidRPr="008179E9">
        <w:rPr>
          <w:rFonts w:cs="Arial"/>
          <w:b/>
          <w:sz w:val="22"/>
          <w:szCs w:val="22"/>
        </w:rPr>
        <w:t xml:space="preserve"> DE LA OFICINA DE RELACIÓN CON EL CIUDADANO</w:t>
      </w:r>
    </w:p>
    <w:p w14:paraId="5924F51B" w14:textId="53312A02" w:rsidR="00331B49" w:rsidRDefault="00331B49" w:rsidP="00331B49">
      <w:pPr>
        <w:ind w:left="567"/>
        <w:jc w:val="center"/>
        <w:rPr>
          <w:rFonts w:cs="Arial"/>
          <w:b/>
          <w:sz w:val="16"/>
          <w:szCs w:val="16"/>
        </w:rPr>
      </w:pPr>
    </w:p>
    <w:p w14:paraId="0D79A5B1" w14:textId="5A93745E" w:rsidR="005F3CE6" w:rsidRPr="00C9668F" w:rsidRDefault="00E32F40" w:rsidP="00C9668F">
      <w:pPr>
        <w:keepNext/>
        <w:ind w:left="567"/>
        <w:jc w:val="center"/>
        <w:rPr>
          <w:rFonts w:cs="Arial"/>
          <w:b/>
          <w:sz w:val="16"/>
          <w:szCs w:val="16"/>
        </w:rPr>
      </w:pPr>
      <w:bookmarkStart w:id="167" w:name="_Toc88677204"/>
      <w:r w:rsidRPr="401867FF">
        <w:rPr>
          <w:rFonts w:cs="Arial"/>
          <w:b/>
          <w:sz w:val="16"/>
          <w:szCs w:val="16"/>
        </w:rPr>
        <w:lastRenderedPageBreak/>
        <w:t xml:space="preserve">Ilustración </w:t>
      </w:r>
      <w:r w:rsidRPr="401867FF">
        <w:rPr>
          <w:rFonts w:cs="Arial"/>
          <w:b/>
          <w:sz w:val="16"/>
          <w:szCs w:val="16"/>
        </w:rPr>
        <w:fldChar w:fldCharType="begin"/>
      </w:r>
      <w:r w:rsidRPr="401867FF">
        <w:rPr>
          <w:rFonts w:cs="Arial"/>
          <w:b/>
          <w:sz w:val="16"/>
          <w:szCs w:val="16"/>
        </w:rPr>
        <w:instrText xml:space="preserve"> SEQ Ilustración \* ARABIC </w:instrText>
      </w:r>
      <w:r w:rsidRPr="401867FF">
        <w:rPr>
          <w:rFonts w:cs="Arial"/>
          <w:b/>
          <w:sz w:val="16"/>
          <w:szCs w:val="16"/>
        </w:rPr>
        <w:fldChar w:fldCharType="separate"/>
      </w:r>
      <w:r w:rsidR="005D5B0E">
        <w:rPr>
          <w:rFonts w:cs="Arial"/>
          <w:b/>
          <w:noProof/>
          <w:sz w:val="16"/>
          <w:szCs w:val="16"/>
        </w:rPr>
        <w:t>48</w:t>
      </w:r>
      <w:r w:rsidRPr="401867FF">
        <w:rPr>
          <w:rFonts w:cs="Arial"/>
          <w:b/>
          <w:sz w:val="16"/>
          <w:szCs w:val="16"/>
        </w:rPr>
        <w:fldChar w:fldCharType="end"/>
      </w:r>
      <w:r w:rsidRPr="401867FF">
        <w:rPr>
          <w:rFonts w:cs="Arial"/>
          <w:b/>
          <w:sz w:val="16"/>
          <w:szCs w:val="16"/>
        </w:rPr>
        <w:t>. Estructura Funcional</w:t>
      </w:r>
      <w:bookmarkEnd w:id="167"/>
    </w:p>
    <w:p w14:paraId="54992AAD" w14:textId="76D7A09F" w:rsidR="005325D9" w:rsidRPr="008179E9" w:rsidRDefault="00331B49" w:rsidP="00C72779">
      <w:pPr>
        <w:pStyle w:val="Prrafodelista"/>
        <w:ind w:left="567"/>
        <w:jc w:val="center"/>
        <w:rPr>
          <w:rFonts w:cs="Arial"/>
          <w:sz w:val="22"/>
          <w:szCs w:val="22"/>
        </w:rPr>
      </w:pPr>
      <w:r w:rsidRPr="008179E9">
        <w:rPr>
          <w:rFonts w:cs="Arial"/>
          <w:noProof/>
          <w:sz w:val="22"/>
          <w:szCs w:val="22"/>
          <w:lang w:val="es-CO" w:eastAsia="es-CO"/>
        </w:rPr>
        <w:drawing>
          <wp:inline distT="0" distB="0" distL="0" distR="0" wp14:anchorId="77962FF4" wp14:editId="5111931C">
            <wp:extent cx="4581525" cy="2698578"/>
            <wp:effectExtent l="0" t="0" r="0" b="6985"/>
            <wp:docPr id="59" name="Imagen 59"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n 40" descr="Interfaz de usuario gráfica, Aplicación&#10;&#10;Descripción generada automáticamente"/>
                    <pic:cNvPicPr/>
                  </pic:nvPicPr>
                  <pic:blipFill rotWithShape="1">
                    <a:blip r:embed="rId120">
                      <a:extLst>
                        <a:ext uri="{28A0092B-C50C-407E-A947-70E740481C1C}">
                          <a14:useLocalDpi xmlns:a14="http://schemas.microsoft.com/office/drawing/2010/main" val="0"/>
                        </a:ext>
                      </a:extLst>
                    </a:blip>
                    <a:srcRect b="7997"/>
                    <a:stretch/>
                  </pic:blipFill>
                  <pic:spPr bwMode="auto">
                    <a:xfrm>
                      <a:off x="0" y="0"/>
                      <a:ext cx="4587500" cy="2702098"/>
                    </a:xfrm>
                    <a:prstGeom prst="rect">
                      <a:avLst/>
                    </a:prstGeom>
                    <a:ln>
                      <a:noFill/>
                    </a:ln>
                    <a:extLst>
                      <a:ext uri="{53640926-AAD7-44D8-BBD7-CCE9431645EC}">
                        <a14:shadowObscured xmlns:a14="http://schemas.microsoft.com/office/drawing/2010/main"/>
                      </a:ext>
                    </a:extLst>
                  </pic:spPr>
                </pic:pic>
              </a:graphicData>
            </a:graphic>
          </wp:inline>
        </w:drawing>
      </w:r>
    </w:p>
    <w:p w14:paraId="132993FB" w14:textId="0BF2CCE8" w:rsidR="005304EA" w:rsidRPr="005304EA" w:rsidRDefault="00675373" w:rsidP="005304EA">
      <w:pPr>
        <w:pStyle w:val="Prrafodelista"/>
        <w:ind w:left="567"/>
        <w:jc w:val="center"/>
        <w:rPr>
          <w:rFonts w:cs="Arial"/>
          <w:b/>
          <w:sz w:val="16"/>
          <w:szCs w:val="16"/>
        </w:rPr>
      </w:pPr>
      <w:r w:rsidRPr="401867FF">
        <w:rPr>
          <w:rFonts w:cs="Arial"/>
          <w:b/>
          <w:sz w:val="16"/>
          <w:szCs w:val="16"/>
        </w:rPr>
        <w:t xml:space="preserve">Fuente: Oficina de Relación con el Ciudadano </w:t>
      </w:r>
    </w:p>
    <w:p w14:paraId="0FDD1733" w14:textId="65A4DE94" w:rsidR="00C9668F" w:rsidRPr="00C9668F" w:rsidRDefault="00C9668F" w:rsidP="00C9668F">
      <w:pPr>
        <w:pStyle w:val="Lista"/>
      </w:pPr>
    </w:p>
    <w:p w14:paraId="746606C3" w14:textId="459756AD" w:rsidR="005325D9" w:rsidRPr="008179E9" w:rsidRDefault="005325D9" w:rsidP="00C72779">
      <w:pPr>
        <w:ind w:firstLine="567"/>
        <w:jc w:val="both"/>
        <w:rPr>
          <w:rFonts w:cs="Arial"/>
          <w:b/>
          <w:sz w:val="22"/>
          <w:szCs w:val="22"/>
        </w:rPr>
      </w:pPr>
      <w:r w:rsidRPr="008179E9">
        <w:rPr>
          <w:rFonts w:cs="Arial"/>
          <w:b/>
          <w:sz w:val="22"/>
          <w:szCs w:val="22"/>
        </w:rPr>
        <w:t>4.7.1.2.1 EQUIPO Y ROLES</w:t>
      </w:r>
    </w:p>
    <w:p w14:paraId="091E4DB8" w14:textId="5AD94F1B" w:rsidR="005325D9" w:rsidRPr="008179E9" w:rsidRDefault="005325D9" w:rsidP="00331B49">
      <w:pPr>
        <w:rPr>
          <w:rFonts w:cs="Arial"/>
          <w:sz w:val="22"/>
          <w:szCs w:val="22"/>
        </w:rPr>
      </w:pPr>
    </w:p>
    <w:p w14:paraId="299DF7FD" w14:textId="62DB1E10" w:rsidR="005D505D" w:rsidRPr="007252B5" w:rsidRDefault="005325D9" w:rsidP="007252B5">
      <w:pPr>
        <w:rPr>
          <w:rFonts w:cs="Arial"/>
          <w:sz w:val="22"/>
          <w:szCs w:val="22"/>
        </w:rPr>
      </w:pPr>
      <w:r w:rsidRPr="008179E9">
        <w:rPr>
          <w:rFonts w:cs="Arial"/>
          <w:sz w:val="22"/>
          <w:szCs w:val="22"/>
        </w:rPr>
        <w:t xml:space="preserve">Se evidencia la mejora en la conformación el equipo por la relevancia en el propósito de fortalecer la relación de la ciudadanía con el Instituto, a </w:t>
      </w:r>
      <w:r w:rsidR="005D505D" w:rsidRPr="008179E9">
        <w:rPr>
          <w:rFonts w:cs="Arial"/>
          <w:sz w:val="22"/>
          <w:szCs w:val="22"/>
        </w:rPr>
        <w:t>continuación,</w:t>
      </w:r>
      <w:r w:rsidRPr="008179E9">
        <w:rPr>
          <w:rFonts w:cs="Arial"/>
          <w:sz w:val="22"/>
          <w:szCs w:val="22"/>
        </w:rPr>
        <w:t xml:space="preserve"> se presenta el equipo y sus respectivos roles:</w:t>
      </w:r>
    </w:p>
    <w:tbl>
      <w:tblPr>
        <w:tblStyle w:val="Tabladecuadrcula4-nfasis1"/>
        <w:tblpPr w:leftFromText="141" w:rightFromText="141" w:vertAnchor="page" w:horzAnchor="margin" w:tblpXSpec="center" w:tblpY="3461"/>
        <w:tblW w:w="9390" w:type="dxa"/>
        <w:tblLook w:val="06A0" w:firstRow="1" w:lastRow="0" w:firstColumn="1" w:lastColumn="0" w:noHBand="1" w:noVBand="1"/>
      </w:tblPr>
      <w:tblGrid>
        <w:gridCol w:w="1333"/>
        <w:gridCol w:w="1583"/>
        <w:gridCol w:w="5102"/>
        <w:gridCol w:w="1372"/>
      </w:tblGrid>
      <w:tr w:rsidR="007252B5" w:rsidRPr="005D505D" w14:paraId="1B1F8A6F" w14:textId="77777777" w:rsidTr="000D4401">
        <w:trPr>
          <w:cnfStyle w:val="100000000000" w:firstRow="1" w:lastRow="0" w:firstColumn="0" w:lastColumn="0" w:oddVBand="0" w:evenVBand="0" w:oddHBand="0" w:evenHBand="0" w:firstRowFirstColumn="0" w:firstRowLastColumn="0" w:lastRowFirstColumn="0" w:lastRowLastColumn="0"/>
          <w:trHeight w:val="50"/>
          <w:tblHeader/>
        </w:trPr>
        <w:tc>
          <w:tcPr>
            <w:cnfStyle w:val="001000000000" w:firstRow="0" w:lastRow="0" w:firstColumn="1" w:lastColumn="0" w:oddVBand="0" w:evenVBand="0" w:oddHBand="0" w:evenHBand="0" w:firstRowFirstColumn="0" w:firstRowLastColumn="0" w:lastRowFirstColumn="0" w:lastRowLastColumn="0"/>
            <w:tcW w:w="1410" w:type="dxa"/>
            <w:vAlign w:val="center"/>
            <w:hideMark/>
          </w:tcPr>
          <w:p w14:paraId="00FBCD14" w14:textId="77777777" w:rsidR="007252B5" w:rsidRPr="008A0A2E" w:rsidRDefault="007252B5" w:rsidP="000D4401">
            <w:pPr>
              <w:jc w:val="center"/>
              <w:rPr>
                <w:rFonts w:cs="Arial"/>
                <w:sz w:val="20"/>
                <w:szCs w:val="20"/>
              </w:rPr>
            </w:pPr>
            <w:r w:rsidRPr="008A0A2E">
              <w:rPr>
                <w:rFonts w:cs="Arial"/>
                <w:sz w:val="20"/>
                <w:szCs w:val="20"/>
              </w:rPr>
              <w:lastRenderedPageBreak/>
              <w:t>Cant.</w:t>
            </w:r>
          </w:p>
        </w:tc>
        <w:tc>
          <w:tcPr>
            <w:tcW w:w="1137" w:type="dxa"/>
            <w:vAlign w:val="center"/>
            <w:hideMark/>
          </w:tcPr>
          <w:p w14:paraId="56F72EAA" w14:textId="77777777" w:rsidR="007252B5" w:rsidRPr="008A0A2E" w:rsidRDefault="007252B5" w:rsidP="000D4401">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A0A2E">
              <w:rPr>
                <w:rFonts w:cs="Arial"/>
                <w:sz w:val="20"/>
                <w:szCs w:val="20"/>
              </w:rPr>
              <w:t>Funcionario o Contratista</w:t>
            </w:r>
          </w:p>
        </w:tc>
        <w:tc>
          <w:tcPr>
            <w:tcW w:w="5471" w:type="dxa"/>
            <w:vAlign w:val="center"/>
            <w:hideMark/>
          </w:tcPr>
          <w:p w14:paraId="63C604A7" w14:textId="77777777" w:rsidR="007252B5" w:rsidRPr="008A0A2E" w:rsidRDefault="007252B5" w:rsidP="000D4401">
            <w:pPr>
              <w:suppressAutoHyphens w:val="0"/>
              <w:contextualSpacing/>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A0A2E">
              <w:rPr>
                <w:rFonts w:cs="Arial"/>
                <w:sz w:val="20"/>
                <w:szCs w:val="20"/>
              </w:rPr>
              <w:t>Rol</w:t>
            </w:r>
          </w:p>
        </w:tc>
        <w:tc>
          <w:tcPr>
            <w:tcW w:w="1372" w:type="dxa"/>
            <w:vAlign w:val="center"/>
            <w:hideMark/>
          </w:tcPr>
          <w:p w14:paraId="3EAD5841" w14:textId="77777777" w:rsidR="007252B5" w:rsidRPr="008A0A2E" w:rsidRDefault="007252B5" w:rsidP="000D4401">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A0A2E">
              <w:rPr>
                <w:rFonts w:cs="Arial"/>
                <w:sz w:val="20"/>
                <w:szCs w:val="20"/>
              </w:rPr>
              <w:t>Subproceso</w:t>
            </w:r>
          </w:p>
        </w:tc>
      </w:tr>
      <w:tr w:rsidR="007252B5" w:rsidRPr="005D505D" w14:paraId="5C29BC76" w14:textId="77777777" w:rsidTr="000D4401">
        <w:trPr>
          <w:trHeight w:val="330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240E8F7B" w14:textId="77777777" w:rsidR="007252B5" w:rsidRPr="005D505D" w:rsidRDefault="007252B5" w:rsidP="000D4401">
            <w:pPr>
              <w:jc w:val="center"/>
              <w:rPr>
                <w:rFonts w:cs="Arial"/>
                <w:b w:val="0"/>
                <w:sz w:val="20"/>
                <w:szCs w:val="20"/>
              </w:rPr>
            </w:pPr>
            <w:r w:rsidRPr="005D505D">
              <w:rPr>
                <w:rFonts w:cs="Arial"/>
                <w:sz w:val="20"/>
                <w:szCs w:val="20"/>
              </w:rPr>
              <w:t>1</w:t>
            </w:r>
          </w:p>
        </w:tc>
        <w:tc>
          <w:tcPr>
            <w:tcW w:w="1137" w:type="dxa"/>
            <w:vAlign w:val="center"/>
          </w:tcPr>
          <w:p w14:paraId="5DA31C47"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Profesional Especializado</w:t>
            </w:r>
          </w:p>
        </w:tc>
        <w:tc>
          <w:tcPr>
            <w:tcW w:w="5471" w:type="dxa"/>
            <w:vAlign w:val="center"/>
          </w:tcPr>
          <w:p w14:paraId="5580AB48"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 xml:space="preserve">Profesional de </w:t>
            </w:r>
            <w:r w:rsidRPr="005D505D">
              <w:rPr>
                <w:rFonts w:cs="Arial"/>
                <w:b/>
                <w:sz w:val="20"/>
                <w:szCs w:val="20"/>
              </w:rPr>
              <w:t>participación ciudadana y rendición de cuentas</w:t>
            </w:r>
          </w:p>
          <w:p w14:paraId="4437BAAE" w14:textId="77777777" w:rsidR="007252B5" w:rsidRPr="005D505D" w:rsidRDefault="007252B5" w:rsidP="000D4401">
            <w:pPr>
              <w:pStyle w:val="Prrafodelista"/>
              <w:numPr>
                <w:ilvl w:val="0"/>
                <w:numId w:val="103"/>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Proyectar y entregar las certificaciones catastrales</w:t>
            </w:r>
          </w:p>
          <w:p w14:paraId="290170AA" w14:textId="77777777" w:rsidR="007252B5" w:rsidRPr="005D505D" w:rsidRDefault="007252B5" w:rsidP="000D4401">
            <w:pPr>
              <w:pStyle w:val="Prrafodelista"/>
              <w:numPr>
                <w:ilvl w:val="0"/>
                <w:numId w:val="103"/>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Estudiar y presentar propuesta para el análisis de las políticas de participación ciudadana en la gestión pública y la rendición de cuentas, la transparencia, integridad, racionalización de trámites y servicio al ciudadano</w:t>
            </w:r>
          </w:p>
          <w:p w14:paraId="374C003A" w14:textId="77777777" w:rsidR="007252B5" w:rsidRPr="00775606" w:rsidRDefault="007252B5" w:rsidP="000D4401">
            <w:pPr>
              <w:pStyle w:val="Prrafodelista"/>
              <w:numPr>
                <w:ilvl w:val="0"/>
                <w:numId w:val="103"/>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Recibir, tramitar, resolver las PQRSD</w:t>
            </w:r>
          </w:p>
          <w:p w14:paraId="79B17C12" w14:textId="77777777" w:rsidR="007252B5" w:rsidRPr="00775606" w:rsidRDefault="007252B5" w:rsidP="000D4401">
            <w:pPr>
              <w:pStyle w:val="Prrafodelista"/>
              <w:numPr>
                <w:ilvl w:val="0"/>
                <w:numId w:val="103"/>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775606">
              <w:rPr>
                <w:rFonts w:cs="Arial"/>
                <w:lang w:val="es-MX"/>
              </w:rPr>
              <w:t>Proponer el diseño y estructura de herramientas, guías, metodologías que permitan la ejecución de las políticas.</w:t>
            </w:r>
          </w:p>
        </w:tc>
        <w:tc>
          <w:tcPr>
            <w:tcW w:w="1372" w:type="dxa"/>
            <w:vAlign w:val="center"/>
          </w:tcPr>
          <w:p w14:paraId="28F1B7ED"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Gestión de atención al ciudadano</w:t>
            </w:r>
          </w:p>
        </w:tc>
      </w:tr>
      <w:tr w:rsidR="007252B5" w:rsidRPr="005D505D" w14:paraId="3727ACAF" w14:textId="77777777" w:rsidTr="000D4401">
        <w:trPr>
          <w:trHeight w:val="3012"/>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482FF201" w14:textId="77777777" w:rsidR="007252B5" w:rsidRPr="005D505D" w:rsidRDefault="007252B5" w:rsidP="000D4401">
            <w:pPr>
              <w:jc w:val="center"/>
              <w:rPr>
                <w:rFonts w:cs="Arial"/>
                <w:b w:val="0"/>
                <w:sz w:val="20"/>
                <w:szCs w:val="20"/>
              </w:rPr>
            </w:pPr>
            <w:r w:rsidRPr="005D505D">
              <w:rPr>
                <w:rFonts w:cs="Arial"/>
                <w:sz w:val="20"/>
                <w:szCs w:val="20"/>
              </w:rPr>
              <w:t>1</w:t>
            </w:r>
          </w:p>
        </w:tc>
        <w:tc>
          <w:tcPr>
            <w:tcW w:w="1137" w:type="dxa"/>
            <w:vAlign w:val="center"/>
          </w:tcPr>
          <w:p w14:paraId="7263E2DB"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Profesional Especializado</w:t>
            </w:r>
          </w:p>
        </w:tc>
        <w:tc>
          <w:tcPr>
            <w:tcW w:w="5471" w:type="dxa"/>
            <w:vAlign w:val="center"/>
          </w:tcPr>
          <w:p w14:paraId="7D02EB3C"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líder canal</w:t>
            </w:r>
          </w:p>
          <w:p w14:paraId="74074A6A" w14:textId="77777777" w:rsidR="007252B5" w:rsidRPr="005D505D" w:rsidRDefault="007252B5" w:rsidP="000D4401">
            <w:pPr>
              <w:pStyle w:val="Prrafodelista"/>
              <w:numPr>
                <w:ilvl w:val="0"/>
                <w:numId w:val="104"/>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Líder del canal virtual</w:t>
            </w:r>
          </w:p>
          <w:p w14:paraId="56BEBAD2" w14:textId="77777777" w:rsidR="007252B5" w:rsidRPr="005D505D" w:rsidRDefault="007252B5" w:rsidP="000D4401">
            <w:pPr>
              <w:pStyle w:val="Prrafodelista"/>
              <w:numPr>
                <w:ilvl w:val="0"/>
                <w:numId w:val="104"/>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Determinar los mecanismos de acceso a servicios y trámites, conforme con criterios de accesibilidad y enfoque diferencial</w:t>
            </w:r>
          </w:p>
          <w:p w14:paraId="6E11DCEF" w14:textId="77777777" w:rsidR="007252B5" w:rsidRPr="005D505D" w:rsidRDefault="007252B5" w:rsidP="000D4401">
            <w:pPr>
              <w:pStyle w:val="Prrafodelista"/>
              <w:numPr>
                <w:ilvl w:val="0"/>
                <w:numId w:val="104"/>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lang w:val="es-MX"/>
              </w:rPr>
              <w:t>Recibir, tramitar, resolver las PQRSD</w:t>
            </w:r>
          </w:p>
          <w:p w14:paraId="3E55A413" w14:textId="77777777" w:rsidR="007252B5" w:rsidRPr="005D505D" w:rsidRDefault="007252B5" w:rsidP="000D4401">
            <w:pPr>
              <w:pStyle w:val="Prrafodelista"/>
              <w:numPr>
                <w:ilvl w:val="0"/>
                <w:numId w:val="104"/>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rPr>
              <w:t>Integrar los canales de servicio, según la normatividad vigente y la competencia del Instituto</w:t>
            </w:r>
          </w:p>
          <w:p w14:paraId="7684526D" w14:textId="77777777" w:rsidR="007252B5" w:rsidRDefault="007252B5" w:rsidP="000D4401">
            <w:pPr>
              <w:pStyle w:val="Prrafodelista"/>
              <w:numPr>
                <w:ilvl w:val="0"/>
                <w:numId w:val="101"/>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5D505D">
              <w:rPr>
                <w:rFonts w:cs="Arial"/>
              </w:rPr>
              <w:t>Realizar caracterización de ciudadanos, grupos de interés y partes interesadas</w:t>
            </w:r>
          </w:p>
          <w:p w14:paraId="4D5B2485" w14:textId="77777777" w:rsidR="007252B5" w:rsidRPr="002C4EA0" w:rsidRDefault="007252B5" w:rsidP="000D4401">
            <w:pPr>
              <w:pStyle w:val="Prrafodelista"/>
              <w:numPr>
                <w:ilvl w:val="0"/>
                <w:numId w:val="101"/>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rPr>
            </w:pPr>
            <w:r w:rsidRPr="002C4EA0">
              <w:rPr>
                <w:rFonts w:cs="Arial"/>
              </w:rPr>
              <w:t>Apoyar el despliegue de estrategias de divulgación de las políticas a cargo del Instituto.</w:t>
            </w:r>
          </w:p>
        </w:tc>
        <w:tc>
          <w:tcPr>
            <w:tcW w:w="1372" w:type="dxa"/>
            <w:vAlign w:val="center"/>
          </w:tcPr>
          <w:p w14:paraId="3C94E526"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315490AF" w14:textId="77777777" w:rsidTr="000D4401">
        <w:trPr>
          <w:trHeight w:val="330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0818932A"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31D260B7"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Profesional Universitario</w:t>
            </w:r>
          </w:p>
        </w:tc>
        <w:tc>
          <w:tcPr>
            <w:tcW w:w="5471" w:type="dxa"/>
            <w:vAlign w:val="center"/>
          </w:tcPr>
          <w:p w14:paraId="6ED517A2"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líder visitas guiadas</w:t>
            </w:r>
          </w:p>
          <w:p w14:paraId="7FF882CE"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Llevar a cabo las visitas guiadas teniendo en cuenta los objetivos de la visita, el perfil de los visitantes y los lineamientos institucionales</w:t>
            </w:r>
          </w:p>
          <w:p w14:paraId="7BBF1AD5" w14:textId="77777777" w:rsidR="007252B5" w:rsidRPr="005D505D" w:rsidRDefault="007252B5" w:rsidP="000D4401">
            <w:pPr>
              <w:pStyle w:val="Prrafodelista"/>
              <w:numPr>
                <w:ilvl w:val="0"/>
                <w:numId w:val="101"/>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6D756346" w14:textId="77777777" w:rsidR="007252B5" w:rsidRPr="002C4EA0" w:rsidRDefault="007252B5" w:rsidP="000D4401">
            <w:pPr>
              <w:pStyle w:val="Prrafodelista"/>
              <w:numPr>
                <w:ilvl w:val="0"/>
                <w:numId w:val="101"/>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Representar la entidad ante las instancias ciudadanas y gubernamentales que se requieran siguiendo las políticas institucionales</w:t>
            </w:r>
          </w:p>
          <w:p w14:paraId="4B6E650C" w14:textId="77777777" w:rsidR="007252B5" w:rsidRPr="002C4EA0" w:rsidRDefault="007252B5" w:rsidP="000D4401">
            <w:pPr>
              <w:pStyle w:val="Prrafodelista"/>
              <w:numPr>
                <w:ilvl w:val="0"/>
                <w:numId w:val="101"/>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C4EA0">
              <w:rPr>
                <w:rFonts w:cs="Arial"/>
                <w:lang w:val="es-MX"/>
              </w:rPr>
              <w:t>Promover el patrimonio de los museos institucionales siguiendo políticas establecidas</w:t>
            </w:r>
          </w:p>
        </w:tc>
        <w:tc>
          <w:tcPr>
            <w:tcW w:w="1372" w:type="dxa"/>
            <w:vAlign w:val="center"/>
          </w:tcPr>
          <w:p w14:paraId="6527577F"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049302E4" w14:textId="77777777" w:rsidTr="000D4401">
        <w:trPr>
          <w:trHeight w:val="155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143F527C" w14:textId="77777777" w:rsidR="007252B5" w:rsidRDefault="007252B5" w:rsidP="000D4401">
            <w:pPr>
              <w:jc w:val="center"/>
              <w:rPr>
                <w:rFonts w:cs="Arial"/>
                <w:b w:val="0"/>
                <w:sz w:val="20"/>
                <w:szCs w:val="20"/>
              </w:rPr>
            </w:pPr>
            <w:r w:rsidRPr="005D505D">
              <w:rPr>
                <w:rFonts w:cs="Arial"/>
                <w:sz w:val="20"/>
                <w:szCs w:val="20"/>
              </w:rPr>
              <w:lastRenderedPageBreak/>
              <w:t>1</w:t>
            </w:r>
          </w:p>
        </w:tc>
        <w:tc>
          <w:tcPr>
            <w:tcW w:w="1137" w:type="dxa"/>
            <w:vAlign w:val="center"/>
          </w:tcPr>
          <w:p w14:paraId="5C4C0868"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Profesional Universitario</w:t>
            </w:r>
          </w:p>
        </w:tc>
        <w:tc>
          <w:tcPr>
            <w:tcW w:w="5471" w:type="dxa"/>
            <w:vAlign w:val="center"/>
          </w:tcPr>
          <w:p w14:paraId="6BEB61CF"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biblioteca</w:t>
            </w:r>
          </w:p>
          <w:p w14:paraId="40142ED8"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Realizar actividades encaminadas a la preservación, conservación y restauración del material bibliográfico</w:t>
            </w:r>
          </w:p>
          <w:p w14:paraId="6155FCFE"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3AD78506"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C4EA0">
              <w:rPr>
                <w:rFonts w:cs="Arial"/>
                <w:lang w:val="es-MX"/>
              </w:rPr>
              <w:t>Mantener actualizada la información den los sistemas, aplicativos u otros medios tecnológicos de su competencia</w:t>
            </w:r>
          </w:p>
        </w:tc>
        <w:tc>
          <w:tcPr>
            <w:tcW w:w="1372" w:type="dxa"/>
            <w:vAlign w:val="center"/>
          </w:tcPr>
          <w:p w14:paraId="79170E78"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656732AD" w14:textId="77777777" w:rsidTr="000D4401">
        <w:trPr>
          <w:trHeight w:val="1509"/>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16E28A85"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0BE8D1CF"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Auxiliar administrativo</w:t>
            </w:r>
          </w:p>
        </w:tc>
        <w:tc>
          <w:tcPr>
            <w:tcW w:w="5471" w:type="dxa"/>
            <w:vAlign w:val="center"/>
          </w:tcPr>
          <w:p w14:paraId="7DC59C3B"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Auxiliar apoyo canales</w:t>
            </w:r>
          </w:p>
          <w:p w14:paraId="21077FD1"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al personal del instituto y a los visitantes por los diferentes canales de atención.</w:t>
            </w:r>
          </w:p>
          <w:p w14:paraId="37BF3C7C"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3E80266E"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Apoyar la elaboración de reportes de ejecución de los diferentes planes, programas o proyectos del área</w:t>
            </w:r>
          </w:p>
          <w:p w14:paraId="554F2B71"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C4EA0">
              <w:rPr>
                <w:rFonts w:cs="Arial"/>
                <w:lang w:val="es-MX"/>
              </w:rPr>
              <w:t>Llevar el control de correspondencia recibida y entregada</w:t>
            </w:r>
          </w:p>
        </w:tc>
        <w:tc>
          <w:tcPr>
            <w:tcW w:w="1372" w:type="dxa"/>
            <w:vAlign w:val="center"/>
          </w:tcPr>
          <w:p w14:paraId="594273F4"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292BE763" w14:textId="77777777" w:rsidTr="000D4401">
        <w:trPr>
          <w:trHeight w:val="2181"/>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43100B49"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598DD3B3"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Auxiliar administrativo</w:t>
            </w:r>
          </w:p>
        </w:tc>
        <w:tc>
          <w:tcPr>
            <w:tcW w:w="5471" w:type="dxa"/>
            <w:vAlign w:val="center"/>
          </w:tcPr>
          <w:p w14:paraId="30FF4E3F"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Auxiliar canal presencial</w:t>
            </w:r>
          </w:p>
          <w:p w14:paraId="4D69A705"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 los ciudadanos en temas de Cartografía</w:t>
            </w:r>
          </w:p>
          <w:p w14:paraId="69394660"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554DCFBA"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al personal del instituto y a los visitantes por los diferentes canales de atención.</w:t>
            </w:r>
          </w:p>
          <w:p w14:paraId="25270044"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Apoyar en la recopilación de información y elaboración de informes relacionados con los temas a cargo</w:t>
            </w:r>
          </w:p>
          <w:p w14:paraId="6442078B" w14:textId="77777777" w:rsidR="007252B5" w:rsidRPr="002C4EA0"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C4EA0">
              <w:rPr>
                <w:rFonts w:cs="Arial"/>
                <w:lang w:val="es-MX"/>
              </w:rPr>
              <w:t>Verificar y hacer seguimiento periódico al registro de la información</w:t>
            </w:r>
          </w:p>
        </w:tc>
        <w:tc>
          <w:tcPr>
            <w:tcW w:w="1372" w:type="dxa"/>
            <w:vAlign w:val="center"/>
          </w:tcPr>
          <w:p w14:paraId="54284D57"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1ED9AE7E" w14:textId="77777777" w:rsidTr="000D4401">
        <w:trPr>
          <w:trHeight w:val="330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14588035"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223B306C"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Auxiliar administrativo</w:t>
            </w:r>
          </w:p>
        </w:tc>
        <w:tc>
          <w:tcPr>
            <w:tcW w:w="5471" w:type="dxa"/>
            <w:vAlign w:val="center"/>
          </w:tcPr>
          <w:p w14:paraId="53BD576E"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Auxiliar facturación</w:t>
            </w:r>
          </w:p>
          <w:p w14:paraId="21CFF9A5"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 los ciudadanos en temas de Facturación</w:t>
            </w:r>
          </w:p>
          <w:p w14:paraId="42A8EAE2"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6547C5ED"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al personal del instituto y a los visitantes por los diferentes canales de atención</w:t>
            </w:r>
          </w:p>
          <w:p w14:paraId="0D810F89"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Apoyar en la recopilación de información y elaboración de informes relacionados con los temas a cargo</w:t>
            </w:r>
          </w:p>
          <w:p w14:paraId="2B3DA69B"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Verificar y hacer seguimiento periódico al registro de la información</w:t>
            </w:r>
          </w:p>
        </w:tc>
        <w:tc>
          <w:tcPr>
            <w:tcW w:w="1372" w:type="dxa"/>
            <w:vAlign w:val="center"/>
          </w:tcPr>
          <w:p w14:paraId="772D45BF"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5057C60C" w14:textId="77777777" w:rsidTr="000D4401">
        <w:trPr>
          <w:trHeight w:val="274"/>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2007E63A"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6A17F95D"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Auxiliar administrativo</w:t>
            </w:r>
          </w:p>
        </w:tc>
        <w:tc>
          <w:tcPr>
            <w:tcW w:w="5471" w:type="dxa"/>
            <w:vAlign w:val="center"/>
          </w:tcPr>
          <w:p w14:paraId="34C64AC3"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Auxiliar canal telefónico</w:t>
            </w:r>
          </w:p>
          <w:p w14:paraId="362EFCD9"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el canal telefónico</w:t>
            </w:r>
          </w:p>
          <w:p w14:paraId="43A6DAC9"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73243592"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5D505D">
              <w:rPr>
                <w:rFonts w:cs="Arial"/>
                <w:sz w:val="20"/>
                <w:szCs w:val="20"/>
                <w:lang w:val="es-MX"/>
              </w:rPr>
              <w:t>Mantener actualizada la información en los diferentes medios</w:t>
            </w:r>
          </w:p>
        </w:tc>
        <w:tc>
          <w:tcPr>
            <w:tcW w:w="1372" w:type="dxa"/>
            <w:vAlign w:val="center"/>
          </w:tcPr>
          <w:p w14:paraId="4F281919"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0F71493C" w14:textId="77777777" w:rsidTr="000D4401">
        <w:trPr>
          <w:trHeight w:val="1408"/>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52559EC3"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39B887F7"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Operario Calificado</w:t>
            </w:r>
          </w:p>
        </w:tc>
        <w:tc>
          <w:tcPr>
            <w:tcW w:w="5471" w:type="dxa"/>
            <w:vAlign w:val="center"/>
          </w:tcPr>
          <w:p w14:paraId="7744E27F"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Operario canal telefónico</w:t>
            </w:r>
          </w:p>
          <w:p w14:paraId="28B22530"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 los ciudadanos en temas de Aerofotografías</w:t>
            </w:r>
          </w:p>
          <w:p w14:paraId="55497070"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Apoyar el procesamiento operativo de la información</w:t>
            </w:r>
          </w:p>
          <w:p w14:paraId="7D6B55E5"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Tramitar los suministros de la dependencia, teniendo en cuenta los históricos de consumo</w:t>
            </w:r>
          </w:p>
          <w:p w14:paraId="19CB30E6"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lastRenderedPageBreak/>
              <w:t>Recibir, tramitar, resolver las PQRSD</w:t>
            </w:r>
          </w:p>
        </w:tc>
        <w:tc>
          <w:tcPr>
            <w:tcW w:w="1372" w:type="dxa"/>
            <w:vAlign w:val="center"/>
          </w:tcPr>
          <w:p w14:paraId="231FA107"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lastRenderedPageBreak/>
              <w:t>Orientación al servicio</w:t>
            </w:r>
          </w:p>
        </w:tc>
      </w:tr>
      <w:tr w:rsidR="007252B5" w:rsidRPr="005D505D" w14:paraId="498E499C" w14:textId="77777777" w:rsidTr="000D4401">
        <w:trPr>
          <w:trHeight w:val="1353"/>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08134569" w14:textId="77777777" w:rsidR="007252B5" w:rsidRDefault="007252B5" w:rsidP="000D4401">
            <w:pPr>
              <w:jc w:val="center"/>
              <w:rPr>
                <w:rFonts w:cs="Arial"/>
                <w:b w:val="0"/>
                <w:sz w:val="20"/>
                <w:szCs w:val="20"/>
              </w:rPr>
            </w:pPr>
            <w:r w:rsidRPr="005D505D">
              <w:rPr>
                <w:rFonts w:cs="Arial"/>
                <w:sz w:val="20"/>
                <w:szCs w:val="20"/>
              </w:rPr>
              <w:lastRenderedPageBreak/>
              <w:t>1</w:t>
            </w:r>
          </w:p>
        </w:tc>
        <w:tc>
          <w:tcPr>
            <w:tcW w:w="1137" w:type="dxa"/>
            <w:vAlign w:val="center"/>
          </w:tcPr>
          <w:p w14:paraId="665A92FA"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Secretario</w:t>
            </w:r>
          </w:p>
        </w:tc>
        <w:tc>
          <w:tcPr>
            <w:tcW w:w="5471" w:type="dxa"/>
            <w:vAlign w:val="center"/>
          </w:tcPr>
          <w:p w14:paraId="3BC565C0"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Secretaria de correspondencia</w:t>
            </w:r>
          </w:p>
          <w:p w14:paraId="1EDD43EE"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Apoyo en el canal virtual – asignación de correspondencia y correos electrónicos</w:t>
            </w:r>
          </w:p>
          <w:p w14:paraId="2983B863"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3D4566E9"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Organizar, mantener actualizado, custodiar y llevar inventario de archivo</w:t>
            </w:r>
          </w:p>
          <w:p w14:paraId="2A89D449"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Suministrar información telefónica o en forma personal sobre asuntos propios de la dependencia</w:t>
            </w:r>
          </w:p>
        </w:tc>
        <w:tc>
          <w:tcPr>
            <w:tcW w:w="1372" w:type="dxa"/>
            <w:vAlign w:val="center"/>
          </w:tcPr>
          <w:p w14:paraId="04A1AD9E"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61AA593C" w14:textId="77777777" w:rsidTr="000D4401">
        <w:trPr>
          <w:trHeight w:val="888"/>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72AABCE3"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1B1D3ACA"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Secretario</w:t>
            </w:r>
          </w:p>
        </w:tc>
        <w:tc>
          <w:tcPr>
            <w:tcW w:w="5471" w:type="dxa"/>
            <w:vAlign w:val="center"/>
          </w:tcPr>
          <w:p w14:paraId="4B6527A1"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Secretaria generación de certificados</w:t>
            </w:r>
          </w:p>
          <w:p w14:paraId="02AE39F0"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Atender y orientar a los ciudadanos en la generación de certificados catastrales</w:t>
            </w:r>
          </w:p>
          <w:p w14:paraId="70F1559F"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756E9FC2"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Proveer información asociada a la operación</w:t>
            </w:r>
          </w:p>
          <w:p w14:paraId="2FF3D515"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p>
        </w:tc>
        <w:tc>
          <w:tcPr>
            <w:tcW w:w="1372" w:type="dxa"/>
            <w:vAlign w:val="center"/>
          </w:tcPr>
          <w:p w14:paraId="384246FE"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46422BE9" w14:textId="77777777" w:rsidTr="000D4401">
        <w:trPr>
          <w:trHeight w:val="391"/>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5F2E4044" w14:textId="77777777" w:rsidR="007252B5" w:rsidRDefault="007252B5" w:rsidP="000D4401">
            <w:pPr>
              <w:jc w:val="center"/>
              <w:rPr>
                <w:rFonts w:cs="Arial"/>
                <w:b w:val="0"/>
                <w:sz w:val="20"/>
                <w:szCs w:val="20"/>
              </w:rPr>
            </w:pPr>
            <w:r w:rsidRPr="005D505D">
              <w:rPr>
                <w:rFonts w:cs="Arial"/>
                <w:sz w:val="20"/>
                <w:szCs w:val="20"/>
              </w:rPr>
              <w:t>2</w:t>
            </w:r>
          </w:p>
        </w:tc>
        <w:tc>
          <w:tcPr>
            <w:tcW w:w="1137" w:type="dxa"/>
            <w:vAlign w:val="center"/>
          </w:tcPr>
          <w:p w14:paraId="0C645902"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Contratistas</w:t>
            </w:r>
            <w:r w:rsidRPr="002B6C39">
              <w:rPr>
                <w:rFonts w:cs="Arial"/>
                <w:b/>
                <w:sz w:val="20"/>
                <w:szCs w:val="20"/>
              </w:rPr>
              <w:t xml:space="preserve"> - Profesionales Universitarios</w:t>
            </w:r>
          </w:p>
        </w:tc>
        <w:tc>
          <w:tcPr>
            <w:tcW w:w="5471" w:type="dxa"/>
            <w:vAlign w:val="center"/>
          </w:tcPr>
          <w:p w14:paraId="00B74F36"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Profesionales inventario aerofotografías y cartografía</w:t>
            </w:r>
          </w:p>
          <w:p w14:paraId="136687E9"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Realizar el inventario de las aerofotografías y planos cartográficos.</w:t>
            </w:r>
          </w:p>
          <w:p w14:paraId="5F78BF73"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365580E6"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Proveer información asociada a la operación</w:t>
            </w:r>
          </w:p>
        </w:tc>
        <w:tc>
          <w:tcPr>
            <w:tcW w:w="1372" w:type="dxa"/>
            <w:vAlign w:val="center"/>
          </w:tcPr>
          <w:p w14:paraId="093EB8BF"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6C85B9AC" w14:textId="77777777" w:rsidTr="000D4401">
        <w:trPr>
          <w:trHeight w:val="330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739B7025"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2D2A27DD"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w:t>
            </w:r>
            <w:r w:rsidRPr="002B6C39">
              <w:rPr>
                <w:rFonts w:cs="Arial"/>
                <w:b/>
                <w:sz w:val="20"/>
                <w:szCs w:val="20"/>
              </w:rPr>
              <w:t xml:space="preserve"> - Profesional Universitario</w:t>
            </w:r>
          </w:p>
        </w:tc>
        <w:tc>
          <w:tcPr>
            <w:tcW w:w="5471" w:type="dxa"/>
            <w:vAlign w:val="center"/>
          </w:tcPr>
          <w:p w14:paraId="45481CD5"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atención presencial e interprete lengua de señas</w:t>
            </w:r>
          </w:p>
          <w:p w14:paraId="7A86DF28"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Atención y orientación de los ciudadanos en el canal presencial.</w:t>
            </w:r>
          </w:p>
          <w:p w14:paraId="232C022F"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6A5C9A44"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Atención con enfoque diferencial para la discapacidad auditiva- interprete de lengua de señas colombiana</w:t>
            </w:r>
          </w:p>
          <w:p w14:paraId="7D9710B2"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Traducción de piezas y videos institucionales a lengua de señas colombiana.</w:t>
            </w:r>
          </w:p>
        </w:tc>
        <w:tc>
          <w:tcPr>
            <w:tcW w:w="1372" w:type="dxa"/>
            <w:vAlign w:val="center"/>
          </w:tcPr>
          <w:p w14:paraId="27686F62"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Orientación al servicio</w:t>
            </w:r>
          </w:p>
        </w:tc>
      </w:tr>
      <w:tr w:rsidR="007252B5" w:rsidRPr="005D505D" w14:paraId="22FC3700" w14:textId="77777777" w:rsidTr="000D4401">
        <w:trPr>
          <w:trHeight w:val="983"/>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6130E8BA"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2C5D217B"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Contratistas -  Profesional Especializado</w:t>
            </w:r>
          </w:p>
        </w:tc>
        <w:tc>
          <w:tcPr>
            <w:tcW w:w="5471" w:type="dxa"/>
            <w:vAlign w:val="center"/>
          </w:tcPr>
          <w:p w14:paraId="0BDA3378"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apoyo en temas jurídicos</w:t>
            </w:r>
          </w:p>
          <w:p w14:paraId="4CF53685"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7639616F"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Apoyo a la oficina en temas jurídicos</w:t>
            </w:r>
          </w:p>
          <w:p w14:paraId="125BC65B"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Apoyo en Participación y Rendición de cuentas.</w:t>
            </w:r>
          </w:p>
          <w:p w14:paraId="65D53B3E"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5D505D">
              <w:rPr>
                <w:rFonts w:cs="Arial"/>
                <w:sz w:val="20"/>
                <w:szCs w:val="20"/>
                <w:lang w:val="es-MX"/>
              </w:rPr>
              <w:t>Velar por el cumplimiento y realización de curso de lenguaje claro</w:t>
            </w:r>
          </w:p>
        </w:tc>
        <w:tc>
          <w:tcPr>
            <w:tcW w:w="1372" w:type="dxa"/>
            <w:vAlign w:val="center"/>
          </w:tcPr>
          <w:p w14:paraId="404E9D7A"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Gestión de atención al ciudadano</w:t>
            </w:r>
          </w:p>
        </w:tc>
      </w:tr>
      <w:tr w:rsidR="007252B5" w:rsidRPr="005D505D" w14:paraId="790AF2CF" w14:textId="77777777" w:rsidTr="000D4401">
        <w:trPr>
          <w:trHeight w:val="1124"/>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40D6C122"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09BC0FCB"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 -  Profesional Especializado</w:t>
            </w:r>
          </w:p>
        </w:tc>
        <w:tc>
          <w:tcPr>
            <w:tcW w:w="5471" w:type="dxa"/>
            <w:vAlign w:val="center"/>
          </w:tcPr>
          <w:p w14:paraId="0EB69B71"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generación de reportes</w:t>
            </w:r>
          </w:p>
          <w:p w14:paraId="0E75F67A"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5E7D512E"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Generación periódica de reportes y consolidación de información de PQRSD a nivel nacional</w:t>
            </w:r>
          </w:p>
          <w:p w14:paraId="08A027A8"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Apoyo político de racionalización de trámites</w:t>
            </w:r>
          </w:p>
          <w:p w14:paraId="031E18A0"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Líder Canal telefónico</w:t>
            </w:r>
          </w:p>
        </w:tc>
        <w:tc>
          <w:tcPr>
            <w:tcW w:w="1372" w:type="dxa"/>
            <w:vAlign w:val="center"/>
          </w:tcPr>
          <w:p w14:paraId="34A35544"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Gestión de atención al ciudadano</w:t>
            </w:r>
          </w:p>
        </w:tc>
      </w:tr>
      <w:tr w:rsidR="007252B5" w:rsidRPr="005D505D" w14:paraId="26720B4A" w14:textId="77777777" w:rsidTr="000D4401">
        <w:trPr>
          <w:trHeight w:val="750"/>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3411EFA1" w14:textId="77777777" w:rsidR="007252B5" w:rsidRDefault="007252B5" w:rsidP="000D4401">
            <w:pPr>
              <w:jc w:val="center"/>
              <w:rPr>
                <w:rFonts w:cs="Arial"/>
                <w:b w:val="0"/>
                <w:sz w:val="20"/>
                <w:szCs w:val="20"/>
              </w:rPr>
            </w:pPr>
            <w:r w:rsidRPr="005D505D">
              <w:rPr>
                <w:rFonts w:cs="Arial"/>
                <w:sz w:val="20"/>
                <w:szCs w:val="20"/>
              </w:rPr>
              <w:lastRenderedPageBreak/>
              <w:t>1</w:t>
            </w:r>
          </w:p>
        </w:tc>
        <w:tc>
          <w:tcPr>
            <w:tcW w:w="1137" w:type="dxa"/>
            <w:vAlign w:val="center"/>
          </w:tcPr>
          <w:p w14:paraId="2F22B3DA"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 -  Profesional Especializado</w:t>
            </w:r>
          </w:p>
        </w:tc>
        <w:tc>
          <w:tcPr>
            <w:tcW w:w="5471" w:type="dxa"/>
            <w:vAlign w:val="center"/>
          </w:tcPr>
          <w:p w14:paraId="615A8D28"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SGI</w:t>
            </w:r>
          </w:p>
          <w:p w14:paraId="69E62500"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3D26594D"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Responsable SGI</w:t>
            </w:r>
          </w:p>
          <w:p w14:paraId="033CB2D2"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Seguimiento planes</w:t>
            </w:r>
          </w:p>
          <w:p w14:paraId="4AA4DF95"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Generación de informes internos y externos</w:t>
            </w:r>
          </w:p>
          <w:p w14:paraId="322220F0"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Líder de encuestas</w:t>
            </w:r>
          </w:p>
        </w:tc>
        <w:tc>
          <w:tcPr>
            <w:tcW w:w="1372" w:type="dxa"/>
            <w:vAlign w:val="center"/>
          </w:tcPr>
          <w:p w14:paraId="62565E71"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Gestión de atención al ciudadano</w:t>
            </w:r>
          </w:p>
        </w:tc>
      </w:tr>
      <w:tr w:rsidR="007252B5" w:rsidRPr="005D505D" w14:paraId="7E36C38B" w14:textId="77777777" w:rsidTr="000D4401">
        <w:trPr>
          <w:trHeight w:val="633"/>
        </w:trPr>
        <w:tc>
          <w:tcPr>
            <w:cnfStyle w:val="001000000000" w:firstRow="0" w:lastRow="0" w:firstColumn="1" w:lastColumn="0" w:oddVBand="0" w:evenVBand="0" w:oddHBand="0" w:evenHBand="0" w:firstRowFirstColumn="0" w:firstRowLastColumn="0" w:lastRowFirstColumn="0" w:lastRowLastColumn="0"/>
            <w:tcW w:w="1410" w:type="dxa"/>
            <w:vAlign w:val="center"/>
          </w:tcPr>
          <w:p w14:paraId="0027E17D" w14:textId="77777777" w:rsidR="007252B5" w:rsidRDefault="007252B5" w:rsidP="000D4401">
            <w:pPr>
              <w:jc w:val="center"/>
              <w:rPr>
                <w:rFonts w:cs="Arial"/>
                <w:b w:val="0"/>
                <w:sz w:val="20"/>
                <w:szCs w:val="20"/>
              </w:rPr>
            </w:pPr>
            <w:r w:rsidRPr="005D505D">
              <w:rPr>
                <w:rFonts w:cs="Arial"/>
                <w:sz w:val="20"/>
                <w:szCs w:val="20"/>
              </w:rPr>
              <w:t>1</w:t>
            </w:r>
          </w:p>
        </w:tc>
        <w:tc>
          <w:tcPr>
            <w:tcW w:w="1137" w:type="dxa"/>
            <w:vAlign w:val="center"/>
          </w:tcPr>
          <w:p w14:paraId="15023674"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lang w:val="es-MX"/>
              </w:rPr>
            </w:pPr>
            <w:r w:rsidRPr="002B6C39">
              <w:rPr>
                <w:rFonts w:cs="Arial"/>
                <w:b/>
                <w:sz w:val="20"/>
                <w:szCs w:val="20"/>
                <w:lang w:val="es-MX"/>
              </w:rPr>
              <w:t>Contratista - Profesional Universitario</w:t>
            </w:r>
          </w:p>
        </w:tc>
        <w:tc>
          <w:tcPr>
            <w:tcW w:w="5471" w:type="dxa"/>
            <w:vAlign w:val="center"/>
          </w:tcPr>
          <w:p w14:paraId="10EFC2E8" w14:textId="77777777" w:rsidR="007252B5" w:rsidRPr="005D505D" w:rsidRDefault="007252B5" w:rsidP="000D4401">
            <w:pPr>
              <w:jc w:val="both"/>
              <w:cnfStyle w:val="000000000000" w:firstRow="0" w:lastRow="0" w:firstColumn="0" w:lastColumn="0" w:oddVBand="0" w:evenVBand="0" w:oddHBand="0" w:evenHBand="0" w:firstRowFirstColumn="0" w:firstRowLastColumn="0" w:lastRowFirstColumn="0" w:lastRowLastColumn="0"/>
              <w:rPr>
                <w:rFonts w:cs="Arial"/>
                <w:sz w:val="20"/>
                <w:szCs w:val="20"/>
              </w:rPr>
            </w:pPr>
            <w:r w:rsidRPr="005D505D">
              <w:rPr>
                <w:rFonts w:cs="Arial"/>
                <w:b/>
                <w:sz w:val="20"/>
                <w:szCs w:val="20"/>
                <w:lang w:val="es-MX"/>
              </w:rPr>
              <w:t>Profesional Redes sociales, campañas</w:t>
            </w:r>
          </w:p>
          <w:p w14:paraId="5914FA0E"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Recibir, tramitar, resolver las PQRSD</w:t>
            </w:r>
          </w:p>
          <w:p w14:paraId="14C9CAD4" w14:textId="77777777" w:rsidR="007252B5" w:rsidRPr="005D505D"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Responsable respuesta a los ciudadanos en redes sociales</w:t>
            </w:r>
          </w:p>
          <w:p w14:paraId="1C76E79B"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5D505D">
              <w:rPr>
                <w:rFonts w:cs="Arial"/>
                <w:lang w:val="es-MX"/>
              </w:rPr>
              <w:t>Generación de campañas o piezas publicitarias</w:t>
            </w:r>
          </w:p>
          <w:p w14:paraId="189FEED1" w14:textId="77777777" w:rsidR="007252B5" w:rsidRPr="002B6C39" w:rsidRDefault="007252B5" w:rsidP="000D4401">
            <w:pPr>
              <w:pStyle w:val="Prrafodelista"/>
              <w:numPr>
                <w:ilvl w:val="0"/>
                <w:numId w:val="102"/>
              </w:numPr>
              <w:suppressAutoHyphens w:val="0"/>
              <w:overflowPunct/>
              <w:autoSpaceDE/>
              <w:contextualSpacing/>
              <w:textAlignment w:val="auto"/>
              <w:cnfStyle w:val="000000000000" w:firstRow="0" w:lastRow="0" w:firstColumn="0" w:lastColumn="0" w:oddVBand="0" w:evenVBand="0" w:oddHBand="0" w:evenHBand="0" w:firstRowFirstColumn="0" w:firstRowLastColumn="0" w:lastRowFirstColumn="0" w:lastRowLastColumn="0"/>
              <w:rPr>
                <w:rFonts w:cs="Arial"/>
                <w:b/>
                <w:vertAlign w:val="superscript"/>
                <w:lang w:val="es-MX"/>
              </w:rPr>
            </w:pPr>
            <w:r w:rsidRPr="002B6C39">
              <w:rPr>
                <w:rFonts w:cs="Arial"/>
                <w:lang w:val="es-MX"/>
              </w:rPr>
              <w:t>Responsable de ferias ciudadanas</w:t>
            </w:r>
          </w:p>
        </w:tc>
        <w:tc>
          <w:tcPr>
            <w:tcW w:w="1372" w:type="dxa"/>
            <w:vAlign w:val="center"/>
          </w:tcPr>
          <w:p w14:paraId="4A9982AB" w14:textId="77777777" w:rsidR="007252B5" w:rsidRPr="002B6C39" w:rsidRDefault="007252B5" w:rsidP="000D4401">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B6C39">
              <w:rPr>
                <w:rFonts w:cs="Arial"/>
                <w:b/>
                <w:sz w:val="20"/>
                <w:szCs w:val="20"/>
              </w:rPr>
              <w:t>Gestión de atención al ciudadano</w:t>
            </w:r>
          </w:p>
        </w:tc>
      </w:tr>
    </w:tbl>
    <w:p w14:paraId="17FD539F" w14:textId="3D076275" w:rsidR="005325D9" w:rsidRPr="007252B5" w:rsidRDefault="00165247" w:rsidP="007252B5">
      <w:pPr>
        <w:jc w:val="center"/>
        <w:rPr>
          <w:rFonts w:cs="Arial"/>
          <w:b/>
          <w:bCs/>
          <w:sz w:val="16"/>
          <w:szCs w:val="16"/>
        </w:rPr>
      </w:pPr>
      <w:r w:rsidRPr="007252B5">
        <w:rPr>
          <w:rFonts w:cs="Arial"/>
          <w:b/>
          <w:bCs/>
          <w:sz w:val="16"/>
          <w:szCs w:val="16"/>
        </w:rPr>
        <w:t>Fuente: Oficina de Relación con el Ciudadano</w:t>
      </w:r>
      <w:r w:rsidR="76ED4834" w:rsidRPr="007252B5">
        <w:rPr>
          <w:rFonts w:cs="Arial"/>
          <w:b/>
          <w:bCs/>
          <w:sz w:val="16"/>
          <w:szCs w:val="16"/>
        </w:rPr>
        <w:t xml:space="preserve"> - IGAC</w:t>
      </w:r>
    </w:p>
    <w:p w14:paraId="00B9C672" w14:textId="050E9551" w:rsidR="005325D9" w:rsidRPr="008179E9" w:rsidRDefault="005325D9" w:rsidP="00C72779">
      <w:pPr>
        <w:ind w:firstLine="567"/>
        <w:jc w:val="both"/>
        <w:rPr>
          <w:rFonts w:cs="Arial"/>
          <w:b/>
          <w:sz w:val="22"/>
          <w:szCs w:val="22"/>
        </w:rPr>
      </w:pPr>
    </w:p>
    <w:p w14:paraId="6C7DC803" w14:textId="301A107F" w:rsidR="005325D9" w:rsidRPr="008179E9" w:rsidRDefault="005325D9" w:rsidP="00C72779">
      <w:pPr>
        <w:ind w:left="567"/>
        <w:jc w:val="both"/>
        <w:rPr>
          <w:rFonts w:cs="Arial"/>
          <w:sz w:val="22"/>
          <w:szCs w:val="22"/>
        </w:rPr>
      </w:pPr>
      <w:r w:rsidRPr="008179E9">
        <w:rPr>
          <w:rFonts w:cs="Arial"/>
          <w:b/>
          <w:sz w:val="22"/>
          <w:szCs w:val="22"/>
        </w:rPr>
        <w:t xml:space="preserve">4.7.2 PROCESOS A CARGO DE LA OFICINA DE RELACIÓN CON EL CIUDADANO </w:t>
      </w:r>
    </w:p>
    <w:p w14:paraId="306EFF58" w14:textId="08E25F7C" w:rsidR="005325D9" w:rsidRPr="008179E9" w:rsidRDefault="005325D9" w:rsidP="00C72779">
      <w:pPr>
        <w:pStyle w:val="Prrafodelista"/>
        <w:ind w:left="567"/>
        <w:rPr>
          <w:rFonts w:cs="Arial"/>
          <w:sz w:val="22"/>
          <w:szCs w:val="22"/>
        </w:rPr>
      </w:pPr>
    </w:p>
    <w:p w14:paraId="2D46AE4F" w14:textId="76FCA6B4" w:rsidR="005325D9" w:rsidRPr="008179E9" w:rsidRDefault="005325D9" w:rsidP="00C72779">
      <w:pPr>
        <w:pStyle w:val="Prrafodelista"/>
        <w:ind w:left="567"/>
        <w:rPr>
          <w:rFonts w:cs="Arial"/>
          <w:sz w:val="22"/>
          <w:szCs w:val="22"/>
        </w:rPr>
      </w:pPr>
      <w:r w:rsidRPr="008179E9">
        <w:rPr>
          <w:rFonts w:cs="Arial"/>
          <w:sz w:val="22"/>
          <w:szCs w:val="22"/>
        </w:rPr>
        <w:t>La Oficina de Relación con el Ciudadano mediante su proceso de Gestión de Servicio al Ciudadano tien</w:t>
      </w:r>
      <w:r w:rsidR="00C72779">
        <w:rPr>
          <w:rFonts w:cs="Arial"/>
          <w:sz w:val="22"/>
          <w:szCs w:val="22"/>
        </w:rPr>
        <w:t>e a su cargo los subprocesos de</w:t>
      </w:r>
      <w:r w:rsidRPr="008179E9">
        <w:rPr>
          <w:rFonts w:cs="Arial"/>
          <w:sz w:val="22"/>
          <w:szCs w:val="22"/>
        </w:rPr>
        <w:t>: Orientación al Servicio, encargado de garantizar el acceso a los servicios que presta el instituto a la ciudadanía, grupos de valor y grupos de interés; mientras que Gestión de Atención al Ciudadano, es el subproceso encargado de definir, orientar e implementar lineamientos para la participación ciudadana, la rendición de cuentas y control social, la racionalización de trámites, así como seguimiento a las peticiones, quejas, reclamos, sugerencias y denuncias, recibidas por la ciudadanía, grupos de valor y grupos de interés a través de los canales dispuestos para tal fin, para garantizar el goce efectivo de sus derechos.</w:t>
      </w:r>
    </w:p>
    <w:p w14:paraId="26D85437" w14:textId="15684B6F" w:rsidR="005325D9" w:rsidRPr="00C72779" w:rsidRDefault="005325D9" w:rsidP="00C72779">
      <w:pPr>
        <w:rPr>
          <w:rFonts w:cs="Arial"/>
          <w:sz w:val="22"/>
          <w:szCs w:val="22"/>
        </w:rPr>
      </w:pPr>
    </w:p>
    <w:p w14:paraId="542397B3" w14:textId="77777777" w:rsidR="005325D9" w:rsidRPr="008179E9" w:rsidRDefault="005325D9" w:rsidP="00C72779">
      <w:pPr>
        <w:ind w:firstLine="567"/>
        <w:jc w:val="both"/>
        <w:rPr>
          <w:rFonts w:cs="Arial"/>
          <w:b/>
          <w:sz w:val="22"/>
          <w:szCs w:val="22"/>
        </w:rPr>
      </w:pPr>
      <w:r w:rsidRPr="008179E9">
        <w:rPr>
          <w:rFonts w:cs="Arial"/>
          <w:b/>
          <w:sz w:val="22"/>
          <w:szCs w:val="22"/>
        </w:rPr>
        <w:t>4.7.3 RESULTADO DEL PROCESO Y LOGROS</w:t>
      </w:r>
    </w:p>
    <w:p w14:paraId="747F8012" w14:textId="1E39006E" w:rsidR="005325D9" w:rsidRPr="008179E9" w:rsidRDefault="005325D9" w:rsidP="00C72779">
      <w:pPr>
        <w:pStyle w:val="Prrafodelista"/>
        <w:ind w:left="567"/>
        <w:rPr>
          <w:rFonts w:cs="Arial"/>
          <w:sz w:val="22"/>
          <w:szCs w:val="22"/>
        </w:rPr>
      </w:pPr>
    </w:p>
    <w:p w14:paraId="5A612EC5" w14:textId="77777777" w:rsidR="005325D9" w:rsidRDefault="005325D9" w:rsidP="00C72779">
      <w:pPr>
        <w:pStyle w:val="Prrafodelista"/>
        <w:ind w:left="567"/>
        <w:rPr>
          <w:rFonts w:cs="Arial"/>
          <w:sz w:val="22"/>
          <w:szCs w:val="22"/>
        </w:rPr>
      </w:pPr>
      <w:r w:rsidRPr="008179E9">
        <w:rPr>
          <w:rFonts w:cs="Arial"/>
          <w:sz w:val="22"/>
          <w:szCs w:val="22"/>
        </w:rPr>
        <w:t>Los resultados y logros más relevantes de la Oficina de Relación con el Ciudadano durante el periodo comprendido de diciembre 2019 a la fecha, en el presente informe son:</w:t>
      </w:r>
    </w:p>
    <w:p w14:paraId="207F9F0E" w14:textId="0BD249E4" w:rsidR="00D00CEE" w:rsidRPr="00E32F40" w:rsidRDefault="00D00CEE" w:rsidP="00D00CEE">
      <w:pPr>
        <w:rPr>
          <w:rFonts w:cs="Arial"/>
          <w:b/>
          <w:color w:val="000000" w:themeColor="text1"/>
          <w:sz w:val="22"/>
          <w:szCs w:val="22"/>
        </w:rPr>
      </w:pPr>
    </w:p>
    <w:p w14:paraId="4BE99B35" w14:textId="572F6679" w:rsidR="0018282B" w:rsidRPr="00E32F40" w:rsidRDefault="00E32F40" w:rsidP="00E32F40">
      <w:pPr>
        <w:pStyle w:val="Descripcin"/>
        <w:jc w:val="center"/>
        <w:rPr>
          <w:rFonts w:ascii="Arial" w:hAnsi="Arial" w:cs="Arial"/>
          <w:b/>
          <w:i w:val="0"/>
          <w:color w:val="000000" w:themeColor="text1"/>
          <w:sz w:val="16"/>
          <w:szCs w:val="16"/>
        </w:rPr>
      </w:pPr>
      <w:bookmarkStart w:id="168" w:name="_Toc88677205"/>
      <w:r w:rsidRPr="00E32F40">
        <w:rPr>
          <w:rFonts w:ascii="Arial" w:hAnsi="Arial" w:cs="Arial"/>
          <w:b/>
          <w:bCs/>
          <w:i w:val="0"/>
          <w:iCs w:val="0"/>
          <w:color w:val="000000" w:themeColor="text1"/>
          <w:sz w:val="16"/>
          <w:szCs w:val="16"/>
        </w:rPr>
        <w:t xml:space="preserve">Ilustración </w:t>
      </w:r>
      <w:r w:rsidRPr="00E32F40">
        <w:rPr>
          <w:rFonts w:ascii="Arial" w:hAnsi="Arial" w:cs="Arial"/>
          <w:b/>
          <w:bCs/>
          <w:i w:val="0"/>
          <w:iCs w:val="0"/>
          <w:color w:val="000000" w:themeColor="text1"/>
          <w:sz w:val="16"/>
          <w:szCs w:val="16"/>
        </w:rPr>
        <w:fldChar w:fldCharType="begin"/>
      </w:r>
      <w:r w:rsidRPr="00E32F40">
        <w:rPr>
          <w:rFonts w:ascii="Arial" w:hAnsi="Arial" w:cs="Arial"/>
          <w:b/>
          <w:bCs/>
          <w:i w:val="0"/>
          <w:iCs w:val="0"/>
          <w:color w:val="000000" w:themeColor="text1"/>
          <w:sz w:val="16"/>
          <w:szCs w:val="16"/>
        </w:rPr>
        <w:instrText xml:space="preserve"> SEQ Ilustración \* ARABIC </w:instrText>
      </w:r>
      <w:r w:rsidRPr="00E32F40">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49</w:t>
      </w:r>
      <w:r w:rsidRPr="00E32F40">
        <w:rPr>
          <w:rFonts w:ascii="Arial" w:hAnsi="Arial" w:cs="Arial"/>
          <w:b/>
          <w:bCs/>
          <w:i w:val="0"/>
          <w:iCs w:val="0"/>
          <w:color w:val="000000" w:themeColor="text1"/>
          <w:sz w:val="16"/>
          <w:szCs w:val="16"/>
        </w:rPr>
        <w:fldChar w:fldCharType="end"/>
      </w:r>
      <w:r w:rsidRPr="00E32F40">
        <w:rPr>
          <w:rFonts w:ascii="Arial" w:hAnsi="Arial" w:cs="Arial"/>
          <w:b/>
          <w:bCs/>
          <w:i w:val="0"/>
          <w:iCs w:val="0"/>
          <w:color w:val="000000" w:themeColor="text1"/>
          <w:sz w:val="16"/>
          <w:szCs w:val="16"/>
        </w:rPr>
        <w:t>. PQRSDF</w:t>
      </w:r>
      <w:bookmarkEnd w:id="168"/>
    </w:p>
    <w:p w14:paraId="7143F688" w14:textId="1D695FB6" w:rsidR="00836CA1" w:rsidRPr="00D00CEE" w:rsidRDefault="00836CA1" w:rsidP="00D00CEE">
      <w:pPr>
        <w:ind w:left="567"/>
        <w:rPr>
          <w:lang w:val="es-CO"/>
        </w:rPr>
      </w:pPr>
    </w:p>
    <w:p w14:paraId="0D632D66" w14:textId="4939D8FD" w:rsidR="00D00CEE" w:rsidRPr="00D00CEE" w:rsidRDefault="00331B49" w:rsidP="00836CA1">
      <w:pPr>
        <w:pStyle w:val="Lista"/>
        <w:jc w:val="center"/>
      </w:pPr>
      <w:r w:rsidRPr="008179E9">
        <w:rPr>
          <w:rFonts w:cs="Arial"/>
          <w:noProof/>
          <w:sz w:val="22"/>
          <w:szCs w:val="22"/>
          <w:lang w:val="es-CO" w:eastAsia="es-CO"/>
        </w:rPr>
        <w:drawing>
          <wp:inline distT="0" distB="0" distL="0" distR="0" wp14:anchorId="2F8557B3" wp14:editId="29822C38">
            <wp:extent cx="5473700" cy="2559050"/>
            <wp:effectExtent l="0" t="0" r="0" b="12700"/>
            <wp:docPr id="60" name="Diagrama 6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1" r:lo="rId122" r:qs="rId123" r:cs="rId124"/>
              </a:graphicData>
            </a:graphic>
          </wp:inline>
        </w:drawing>
      </w:r>
    </w:p>
    <w:p w14:paraId="681BF5F1" w14:textId="0F87D361" w:rsidR="00C72779" w:rsidRPr="00E32F40" w:rsidRDefault="00E32F40" w:rsidP="00E32F40">
      <w:pPr>
        <w:pStyle w:val="Lista"/>
        <w:jc w:val="center"/>
        <w:rPr>
          <w:b/>
        </w:rPr>
      </w:pPr>
      <w:r w:rsidRPr="00E32F40">
        <w:rPr>
          <w:b/>
          <w:bCs/>
          <w:sz w:val="16"/>
          <w:szCs w:val="16"/>
        </w:rPr>
        <w:t>Fuente: Oficina de Relacionamiento con el Ciudadano</w:t>
      </w:r>
    </w:p>
    <w:p w14:paraId="5D4C1BB3" w14:textId="598C1942" w:rsidR="005325D9" w:rsidRPr="008179E9" w:rsidRDefault="005325D9" w:rsidP="00C72779">
      <w:pPr>
        <w:pStyle w:val="Prrafodelista"/>
        <w:ind w:left="567"/>
        <w:rPr>
          <w:rFonts w:cs="Arial"/>
          <w:sz w:val="22"/>
          <w:szCs w:val="22"/>
        </w:rPr>
      </w:pPr>
    </w:p>
    <w:p w14:paraId="4BCF7D97" w14:textId="26F16F75" w:rsidR="005325D9" w:rsidRPr="008179E9" w:rsidRDefault="005325D9" w:rsidP="00C72779">
      <w:pPr>
        <w:jc w:val="both"/>
        <w:rPr>
          <w:rFonts w:cs="Arial"/>
          <w:sz w:val="22"/>
          <w:szCs w:val="22"/>
        </w:rPr>
      </w:pPr>
    </w:p>
    <w:p w14:paraId="7211E258" w14:textId="2BE2405E" w:rsidR="005325D9" w:rsidRPr="008179E9" w:rsidRDefault="005325D9" w:rsidP="00C72779">
      <w:pPr>
        <w:pStyle w:val="Prrafodelista"/>
        <w:ind w:left="567"/>
        <w:rPr>
          <w:rFonts w:cs="Arial"/>
          <w:sz w:val="22"/>
          <w:szCs w:val="22"/>
        </w:rPr>
      </w:pPr>
    </w:p>
    <w:p w14:paraId="332537AA" w14:textId="77777777" w:rsidR="005325D9" w:rsidRPr="008179E9" w:rsidRDefault="005325D9" w:rsidP="00C72779">
      <w:pPr>
        <w:pStyle w:val="Prrafodelista"/>
        <w:ind w:left="567"/>
        <w:rPr>
          <w:rFonts w:cs="Arial"/>
          <w:sz w:val="22"/>
          <w:szCs w:val="22"/>
        </w:rPr>
      </w:pPr>
      <w:r w:rsidRPr="008179E9">
        <w:rPr>
          <w:rFonts w:cs="Arial"/>
          <w:sz w:val="22"/>
          <w:szCs w:val="22"/>
        </w:rPr>
        <w:t>En la vigencia 2021 desde la Dirección General se establecieron comités periódicos en los cuales se trataron entre otros temas, el seguimiento a la gestión de las peticiones, quejas, reclamos, sugerencias y denuncias, discriminado por dependencia y dirección territorial, revisando la evolución de cada una de ellas de manera específica; esto permitió tener mayor control de las radicaciones pendientes.</w:t>
      </w:r>
    </w:p>
    <w:p w14:paraId="35D54B9A" w14:textId="21CC1278" w:rsidR="005325D9" w:rsidRPr="008179E9" w:rsidRDefault="005325D9" w:rsidP="00C72779">
      <w:pPr>
        <w:pStyle w:val="Prrafodelista"/>
        <w:ind w:left="567"/>
        <w:rPr>
          <w:rFonts w:cs="Arial"/>
          <w:sz w:val="22"/>
          <w:szCs w:val="22"/>
        </w:rPr>
      </w:pPr>
    </w:p>
    <w:p w14:paraId="52C21A6D" w14:textId="77777777" w:rsidR="005325D9" w:rsidRPr="008179E9" w:rsidRDefault="005325D9" w:rsidP="00C72779">
      <w:pPr>
        <w:pStyle w:val="Prrafodelista"/>
        <w:ind w:left="567"/>
        <w:rPr>
          <w:rFonts w:cs="Arial"/>
          <w:sz w:val="22"/>
          <w:szCs w:val="22"/>
        </w:rPr>
      </w:pPr>
      <w:r w:rsidRPr="008179E9">
        <w:rPr>
          <w:rFonts w:cs="Arial"/>
          <w:sz w:val="22"/>
          <w:szCs w:val="22"/>
        </w:rPr>
        <w:t>Adicionalmente, se implementaron dos nuevos indicadores, el primero de oportunidad que mide el cumplimiento de los términos de respuesta de las PQRD establecidos en la Ley 1437 del 2011 y modificado por el Decreto Legislativo 491 del 2020. El segundo indicador que se implementó fue el de productividad, que mide las respuestas emitidas a la ciudadanía y los radicados pendientes, de esta forma se busca reducir el número de acumulados pendientes al finalizar la vigencia.</w:t>
      </w:r>
    </w:p>
    <w:p w14:paraId="7B7CAC5F" w14:textId="2CED418A" w:rsidR="005325D9" w:rsidRPr="008179E9" w:rsidRDefault="005325D9" w:rsidP="00C72779">
      <w:pPr>
        <w:pStyle w:val="Prrafodelista"/>
        <w:ind w:left="567"/>
        <w:rPr>
          <w:rFonts w:cs="Arial"/>
          <w:sz w:val="22"/>
          <w:szCs w:val="22"/>
        </w:rPr>
      </w:pPr>
    </w:p>
    <w:p w14:paraId="78EDC47A" w14:textId="77777777" w:rsidR="005325D9" w:rsidRPr="008179E9" w:rsidRDefault="005325D9" w:rsidP="00C72779">
      <w:pPr>
        <w:pStyle w:val="Prrafodelista"/>
        <w:ind w:left="567"/>
        <w:rPr>
          <w:rFonts w:cs="Arial"/>
          <w:sz w:val="22"/>
          <w:szCs w:val="22"/>
        </w:rPr>
      </w:pPr>
      <w:r w:rsidRPr="008179E9">
        <w:rPr>
          <w:rFonts w:cs="Arial"/>
          <w:sz w:val="22"/>
          <w:szCs w:val="22"/>
        </w:rPr>
        <w:t>Durante la vigencia actual con corte al 26 de octubre del 2021 se han recibido 34.701 peticiones, quejas, reclamos y denuncias; de éstas, se han atendido 23.761 dando el 68% en el indicador de productividad; de las atendidas 15.049 estuvieron dentro de los términos de ley, dando el 67% en el indicador de oportunidad.</w:t>
      </w:r>
    </w:p>
    <w:p w14:paraId="549761D9" w14:textId="24F80A99" w:rsidR="005325D9" w:rsidRPr="008179E9" w:rsidRDefault="005325D9" w:rsidP="00C72779">
      <w:pPr>
        <w:pStyle w:val="Prrafodelista"/>
        <w:ind w:left="567"/>
        <w:rPr>
          <w:rFonts w:cs="Arial"/>
          <w:sz w:val="22"/>
          <w:szCs w:val="22"/>
        </w:rPr>
      </w:pPr>
    </w:p>
    <w:p w14:paraId="4E91A077" w14:textId="77777777" w:rsidR="005325D9" w:rsidRPr="008179E9" w:rsidRDefault="005325D9" w:rsidP="00C72779">
      <w:pPr>
        <w:pStyle w:val="Prrafodelista"/>
        <w:ind w:left="567"/>
        <w:rPr>
          <w:rFonts w:cs="Arial"/>
          <w:sz w:val="22"/>
          <w:szCs w:val="22"/>
        </w:rPr>
      </w:pPr>
      <w:r w:rsidRPr="008179E9">
        <w:rPr>
          <w:rFonts w:cs="Arial"/>
          <w:sz w:val="22"/>
          <w:szCs w:val="22"/>
        </w:rPr>
        <w:t>A continuación, se presentan los resultados acumulados de las peticiones, quejas, reclamos y denuncias recibidas por el IGAC con la respectiva gestión discriminada por dependencias y direcciones territoriales, así mismo se establecen las tablas de conversiones:</w:t>
      </w:r>
    </w:p>
    <w:p w14:paraId="43C5DEE1" w14:textId="5ABB63A6" w:rsidR="005325D9" w:rsidRPr="007252B5" w:rsidRDefault="005325D9" w:rsidP="007252B5">
      <w:pPr>
        <w:pStyle w:val="Lista"/>
        <w:jc w:val="center"/>
        <w:rPr>
          <w:rFonts w:cs="Arial"/>
          <w:b/>
          <w:color w:val="000000" w:themeColor="text1"/>
          <w:sz w:val="18"/>
        </w:rPr>
      </w:pPr>
    </w:p>
    <w:p w14:paraId="3A12309A" w14:textId="3B180D0B" w:rsidR="00331B49" w:rsidRPr="007252B5" w:rsidRDefault="007252B5" w:rsidP="007252B5">
      <w:pPr>
        <w:pStyle w:val="Descripcin"/>
        <w:jc w:val="center"/>
        <w:rPr>
          <w:rFonts w:ascii="Arial" w:hAnsi="Arial" w:cs="Arial"/>
          <w:b/>
          <w:bCs/>
          <w:i w:val="0"/>
          <w:iCs w:val="0"/>
          <w:color w:val="000000" w:themeColor="text1"/>
          <w:sz w:val="14"/>
          <w:szCs w:val="16"/>
        </w:rPr>
      </w:pPr>
      <w:bookmarkStart w:id="169" w:name="_Toc88677131"/>
      <w:r w:rsidRPr="007252B5">
        <w:rPr>
          <w:rFonts w:ascii="Arial" w:hAnsi="Arial" w:cs="Arial"/>
          <w:b/>
          <w:i w:val="0"/>
          <w:color w:val="000000" w:themeColor="text1"/>
          <w:sz w:val="16"/>
        </w:rPr>
        <w:t xml:space="preserve">Tabla </w:t>
      </w:r>
      <w:r w:rsidRPr="007252B5">
        <w:rPr>
          <w:rFonts w:ascii="Arial" w:hAnsi="Arial" w:cs="Arial"/>
          <w:b/>
          <w:i w:val="0"/>
          <w:color w:val="000000" w:themeColor="text1"/>
          <w:sz w:val="16"/>
        </w:rPr>
        <w:fldChar w:fldCharType="begin"/>
      </w:r>
      <w:r w:rsidRPr="007252B5">
        <w:rPr>
          <w:rFonts w:ascii="Arial" w:hAnsi="Arial" w:cs="Arial"/>
          <w:b/>
          <w:i w:val="0"/>
          <w:color w:val="000000" w:themeColor="text1"/>
          <w:sz w:val="16"/>
        </w:rPr>
        <w:instrText xml:space="preserve"> SEQ Tabla \* ARABIC </w:instrText>
      </w:r>
      <w:r w:rsidRPr="007252B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59</w:t>
      </w:r>
      <w:r w:rsidRPr="007252B5">
        <w:rPr>
          <w:rFonts w:ascii="Arial" w:hAnsi="Arial" w:cs="Arial"/>
          <w:b/>
          <w:i w:val="0"/>
          <w:color w:val="000000" w:themeColor="text1"/>
          <w:sz w:val="16"/>
        </w:rPr>
        <w:fldChar w:fldCharType="end"/>
      </w:r>
      <w:r w:rsidRPr="007252B5">
        <w:rPr>
          <w:rFonts w:ascii="Arial" w:hAnsi="Arial" w:cs="Arial"/>
          <w:b/>
          <w:i w:val="0"/>
          <w:color w:val="000000" w:themeColor="text1"/>
          <w:sz w:val="16"/>
        </w:rPr>
        <w:t>. Convenciones y rangos</w:t>
      </w:r>
      <w:bookmarkEnd w:id="169"/>
    </w:p>
    <w:tbl>
      <w:tblPr>
        <w:tblStyle w:val="Tabladecuadrcula4-nfasis1"/>
        <w:tblpPr w:leftFromText="141" w:rightFromText="141" w:vertAnchor="text" w:horzAnchor="margin" w:tblpXSpec="center" w:tblpY="30"/>
        <w:tblW w:w="5949" w:type="dxa"/>
        <w:jc w:val="center"/>
        <w:tblLook w:val="04A0" w:firstRow="1" w:lastRow="0" w:firstColumn="1" w:lastColumn="0" w:noHBand="0" w:noVBand="1"/>
      </w:tblPr>
      <w:tblGrid>
        <w:gridCol w:w="1980"/>
        <w:gridCol w:w="3969"/>
      </w:tblGrid>
      <w:tr w:rsidR="003948F6" w:rsidRPr="008B21E5" w14:paraId="3BDAA01A" w14:textId="77777777" w:rsidTr="00DC4D58">
        <w:trPr>
          <w:cnfStyle w:val="100000000000" w:firstRow="1" w:lastRow="0" w:firstColumn="0" w:lastColumn="0" w:oddVBand="0" w:evenVBand="0" w:oddHBand="0" w:evenHBand="0" w:firstRowFirstColumn="0" w:firstRowLastColumn="0" w:lastRowFirstColumn="0" w:lastRowLastColumn="0"/>
          <w:trHeight w:val="282"/>
          <w:jc w:val="center"/>
        </w:trPr>
        <w:tc>
          <w:tcPr>
            <w:cnfStyle w:val="001000000000" w:firstRow="0" w:lastRow="0" w:firstColumn="1" w:lastColumn="0" w:oddVBand="0" w:evenVBand="0" w:oddHBand="0" w:evenHBand="0" w:firstRowFirstColumn="0" w:firstRowLastColumn="0" w:lastRowFirstColumn="0" w:lastRowLastColumn="0"/>
            <w:tcW w:w="5949" w:type="dxa"/>
            <w:gridSpan w:val="2"/>
            <w:noWrap/>
            <w:vAlign w:val="center"/>
          </w:tcPr>
          <w:p w14:paraId="55AF2992" w14:textId="77777777" w:rsidR="003948F6" w:rsidRPr="008B21E5" w:rsidRDefault="003948F6" w:rsidP="003948F6">
            <w:pPr>
              <w:jc w:val="center"/>
              <w:rPr>
                <w:rFonts w:cs="Arial"/>
                <w:sz w:val="20"/>
                <w:szCs w:val="22"/>
              </w:rPr>
            </w:pPr>
            <w:r w:rsidRPr="008B21E5">
              <w:rPr>
                <w:rFonts w:cs="Arial"/>
                <w:sz w:val="20"/>
                <w:szCs w:val="22"/>
              </w:rPr>
              <w:t>Convenciones</w:t>
            </w:r>
          </w:p>
        </w:tc>
      </w:tr>
      <w:tr w:rsidR="003948F6" w:rsidRPr="008B21E5" w14:paraId="2AB2139B" w14:textId="77777777" w:rsidTr="00DC4D58">
        <w:trPr>
          <w:cnfStyle w:val="000000100000" w:firstRow="0" w:lastRow="0" w:firstColumn="0" w:lastColumn="0" w:oddVBand="0" w:evenVBand="0" w:oddHBand="1" w:evenHBand="0" w:firstRowFirstColumn="0" w:firstRowLastColumn="0" w:lastRowFirstColumn="0" w:lastRowLastColumn="0"/>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4D3CEC06" w14:textId="77777777" w:rsidR="003948F6" w:rsidRPr="008B21E5" w:rsidRDefault="003948F6" w:rsidP="003948F6">
            <w:pPr>
              <w:jc w:val="center"/>
              <w:rPr>
                <w:rFonts w:cs="Arial"/>
                <w:sz w:val="20"/>
                <w:szCs w:val="22"/>
              </w:rPr>
            </w:pPr>
            <w:r w:rsidRPr="008B21E5">
              <w:rPr>
                <w:rFonts w:cs="Arial"/>
                <w:sz w:val="20"/>
                <w:szCs w:val="22"/>
              </w:rPr>
              <w:t>Recibidas</w:t>
            </w:r>
          </w:p>
        </w:tc>
        <w:tc>
          <w:tcPr>
            <w:tcW w:w="3969" w:type="dxa"/>
            <w:noWrap/>
            <w:vAlign w:val="center"/>
            <w:hideMark/>
          </w:tcPr>
          <w:p w14:paraId="35376F35" w14:textId="77777777" w:rsidR="003948F6" w:rsidRPr="008B21E5"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PQRSD recibidas por dependencia</w:t>
            </w:r>
          </w:p>
        </w:tc>
      </w:tr>
      <w:tr w:rsidR="003948F6" w:rsidRPr="008B21E5" w14:paraId="7336B5AE" w14:textId="77777777" w:rsidTr="00DC4D58">
        <w:trPr>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0CA6E280" w14:textId="77777777" w:rsidR="003948F6" w:rsidRPr="008B21E5" w:rsidRDefault="003948F6" w:rsidP="003948F6">
            <w:pPr>
              <w:jc w:val="center"/>
              <w:rPr>
                <w:rFonts w:cs="Arial"/>
                <w:sz w:val="20"/>
                <w:szCs w:val="22"/>
              </w:rPr>
            </w:pPr>
            <w:r w:rsidRPr="008B21E5">
              <w:rPr>
                <w:rFonts w:cs="Arial"/>
                <w:sz w:val="20"/>
                <w:szCs w:val="22"/>
              </w:rPr>
              <w:t>Asignadas</w:t>
            </w:r>
          </w:p>
        </w:tc>
        <w:tc>
          <w:tcPr>
            <w:tcW w:w="3969" w:type="dxa"/>
            <w:noWrap/>
            <w:vAlign w:val="center"/>
            <w:hideMark/>
          </w:tcPr>
          <w:p w14:paraId="794BFD06" w14:textId="77777777" w:rsidR="003948F6" w:rsidRPr="008B21E5" w:rsidRDefault="003948F6" w:rsidP="003948F6">
            <w:pPr>
              <w:jc w:val="both"/>
              <w:cnfStyle w:val="000000000000" w:firstRow="0" w:lastRow="0" w:firstColumn="0" w:lastColumn="0" w:oddVBand="0" w:evenVBand="0" w:oddHBand="0" w:evenHBand="0" w:firstRowFirstColumn="0" w:firstRowLastColumn="0" w:lastRowFirstColumn="0" w:lastRowLastColumn="0"/>
              <w:rPr>
                <w:rFonts w:cs="Arial"/>
                <w:sz w:val="20"/>
                <w:szCs w:val="22"/>
              </w:rPr>
            </w:pPr>
            <w:r w:rsidRPr="008B21E5">
              <w:rPr>
                <w:rFonts w:cs="Arial"/>
                <w:sz w:val="20"/>
                <w:szCs w:val="22"/>
              </w:rPr>
              <w:t>PQRSD por gestionar después de realizar traslados y asignaciones según la competencia de cada dependencia o dirección territorial</w:t>
            </w:r>
          </w:p>
        </w:tc>
      </w:tr>
      <w:tr w:rsidR="003948F6" w:rsidRPr="008B21E5" w14:paraId="02CD42D7" w14:textId="77777777" w:rsidTr="00DC4D58">
        <w:trPr>
          <w:cnfStyle w:val="000000100000" w:firstRow="0" w:lastRow="0" w:firstColumn="0" w:lastColumn="0" w:oddVBand="0" w:evenVBand="0" w:oddHBand="1" w:evenHBand="0" w:firstRowFirstColumn="0" w:firstRowLastColumn="0" w:lastRowFirstColumn="0" w:lastRowLastColumn="0"/>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14E4C0A3" w14:textId="77777777" w:rsidR="003948F6" w:rsidRPr="008B21E5" w:rsidRDefault="003948F6" w:rsidP="003948F6">
            <w:pPr>
              <w:jc w:val="center"/>
              <w:rPr>
                <w:rFonts w:cs="Arial"/>
                <w:sz w:val="20"/>
                <w:szCs w:val="22"/>
              </w:rPr>
            </w:pPr>
            <w:r w:rsidRPr="008B21E5">
              <w:rPr>
                <w:rFonts w:cs="Arial"/>
                <w:sz w:val="20"/>
                <w:szCs w:val="22"/>
              </w:rPr>
              <w:t>Atendidas</w:t>
            </w:r>
          </w:p>
        </w:tc>
        <w:tc>
          <w:tcPr>
            <w:tcW w:w="3969" w:type="dxa"/>
            <w:noWrap/>
            <w:vAlign w:val="center"/>
            <w:hideMark/>
          </w:tcPr>
          <w:p w14:paraId="26BEDA66" w14:textId="77777777" w:rsidR="003948F6" w:rsidRPr="008B21E5"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Finalizadas</w:t>
            </w:r>
          </w:p>
        </w:tc>
      </w:tr>
      <w:tr w:rsidR="003948F6" w:rsidRPr="008B21E5" w14:paraId="686A6235" w14:textId="77777777" w:rsidTr="00DC4D58">
        <w:trPr>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tcPr>
          <w:p w14:paraId="1789E609" w14:textId="77777777" w:rsidR="003948F6" w:rsidRPr="008B21E5" w:rsidRDefault="003948F6" w:rsidP="003948F6">
            <w:pPr>
              <w:jc w:val="center"/>
              <w:rPr>
                <w:rFonts w:cs="Arial"/>
                <w:sz w:val="20"/>
                <w:szCs w:val="22"/>
              </w:rPr>
            </w:pPr>
            <w:r w:rsidRPr="008B21E5">
              <w:rPr>
                <w:rFonts w:cs="Arial"/>
                <w:sz w:val="20"/>
                <w:szCs w:val="22"/>
              </w:rPr>
              <w:t>Tiempo promedio de respuesta</w:t>
            </w:r>
          </w:p>
        </w:tc>
        <w:tc>
          <w:tcPr>
            <w:tcW w:w="3969" w:type="dxa"/>
            <w:noWrap/>
            <w:vAlign w:val="center"/>
          </w:tcPr>
          <w:p w14:paraId="204A9608" w14:textId="77777777" w:rsidR="003948F6" w:rsidRPr="008B21E5" w:rsidRDefault="003948F6" w:rsidP="003948F6">
            <w:pPr>
              <w:jc w:val="both"/>
              <w:cnfStyle w:val="000000000000" w:firstRow="0" w:lastRow="0" w:firstColumn="0" w:lastColumn="0" w:oddVBand="0" w:evenVBand="0" w:oddHBand="0" w:evenHBand="0" w:firstRowFirstColumn="0" w:firstRowLastColumn="0" w:lastRowFirstColumn="0" w:lastRowLastColumn="0"/>
              <w:rPr>
                <w:rFonts w:cs="Arial"/>
                <w:sz w:val="20"/>
                <w:szCs w:val="22"/>
              </w:rPr>
            </w:pPr>
            <w:r w:rsidRPr="008B21E5">
              <w:rPr>
                <w:rFonts w:cs="Arial"/>
                <w:sz w:val="20"/>
                <w:szCs w:val="22"/>
              </w:rPr>
              <w:t>El tiempo promedio en el que se dio respuesta a las PQRSDF atendidas</w:t>
            </w:r>
          </w:p>
        </w:tc>
      </w:tr>
      <w:tr w:rsidR="003948F6" w:rsidRPr="008B21E5" w14:paraId="73CEABA2" w14:textId="77777777" w:rsidTr="00DC4D58">
        <w:trPr>
          <w:cnfStyle w:val="000000100000" w:firstRow="0" w:lastRow="0" w:firstColumn="0" w:lastColumn="0" w:oddVBand="0" w:evenVBand="0" w:oddHBand="1" w:evenHBand="0" w:firstRowFirstColumn="0" w:firstRowLastColumn="0" w:lastRowFirstColumn="0" w:lastRowLastColumn="0"/>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54467906" w14:textId="77777777" w:rsidR="003948F6" w:rsidRPr="008B21E5" w:rsidRDefault="003948F6" w:rsidP="003948F6">
            <w:pPr>
              <w:jc w:val="center"/>
              <w:rPr>
                <w:rFonts w:cs="Arial"/>
                <w:sz w:val="20"/>
                <w:szCs w:val="22"/>
              </w:rPr>
            </w:pPr>
            <w:r w:rsidRPr="008B21E5">
              <w:rPr>
                <w:rFonts w:cs="Arial"/>
                <w:sz w:val="20"/>
                <w:szCs w:val="22"/>
              </w:rPr>
              <w:t>% Opor</w:t>
            </w:r>
          </w:p>
        </w:tc>
        <w:tc>
          <w:tcPr>
            <w:tcW w:w="3969" w:type="dxa"/>
            <w:noWrap/>
            <w:vAlign w:val="center"/>
            <w:hideMark/>
          </w:tcPr>
          <w:p w14:paraId="5B7ACD5B" w14:textId="77777777" w:rsidR="003948F6"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 xml:space="preserve">Porcentaje de oportunidad </w:t>
            </w:r>
          </w:p>
          <w:p w14:paraId="2E9DB8FE" w14:textId="6FDF1022" w:rsidR="003948F6" w:rsidRPr="008B21E5"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(Finalizadas / Atendidas en términos)</w:t>
            </w:r>
          </w:p>
        </w:tc>
      </w:tr>
      <w:tr w:rsidR="003948F6" w:rsidRPr="008B21E5" w14:paraId="1D5C7115" w14:textId="77777777" w:rsidTr="00DC4D58">
        <w:trPr>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5A9B4B01" w14:textId="77777777" w:rsidR="003948F6" w:rsidRPr="008B21E5" w:rsidRDefault="003948F6" w:rsidP="003948F6">
            <w:pPr>
              <w:jc w:val="center"/>
              <w:rPr>
                <w:rFonts w:cs="Arial"/>
                <w:sz w:val="20"/>
                <w:szCs w:val="22"/>
              </w:rPr>
            </w:pPr>
            <w:r w:rsidRPr="008B21E5">
              <w:rPr>
                <w:rFonts w:cs="Arial"/>
                <w:sz w:val="20"/>
                <w:szCs w:val="22"/>
              </w:rPr>
              <w:t>Pen</w:t>
            </w:r>
          </w:p>
        </w:tc>
        <w:tc>
          <w:tcPr>
            <w:tcW w:w="3969" w:type="dxa"/>
            <w:noWrap/>
            <w:vAlign w:val="center"/>
            <w:hideMark/>
          </w:tcPr>
          <w:p w14:paraId="12994799" w14:textId="77777777" w:rsidR="003948F6" w:rsidRPr="008B21E5" w:rsidRDefault="003948F6" w:rsidP="003948F6">
            <w:pPr>
              <w:jc w:val="both"/>
              <w:cnfStyle w:val="000000000000" w:firstRow="0" w:lastRow="0" w:firstColumn="0" w:lastColumn="0" w:oddVBand="0" w:evenVBand="0" w:oddHBand="0" w:evenHBand="0" w:firstRowFirstColumn="0" w:firstRowLastColumn="0" w:lastRowFirstColumn="0" w:lastRowLastColumn="0"/>
              <w:rPr>
                <w:rFonts w:cs="Arial"/>
                <w:sz w:val="20"/>
                <w:szCs w:val="22"/>
              </w:rPr>
            </w:pPr>
            <w:r w:rsidRPr="008B21E5">
              <w:rPr>
                <w:rFonts w:cs="Arial"/>
                <w:sz w:val="20"/>
                <w:szCs w:val="22"/>
              </w:rPr>
              <w:t>Pendientes por respuesta</w:t>
            </w:r>
          </w:p>
        </w:tc>
      </w:tr>
      <w:tr w:rsidR="003948F6" w:rsidRPr="008B21E5" w14:paraId="3EBD0D7B" w14:textId="77777777" w:rsidTr="00DC4D58">
        <w:trPr>
          <w:cnfStyle w:val="000000100000" w:firstRow="0" w:lastRow="0" w:firstColumn="0" w:lastColumn="0" w:oddVBand="0" w:evenVBand="0" w:oddHBand="1" w:evenHBand="0" w:firstRowFirstColumn="0" w:firstRowLastColumn="0" w:lastRowFirstColumn="0" w:lastRowLastColumn="0"/>
          <w:trHeight w:val="282"/>
          <w:jc w:val="center"/>
        </w:trPr>
        <w:tc>
          <w:tcPr>
            <w:cnfStyle w:val="001000000000" w:firstRow="0" w:lastRow="0" w:firstColumn="1" w:lastColumn="0" w:oddVBand="0" w:evenVBand="0" w:oddHBand="0" w:evenHBand="0" w:firstRowFirstColumn="0" w:firstRowLastColumn="0" w:lastRowFirstColumn="0" w:lastRowLastColumn="0"/>
            <w:tcW w:w="1980" w:type="dxa"/>
            <w:noWrap/>
            <w:vAlign w:val="center"/>
            <w:hideMark/>
          </w:tcPr>
          <w:p w14:paraId="7E6AE474" w14:textId="77777777" w:rsidR="003948F6" w:rsidRPr="008B21E5" w:rsidRDefault="003948F6" w:rsidP="003948F6">
            <w:pPr>
              <w:jc w:val="center"/>
              <w:rPr>
                <w:rFonts w:cs="Arial"/>
                <w:sz w:val="20"/>
                <w:szCs w:val="22"/>
              </w:rPr>
            </w:pPr>
            <w:r w:rsidRPr="008B21E5">
              <w:rPr>
                <w:rFonts w:cs="Arial"/>
                <w:sz w:val="20"/>
                <w:szCs w:val="22"/>
              </w:rPr>
              <w:t>% Prod</w:t>
            </w:r>
          </w:p>
        </w:tc>
        <w:tc>
          <w:tcPr>
            <w:tcW w:w="3969" w:type="dxa"/>
            <w:noWrap/>
            <w:vAlign w:val="center"/>
            <w:hideMark/>
          </w:tcPr>
          <w:p w14:paraId="511FD40E" w14:textId="77777777" w:rsidR="003948F6"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 xml:space="preserve">Porcentaje de productividad </w:t>
            </w:r>
          </w:p>
          <w:p w14:paraId="65CB2E53" w14:textId="1124F035" w:rsidR="003948F6" w:rsidRPr="008B21E5" w:rsidRDefault="003948F6" w:rsidP="003948F6">
            <w:pPr>
              <w:jc w:val="both"/>
              <w:cnfStyle w:val="000000100000" w:firstRow="0" w:lastRow="0" w:firstColumn="0" w:lastColumn="0" w:oddVBand="0" w:evenVBand="0" w:oddHBand="1" w:evenHBand="0" w:firstRowFirstColumn="0" w:firstRowLastColumn="0" w:lastRowFirstColumn="0" w:lastRowLastColumn="0"/>
              <w:rPr>
                <w:rFonts w:cs="Arial"/>
                <w:sz w:val="20"/>
                <w:szCs w:val="22"/>
              </w:rPr>
            </w:pPr>
            <w:r w:rsidRPr="008B21E5">
              <w:rPr>
                <w:rFonts w:cs="Arial"/>
                <w:sz w:val="20"/>
                <w:szCs w:val="22"/>
              </w:rPr>
              <w:t>(Finalizadas / Recibidas después de traslados)</w:t>
            </w:r>
          </w:p>
        </w:tc>
      </w:tr>
    </w:tbl>
    <w:p w14:paraId="7882DE10" w14:textId="77777777" w:rsidR="00331B49" w:rsidRDefault="00331B49" w:rsidP="00331B49">
      <w:pPr>
        <w:pStyle w:val="Lista"/>
        <w:ind w:left="1416" w:firstLine="708"/>
        <w:rPr>
          <w:rFonts w:cs="Arial"/>
          <w:b/>
          <w:bCs/>
          <w:sz w:val="16"/>
          <w:szCs w:val="16"/>
        </w:rPr>
      </w:pPr>
    </w:p>
    <w:p w14:paraId="4F8E0AD1" w14:textId="77777777" w:rsidR="00331B49" w:rsidRDefault="00331B49" w:rsidP="00331B49">
      <w:pPr>
        <w:pStyle w:val="Lista"/>
        <w:ind w:left="1416" w:firstLine="708"/>
        <w:rPr>
          <w:rFonts w:cs="Arial"/>
          <w:b/>
          <w:bCs/>
          <w:sz w:val="16"/>
          <w:szCs w:val="16"/>
        </w:rPr>
      </w:pPr>
    </w:p>
    <w:p w14:paraId="1741C946" w14:textId="77777777" w:rsidR="00331B49" w:rsidRDefault="00331B49" w:rsidP="00331B49">
      <w:pPr>
        <w:pStyle w:val="Lista"/>
        <w:ind w:left="1416" w:firstLine="708"/>
        <w:rPr>
          <w:rFonts w:cs="Arial"/>
          <w:b/>
          <w:bCs/>
          <w:sz w:val="16"/>
          <w:szCs w:val="16"/>
        </w:rPr>
      </w:pPr>
    </w:p>
    <w:p w14:paraId="51D331A2" w14:textId="77777777" w:rsidR="00331B49" w:rsidRDefault="00331B49" w:rsidP="00331B49">
      <w:pPr>
        <w:pStyle w:val="Lista"/>
        <w:ind w:left="1416" w:firstLine="708"/>
        <w:rPr>
          <w:rFonts w:cs="Arial"/>
          <w:b/>
          <w:bCs/>
          <w:sz w:val="16"/>
          <w:szCs w:val="16"/>
        </w:rPr>
      </w:pPr>
    </w:p>
    <w:p w14:paraId="2E23FE53" w14:textId="77777777" w:rsidR="00331B49" w:rsidRDefault="00331B49" w:rsidP="00331B49">
      <w:pPr>
        <w:pStyle w:val="Lista"/>
        <w:ind w:left="1416" w:firstLine="708"/>
        <w:rPr>
          <w:rFonts w:cs="Arial"/>
          <w:b/>
          <w:bCs/>
          <w:sz w:val="16"/>
          <w:szCs w:val="16"/>
        </w:rPr>
      </w:pPr>
    </w:p>
    <w:p w14:paraId="35E09443" w14:textId="77777777" w:rsidR="00331B49" w:rsidRDefault="00331B49" w:rsidP="00331B49">
      <w:pPr>
        <w:pStyle w:val="Lista"/>
        <w:ind w:left="1416" w:firstLine="708"/>
        <w:rPr>
          <w:rFonts w:cs="Arial"/>
          <w:b/>
          <w:bCs/>
          <w:sz w:val="16"/>
          <w:szCs w:val="16"/>
        </w:rPr>
      </w:pPr>
    </w:p>
    <w:p w14:paraId="03A4AD94" w14:textId="77777777" w:rsidR="00331B49" w:rsidRDefault="00331B49" w:rsidP="00331B49">
      <w:pPr>
        <w:pStyle w:val="Lista"/>
        <w:ind w:left="1416" w:firstLine="708"/>
        <w:rPr>
          <w:rFonts w:cs="Arial"/>
          <w:b/>
          <w:bCs/>
          <w:sz w:val="16"/>
          <w:szCs w:val="16"/>
        </w:rPr>
      </w:pPr>
    </w:p>
    <w:p w14:paraId="5FA3B512" w14:textId="77777777" w:rsidR="00331B49" w:rsidRDefault="00331B49" w:rsidP="00331B49">
      <w:pPr>
        <w:pStyle w:val="Lista"/>
        <w:ind w:left="1416" w:firstLine="708"/>
        <w:rPr>
          <w:rFonts w:cs="Arial"/>
          <w:b/>
          <w:bCs/>
          <w:sz w:val="16"/>
          <w:szCs w:val="16"/>
        </w:rPr>
      </w:pPr>
    </w:p>
    <w:p w14:paraId="2666571F" w14:textId="77777777" w:rsidR="00331B49" w:rsidRDefault="00331B49" w:rsidP="00331B49">
      <w:pPr>
        <w:pStyle w:val="Lista"/>
        <w:ind w:left="1416" w:firstLine="708"/>
        <w:rPr>
          <w:rFonts w:cs="Arial"/>
          <w:b/>
          <w:bCs/>
          <w:sz w:val="16"/>
          <w:szCs w:val="16"/>
        </w:rPr>
      </w:pPr>
    </w:p>
    <w:p w14:paraId="3F290319" w14:textId="77777777" w:rsidR="00331B49" w:rsidRDefault="00331B49" w:rsidP="00331B49">
      <w:pPr>
        <w:pStyle w:val="Lista"/>
        <w:ind w:left="1416" w:firstLine="708"/>
        <w:rPr>
          <w:rFonts w:cs="Arial"/>
          <w:b/>
          <w:bCs/>
          <w:sz w:val="16"/>
          <w:szCs w:val="16"/>
        </w:rPr>
      </w:pPr>
    </w:p>
    <w:p w14:paraId="2368B0D2" w14:textId="77777777" w:rsidR="00331B49" w:rsidRDefault="00331B49" w:rsidP="00331B49">
      <w:pPr>
        <w:pStyle w:val="Lista"/>
        <w:ind w:left="1416" w:firstLine="708"/>
        <w:rPr>
          <w:rFonts w:cs="Arial"/>
          <w:b/>
          <w:bCs/>
          <w:sz w:val="16"/>
          <w:szCs w:val="16"/>
        </w:rPr>
      </w:pPr>
    </w:p>
    <w:p w14:paraId="025440DC" w14:textId="77777777" w:rsidR="00331B49" w:rsidRDefault="00331B49" w:rsidP="00331B49">
      <w:pPr>
        <w:pStyle w:val="Lista"/>
        <w:ind w:left="1416" w:firstLine="708"/>
        <w:rPr>
          <w:rFonts w:cs="Arial"/>
          <w:b/>
          <w:bCs/>
          <w:sz w:val="16"/>
          <w:szCs w:val="16"/>
        </w:rPr>
      </w:pPr>
    </w:p>
    <w:p w14:paraId="7548DFDB" w14:textId="77777777" w:rsidR="00331B49" w:rsidRDefault="00331B49" w:rsidP="00331B49">
      <w:pPr>
        <w:pStyle w:val="Lista"/>
        <w:ind w:left="1416" w:firstLine="708"/>
        <w:rPr>
          <w:rFonts w:cs="Arial"/>
          <w:b/>
          <w:bCs/>
          <w:sz w:val="16"/>
          <w:szCs w:val="16"/>
        </w:rPr>
      </w:pPr>
    </w:p>
    <w:p w14:paraId="07C0CDA6" w14:textId="77777777" w:rsidR="00331B49" w:rsidRDefault="00331B49" w:rsidP="00331B49">
      <w:pPr>
        <w:pStyle w:val="Lista"/>
        <w:ind w:left="1416" w:firstLine="708"/>
        <w:rPr>
          <w:rFonts w:cs="Arial"/>
          <w:b/>
          <w:bCs/>
          <w:sz w:val="16"/>
          <w:szCs w:val="16"/>
        </w:rPr>
      </w:pPr>
    </w:p>
    <w:p w14:paraId="0A9E11E1" w14:textId="77777777" w:rsidR="00331B49" w:rsidRDefault="00331B49" w:rsidP="00331B49">
      <w:pPr>
        <w:pStyle w:val="Lista"/>
        <w:ind w:left="1416" w:firstLine="708"/>
        <w:rPr>
          <w:rFonts w:cs="Arial"/>
          <w:b/>
          <w:bCs/>
          <w:sz w:val="16"/>
          <w:szCs w:val="16"/>
        </w:rPr>
      </w:pPr>
    </w:p>
    <w:p w14:paraId="6D209D88" w14:textId="77777777" w:rsidR="00331B49" w:rsidRDefault="00331B49" w:rsidP="00331B49">
      <w:pPr>
        <w:pStyle w:val="Lista"/>
        <w:ind w:left="1416" w:firstLine="708"/>
        <w:rPr>
          <w:rFonts w:cs="Arial"/>
          <w:b/>
          <w:bCs/>
          <w:sz w:val="16"/>
          <w:szCs w:val="16"/>
        </w:rPr>
      </w:pPr>
    </w:p>
    <w:p w14:paraId="17485E79" w14:textId="77777777" w:rsidR="00331B49" w:rsidRDefault="00331B49" w:rsidP="00331B49">
      <w:pPr>
        <w:pStyle w:val="Lista"/>
        <w:ind w:left="1416" w:firstLine="708"/>
        <w:rPr>
          <w:rFonts w:cs="Arial"/>
          <w:b/>
          <w:bCs/>
          <w:sz w:val="16"/>
          <w:szCs w:val="16"/>
        </w:rPr>
      </w:pPr>
    </w:p>
    <w:p w14:paraId="4E5D095E" w14:textId="77777777" w:rsidR="00331B49" w:rsidRDefault="00331B49" w:rsidP="00331B49">
      <w:pPr>
        <w:pStyle w:val="Lista"/>
        <w:ind w:left="1416" w:firstLine="708"/>
        <w:rPr>
          <w:rFonts w:cs="Arial"/>
          <w:b/>
          <w:bCs/>
          <w:sz w:val="16"/>
          <w:szCs w:val="16"/>
        </w:rPr>
      </w:pPr>
    </w:p>
    <w:p w14:paraId="623D4AF1" w14:textId="77777777" w:rsidR="00331B49" w:rsidRDefault="00331B49" w:rsidP="00331B49">
      <w:pPr>
        <w:pStyle w:val="Lista"/>
        <w:ind w:left="1416" w:firstLine="708"/>
        <w:rPr>
          <w:rFonts w:cs="Arial"/>
          <w:b/>
          <w:bCs/>
          <w:sz w:val="16"/>
          <w:szCs w:val="16"/>
        </w:rPr>
      </w:pPr>
    </w:p>
    <w:p w14:paraId="6470D9B0" w14:textId="77777777" w:rsidR="00331B49" w:rsidRDefault="00331B49" w:rsidP="00331B49">
      <w:pPr>
        <w:pStyle w:val="Lista"/>
        <w:ind w:left="1416" w:firstLine="708"/>
        <w:rPr>
          <w:rFonts w:cs="Arial"/>
          <w:b/>
          <w:bCs/>
          <w:sz w:val="16"/>
          <w:szCs w:val="16"/>
        </w:rPr>
      </w:pPr>
    </w:p>
    <w:p w14:paraId="3D9789C6" w14:textId="77777777" w:rsidR="003948F6" w:rsidRDefault="003948F6" w:rsidP="31FF9146">
      <w:pPr>
        <w:pStyle w:val="Lista"/>
        <w:ind w:left="1416" w:firstLine="708"/>
        <w:rPr>
          <w:rFonts w:cs="Arial"/>
          <w:b/>
          <w:sz w:val="16"/>
          <w:szCs w:val="16"/>
        </w:rPr>
      </w:pPr>
    </w:p>
    <w:p w14:paraId="3AD5D5FE" w14:textId="3B59E49C" w:rsidR="00621BC4" w:rsidRDefault="00621BC4" w:rsidP="003948F6">
      <w:pPr>
        <w:pStyle w:val="Lista"/>
        <w:jc w:val="center"/>
        <w:rPr>
          <w:rFonts w:cs="Arial"/>
          <w:b/>
          <w:sz w:val="16"/>
          <w:szCs w:val="16"/>
        </w:rPr>
      </w:pPr>
      <w:r>
        <w:rPr>
          <w:rFonts w:cs="Arial"/>
          <w:b/>
          <w:sz w:val="16"/>
          <w:szCs w:val="16"/>
        </w:rPr>
        <w:t>Fuente: Oficina de Relacionamiento con el Ciudadano</w:t>
      </w:r>
    </w:p>
    <w:p w14:paraId="682B77A0" w14:textId="77777777" w:rsidR="00621BC4" w:rsidRDefault="00621BC4" w:rsidP="003948F6">
      <w:pPr>
        <w:pStyle w:val="Lista"/>
        <w:jc w:val="center"/>
        <w:rPr>
          <w:rFonts w:cs="Arial"/>
          <w:b/>
          <w:sz w:val="16"/>
          <w:szCs w:val="16"/>
        </w:rPr>
      </w:pPr>
    </w:p>
    <w:p w14:paraId="4EC60172" w14:textId="61EACFDD" w:rsidR="00DE1788" w:rsidRPr="00DE1788" w:rsidRDefault="00DE1788" w:rsidP="003948F6">
      <w:pPr>
        <w:pStyle w:val="Lista"/>
        <w:jc w:val="center"/>
        <w:rPr>
          <w:rFonts w:cs="Arial"/>
          <w:b/>
          <w:sz w:val="16"/>
          <w:szCs w:val="16"/>
        </w:rPr>
      </w:pPr>
    </w:p>
    <w:p w14:paraId="2AC23438" w14:textId="2584DB65" w:rsidR="005325D9" w:rsidRPr="001D04D0" w:rsidRDefault="004647F8" w:rsidP="31FF9146">
      <w:pPr>
        <w:pStyle w:val="Prrafodelista"/>
        <w:ind w:left="2832" w:firstLine="708"/>
        <w:rPr>
          <w:rFonts w:cs="Arial"/>
          <w:b/>
          <w:bCs/>
          <w:sz w:val="22"/>
          <w:szCs w:val="22"/>
        </w:rPr>
      </w:pPr>
      <w:r w:rsidRPr="31FF9146">
        <w:rPr>
          <w:rFonts w:cs="Arial"/>
          <w:b/>
          <w:bCs/>
          <w:sz w:val="22"/>
          <w:szCs w:val="22"/>
        </w:rPr>
        <w:t>R</w:t>
      </w:r>
      <w:r w:rsidR="001D04D0" w:rsidRPr="31FF9146">
        <w:rPr>
          <w:rFonts w:cs="Arial"/>
          <w:b/>
          <w:bCs/>
          <w:sz w:val="22"/>
          <w:szCs w:val="22"/>
        </w:rPr>
        <w:t xml:space="preserve">angos </w:t>
      </w:r>
      <w:r w:rsidR="005325D9" w:rsidRPr="31FF9146">
        <w:rPr>
          <w:rFonts w:cs="Arial"/>
          <w:b/>
          <w:bCs/>
          <w:sz w:val="22"/>
          <w:szCs w:val="22"/>
        </w:rPr>
        <w:t>indicadores</w:t>
      </w:r>
    </w:p>
    <w:tbl>
      <w:tblPr>
        <w:tblpPr w:leftFromText="141" w:rightFromText="141" w:vertAnchor="text" w:horzAnchor="page" w:tblpXSpec="center" w:tblpY="104"/>
        <w:tblW w:w="2319" w:type="dxa"/>
        <w:jc w:val="center"/>
        <w:tblCellMar>
          <w:left w:w="70" w:type="dxa"/>
          <w:right w:w="70" w:type="dxa"/>
        </w:tblCellMar>
        <w:tblLook w:val="04A0" w:firstRow="1" w:lastRow="0" w:firstColumn="1" w:lastColumn="0" w:noHBand="0" w:noVBand="1"/>
      </w:tblPr>
      <w:tblGrid>
        <w:gridCol w:w="2319"/>
      </w:tblGrid>
      <w:tr w:rsidR="004647F8" w:rsidRPr="001D04D0" w14:paraId="6605D8C1" w14:textId="77777777" w:rsidTr="00DC4D58">
        <w:trPr>
          <w:trHeight w:val="345"/>
          <w:jc w:val="center"/>
        </w:trPr>
        <w:tc>
          <w:tcPr>
            <w:tcW w:w="2319" w:type="dxa"/>
            <w:tcBorders>
              <w:top w:val="nil"/>
              <w:left w:val="nil"/>
              <w:bottom w:val="nil"/>
              <w:right w:val="nil"/>
            </w:tcBorders>
            <w:shd w:val="clear" w:color="auto" w:fill="F4B084"/>
            <w:noWrap/>
            <w:vAlign w:val="center"/>
            <w:hideMark/>
          </w:tcPr>
          <w:p w14:paraId="78F4E519" w14:textId="77777777" w:rsidR="004647F8" w:rsidRPr="001D04D0" w:rsidRDefault="004647F8" w:rsidP="001D04D0">
            <w:pPr>
              <w:jc w:val="center"/>
              <w:rPr>
                <w:rFonts w:cs="Arial"/>
                <w:sz w:val="20"/>
                <w:szCs w:val="22"/>
              </w:rPr>
            </w:pPr>
            <w:r w:rsidRPr="001D04D0">
              <w:rPr>
                <w:rFonts w:cs="Arial"/>
                <w:sz w:val="20"/>
                <w:szCs w:val="22"/>
              </w:rPr>
              <w:t>Entre 0% y 50%</w:t>
            </w:r>
          </w:p>
        </w:tc>
      </w:tr>
      <w:tr w:rsidR="004647F8" w:rsidRPr="001D04D0" w14:paraId="44001965" w14:textId="77777777" w:rsidTr="00DC4D58">
        <w:trPr>
          <w:trHeight w:val="345"/>
          <w:jc w:val="center"/>
        </w:trPr>
        <w:tc>
          <w:tcPr>
            <w:tcW w:w="2319" w:type="dxa"/>
            <w:tcBorders>
              <w:top w:val="nil"/>
              <w:left w:val="nil"/>
              <w:bottom w:val="nil"/>
              <w:right w:val="nil"/>
            </w:tcBorders>
            <w:shd w:val="clear" w:color="auto" w:fill="FFD966"/>
            <w:noWrap/>
            <w:vAlign w:val="center"/>
            <w:hideMark/>
          </w:tcPr>
          <w:p w14:paraId="09595AE1" w14:textId="77777777" w:rsidR="004647F8" w:rsidRPr="001D04D0" w:rsidRDefault="004647F8" w:rsidP="001D04D0">
            <w:pPr>
              <w:jc w:val="center"/>
              <w:rPr>
                <w:rFonts w:cs="Arial"/>
                <w:sz w:val="20"/>
                <w:szCs w:val="22"/>
              </w:rPr>
            </w:pPr>
            <w:r w:rsidRPr="001D04D0">
              <w:rPr>
                <w:rFonts w:cs="Arial"/>
                <w:sz w:val="20"/>
                <w:szCs w:val="22"/>
              </w:rPr>
              <w:t>Entre 51% y 89%</w:t>
            </w:r>
          </w:p>
        </w:tc>
      </w:tr>
      <w:tr w:rsidR="004647F8" w:rsidRPr="001D04D0" w14:paraId="367EFFA2" w14:textId="77777777" w:rsidTr="00DC4D58">
        <w:trPr>
          <w:trHeight w:val="345"/>
          <w:jc w:val="center"/>
        </w:trPr>
        <w:tc>
          <w:tcPr>
            <w:tcW w:w="2319" w:type="dxa"/>
            <w:tcBorders>
              <w:top w:val="nil"/>
              <w:left w:val="nil"/>
              <w:bottom w:val="nil"/>
              <w:right w:val="nil"/>
            </w:tcBorders>
            <w:shd w:val="clear" w:color="auto" w:fill="92D050"/>
            <w:noWrap/>
            <w:vAlign w:val="center"/>
            <w:hideMark/>
          </w:tcPr>
          <w:p w14:paraId="52DAFF3F" w14:textId="77777777" w:rsidR="004647F8" w:rsidRPr="001D04D0" w:rsidRDefault="004647F8" w:rsidP="001D04D0">
            <w:pPr>
              <w:jc w:val="center"/>
              <w:rPr>
                <w:rFonts w:cs="Arial"/>
                <w:sz w:val="20"/>
                <w:szCs w:val="22"/>
              </w:rPr>
            </w:pPr>
            <w:r w:rsidRPr="001D04D0">
              <w:rPr>
                <w:rFonts w:cs="Arial"/>
                <w:sz w:val="20"/>
                <w:szCs w:val="22"/>
              </w:rPr>
              <w:t>Entre 90% y 100%</w:t>
            </w:r>
          </w:p>
        </w:tc>
      </w:tr>
    </w:tbl>
    <w:p w14:paraId="41890E26" w14:textId="77777777" w:rsidR="00331B49" w:rsidRDefault="00331B49" w:rsidP="00331B49">
      <w:pPr>
        <w:pStyle w:val="Prrafodelista"/>
        <w:ind w:left="567"/>
        <w:jc w:val="center"/>
        <w:rPr>
          <w:rFonts w:cs="Arial"/>
          <w:b/>
          <w:bCs/>
          <w:sz w:val="16"/>
          <w:szCs w:val="16"/>
        </w:rPr>
      </w:pPr>
    </w:p>
    <w:p w14:paraId="41F09F3F" w14:textId="77777777" w:rsidR="00331B49" w:rsidRDefault="00331B49" w:rsidP="00331B49">
      <w:pPr>
        <w:pStyle w:val="Prrafodelista"/>
        <w:ind w:left="567"/>
        <w:jc w:val="center"/>
        <w:rPr>
          <w:rFonts w:cs="Arial"/>
          <w:b/>
          <w:bCs/>
          <w:sz w:val="16"/>
          <w:szCs w:val="16"/>
        </w:rPr>
      </w:pPr>
    </w:p>
    <w:p w14:paraId="471A0CC0" w14:textId="77777777" w:rsidR="00331B49" w:rsidRDefault="00331B49" w:rsidP="00331B49">
      <w:pPr>
        <w:pStyle w:val="Prrafodelista"/>
        <w:ind w:left="567"/>
        <w:jc w:val="center"/>
        <w:rPr>
          <w:rFonts w:cs="Arial"/>
          <w:b/>
          <w:bCs/>
          <w:sz w:val="16"/>
          <w:szCs w:val="16"/>
        </w:rPr>
      </w:pPr>
    </w:p>
    <w:p w14:paraId="4D680BEC" w14:textId="77777777" w:rsidR="00331B49" w:rsidRDefault="00331B49" w:rsidP="00331B49">
      <w:pPr>
        <w:pStyle w:val="Prrafodelista"/>
        <w:ind w:left="567"/>
        <w:jc w:val="center"/>
        <w:rPr>
          <w:rFonts w:cs="Arial"/>
          <w:b/>
          <w:bCs/>
          <w:sz w:val="16"/>
          <w:szCs w:val="16"/>
        </w:rPr>
      </w:pPr>
    </w:p>
    <w:p w14:paraId="2B9E4556" w14:textId="77777777" w:rsidR="00331B49" w:rsidRDefault="00331B49" w:rsidP="00331B49">
      <w:pPr>
        <w:pStyle w:val="Prrafodelista"/>
        <w:ind w:left="567"/>
        <w:jc w:val="center"/>
        <w:rPr>
          <w:rFonts w:cs="Arial"/>
          <w:b/>
          <w:bCs/>
          <w:sz w:val="16"/>
          <w:szCs w:val="16"/>
        </w:rPr>
      </w:pPr>
    </w:p>
    <w:p w14:paraId="71D6BD98" w14:textId="77777777" w:rsidR="00331B49" w:rsidRDefault="00331B49" w:rsidP="00331B49">
      <w:pPr>
        <w:pStyle w:val="Prrafodelista"/>
        <w:ind w:left="567"/>
        <w:jc w:val="center"/>
        <w:rPr>
          <w:rFonts w:cs="Arial"/>
          <w:b/>
          <w:bCs/>
          <w:sz w:val="16"/>
          <w:szCs w:val="16"/>
        </w:rPr>
      </w:pPr>
    </w:p>
    <w:p w14:paraId="563469C0" w14:textId="77777777" w:rsidR="00331B49" w:rsidRDefault="00331B49" w:rsidP="00331B49">
      <w:pPr>
        <w:pStyle w:val="Prrafodelista"/>
        <w:ind w:left="567"/>
        <w:jc w:val="center"/>
        <w:rPr>
          <w:rFonts w:cs="Arial"/>
          <w:b/>
          <w:bCs/>
          <w:sz w:val="16"/>
          <w:szCs w:val="16"/>
        </w:rPr>
      </w:pPr>
    </w:p>
    <w:p w14:paraId="6D10BF71" w14:textId="058412D6" w:rsidR="00331B49" w:rsidRPr="007252B5" w:rsidRDefault="00331B49" w:rsidP="007252B5">
      <w:pPr>
        <w:pStyle w:val="Prrafodelista"/>
        <w:ind w:left="567"/>
        <w:rPr>
          <w:rFonts w:cs="Arial"/>
          <w:b/>
          <w:bCs/>
          <w:sz w:val="16"/>
          <w:szCs w:val="16"/>
        </w:rPr>
      </w:pPr>
      <w:r>
        <w:rPr>
          <w:rFonts w:cs="Arial"/>
          <w:b/>
          <w:bCs/>
          <w:sz w:val="16"/>
          <w:szCs w:val="16"/>
        </w:rPr>
        <w:t xml:space="preserve">                                                     </w:t>
      </w:r>
      <w:r w:rsidRPr="31FF9146">
        <w:rPr>
          <w:rFonts w:cs="Arial"/>
          <w:b/>
          <w:bCs/>
          <w:sz w:val="16"/>
          <w:szCs w:val="16"/>
        </w:rPr>
        <w:t xml:space="preserve">Fuente: Oficina de Relación con el Ciudadano </w:t>
      </w:r>
    </w:p>
    <w:p w14:paraId="368D4B6F" w14:textId="77777777" w:rsidR="00331B49" w:rsidRDefault="00331B49" w:rsidP="00331B49">
      <w:pPr>
        <w:pStyle w:val="Prrafodelista"/>
        <w:ind w:left="567"/>
        <w:jc w:val="center"/>
        <w:rPr>
          <w:rFonts w:cs="Arial"/>
          <w:b/>
          <w:bCs/>
          <w:sz w:val="16"/>
          <w:szCs w:val="16"/>
        </w:rPr>
      </w:pPr>
    </w:p>
    <w:p w14:paraId="70FB7ADB" w14:textId="379ED8E3" w:rsidR="00331B49" w:rsidRPr="007252B5" w:rsidRDefault="00621BC4" w:rsidP="007252B5">
      <w:pPr>
        <w:pStyle w:val="Descripcin"/>
        <w:keepNext/>
        <w:jc w:val="center"/>
        <w:rPr>
          <w:rFonts w:ascii="Arial" w:hAnsi="Arial" w:cs="Arial"/>
          <w:b/>
          <w:bCs/>
          <w:i w:val="0"/>
          <w:iCs w:val="0"/>
          <w:color w:val="000000" w:themeColor="text1"/>
          <w:sz w:val="16"/>
        </w:rPr>
      </w:pPr>
      <w:bookmarkStart w:id="170" w:name="_Toc88677132"/>
      <w:r w:rsidRPr="007252B5">
        <w:rPr>
          <w:rFonts w:ascii="Arial" w:hAnsi="Arial" w:cs="Arial"/>
          <w:b/>
          <w:bCs/>
          <w:i w:val="0"/>
          <w:iCs w:val="0"/>
          <w:color w:val="000000" w:themeColor="text1"/>
          <w:sz w:val="16"/>
        </w:rPr>
        <w:t xml:space="preserve">Tabla </w:t>
      </w:r>
      <w:r w:rsidRPr="007252B5">
        <w:rPr>
          <w:rFonts w:ascii="Arial" w:hAnsi="Arial" w:cs="Arial"/>
          <w:b/>
          <w:bCs/>
          <w:i w:val="0"/>
          <w:iCs w:val="0"/>
          <w:color w:val="000000" w:themeColor="text1"/>
          <w:sz w:val="16"/>
        </w:rPr>
        <w:fldChar w:fldCharType="begin"/>
      </w:r>
      <w:r w:rsidRPr="007252B5">
        <w:rPr>
          <w:rFonts w:ascii="Arial" w:hAnsi="Arial" w:cs="Arial"/>
          <w:b/>
          <w:bCs/>
          <w:i w:val="0"/>
          <w:iCs w:val="0"/>
          <w:color w:val="000000" w:themeColor="text1"/>
          <w:sz w:val="16"/>
        </w:rPr>
        <w:instrText xml:space="preserve"> SEQ Tabla \* ARABIC </w:instrText>
      </w:r>
      <w:r w:rsidRPr="007252B5">
        <w:rPr>
          <w:rFonts w:ascii="Arial" w:hAnsi="Arial" w:cs="Arial"/>
          <w:b/>
          <w:bCs/>
          <w:i w:val="0"/>
          <w:iCs w:val="0"/>
          <w:color w:val="000000" w:themeColor="text1"/>
          <w:sz w:val="16"/>
        </w:rPr>
        <w:fldChar w:fldCharType="separate"/>
      </w:r>
      <w:r w:rsidR="004D4C6A">
        <w:rPr>
          <w:rFonts w:ascii="Arial" w:hAnsi="Arial" w:cs="Arial"/>
          <w:b/>
          <w:bCs/>
          <w:i w:val="0"/>
          <w:iCs w:val="0"/>
          <w:noProof/>
          <w:color w:val="000000" w:themeColor="text1"/>
          <w:sz w:val="16"/>
        </w:rPr>
        <w:t>60</w:t>
      </w:r>
      <w:r w:rsidRPr="007252B5">
        <w:rPr>
          <w:rFonts w:ascii="Arial" w:hAnsi="Arial" w:cs="Arial"/>
          <w:b/>
          <w:bCs/>
          <w:i w:val="0"/>
          <w:iCs w:val="0"/>
          <w:color w:val="000000" w:themeColor="text1"/>
          <w:sz w:val="16"/>
        </w:rPr>
        <w:fldChar w:fldCharType="end"/>
      </w:r>
      <w:r w:rsidRPr="007252B5">
        <w:rPr>
          <w:rFonts w:ascii="Arial" w:hAnsi="Arial" w:cs="Arial"/>
          <w:b/>
          <w:bCs/>
          <w:i w:val="0"/>
          <w:iCs w:val="0"/>
          <w:color w:val="000000" w:themeColor="text1"/>
          <w:sz w:val="16"/>
        </w:rPr>
        <w:t>. Resultados gestión PQRD Sede Central IGAC</w:t>
      </w:r>
      <w:r w:rsidR="00331B49" w:rsidRPr="008179E9">
        <w:rPr>
          <w:noProof/>
          <w:lang w:eastAsia="es-CO"/>
        </w:rPr>
        <w:drawing>
          <wp:anchor distT="0" distB="0" distL="114300" distR="114300" simplePos="0" relativeHeight="251658258" behindDoc="0" locked="0" layoutInCell="1" allowOverlap="1" wp14:anchorId="01E7310C" wp14:editId="1D513E87">
            <wp:simplePos x="0" y="0"/>
            <wp:positionH relativeFrom="margin">
              <wp:align>center</wp:align>
            </wp:positionH>
            <wp:positionV relativeFrom="paragraph">
              <wp:posOffset>212090</wp:posOffset>
            </wp:positionV>
            <wp:extent cx="6390005" cy="3792855"/>
            <wp:effectExtent l="0" t="0" r="0" b="0"/>
            <wp:wrapSquare wrapText="bothSides"/>
            <wp:docPr id="61" name="Imagen 61" descr="Interfaz de usuario gráfica, Aplicación, Tabla, Excel&#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n 27" descr="Interfaz de usuario gráfica, Aplicación, Tabla, Excel&#10;&#10;Descripción generada automáticamente"/>
                    <pic:cNvPicPr/>
                  </pic:nvPicPr>
                  <pic:blipFill rotWithShape="1">
                    <a:blip r:embed="rId126">
                      <a:extLst>
                        <a:ext uri="{28A0092B-C50C-407E-A947-70E740481C1C}">
                          <a14:useLocalDpi xmlns:a14="http://schemas.microsoft.com/office/drawing/2010/main" val="0"/>
                        </a:ext>
                      </a:extLst>
                    </a:blip>
                    <a:srcRect l="3413" t="25509" r="35191" b="9037"/>
                    <a:stretch/>
                  </pic:blipFill>
                  <pic:spPr bwMode="auto">
                    <a:xfrm>
                      <a:off x="0" y="0"/>
                      <a:ext cx="6390005" cy="3792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170"/>
    </w:p>
    <w:p w14:paraId="6DED8C6D" w14:textId="77777777" w:rsidR="00AD6999" w:rsidRDefault="00AD6999" w:rsidP="31FF9146">
      <w:pPr>
        <w:pStyle w:val="Prrafodelista"/>
        <w:ind w:left="567"/>
        <w:jc w:val="center"/>
        <w:rPr>
          <w:rFonts w:cs="Arial"/>
          <w:b/>
          <w:bCs/>
          <w:sz w:val="16"/>
          <w:szCs w:val="16"/>
        </w:rPr>
      </w:pPr>
    </w:p>
    <w:p w14:paraId="72EE9B9D" w14:textId="77777777" w:rsidR="00AD6999" w:rsidRDefault="00AD6999" w:rsidP="31FF9146">
      <w:pPr>
        <w:pStyle w:val="Prrafodelista"/>
        <w:ind w:left="567"/>
        <w:jc w:val="center"/>
        <w:rPr>
          <w:rFonts w:cs="Arial"/>
          <w:b/>
          <w:bCs/>
          <w:sz w:val="16"/>
          <w:szCs w:val="16"/>
        </w:rPr>
      </w:pPr>
    </w:p>
    <w:p w14:paraId="6D261F99" w14:textId="77777777" w:rsidR="00AD6999" w:rsidRDefault="00AD6999" w:rsidP="31FF9146">
      <w:pPr>
        <w:pStyle w:val="Prrafodelista"/>
        <w:ind w:left="567"/>
        <w:jc w:val="center"/>
        <w:rPr>
          <w:rFonts w:cs="Arial"/>
          <w:b/>
          <w:bCs/>
          <w:sz w:val="16"/>
          <w:szCs w:val="16"/>
        </w:rPr>
      </w:pPr>
    </w:p>
    <w:p w14:paraId="43DB907D" w14:textId="77777777" w:rsidR="00AD6999" w:rsidRDefault="00AD6999" w:rsidP="31FF9146">
      <w:pPr>
        <w:pStyle w:val="Prrafodelista"/>
        <w:ind w:left="567"/>
        <w:jc w:val="center"/>
        <w:rPr>
          <w:rFonts w:cs="Arial"/>
          <w:b/>
          <w:bCs/>
          <w:sz w:val="16"/>
          <w:szCs w:val="16"/>
        </w:rPr>
      </w:pPr>
    </w:p>
    <w:p w14:paraId="0D7AAFD0" w14:textId="5E7175DE" w:rsidR="005325D9" w:rsidRPr="007252B5" w:rsidRDefault="0011391D" w:rsidP="007252B5">
      <w:pPr>
        <w:pStyle w:val="Descripcin"/>
        <w:keepNext/>
        <w:jc w:val="center"/>
        <w:rPr>
          <w:rFonts w:ascii="Arial" w:hAnsi="Arial" w:cs="Arial"/>
          <w:b/>
          <w:bCs/>
          <w:i w:val="0"/>
          <w:iCs w:val="0"/>
          <w:color w:val="000000" w:themeColor="text1"/>
          <w:sz w:val="16"/>
          <w:szCs w:val="16"/>
        </w:rPr>
      </w:pPr>
      <w:bookmarkStart w:id="171" w:name="_Toc88677133"/>
      <w:r w:rsidRPr="0011391D">
        <w:rPr>
          <w:rFonts w:ascii="Arial" w:hAnsi="Arial" w:cs="Arial"/>
          <w:b/>
          <w:bCs/>
          <w:i w:val="0"/>
          <w:iCs w:val="0"/>
          <w:color w:val="000000" w:themeColor="text1"/>
          <w:sz w:val="16"/>
          <w:szCs w:val="16"/>
        </w:rPr>
        <w:lastRenderedPageBreak/>
        <w:t xml:space="preserve">Tabla </w:t>
      </w:r>
      <w:r w:rsidRPr="0011391D">
        <w:rPr>
          <w:rFonts w:ascii="Arial" w:hAnsi="Arial" w:cs="Arial"/>
          <w:b/>
          <w:bCs/>
          <w:i w:val="0"/>
          <w:iCs w:val="0"/>
          <w:color w:val="000000" w:themeColor="text1"/>
          <w:sz w:val="16"/>
          <w:szCs w:val="16"/>
        </w:rPr>
        <w:fldChar w:fldCharType="begin"/>
      </w:r>
      <w:r w:rsidRPr="0011391D">
        <w:rPr>
          <w:rFonts w:ascii="Arial" w:hAnsi="Arial" w:cs="Arial"/>
          <w:b/>
          <w:bCs/>
          <w:i w:val="0"/>
          <w:iCs w:val="0"/>
          <w:color w:val="000000" w:themeColor="text1"/>
          <w:sz w:val="16"/>
          <w:szCs w:val="16"/>
        </w:rPr>
        <w:instrText xml:space="preserve"> SEQ Tabla \* ARABIC </w:instrText>
      </w:r>
      <w:r w:rsidRPr="0011391D">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61</w:t>
      </w:r>
      <w:r w:rsidRPr="0011391D">
        <w:rPr>
          <w:rFonts w:ascii="Arial" w:hAnsi="Arial" w:cs="Arial"/>
          <w:b/>
          <w:bCs/>
          <w:i w:val="0"/>
          <w:iCs w:val="0"/>
          <w:color w:val="000000" w:themeColor="text1"/>
          <w:sz w:val="16"/>
          <w:szCs w:val="16"/>
        </w:rPr>
        <w:fldChar w:fldCharType="end"/>
      </w:r>
      <w:r w:rsidRPr="0011391D">
        <w:rPr>
          <w:rFonts w:ascii="Arial" w:hAnsi="Arial" w:cs="Arial"/>
          <w:b/>
          <w:bCs/>
          <w:i w:val="0"/>
          <w:iCs w:val="0"/>
          <w:color w:val="000000" w:themeColor="text1"/>
          <w:sz w:val="16"/>
          <w:szCs w:val="16"/>
        </w:rPr>
        <w:t xml:space="preserve">. </w:t>
      </w:r>
      <w:r w:rsidR="00D41F47" w:rsidRPr="0011391D">
        <w:rPr>
          <w:rFonts w:ascii="Arial" w:hAnsi="Arial" w:cs="Arial"/>
          <w:b/>
          <w:i w:val="0"/>
          <w:color w:val="000000" w:themeColor="text1"/>
          <w:sz w:val="16"/>
          <w:szCs w:val="16"/>
        </w:rPr>
        <w:t xml:space="preserve">Resultados gestión PQRD </w:t>
      </w:r>
      <w:r w:rsidR="3C5DF9D7" w:rsidRPr="0011391D">
        <w:rPr>
          <w:rFonts w:ascii="Arial" w:hAnsi="Arial" w:cs="Arial"/>
          <w:b/>
          <w:i w:val="0"/>
          <w:color w:val="000000" w:themeColor="text1"/>
          <w:sz w:val="16"/>
          <w:szCs w:val="16"/>
        </w:rPr>
        <w:t xml:space="preserve">Direcciones Territoriales </w:t>
      </w:r>
      <w:r w:rsidR="00D41F47" w:rsidRPr="0011391D">
        <w:rPr>
          <w:rFonts w:ascii="Arial" w:hAnsi="Arial" w:cs="Arial"/>
          <w:b/>
          <w:i w:val="0"/>
          <w:color w:val="000000" w:themeColor="text1"/>
          <w:sz w:val="16"/>
          <w:szCs w:val="16"/>
        </w:rPr>
        <w:t>IGA</w:t>
      </w:r>
      <w:r w:rsidR="007252B5">
        <w:rPr>
          <w:rFonts w:ascii="Arial" w:hAnsi="Arial" w:cs="Arial"/>
          <w:b/>
          <w:i w:val="0"/>
          <w:color w:val="000000" w:themeColor="text1"/>
          <w:sz w:val="16"/>
          <w:szCs w:val="16"/>
        </w:rPr>
        <w:t>C</w:t>
      </w:r>
      <w:r w:rsidR="00331B49" w:rsidRPr="008179E9">
        <w:rPr>
          <w:noProof/>
          <w:lang w:eastAsia="es-CO"/>
        </w:rPr>
        <w:drawing>
          <wp:anchor distT="0" distB="0" distL="114300" distR="114300" simplePos="0" relativeHeight="251658257" behindDoc="0" locked="0" layoutInCell="1" allowOverlap="1" wp14:anchorId="50D8781E" wp14:editId="1B84F4C9">
            <wp:simplePos x="0" y="0"/>
            <wp:positionH relativeFrom="margin">
              <wp:posOffset>-184785</wp:posOffset>
            </wp:positionH>
            <wp:positionV relativeFrom="paragraph">
              <wp:posOffset>219075</wp:posOffset>
            </wp:positionV>
            <wp:extent cx="6390005" cy="3350260"/>
            <wp:effectExtent l="0" t="0" r="0" b="2540"/>
            <wp:wrapSquare wrapText="bothSides"/>
            <wp:docPr id="62" name="Imagen 62" descr="Interfaz de usuario gráfica, Aplicación, Tabla, Excel&#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 28" descr="Interfaz de usuario gráfica, Aplicación, Tabla, Excel&#10;&#10;Descripción generada automáticamente"/>
                    <pic:cNvPicPr/>
                  </pic:nvPicPr>
                  <pic:blipFill rotWithShape="1">
                    <a:blip r:embed="rId127">
                      <a:extLst>
                        <a:ext uri="{28A0092B-C50C-407E-A947-70E740481C1C}">
                          <a14:useLocalDpi xmlns:a14="http://schemas.microsoft.com/office/drawing/2010/main" val="0"/>
                        </a:ext>
                      </a:extLst>
                    </a:blip>
                    <a:srcRect l="3499" t="25594" r="35304" b="20911"/>
                    <a:stretch/>
                  </pic:blipFill>
                  <pic:spPr bwMode="auto">
                    <a:xfrm>
                      <a:off x="0" y="0"/>
                      <a:ext cx="6390005" cy="33502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171"/>
    </w:p>
    <w:p w14:paraId="2AB485BF" w14:textId="77777777" w:rsidR="005325D9" w:rsidRPr="00D41F47" w:rsidRDefault="00D41F47" w:rsidP="31FF9146">
      <w:pPr>
        <w:pStyle w:val="Prrafodelista"/>
        <w:ind w:left="567"/>
        <w:jc w:val="center"/>
        <w:rPr>
          <w:rFonts w:cs="Arial"/>
          <w:b/>
          <w:bCs/>
          <w:sz w:val="16"/>
          <w:szCs w:val="16"/>
        </w:rPr>
      </w:pPr>
      <w:r w:rsidRPr="31FF9146">
        <w:rPr>
          <w:rFonts w:cs="Arial"/>
          <w:b/>
          <w:bCs/>
          <w:sz w:val="16"/>
          <w:szCs w:val="16"/>
        </w:rPr>
        <w:t xml:space="preserve">Fuente: Oficina de Relación con el Ciudadano </w:t>
      </w:r>
    </w:p>
    <w:p w14:paraId="693579A1" w14:textId="75A8BB35" w:rsidR="005325D9" w:rsidRPr="008179E9" w:rsidRDefault="005325D9" w:rsidP="00C72779">
      <w:pPr>
        <w:pStyle w:val="Prrafodelista"/>
        <w:ind w:left="567"/>
        <w:rPr>
          <w:rFonts w:cs="Arial"/>
          <w:sz w:val="22"/>
          <w:szCs w:val="22"/>
        </w:rPr>
      </w:pPr>
    </w:p>
    <w:p w14:paraId="67E538D1" w14:textId="5CAD8268" w:rsidR="00145890" w:rsidRDefault="005325D9" w:rsidP="00CF0B41">
      <w:pPr>
        <w:rPr>
          <w:rFonts w:cs="Arial"/>
          <w:sz w:val="22"/>
          <w:szCs w:val="22"/>
        </w:rPr>
      </w:pPr>
      <w:r w:rsidRPr="00CF0B41">
        <w:rPr>
          <w:rFonts w:cs="Arial"/>
          <w:sz w:val="22"/>
          <w:szCs w:val="22"/>
        </w:rPr>
        <w:t>Debido al nuevo Sistema de Gestión Documental SIGAC, implementado desde 14 de diciembre de 2020,</w:t>
      </w:r>
      <w:r w:rsidR="00145890">
        <w:rPr>
          <w:rFonts w:cs="Arial"/>
          <w:sz w:val="22"/>
          <w:szCs w:val="22"/>
        </w:rPr>
        <w:t xml:space="preserve"> se logró:</w:t>
      </w:r>
    </w:p>
    <w:p w14:paraId="775195F4" w14:textId="5CAD8268" w:rsidR="00523048" w:rsidRDefault="00523048" w:rsidP="00CF0B41">
      <w:pPr>
        <w:rPr>
          <w:rFonts w:cs="Arial"/>
          <w:sz w:val="22"/>
          <w:szCs w:val="22"/>
        </w:rPr>
      </w:pPr>
    </w:p>
    <w:p w14:paraId="493859D6" w14:textId="75A8BB35" w:rsidR="00CF0B41" w:rsidRPr="00145890" w:rsidRDefault="00145890" w:rsidP="000A20EE">
      <w:pPr>
        <w:pStyle w:val="Prrafodelista"/>
        <w:numPr>
          <w:ilvl w:val="0"/>
          <w:numId w:val="182"/>
        </w:numPr>
        <w:rPr>
          <w:sz w:val="22"/>
          <w:szCs w:val="22"/>
        </w:rPr>
      </w:pPr>
      <w:r w:rsidRPr="00145890">
        <w:rPr>
          <w:rFonts w:cs="Arial"/>
          <w:sz w:val="22"/>
          <w:szCs w:val="22"/>
        </w:rPr>
        <w:t>R</w:t>
      </w:r>
      <w:r w:rsidR="005325D9" w:rsidRPr="00145890">
        <w:rPr>
          <w:rFonts w:cs="Arial"/>
          <w:sz w:val="22"/>
          <w:szCs w:val="22"/>
        </w:rPr>
        <w:t xml:space="preserve">ealizar el seguimiento individual a las dependencias de Sede Central lo que conlleva a un mejor control de la gestión realizada. </w:t>
      </w:r>
    </w:p>
    <w:p w14:paraId="5623A669" w14:textId="75A8BB35" w:rsidR="0018282B" w:rsidRPr="00CF0B41" w:rsidRDefault="00145890" w:rsidP="000A20EE">
      <w:pPr>
        <w:pStyle w:val="Lista"/>
        <w:numPr>
          <w:ilvl w:val="0"/>
          <w:numId w:val="181"/>
        </w:numPr>
        <w:rPr>
          <w:sz w:val="22"/>
          <w:szCs w:val="22"/>
          <w:lang w:val="es-CO"/>
        </w:rPr>
      </w:pPr>
      <w:r w:rsidRPr="718B555A">
        <w:rPr>
          <w:sz w:val="22"/>
          <w:szCs w:val="22"/>
        </w:rPr>
        <w:t xml:space="preserve">Generar </w:t>
      </w:r>
      <w:r w:rsidR="0012264C" w:rsidRPr="718B555A">
        <w:rPr>
          <w:rFonts w:eastAsiaTheme="minorEastAsia"/>
          <w:sz w:val="22"/>
          <w:szCs w:val="22"/>
        </w:rPr>
        <w:t xml:space="preserve">reportes con información detallada para la consolidación de informes de seguimiento periódico. </w:t>
      </w:r>
    </w:p>
    <w:p w14:paraId="6C384B5E" w14:textId="3A9C97E3" w:rsidR="0018282B" w:rsidRPr="00CF0B41" w:rsidRDefault="0012264C" w:rsidP="000A20EE">
      <w:pPr>
        <w:pStyle w:val="Lista"/>
        <w:numPr>
          <w:ilvl w:val="0"/>
          <w:numId w:val="181"/>
        </w:numPr>
        <w:rPr>
          <w:sz w:val="22"/>
          <w:szCs w:val="22"/>
          <w:lang w:val="es-CO"/>
        </w:rPr>
      </w:pPr>
      <w:r w:rsidRPr="718B555A">
        <w:rPr>
          <w:rFonts w:eastAsiaTheme="minorEastAsia"/>
          <w:sz w:val="22"/>
          <w:szCs w:val="22"/>
        </w:rPr>
        <w:t xml:space="preserve">El </w:t>
      </w:r>
      <w:r w:rsidR="00523048" w:rsidRPr="00CF0B41">
        <w:rPr>
          <w:sz w:val="22"/>
        </w:rPr>
        <w:t>trámite</w:t>
      </w:r>
      <w:r w:rsidRPr="718B555A">
        <w:rPr>
          <w:rFonts w:eastAsiaTheme="minorEastAsia"/>
          <w:sz w:val="22"/>
          <w:szCs w:val="22"/>
        </w:rPr>
        <w:t xml:space="preserve"> de las PQRSD se realiza a través del Sistema de Gestión Documental; desde la implementación del nuevo sistema SIGAC las peticiones se digitalizan y es posible hacerle seguimiento a la trazabilidad del radicado.</w:t>
      </w:r>
    </w:p>
    <w:p w14:paraId="6C03C712" w14:textId="2AE76C11" w:rsidR="0018282B" w:rsidRPr="00CF0B41" w:rsidRDefault="00523048" w:rsidP="000A20EE">
      <w:pPr>
        <w:pStyle w:val="Lista"/>
        <w:numPr>
          <w:ilvl w:val="0"/>
          <w:numId w:val="181"/>
        </w:numPr>
        <w:rPr>
          <w:sz w:val="22"/>
          <w:szCs w:val="22"/>
          <w:lang w:val="es-CO"/>
        </w:rPr>
      </w:pPr>
      <w:r>
        <w:rPr>
          <w:sz w:val="22"/>
        </w:rPr>
        <w:t>Desarrollar</w:t>
      </w:r>
      <w:r w:rsidRPr="718B555A">
        <w:rPr>
          <w:sz w:val="22"/>
          <w:szCs w:val="22"/>
        </w:rPr>
        <w:t xml:space="preserve"> </w:t>
      </w:r>
      <w:r w:rsidR="0012264C" w:rsidRPr="718B555A">
        <w:rPr>
          <w:rFonts w:eastAsiaTheme="minorEastAsia"/>
          <w:sz w:val="22"/>
          <w:szCs w:val="22"/>
        </w:rPr>
        <w:t>la ventanilla virtual en la página web, estableciendo la posibilidad de formular peticiones anónimas.</w:t>
      </w:r>
    </w:p>
    <w:p w14:paraId="04E1201D" w14:textId="579AA6ED" w:rsidR="00CF0B41" w:rsidRPr="0059039B" w:rsidRDefault="00523048" w:rsidP="000A20EE">
      <w:pPr>
        <w:pStyle w:val="Lista"/>
        <w:numPr>
          <w:ilvl w:val="0"/>
          <w:numId w:val="181"/>
        </w:numPr>
        <w:rPr>
          <w:rFonts w:eastAsiaTheme="minorEastAsia"/>
          <w:sz w:val="22"/>
          <w:szCs w:val="22"/>
        </w:rPr>
      </w:pPr>
      <w:r>
        <w:rPr>
          <w:sz w:val="22"/>
        </w:rPr>
        <w:t>Implementar</w:t>
      </w:r>
      <w:r w:rsidR="0012264C" w:rsidRPr="718B555A">
        <w:rPr>
          <w:rFonts w:eastAsiaTheme="minorEastAsia"/>
          <w:sz w:val="22"/>
          <w:szCs w:val="22"/>
        </w:rPr>
        <w:t xml:space="preserve"> la tipificación de las peticiones y caracterización de los ciudadanos.</w:t>
      </w:r>
    </w:p>
    <w:p w14:paraId="401CFF43" w14:textId="7C428B18" w:rsidR="004269B2" w:rsidRPr="004269B2" w:rsidRDefault="004269B2" w:rsidP="004269B2">
      <w:pPr>
        <w:pStyle w:val="Lista"/>
        <w:ind w:left="720"/>
        <w:rPr>
          <w:sz w:val="22"/>
          <w:szCs w:val="22"/>
          <w:lang w:val="es-CO"/>
        </w:rPr>
      </w:pPr>
    </w:p>
    <w:p w14:paraId="4E6B9AFA" w14:textId="34F671DD" w:rsidR="004269B2" w:rsidRDefault="004269B2" w:rsidP="004269B2">
      <w:pPr>
        <w:pStyle w:val="Lista"/>
        <w:rPr>
          <w:sz w:val="22"/>
          <w:szCs w:val="22"/>
          <w:lang w:val="es-CO"/>
        </w:rPr>
      </w:pPr>
    </w:p>
    <w:p w14:paraId="6D7AEE91" w14:textId="201F353A" w:rsidR="007252B5" w:rsidRDefault="007252B5" w:rsidP="004269B2">
      <w:pPr>
        <w:pStyle w:val="Lista"/>
        <w:rPr>
          <w:sz w:val="22"/>
          <w:szCs w:val="22"/>
          <w:lang w:val="es-CO"/>
        </w:rPr>
      </w:pPr>
    </w:p>
    <w:p w14:paraId="6849B1FB" w14:textId="6E3DE810" w:rsidR="007252B5" w:rsidRDefault="007252B5" w:rsidP="004269B2">
      <w:pPr>
        <w:pStyle w:val="Lista"/>
        <w:rPr>
          <w:sz w:val="22"/>
          <w:szCs w:val="22"/>
          <w:lang w:val="es-CO"/>
        </w:rPr>
      </w:pPr>
    </w:p>
    <w:p w14:paraId="57FC8DA5" w14:textId="0ED2D912" w:rsidR="007252B5" w:rsidRDefault="007252B5" w:rsidP="004269B2">
      <w:pPr>
        <w:pStyle w:val="Lista"/>
        <w:rPr>
          <w:sz w:val="22"/>
          <w:szCs w:val="22"/>
          <w:lang w:val="es-CO"/>
        </w:rPr>
      </w:pPr>
    </w:p>
    <w:p w14:paraId="49DE511E" w14:textId="70DAD3F9" w:rsidR="007252B5" w:rsidRDefault="007252B5" w:rsidP="004269B2">
      <w:pPr>
        <w:pStyle w:val="Lista"/>
        <w:rPr>
          <w:sz w:val="22"/>
          <w:szCs w:val="22"/>
          <w:lang w:val="es-CO"/>
        </w:rPr>
      </w:pPr>
    </w:p>
    <w:p w14:paraId="1602DCC3" w14:textId="06DBEE80" w:rsidR="007252B5" w:rsidRDefault="007252B5" w:rsidP="004269B2">
      <w:pPr>
        <w:pStyle w:val="Lista"/>
        <w:rPr>
          <w:sz w:val="22"/>
          <w:szCs w:val="22"/>
          <w:lang w:val="es-CO"/>
        </w:rPr>
      </w:pPr>
    </w:p>
    <w:p w14:paraId="3E5946D1" w14:textId="01FEA11D" w:rsidR="007252B5" w:rsidRDefault="007252B5" w:rsidP="004269B2">
      <w:pPr>
        <w:pStyle w:val="Lista"/>
        <w:rPr>
          <w:sz w:val="22"/>
          <w:szCs w:val="22"/>
          <w:lang w:val="es-CO"/>
        </w:rPr>
      </w:pPr>
    </w:p>
    <w:p w14:paraId="20777934" w14:textId="2271850E" w:rsidR="007252B5" w:rsidRDefault="007252B5" w:rsidP="004269B2">
      <w:pPr>
        <w:pStyle w:val="Lista"/>
        <w:rPr>
          <w:sz w:val="22"/>
          <w:szCs w:val="22"/>
          <w:lang w:val="es-CO"/>
        </w:rPr>
      </w:pPr>
    </w:p>
    <w:p w14:paraId="780A274D" w14:textId="38929E2C" w:rsidR="007252B5" w:rsidRDefault="007252B5" w:rsidP="004269B2">
      <w:pPr>
        <w:pStyle w:val="Lista"/>
        <w:rPr>
          <w:sz w:val="22"/>
          <w:szCs w:val="22"/>
          <w:lang w:val="es-CO"/>
        </w:rPr>
      </w:pPr>
    </w:p>
    <w:p w14:paraId="6BCAD8B8" w14:textId="5FE909C5" w:rsidR="007252B5" w:rsidRDefault="007252B5" w:rsidP="004269B2">
      <w:pPr>
        <w:pStyle w:val="Lista"/>
        <w:rPr>
          <w:sz w:val="22"/>
          <w:szCs w:val="22"/>
          <w:lang w:val="es-CO"/>
        </w:rPr>
      </w:pPr>
    </w:p>
    <w:p w14:paraId="0A28BF62" w14:textId="5842CCE5" w:rsidR="007252B5" w:rsidRDefault="007252B5" w:rsidP="004269B2">
      <w:pPr>
        <w:pStyle w:val="Lista"/>
        <w:rPr>
          <w:sz w:val="22"/>
          <w:szCs w:val="22"/>
          <w:lang w:val="es-CO"/>
        </w:rPr>
      </w:pPr>
    </w:p>
    <w:p w14:paraId="15BB532C" w14:textId="4E727AA0" w:rsidR="007252B5" w:rsidRDefault="007252B5" w:rsidP="004269B2">
      <w:pPr>
        <w:pStyle w:val="Lista"/>
        <w:rPr>
          <w:sz w:val="22"/>
          <w:szCs w:val="22"/>
          <w:lang w:val="es-CO"/>
        </w:rPr>
      </w:pPr>
    </w:p>
    <w:p w14:paraId="18D73C72" w14:textId="77777777" w:rsidR="007252B5" w:rsidRPr="004269B2" w:rsidRDefault="007252B5" w:rsidP="004269B2">
      <w:pPr>
        <w:pStyle w:val="Lista"/>
        <w:rPr>
          <w:sz w:val="22"/>
          <w:szCs w:val="22"/>
          <w:lang w:val="es-CO"/>
        </w:rPr>
      </w:pPr>
    </w:p>
    <w:p w14:paraId="739FC9BF" w14:textId="06ED21B2" w:rsidR="0011391D" w:rsidRPr="00515707" w:rsidRDefault="0011391D" w:rsidP="0011391D">
      <w:pPr>
        <w:pStyle w:val="Descripcin"/>
        <w:jc w:val="center"/>
        <w:rPr>
          <w:rFonts w:ascii="Arial" w:hAnsi="Arial" w:cs="Arial"/>
          <w:b/>
          <w:bCs/>
          <w:i w:val="0"/>
          <w:iCs w:val="0"/>
          <w:color w:val="000000" w:themeColor="text1"/>
          <w:sz w:val="20"/>
          <w:szCs w:val="20"/>
        </w:rPr>
      </w:pPr>
      <w:bookmarkStart w:id="172" w:name="_Toc88677206"/>
      <w:r w:rsidRPr="00515707">
        <w:rPr>
          <w:rFonts w:ascii="Arial" w:hAnsi="Arial" w:cs="Arial"/>
          <w:b/>
          <w:bCs/>
          <w:i w:val="0"/>
          <w:iCs w:val="0"/>
          <w:color w:val="000000" w:themeColor="text1"/>
          <w:sz w:val="16"/>
          <w:szCs w:val="16"/>
        </w:rPr>
        <w:t xml:space="preserve">Ilustración </w:t>
      </w:r>
      <w:r w:rsidRPr="00515707">
        <w:rPr>
          <w:rFonts w:ascii="Arial" w:hAnsi="Arial" w:cs="Arial"/>
          <w:b/>
          <w:bCs/>
          <w:i w:val="0"/>
          <w:iCs w:val="0"/>
          <w:color w:val="000000" w:themeColor="text1"/>
          <w:sz w:val="16"/>
          <w:szCs w:val="16"/>
        </w:rPr>
        <w:fldChar w:fldCharType="begin"/>
      </w:r>
      <w:r w:rsidRPr="00515707">
        <w:rPr>
          <w:rFonts w:ascii="Arial" w:hAnsi="Arial" w:cs="Arial"/>
          <w:b/>
          <w:bCs/>
          <w:i w:val="0"/>
          <w:iCs w:val="0"/>
          <w:color w:val="000000" w:themeColor="text1"/>
          <w:sz w:val="16"/>
          <w:szCs w:val="16"/>
        </w:rPr>
        <w:instrText xml:space="preserve"> SEQ Ilustración \* ARABIC </w:instrText>
      </w:r>
      <w:r w:rsidRPr="00515707">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50</w:t>
      </w:r>
      <w:r w:rsidRPr="00515707">
        <w:rPr>
          <w:rFonts w:ascii="Arial" w:hAnsi="Arial" w:cs="Arial"/>
          <w:b/>
          <w:bCs/>
          <w:i w:val="0"/>
          <w:iCs w:val="0"/>
          <w:color w:val="000000" w:themeColor="text1"/>
          <w:sz w:val="16"/>
          <w:szCs w:val="16"/>
        </w:rPr>
        <w:fldChar w:fldCharType="end"/>
      </w:r>
      <w:r w:rsidRPr="00515707">
        <w:rPr>
          <w:rFonts w:ascii="Arial" w:hAnsi="Arial" w:cs="Arial"/>
          <w:b/>
          <w:bCs/>
          <w:i w:val="0"/>
          <w:iCs w:val="0"/>
          <w:color w:val="000000" w:themeColor="text1"/>
          <w:sz w:val="16"/>
          <w:szCs w:val="16"/>
        </w:rPr>
        <w:t>. PQRSD Vigencias anteriores</w:t>
      </w:r>
      <w:bookmarkEnd w:id="172"/>
    </w:p>
    <w:p w14:paraId="6B80D76E" w14:textId="7E729851" w:rsidR="0008560D" w:rsidRPr="00CF0B41" w:rsidRDefault="00331B49" w:rsidP="00F97966">
      <w:pPr>
        <w:pStyle w:val="Lista"/>
        <w:ind w:left="720"/>
        <w:rPr>
          <w:sz w:val="22"/>
          <w:szCs w:val="22"/>
          <w:lang w:val="es-CO"/>
        </w:rPr>
      </w:pPr>
      <w:r w:rsidRPr="008179E9">
        <w:rPr>
          <w:rFonts w:cs="Arial"/>
          <w:noProof/>
          <w:sz w:val="22"/>
          <w:szCs w:val="22"/>
          <w:lang w:val="es-CO" w:eastAsia="es-CO"/>
        </w:rPr>
        <w:drawing>
          <wp:inline distT="0" distB="0" distL="0" distR="0" wp14:anchorId="56AF8D59" wp14:editId="27CE705E">
            <wp:extent cx="5334000" cy="2508250"/>
            <wp:effectExtent l="0" t="0" r="0" b="25400"/>
            <wp:docPr id="63" name="Diagrama 6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8" r:lo="rId129" r:qs="rId130" r:cs="rId131"/>
              </a:graphicData>
            </a:graphic>
          </wp:inline>
        </w:drawing>
      </w:r>
    </w:p>
    <w:p w14:paraId="4C341912" w14:textId="77777777" w:rsidR="00515707" w:rsidRPr="00D41F47" w:rsidRDefault="00515707" w:rsidP="00515707">
      <w:pPr>
        <w:pStyle w:val="Prrafodelista"/>
        <w:ind w:left="567"/>
        <w:jc w:val="center"/>
        <w:rPr>
          <w:rFonts w:cs="Arial"/>
          <w:b/>
          <w:bCs/>
          <w:sz w:val="16"/>
          <w:szCs w:val="16"/>
        </w:rPr>
      </w:pPr>
      <w:r w:rsidRPr="31FF9146">
        <w:rPr>
          <w:rFonts w:cs="Arial"/>
          <w:b/>
          <w:bCs/>
          <w:sz w:val="16"/>
          <w:szCs w:val="16"/>
        </w:rPr>
        <w:t xml:space="preserve">Fuente: Oficina de Relación con el Ciudadano </w:t>
      </w:r>
    </w:p>
    <w:p w14:paraId="3CDB50E8" w14:textId="4AEDBE58" w:rsidR="00F97966" w:rsidRDefault="00F97966" w:rsidP="00F97966">
      <w:pPr>
        <w:jc w:val="both"/>
      </w:pPr>
    </w:p>
    <w:p w14:paraId="6184FE57" w14:textId="6D10E984" w:rsidR="009E69D0" w:rsidRPr="00F97966" w:rsidRDefault="005325D9" w:rsidP="00F97966">
      <w:pPr>
        <w:jc w:val="both"/>
        <w:rPr>
          <w:rFonts w:cs="Arial"/>
          <w:sz w:val="22"/>
          <w:szCs w:val="22"/>
        </w:rPr>
      </w:pPr>
      <w:r w:rsidRPr="00F97966">
        <w:rPr>
          <w:rFonts w:cs="Arial"/>
          <w:sz w:val="22"/>
          <w:szCs w:val="22"/>
        </w:rPr>
        <w:t>Debido al seguimiento que se realizó y a las mediciones implementadas se logró una disminución del 46% las peticiones, quejas, reclamos y denuncias que estaban pendientes desde en la vigencia 2014 a 2020 a nivel nacional.</w:t>
      </w:r>
      <w:r w:rsidR="00D52C0C" w:rsidRPr="00F97966">
        <w:rPr>
          <w:rFonts w:cs="Arial"/>
          <w:sz w:val="22"/>
          <w:szCs w:val="22"/>
        </w:rPr>
        <w:t xml:space="preserve"> </w:t>
      </w:r>
      <w:r w:rsidRPr="00F97966">
        <w:rPr>
          <w:rFonts w:cs="Arial"/>
          <w:sz w:val="22"/>
          <w:szCs w:val="22"/>
        </w:rPr>
        <w:t>De las 41.185 PQRDSF de años anteriores pendientes en febrero de 2021, se han finalizado 18</w:t>
      </w:r>
      <w:r w:rsidR="00D52C0C" w:rsidRPr="00F97966">
        <w:rPr>
          <w:rFonts w:cs="Arial"/>
          <w:sz w:val="22"/>
          <w:szCs w:val="22"/>
        </w:rPr>
        <w:t>.860 (corte 30 de septiembre</w:t>
      </w:r>
      <w:r w:rsidR="009E69D0" w:rsidRPr="00F97966">
        <w:rPr>
          <w:rFonts w:cs="Arial"/>
          <w:sz w:val="22"/>
          <w:szCs w:val="22"/>
        </w:rPr>
        <w:t xml:space="preserve"> </w:t>
      </w:r>
      <w:r w:rsidRPr="00F97966">
        <w:rPr>
          <w:rFonts w:cs="Arial"/>
          <w:sz w:val="22"/>
          <w:szCs w:val="22"/>
        </w:rPr>
        <w:t>de 2021), lo que significa que están pendientes a la fecha 22.325.</w:t>
      </w:r>
    </w:p>
    <w:p w14:paraId="7FA0C7A6" w14:textId="3EEE606D" w:rsidR="005325D9" w:rsidRPr="00F97966" w:rsidRDefault="005325D9" w:rsidP="00F97966">
      <w:pPr>
        <w:jc w:val="both"/>
        <w:rPr>
          <w:rFonts w:cs="Arial"/>
          <w:sz w:val="22"/>
          <w:szCs w:val="22"/>
        </w:rPr>
      </w:pPr>
      <w:r w:rsidRPr="00F97966">
        <w:rPr>
          <w:rFonts w:cs="Arial"/>
          <w:sz w:val="22"/>
          <w:szCs w:val="22"/>
        </w:rPr>
        <w:t>A la fecha la Dirección General deja establecido las estrategias para acelerar los cierres de las PQRSD de vigencias anteriores y lograr disminuir los acumulad</w:t>
      </w:r>
      <w:r w:rsidR="0008560D" w:rsidRPr="00F97966">
        <w:rPr>
          <w:rFonts w:cs="Arial"/>
          <w:sz w:val="22"/>
          <w:szCs w:val="22"/>
        </w:rPr>
        <w:t xml:space="preserve">os para los siguientes </w:t>
      </w:r>
      <w:r w:rsidR="00F97966">
        <w:rPr>
          <w:rFonts w:cs="Arial"/>
          <w:sz w:val="22"/>
          <w:szCs w:val="22"/>
        </w:rPr>
        <w:t>a</w:t>
      </w:r>
      <w:r w:rsidRPr="00F97966">
        <w:rPr>
          <w:rFonts w:cs="Arial"/>
          <w:sz w:val="22"/>
          <w:szCs w:val="22"/>
        </w:rPr>
        <w:t>ños.</w:t>
      </w:r>
    </w:p>
    <w:p w14:paraId="561819E6" w14:textId="36399318" w:rsidR="005325D9" w:rsidRPr="008179E9" w:rsidRDefault="005325D9" w:rsidP="00F97966">
      <w:pPr>
        <w:pStyle w:val="Prrafodelista"/>
        <w:ind w:left="567"/>
        <w:rPr>
          <w:rFonts w:cs="Arial"/>
          <w:sz w:val="22"/>
          <w:szCs w:val="22"/>
        </w:rPr>
      </w:pPr>
    </w:p>
    <w:p w14:paraId="75A66A49" w14:textId="500F37C1" w:rsidR="005325D9" w:rsidRDefault="005325D9" w:rsidP="00F97966">
      <w:pPr>
        <w:jc w:val="both"/>
        <w:rPr>
          <w:rFonts w:cs="Arial"/>
          <w:sz w:val="22"/>
          <w:szCs w:val="22"/>
        </w:rPr>
      </w:pPr>
      <w:r w:rsidRPr="00F97966">
        <w:rPr>
          <w:rFonts w:cs="Arial"/>
          <w:sz w:val="22"/>
          <w:szCs w:val="22"/>
        </w:rPr>
        <w:t>A continuación, se muestra las cifras con corte 30 de septiembre de 2021*:</w:t>
      </w:r>
    </w:p>
    <w:p w14:paraId="39C2AFAD" w14:textId="1DAC07A5" w:rsidR="00F97966" w:rsidRPr="00F97966" w:rsidRDefault="00F97966" w:rsidP="00F97966">
      <w:pPr>
        <w:jc w:val="both"/>
        <w:rPr>
          <w:rFonts w:cs="Arial"/>
          <w:sz w:val="22"/>
          <w:szCs w:val="22"/>
        </w:rPr>
      </w:pPr>
    </w:p>
    <w:p w14:paraId="1C63C4F0" w14:textId="53C720BA" w:rsidR="00980D75" w:rsidRPr="00980D75" w:rsidRDefault="00980D75" w:rsidP="00980D75">
      <w:pPr>
        <w:pStyle w:val="Descripcin"/>
        <w:keepNext/>
        <w:jc w:val="center"/>
        <w:rPr>
          <w:rFonts w:ascii="Arial" w:hAnsi="Arial" w:cs="Arial"/>
          <w:b/>
          <w:bCs/>
          <w:i w:val="0"/>
          <w:iCs w:val="0"/>
          <w:color w:val="000000" w:themeColor="text1"/>
          <w:sz w:val="16"/>
          <w:szCs w:val="16"/>
        </w:rPr>
      </w:pPr>
      <w:bookmarkStart w:id="173" w:name="_Toc88677134"/>
      <w:r w:rsidRPr="00980D75">
        <w:rPr>
          <w:rFonts w:ascii="Arial" w:hAnsi="Arial" w:cs="Arial"/>
          <w:b/>
          <w:bCs/>
          <w:i w:val="0"/>
          <w:iCs w:val="0"/>
          <w:color w:val="000000" w:themeColor="text1"/>
          <w:sz w:val="16"/>
          <w:szCs w:val="16"/>
        </w:rPr>
        <w:t xml:space="preserve">Tabla </w:t>
      </w:r>
      <w:r w:rsidRPr="00980D75">
        <w:rPr>
          <w:rFonts w:ascii="Arial" w:hAnsi="Arial" w:cs="Arial"/>
          <w:b/>
          <w:bCs/>
          <w:i w:val="0"/>
          <w:iCs w:val="0"/>
          <w:color w:val="000000" w:themeColor="text1"/>
          <w:sz w:val="16"/>
          <w:szCs w:val="16"/>
        </w:rPr>
        <w:fldChar w:fldCharType="begin"/>
      </w:r>
      <w:r w:rsidRPr="00980D75">
        <w:rPr>
          <w:rFonts w:ascii="Arial" w:hAnsi="Arial" w:cs="Arial"/>
          <w:b/>
          <w:bCs/>
          <w:i w:val="0"/>
          <w:iCs w:val="0"/>
          <w:color w:val="000000" w:themeColor="text1"/>
          <w:sz w:val="16"/>
          <w:szCs w:val="16"/>
        </w:rPr>
        <w:instrText xml:space="preserve"> SEQ Tabla \* ARABIC </w:instrText>
      </w:r>
      <w:r w:rsidRPr="00980D75">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62</w:t>
      </w:r>
      <w:r w:rsidRPr="00980D75">
        <w:rPr>
          <w:rFonts w:ascii="Arial" w:hAnsi="Arial" w:cs="Arial"/>
          <w:b/>
          <w:bCs/>
          <w:i w:val="0"/>
          <w:iCs w:val="0"/>
          <w:color w:val="000000" w:themeColor="text1"/>
          <w:sz w:val="16"/>
          <w:szCs w:val="16"/>
        </w:rPr>
        <w:fldChar w:fldCharType="end"/>
      </w:r>
      <w:r w:rsidRPr="00980D75">
        <w:rPr>
          <w:rFonts w:ascii="Arial" w:hAnsi="Arial" w:cs="Arial"/>
          <w:b/>
          <w:bCs/>
          <w:i w:val="0"/>
          <w:iCs w:val="0"/>
          <w:color w:val="000000" w:themeColor="text1"/>
          <w:sz w:val="16"/>
          <w:szCs w:val="16"/>
        </w:rPr>
        <w:t>. Cifras totales PQRDSF (años anteriores)</w:t>
      </w:r>
      <w:bookmarkEnd w:id="173"/>
    </w:p>
    <w:tbl>
      <w:tblPr>
        <w:tblStyle w:val="Tabladecuadrcula4-nfasis1"/>
        <w:tblW w:w="4589" w:type="dxa"/>
        <w:jc w:val="center"/>
        <w:tblLook w:val="04A0" w:firstRow="1" w:lastRow="0" w:firstColumn="1" w:lastColumn="0" w:noHBand="0" w:noVBand="1"/>
      </w:tblPr>
      <w:tblGrid>
        <w:gridCol w:w="3545"/>
        <w:gridCol w:w="1044"/>
      </w:tblGrid>
      <w:tr w:rsidR="007D3090" w:rsidRPr="007D3090" w14:paraId="4CB91D20" w14:textId="77777777" w:rsidTr="00136AA1">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4589" w:type="dxa"/>
            <w:gridSpan w:val="2"/>
            <w:hideMark/>
          </w:tcPr>
          <w:p w14:paraId="6F312DDB" w14:textId="77777777" w:rsidR="007D3090" w:rsidRPr="007D3090" w:rsidRDefault="007D3090" w:rsidP="00C72779">
            <w:pPr>
              <w:jc w:val="center"/>
              <w:rPr>
                <w:rFonts w:cs="Arial"/>
                <w:sz w:val="20"/>
                <w:szCs w:val="22"/>
                <w:lang w:eastAsia="es-CO"/>
              </w:rPr>
            </w:pPr>
            <w:r w:rsidRPr="007D3090">
              <w:rPr>
                <w:rFonts w:cs="Arial"/>
                <w:sz w:val="20"/>
                <w:szCs w:val="22"/>
                <w:lang w:eastAsia="es-CO"/>
              </w:rPr>
              <w:t>Total PQRDSF</w:t>
            </w:r>
          </w:p>
        </w:tc>
      </w:tr>
      <w:tr w:rsidR="005325D9" w:rsidRPr="007D3090" w14:paraId="77F1CE65" w14:textId="77777777" w:rsidTr="00136AA1">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3545" w:type="dxa"/>
            <w:hideMark/>
          </w:tcPr>
          <w:p w14:paraId="749F241F" w14:textId="77777777" w:rsidR="005325D9" w:rsidRPr="007D3090" w:rsidRDefault="005325D9" w:rsidP="00C72779">
            <w:pPr>
              <w:rPr>
                <w:rFonts w:cs="Arial"/>
                <w:color w:val="000000"/>
                <w:sz w:val="20"/>
                <w:szCs w:val="22"/>
                <w:lang w:eastAsia="es-CO"/>
              </w:rPr>
            </w:pPr>
            <w:r w:rsidRPr="007D3090">
              <w:rPr>
                <w:rFonts w:cs="Arial"/>
                <w:color w:val="000000"/>
                <w:sz w:val="20"/>
                <w:szCs w:val="22"/>
                <w:lang w:eastAsia="es-CO"/>
              </w:rPr>
              <w:t>Total Años Anteriores corte febrero 2021</w:t>
            </w:r>
          </w:p>
        </w:tc>
        <w:tc>
          <w:tcPr>
            <w:tcW w:w="1044" w:type="dxa"/>
            <w:hideMark/>
          </w:tcPr>
          <w:p w14:paraId="1839AEC1" w14:textId="77777777" w:rsidR="005325D9" w:rsidRPr="007D3090"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7D3090">
              <w:rPr>
                <w:rFonts w:cs="Arial"/>
                <w:color w:val="000000"/>
                <w:sz w:val="20"/>
                <w:szCs w:val="22"/>
                <w:lang w:eastAsia="es-CO"/>
              </w:rPr>
              <w:t>41.185</w:t>
            </w:r>
          </w:p>
        </w:tc>
      </w:tr>
      <w:tr w:rsidR="005325D9" w:rsidRPr="007D3090" w14:paraId="7FA10BD2" w14:textId="77777777" w:rsidTr="00136AA1">
        <w:trPr>
          <w:trHeight w:val="283"/>
          <w:jc w:val="center"/>
        </w:trPr>
        <w:tc>
          <w:tcPr>
            <w:cnfStyle w:val="001000000000" w:firstRow="0" w:lastRow="0" w:firstColumn="1" w:lastColumn="0" w:oddVBand="0" w:evenVBand="0" w:oddHBand="0" w:evenHBand="0" w:firstRowFirstColumn="0" w:firstRowLastColumn="0" w:lastRowFirstColumn="0" w:lastRowLastColumn="0"/>
            <w:tcW w:w="3545" w:type="dxa"/>
            <w:hideMark/>
          </w:tcPr>
          <w:p w14:paraId="1287DFF2" w14:textId="77777777" w:rsidR="005325D9" w:rsidRPr="007D3090" w:rsidRDefault="005325D9" w:rsidP="00C72779">
            <w:pPr>
              <w:rPr>
                <w:rFonts w:cs="Arial"/>
                <w:color w:val="000000"/>
                <w:sz w:val="20"/>
                <w:szCs w:val="22"/>
                <w:lang w:eastAsia="es-CO"/>
              </w:rPr>
            </w:pPr>
            <w:r w:rsidRPr="007D3090">
              <w:rPr>
                <w:rFonts w:cs="Arial"/>
                <w:color w:val="000000"/>
                <w:sz w:val="20"/>
                <w:szCs w:val="22"/>
                <w:lang w:eastAsia="es-CO"/>
              </w:rPr>
              <w:t>Pendientes corte septiembre 2021</w:t>
            </w:r>
          </w:p>
        </w:tc>
        <w:tc>
          <w:tcPr>
            <w:tcW w:w="1044" w:type="dxa"/>
            <w:hideMark/>
          </w:tcPr>
          <w:p w14:paraId="01A70615" w14:textId="77777777" w:rsidR="005325D9" w:rsidRPr="007D3090"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7D3090">
              <w:rPr>
                <w:rFonts w:cs="Arial"/>
                <w:color w:val="000000"/>
                <w:sz w:val="20"/>
                <w:szCs w:val="22"/>
                <w:lang w:eastAsia="es-CO"/>
              </w:rPr>
              <w:t>22.325</w:t>
            </w:r>
          </w:p>
        </w:tc>
      </w:tr>
      <w:tr w:rsidR="005325D9" w:rsidRPr="007D3090" w14:paraId="12A5BFDC" w14:textId="77777777" w:rsidTr="00136AA1">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3545" w:type="dxa"/>
            <w:hideMark/>
          </w:tcPr>
          <w:p w14:paraId="604F8055" w14:textId="77777777" w:rsidR="005325D9" w:rsidRPr="007D3090" w:rsidRDefault="005325D9" w:rsidP="00C72779">
            <w:pPr>
              <w:rPr>
                <w:rFonts w:cs="Arial"/>
                <w:color w:val="000000"/>
                <w:sz w:val="20"/>
                <w:szCs w:val="22"/>
                <w:lang w:eastAsia="es-CO"/>
              </w:rPr>
            </w:pPr>
            <w:r w:rsidRPr="007D3090">
              <w:rPr>
                <w:rFonts w:cs="Arial"/>
                <w:color w:val="000000"/>
                <w:sz w:val="20"/>
                <w:szCs w:val="22"/>
                <w:lang w:eastAsia="es-CO"/>
              </w:rPr>
              <w:t>Finalizadas 2021*</w:t>
            </w:r>
          </w:p>
        </w:tc>
        <w:tc>
          <w:tcPr>
            <w:tcW w:w="1044" w:type="dxa"/>
            <w:hideMark/>
          </w:tcPr>
          <w:p w14:paraId="64FB2ACC" w14:textId="77777777" w:rsidR="005325D9" w:rsidRPr="007D3090"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7D3090">
              <w:rPr>
                <w:rFonts w:cs="Arial"/>
                <w:color w:val="000000"/>
                <w:sz w:val="20"/>
                <w:szCs w:val="22"/>
                <w:lang w:eastAsia="es-CO"/>
              </w:rPr>
              <w:t>18.860</w:t>
            </w:r>
          </w:p>
        </w:tc>
      </w:tr>
    </w:tbl>
    <w:p w14:paraId="70DF983D" w14:textId="78BADA58" w:rsidR="00F97966" w:rsidRPr="00D41F47" w:rsidRDefault="00F97966" w:rsidP="00F97966">
      <w:pPr>
        <w:jc w:val="center"/>
        <w:rPr>
          <w:rFonts w:cs="Arial"/>
          <w:b/>
          <w:sz w:val="16"/>
          <w:szCs w:val="22"/>
        </w:rPr>
      </w:pPr>
      <w:r w:rsidRPr="00D41F47">
        <w:rPr>
          <w:rFonts w:cs="Arial"/>
          <w:b/>
          <w:sz w:val="16"/>
          <w:szCs w:val="22"/>
        </w:rPr>
        <w:t xml:space="preserve">Fuente: Oficina de Relación con el Ciudadano </w:t>
      </w:r>
    </w:p>
    <w:p w14:paraId="46606389" w14:textId="6BADF7F7" w:rsidR="005325D9" w:rsidRPr="008179E9" w:rsidRDefault="005325D9" w:rsidP="00C72779">
      <w:pPr>
        <w:pStyle w:val="Prrafodelista"/>
        <w:ind w:left="567"/>
        <w:rPr>
          <w:rFonts w:cs="Arial"/>
          <w:sz w:val="22"/>
          <w:szCs w:val="22"/>
        </w:rPr>
      </w:pPr>
    </w:p>
    <w:p w14:paraId="7AD759CE" w14:textId="0C0EB353" w:rsidR="00391C17" w:rsidRPr="00391C17" w:rsidRDefault="00391C17" w:rsidP="00391C17">
      <w:pPr>
        <w:pStyle w:val="Prrafodelista"/>
        <w:ind w:left="567"/>
        <w:rPr>
          <w:rFonts w:cs="Arial"/>
          <w:sz w:val="22"/>
          <w:szCs w:val="22"/>
        </w:rPr>
      </w:pPr>
    </w:p>
    <w:p w14:paraId="2689C921" w14:textId="77777777" w:rsidR="00980D75" w:rsidRDefault="00980D75" w:rsidP="00980D75">
      <w:pPr>
        <w:pStyle w:val="Lista"/>
      </w:pPr>
    </w:p>
    <w:p w14:paraId="02685F98" w14:textId="77777777" w:rsidR="00980D75" w:rsidRDefault="00980D75" w:rsidP="00980D75">
      <w:pPr>
        <w:pStyle w:val="Lista"/>
      </w:pPr>
    </w:p>
    <w:p w14:paraId="0FB21687" w14:textId="77777777" w:rsidR="00980D75" w:rsidRDefault="00980D75" w:rsidP="00980D75">
      <w:pPr>
        <w:pStyle w:val="Lista"/>
      </w:pPr>
    </w:p>
    <w:p w14:paraId="1414529B" w14:textId="77777777" w:rsidR="00980D75" w:rsidRDefault="00980D75" w:rsidP="00980D75">
      <w:pPr>
        <w:pStyle w:val="Lista"/>
      </w:pPr>
    </w:p>
    <w:p w14:paraId="426B0315" w14:textId="77777777" w:rsidR="00980D75" w:rsidRDefault="00980D75" w:rsidP="00980D75">
      <w:pPr>
        <w:pStyle w:val="Lista"/>
      </w:pPr>
    </w:p>
    <w:p w14:paraId="35803A32" w14:textId="77777777" w:rsidR="00980D75" w:rsidRDefault="00980D75" w:rsidP="00980D75">
      <w:pPr>
        <w:pStyle w:val="Lista"/>
      </w:pPr>
    </w:p>
    <w:p w14:paraId="67E6C6B5" w14:textId="77777777" w:rsidR="00980D75" w:rsidRDefault="00980D75" w:rsidP="00980D75">
      <w:pPr>
        <w:pStyle w:val="Lista"/>
      </w:pPr>
    </w:p>
    <w:p w14:paraId="18F561C0" w14:textId="77777777" w:rsidR="00980D75" w:rsidRDefault="00980D75" w:rsidP="00980D75">
      <w:pPr>
        <w:pStyle w:val="Lista"/>
      </w:pPr>
    </w:p>
    <w:p w14:paraId="45003719" w14:textId="77777777" w:rsidR="00980D75" w:rsidRDefault="00980D75" w:rsidP="00980D75">
      <w:pPr>
        <w:pStyle w:val="Lista"/>
      </w:pPr>
    </w:p>
    <w:p w14:paraId="47D7FC06" w14:textId="77777777" w:rsidR="00980D75" w:rsidRDefault="00980D75" w:rsidP="00980D75">
      <w:pPr>
        <w:pStyle w:val="Lista"/>
      </w:pPr>
    </w:p>
    <w:p w14:paraId="5B9A6893" w14:textId="77777777" w:rsidR="00980D75" w:rsidRDefault="00980D75" w:rsidP="00980D75">
      <w:pPr>
        <w:pStyle w:val="Lista"/>
      </w:pPr>
    </w:p>
    <w:p w14:paraId="506FBD23" w14:textId="3923E69B" w:rsidR="007252B5" w:rsidRDefault="007252B5" w:rsidP="0092485D">
      <w:pPr>
        <w:rPr>
          <w:rFonts w:cs="Arial"/>
          <w:b/>
          <w:bCs/>
          <w:sz w:val="22"/>
          <w:szCs w:val="22"/>
          <w:lang w:val="es-CO"/>
        </w:rPr>
      </w:pPr>
    </w:p>
    <w:p w14:paraId="4C0D194A" w14:textId="77777777" w:rsidR="007252B5" w:rsidRDefault="007252B5" w:rsidP="0092485D">
      <w:pPr>
        <w:rPr>
          <w:rFonts w:cs="Arial"/>
          <w:b/>
          <w:bCs/>
          <w:sz w:val="22"/>
          <w:szCs w:val="22"/>
          <w:lang w:val="es-CO"/>
        </w:rPr>
      </w:pPr>
    </w:p>
    <w:p w14:paraId="329D2847" w14:textId="298EDC59" w:rsidR="005325D9" w:rsidRPr="009E6007" w:rsidRDefault="007D44EB" w:rsidP="009E6007">
      <w:pPr>
        <w:pStyle w:val="Descripcin"/>
        <w:jc w:val="center"/>
        <w:rPr>
          <w:rFonts w:ascii="Arial" w:hAnsi="Arial" w:cs="Arial"/>
          <w:b/>
          <w:i w:val="0"/>
          <w:color w:val="000000" w:themeColor="text1"/>
          <w:sz w:val="16"/>
          <w:szCs w:val="16"/>
        </w:rPr>
      </w:pPr>
      <w:bookmarkStart w:id="174" w:name="_Toc88677207"/>
      <w:r w:rsidRPr="009E6007">
        <w:rPr>
          <w:rFonts w:ascii="Arial" w:hAnsi="Arial" w:cs="Arial"/>
          <w:b/>
          <w:i w:val="0"/>
          <w:color w:val="000000" w:themeColor="text1"/>
          <w:sz w:val="16"/>
          <w:szCs w:val="16"/>
        </w:rPr>
        <w:t xml:space="preserve">Ilustración </w:t>
      </w:r>
      <w:r w:rsidRPr="009E6007">
        <w:rPr>
          <w:rFonts w:ascii="Arial" w:hAnsi="Arial" w:cs="Arial"/>
          <w:b/>
          <w:i w:val="0"/>
          <w:color w:val="000000" w:themeColor="text1"/>
          <w:sz w:val="16"/>
          <w:szCs w:val="16"/>
        </w:rPr>
        <w:fldChar w:fldCharType="begin"/>
      </w:r>
      <w:r w:rsidRPr="009E6007">
        <w:rPr>
          <w:rFonts w:ascii="Arial" w:hAnsi="Arial" w:cs="Arial"/>
          <w:b/>
          <w:i w:val="0"/>
          <w:color w:val="000000" w:themeColor="text1"/>
          <w:sz w:val="16"/>
          <w:szCs w:val="16"/>
        </w:rPr>
        <w:instrText xml:space="preserve"> SEQ Ilustración \* ARABIC </w:instrText>
      </w:r>
      <w:r w:rsidRPr="009E6007">
        <w:rPr>
          <w:rFonts w:ascii="Arial" w:hAnsi="Arial" w:cs="Arial"/>
          <w:b/>
          <w:i w:val="0"/>
          <w:color w:val="000000" w:themeColor="text1"/>
          <w:sz w:val="16"/>
          <w:szCs w:val="16"/>
        </w:rPr>
        <w:fldChar w:fldCharType="separate"/>
      </w:r>
      <w:r w:rsidR="005D5B0E">
        <w:rPr>
          <w:rFonts w:ascii="Arial" w:hAnsi="Arial" w:cs="Arial"/>
          <w:b/>
          <w:i w:val="0"/>
          <w:noProof/>
          <w:color w:val="000000" w:themeColor="text1"/>
          <w:sz w:val="16"/>
          <w:szCs w:val="16"/>
        </w:rPr>
        <w:t>51</w:t>
      </w:r>
      <w:r w:rsidRPr="009E6007">
        <w:rPr>
          <w:rFonts w:ascii="Arial" w:hAnsi="Arial" w:cs="Arial"/>
          <w:b/>
          <w:i w:val="0"/>
          <w:color w:val="000000" w:themeColor="text1"/>
          <w:sz w:val="16"/>
          <w:szCs w:val="16"/>
        </w:rPr>
        <w:fldChar w:fldCharType="end"/>
      </w:r>
      <w:r w:rsidRPr="009E6007">
        <w:rPr>
          <w:rFonts w:ascii="Arial" w:hAnsi="Arial" w:cs="Arial"/>
          <w:b/>
          <w:i w:val="0"/>
          <w:color w:val="000000" w:themeColor="text1"/>
          <w:sz w:val="16"/>
          <w:szCs w:val="16"/>
        </w:rPr>
        <w:t>. Participación ciudadana y rendición de cuentas</w:t>
      </w:r>
      <w:bookmarkEnd w:id="174"/>
    </w:p>
    <w:p w14:paraId="521EE9C2" w14:textId="0D4A4FB8" w:rsidR="005325D9" w:rsidRPr="008179E9" w:rsidRDefault="00331B49" w:rsidP="00E5569F">
      <w:pPr>
        <w:ind w:left="567" w:hanging="207"/>
        <w:jc w:val="center"/>
        <w:rPr>
          <w:rFonts w:cs="Arial"/>
          <w:sz w:val="22"/>
          <w:szCs w:val="22"/>
        </w:rPr>
      </w:pPr>
      <w:r w:rsidRPr="008179E9">
        <w:rPr>
          <w:rFonts w:cs="Arial"/>
          <w:noProof/>
          <w:sz w:val="22"/>
          <w:szCs w:val="22"/>
          <w:lang w:val="es-CO" w:eastAsia="es-CO"/>
        </w:rPr>
        <w:drawing>
          <wp:inline distT="0" distB="0" distL="0" distR="0" wp14:anchorId="35B9823E" wp14:editId="28C651ED">
            <wp:extent cx="5670550" cy="2406650"/>
            <wp:effectExtent l="0" t="0" r="25400" b="31750"/>
            <wp:docPr id="291697600" name="Diagrama 29169760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3" r:lo="rId134" r:qs="rId135" r:cs="rId136"/>
              </a:graphicData>
            </a:graphic>
          </wp:inline>
        </w:drawing>
      </w:r>
    </w:p>
    <w:p w14:paraId="06FA99A3" w14:textId="21B29E7A" w:rsidR="00876F70" w:rsidRPr="000215EA" w:rsidRDefault="000215EA" w:rsidP="003F52B1">
      <w:pPr>
        <w:ind w:left="567"/>
        <w:jc w:val="center"/>
        <w:rPr>
          <w:rFonts w:cs="Arial"/>
          <w:b/>
          <w:sz w:val="16"/>
          <w:szCs w:val="16"/>
        </w:rPr>
      </w:pPr>
      <w:r w:rsidRPr="000215EA">
        <w:rPr>
          <w:rFonts w:cs="Arial"/>
          <w:b/>
          <w:bCs/>
          <w:sz w:val="16"/>
          <w:szCs w:val="16"/>
        </w:rPr>
        <w:t>Fuente: Oficina de Relacionamiento con el Ciudadano</w:t>
      </w:r>
    </w:p>
    <w:p w14:paraId="20011027" w14:textId="77777777" w:rsidR="003F52B1" w:rsidRDefault="003F52B1" w:rsidP="003F52B1">
      <w:pPr>
        <w:ind w:left="567"/>
        <w:jc w:val="center"/>
        <w:rPr>
          <w:rFonts w:cs="Arial"/>
          <w:sz w:val="22"/>
          <w:szCs w:val="22"/>
        </w:rPr>
      </w:pPr>
    </w:p>
    <w:p w14:paraId="0DD5BBD6" w14:textId="77777777" w:rsidR="003F52B1" w:rsidRPr="008179E9" w:rsidRDefault="003F52B1" w:rsidP="003F52B1">
      <w:pPr>
        <w:ind w:left="567"/>
        <w:jc w:val="center"/>
        <w:rPr>
          <w:rFonts w:cs="Arial"/>
          <w:sz w:val="22"/>
          <w:szCs w:val="22"/>
        </w:rPr>
      </w:pPr>
    </w:p>
    <w:p w14:paraId="56E4B3BE" w14:textId="77777777" w:rsidR="005325D9" w:rsidRPr="001B3BFD" w:rsidRDefault="005325D9" w:rsidP="007F33BC">
      <w:pPr>
        <w:jc w:val="both"/>
        <w:rPr>
          <w:rFonts w:cs="Arial"/>
          <w:sz w:val="22"/>
          <w:szCs w:val="22"/>
        </w:rPr>
      </w:pPr>
      <w:r w:rsidRPr="001B3BFD">
        <w:rPr>
          <w:rFonts w:cs="Arial"/>
          <w:sz w:val="22"/>
          <w:szCs w:val="22"/>
        </w:rPr>
        <w:t>Conscientes de la importancia de la política de participación ciudadana y rendición de cuentas, se planeó desde el mes de diciembre de 2019 la elaboración del cronograma para la vigencia 2020; mediante Circular Interna 8002019CI148 se solicitó a las direcciones territoriales y dependencias de sede central, la identificación de potenciales espacios de participación y rendición de cuentas.</w:t>
      </w:r>
    </w:p>
    <w:p w14:paraId="06C056AF" w14:textId="2B6A1ED7" w:rsidR="007F33BC" w:rsidRDefault="007F33BC" w:rsidP="007F33BC">
      <w:pPr>
        <w:jc w:val="both"/>
        <w:rPr>
          <w:rFonts w:cs="Arial"/>
          <w:sz w:val="22"/>
          <w:szCs w:val="22"/>
        </w:rPr>
      </w:pPr>
    </w:p>
    <w:p w14:paraId="3A7320B1" w14:textId="60E33049" w:rsidR="005325D9" w:rsidRPr="001B3BFD" w:rsidRDefault="005325D9" w:rsidP="007F33BC">
      <w:pPr>
        <w:jc w:val="both"/>
        <w:rPr>
          <w:rFonts w:cs="Arial"/>
          <w:sz w:val="22"/>
          <w:szCs w:val="22"/>
        </w:rPr>
      </w:pPr>
      <w:r w:rsidRPr="001B3BFD">
        <w:rPr>
          <w:rFonts w:cs="Arial"/>
          <w:sz w:val="22"/>
          <w:szCs w:val="22"/>
        </w:rPr>
        <w:t>A partir de abril del año 2020, la participación ciudadana y la rendición de cuentas se incluye en la caracterización del proceso y se asigna al Grupo Interno de Trabajo de Servicio al Ciudadano y Participación, la responsabilidad de definir, orientar y promover lineamientos para la participación ciudadana.</w:t>
      </w:r>
    </w:p>
    <w:p w14:paraId="6DB9EAC8" w14:textId="212DF2A0" w:rsidR="005325D9" w:rsidRPr="008179E9" w:rsidRDefault="005325D9" w:rsidP="00C72779">
      <w:pPr>
        <w:pStyle w:val="Prrafodelista"/>
        <w:ind w:left="567"/>
        <w:rPr>
          <w:rFonts w:cs="Arial"/>
          <w:sz w:val="22"/>
          <w:szCs w:val="22"/>
        </w:rPr>
      </w:pPr>
    </w:p>
    <w:p w14:paraId="1070FB9C" w14:textId="76E0F5B8" w:rsidR="005325D9" w:rsidRPr="008179E9" w:rsidRDefault="00331B49" w:rsidP="00C72779">
      <w:pPr>
        <w:pStyle w:val="Prrafodelista"/>
        <w:ind w:left="567"/>
        <w:rPr>
          <w:rFonts w:cs="Arial"/>
          <w:sz w:val="22"/>
          <w:szCs w:val="22"/>
        </w:rPr>
      </w:pPr>
      <w:r w:rsidRPr="008179E9">
        <w:rPr>
          <w:rFonts w:cs="Arial"/>
          <w:noProof/>
          <w:sz w:val="22"/>
          <w:szCs w:val="22"/>
          <w:lang w:val="es-CO" w:eastAsia="es-CO"/>
        </w:rPr>
        <w:drawing>
          <wp:anchor distT="0" distB="0" distL="114300" distR="114300" simplePos="0" relativeHeight="251658259" behindDoc="0" locked="0" layoutInCell="1" allowOverlap="1" wp14:anchorId="5B41BCEC" wp14:editId="03F9A30C">
            <wp:simplePos x="0" y="0"/>
            <wp:positionH relativeFrom="margin">
              <wp:align>left</wp:align>
            </wp:positionH>
            <wp:positionV relativeFrom="paragraph">
              <wp:posOffset>3175</wp:posOffset>
            </wp:positionV>
            <wp:extent cx="2800350" cy="2326640"/>
            <wp:effectExtent l="0" t="0" r="0" b="0"/>
            <wp:wrapSquare wrapText="bothSides"/>
            <wp:docPr id="291697601" name="Imagen 29169760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n 43" descr="Diagrama&#10;&#10;Descripción generada automáticamente"/>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2800350" cy="2326640"/>
                    </a:xfrm>
                    <a:prstGeom prst="rect">
                      <a:avLst/>
                    </a:prstGeom>
                    <a:noFill/>
                    <a:ln>
                      <a:noFill/>
                    </a:ln>
                  </pic:spPr>
                </pic:pic>
              </a:graphicData>
            </a:graphic>
            <wp14:sizeRelH relativeFrom="page">
              <wp14:pctWidth>0</wp14:pctWidth>
            </wp14:sizeRelH>
            <wp14:sizeRelV relativeFrom="page">
              <wp14:pctHeight>0</wp14:pctHeight>
            </wp14:sizeRelV>
          </wp:anchor>
        </w:drawing>
      </w:r>
      <w:r w:rsidR="005325D9" w:rsidRPr="008179E9">
        <w:rPr>
          <w:rFonts w:cs="Arial"/>
          <w:sz w:val="22"/>
          <w:szCs w:val="22"/>
        </w:rPr>
        <w:t>Por primera vez se convocó a la ciudadanía a participar en la construcción del cronograma de participación ciudadana de la entidad para la vigencia 2020 la cual registró 34 actividades planeadas, con la colaboración de 12 direcciones territoriales y 7 dependencias de sede central.</w:t>
      </w:r>
    </w:p>
    <w:p w14:paraId="59715A60" w14:textId="7AC1B9C4" w:rsidR="005325D9" w:rsidRPr="008179E9" w:rsidRDefault="005325D9" w:rsidP="00C72779">
      <w:pPr>
        <w:pStyle w:val="Prrafodelista"/>
        <w:ind w:left="567"/>
        <w:rPr>
          <w:rFonts w:cs="Arial"/>
          <w:sz w:val="22"/>
          <w:szCs w:val="22"/>
        </w:rPr>
      </w:pPr>
    </w:p>
    <w:p w14:paraId="6CA4F262" w14:textId="77777777" w:rsidR="005325D9" w:rsidRPr="008179E9" w:rsidRDefault="005325D9" w:rsidP="00C72779">
      <w:pPr>
        <w:pStyle w:val="Prrafodelista"/>
        <w:ind w:left="567"/>
        <w:rPr>
          <w:rFonts w:cs="Arial"/>
          <w:sz w:val="22"/>
          <w:szCs w:val="22"/>
        </w:rPr>
      </w:pPr>
      <w:r w:rsidRPr="008179E9">
        <w:rPr>
          <w:rFonts w:cs="Arial"/>
          <w:sz w:val="22"/>
          <w:szCs w:val="22"/>
        </w:rPr>
        <w:t>Un desafío interno que enfrentó la administración en el proceso fue romper con el paradigma que tenían los líderes, jefes de oficina, coordinadores, directores territoriales y funcionarios de que la rendición de cuentas se limitaba a la planeación y ejecución del evento de audiencia pública.</w:t>
      </w:r>
    </w:p>
    <w:p w14:paraId="0EF38DD2" w14:textId="750085A4" w:rsidR="005325D9" w:rsidRPr="008179E9" w:rsidRDefault="005325D9" w:rsidP="00C72779">
      <w:pPr>
        <w:pStyle w:val="Prrafodelista"/>
        <w:ind w:left="567"/>
        <w:rPr>
          <w:rFonts w:cs="Arial"/>
          <w:sz w:val="22"/>
          <w:szCs w:val="22"/>
        </w:rPr>
      </w:pPr>
    </w:p>
    <w:p w14:paraId="2443F979" w14:textId="3013E515" w:rsidR="007F33BC" w:rsidRDefault="007F33BC" w:rsidP="00C72779">
      <w:pPr>
        <w:pStyle w:val="Prrafodelista"/>
        <w:ind w:left="567"/>
        <w:rPr>
          <w:rFonts w:cs="Arial"/>
          <w:sz w:val="22"/>
          <w:szCs w:val="22"/>
        </w:rPr>
      </w:pPr>
    </w:p>
    <w:p w14:paraId="30945A47" w14:textId="7D519E0F" w:rsidR="005325D9" w:rsidRPr="007F33BC" w:rsidRDefault="005325D9" w:rsidP="00E5569F">
      <w:pPr>
        <w:jc w:val="both"/>
        <w:rPr>
          <w:rFonts w:cs="Arial"/>
          <w:sz w:val="22"/>
          <w:szCs w:val="22"/>
        </w:rPr>
      </w:pPr>
      <w:r w:rsidRPr="007F33BC">
        <w:rPr>
          <w:rFonts w:cs="Arial"/>
          <w:sz w:val="22"/>
          <w:szCs w:val="22"/>
        </w:rPr>
        <w:t>Un impacto positivo en el desarrollo de los espacios participativos y de rendición de cuentas de la vigencia 2020 que se presentó como consecuencia de la Emergencia Sanitaria por el COVID-19, fue el fortalecimiento de la virtualidad, promoviendo la interacción de la ciudadanía por diferentes medios como las redes sociales.</w:t>
      </w:r>
    </w:p>
    <w:p w14:paraId="465816FB" w14:textId="06481DE4" w:rsidR="005325D9" w:rsidRPr="008179E9" w:rsidRDefault="005325D9" w:rsidP="00C72779">
      <w:pPr>
        <w:pStyle w:val="Prrafodelista"/>
        <w:ind w:left="567"/>
        <w:rPr>
          <w:rFonts w:cs="Arial"/>
          <w:sz w:val="22"/>
          <w:szCs w:val="22"/>
        </w:rPr>
      </w:pPr>
    </w:p>
    <w:p w14:paraId="3C767612" w14:textId="0210E418" w:rsidR="005325D9" w:rsidRPr="00BE273D" w:rsidRDefault="005325D9" w:rsidP="00BE273D">
      <w:pPr>
        <w:jc w:val="both"/>
        <w:rPr>
          <w:rFonts w:cs="Arial"/>
          <w:sz w:val="22"/>
          <w:szCs w:val="22"/>
        </w:rPr>
      </w:pPr>
      <w:r w:rsidRPr="00BE273D">
        <w:rPr>
          <w:rFonts w:cs="Arial"/>
          <w:sz w:val="22"/>
          <w:szCs w:val="22"/>
        </w:rPr>
        <w:t>Por otra parte, se fortaleció el proceso de rendición de cuentas permanente, así: a) Transparencia activa, con la publicación y puesta a disposición de información pública a la ciudadanía a través de los canales de divulgación del Instituto, con las convocatorias públicas de procesos licitatorios, el plan anual de adquisiciones y sus actualizaciones, los contratos de prestación de servicios, informes de ejecución presupuestal, entre otros. b) Transparencia pasiva, se relaciona con el derecho al ciudadano de acceder a la información pública a través de sus solicitudes, para lo cual se publica en página web de la entidad el informe de peticiones quejas, reclamos, sugerencias y denuncias (PQRSD).</w:t>
      </w:r>
    </w:p>
    <w:p w14:paraId="279C770B" w14:textId="17AF5D57" w:rsidR="005325D9" w:rsidRPr="008179E9" w:rsidRDefault="005325D9" w:rsidP="00BE273D">
      <w:pPr>
        <w:pStyle w:val="Prrafodelista"/>
        <w:ind w:left="567"/>
        <w:rPr>
          <w:rFonts w:cs="Arial"/>
          <w:sz w:val="22"/>
          <w:szCs w:val="22"/>
        </w:rPr>
      </w:pPr>
    </w:p>
    <w:p w14:paraId="388FA70E" w14:textId="68DA3DF6" w:rsidR="005325D9" w:rsidRPr="00BE273D" w:rsidRDefault="005325D9" w:rsidP="00BE273D">
      <w:pPr>
        <w:jc w:val="both"/>
        <w:rPr>
          <w:rFonts w:cs="Arial"/>
          <w:sz w:val="22"/>
          <w:szCs w:val="22"/>
        </w:rPr>
      </w:pPr>
      <w:r w:rsidRPr="00BE273D">
        <w:rPr>
          <w:rFonts w:cs="Arial"/>
          <w:sz w:val="22"/>
          <w:szCs w:val="22"/>
        </w:rPr>
        <w:t>El cronograma de participación ciudadana y rendición de cuentas para la vigencia 2020 tuvo un índice de cumplimiento del 94,12%, debido a la declaratoria de emergencia sanitaria por el COVID-19, se dejaron de realizar 2 espacios participativos.</w:t>
      </w:r>
    </w:p>
    <w:p w14:paraId="7A08978E" w14:textId="3D9C9E35" w:rsidR="005325D9" w:rsidRPr="008179E9" w:rsidRDefault="005325D9" w:rsidP="00BE273D">
      <w:pPr>
        <w:pStyle w:val="Prrafodelista"/>
        <w:ind w:left="567"/>
        <w:rPr>
          <w:rFonts w:cs="Arial"/>
          <w:sz w:val="22"/>
          <w:szCs w:val="22"/>
        </w:rPr>
      </w:pPr>
    </w:p>
    <w:p w14:paraId="36AB09C3" w14:textId="52305835" w:rsidR="005325D9" w:rsidRPr="00BE273D" w:rsidRDefault="005325D9" w:rsidP="00BE273D">
      <w:pPr>
        <w:jc w:val="both"/>
        <w:rPr>
          <w:rFonts w:cs="Arial"/>
          <w:sz w:val="22"/>
          <w:szCs w:val="22"/>
        </w:rPr>
      </w:pPr>
      <w:r w:rsidRPr="00BE273D">
        <w:rPr>
          <w:rFonts w:cs="Arial"/>
          <w:sz w:val="22"/>
          <w:szCs w:val="22"/>
        </w:rPr>
        <w:t>El IGAC ha diligenciado los autodiagnósticos de rendición de cuentas, herramienta que evalúa los procesos y actividades realizadas por el Instituto pasando de una calificación de 8,8 en el año 2018, puntaje de 40,1 para el 2019 y 51,5 puntos en la vigencia 2020. Lo anterior significa que la entidad pasó del nivel inicial, otorgado a las entidades que están comenzando las primeras experiencias, al nivel consolidación, dispuesto a entidades que cuentan con experiencia y quieren continuar fortaleciendo la rendición de cuentas.</w:t>
      </w:r>
    </w:p>
    <w:p w14:paraId="5AA25C53" w14:textId="0F3BA367" w:rsidR="005325D9" w:rsidRPr="008179E9" w:rsidRDefault="005325D9" w:rsidP="00BE273D">
      <w:pPr>
        <w:pStyle w:val="Prrafodelista"/>
        <w:ind w:left="567"/>
        <w:rPr>
          <w:rFonts w:cs="Arial"/>
          <w:sz w:val="22"/>
          <w:szCs w:val="22"/>
        </w:rPr>
      </w:pPr>
    </w:p>
    <w:p w14:paraId="21BCB7DE" w14:textId="2BBD8067" w:rsidR="005325D9" w:rsidRPr="008179E9" w:rsidRDefault="005325D9" w:rsidP="00BE273D">
      <w:pPr>
        <w:jc w:val="both"/>
        <w:rPr>
          <w:rFonts w:cs="Arial"/>
          <w:sz w:val="22"/>
          <w:szCs w:val="22"/>
        </w:rPr>
      </w:pPr>
      <w:r w:rsidRPr="008179E9">
        <w:rPr>
          <w:rFonts w:cs="Arial"/>
          <w:sz w:val="22"/>
          <w:szCs w:val="22"/>
        </w:rPr>
        <w:t>En el presente año se aprobó la conformación del equipo líder de participación ciudadana y rendición de cuentas, en reunión del Comité Institucional de Gestión y Desempeño mediante Acta No. 3 del 19 de marzo, quedando conformado por las siguientes dependencias:</w:t>
      </w:r>
    </w:p>
    <w:p w14:paraId="5FE67FB6" w14:textId="5237EF0A" w:rsidR="005325D9" w:rsidRPr="008179E9" w:rsidRDefault="005325D9" w:rsidP="00C72779">
      <w:pPr>
        <w:ind w:left="567"/>
        <w:jc w:val="both"/>
        <w:rPr>
          <w:rFonts w:cs="Arial"/>
          <w:sz w:val="22"/>
          <w:szCs w:val="22"/>
        </w:rPr>
      </w:pPr>
    </w:p>
    <w:p w14:paraId="28BE4E92" w14:textId="62C6DD10"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Oficina Asesora de Planeación</w:t>
      </w:r>
    </w:p>
    <w:p w14:paraId="27D90EA2" w14:textId="3FBFD6E5"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Oficina de Control Interno</w:t>
      </w:r>
    </w:p>
    <w:p w14:paraId="4D131D4A" w14:textId="77777777"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Oficina Asesora de Comunicaciones</w:t>
      </w:r>
    </w:p>
    <w:p w14:paraId="715781D0" w14:textId="77777777"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Subdirección Administrativa y Financiera</w:t>
      </w:r>
    </w:p>
    <w:p w14:paraId="451BF1E9" w14:textId="77777777"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Dirección de Gestión Catastral</w:t>
      </w:r>
    </w:p>
    <w:p w14:paraId="5C1C6078" w14:textId="77777777" w:rsidR="005325D9" w:rsidRPr="008179E9" w:rsidRDefault="005325D9" w:rsidP="000A20EE">
      <w:pPr>
        <w:pStyle w:val="Prrafodelista"/>
        <w:numPr>
          <w:ilvl w:val="0"/>
          <w:numId w:val="99"/>
        </w:numPr>
        <w:suppressAutoHyphens w:val="0"/>
        <w:overflowPunct/>
        <w:autoSpaceDE/>
        <w:contextualSpacing/>
        <w:textAlignment w:val="auto"/>
        <w:rPr>
          <w:rFonts w:eastAsiaTheme="minorEastAsia" w:cs="Arial"/>
          <w:sz w:val="22"/>
          <w:szCs w:val="22"/>
        </w:rPr>
      </w:pPr>
      <w:r w:rsidRPr="008179E9">
        <w:rPr>
          <w:rFonts w:cs="Arial"/>
          <w:sz w:val="22"/>
          <w:szCs w:val="22"/>
        </w:rPr>
        <w:t>Oficina de Relación con el Ciudadano</w:t>
      </w:r>
    </w:p>
    <w:p w14:paraId="47ADB9DA" w14:textId="7848234C" w:rsidR="00726A37" w:rsidRPr="008179E9" w:rsidRDefault="00726A37" w:rsidP="00BE273D">
      <w:pPr>
        <w:jc w:val="both"/>
        <w:rPr>
          <w:rFonts w:eastAsiaTheme="minorEastAsia" w:cs="Arial"/>
          <w:sz w:val="22"/>
          <w:szCs w:val="22"/>
        </w:rPr>
      </w:pPr>
    </w:p>
    <w:p w14:paraId="492C2899" w14:textId="42CD2666" w:rsidR="007252B5" w:rsidRDefault="005325D9" w:rsidP="00BE273D">
      <w:pPr>
        <w:jc w:val="both"/>
        <w:rPr>
          <w:rFonts w:cs="Arial"/>
          <w:sz w:val="22"/>
          <w:szCs w:val="22"/>
        </w:rPr>
      </w:pPr>
      <w:r w:rsidRPr="008179E9">
        <w:rPr>
          <w:rFonts w:cs="Arial"/>
          <w:sz w:val="22"/>
          <w:szCs w:val="22"/>
        </w:rPr>
        <w:t>Dentro de las funciones del Equipo Líder se determin</w:t>
      </w:r>
      <w:r w:rsidR="007252B5">
        <w:rPr>
          <w:rFonts w:cs="Arial"/>
          <w:sz w:val="22"/>
          <w:szCs w:val="22"/>
        </w:rPr>
        <w:t>aron las siguientes:</w:t>
      </w:r>
    </w:p>
    <w:p w14:paraId="2355B4D7" w14:textId="6DE1B1DA" w:rsidR="00483945" w:rsidRDefault="00483945" w:rsidP="00CA3920">
      <w:pPr>
        <w:jc w:val="center"/>
        <w:rPr>
          <w:rFonts w:cs="Arial"/>
          <w:b/>
          <w:sz w:val="16"/>
          <w:szCs w:val="16"/>
        </w:rPr>
      </w:pPr>
    </w:p>
    <w:p w14:paraId="39128983" w14:textId="42CFE24F" w:rsidR="000215EA" w:rsidRPr="000215EA" w:rsidRDefault="000215EA" w:rsidP="000215EA">
      <w:pPr>
        <w:pStyle w:val="Descripcin"/>
        <w:jc w:val="center"/>
        <w:rPr>
          <w:rFonts w:ascii="Arial" w:hAnsi="Arial" w:cs="Arial"/>
          <w:b/>
          <w:bCs/>
          <w:i w:val="0"/>
          <w:iCs w:val="0"/>
          <w:color w:val="000000" w:themeColor="text1"/>
          <w:sz w:val="20"/>
          <w:szCs w:val="20"/>
        </w:rPr>
      </w:pPr>
      <w:bookmarkStart w:id="175" w:name="_Toc88677208"/>
      <w:r w:rsidRPr="000215EA">
        <w:rPr>
          <w:rFonts w:ascii="Arial" w:hAnsi="Arial" w:cs="Arial"/>
          <w:b/>
          <w:bCs/>
          <w:i w:val="0"/>
          <w:iCs w:val="0"/>
          <w:color w:val="000000" w:themeColor="text1"/>
          <w:sz w:val="16"/>
          <w:szCs w:val="16"/>
        </w:rPr>
        <w:t xml:space="preserve">Ilustración </w:t>
      </w:r>
      <w:r w:rsidRPr="000215EA">
        <w:rPr>
          <w:rFonts w:ascii="Arial" w:hAnsi="Arial" w:cs="Arial"/>
          <w:b/>
          <w:bCs/>
          <w:i w:val="0"/>
          <w:iCs w:val="0"/>
          <w:color w:val="000000" w:themeColor="text1"/>
          <w:sz w:val="16"/>
          <w:szCs w:val="16"/>
        </w:rPr>
        <w:fldChar w:fldCharType="begin"/>
      </w:r>
      <w:r w:rsidRPr="000215EA">
        <w:rPr>
          <w:rFonts w:ascii="Arial" w:hAnsi="Arial" w:cs="Arial"/>
          <w:b/>
          <w:bCs/>
          <w:i w:val="0"/>
          <w:iCs w:val="0"/>
          <w:color w:val="000000" w:themeColor="text1"/>
          <w:sz w:val="16"/>
          <w:szCs w:val="16"/>
        </w:rPr>
        <w:instrText xml:space="preserve"> SEQ Ilustración \* ARABIC </w:instrText>
      </w:r>
      <w:r w:rsidRPr="000215EA">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52</w:t>
      </w:r>
      <w:r w:rsidRPr="000215EA">
        <w:rPr>
          <w:rFonts w:ascii="Arial" w:hAnsi="Arial" w:cs="Arial"/>
          <w:b/>
          <w:bCs/>
          <w:i w:val="0"/>
          <w:iCs w:val="0"/>
          <w:color w:val="000000" w:themeColor="text1"/>
          <w:sz w:val="16"/>
          <w:szCs w:val="16"/>
        </w:rPr>
        <w:fldChar w:fldCharType="end"/>
      </w:r>
      <w:r w:rsidRPr="000215EA">
        <w:rPr>
          <w:rFonts w:ascii="Arial" w:hAnsi="Arial" w:cs="Arial"/>
          <w:b/>
          <w:bCs/>
          <w:i w:val="0"/>
          <w:iCs w:val="0"/>
          <w:color w:val="000000" w:themeColor="text1"/>
          <w:sz w:val="16"/>
          <w:szCs w:val="16"/>
        </w:rPr>
        <w:t>. Funciones Equipo Líder</w:t>
      </w:r>
      <w:bookmarkEnd w:id="175"/>
    </w:p>
    <w:p w14:paraId="3ECF7D9B" w14:textId="46DA280D" w:rsidR="000215EA" w:rsidRDefault="007252B5" w:rsidP="00CA3920">
      <w:pPr>
        <w:jc w:val="center"/>
        <w:rPr>
          <w:rFonts w:cs="Arial"/>
          <w:b/>
          <w:sz w:val="16"/>
          <w:szCs w:val="16"/>
        </w:rPr>
      </w:pPr>
      <w:r w:rsidRPr="008179E9">
        <w:rPr>
          <w:rFonts w:eastAsiaTheme="minorEastAsia" w:cs="Arial"/>
          <w:noProof/>
          <w:sz w:val="22"/>
          <w:szCs w:val="22"/>
          <w:lang w:val="es-CO" w:eastAsia="es-CO"/>
        </w:rPr>
        <w:drawing>
          <wp:anchor distT="0" distB="0" distL="114300" distR="114300" simplePos="0" relativeHeight="251658260" behindDoc="0" locked="0" layoutInCell="1" allowOverlap="1" wp14:anchorId="1AF0B9C3" wp14:editId="48220924">
            <wp:simplePos x="0" y="0"/>
            <wp:positionH relativeFrom="margin">
              <wp:posOffset>582930</wp:posOffset>
            </wp:positionH>
            <wp:positionV relativeFrom="paragraph">
              <wp:posOffset>9525</wp:posOffset>
            </wp:positionV>
            <wp:extent cx="5010785" cy="1828800"/>
            <wp:effectExtent l="0" t="0" r="0" b="0"/>
            <wp:wrapSquare wrapText="bothSides"/>
            <wp:docPr id="291697602" name="Imagen 291697602" descr="Imagen que contiene 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n 42" descr="Imagen que contiene Escala de tiempo&#10;&#10;Descripción generada automáticamente"/>
                    <pic:cNvPicPr/>
                  </pic:nvPicPr>
                  <pic:blipFill rotWithShape="1">
                    <a:blip r:embed="rId139">
                      <a:extLst>
                        <a:ext uri="{28A0092B-C50C-407E-A947-70E740481C1C}">
                          <a14:useLocalDpi xmlns:a14="http://schemas.microsoft.com/office/drawing/2010/main" val="0"/>
                        </a:ext>
                      </a:extLst>
                    </a:blip>
                    <a:srcRect t="15997"/>
                    <a:stretch/>
                  </pic:blipFill>
                  <pic:spPr bwMode="auto">
                    <a:xfrm>
                      <a:off x="0" y="0"/>
                      <a:ext cx="5010785" cy="1828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2233F8F" w14:textId="63048E65" w:rsidR="000215EA" w:rsidRDefault="000215EA" w:rsidP="000215EA">
      <w:pPr>
        <w:keepNext/>
        <w:jc w:val="center"/>
      </w:pPr>
    </w:p>
    <w:p w14:paraId="4F365B93" w14:textId="09A657FF" w:rsidR="005325D9" w:rsidRPr="008179E9" w:rsidRDefault="005325D9" w:rsidP="00C72779">
      <w:pPr>
        <w:ind w:left="567"/>
        <w:jc w:val="both"/>
        <w:rPr>
          <w:rFonts w:cs="Arial"/>
          <w:sz w:val="22"/>
          <w:szCs w:val="22"/>
        </w:rPr>
      </w:pPr>
    </w:p>
    <w:p w14:paraId="3FFD7245" w14:textId="7D6E866C" w:rsidR="000215EA" w:rsidRDefault="000215EA" w:rsidP="004F7CA1">
      <w:pPr>
        <w:jc w:val="center"/>
        <w:rPr>
          <w:rFonts w:cs="Arial"/>
          <w:b/>
          <w:sz w:val="16"/>
          <w:szCs w:val="16"/>
        </w:rPr>
      </w:pPr>
    </w:p>
    <w:p w14:paraId="4D26A4FA" w14:textId="52C8D902" w:rsidR="000215EA" w:rsidRDefault="000215EA" w:rsidP="004F7CA1">
      <w:pPr>
        <w:jc w:val="center"/>
        <w:rPr>
          <w:rFonts w:cs="Arial"/>
          <w:b/>
          <w:sz w:val="16"/>
          <w:szCs w:val="16"/>
        </w:rPr>
      </w:pPr>
    </w:p>
    <w:p w14:paraId="6DB496AA" w14:textId="77777777" w:rsidR="000215EA" w:rsidRDefault="000215EA" w:rsidP="004F7CA1">
      <w:pPr>
        <w:jc w:val="center"/>
        <w:rPr>
          <w:rFonts w:cs="Arial"/>
          <w:b/>
          <w:sz w:val="16"/>
          <w:szCs w:val="16"/>
        </w:rPr>
      </w:pPr>
    </w:p>
    <w:p w14:paraId="0A4B10EA" w14:textId="6B880393" w:rsidR="000215EA" w:rsidRDefault="000215EA" w:rsidP="004F7CA1">
      <w:pPr>
        <w:jc w:val="center"/>
        <w:rPr>
          <w:rFonts w:cs="Arial"/>
          <w:b/>
          <w:sz w:val="16"/>
          <w:szCs w:val="16"/>
        </w:rPr>
      </w:pPr>
    </w:p>
    <w:p w14:paraId="0498B078" w14:textId="4D2FAC0F" w:rsidR="000215EA" w:rsidRDefault="000215EA" w:rsidP="004F7CA1">
      <w:pPr>
        <w:jc w:val="center"/>
        <w:rPr>
          <w:rFonts w:cs="Arial"/>
          <w:b/>
          <w:sz w:val="16"/>
          <w:szCs w:val="16"/>
        </w:rPr>
      </w:pPr>
    </w:p>
    <w:p w14:paraId="2A0F7B0E" w14:textId="5C5F64E5" w:rsidR="000215EA" w:rsidRDefault="000215EA" w:rsidP="004F7CA1">
      <w:pPr>
        <w:jc w:val="center"/>
        <w:rPr>
          <w:rFonts w:cs="Arial"/>
          <w:b/>
          <w:sz w:val="16"/>
          <w:szCs w:val="16"/>
        </w:rPr>
      </w:pPr>
    </w:p>
    <w:p w14:paraId="5FDFDA03" w14:textId="396B73ED" w:rsidR="000215EA" w:rsidRDefault="000215EA" w:rsidP="004F7CA1">
      <w:pPr>
        <w:jc w:val="center"/>
        <w:rPr>
          <w:rFonts w:cs="Arial"/>
          <w:b/>
          <w:sz w:val="16"/>
          <w:szCs w:val="16"/>
        </w:rPr>
      </w:pPr>
    </w:p>
    <w:p w14:paraId="190701E0" w14:textId="3D7C788B" w:rsidR="000215EA" w:rsidRDefault="000215EA" w:rsidP="004F7CA1">
      <w:pPr>
        <w:jc w:val="center"/>
        <w:rPr>
          <w:rFonts w:cs="Arial"/>
          <w:b/>
          <w:sz w:val="16"/>
          <w:szCs w:val="16"/>
        </w:rPr>
      </w:pPr>
    </w:p>
    <w:p w14:paraId="6EC346A7" w14:textId="278C0AFA" w:rsidR="000215EA" w:rsidRDefault="000215EA" w:rsidP="004F7CA1">
      <w:pPr>
        <w:jc w:val="center"/>
        <w:rPr>
          <w:rFonts w:cs="Arial"/>
          <w:b/>
          <w:sz w:val="16"/>
          <w:szCs w:val="16"/>
        </w:rPr>
      </w:pPr>
    </w:p>
    <w:p w14:paraId="75B7C53A" w14:textId="3388C05F" w:rsidR="000215EA" w:rsidRDefault="000215EA" w:rsidP="004F7CA1">
      <w:pPr>
        <w:jc w:val="center"/>
        <w:rPr>
          <w:rFonts w:cs="Arial"/>
          <w:b/>
          <w:sz w:val="16"/>
          <w:szCs w:val="16"/>
        </w:rPr>
      </w:pPr>
    </w:p>
    <w:p w14:paraId="06C861F5" w14:textId="77777777" w:rsidR="007252B5" w:rsidRDefault="007252B5" w:rsidP="004F7CA1">
      <w:pPr>
        <w:jc w:val="center"/>
        <w:rPr>
          <w:rFonts w:cs="Arial"/>
          <w:b/>
          <w:sz w:val="16"/>
          <w:szCs w:val="16"/>
        </w:rPr>
      </w:pPr>
    </w:p>
    <w:p w14:paraId="725E5B43" w14:textId="77777777" w:rsidR="007252B5" w:rsidRDefault="007252B5" w:rsidP="004F7CA1">
      <w:pPr>
        <w:jc w:val="center"/>
        <w:rPr>
          <w:rFonts w:cs="Arial"/>
          <w:b/>
          <w:sz w:val="16"/>
          <w:szCs w:val="16"/>
        </w:rPr>
      </w:pPr>
    </w:p>
    <w:p w14:paraId="76268227" w14:textId="77777777" w:rsidR="007252B5" w:rsidRDefault="007252B5" w:rsidP="004F7CA1">
      <w:pPr>
        <w:jc w:val="center"/>
        <w:rPr>
          <w:rFonts w:cs="Arial"/>
          <w:b/>
          <w:sz w:val="16"/>
          <w:szCs w:val="16"/>
        </w:rPr>
      </w:pPr>
    </w:p>
    <w:p w14:paraId="6AE54A48" w14:textId="22CEE4A6" w:rsidR="005325D9" w:rsidRPr="00D41F47" w:rsidRDefault="00D41F47" w:rsidP="004F7CA1">
      <w:pPr>
        <w:jc w:val="center"/>
        <w:rPr>
          <w:rFonts w:cs="Arial"/>
          <w:b/>
          <w:sz w:val="16"/>
          <w:szCs w:val="16"/>
        </w:rPr>
      </w:pPr>
      <w:r w:rsidRPr="1AEA1AA2">
        <w:rPr>
          <w:rFonts w:cs="Arial"/>
          <w:b/>
          <w:sz w:val="16"/>
          <w:szCs w:val="16"/>
        </w:rPr>
        <w:t xml:space="preserve">Fuente: Oficina de Relación con el Ciudadano </w:t>
      </w:r>
    </w:p>
    <w:p w14:paraId="5D96BA17" w14:textId="246939CB" w:rsidR="00726A37" w:rsidRDefault="00726A37" w:rsidP="00726A37">
      <w:pPr>
        <w:jc w:val="both"/>
        <w:rPr>
          <w:rFonts w:cs="Arial"/>
          <w:sz w:val="22"/>
          <w:szCs w:val="22"/>
        </w:rPr>
      </w:pPr>
    </w:p>
    <w:p w14:paraId="75446D38" w14:textId="4E419645" w:rsidR="00726A37" w:rsidRDefault="00726A37" w:rsidP="00726A37">
      <w:pPr>
        <w:jc w:val="both"/>
        <w:rPr>
          <w:rFonts w:cs="Arial"/>
          <w:sz w:val="22"/>
          <w:szCs w:val="22"/>
        </w:rPr>
      </w:pPr>
    </w:p>
    <w:p w14:paraId="05F51803" w14:textId="6B6A7D02" w:rsidR="00726A37" w:rsidRDefault="00726A37" w:rsidP="00726A37">
      <w:pPr>
        <w:jc w:val="both"/>
        <w:rPr>
          <w:rFonts w:cs="Arial"/>
          <w:sz w:val="22"/>
          <w:szCs w:val="22"/>
        </w:rPr>
      </w:pPr>
    </w:p>
    <w:p w14:paraId="3FFB3970" w14:textId="6955DF99" w:rsidR="004F7CA1" w:rsidRDefault="005325D9" w:rsidP="004F7CA1">
      <w:pPr>
        <w:jc w:val="both"/>
        <w:rPr>
          <w:rFonts w:cs="Arial"/>
          <w:sz w:val="22"/>
          <w:szCs w:val="22"/>
        </w:rPr>
      </w:pPr>
      <w:r w:rsidRPr="008179E9">
        <w:rPr>
          <w:rFonts w:cs="Arial"/>
          <w:sz w:val="22"/>
          <w:szCs w:val="22"/>
        </w:rPr>
        <w:t>Por otra parte, para tener contacto directo con las dependencias en sede central y direcciones territoriales, en los meses de marzo a junio la Oficina de Relación con el Ciudadano realizó el levantamiento de información de enlaces.</w:t>
      </w:r>
      <w:r w:rsidR="004F7CA1">
        <w:rPr>
          <w:rFonts w:cs="Arial"/>
          <w:sz w:val="22"/>
          <w:szCs w:val="22"/>
        </w:rPr>
        <w:t xml:space="preserve"> </w:t>
      </w:r>
    </w:p>
    <w:p w14:paraId="14B64534" w14:textId="267D7E49" w:rsidR="004F7CA1" w:rsidRDefault="004F7CA1" w:rsidP="004F7CA1">
      <w:pPr>
        <w:jc w:val="both"/>
        <w:rPr>
          <w:rFonts w:cs="Arial"/>
          <w:sz w:val="22"/>
          <w:szCs w:val="22"/>
        </w:rPr>
      </w:pPr>
    </w:p>
    <w:p w14:paraId="7DD6FEE7" w14:textId="7AA0C16B" w:rsidR="005325D9" w:rsidRDefault="005325D9" w:rsidP="004F7CA1">
      <w:pPr>
        <w:jc w:val="both"/>
        <w:rPr>
          <w:rFonts w:cs="Arial"/>
          <w:sz w:val="22"/>
          <w:szCs w:val="22"/>
        </w:rPr>
      </w:pPr>
      <w:r w:rsidRPr="008179E9">
        <w:rPr>
          <w:rFonts w:cs="Arial"/>
          <w:sz w:val="22"/>
          <w:szCs w:val="22"/>
        </w:rPr>
        <w:t>Se elaboraron los autodiagnósticos de participación ciudadana (con un puntaje de calificación total de 62.3) y rendición de cuentas, la autoevaluación con enfoque de derechos humanos y paz de la rendición de cuentas y el reto de la rendición de cuentas, para el análisis periódico del estado de la gestión, con el fin de identificar oportunidades de mejora adecuados a la realidad del Instituto, y lograr un efectivo avance en el fortalecimiento del proceso. Posteriormente fueron presentados al Equipo Líder de participación y rendición de cuentas, los cuales fueron validados y socializados a los grupos de valor internos y externos.</w:t>
      </w:r>
    </w:p>
    <w:p w14:paraId="59702FA6" w14:textId="65C50772" w:rsidR="005C1613" w:rsidRPr="00054A40" w:rsidRDefault="005C1613" w:rsidP="004F7CA1">
      <w:pPr>
        <w:jc w:val="both"/>
        <w:rPr>
          <w:rFonts w:cs="Arial"/>
          <w:b/>
          <w:sz w:val="16"/>
          <w:szCs w:val="22"/>
        </w:rPr>
      </w:pPr>
    </w:p>
    <w:p w14:paraId="4CE5DE2D" w14:textId="6A17F9CA" w:rsidR="00331B49" w:rsidRPr="00F07D8E" w:rsidRDefault="000215EA" w:rsidP="00F07D8E">
      <w:pPr>
        <w:pStyle w:val="Descripcin"/>
        <w:jc w:val="center"/>
        <w:rPr>
          <w:rFonts w:cs="Arial"/>
          <w:b/>
          <w:i w:val="0"/>
          <w:color w:val="000000" w:themeColor="text1"/>
          <w:sz w:val="22"/>
          <w:szCs w:val="22"/>
        </w:rPr>
      </w:pPr>
      <w:bookmarkStart w:id="176" w:name="_Toc88677209"/>
      <w:r w:rsidRPr="000215EA">
        <w:rPr>
          <w:b/>
          <w:bCs/>
          <w:i w:val="0"/>
          <w:iCs w:val="0"/>
          <w:color w:val="000000" w:themeColor="text1"/>
        </w:rPr>
        <w:t xml:space="preserve">Ilustración </w:t>
      </w:r>
      <w:r w:rsidRPr="000215EA">
        <w:rPr>
          <w:b/>
          <w:bCs/>
          <w:i w:val="0"/>
          <w:iCs w:val="0"/>
          <w:color w:val="000000" w:themeColor="text1"/>
        </w:rPr>
        <w:fldChar w:fldCharType="begin"/>
      </w:r>
      <w:r w:rsidRPr="000215EA">
        <w:rPr>
          <w:b/>
          <w:bCs/>
          <w:i w:val="0"/>
          <w:iCs w:val="0"/>
          <w:color w:val="000000" w:themeColor="text1"/>
        </w:rPr>
        <w:instrText xml:space="preserve"> SEQ Ilustración \* ARABIC </w:instrText>
      </w:r>
      <w:r w:rsidRPr="000215EA">
        <w:rPr>
          <w:b/>
          <w:bCs/>
          <w:i w:val="0"/>
          <w:iCs w:val="0"/>
          <w:color w:val="000000" w:themeColor="text1"/>
        </w:rPr>
        <w:fldChar w:fldCharType="separate"/>
      </w:r>
      <w:r w:rsidR="005D5B0E">
        <w:rPr>
          <w:b/>
          <w:bCs/>
          <w:i w:val="0"/>
          <w:iCs w:val="0"/>
          <w:noProof/>
          <w:color w:val="000000" w:themeColor="text1"/>
        </w:rPr>
        <w:t>53</w:t>
      </w:r>
      <w:r w:rsidRPr="000215EA">
        <w:rPr>
          <w:b/>
          <w:bCs/>
          <w:i w:val="0"/>
          <w:iCs w:val="0"/>
          <w:color w:val="000000" w:themeColor="text1"/>
        </w:rPr>
        <w:fldChar w:fldCharType="end"/>
      </w:r>
      <w:r w:rsidRPr="000215EA">
        <w:rPr>
          <w:b/>
          <w:bCs/>
          <w:i w:val="0"/>
          <w:iCs w:val="0"/>
          <w:color w:val="000000" w:themeColor="text1"/>
        </w:rPr>
        <w:t xml:space="preserve">. </w:t>
      </w:r>
      <w:r w:rsidR="00331B49" w:rsidRPr="000215EA">
        <w:rPr>
          <w:b/>
          <w:i w:val="0"/>
          <w:color w:val="000000" w:themeColor="text1"/>
        </w:rPr>
        <w:t>Autodiagnósticos</w:t>
      </w:r>
      <w:bookmarkEnd w:id="176"/>
    </w:p>
    <w:p w14:paraId="298952B8" w14:textId="403A5BE9" w:rsidR="00331B49" w:rsidRDefault="00F07D8E" w:rsidP="00331B49">
      <w:pPr>
        <w:jc w:val="both"/>
        <w:rPr>
          <w:rFonts w:cs="Arial"/>
          <w:sz w:val="22"/>
          <w:szCs w:val="22"/>
        </w:rPr>
      </w:pPr>
      <w:r w:rsidRPr="008179E9">
        <w:rPr>
          <w:rFonts w:cs="Arial"/>
          <w:noProof/>
          <w:sz w:val="22"/>
          <w:szCs w:val="22"/>
          <w:lang w:val="es-CO" w:eastAsia="es-CO"/>
        </w:rPr>
        <mc:AlternateContent>
          <mc:Choice Requires="wpg">
            <w:drawing>
              <wp:anchor distT="0" distB="0" distL="114300" distR="114300" simplePos="0" relativeHeight="251658261" behindDoc="0" locked="0" layoutInCell="1" allowOverlap="1" wp14:anchorId="18343AA3" wp14:editId="19E4D1FD">
                <wp:simplePos x="0" y="0"/>
                <wp:positionH relativeFrom="margin">
                  <wp:align>center</wp:align>
                </wp:positionH>
                <wp:positionV relativeFrom="page">
                  <wp:posOffset>3235325</wp:posOffset>
                </wp:positionV>
                <wp:extent cx="5252720" cy="1580515"/>
                <wp:effectExtent l="0" t="0" r="5080" b="635"/>
                <wp:wrapSquare wrapText="bothSides"/>
                <wp:docPr id="22" name="Grupo 22"/>
                <wp:cNvGraphicFramePr/>
                <a:graphic xmlns:a="http://schemas.openxmlformats.org/drawingml/2006/main">
                  <a:graphicData uri="http://schemas.microsoft.com/office/word/2010/wordprocessingGroup">
                    <wpg:wgp>
                      <wpg:cNvGrpSpPr/>
                      <wpg:grpSpPr>
                        <a:xfrm>
                          <a:off x="0" y="0"/>
                          <a:ext cx="5252720" cy="1580515"/>
                          <a:chOff x="0" y="0"/>
                          <a:chExt cx="5824524" cy="1619885"/>
                        </a:xfrm>
                      </wpg:grpSpPr>
                      <pic:pic xmlns:pic="http://schemas.openxmlformats.org/drawingml/2006/picture">
                        <pic:nvPicPr>
                          <pic:cNvPr id="31" name="Imagen 31"/>
                          <pic:cNvPicPr>
                            <a:picLocks noChangeAspect="1"/>
                          </pic:cNvPicPr>
                        </pic:nvPicPr>
                        <pic:blipFill rotWithShape="1">
                          <a:blip r:embed="rId140" cstate="print">
                            <a:extLst>
                              <a:ext uri="{28A0092B-C50C-407E-A947-70E740481C1C}">
                                <a14:useLocalDpi xmlns:a14="http://schemas.microsoft.com/office/drawing/2010/main" val="0"/>
                              </a:ext>
                            </a:extLst>
                          </a:blip>
                          <a:srcRect l="13762" t="16021" r="32686" b="5231"/>
                          <a:stretch/>
                        </pic:blipFill>
                        <pic:spPr bwMode="auto">
                          <a:xfrm>
                            <a:off x="0" y="0"/>
                            <a:ext cx="1907540" cy="161988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3" name="Imagen 33"/>
                          <pic:cNvPicPr>
                            <a:picLocks noChangeAspect="1"/>
                          </pic:cNvPicPr>
                        </pic:nvPicPr>
                        <pic:blipFill rotWithShape="1">
                          <a:blip r:embed="rId141" cstate="print">
                            <a:extLst>
                              <a:ext uri="{28A0092B-C50C-407E-A947-70E740481C1C}">
                                <a14:useLocalDpi xmlns:a14="http://schemas.microsoft.com/office/drawing/2010/main" val="0"/>
                              </a:ext>
                            </a:extLst>
                          </a:blip>
                          <a:srcRect l="13378" t="17379" r="32112" b="27770"/>
                          <a:stretch/>
                        </pic:blipFill>
                        <pic:spPr bwMode="auto">
                          <a:xfrm>
                            <a:off x="3786809" y="29818"/>
                            <a:ext cx="2037715" cy="157035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8" name="Imagen 58"/>
                          <pic:cNvPicPr>
                            <a:picLocks noChangeAspect="1"/>
                          </pic:cNvPicPr>
                        </pic:nvPicPr>
                        <pic:blipFill rotWithShape="1">
                          <a:blip r:embed="rId142" cstate="print">
                            <a:extLst>
                              <a:ext uri="{28A0092B-C50C-407E-A947-70E740481C1C}">
                                <a14:useLocalDpi xmlns:a14="http://schemas.microsoft.com/office/drawing/2010/main" val="0"/>
                              </a:ext>
                            </a:extLst>
                          </a:blip>
                          <a:srcRect l="13679" t="16836" r="34341" b="4961"/>
                          <a:stretch/>
                        </pic:blipFill>
                        <pic:spPr bwMode="auto">
                          <a:xfrm>
                            <a:off x="1918252" y="0"/>
                            <a:ext cx="1837690" cy="1619250"/>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41710D8A" id="Grupo 22" o:spid="_x0000_s1026" style="position:absolute;margin-left:0;margin-top:254.75pt;width:413.6pt;height:124.45pt;z-index:251658261;mso-position-horizontal:center;mso-position-horizontal-relative:margin;mso-position-vertical-relative:page;mso-width-relative:margin;mso-height-relative:margin" coordsize="58245,161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1" o:spid="_x0000_s1027" type="#_x0000_t75" style="position:absolute;width:19075;height:161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">
                  <v:imagedata r:id="rId143" o:title="" croptop="10500f" cropbottom="3428f" cropleft="9019f" cropright="21421f"/>
                  <v:path arrowok="t"/>
                </v:shape>
                <v:shape id="Imagen 33" o:spid="_x0000_s1028" type="#_x0000_t75" style="position:absolute;left:37868;top:298;width:20377;height:157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">
                  <v:imagedata r:id="rId144" o:title="" croptop="11390f" cropbottom="18199f" cropleft="8767f" cropright="21045f"/>
                  <v:path arrowok="t"/>
                </v:shape>
                <v:shape id="Imagen 58" o:spid="_x0000_s1029" type="#_x0000_t75" style="position:absolute;left:19182;width:18377;height:16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">
                  <v:imagedata r:id="rId145" o:title="" croptop="11034f" cropbottom="3251f" cropleft="8965f" cropright="22506f"/>
                  <v:path arrowok="t"/>
                </v:shape>
                <w10:wrap type="square" anchorx="margin" anchory="page"/>
              </v:group>
            </w:pict>
          </mc:Fallback>
        </mc:AlternateContent>
      </w:r>
    </w:p>
    <w:p w14:paraId="143725AD" w14:textId="78E9E670" w:rsidR="00331B49" w:rsidRDefault="00331B49" w:rsidP="00331B49">
      <w:pPr>
        <w:jc w:val="both"/>
        <w:rPr>
          <w:rFonts w:cs="Arial"/>
          <w:sz w:val="22"/>
          <w:szCs w:val="22"/>
        </w:rPr>
      </w:pPr>
    </w:p>
    <w:p w14:paraId="22AD269B" w14:textId="1A0E515F" w:rsidR="00331B49" w:rsidRDefault="00331B49" w:rsidP="00331B49">
      <w:pPr>
        <w:jc w:val="both"/>
        <w:rPr>
          <w:rFonts w:cs="Arial"/>
          <w:sz w:val="22"/>
          <w:szCs w:val="22"/>
        </w:rPr>
      </w:pPr>
    </w:p>
    <w:p w14:paraId="67AECA18" w14:textId="2AC316FE" w:rsidR="00331B49" w:rsidRDefault="00331B49" w:rsidP="00331B49">
      <w:pPr>
        <w:jc w:val="both"/>
        <w:rPr>
          <w:rFonts w:cs="Arial"/>
          <w:sz w:val="22"/>
          <w:szCs w:val="22"/>
        </w:rPr>
      </w:pPr>
    </w:p>
    <w:p w14:paraId="378BE6FE" w14:textId="77777777" w:rsidR="00331B49" w:rsidRDefault="00331B49" w:rsidP="00331B49">
      <w:pPr>
        <w:jc w:val="both"/>
        <w:rPr>
          <w:rFonts w:cs="Arial"/>
          <w:sz w:val="22"/>
          <w:szCs w:val="22"/>
        </w:rPr>
      </w:pPr>
    </w:p>
    <w:p w14:paraId="0D2963CF" w14:textId="77777777" w:rsidR="00331B49" w:rsidRDefault="00331B49" w:rsidP="00331B49">
      <w:pPr>
        <w:jc w:val="both"/>
        <w:rPr>
          <w:rFonts w:cs="Arial"/>
          <w:sz w:val="22"/>
          <w:szCs w:val="22"/>
        </w:rPr>
      </w:pPr>
    </w:p>
    <w:p w14:paraId="07E6C542" w14:textId="77777777" w:rsidR="00331B49" w:rsidRDefault="00331B49" w:rsidP="00331B49">
      <w:pPr>
        <w:jc w:val="both"/>
        <w:rPr>
          <w:rFonts w:cs="Arial"/>
          <w:sz w:val="22"/>
          <w:szCs w:val="22"/>
        </w:rPr>
      </w:pPr>
    </w:p>
    <w:p w14:paraId="3B2A2C46" w14:textId="77777777" w:rsidR="00331B49" w:rsidRPr="008179E9" w:rsidRDefault="00331B49" w:rsidP="00331B49">
      <w:pPr>
        <w:jc w:val="both"/>
        <w:rPr>
          <w:rFonts w:cs="Arial"/>
          <w:sz w:val="22"/>
          <w:szCs w:val="22"/>
        </w:rPr>
      </w:pPr>
    </w:p>
    <w:p w14:paraId="5BF15537" w14:textId="77777777" w:rsidR="00331B49" w:rsidRDefault="00331B49" w:rsidP="00331B49">
      <w:pPr>
        <w:jc w:val="center"/>
        <w:rPr>
          <w:rFonts w:cs="Arial"/>
          <w:b/>
          <w:sz w:val="16"/>
          <w:szCs w:val="16"/>
        </w:rPr>
      </w:pPr>
      <w:r w:rsidRPr="1AEA1AA2">
        <w:rPr>
          <w:rFonts w:cs="Arial"/>
          <w:b/>
          <w:sz w:val="16"/>
          <w:szCs w:val="16"/>
        </w:rPr>
        <w:t>Fuente: Oficina de Relación con el Ciudadano</w:t>
      </w:r>
    </w:p>
    <w:p w14:paraId="15257699" w14:textId="4166F8EE" w:rsidR="005325D9" w:rsidRPr="008179E9" w:rsidRDefault="005325D9" w:rsidP="00331B49">
      <w:pPr>
        <w:jc w:val="center"/>
        <w:rPr>
          <w:rFonts w:cs="Arial"/>
          <w:sz w:val="22"/>
          <w:szCs w:val="22"/>
        </w:rPr>
      </w:pPr>
    </w:p>
    <w:p w14:paraId="59437BAF" w14:textId="0D6EA7F3" w:rsidR="005325D9" w:rsidRPr="008179E9" w:rsidRDefault="005325D9" w:rsidP="005C1613">
      <w:pPr>
        <w:jc w:val="both"/>
        <w:rPr>
          <w:rStyle w:val="Hipervnculo"/>
          <w:rFonts w:cs="Arial"/>
          <w:sz w:val="22"/>
          <w:szCs w:val="22"/>
        </w:rPr>
      </w:pPr>
      <w:r w:rsidRPr="008179E9">
        <w:rPr>
          <w:rFonts w:cs="Arial"/>
          <w:sz w:val="22"/>
          <w:szCs w:val="22"/>
        </w:rPr>
        <w:t xml:space="preserve">Los documentos mencionados anteriormente se encuentran publicados en la página web del IGAC en la sección de Transparencia y Acceso la Información Pública, en el numeral 4. Planeación, presupuesto e informes, 4.7.3 Informe de rendición de cuentas a la ciudadanía, en el siguiente enlace: </w:t>
      </w:r>
      <w:hyperlink r:id="rId146">
        <w:r w:rsidRPr="008179E9">
          <w:rPr>
            <w:rStyle w:val="Hipervnculo"/>
            <w:rFonts w:cs="Arial"/>
            <w:sz w:val="22"/>
            <w:szCs w:val="22"/>
          </w:rPr>
          <w:t>https://www.igac.gov.co/es/transparencia-y-acceso-a-la-informacion-publica/rendicion-de-cuentas-permanente</w:t>
        </w:r>
      </w:hyperlink>
    </w:p>
    <w:p w14:paraId="0CECD9F2" w14:textId="2614EB00" w:rsidR="005325D9" w:rsidRPr="008179E9" w:rsidRDefault="005325D9" w:rsidP="00C72779">
      <w:pPr>
        <w:ind w:left="567"/>
        <w:jc w:val="both"/>
        <w:rPr>
          <w:rFonts w:cs="Arial"/>
          <w:sz w:val="22"/>
          <w:szCs w:val="22"/>
        </w:rPr>
      </w:pPr>
    </w:p>
    <w:p w14:paraId="7571C592" w14:textId="48D6FEEB" w:rsidR="005325D9" w:rsidRPr="008179E9" w:rsidRDefault="005325D9" w:rsidP="005C1613">
      <w:pPr>
        <w:jc w:val="both"/>
        <w:rPr>
          <w:rFonts w:cs="Arial"/>
          <w:sz w:val="22"/>
          <w:szCs w:val="22"/>
        </w:rPr>
      </w:pPr>
      <w:r w:rsidRPr="008179E9">
        <w:rPr>
          <w:rFonts w:cs="Arial"/>
          <w:sz w:val="22"/>
          <w:szCs w:val="22"/>
        </w:rPr>
        <w:t>Así mismo, la Oficina de Relación con el Ciudadano realizó socializaciones en temas de rendición de cuentas con los grupos de valor externos o asociaciones identificadas para fortalecer capacidades de diálogo y como resultado de la gestión realizada, se publicaron 2 videos con contenido informativo sobre participación ciudadana y rendición de cuentas con inclusión de lengua de señas, siendo divulgados en la página institucional por redes sociales y correo electrónico institucional.</w:t>
      </w:r>
    </w:p>
    <w:p w14:paraId="28B555C5" w14:textId="59F857E6" w:rsidR="005325D9" w:rsidRPr="008179E9" w:rsidRDefault="005325D9" w:rsidP="00C72779">
      <w:pPr>
        <w:ind w:left="567"/>
        <w:jc w:val="both"/>
        <w:rPr>
          <w:rFonts w:cs="Arial"/>
          <w:sz w:val="22"/>
          <w:szCs w:val="22"/>
        </w:rPr>
      </w:pPr>
    </w:p>
    <w:p w14:paraId="0362B6FA" w14:textId="6EB628B6" w:rsidR="005325D9" w:rsidRPr="008179E9" w:rsidRDefault="005325D9" w:rsidP="005C1613">
      <w:pPr>
        <w:jc w:val="both"/>
        <w:rPr>
          <w:rFonts w:cs="Arial"/>
          <w:sz w:val="22"/>
          <w:szCs w:val="22"/>
        </w:rPr>
      </w:pPr>
      <w:r w:rsidRPr="008179E9">
        <w:rPr>
          <w:rFonts w:cs="Arial"/>
          <w:sz w:val="22"/>
          <w:szCs w:val="22"/>
        </w:rPr>
        <w:t>A continuación, se presentan los espacios de participación ciudadana y rendición de cuentas realizados con el apoyo de la Oficina Asesora de Comunicaciones en la vigencia 2021 (enero a septiembre), incluyendo acciones de dialogo con los ciudadanos o grupos de interés desde las áreas misionales de la entidad, aplicando, entre otros, programas de uso de tecnologías, como Facebook Live, foros y otros:</w:t>
      </w:r>
    </w:p>
    <w:p w14:paraId="7D1243A6" w14:textId="5CD153FA" w:rsidR="005325D9" w:rsidRDefault="005325D9" w:rsidP="00C72779">
      <w:pPr>
        <w:ind w:left="567"/>
        <w:jc w:val="both"/>
        <w:rPr>
          <w:rFonts w:cs="Arial"/>
          <w:sz w:val="22"/>
          <w:szCs w:val="22"/>
        </w:rPr>
      </w:pPr>
    </w:p>
    <w:p w14:paraId="2A1A9437" w14:textId="40E71108" w:rsidR="00590074" w:rsidRDefault="00590074" w:rsidP="00C72779">
      <w:pPr>
        <w:ind w:left="567"/>
        <w:jc w:val="both"/>
        <w:rPr>
          <w:rFonts w:cs="Arial"/>
          <w:sz w:val="22"/>
          <w:szCs w:val="22"/>
        </w:rPr>
      </w:pPr>
    </w:p>
    <w:p w14:paraId="1802D35E" w14:textId="7A58904D" w:rsidR="00590074" w:rsidRDefault="00590074" w:rsidP="00C72779">
      <w:pPr>
        <w:ind w:left="567"/>
        <w:jc w:val="both"/>
        <w:rPr>
          <w:rFonts w:cs="Arial"/>
          <w:sz w:val="22"/>
          <w:szCs w:val="22"/>
        </w:rPr>
      </w:pPr>
    </w:p>
    <w:p w14:paraId="32A4DF6C" w14:textId="3419BC78" w:rsidR="00F07D8E" w:rsidRDefault="00F07D8E" w:rsidP="00C72779">
      <w:pPr>
        <w:ind w:left="567"/>
        <w:jc w:val="both"/>
        <w:rPr>
          <w:rFonts w:cs="Arial"/>
          <w:sz w:val="22"/>
          <w:szCs w:val="22"/>
        </w:rPr>
      </w:pPr>
    </w:p>
    <w:p w14:paraId="2DA7FEDF" w14:textId="20E97580" w:rsidR="00F07D8E" w:rsidRDefault="00F07D8E" w:rsidP="00C72779">
      <w:pPr>
        <w:ind w:left="567"/>
        <w:jc w:val="both"/>
        <w:rPr>
          <w:rFonts w:cs="Arial"/>
          <w:sz w:val="22"/>
          <w:szCs w:val="22"/>
        </w:rPr>
      </w:pPr>
    </w:p>
    <w:p w14:paraId="5405F9C4" w14:textId="03385A8D" w:rsidR="00590074" w:rsidRPr="00054A40" w:rsidRDefault="00590074" w:rsidP="00331B49">
      <w:pPr>
        <w:rPr>
          <w:rFonts w:cs="Arial"/>
          <w:b/>
          <w:sz w:val="18"/>
          <w:szCs w:val="22"/>
        </w:rPr>
      </w:pPr>
    </w:p>
    <w:p w14:paraId="4C22D6DD" w14:textId="1BC44C71" w:rsidR="00331B49" w:rsidRPr="00F07D8E" w:rsidRDefault="000215EA" w:rsidP="00F07D8E">
      <w:pPr>
        <w:pStyle w:val="Descripcin"/>
        <w:keepNext/>
        <w:jc w:val="center"/>
        <w:rPr>
          <w:rFonts w:ascii="Arial" w:hAnsi="Arial" w:cs="Arial"/>
          <w:b/>
          <w:bCs/>
          <w:i w:val="0"/>
          <w:iCs w:val="0"/>
          <w:color w:val="000000" w:themeColor="text1"/>
          <w:sz w:val="16"/>
          <w:szCs w:val="16"/>
        </w:rPr>
      </w:pPr>
      <w:bookmarkStart w:id="177" w:name="_Toc88677135"/>
      <w:r w:rsidRPr="000215EA">
        <w:rPr>
          <w:rFonts w:ascii="Arial" w:hAnsi="Arial" w:cs="Arial"/>
          <w:b/>
          <w:bCs/>
          <w:i w:val="0"/>
          <w:iCs w:val="0"/>
          <w:color w:val="000000" w:themeColor="text1"/>
          <w:sz w:val="16"/>
          <w:szCs w:val="16"/>
        </w:rPr>
        <w:lastRenderedPageBreak/>
        <w:t xml:space="preserve">Tabla </w:t>
      </w:r>
      <w:r w:rsidRPr="000215EA">
        <w:rPr>
          <w:rFonts w:ascii="Arial" w:hAnsi="Arial" w:cs="Arial"/>
          <w:b/>
          <w:bCs/>
          <w:i w:val="0"/>
          <w:iCs w:val="0"/>
          <w:color w:val="000000" w:themeColor="text1"/>
          <w:sz w:val="16"/>
          <w:szCs w:val="16"/>
        </w:rPr>
        <w:fldChar w:fldCharType="begin"/>
      </w:r>
      <w:r w:rsidRPr="000215EA">
        <w:rPr>
          <w:rFonts w:ascii="Arial" w:hAnsi="Arial" w:cs="Arial"/>
          <w:b/>
          <w:bCs/>
          <w:i w:val="0"/>
          <w:iCs w:val="0"/>
          <w:color w:val="000000" w:themeColor="text1"/>
          <w:sz w:val="16"/>
          <w:szCs w:val="16"/>
        </w:rPr>
        <w:instrText xml:space="preserve"> SEQ Tabla \* ARABIC </w:instrText>
      </w:r>
      <w:r w:rsidRPr="000215EA">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63</w:t>
      </w:r>
      <w:r w:rsidRPr="000215EA">
        <w:rPr>
          <w:rFonts w:ascii="Arial" w:hAnsi="Arial" w:cs="Arial"/>
          <w:b/>
          <w:bCs/>
          <w:i w:val="0"/>
          <w:iCs w:val="0"/>
          <w:color w:val="000000" w:themeColor="text1"/>
          <w:sz w:val="16"/>
          <w:szCs w:val="16"/>
        </w:rPr>
        <w:fldChar w:fldCharType="end"/>
      </w:r>
      <w:r w:rsidRPr="000215EA">
        <w:rPr>
          <w:rFonts w:ascii="Arial" w:hAnsi="Arial" w:cs="Arial"/>
          <w:b/>
          <w:bCs/>
          <w:i w:val="0"/>
          <w:iCs w:val="0"/>
          <w:color w:val="000000" w:themeColor="text1"/>
          <w:sz w:val="16"/>
          <w:szCs w:val="16"/>
        </w:rPr>
        <w:t>. Eventos - IGAC 2021</w:t>
      </w:r>
      <w:bookmarkEnd w:id="177"/>
    </w:p>
    <w:tbl>
      <w:tblPr>
        <w:tblStyle w:val="Tabladecuadrcula4-nfasis1"/>
        <w:tblW w:w="10485" w:type="dxa"/>
        <w:jc w:val="center"/>
        <w:tblLayout w:type="fixed"/>
        <w:tblLook w:val="04A0" w:firstRow="1" w:lastRow="0" w:firstColumn="1" w:lastColumn="0" w:noHBand="0" w:noVBand="1"/>
      </w:tblPr>
      <w:tblGrid>
        <w:gridCol w:w="1271"/>
        <w:gridCol w:w="2410"/>
        <w:gridCol w:w="1417"/>
        <w:gridCol w:w="2137"/>
        <w:gridCol w:w="1549"/>
        <w:gridCol w:w="1701"/>
      </w:tblGrid>
      <w:tr w:rsidR="00331B49" w:rsidRPr="00091197" w14:paraId="11F5E907" w14:textId="77777777" w:rsidTr="00A6302C">
        <w:trPr>
          <w:cnfStyle w:val="100000000000" w:firstRow="1" w:lastRow="0" w:firstColumn="0" w:lastColumn="0" w:oddVBand="0" w:evenVBand="0" w:oddHBand="0" w:evenHBand="0" w:firstRowFirstColumn="0" w:firstRowLastColumn="0" w:lastRowFirstColumn="0" w:lastRowLastColumn="0"/>
          <w:trHeight w:val="384"/>
          <w:tblHeader/>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6F99C21C" w14:textId="77777777" w:rsidR="00331B49" w:rsidRPr="00091197" w:rsidRDefault="00331B49" w:rsidP="00A6302C">
            <w:pPr>
              <w:jc w:val="center"/>
              <w:rPr>
                <w:rFonts w:cs="Arial"/>
                <w:b w:val="0"/>
                <w:sz w:val="20"/>
                <w:szCs w:val="20"/>
                <w:lang w:eastAsia="es-CO"/>
              </w:rPr>
            </w:pPr>
            <w:r w:rsidRPr="00091197">
              <w:rPr>
                <w:rFonts w:cs="Arial"/>
                <w:sz w:val="20"/>
                <w:szCs w:val="20"/>
                <w:lang w:eastAsia="es-CO"/>
              </w:rPr>
              <w:t>Fecha</w:t>
            </w:r>
          </w:p>
        </w:tc>
        <w:tc>
          <w:tcPr>
            <w:tcW w:w="2410" w:type="dxa"/>
            <w:vAlign w:val="center"/>
            <w:hideMark/>
          </w:tcPr>
          <w:p w14:paraId="78B8A69A" w14:textId="77777777" w:rsidR="00331B49" w:rsidRPr="00091197"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lang w:eastAsia="es-CO"/>
              </w:rPr>
            </w:pPr>
            <w:r w:rsidRPr="00091197">
              <w:rPr>
                <w:rFonts w:cs="Arial"/>
                <w:sz w:val="20"/>
                <w:szCs w:val="20"/>
                <w:lang w:eastAsia="es-CO"/>
              </w:rPr>
              <w:t>Tema</w:t>
            </w:r>
          </w:p>
        </w:tc>
        <w:tc>
          <w:tcPr>
            <w:tcW w:w="1417" w:type="dxa"/>
            <w:vAlign w:val="center"/>
            <w:hideMark/>
          </w:tcPr>
          <w:p w14:paraId="5EDC5AA7" w14:textId="77777777" w:rsidR="00331B49" w:rsidRPr="00091197"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lang w:eastAsia="es-CO"/>
              </w:rPr>
            </w:pPr>
            <w:r w:rsidRPr="00091197">
              <w:rPr>
                <w:rFonts w:cs="Arial"/>
                <w:sz w:val="20"/>
                <w:szCs w:val="20"/>
                <w:lang w:eastAsia="es-CO"/>
              </w:rPr>
              <w:t>Conectados</w:t>
            </w:r>
          </w:p>
        </w:tc>
        <w:tc>
          <w:tcPr>
            <w:tcW w:w="2137" w:type="dxa"/>
            <w:vAlign w:val="center"/>
            <w:hideMark/>
          </w:tcPr>
          <w:p w14:paraId="468EAA7C" w14:textId="77777777" w:rsidR="00331B49" w:rsidRPr="00091197"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lang w:eastAsia="es-CO"/>
              </w:rPr>
            </w:pPr>
            <w:r w:rsidRPr="00091197">
              <w:rPr>
                <w:rFonts w:cs="Arial"/>
                <w:sz w:val="20"/>
                <w:szCs w:val="20"/>
                <w:lang w:eastAsia="es-CO"/>
              </w:rPr>
              <w:t>Link</w:t>
            </w:r>
          </w:p>
        </w:tc>
        <w:tc>
          <w:tcPr>
            <w:tcW w:w="1549" w:type="dxa"/>
            <w:vAlign w:val="center"/>
            <w:hideMark/>
          </w:tcPr>
          <w:p w14:paraId="6A2F2D83" w14:textId="77777777" w:rsidR="00331B49" w:rsidRPr="00091197"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lang w:eastAsia="es-CO"/>
              </w:rPr>
            </w:pPr>
            <w:r w:rsidRPr="00091197">
              <w:rPr>
                <w:rFonts w:cs="Arial"/>
                <w:sz w:val="20"/>
                <w:szCs w:val="20"/>
                <w:lang w:eastAsia="es-CO"/>
              </w:rPr>
              <w:t>Interacciones</w:t>
            </w:r>
          </w:p>
        </w:tc>
        <w:tc>
          <w:tcPr>
            <w:tcW w:w="1701" w:type="dxa"/>
            <w:vAlign w:val="center"/>
            <w:hideMark/>
          </w:tcPr>
          <w:p w14:paraId="2EF1EBF5" w14:textId="77777777" w:rsidR="00331B49" w:rsidRPr="00091197"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lang w:eastAsia="es-CO"/>
              </w:rPr>
            </w:pPr>
            <w:r w:rsidRPr="00091197">
              <w:rPr>
                <w:rFonts w:cs="Arial"/>
                <w:sz w:val="20"/>
                <w:szCs w:val="20"/>
                <w:lang w:eastAsia="es-CO"/>
              </w:rPr>
              <w:t>Observaciones</w:t>
            </w:r>
          </w:p>
        </w:tc>
      </w:tr>
      <w:tr w:rsidR="00331B49" w:rsidRPr="00091197" w14:paraId="7F20C436" w14:textId="77777777" w:rsidTr="00A6302C">
        <w:trPr>
          <w:cnfStyle w:val="000000100000" w:firstRow="0" w:lastRow="0" w:firstColumn="0" w:lastColumn="0" w:oddVBand="0" w:evenVBand="0" w:oddHBand="1" w:evenHBand="0" w:firstRowFirstColumn="0" w:firstRowLastColumn="0" w:lastRowFirstColumn="0" w:lastRowLastColumn="0"/>
          <w:trHeight w:val="826"/>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21F96EE9"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21/01/2021</w:t>
            </w:r>
          </w:p>
        </w:tc>
        <w:tc>
          <w:tcPr>
            <w:tcW w:w="2410" w:type="dxa"/>
            <w:vAlign w:val="center"/>
            <w:hideMark/>
          </w:tcPr>
          <w:p w14:paraId="7920B16A"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Resultados de una buena administración catastral: Soacha</w:t>
            </w:r>
          </w:p>
        </w:tc>
        <w:tc>
          <w:tcPr>
            <w:tcW w:w="1417" w:type="dxa"/>
            <w:vAlign w:val="center"/>
            <w:hideMark/>
          </w:tcPr>
          <w:p w14:paraId="7643285D"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533</w:t>
            </w:r>
          </w:p>
        </w:tc>
        <w:tc>
          <w:tcPr>
            <w:tcW w:w="2137" w:type="dxa"/>
            <w:vAlign w:val="center"/>
            <w:hideMark/>
          </w:tcPr>
          <w:p w14:paraId="0970778B"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47" w:history="1">
              <w:r w:rsidR="00331B49" w:rsidRPr="00091197">
                <w:rPr>
                  <w:rFonts w:cs="Arial"/>
                  <w:color w:val="0563C1"/>
                  <w:sz w:val="20"/>
                  <w:szCs w:val="20"/>
                  <w:u w:val="single"/>
                  <w:lang w:eastAsia="es-CO"/>
                </w:rPr>
                <w:t>https://www.facebook.com/IgacColombia/videos/1276742012710309/</w:t>
              </w:r>
            </w:hyperlink>
          </w:p>
        </w:tc>
        <w:tc>
          <w:tcPr>
            <w:tcW w:w="1549" w:type="dxa"/>
            <w:vAlign w:val="center"/>
            <w:hideMark/>
          </w:tcPr>
          <w:p w14:paraId="3AA6B76F"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246</w:t>
            </w:r>
          </w:p>
        </w:tc>
        <w:tc>
          <w:tcPr>
            <w:tcW w:w="1701" w:type="dxa"/>
            <w:vAlign w:val="center"/>
            <w:hideMark/>
          </w:tcPr>
          <w:p w14:paraId="28D7F00C"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r>
      <w:tr w:rsidR="00331B49" w:rsidRPr="00091197" w14:paraId="6055E4DB" w14:textId="77777777" w:rsidTr="00A6302C">
        <w:trPr>
          <w:trHeight w:val="836"/>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2714533D"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04/02/2021</w:t>
            </w:r>
          </w:p>
        </w:tc>
        <w:tc>
          <w:tcPr>
            <w:tcW w:w="2410" w:type="dxa"/>
            <w:vAlign w:val="center"/>
            <w:hideMark/>
          </w:tcPr>
          <w:p w14:paraId="51CA1C4F"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Webinar del CIDER de Uniandes sobre la política de Catastro Multipropósito</w:t>
            </w:r>
          </w:p>
        </w:tc>
        <w:tc>
          <w:tcPr>
            <w:tcW w:w="1417" w:type="dxa"/>
            <w:vAlign w:val="center"/>
            <w:hideMark/>
          </w:tcPr>
          <w:p w14:paraId="51ACD1AC"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2137" w:type="dxa"/>
            <w:vAlign w:val="center"/>
            <w:hideMark/>
          </w:tcPr>
          <w:p w14:paraId="6DF49E8E"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48" w:history="1">
              <w:r w:rsidR="00331B49" w:rsidRPr="00091197">
                <w:rPr>
                  <w:rFonts w:cs="Arial"/>
                  <w:color w:val="0563C1"/>
                  <w:sz w:val="20"/>
                  <w:szCs w:val="20"/>
                  <w:u w:val="single"/>
                  <w:lang w:eastAsia="es-CO"/>
                </w:rPr>
                <w:t>https://twitter.com/igacColombia/status/1357480096353951746?s=19</w:t>
              </w:r>
            </w:hyperlink>
          </w:p>
        </w:tc>
        <w:tc>
          <w:tcPr>
            <w:tcW w:w="1549" w:type="dxa"/>
            <w:vAlign w:val="center"/>
            <w:hideMark/>
          </w:tcPr>
          <w:p w14:paraId="5C739D14"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1701" w:type="dxa"/>
            <w:vAlign w:val="center"/>
            <w:hideMark/>
          </w:tcPr>
          <w:p w14:paraId="5A5DECE5"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r>
      <w:tr w:rsidR="00331B49" w:rsidRPr="00091197" w14:paraId="11CD5293" w14:textId="77777777" w:rsidTr="00A6302C">
        <w:trPr>
          <w:cnfStyle w:val="000000100000" w:firstRow="0" w:lastRow="0" w:firstColumn="0" w:lastColumn="0" w:oddVBand="0" w:evenVBand="0" w:oddHBand="1" w:evenHBand="0" w:firstRowFirstColumn="0" w:firstRowLastColumn="0" w:lastRowFirstColumn="0" w:lastRowLastColumn="0"/>
          <w:trHeight w:val="751"/>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5A399354"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23/02/2020</w:t>
            </w:r>
          </w:p>
        </w:tc>
        <w:tc>
          <w:tcPr>
            <w:tcW w:w="2410" w:type="dxa"/>
            <w:vAlign w:val="center"/>
            <w:hideMark/>
          </w:tcPr>
          <w:p w14:paraId="6DD5DB5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Lanzamiento de Colombia en Mapas con el Presidente de la República</w:t>
            </w:r>
          </w:p>
        </w:tc>
        <w:tc>
          <w:tcPr>
            <w:tcW w:w="1417" w:type="dxa"/>
            <w:vAlign w:val="center"/>
            <w:hideMark/>
          </w:tcPr>
          <w:p w14:paraId="404BE8E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c>
          <w:tcPr>
            <w:tcW w:w="2137" w:type="dxa"/>
            <w:vAlign w:val="center"/>
            <w:hideMark/>
          </w:tcPr>
          <w:p w14:paraId="3B31BE9B"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49" w:history="1">
              <w:r w:rsidR="00331B49" w:rsidRPr="00091197">
                <w:rPr>
                  <w:rFonts w:cs="Arial"/>
                  <w:color w:val="0563C1"/>
                  <w:sz w:val="20"/>
                  <w:szCs w:val="20"/>
                  <w:u w:val="single"/>
                  <w:lang w:eastAsia="es-CO"/>
                </w:rPr>
                <w:t>https://fb.watch/4MrjP0S52O/</w:t>
              </w:r>
            </w:hyperlink>
          </w:p>
        </w:tc>
        <w:tc>
          <w:tcPr>
            <w:tcW w:w="1549" w:type="dxa"/>
            <w:vAlign w:val="center"/>
            <w:hideMark/>
          </w:tcPr>
          <w:p w14:paraId="7E6A02FE"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c>
          <w:tcPr>
            <w:tcW w:w="1701" w:type="dxa"/>
            <w:vAlign w:val="center"/>
            <w:hideMark/>
          </w:tcPr>
          <w:p w14:paraId="4401BD7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r>
      <w:tr w:rsidR="00331B49" w:rsidRPr="00091197" w14:paraId="1C578741" w14:textId="77777777" w:rsidTr="00A6302C">
        <w:trPr>
          <w:trHeight w:val="935"/>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0CE57F90"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24/02/2020</w:t>
            </w:r>
          </w:p>
        </w:tc>
        <w:tc>
          <w:tcPr>
            <w:tcW w:w="2410" w:type="dxa"/>
            <w:vAlign w:val="center"/>
            <w:hideMark/>
          </w:tcPr>
          <w:p w14:paraId="5B5B6697"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Seminario de Paz con Legalidad - Participación de la Directora sobre Catastro Multipropósito</w:t>
            </w:r>
          </w:p>
        </w:tc>
        <w:tc>
          <w:tcPr>
            <w:tcW w:w="1417" w:type="dxa"/>
            <w:vAlign w:val="center"/>
            <w:hideMark/>
          </w:tcPr>
          <w:p w14:paraId="5C7BA04C"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2137" w:type="dxa"/>
            <w:vAlign w:val="center"/>
            <w:hideMark/>
          </w:tcPr>
          <w:p w14:paraId="0DC15D9A"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50" w:history="1">
              <w:r w:rsidR="00331B49" w:rsidRPr="00091197">
                <w:rPr>
                  <w:rFonts w:cs="Arial"/>
                  <w:color w:val="0563C1"/>
                  <w:sz w:val="20"/>
                  <w:szCs w:val="20"/>
                  <w:u w:val="single"/>
                  <w:lang w:eastAsia="es-CO"/>
                </w:rPr>
                <w:t>https://www.youtube.com/watch?v=SsGa7w-ryVk</w:t>
              </w:r>
            </w:hyperlink>
          </w:p>
        </w:tc>
        <w:tc>
          <w:tcPr>
            <w:tcW w:w="1549" w:type="dxa"/>
            <w:vAlign w:val="center"/>
            <w:hideMark/>
          </w:tcPr>
          <w:p w14:paraId="4E309631"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1701" w:type="dxa"/>
            <w:vAlign w:val="center"/>
            <w:hideMark/>
          </w:tcPr>
          <w:p w14:paraId="38FEA6F3"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r>
      <w:tr w:rsidR="00331B49" w:rsidRPr="00091197" w14:paraId="0C557A05" w14:textId="77777777" w:rsidTr="00A6302C">
        <w:trPr>
          <w:cnfStyle w:val="000000100000" w:firstRow="0" w:lastRow="0" w:firstColumn="0" w:lastColumn="0" w:oddVBand="0" w:evenVBand="0" w:oddHBand="1" w:evenHBand="0" w:firstRowFirstColumn="0" w:firstRowLastColumn="0" w:lastRowFirstColumn="0" w:lastRowLastColumn="0"/>
          <w:trHeight w:val="625"/>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64EC8D52"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04/03/2021</w:t>
            </w:r>
          </w:p>
        </w:tc>
        <w:tc>
          <w:tcPr>
            <w:tcW w:w="2410" w:type="dxa"/>
            <w:vAlign w:val="center"/>
            <w:hideMark/>
          </w:tcPr>
          <w:p w14:paraId="61F67248"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Catastro Multipropósito ¿Cómo avanza esta política? (rueda de prensa virtual)</w:t>
            </w:r>
          </w:p>
        </w:tc>
        <w:tc>
          <w:tcPr>
            <w:tcW w:w="1417" w:type="dxa"/>
            <w:vAlign w:val="center"/>
            <w:hideMark/>
          </w:tcPr>
          <w:p w14:paraId="468B18C9"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299</w:t>
            </w:r>
          </w:p>
        </w:tc>
        <w:tc>
          <w:tcPr>
            <w:tcW w:w="2137" w:type="dxa"/>
            <w:vAlign w:val="center"/>
            <w:hideMark/>
          </w:tcPr>
          <w:p w14:paraId="6142AEAF"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51" w:history="1">
              <w:r w:rsidR="00331B49" w:rsidRPr="00091197">
                <w:rPr>
                  <w:rFonts w:cs="Arial"/>
                  <w:color w:val="0563C1"/>
                  <w:sz w:val="20"/>
                  <w:szCs w:val="20"/>
                  <w:u w:val="single"/>
                  <w:lang w:eastAsia="es-CO"/>
                </w:rPr>
                <w:t>https://www.facebook.com/IgacColombia/videos/224452056054050/</w:t>
              </w:r>
            </w:hyperlink>
          </w:p>
        </w:tc>
        <w:tc>
          <w:tcPr>
            <w:tcW w:w="1549" w:type="dxa"/>
            <w:vAlign w:val="center"/>
            <w:hideMark/>
          </w:tcPr>
          <w:p w14:paraId="56345D58"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620</w:t>
            </w:r>
          </w:p>
        </w:tc>
        <w:tc>
          <w:tcPr>
            <w:tcW w:w="1701" w:type="dxa"/>
            <w:vAlign w:val="center"/>
            <w:hideMark/>
          </w:tcPr>
          <w:p w14:paraId="31EDD6C8"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r>
      <w:tr w:rsidR="00331B49" w:rsidRPr="00091197" w14:paraId="64AD93E4" w14:textId="77777777" w:rsidTr="00A6302C">
        <w:trPr>
          <w:trHeight w:val="808"/>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4636D09B"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08/03/2021</w:t>
            </w:r>
          </w:p>
        </w:tc>
        <w:tc>
          <w:tcPr>
            <w:tcW w:w="2410" w:type="dxa"/>
            <w:vAlign w:val="center"/>
            <w:hideMark/>
          </w:tcPr>
          <w:p w14:paraId="3FEDAC64"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La mujer en las políticas de desarrollo territorial</w:t>
            </w:r>
          </w:p>
        </w:tc>
        <w:tc>
          <w:tcPr>
            <w:tcW w:w="1417" w:type="dxa"/>
            <w:vAlign w:val="center"/>
            <w:hideMark/>
          </w:tcPr>
          <w:p w14:paraId="1BFB4941"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82</w:t>
            </w:r>
          </w:p>
        </w:tc>
        <w:tc>
          <w:tcPr>
            <w:tcW w:w="2137" w:type="dxa"/>
            <w:vAlign w:val="center"/>
            <w:hideMark/>
          </w:tcPr>
          <w:p w14:paraId="1235FCB0"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52" w:history="1">
              <w:r w:rsidR="00331B49" w:rsidRPr="00091197">
                <w:rPr>
                  <w:rFonts w:cs="Arial"/>
                  <w:color w:val="0563C1"/>
                  <w:sz w:val="20"/>
                  <w:szCs w:val="20"/>
                  <w:u w:val="single"/>
                  <w:lang w:eastAsia="es-CO"/>
                </w:rPr>
                <w:t>https://www.facebook.com/IgacColombia/videos/4048357815203834/</w:t>
              </w:r>
            </w:hyperlink>
          </w:p>
        </w:tc>
        <w:tc>
          <w:tcPr>
            <w:tcW w:w="1549" w:type="dxa"/>
            <w:vAlign w:val="center"/>
            <w:hideMark/>
          </w:tcPr>
          <w:p w14:paraId="3C2B96A6"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242</w:t>
            </w:r>
          </w:p>
        </w:tc>
        <w:tc>
          <w:tcPr>
            <w:tcW w:w="1701" w:type="dxa"/>
            <w:vAlign w:val="center"/>
            <w:hideMark/>
          </w:tcPr>
          <w:p w14:paraId="6F3F264F"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r>
      <w:tr w:rsidR="00331B49" w:rsidRPr="00091197" w14:paraId="22ED568D" w14:textId="77777777" w:rsidTr="00A6302C">
        <w:trPr>
          <w:cnfStyle w:val="000000100000" w:firstRow="0" w:lastRow="0" w:firstColumn="0" w:lastColumn="0" w:oddVBand="0" w:evenVBand="0" w:oddHBand="1" w:evenHBand="0" w:firstRowFirstColumn="0" w:firstRowLastColumn="0" w:lastRowFirstColumn="0" w:lastRowLastColumn="0"/>
          <w:trHeight w:val="409"/>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720F80F2"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11/03/2021</w:t>
            </w:r>
          </w:p>
        </w:tc>
        <w:tc>
          <w:tcPr>
            <w:tcW w:w="2410" w:type="dxa"/>
            <w:vAlign w:val="center"/>
            <w:hideMark/>
          </w:tcPr>
          <w:p w14:paraId="57D2AC1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Foro: Colombia en Mapas, el atlas digital de Colombia</w:t>
            </w:r>
          </w:p>
        </w:tc>
        <w:tc>
          <w:tcPr>
            <w:tcW w:w="1417" w:type="dxa"/>
            <w:vAlign w:val="center"/>
            <w:hideMark/>
          </w:tcPr>
          <w:p w14:paraId="481FCE3C"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220</w:t>
            </w:r>
          </w:p>
        </w:tc>
        <w:tc>
          <w:tcPr>
            <w:tcW w:w="2137" w:type="dxa"/>
            <w:vAlign w:val="center"/>
            <w:hideMark/>
          </w:tcPr>
          <w:p w14:paraId="0737A745"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53" w:history="1">
              <w:r w:rsidR="00331B49" w:rsidRPr="00091197">
                <w:rPr>
                  <w:rFonts w:cs="Arial"/>
                  <w:color w:val="0563C1"/>
                  <w:sz w:val="20"/>
                  <w:szCs w:val="20"/>
                  <w:u w:val="single"/>
                  <w:lang w:eastAsia="es-CO"/>
                </w:rPr>
                <w:t>https://www.facebook.com/310635435652325/videos/1519638118215545</w:t>
              </w:r>
            </w:hyperlink>
          </w:p>
        </w:tc>
        <w:tc>
          <w:tcPr>
            <w:tcW w:w="1549" w:type="dxa"/>
            <w:vAlign w:val="center"/>
            <w:hideMark/>
          </w:tcPr>
          <w:p w14:paraId="7D18C2E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1.305</w:t>
            </w:r>
          </w:p>
        </w:tc>
        <w:tc>
          <w:tcPr>
            <w:tcW w:w="1701" w:type="dxa"/>
            <w:vAlign w:val="center"/>
            <w:hideMark/>
          </w:tcPr>
          <w:p w14:paraId="39F91026"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r>
      <w:tr w:rsidR="00331B49" w:rsidRPr="00091197" w14:paraId="4606AE3F" w14:textId="77777777" w:rsidTr="00A6302C">
        <w:trPr>
          <w:trHeight w:val="561"/>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061E2369"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24/03/2021</w:t>
            </w:r>
          </w:p>
        </w:tc>
        <w:tc>
          <w:tcPr>
            <w:tcW w:w="2410" w:type="dxa"/>
            <w:vAlign w:val="center"/>
            <w:hideMark/>
          </w:tcPr>
          <w:p w14:paraId="4D4131DC"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Foro: Así evoluciona la gestión catastral en Colombia</w:t>
            </w:r>
          </w:p>
        </w:tc>
        <w:tc>
          <w:tcPr>
            <w:tcW w:w="1417" w:type="dxa"/>
            <w:vAlign w:val="center"/>
            <w:hideMark/>
          </w:tcPr>
          <w:p w14:paraId="5922A009"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229</w:t>
            </w:r>
          </w:p>
        </w:tc>
        <w:tc>
          <w:tcPr>
            <w:tcW w:w="2137" w:type="dxa"/>
            <w:vAlign w:val="center"/>
            <w:hideMark/>
          </w:tcPr>
          <w:p w14:paraId="20624E51"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54" w:history="1">
              <w:r w:rsidR="00331B49" w:rsidRPr="00091197">
                <w:rPr>
                  <w:rFonts w:cs="Arial"/>
                  <w:color w:val="0563C1"/>
                  <w:sz w:val="20"/>
                  <w:szCs w:val="20"/>
                  <w:u w:val="single"/>
                  <w:lang w:eastAsia="es-CO"/>
                </w:rPr>
                <w:t xml:space="preserve">https://www.facebook.com/310635435652325/videos/1158614687904127 </w:t>
              </w:r>
            </w:hyperlink>
          </w:p>
        </w:tc>
        <w:tc>
          <w:tcPr>
            <w:tcW w:w="1549" w:type="dxa"/>
            <w:vAlign w:val="center"/>
            <w:hideMark/>
          </w:tcPr>
          <w:p w14:paraId="7663331E"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1.500</w:t>
            </w:r>
          </w:p>
        </w:tc>
        <w:tc>
          <w:tcPr>
            <w:tcW w:w="1701" w:type="dxa"/>
            <w:vAlign w:val="center"/>
            <w:hideMark/>
          </w:tcPr>
          <w:p w14:paraId="56AD00DB"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r>
      <w:tr w:rsidR="00331B49" w:rsidRPr="00091197" w14:paraId="49936C26" w14:textId="77777777" w:rsidTr="00A6302C">
        <w:trPr>
          <w:cnfStyle w:val="000000100000" w:firstRow="0" w:lastRow="0" w:firstColumn="0" w:lastColumn="0" w:oddVBand="0" w:evenVBand="0" w:oddHBand="1" w:evenHBand="0" w:firstRowFirstColumn="0" w:firstRowLastColumn="0" w:lastRowFirstColumn="0" w:lastRowLastColumn="0"/>
          <w:trHeight w:val="699"/>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095774D1"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25/03/2021</w:t>
            </w:r>
          </w:p>
        </w:tc>
        <w:tc>
          <w:tcPr>
            <w:tcW w:w="2410" w:type="dxa"/>
            <w:vAlign w:val="center"/>
            <w:hideMark/>
          </w:tcPr>
          <w:p w14:paraId="7B2925CD"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Lanzamiento de VIVI</w:t>
            </w:r>
          </w:p>
        </w:tc>
        <w:tc>
          <w:tcPr>
            <w:tcW w:w="1417" w:type="dxa"/>
            <w:vAlign w:val="center"/>
            <w:hideMark/>
          </w:tcPr>
          <w:p w14:paraId="749C2C4B"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165</w:t>
            </w:r>
          </w:p>
        </w:tc>
        <w:tc>
          <w:tcPr>
            <w:tcW w:w="2137" w:type="dxa"/>
            <w:vAlign w:val="center"/>
            <w:hideMark/>
          </w:tcPr>
          <w:p w14:paraId="265C3F25"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55" w:history="1">
              <w:r w:rsidR="00331B49" w:rsidRPr="00091197">
                <w:rPr>
                  <w:rFonts w:cs="Arial"/>
                  <w:color w:val="0563C1"/>
                  <w:sz w:val="20"/>
                  <w:szCs w:val="20"/>
                  <w:u w:val="single"/>
                  <w:lang w:eastAsia="es-CO"/>
                </w:rPr>
                <w:t xml:space="preserve">https://www.facebook.com/310635435652325/videos/477337326633296 </w:t>
              </w:r>
            </w:hyperlink>
          </w:p>
        </w:tc>
        <w:tc>
          <w:tcPr>
            <w:tcW w:w="1549" w:type="dxa"/>
            <w:vAlign w:val="center"/>
            <w:hideMark/>
          </w:tcPr>
          <w:p w14:paraId="3BEF38B2"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349</w:t>
            </w:r>
          </w:p>
        </w:tc>
        <w:tc>
          <w:tcPr>
            <w:tcW w:w="1701" w:type="dxa"/>
            <w:vAlign w:val="center"/>
            <w:hideMark/>
          </w:tcPr>
          <w:p w14:paraId="635EDEBA"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r>
      <w:tr w:rsidR="00331B49" w:rsidRPr="00091197" w14:paraId="3B613CF3" w14:textId="77777777" w:rsidTr="00A6302C">
        <w:trPr>
          <w:trHeight w:val="274"/>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37A8BAD5"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03/06/2021</w:t>
            </w:r>
          </w:p>
        </w:tc>
        <w:tc>
          <w:tcPr>
            <w:tcW w:w="2410" w:type="dxa"/>
            <w:vAlign w:val="center"/>
            <w:hideMark/>
          </w:tcPr>
          <w:p w14:paraId="5F144CBA"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Taller: ¿Cómo sacarle provecho a Colombia en Mapas?</w:t>
            </w:r>
          </w:p>
        </w:tc>
        <w:tc>
          <w:tcPr>
            <w:tcW w:w="1417" w:type="dxa"/>
            <w:vAlign w:val="center"/>
            <w:hideMark/>
          </w:tcPr>
          <w:p w14:paraId="28D0631F"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154</w:t>
            </w:r>
          </w:p>
        </w:tc>
        <w:tc>
          <w:tcPr>
            <w:tcW w:w="2137" w:type="dxa"/>
            <w:vAlign w:val="center"/>
            <w:hideMark/>
          </w:tcPr>
          <w:p w14:paraId="5D777726"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56" w:history="1">
              <w:r w:rsidR="00331B49" w:rsidRPr="00091197">
                <w:rPr>
                  <w:rFonts w:cs="Arial"/>
                  <w:color w:val="0563C1"/>
                  <w:sz w:val="20"/>
                  <w:szCs w:val="20"/>
                  <w:u w:val="single"/>
                  <w:lang w:eastAsia="es-CO"/>
                </w:rPr>
                <w:t xml:space="preserve">https://www.facebook.com/IgacColombia/videos/326842552390914/ </w:t>
              </w:r>
            </w:hyperlink>
          </w:p>
        </w:tc>
        <w:tc>
          <w:tcPr>
            <w:tcW w:w="1549" w:type="dxa"/>
            <w:vAlign w:val="center"/>
            <w:hideMark/>
          </w:tcPr>
          <w:p w14:paraId="4B22D34E"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345</w:t>
            </w:r>
          </w:p>
        </w:tc>
        <w:tc>
          <w:tcPr>
            <w:tcW w:w="1701" w:type="dxa"/>
            <w:vAlign w:val="center"/>
            <w:hideMark/>
          </w:tcPr>
          <w:p w14:paraId="121143C3"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Si tuvo espacio para preguntas</w:t>
            </w:r>
          </w:p>
        </w:tc>
      </w:tr>
      <w:tr w:rsidR="00331B49" w:rsidRPr="00091197" w14:paraId="754897C9" w14:textId="77777777" w:rsidTr="00A6302C">
        <w:trPr>
          <w:cnfStyle w:val="000000100000" w:firstRow="0" w:lastRow="0" w:firstColumn="0" w:lastColumn="0" w:oddVBand="0" w:evenVBand="0" w:oddHBand="1" w:evenHBand="0" w:firstRowFirstColumn="0" w:firstRowLastColumn="0" w:lastRowFirstColumn="0" w:lastRowLastColumn="0"/>
          <w:trHeight w:val="582"/>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1C6BF718"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17/06/2021</w:t>
            </w:r>
          </w:p>
        </w:tc>
        <w:tc>
          <w:tcPr>
            <w:tcW w:w="2410" w:type="dxa"/>
            <w:vAlign w:val="center"/>
            <w:hideMark/>
          </w:tcPr>
          <w:p w14:paraId="74F30BC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Foro Agrología, clave para el ordenamiento integral del territorio</w:t>
            </w:r>
          </w:p>
        </w:tc>
        <w:tc>
          <w:tcPr>
            <w:tcW w:w="1417" w:type="dxa"/>
            <w:vAlign w:val="center"/>
            <w:hideMark/>
          </w:tcPr>
          <w:p w14:paraId="2B1732F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207</w:t>
            </w:r>
          </w:p>
        </w:tc>
        <w:tc>
          <w:tcPr>
            <w:tcW w:w="2137" w:type="dxa"/>
            <w:vAlign w:val="center"/>
            <w:hideMark/>
          </w:tcPr>
          <w:p w14:paraId="340A588A"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57" w:history="1">
              <w:r w:rsidR="00331B49" w:rsidRPr="00091197">
                <w:rPr>
                  <w:rFonts w:cs="Arial"/>
                  <w:color w:val="0563C1"/>
                  <w:sz w:val="20"/>
                  <w:szCs w:val="20"/>
                  <w:u w:val="single"/>
                  <w:lang w:eastAsia="es-CO"/>
                </w:rPr>
                <w:t xml:space="preserve">https://www.facebook.com/IgacColombia/videos/496008251620792/ </w:t>
              </w:r>
            </w:hyperlink>
          </w:p>
        </w:tc>
        <w:tc>
          <w:tcPr>
            <w:tcW w:w="1549" w:type="dxa"/>
            <w:vAlign w:val="center"/>
            <w:hideMark/>
          </w:tcPr>
          <w:p w14:paraId="0BF36BD2"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413</w:t>
            </w:r>
          </w:p>
        </w:tc>
        <w:tc>
          <w:tcPr>
            <w:tcW w:w="1701" w:type="dxa"/>
            <w:vAlign w:val="center"/>
            <w:hideMark/>
          </w:tcPr>
          <w:p w14:paraId="147C07EC"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Si tuvo espacio para preguntas</w:t>
            </w:r>
          </w:p>
        </w:tc>
      </w:tr>
      <w:tr w:rsidR="00331B49" w:rsidRPr="00091197" w14:paraId="2483E7A6" w14:textId="77777777" w:rsidTr="00A6302C">
        <w:trPr>
          <w:trHeight w:val="695"/>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7CF3FCEA"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29/06/2021</w:t>
            </w:r>
          </w:p>
        </w:tc>
        <w:tc>
          <w:tcPr>
            <w:tcW w:w="2410" w:type="dxa"/>
            <w:vAlign w:val="center"/>
            <w:hideMark/>
          </w:tcPr>
          <w:p w14:paraId="373AA9CD"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Colombia Tierra de todos</w:t>
            </w:r>
          </w:p>
        </w:tc>
        <w:tc>
          <w:tcPr>
            <w:tcW w:w="1417" w:type="dxa"/>
            <w:vAlign w:val="center"/>
            <w:hideMark/>
          </w:tcPr>
          <w:p w14:paraId="6090DCA3"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N/C</w:t>
            </w:r>
          </w:p>
        </w:tc>
        <w:tc>
          <w:tcPr>
            <w:tcW w:w="2137" w:type="dxa"/>
            <w:vAlign w:val="center"/>
            <w:hideMark/>
          </w:tcPr>
          <w:p w14:paraId="306D37C7"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58" w:history="1">
              <w:r w:rsidR="00331B49" w:rsidRPr="00091197">
                <w:rPr>
                  <w:rFonts w:cs="Arial"/>
                  <w:color w:val="0563C1"/>
                  <w:sz w:val="20"/>
                  <w:szCs w:val="20"/>
                  <w:u w:val="single"/>
                  <w:lang w:eastAsia="es-CO"/>
                </w:rPr>
                <w:t xml:space="preserve">https://www.facebook.com/IgacColombia/videos/350008753174339/ </w:t>
              </w:r>
            </w:hyperlink>
          </w:p>
        </w:tc>
        <w:tc>
          <w:tcPr>
            <w:tcW w:w="1549" w:type="dxa"/>
            <w:vAlign w:val="center"/>
            <w:hideMark/>
          </w:tcPr>
          <w:p w14:paraId="6901899C"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1701" w:type="dxa"/>
            <w:vAlign w:val="center"/>
            <w:hideMark/>
          </w:tcPr>
          <w:p w14:paraId="7B0907F9"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No tuvo espacio para preguntas del público</w:t>
            </w:r>
          </w:p>
        </w:tc>
      </w:tr>
      <w:tr w:rsidR="00331B49" w:rsidRPr="00091197" w14:paraId="64792C0F" w14:textId="77777777" w:rsidTr="00A6302C">
        <w:trPr>
          <w:cnfStyle w:val="000000100000" w:firstRow="0" w:lastRow="0" w:firstColumn="0" w:lastColumn="0" w:oddVBand="0" w:evenVBand="0" w:oddHBand="1" w:evenHBand="0" w:firstRowFirstColumn="0" w:firstRowLastColumn="0" w:lastRowFirstColumn="0" w:lastRowLastColumn="0"/>
          <w:trHeight w:val="1035"/>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735A9F72"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lastRenderedPageBreak/>
              <w:t>28/07/2021</w:t>
            </w:r>
          </w:p>
        </w:tc>
        <w:tc>
          <w:tcPr>
            <w:tcW w:w="2410" w:type="dxa"/>
            <w:vAlign w:val="center"/>
            <w:hideMark/>
          </w:tcPr>
          <w:p w14:paraId="76A3D7F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Foro Catastro Multipropósito. Nuevos retos, nuevos profesionales</w:t>
            </w:r>
          </w:p>
        </w:tc>
        <w:tc>
          <w:tcPr>
            <w:tcW w:w="1417" w:type="dxa"/>
            <w:vAlign w:val="center"/>
            <w:hideMark/>
          </w:tcPr>
          <w:p w14:paraId="06A0186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234</w:t>
            </w:r>
          </w:p>
        </w:tc>
        <w:tc>
          <w:tcPr>
            <w:tcW w:w="2137" w:type="dxa"/>
            <w:vAlign w:val="center"/>
            <w:hideMark/>
          </w:tcPr>
          <w:p w14:paraId="46D44DBB"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59" w:history="1">
              <w:r w:rsidR="00331B49" w:rsidRPr="00091197">
                <w:rPr>
                  <w:rFonts w:cs="Arial"/>
                  <w:color w:val="0563C1"/>
                  <w:sz w:val="20"/>
                  <w:szCs w:val="20"/>
                  <w:u w:val="single"/>
                  <w:lang w:eastAsia="es-CO"/>
                </w:rPr>
                <w:t>https://igacoffice365-my.sharepoint.com/:v:/g/personal/lorena_fortich_igac_gov_co/EVbN8Zo8Q-xOipi8c-bN2gMB729-S6dWJUBrlnKtwGrRpA </w:t>
              </w:r>
            </w:hyperlink>
          </w:p>
        </w:tc>
        <w:tc>
          <w:tcPr>
            <w:tcW w:w="1549" w:type="dxa"/>
            <w:vAlign w:val="center"/>
            <w:hideMark/>
          </w:tcPr>
          <w:p w14:paraId="59B6C88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N/A</w:t>
            </w:r>
          </w:p>
        </w:tc>
        <w:tc>
          <w:tcPr>
            <w:tcW w:w="1701" w:type="dxa"/>
            <w:vAlign w:val="center"/>
            <w:hideMark/>
          </w:tcPr>
          <w:p w14:paraId="543731AA"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Fue un foro cerrado - Si tuvo preguntas de los asistentes</w:t>
            </w:r>
          </w:p>
        </w:tc>
      </w:tr>
      <w:tr w:rsidR="00331B49" w:rsidRPr="00091197" w14:paraId="22CD6A32" w14:textId="77777777" w:rsidTr="00A6302C">
        <w:trPr>
          <w:trHeight w:val="775"/>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179C2B78"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27/07/2021</w:t>
            </w:r>
          </w:p>
        </w:tc>
        <w:tc>
          <w:tcPr>
            <w:tcW w:w="2410" w:type="dxa"/>
            <w:vAlign w:val="center"/>
            <w:hideMark/>
          </w:tcPr>
          <w:p w14:paraId="5D3C6346"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Taller 2: ¿Cómo sacarle provecho a Colombia en Mapas?</w:t>
            </w:r>
          </w:p>
        </w:tc>
        <w:tc>
          <w:tcPr>
            <w:tcW w:w="1417" w:type="dxa"/>
            <w:vAlign w:val="center"/>
            <w:hideMark/>
          </w:tcPr>
          <w:p w14:paraId="70B9559C"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133</w:t>
            </w:r>
          </w:p>
        </w:tc>
        <w:tc>
          <w:tcPr>
            <w:tcW w:w="2137" w:type="dxa"/>
            <w:vAlign w:val="center"/>
            <w:hideMark/>
          </w:tcPr>
          <w:p w14:paraId="11163211"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60" w:history="1">
              <w:r w:rsidR="00331B49" w:rsidRPr="00091197">
                <w:rPr>
                  <w:rFonts w:cs="Arial"/>
                  <w:color w:val="0563C1"/>
                  <w:sz w:val="20"/>
                  <w:szCs w:val="20"/>
                  <w:u w:val="single"/>
                  <w:lang w:eastAsia="es-CO"/>
                </w:rPr>
                <w:t>https://m.facebook.com/IgacColombia/videos/995479477922588/ </w:t>
              </w:r>
            </w:hyperlink>
          </w:p>
        </w:tc>
        <w:tc>
          <w:tcPr>
            <w:tcW w:w="1549" w:type="dxa"/>
            <w:vAlign w:val="center"/>
            <w:hideMark/>
          </w:tcPr>
          <w:p w14:paraId="1B8B7B56"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496</w:t>
            </w:r>
          </w:p>
        </w:tc>
        <w:tc>
          <w:tcPr>
            <w:tcW w:w="1701" w:type="dxa"/>
            <w:vAlign w:val="center"/>
            <w:hideMark/>
          </w:tcPr>
          <w:p w14:paraId="51075ED1"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Si tuvo preguntas del público.</w:t>
            </w:r>
          </w:p>
        </w:tc>
      </w:tr>
      <w:tr w:rsidR="00331B49" w:rsidRPr="00091197" w14:paraId="0C3211AC" w14:textId="77777777" w:rsidTr="00A6302C">
        <w:trPr>
          <w:cnfStyle w:val="000000100000" w:firstRow="0" w:lastRow="0" w:firstColumn="0" w:lastColumn="0" w:oddVBand="0" w:evenVBand="0" w:oddHBand="1" w:evenHBand="0" w:firstRowFirstColumn="0" w:firstRowLastColumn="0" w:lastRowFirstColumn="0" w:lastRowLastColumn="0"/>
          <w:trHeight w:val="1164"/>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3D6FB3B7"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13/08/2021</w:t>
            </w:r>
          </w:p>
        </w:tc>
        <w:tc>
          <w:tcPr>
            <w:tcW w:w="2410" w:type="dxa"/>
            <w:vAlign w:val="center"/>
            <w:hideMark/>
          </w:tcPr>
          <w:p w14:paraId="014E4C2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Celebración 86 años del IGAC</w:t>
            </w:r>
          </w:p>
        </w:tc>
        <w:tc>
          <w:tcPr>
            <w:tcW w:w="1417" w:type="dxa"/>
            <w:vAlign w:val="center"/>
            <w:hideMark/>
          </w:tcPr>
          <w:p w14:paraId="33CB1688"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N/A</w:t>
            </w:r>
          </w:p>
        </w:tc>
        <w:tc>
          <w:tcPr>
            <w:tcW w:w="2137" w:type="dxa"/>
            <w:vAlign w:val="center"/>
            <w:hideMark/>
          </w:tcPr>
          <w:p w14:paraId="112C2E03"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61" w:history="1">
              <w:r w:rsidR="00331B49" w:rsidRPr="00091197">
                <w:rPr>
                  <w:rFonts w:cs="Arial"/>
                  <w:color w:val="0563C1"/>
                  <w:sz w:val="20"/>
                  <w:szCs w:val="20"/>
                  <w:u w:val="single"/>
                  <w:lang w:eastAsia="es-CO"/>
                </w:rPr>
                <w:t>https://latiquetera.com/view/register/aniversario-86-instituto-geografico-agustin-codazic</w:t>
              </w:r>
            </w:hyperlink>
          </w:p>
        </w:tc>
        <w:tc>
          <w:tcPr>
            <w:tcW w:w="1549" w:type="dxa"/>
            <w:vAlign w:val="center"/>
            <w:hideMark/>
          </w:tcPr>
          <w:p w14:paraId="66EDD675"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N/A</w:t>
            </w:r>
          </w:p>
        </w:tc>
        <w:tc>
          <w:tcPr>
            <w:tcW w:w="1701" w:type="dxa"/>
            <w:vAlign w:val="center"/>
            <w:hideMark/>
          </w:tcPr>
          <w:p w14:paraId="4D4932E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Presencial para los funcionarios con reconocimiento por tiempo de trabajo. Los demás funcionarios se conectaron a través de la plataforma</w:t>
            </w:r>
          </w:p>
        </w:tc>
      </w:tr>
      <w:tr w:rsidR="00331B49" w:rsidRPr="00091197" w14:paraId="2386EBCE" w14:textId="77777777" w:rsidTr="00A6302C">
        <w:trPr>
          <w:trHeight w:val="557"/>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77DCB9D7"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25/08/2021</w:t>
            </w:r>
          </w:p>
        </w:tc>
        <w:tc>
          <w:tcPr>
            <w:tcW w:w="2410" w:type="dxa"/>
            <w:vAlign w:val="center"/>
            <w:hideMark/>
          </w:tcPr>
          <w:p w14:paraId="69D25C72"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Facebook Live: Catastro Multipropósito. Nuevos retos, nuevos profesionales</w:t>
            </w:r>
          </w:p>
        </w:tc>
        <w:tc>
          <w:tcPr>
            <w:tcW w:w="1417" w:type="dxa"/>
            <w:vAlign w:val="center"/>
            <w:hideMark/>
          </w:tcPr>
          <w:p w14:paraId="46317E9F"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275</w:t>
            </w:r>
          </w:p>
        </w:tc>
        <w:tc>
          <w:tcPr>
            <w:tcW w:w="2137" w:type="dxa"/>
            <w:vAlign w:val="center"/>
            <w:hideMark/>
          </w:tcPr>
          <w:p w14:paraId="73D3613E" w14:textId="77777777" w:rsidR="00331B49" w:rsidRPr="00091197" w:rsidRDefault="00A6302C" w:rsidP="00A6302C">
            <w:pPr>
              <w:jc w:val="center"/>
              <w:cnfStyle w:val="000000000000" w:firstRow="0" w:lastRow="0" w:firstColumn="0" w:lastColumn="0" w:oddVBand="0" w:evenVBand="0" w:oddHBand="0" w:evenHBand="0" w:firstRowFirstColumn="0" w:firstRowLastColumn="0" w:lastRowFirstColumn="0" w:lastRowLastColumn="0"/>
              <w:rPr>
                <w:rFonts w:cs="Arial"/>
                <w:color w:val="0563C1"/>
                <w:sz w:val="20"/>
                <w:szCs w:val="20"/>
                <w:u w:val="single"/>
                <w:lang w:eastAsia="es-CO"/>
              </w:rPr>
            </w:pPr>
            <w:hyperlink r:id="rId162" w:history="1">
              <w:r w:rsidR="00331B49" w:rsidRPr="00091197">
                <w:rPr>
                  <w:rFonts w:cs="Arial"/>
                  <w:color w:val="0563C1"/>
                  <w:sz w:val="20"/>
                  <w:szCs w:val="20"/>
                  <w:u w:val="single"/>
                  <w:lang w:eastAsia="es-CO"/>
                </w:rPr>
                <w:t>https://m.facebook.com/story.php?story_fbid=1261192304340852&amp;id=310635435652325</w:t>
              </w:r>
            </w:hyperlink>
          </w:p>
        </w:tc>
        <w:tc>
          <w:tcPr>
            <w:tcW w:w="1549" w:type="dxa"/>
            <w:vAlign w:val="center"/>
            <w:hideMark/>
          </w:tcPr>
          <w:p w14:paraId="0F466C4E"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1.763</w:t>
            </w:r>
          </w:p>
        </w:tc>
        <w:tc>
          <w:tcPr>
            <w:tcW w:w="1701" w:type="dxa"/>
            <w:vAlign w:val="center"/>
            <w:hideMark/>
          </w:tcPr>
          <w:p w14:paraId="1BB5ABA7" w14:textId="77777777" w:rsidR="00331B49" w:rsidRPr="00091197"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Sí hubo un espacio para preguntas del público</w:t>
            </w:r>
          </w:p>
        </w:tc>
      </w:tr>
      <w:tr w:rsidR="00331B49" w:rsidRPr="00091197" w14:paraId="62C19A4B" w14:textId="77777777" w:rsidTr="00A6302C">
        <w:trPr>
          <w:cnfStyle w:val="000000100000" w:firstRow="0" w:lastRow="0" w:firstColumn="0" w:lastColumn="0" w:oddVBand="0" w:evenVBand="0" w:oddHBand="1"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271" w:type="dxa"/>
            <w:vAlign w:val="center"/>
            <w:hideMark/>
          </w:tcPr>
          <w:p w14:paraId="0A10F1EA" w14:textId="77777777" w:rsidR="00331B49" w:rsidRPr="00091197" w:rsidRDefault="00331B49" w:rsidP="00A6302C">
            <w:pPr>
              <w:jc w:val="center"/>
              <w:rPr>
                <w:rFonts w:cs="Arial"/>
                <w:color w:val="000000"/>
                <w:sz w:val="20"/>
                <w:szCs w:val="20"/>
                <w:lang w:eastAsia="es-CO"/>
              </w:rPr>
            </w:pPr>
            <w:r w:rsidRPr="00091197">
              <w:rPr>
                <w:rFonts w:cs="Arial"/>
                <w:color w:val="000000"/>
                <w:sz w:val="20"/>
                <w:szCs w:val="20"/>
                <w:lang w:eastAsia="es-CO"/>
              </w:rPr>
              <w:t>13/09/2021</w:t>
            </w:r>
          </w:p>
        </w:tc>
        <w:tc>
          <w:tcPr>
            <w:tcW w:w="2410" w:type="dxa"/>
            <w:vAlign w:val="center"/>
            <w:hideMark/>
          </w:tcPr>
          <w:p w14:paraId="471D5AB3"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Celebración día del empleado público</w:t>
            </w:r>
          </w:p>
        </w:tc>
        <w:tc>
          <w:tcPr>
            <w:tcW w:w="1417" w:type="dxa"/>
            <w:vAlign w:val="center"/>
            <w:hideMark/>
          </w:tcPr>
          <w:p w14:paraId="4C2D63D0"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N/A</w:t>
            </w:r>
          </w:p>
        </w:tc>
        <w:tc>
          <w:tcPr>
            <w:tcW w:w="2137" w:type="dxa"/>
            <w:vAlign w:val="center"/>
            <w:hideMark/>
          </w:tcPr>
          <w:p w14:paraId="045AF3CA" w14:textId="77777777" w:rsidR="00331B49" w:rsidRPr="00091197" w:rsidRDefault="00A6302C" w:rsidP="00A6302C">
            <w:pPr>
              <w:jc w:val="center"/>
              <w:cnfStyle w:val="000000100000" w:firstRow="0" w:lastRow="0" w:firstColumn="0" w:lastColumn="0" w:oddVBand="0" w:evenVBand="0" w:oddHBand="1" w:evenHBand="0" w:firstRowFirstColumn="0" w:firstRowLastColumn="0" w:lastRowFirstColumn="0" w:lastRowLastColumn="0"/>
              <w:rPr>
                <w:rFonts w:cs="Arial"/>
                <w:color w:val="0563C1"/>
                <w:sz w:val="20"/>
                <w:szCs w:val="20"/>
                <w:u w:val="single"/>
                <w:lang w:eastAsia="es-CO"/>
              </w:rPr>
            </w:pPr>
            <w:hyperlink r:id="rId163" w:history="1">
              <w:r w:rsidR="00331B49" w:rsidRPr="00091197">
                <w:rPr>
                  <w:rFonts w:cs="Arial"/>
                  <w:color w:val="0563C1"/>
                  <w:sz w:val="20"/>
                  <w:szCs w:val="20"/>
                  <w:u w:val="single"/>
                  <w:lang w:eastAsia="es-CO"/>
                </w:rPr>
                <w:t>https://eventoscompensar.com/dia_del_empleado_publico_igac </w:t>
              </w:r>
            </w:hyperlink>
          </w:p>
        </w:tc>
        <w:tc>
          <w:tcPr>
            <w:tcW w:w="1549" w:type="dxa"/>
            <w:vAlign w:val="center"/>
            <w:hideMark/>
          </w:tcPr>
          <w:p w14:paraId="30473BF7"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N/A</w:t>
            </w:r>
          </w:p>
        </w:tc>
        <w:tc>
          <w:tcPr>
            <w:tcW w:w="1701" w:type="dxa"/>
            <w:vAlign w:val="center"/>
            <w:hideMark/>
          </w:tcPr>
          <w:p w14:paraId="37D43352" w14:textId="77777777" w:rsidR="00331B49" w:rsidRPr="00091197"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091197">
              <w:rPr>
                <w:rFonts w:cs="Arial"/>
                <w:color w:val="000000"/>
                <w:sz w:val="20"/>
                <w:szCs w:val="20"/>
                <w:lang w:eastAsia="es-CO"/>
              </w:rPr>
              <w:t>Presencial y virtual para los funcionarios</w:t>
            </w:r>
          </w:p>
        </w:tc>
      </w:tr>
    </w:tbl>
    <w:p w14:paraId="16CBCCD1" w14:textId="729D330C" w:rsidR="005325D9" w:rsidRPr="008179E9" w:rsidRDefault="074BD9AF" w:rsidP="00331B49">
      <w:pPr>
        <w:ind w:left="567"/>
        <w:jc w:val="center"/>
        <w:rPr>
          <w:b/>
          <w:bCs/>
        </w:rPr>
      </w:pPr>
      <w:r w:rsidRPr="31FF9146">
        <w:rPr>
          <w:rFonts w:cs="Arial"/>
          <w:b/>
          <w:bCs/>
          <w:sz w:val="16"/>
          <w:szCs w:val="16"/>
        </w:rPr>
        <w:t>Fuente: Oficina de Relación con el Ciudadano</w:t>
      </w:r>
    </w:p>
    <w:p w14:paraId="5883E907" w14:textId="34AA318C" w:rsidR="31FF9146" w:rsidRDefault="31FF9146" w:rsidP="00331B49">
      <w:pPr>
        <w:jc w:val="both"/>
        <w:rPr>
          <w:b/>
          <w:bCs/>
        </w:rPr>
      </w:pPr>
    </w:p>
    <w:p w14:paraId="237D2513" w14:textId="77777777" w:rsidR="005325D9" w:rsidRPr="008179E9" w:rsidRDefault="005325D9" w:rsidP="00331B49">
      <w:pPr>
        <w:jc w:val="both"/>
        <w:rPr>
          <w:rFonts w:eastAsia="Arial" w:cs="Arial"/>
          <w:color w:val="000000" w:themeColor="text1"/>
          <w:sz w:val="22"/>
          <w:szCs w:val="22"/>
        </w:rPr>
      </w:pPr>
      <w:r w:rsidRPr="008179E9">
        <w:rPr>
          <w:rFonts w:cs="Arial"/>
          <w:sz w:val="22"/>
          <w:szCs w:val="22"/>
        </w:rPr>
        <w:t xml:space="preserve">Por otra parte, </w:t>
      </w:r>
      <w:r w:rsidRPr="008179E9">
        <w:rPr>
          <w:rFonts w:eastAsia="Arial" w:cs="Arial"/>
          <w:color w:val="000000" w:themeColor="text1"/>
          <w:sz w:val="22"/>
          <w:szCs w:val="22"/>
        </w:rPr>
        <w:t>la Oficina de Relación con el Ciudadano, realizó la identificación de los espacios de participación ciudadana y rendición de cuentas así:</w:t>
      </w:r>
    </w:p>
    <w:p w14:paraId="130417C2" w14:textId="61A76A22" w:rsidR="005325D9" w:rsidRPr="008179E9" w:rsidRDefault="005325D9" w:rsidP="00C72779">
      <w:pPr>
        <w:ind w:left="567"/>
        <w:jc w:val="both"/>
        <w:rPr>
          <w:rFonts w:eastAsia="Arial" w:cs="Arial"/>
          <w:color w:val="000000" w:themeColor="text1"/>
          <w:sz w:val="22"/>
          <w:szCs w:val="22"/>
        </w:rPr>
      </w:pPr>
    </w:p>
    <w:p w14:paraId="1F101664" w14:textId="77777777" w:rsidR="005325D9" w:rsidRPr="008179E9" w:rsidRDefault="005325D9" w:rsidP="000A20EE">
      <w:pPr>
        <w:pStyle w:val="Prrafodelista"/>
        <w:numPr>
          <w:ilvl w:val="0"/>
          <w:numId w:val="187"/>
        </w:numPr>
        <w:suppressAutoHyphens w:val="0"/>
        <w:contextualSpacing/>
        <w:rPr>
          <w:rFonts w:cs="Arial"/>
          <w:sz w:val="22"/>
          <w:szCs w:val="22"/>
        </w:rPr>
      </w:pPr>
      <w:r w:rsidRPr="008179E9">
        <w:rPr>
          <w:rFonts w:cs="Arial"/>
          <w:sz w:val="22"/>
          <w:szCs w:val="22"/>
        </w:rPr>
        <w:t xml:space="preserve">Plan Estratégico Institucional: La Oficina Asesora de Planeación el 30 de marzo de 2021 convocó a la ciudadanía a participar en la formulación del Plan Estratégico Institucional 2021, como se evidencia en el enlace: </w:t>
      </w:r>
      <w:hyperlink r:id="rId164">
        <w:r w:rsidRPr="008179E9">
          <w:rPr>
            <w:rStyle w:val="Hipervnculo"/>
            <w:rFonts w:cs="Arial"/>
            <w:sz w:val="22"/>
            <w:szCs w:val="22"/>
          </w:rPr>
          <w:t>https://www.igac.gov.co/es/noticias/participa-en-la-formulacion-del-planestrategico-institucional-2021</w:t>
        </w:r>
      </w:hyperlink>
      <w:r w:rsidRPr="008179E9">
        <w:rPr>
          <w:rFonts w:cs="Arial"/>
          <w:sz w:val="22"/>
          <w:szCs w:val="22"/>
        </w:rPr>
        <w:t>, adicionalmente, convocó una participación interna en la formulación del plan.</w:t>
      </w:r>
    </w:p>
    <w:p w14:paraId="3F163DDE" w14:textId="77777777" w:rsidR="005325D9" w:rsidRPr="00697A86" w:rsidRDefault="005325D9" w:rsidP="000A20EE">
      <w:pPr>
        <w:pStyle w:val="Prrafodelista"/>
        <w:numPr>
          <w:ilvl w:val="0"/>
          <w:numId w:val="187"/>
        </w:numPr>
        <w:suppressAutoHyphens w:val="0"/>
        <w:contextualSpacing/>
        <w:rPr>
          <w:rStyle w:val="Hipervnculo"/>
          <w:rFonts w:cs="Arial"/>
          <w:color w:val="auto"/>
          <w:sz w:val="22"/>
          <w:szCs w:val="22"/>
          <w:u w:val="none"/>
        </w:rPr>
      </w:pPr>
      <w:r w:rsidRPr="008179E9">
        <w:rPr>
          <w:rFonts w:cs="Arial"/>
          <w:sz w:val="22"/>
          <w:szCs w:val="22"/>
        </w:rPr>
        <w:t xml:space="preserve">Ejercicios de participación durante el diseño de los proyectos normativos con la ciudadanía y actores interesados: Esta actividad se encuentra a cargo de la Oficina Asesora Jurídica y lleva a cabo el seguimiento del ejercicio de participación ciudadana que se realiza en virtud de los proyectos resolutivos expedidos por los procesos misionales, los cuales se publican en la sección de Transparencia y acceso a la información pública de la página web institucional, numeral 2.3.1 proyectos normativos para comentar, cuyo enlace es </w:t>
      </w:r>
      <w:hyperlink r:id="rId165" w:history="1">
        <w:r w:rsidRPr="008179E9">
          <w:rPr>
            <w:rStyle w:val="Hipervnculo"/>
            <w:rFonts w:cs="Arial"/>
            <w:sz w:val="22"/>
            <w:szCs w:val="22"/>
          </w:rPr>
          <w:t>https://www.igac.gov.co/es/transparencia-y-acceso-a-la-informacion-publica/proyectos-para-comentar</w:t>
        </w:r>
      </w:hyperlink>
    </w:p>
    <w:p w14:paraId="28D168E2" w14:textId="77777777" w:rsidR="005325D9" w:rsidRPr="008179E9" w:rsidRDefault="005325D9" w:rsidP="000A20EE">
      <w:pPr>
        <w:pStyle w:val="Prrafodelista"/>
        <w:numPr>
          <w:ilvl w:val="0"/>
          <w:numId w:val="187"/>
        </w:numPr>
        <w:suppressAutoHyphens w:val="0"/>
        <w:contextualSpacing/>
        <w:rPr>
          <w:rFonts w:cs="Arial"/>
          <w:sz w:val="22"/>
          <w:szCs w:val="22"/>
        </w:rPr>
      </w:pPr>
      <w:r w:rsidRPr="008179E9">
        <w:rPr>
          <w:rFonts w:cs="Arial"/>
          <w:sz w:val="22"/>
          <w:szCs w:val="22"/>
        </w:rPr>
        <w:t>La Oficina Asesora de Planeación invitó a los funcionarios y contratistas del IGAC a participar en la formulación de la versión 3 del Plan anticorrupción y de atención al ciudadano 2021.</w:t>
      </w:r>
    </w:p>
    <w:p w14:paraId="2689491D" w14:textId="77777777" w:rsidR="005325D9" w:rsidRPr="008179E9" w:rsidRDefault="005325D9" w:rsidP="000A20EE">
      <w:pPr>
        <w:pStyle w:val="Prrafodelista"/>
        <w:numPr>
          <w:ilvl w:val="0"/>
          <w:numId w:val="187"/>
        </w:numPr>
        <w:suppressAutoHyphens w:val="0"/>
        <w:contextualSpacing/>
        <w:rPr>
          <w:rFonts w:cs="Arial"/>
          <w:sz w:val="22"/>
          <w:szCs w:val="22"/>
        </w:rPr>
      </w:pPr>
      <w:r w:rsidRPr="008179E9">
        <w:rPr>
          <w:rFonts w:cs="Arial"/>
          <w:sz w:val="22"/>
          <w:szCs w:val="22"/>
        </w:rPr>
        <w:lastRenderedPageBreak/>
        <w:t>La Oficina de Relación con el Ciudadano publicó para consulta ciudadana, el cronograma de rendición de cuentas y la estrategia de participación ciudadana en la gestión pública.</w:t>
      </w:r>
    </w:p>
    <w:p w14:paraId="5922D137" w14:textId="77777777" w:rsidR="005325D9" w:rsidRPr="008179E9" w:rsidRDefault="005325D9" w:rsidP="000A20EE">
      <w:pPr>
        <w:pStyle w:val="Prrafodelista"/>
        <w:numPr>
          <w:ilvl w:val="0"/>
          <w:numId w:val="187"/>
        </w:numPr>
        <w:suppressAutoHyphens w:val="0"/>
        <w:contextualSpacing/>
        <w:rPr>
          <w:rFonts w:cs="Arial"/>
          <w:sz w:val="22"/>
          <w:szCs w:val="22"/>
        </w:rPr>
      </w:pPr>
      <w:r w:rsidRPr="008179E9">
        <w:rPr>
          <w:rFonts w:cs="Arial"/>
          <w:sz w:val="22"/>
          <w:szCs w:val="22"/>
        </w:rPr>
        <w:t>La Dirección de Gestión Catastral reportó a la Oficina de Relación con el Ciudadano las cifras de los espacios de participación de la ciudadanía, correspondiente al barrido predial masivo en el marco de la política de catastro multipropósito realizados en esta vigencia. Estos espacios se han dado como resultado de las operaciones de actualización catastral adelantados en los municipios de Villavicencio, Popayán, Arauquita, Busbanzá, Betéitiva, Corrales, Sativasur, Socotá, Socha y Tasco.</w:t>
      </w:r>
    </w:p>
    <w:p w14:paraId="323EE555" w14:textId="77777777" w:rsidR="005325D9" w:rsidRPr="008179E9" w:rsidRDefault="005325D9" w:rsidP="000A20EE">
      <w:pPr>
        <w:pStyle w:val="Prrafodelista"/>
        <w:numPr>
          <w:ilvl w:val="0"/>
          <w:numId w:val="187"/>
        </w:numPr>
        <w:suppressAutoHyphens w:val="0"/>
        <w:contextualSpacing/>
        <w:rPr>
          <w:rFonts w:cs="Arial"/>
          <w:sz w:val="22"/>
          <w:szCs w:val="22"/>
        </w:rPr>
      </w:pPr>
      <w:r w:rsidRPr="31FF9146">
        <w:rPr>
          <w:rFonts w:cs="Arial"/>
          <w:sz w:val="22"/>
          <w:szCs w:val="22"/>
        </w:rPr>
        <w:t>En las jornadas de participación se explica a las comunidades, tanto rurales como urbanas, en qué consiste el catastro, cuáles son sus ventajas y cómo pueden participar en el proceso de actualización.</w:t>
      </w:r>
    </w:p>
    <w:p w14:paraId="7586568A" w14:textId="756E6C4F" w:rsidR="31FF9146" w:rsidRDefault="31FF9146" w:rsidP="31FF9146">
      <w:pPr>
        <w:pStyle w:val="Lista"/>
      </w:pPr>
    </w:p>
    <w:p w14:paraId="31F0CBFD" w14:textId="11F9BD4F" w:rsidR="005325D9" w:rsidRPr="00F07D8E" w:rsidRDefault="000215EA" w:rsidP="00F07D8E">
      <w:pPr>
        <w:pStyle w:val="Descripcin"/>
        <w:keepNext/>
        <w:jc w:val="center"/>
        <w:rPr>
          <w:rFonts w:ascii="Arial" w:hAnsi="Arial" w:cs="Arial"/>
          <w:b/>
          <w:i w:val="0"/>
          <w:color w:val="000000" w:themeColor="text1"/>
          <w:sz w:val="16"/>
          <w:szCs w:val="16"/>
        </w:rPr>
      </w:pPr>
      <w:bookmarkStart w:id="178" w:name="_Toc88677136"/>
      <w:r w:rsidRPr="00F07D8E">
        <w:rPr>
          <w:rFonts w:ascii="Arial" w:hAnsi="Arial" w:cs="Arial"/>
          <w:b/>
          <w:i w:val="0"/>
          <w:color w:val="000000" w:themeColor="text1"/>
          <w:sz w:val="16"/>
          <w:szCs w:val="16"/>
        </w:rPr>
        <w:t xml:space="preserve">Tabla </w:t>
      </w:r>
      <w:r w:rsidRPr="00F07D8E">
        <w:rPr>
          <w:rFonts w:ascii="Arial" w:hAnsi="Arial" w:cs="Arial"/>
          <w:b/>
          <w:i w:val="0"/>
          <w:color w:val="000000" w:themeColor="text1"/>
          <w:sz w:val="16"/>
          <w:szCs w:val="16"/>
        </w:rPr>
        <w:fldChar w:fldCharType="begin"/>
      </w:r>
      <w:r w:rsidRPr="00F07D8E">
        <w:rPr>
          <w:rFonts w:ascii="Arial" w:hAnsi="Arial" w:cs="Arial"/>
          <w:b/>
          <w:i w:val="0"/>
          <w:color w:val="000000" w:themeColor="text1"/>
          <w:sz w:val="16"/>
          <w:szCs w:val="16"/>
        </w:rPr>
        <w:instrText xml:space="preserve"> SEQ Tabla \* ARABIC </w:instrText>
      </w:r>
      <w:r w:rsidRPr="00F07D8E">
        <w:rPr>
          <w:rFonts w:ascii="Arial" w:hAnsi="Arial" w:cs="Arial"/>
          <w:b/>
          <w:i w:val="0"/>
          <w:color w:val="000000" w:themeColor="text1"/>
          <w:sz w:val="16"/>
          <w:szCs w:val="16"/>
        </w:rPr>
        <w:fldChar w:fldCharType="separate"/>
      </w:r>
      <w:r w:rsidR="004D4C6A">
        <w:rPr>
          <w:rFonts w:ascii="Arial" w:hAnsi="Arial" w:cs="Arial"/>
          <w:b/>
          <w:i w:val="0"/>
          <w:noProof/>
          <w:color w:val="000000" w:themeColor="text1"/>
          <w:sz w:val="16"/>
          <w:szCs w:val="16"/>
        </w:rPr>
        <w:t>64</w:t>
      </w:r>
      <w:r w:rsidRPr="00F07D8E">
        <w:rPr>
          <w:rFonts w:ascii="Arial" w:hAnsi="Arial" w:cs="Arial"/>
          <w:b/>
          <w:i w:val="0"/>
          <w:color w:val="000000" w:themeColor="text1"/>
          <w:sz w:val="16"/>
          <w:szCs w:val="16"/>
        </w:rPr>
        <w:fldChar w:fldCharType="end"/>
      </w:r>
      <w:r w:rsidRPr="00F07D8E">
        <w:rPr>
          <w:rFonts w:ascii="Arial" w:hAnsi="Arial" w:cs="Arial"/>
          <w:b/>
          <w:i w:val="0"/>
          <w:color w:val="000000" w:themeColor="text1"/>
          <w:sz w:val="16"/>
          <w:szCs w:val="16"/>
        </w:rPr>
        <w:t>. Jornada de Participación 2021</w:t>
      </w:r>
      <w:bookmarkEnd w:id="178"/>
    </w:p>
    <w:p w14:paraId="7DCE8824"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Villavicencio</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5E5493AA"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749C81B" w14:textId="77777777" w:rsidR="005325D9" w:rsidRPr="00697A86" w:rsidRDefault="005325D9" w:rsidP="00C72779">
            <w:pPr>
              <w:jc w:val="center"/>
              <w:rPr>
                <w:rFonts w:cs="Arial"/>
                <w:sz w:val="20"/>
                <w:szCs w:val="20"/>
                <w:lang w:eastAsia="es-CO"/>
              </w:rPr>
            </w:pPr>
            <w:r w:rsidRPr="00697A86">
              <w:rPr>
                <w:rFonts w:cs="Arial"/>
                <w:sz w:val="20"/>
                <w:szCs w:val="20"/>
                <w:lang w:eastAsia="es-CO"/>
              </w:rPr>
              <w:t>Mes</w:t>
            </w:r>
          </w:p>
        </w:tc>
        <w:tc>
          <w:tcPr>
            <w:tcW w:w="2268" w:type="dxa"/>
            <w:noWrap/>
            <w:hideMark/>
          </w:tcPr>
          <w:p w14:paraId="648EBDE6" w14:textId="77777777" w:rsidR="005325D9" w:rsidRPr="00697A86"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697A86">
              <w:rPr>
                <w:rFonts w:cs="Arial"/>
                <w:sz w:val="20"/>
                <w:szCs w:val="20"/>
                <w:lang w:eastAsia="es-CO"/>
              </w:rPr>
              <w:t>Jornadas</w:t>
            </w:r>
          </w:p>
        </w:tc>
        <w:tc>
          <w:tcPr>
            <w:tcW w:w="2268" w:type="dxa"/>
            <w:noWrap/>
            <w:hideMark/>
          </w:tcPr>
          <w:p w14:paraId="531817C4" w14:textId="77777777" w:rsidR="005325D9" w:rsidRPr="00697A86"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697A86">
              <w:rPr>
                <w:rFonts w:cs="Arial"/>
                <w:sz w:val="20"/>
                <w:szCs w:val="20"/>
                <w:lang w:eastAsia="es-CO"/>
              </w:rPr>
              <w:t>Asistentes</w:t>
            </w:r>
          </w:p>
        </w:tc>
      </w:tr>
      <w:tr w:rsidR="005325D9" w:rsidRPr="003048C1" w14:paraId="18AD63D6"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DB1DC50"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Marzo</w:t>
            </w:r>
          </w:p>
        </w:tc>
        <w:tc>
          <w:tcPr>
            <w:tcW w:w="2268" w:type="dxa"/>
            <w:noWrap/>
            <w:hideMark/>
          </w:tcPr>
          <w:p w14:paraId="5B5DD70E"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8</w:t>
            </w:r>
          </w:p>
        </w:tc>
        <w:tc>
          <w:tcPr>
            <w:tcW w:w="2268" w:type="dxa"/>
            <w:noWrap/>
            <w:hideMark/>
          </w:tcPr>
          <w:p w14:paraId="3A1026CD"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30</w:t>
            </w:r>
          </w:p>
        </w:tc>
      </w:tr>
      <w:tr w:rsidR="005325D9" w:rsidRPr="003048C1" w14:paraId="7127AA5A"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EDBC8A8"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Abril</w:t>
            </w:r>
          </w:p>
        </w:tc>
        <w:tc>
          <w:tcPr>
            <w:tcW w:w="2268" w:type="dxa"/>
            <w:noWrap/>
            <w:hideMark/>
          </w:tcPr>
          <w:p w14:paraId="60ADAC8C"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30</w:t>
            </w:r>
          </w:p>
        </w:tc>
        <w:tc>
          <w:tcPr>
            <w:tcW w:w="2268" w:type="dxa"/>
            <w:noWrap/>
            <w:hideMark/>
          </w:tcPr>
          <w:p w14:paraId="01C156B2"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165</w:t>
            </w:r>
          </w:p>
        </w:tc>
      </w:tr>
      <w:tr w:rsidR="005325D9" w:rsidRPr="003048C1" w14:paraId="1FA703AC"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9BF27AD"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5561CE52"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31</w:t>
            </w:r>
          </w:p>
        </w:tc>
        <w:tc>
          <w:tcPr>
            <w:tcW w:w="2268" w:type="dxa"/>
            <w:noWrap/>
            <w:hideMark/>
          </w:tcPr>
          <w:p w14:paraId="2434FBA7"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137</w:t>
            </w:r>
          </w:p>
        </w:tc>
      </w:tr>
      <w:tr w:rsidR="005325D9" w:rsidRPr="003048C1" w14:paraId="78F05987"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5449454"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12FB593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20</w:t>
            </w:r>
          </w:p>
        </w:tc>
        <w:tc>
          <w:tcPr>
            <w:tcW w:w="2268" w:type="dxa"/>
            <w:noWrap/>
            <w:hideMark/>
          </w:tcPr>
          <w:p w14:paraId="4F9A991A"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98</w:t>
            </w:r>
          </w:p>
        </w:tc>
      </w:tr>
      <w:tr w:rsidR="005325D9" w:rsidRPr="003048C1" w14:paraId="640D6120"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7A77D24"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2F78938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25</w:t>
            </w:r>
          </w:p>
        </w:tc>
        <w:tc>
          <w:tcPr>
            <w:tcW w:w="2268" w:type="dxa"/>
            <w:noWrap/>
            <w:hideMark/>
          </w:tcPr>
          <w:p w14:paraId="3FC0D73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84</w:t>
            </w:r>
          </w:p>
        </w:tc>
      </w:tr>
      <w:tr w:rsidR="005325D9" w:rsidRPr="003048C1" w14:paraId="1218140E"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053E409"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5D601E2F"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6</w:t>
            </w:r>
          </w:p>
        </w:tc>
        <w:tc>
          <w:tcPr>
            <w:tcW w:w="2268" w:type="dxa"/>
            <w:noWrap/>
            <w:hideMark/>
          </w:tcPr>
          <w:p w14:paraId="4B72E716"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37</w:t>
            </w:r>
          </w:p>
        </w:tc>
      </w:tr>
      <w:tr w:rsidR="005325D9" w:rsidRPr="003048C1" w14:paraId="2EE3EC76"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0C6277D"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Septiembre</w:t>
            </w:r>
          </w:p>
        </w:tc>
        <w:tc>
          <w:tcPr>
            <w:tcW w:w="2268" w:type="dxa"/>
            <w:noWrap/>
            <w:hideMark/>
          </w:tcPr>
          <w:p w14:paraId="0CE5CE6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w:t>
            </w:r>
          </w:p>
        </w:tc>
        <w:tc>
          <w:tcPr>
            <w:tcW w:w="2268" w:type="dxa"/>
            <w:noWrap/>
            <w:hideMark/>
          </w:tcPr>
          <w:p w14:paraId="672C707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w:t>
            </w:r>
          </w:p>
        </w:tc>
      </w:tr>
      <w:tr w:rsidR="005325D9" w:rsidRPr="003048C1" w14:paraId="5A08ABB0"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8F3332B"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Total</w:t>
            </w:r>
          </w:p>
        </w:tc>
        <w:tc>
          <w:tcPr>
            <w:tcW w:w="2268" w:type="dxa"/>
            <w:noWrap/>
            <w:hideMark/>
          </w:tcPr>
          <w:p w14:paraId="24FF03B1"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122</w:t>
            </w:r>
          </w:p>
        </w:tc>
        <w:tc>
          <w:tcPr>
            <w:tcW w:w="2268" w:type="dxa"/>
            <w:noWrap/>
            <w:hideMark/>
          </w:tcPr>
          <w:p w14:paraId="663D5592"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554</w:t>
            </w:r>
          </w:p>
        </w:tc>
      </w:tr>
    </w:tbl>
    <w:p w14:paraId="0825AAF8" w14:textId="1A7AEA4F" w:rsidR="31FF9146" w:rsidRPr="00697A86" w:rsidRDefault="31FF9146" w:rsidP="00331B49">
      <w:pPr>
        <w:ind w:left="567"/>
        <w:jc w:val="center"/>
        <w:rPr>
          <w:rFonts w:eastAsia="Arial" w:cs="Arial"/>
          <w:color w:val="000000" w:themeColor="text1"/>
          <w:sz w:val="20"/>
          <w:szCs w:val="20"/>
        </w:rPr>
      </w:pPr>
    </w:p>
    <w:p w14:paraId="77945476"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Arauquita</w:t>
      </w:r>
    </w:p>
    <w:tbl>
      <w:tblPr>
        <w:tblStyle w:val="Tabladecuadrcula4-nfasis1"/>
        <w:tblW w:w="6804" w:type="dxa"/>
        <w:jc w:val="center"/>
        <w:tblLook w:val="04A0" w:firstRow="1" w:lastRow="0" w:firstColumn="1" w:lastColumn="0" w:noHBand="0" w:noVBand="1"/>
      </w:tblPr>
      <w:tblGrid>
        <w:gridCol w:w="2268"/>
        <w:gridCol w:w="2268"/>
        <w:gridCol w:w="2268"/>
      </w:tblGrid>
      <w:tr w:rsidR="005325D9" w:rsidRPr="003048C1" w14:paraId="1D96DBB4"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07929C8" w14:textId="77777777" w:rsidR="005325D9" w:rsidRPr="00697A86" w:rsidRDefault="005325D9" w:rsidP="00C72779">
            <w:pPr>
              <w:jc w:val="center"/>
              <w:rPr>
                <w:rFonts w:cs="Arial"/>
                <w:sz w:val="20"/>
                <w:szCs w:val="20"/>
                <w:lang w:eastAsia="es-CO"/>
              </w:rPr>
            </w:pPr>
            <w:r w:rsidRPr="00697A86">
              <w:rPr>
                <w:rFonts w:cs="Arial"/>
                <w:sz w:val="20"/>
                <w:szCs w:val="20"/>
                <w:lang w:eastAsia="es-CO"/>
              </w:rPr>
              <w:t>Mes</w:t>
            </w:r>
          </w:p>
        </w:tc>
        <w:tc>
          <w:tcPr>
            <w:tcW w:w="2268" w:type="dxa"/>
            <w:noWrap/>
            <w:hideMark/>
          </w:tcPr>
          <w:p w14:paraId="13449B53" w14:textId="77777777" w:rsidR="005325D9" w:rsidRPr="00697A86"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697A86">
              <w:rPr>
                <w:rFonts w:cs="Arial"/>
                <w:sz w:val="20"/>
                <w:szCs w:val="20"/>
                <w:lang w:eastAsia="es-CO"/>
              </w:rPr>
              <w:t>Jornadas</w:t>
            </w:r>
          </w:p>
        </w:tc>
        <w:tc>
          <w:tcPr>
            <w:tcW w:w="2268" w:type="dxa"/>
            <w:noWrap/>
            <w:hideMark/>
          </w:tcPr>
          <w:p w14:paraId="4A07856F" w14:textId="77777777" w:rsidR="005325D9" w:rsidRPr="00697A86"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697A86">
              <w:rPr>
                <w:rFonts w:cs="Arial"/>
                <w:sz w:val="20"/>
                <w:szCs w:val="20"/>
                <w:lang w:eastAsia="es-CO"/>
              </w:rPr>
              <w:t>Asistentes</w:t>
            </w:r>
          </w:p>
        </w:tc>
      </w:tr>
      <w:tr w:rsidR="005325D9" w:rsidRPr="003048C1" w14:paraId="2520E99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F773CD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5C65E3A3"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w:t>
            </w:r>
          </w:p>
        </w:tc>
        <w:tc>
          <w:tcPr>
            <w:tcW w:w="2268" w:type="dxa"/>
            <w:noWrap/>
            <w:hideMark/>
          </w:tcPr>
          <w:p w14:paraId="4BDAD4C2"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101</w:t>
            </w:r>
          </w:p>
        </w:tc>
      </w:tr>
      <w:tr w:rsidR="005325D9" w:rsidRPr="003048C1" w14:paraId="27004091"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AAD70BC"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6ACACF4F"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6</w:t>
            </w:r>
          </w:p>
        </w:tc>
        <w:tc>
          <w:tcPr>
            <w:tcW w:w="2268" w:type="dxa"/>
            <w:noWrap/>
            <w:hideMark/>
          </w:tcPr>
          <w:p w14:paraId="0180030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270</w:t>
            </w:r>
          </w:p>
        </w:tc>
      </w:tr>
      <w:tr w:rsidR="005325D9" w:rsidRPr="003048C1" w14:paraId="59707BBA"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FB9B02D"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4536" w:type="dxa"/>
            <w:gridSpan w:val="2"/>
            <w:vMerge w:val="restart"/>
            <w:hideMark/>
          </w:tcPr>
          <w:p w14:paraId="21A887D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Debido a cuestiones contractuales, no se realizaron espacios participativos</w:t>
            </w:r>
          </w:p>
        </w:tc>
      </w:tr>
      <w:tr w:rsidR="005325D9" w:rsidRPr="003048C1" w14:paraId="2B892CD4"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B477DFD"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Septiembre</w:t>
            </w:r>
          </w:p>
        </w:tc>
        <w:tc>
          <w:tcPr>
            <w:tcW w:w="4536" w:type="dxa"/>
            <w:gridSpan w:val="2"/>
            <w:vMerge/>
            <w:hideMark/>
          </w:tcPr>
          <w:p w14:paraId="10B9309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r>
      <w:tr w:rsidR="005325D9" w:rsidRPr="003048C1" w14:paraId="6C86B6FB"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889880C"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5F3515B1"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10</w:t>
            </w:r>
          </w:p>
        </w:tc>
        <w:tc>
          <w:tcPr>
            <w:tcW w:w="2268" w:type="dxa"/>
            <w:noWrap/>
            <w:hideMark/>
          </w:tcPr>
          <w:p w14:paraId="128DFF45"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371</w:t>
            </w:r>
          </w:p>
        </w:tc>
      </w:tr>
    </w:tbl>
    <w:p w14:paraId="0726AEE0" w14:textId="3A188533" w:rsidR="005325D9" w:rsidRPr="00697A86" w:rsidRDefault="005325D9" w:rsidP="00C72779">
      <w:pPr>
        <w:ind w:left="567"/>
        <w:jc w:val="center"/>
        <w:rPr>
          <w:rFonts w:eastAsia="Arial" w:cs="Arial"/>
          <w:color w:val="000000" w:themeColor="text1"/>
          <w:sz w:val="20"/>
          <w:szCs w:val="20"/>
        </w:rPr>
      </w:pPr>
    </w:p>
    <w:p w14:paraId="720F8C3B"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Popayán</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0FF55211"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5983B0DD"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2C24EAD3"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1F5160A5"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5F92B8EE"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515A0B86"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Abril</w:t>
            </w:r>
          </w:p>
        </w:tc>
        <w:tc>
          <w:tcPr>
            <w:tcW w:w="2268" w:type="dxa"/>
            <w:noWrap/>
            <w:hideMark/>
          </w:tcPr>
          <w:p w14:paraId="0678FA1C"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6A1FC342"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37</w:t>
            </w:r>
          </w:p>
        </w:tc>
      </w:tr>
      <w:tr w:rsidR="005325D9" w:rsidRPr="003048C1" w14:paraId="3655642F"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ACD6944"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554C1145"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7</w:t>
            </w:r>
          </w:p>
        </w:tc>
        <w:tc>
          <w:tcPr>
            <w:tcW w:w="2268" w:type="dxa"/>
            <w:noWrap/>
            <w:hideMark/>
          </w:tcPr>
          <w:p w14:paraId="623F6D6A"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227</w:t>
            </w:r>
          </w:p>
        </w:tc>
      </w:tr>
      <w:tr w:rsidR="005325D9" w:rsidRPr="003048C1" w14:paraId="215C5E6C"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04F12F6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33B42B1B"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5</w:t>
            </w:r>
          </w:p>
        </w:tc>
        <w:tc>
          <w:tcPr>
            <w:tcW w:w="2268" w:type="dxa"/>
            <w:noWrap/>
            <w:hideMark/>
          </w:tcPr>
          <w:p w14:paraId="21E6767D"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226</w:t>
            </w:r>
          </w:p>
        </w:tc>
      </w:tr>
      <w:tr w:rsidR="005325D9" w:rsidRPr="003048C1" w14:paraId="6486253C"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F9F13DF"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44CA4C85"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1FE6638F"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33</w:t>
            </w:r>
          </w:p>
        </w:tc>
      </w:tr>
      <w:tr w:rsidR="005325D9" w:rsidRPr="003048C1" w14:paraId="0F31F6CA"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094F6929"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4681EEC2"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w:t>
            </w:r>
          </w:p>
        </w:tc>
        <w:tc>
          <w:tcPr>
            <w:tcW w:w="2268" w:type="dxa"/>
            <w:noWrap/>
            <w:hideMark/>
          </w:tcPr>
          <w:p w14:paraId="01B1706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48</w:t>
            </w:r>
          </w:p>
        </w:tc>
      </w:tr>
      <w:tr w:rsidR="005325D9" w:rsidRPr="003048C1" w14:paraId="005F94D7"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0AD54EEC"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Septiembre</w:t>
            </w:r>
          </w:p>
        </w:tc>
        <w:tc>
          <w:tcPr>
            <w:tcW w:w="2268" w:type="dxa"/>
            <w:noWrap/>
            <w:hideMark/>
          </w:tcPr>
          <w:p w14:paraId="34416C4E"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5</w:t>
            </w:r>
          </w:p>
        </w:tc>
        <w:tc>
          <w:tcPr>
            <w:tcW w:w="2268" w:type="dxa"/>
            <w:noWrap/>
            <w:hideMark/>
          </w:tcPr>
          <w:p w14:paraId="4CE4CB7F"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107</w:t>
            </w:r>
          </w:p>
        </w:tc>
      </w:tr>
      <w:tr w:rsidR="005325D9" w:rsidRPr="003048C1" w14:paraId="44CDCE2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DDDBD71"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6EB980E0"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23</w:t>
            </w:r>
          </w:p>
        </w:tc>
        <w:tc>
          <w:tcPr>
            <w:tcW w:w="2268" w:type="dxa"/>
            <w:noWrap/>
            <w:hideMark/>
          </w:tcPr>
          <w:p w14:paraId="5D91FE1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678</w:t>
            </w:r>
          </w:p>
        </w:tc>
      </w:tr>
    </w:tbl>
    <w:p w14:paraId="207B70F2" w14:textId="1D5374DE" w:rsidR="00331B49" w:rsidRDefault="00331B49" w:rsidP="00F07D8E">
      <w:pPr>
        <w:rPr>
          <w:sz w:val="20"/>
          <w:szCs w:val="20"/>
        </w:rPr>
      </w:pPr>
    </w:p>
    <w:p w14:paraId="25B7262B" w14:textId="7E3FF7F7" w:rsidR="00F07D8E" w:rsidRDefault="00F07D8E" w:rsidP="00F07D8E">
      <w:pPr>
        <w:rPr>
          <w:sz w:val="20"/>
          <w:szCs w:val="20"/>
        </w:rPr>
      </w:pPr>
    </w:p>
    <w:p w14:paraId="7718AF58" w14:textId="090BC379" w:rsidR="00F07D8E" w:rsidRDefault="00F07D8E" w:rsidP="00F07D8E">
      <w:pPr>
        <w:rPr>
          <w:sz w:val="20"/>
          <w:szCs w:val="20"/>
        </w:rPr>
      </w:pPr>
    </w:p>
    <w:p w14:paraId="2356C037" w14:textId="5218CDDA" w:rsidR="00F07D8E" w:rsidRDefault="00F07D8E" w:rsidP="00F07D8E">
      <w:pPr>
        <w:rPr>
          <w:sz w:val="20"/>
          <w:szCs w:val="20"/>
        </w:rPr>
      </w:pPr>
    </w:p>
    <w:p w14:paraId="1C9E162A" w14:textId="77C5074C" w:rsidR="00F07D8E" w:rsidRDefault="00F07D8E" w:rsidP="00F07D8E">
      <w:pPr>
        <w:rPr>
          <w:sz w:val="20"/>
          <w:szCs w:val="20"/>
        </w:rPr>
      </w:pPr>
    </w:p>
    <w:p w14:paraId="5CB5D7BB" w14:textId="77777777" w:rsidR="00F07D8E" w:rsidRDefault="00F07D8E" w:rsidP="00F07D8E">
      <w:pPr>
        <w:rPr>
          <w:rFonts w:eastAsia="Arial" w:cs="Arial"/>
          <w:color w:val="000000" w:themeColor="text1"/>
          <w:sz w:val="20"/>
          <w:szCs w:val="20"/>
        </w:rPr>
      </w:pPr>
    </w:p>
    <w:p w14:paraId="6E18C8CA"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lastRenderedPageBreak/>
        <w:t>Betéitiva</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092D65E2"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7DBCEB7"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56961A85"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57844A90"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1C2668B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2DAA5456"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7A723AC9"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0B461F2B"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20</w:t>
            </w:r>
          </w:p>
        </w:tc>
      </w:tr>
      <w:tr w:rsidR="005325D9" w:rsidRPr="003048C1" w14:paraId="2C381510"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088B57B9"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64B10CA0"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5</w:t>
            </w:r>
          </w:p>
        </w:tc>
        <w:tc>
          <w:tcPr>
            <w:tcW w:w="2268" w:type="dxa"/>
            <w:noWrap/>
            <w:hideMark/>
          </w:tcPr>
          <w:p w14:paraId="773E4DB5"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124</w:t>
            </w:r>
          </w:p>
        </w:tc>
      </w:tr>
      <w:tr w:rsidR="005325D9" w:rsidRPr="003048C1" w14:paraId="07F1928D"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E8CC779"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79CD63C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7</w:t>
            </w:r>
          </w:p>
        </w:tc>
        <w:tc>
          <w:tcPr>
            <w:tcW w:w="2268" w:type="dxa"/>
            <w:noWrap/>
            <w:hideMark/>
          </w:tcPr>
          <w:p w14:paraId="577A3FE2"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203</w:t>
            </w:r>
          </w:p>
        </w:tc>
      </w:tr>
      <w:tr w:rsidR="005325D9" w:rsidRPr="003048C1" w14:paraId="5A2C8B20"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598FEFB5"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01EBCD5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6</w:t>
            </w:r>
          </w:p>
        </w:tc>
        <w:tc>
          <w:tcPr>
            <w:tcW w:w="2268" w:type="dxa"/>
            <w:noWrap/>
            <w:hideMark/>
          </w:tcPr>
          <w:p w14:paraId="4E31739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95</w:t>
            </w:r>
          </w:p>
        </w:tc>
      </w:tr>
      <w:tr w:rsidR="005325D9" w:rsidRPr="003048C1" w14:paraId="206132F6"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9E23399"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75E260C7"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19</w:t>
            </w:r>
          </w:p>
        </w:tc>
        <w:tc>
          <w:tcPr>
            <w:tcW w:w="2268" w:type="dxa"/>
            <w:noWrap/>
            <w:hideMark/>
          </w:tcPr>
          <w:p w14:paraId="08A7973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442</w:t>
            </w:r>
          </w:p>
        </w:tc>
      </w:tr>
    </w:tbl>
    <w:p w14:paraId="2DFCE639" w14:textId="3FA8CDC8" w:rsidR="31FF9146" w:rsidRPr="00697A86" w:rsidRDefault="31FF9146">
      <w:pPr>
        <w:rPr>
          <w:rFonts w:eastAsia="Arial" w:cs="Arial"/>
          <w:color w:val="000000" w:themeColor="text1"/>
          <w:sz w:val="20"/>
          <w:szCs w:val="20"/>
        </w:rPr>
      </w:pPr>
    </w:p>
    <w:p w14:paraId="5558502A"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Busbanzá</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2711E2F8"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8083745"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2E3D2E01"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7C1AB154"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0C92266F"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43D1CE2"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6789ED4E"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3161B60F"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29</w:t>
            </w:r>
          </w:p>
        </w:tc>
      </w:tr>
      <w:tr w:rsidR="005325D9" w:rsidRPr="003048C1" w14:paraId="62D4EE29"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5DD920A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6DC6869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7425A26C"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97</w:t>
            </w:r>
          </w:p>
        </w:tc>
      </w:tr>
      <w:tr w:rsidR="005325D9" w:rsidRPr="003048C1" w14:paraId="03A72907"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DC18E83"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2584F57C"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78CA4ADE"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9</w:t>
            </w:r>
          </w:p>
        </w:tc>
      </w:tr>
      <w:tr w:rsidR="005325D9" w:rsidRPr="003048C1" w14:paraId="54E52260"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EDDA71E"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5860FEDE"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w:t>
            </w:r>
          </w:p>
        </w:tc>
        <w:tc>
          <w:tcPr>
            <w:tcW w:w="2268" w:type="dxa"/>
            <w:noWrap/>
            <w:hideMark/>
          </w:tcPr>
          <w:p w14:paraId="1C1E63BE"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42</w:t>
            </w:r>
          </w:p>
        </w:tc>
      </w:tr>
      <w:tr w:rsidR="005325D9" w:rsidRPr="003048C1" w14:paraId="6D47EB67"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564991C"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2F52B804"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7</w:t>
            </w:r>
          </w:p>
        </w:tc>
        <w:tc>
          <w:tcPr>
            <w:tcW w:w="2268" w:type="dxa"/>
            <w:noWrap/>
            <w:hideMark/>
          </w:tcPr>
          <w:p w14:paraId="136A3A3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177</w:t>
            </w:r>
          </w:p>
        </w:tc>
      </w:tr>
    </w:tbl>
    <w:p w14:paraId="27C822E0" w14:textId="255F8FC5" w:rsidR="31FF9146" w:rsidRPr="00697A86" w:rsidRDefault="31FF9146">
      <w:pPr>
        <w:rPr>
          <w:rFonts w:eastAsia="Arial" w:cs="Arial"/>
          <w:color w:val="000000" w:themeColor="text1"/>
          <w:sz w:val="20"/>
          <w:szCs w:val="20"/>
        </w:rPr>
      </w:pPr>
    </w:p>
    <w:p w14:paraId="64ECDDE8"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Corrales</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175BA4AA"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E0A03BE"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113E7089"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236FE973"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76F6BC9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1C8D6F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00EB86F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66A5854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48</w:t>
            </w:r>
          </w:p>
        </w:tc>
      </w:tr>
      <w:tr w:rsidR="005325D9" w:rsidRPr="003048C1" w14:paraId="79F711C6"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2AD392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7A7680C7"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2F375CFD"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13</w:t>
            </w:r>
          </w:p>
        </w:tc>
      </w:tr>
      <w:tr w:rsidR="005325D9" w:rsidRPr="003048C1" w14:paraId="0094DAA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671DE28"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29645683"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095798FD"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23</w:t>
            </w:r>
          </w:p>
        </w:tc>
      </w:tr>
      <w:tr w:rsidR="005325D9" w:rsidRPr="003048C1" w14:paraId="734409A3"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9943F95"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775822F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w:t>
            </w:r>
          </w:p>
        </w:tc>
        <w:tc>
          <w:tcPr>
            <w:tcW w:w="2268" w:type="dxa"/>
            <w:noWrap/>
            <w:hideMark/>
          </w:tcPr>
          <w:p w14:paraId="0B41B832"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13</w:t>
            </w:r>
          </w:p>
        </w:tc>
      </w:tr>
      <w:tr w:rsidR="005325D9" w:rsidRPr="003048C1" w14:paraId="5DCDFD85"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432AA41"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76BA32C9"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5</w:t>
            </w:r>
          </w:p>
        </w:tc>
        <w:tc>
          <w:tcPr>
            <w:tcW w:w="2268" w:type="dxa"/>
            <w:noWrap/>
            <w:hideMark/>
          </w:tcPr>
          <w:p w14:paraId="603B4B8B"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97</w:t>
            </w:r>
          </w:p>
        </w:tc>
      </w:tr>
    </w:tbl>
    <w:p w14:paraId="7FF58929" w14:textId="2D8C7D77" w:rsidR="31FF9146" w:rsidRPr="00697A86" w:rsidRDefault="31FF9146">
      <w:pPr>
        <w:rPr>
          <w:rFonts w:eastAsia="Arial" w:cs="Arial"/>
          <w:color w:val="000000" w:themeColor="text1"/>
          <w:sz w:val="20"/>
          <w:szCs w:val="20"/>
        </w:rPr>
      </w:pPr>
    </w:p>
    <w:p w14:paraId="514FBBC8"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Sativasur</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54F816E0"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7AE3BA13"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0D66639E"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2C08497D"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0F2BA159"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4C9280BE"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2B61CC0C"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61DDA5B9"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33</w:t>
            </w:r>
          </w:p>
        </w:tc>
      </w:tr>
      <w:tr w:rsidR="005325D9" w:rsidRPr="003048C1" w14:paraId="4C24E1C6"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7D97F78"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0DFBD18C"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w:t>
            </w:r>
          </w:p>
        </w:tc>
        <w:tc>
          <w:tcPr>
            <w:tcW w:w="2268" w:type="dxa"/>
            <w:noWrap/>
            <w:hideMark/>
          </w:tcPr>
          <w:p w14:paraId="10A2AF1F"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29</w:t>
            </w:r>
          </w:p>
        </w:tc>
      </w:tr>
      <w:tr w:rsidR="005325D9" w:rsidRPr="003048C1" w14:paraId="41E1EAEC"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3DF63488"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294A29D0"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w:t>
            </w:r>
          </w:p>
        </w:tc>
        <w:tc>
          <w:tcPr>
            <w:tcW w:w="2268" w:type="dxa"/>
            <w:noWrap/>
            <w:hideMark/>
          </w:tcPr>
          <w:p w14:paraId="1D32D353"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15</w:t>
            </w:r>
          </w:p>
        </w:tc>
      </w:tr>
      <w:tr w:rsidR="005325D9" w:rsidRPr="003048C1" w14:paraId="279C1B2E"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2FE3C6C"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3E60C92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w:t>
            </w:r>
          </w:p>
        </w:tc>
        <w:tc>
          <w:tcPr>
            <w:tcW w:w="2268" w:type="dxa"/>
            <w:noWrap/>
            <w:hideMark/>
          </w:tcPr>
          <w:p w14:paraId="22120024"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21</w:t>
            </w:r>
          </w:p>
        </w:tc>
      </w:tr>
      <w:tr w:rsidR="005325D9" w:rsidRPr="003048C1" w14:paraId="5562EE8B"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2ACB6CBC"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5917248A"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8</w:t>
            </w:r>
          </w:p>
        </w:tc>
        <w:tc>
          <w:tcPr>
            <w:tcW w:w="2268" w:type="dxa"/>
            <w:noWrap/>
            <w:hideMark/>
          </w:tcPr>
          <w:p w14:paraId="67E19D7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98</w:t>
            </w:r>
          </w:p>
        </w:tc>
      </w:tr>
    </w:tbl>
    <w:p w14:paraId="7C237442" w14:textId="410CACE4" w:rsidR="31FF9146" w:rsidRPr="00697A86" w:rsidRDefault="31FF9146" w:rsidP="00331B49">
      <w:pPr>
        <w:jc w:val="center"/>
        <w:rPr>
          <w:sz w:val="20"/>
          <w:szCs w:val="20"/>
        </w:rPr>
      </w:pPr>
    </w:p>
    <w:p w14:paraId="4F661E31" w14:textId="6FB919CE" w:rsidR="005325D9" w:rsidRPr="00697A86" w:rsidRDefault="005325D9" w:rsidP="00C72779">
      <w:pPr>
        <w:ind w:left="567"/>
        <w:jc w:val="center"/>
        <w:rPr>
          <w:rFonts w:eastAsia="Arial" w:cs="Arial"/>
          <w:color w:val="000000" w:themeColor="text1"/>
          <w:sz w:val="20"/>
          <w:szCs w:val="20"/>
        </w:rPr>
      </w:pPr>
    </w:p>
    <w:p w14:paraId="1BA11385"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Socha</w:t>
      </w:r>
    </w:p>
    <w:tbl>
      <w:tblPr>
        <w:tblStyle w:val="Tabladecuadrcula4-nfasis1"/>
        <w:tblW w:w="6804" w:type="dxa"/>
        <w:jc w:val="center"/>
        <w:tblLayout w:type="fixed"/>
        <w:tblLook w:val="04A0" w:firstRow="1" w:lastRow="0" w:firstColumn="1" w:lastColumn="0" w:noHBand="0" w:noVBand="1"/>
      </w:tblPr>
      <w:tblGrid>
        <w:gridCol w:w="2268"/>
        <w:gridCol w:w="2268"/>
        <w:gridCol w:w="2268"/>
      </w:tblGrid>
      <w:tr w:rsidR="005325D9" w:rsidRPr="003048C1" w14:paraId="394D524B"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0D76A75E"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2268" w:type="dxa"/>
            <w:noWrap/>
            <w:hideMark/>
          </w:tcPr>
          <w:p w14:paraId="1BFF70A8"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268" w:type="dxa"/>
            <w:noWrap/>
            <w:hideMark/>
          </w:tcPr>
          <w:p w14:paraId="319196A7"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125BA3B0"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65AE7FA"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2268" w:type="dxa"/>
            <w:noWrap/>
            <w:hideMark/>
          </w:tcPr>
          <w:p w14:paraId="48824EC4"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268" w:type="dxa"/>
            <w:noWrap/>
            <w:hideMark/>
          </w:tcPr>
          <w:p w14:paraId="4A149317"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30</w:t>
            </w:r>
          </w:p>
        </w:tc>
      </w:tr>
      <w:tr w:rsidR="005325D9" w:rsidRPr="003048C1" w14:paraId="557C9336"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60A3519B"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2268" w:type="dxa"/>
            <w:noWrap/>
            <w:hideMark/>
          </w:tcPr>
          <w:p w14:paraId="747E89C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11</w:t>
            </w:r>
          </w:p>
        </w:tc>
        <w:tc>
          <w:tcPr>
            <w:tcW w:w="2268" w:type="dxa"/>
            <w:noWrap/>
            <w:hideMark/>
          </w:tcPr>
          <w:p w14:paraId="3577F19B"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145</w:t>
            </w:r>
          </w:p>
        </w:tc>
      </w:tr>
      <w:tr w:rsidR="005325D9" w:rsidRPr="003048C1" w14:paraId="06CDAE18"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27285888"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2268" w:type="dxa"/>
            <w:noWrap/>
            <w:hideMark/>
          </w:tcPr>
          <w:p w14:paraId="51D9320C"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16</w:t>
            </w:r>
          </w:p>
        </w:tc>
        <w:tc>
          <w:tcPr>
            <w:tcW w:w="2268" w:type="dxa"/>
            <w:noWrap/>
            <w:hideMark/>
          </w:tcPr>
          <w:p w14:paraId="1461CBA1"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228</w:t>
            </w:r>
          </w:p>
        </w:tc>
      </w:tr>
      <w:tr w:rsidR="005325D9" w:rsidRPr="003048C1" w14:paraId="461B36ED"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B9C709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2268" w:type="dxa"/>
            <w:noWrap/>
            <w:hideMark/>
          </w:tcPr>
          <w:p w14:paraId="5B98083A"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9</w:t>
            </w:r>
          </w:p>
        </w:tc>
        <w:tc>
          <w:tcPr>
            <w:tcW w:w="2268" w:type="dxa"/>
            <w:noWrap/>
            <w:hideMark/>
          </w:tcPr>
          <w:p w14:paraId="72807BD3"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179</w:t>
            </w:r>
          </w:p>
        </w:tc>
      </w:tr>
      <w:tr w:rsidR="005325D9" w:rsidRPr="003048C1" w14:paraId="20DCDCC8"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noWrap/>
            <w:hideMark/>
          </w:tcPr>
          <w:p w14:paraId="1D1703E2"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2268" w:type="dxa"/>
            <w:noWrap/>
            <w:hideMark/>
          </w:tcPr>
          <w:p w14:paraId="16FCAA27"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37</w:t>
            </w:r>
          </w:p>
        </w:tc>
        <w:tc>
          <w:tcPr>
            <w:tcW w:w="2268" w:type="dxa"/>
            <w:noWrap/>
            <w:hideMark/>
          </w:tcPr>
          <w:p w14:paraId="761864B8"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582</w:t>
            </w:r>
          </w:p>
        </w:tc>
      </w:tr>
    </w:tbl>
    <w:p w14:paraId="456031F1" w14:textId="70C75212" w:rsidR="31FF9146" w:rsidRPr="00697A86" w:rsidRDefault="31FF9146" w:rsidP="00331B49">
      <w:pPr>
        <w:jc w:val="center"/>
        <w:rPr>
          <w:sz w:val="20"/>
          <w:szCs w:val="20"/>
        </w:rPr>
      </w:pPr>
    </w:p>
    <w:p w14:paraId="540EBAE6" w14:textId="2B1FEE6C" w:rsidR="005325D9" w:rsidRDefault="005325D9" w:rsidP="00C72779">
      <w:pPr>
        <w:ind w:left="567"/>
        <w:jc w:val="center"/>
        <w:rPr>
          <w:rFonts w:eastAsia="Arial" w:cs="Arial"/>
          <w:color w:val="000000" w:themeColor="text1"/>
          <w:sz w:val="20"/>
          <w:szCs w:val="20"/>
        </w:rPr>
      </w:pPr>
    </w:p>
    <w:p w14:paraId="5D28A102" w14:textId="77777777" w:rsidR="00F07D8E" w:rsidRDefault="00F07D8E" w:rsidP="00C72779">
      <w:pPr>
        <w:ind w:left="567"/>
        <w:jc w:val="center"/>
        <w:rPr>
          <w:rFonts w:eastAsia="Arial" w:cs="Arial"/>
          <w:b/>
          <w:color w:val="000000" w:themeColor="text1"/>
          <w:sz w:val="20"/>
          <w:szCs w:val="20"/>
        </w:rPr>
      </w:pPr>
    </w:p>
    <w:p w14:paraId="28B1FC6C" w14:textId="77777777" w:rsidR="00F07D8E" w:rsidRDefault="00F07D8E" w:rsidP="00C72779">
      <w:pPr>
        <w:ind w:left="567"/>
        <w:jc w:val="center"/>
        <w:rPr>
          <w:rFonts w:eastAsia="Arial" w:cs="Arial"/>
          <w:b/>
          <w:color w:val="000000" w:themeColor="text1"/>
          <w:sz w:val="20"/>
          <w:szCs w:val="20"/>
        </w:rPr>
      </w:pPr>
    </w:p>
    <w:p w14:paraId="20C2E256" w14:textId="77777777" w:rsidR="00F07D8E" w:rsidRDefault="00F07D8E" w:rsidP="00C72779">
      <w:pPr>
        <w:ind w:left="567"/>
        <w:jc w:val="center"/>
        <w:rPr>
          <w:rFonts w:eastAsia="Arial" w:cs="Arial"/>
          <w:b/>
          <w:color w:val="000000" w:themeColor="text1"/>
          <w:sz w:val="20"/>
          <w:szCs w:val="20"/>
        </w:rPr>
      </w:pPr>
    </w:p>
    <w:p w14:paraId="7CB9D948" w14:textId="77777777" w:rsidR="00F07D8E" w:rsidRDefault="00F07D8E" w:rsidP="00C72779">
      <w:pPr>
        <w:ind w:left="567"/>
        <w:jc w:val="center"/>
        <w:rPr>
          <w:rFonts w:eastAsia="Arial" w:cs="Arial"/>
          <w:b/>
          <w:color w:val="000000" w:themeColor="text1"/>
          <w:sz w:val="20"/>
          <w:szCs w:val="20"/>
        </w:rPr>
      </w:pPr>
    </w:p>
    <w:p w14:paraId="153FEF57" w14:textId="77777777" w:rsidR="00F07D8E" w:rsidRDefault="00F07D8E" w:rsidP="00C72779">
      <w:pPr>
        <w:ind w:left="567"/>
        <w:jc w:val="center"/>
        <w:rPr>
          <w:rFonts w:eastAsia="Arial" w:cs="Arial"/>
          <w:b/>
          <w:color w:val="000000" w:themeColor="text1"/>
          <w:sz w:val="20"/>
          <w:szCs w:val="20"/>
        </w:rPr>
      </w:pPr>
    </w:p>
    <w:p w14:paraId="5424E604" w14:textId="51ADD7E3"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lastRenderedPageBreak/>
        <w:t>Socotá</w:t>
      </w:r>
    </w:p>
    <w:tbl>
      <w:tblPr>
        <w:tblStyle w:val="Tabladecuadrcula4-nfasis1"/>
        <w:tblW w:w="6804" w:type="dxa"/>
        <w:jc w:val="center"/>
        <w:tblLook w:val="04A0" w:firstRow="1" w:lastRow="0" w:firstColumn="1" w:lastColumn="0" w:noHBand="0" w:noVBand="1"/>
      </w:tblPr>
      <w:tblGrid>
        <w:gridCol w:w="2399"/>
        <w:gridCol w:w="1479"/>
        <w:gridCol w:w="2926"/>
      </w:tblGrid>
      <w:tr w:rsidR="005325D9" w:rsidRPr="003048C1" w14:paraId="290D0912"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269906D7"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1479" w:type="dxa"/>
            <w:noWrap/>
            <w:hideMark/>
          </w:tcPr>
          <w:p w14:paraId="57A82259"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926" w:type="dxa"/>
            <w:noWrap/>
            <w:hideMark/>
          </w:tcPr>
          <w:p w14:paraId="683A8BAB"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16EB69DF"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7421CB3B"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1479" w:type="dxa"/>
            <w:noWrap/>
            <w:hideMark/>
          </w:tcPr>
          <w:p w14:paraId="4F7E9284"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926" w:type="dxa"/>
            <w:noWrap/>
            <w:hideMark/>
          </w:tcPr>
          <w:p w14:paraId="45C7A400"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80</w:t>
            </w:r>
          </w:p>
        </w:tc>
      </w:tr>
      <w:tr w:rsidR="005325D9" w:rsidRPr="003048C1" w14:paraId="7ECDE5BD"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604949A1"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1479" w:type="dxa"/>
            <w:noWrap/>
            <w:hideMark/>
          </w:tcPr>
          <w:p w14:paraId="769A997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926" w:type="dxa"/>
            <w:noWrap/>
            <w:hideMark/>
          </w:tcPr>
          <w:p w14:paraId="23FEBE0E"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51</w:t>
            </w:r>
          </w:p>
        </w:tc>
      </w:tr>
      <w:tr w:rsidR="005325D9" w:rsidRPr="003048C1" w14:paraId="0D795882"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3BF38EE1"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1479" w:type="dxa"/>
            <w:noWrap/>
            <w:hideMark/>
          </w:tcPr>
          <w:p w14:paraId="09BD1419"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33</w:t>
            </w:r>
          </w:p>
        </w:tc>
        <w:tc>
          <w:tcPr>
            <w:tcW w:w="2926" w:type="dxa"/>
            <w:noWrap/>
            <w:hideMark/>
          </w:tcPr>
          <w:p w14:paraId="35B8CC10"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29</w:t>
            </w:r>
          </w:p>
        </w:tc>
      </w:tr>
      <w:tr w:rsidR="005325D9" w:rsidRPr="003048C1" w14:paraId="4E45148B"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03452CC7"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Septiembre</w:t>
            </w:r>
          </w:p>
        </w:tc>
        <w:tc>
          <w:tcPr>
            <w:tcW w:w="1479" w:type="dxa"/>
            <w:noWrap/>
            <w:hideMark/>
          </w:tcPr>
          <w:p w14:paraId="0FD36E97" w14:textId="030A5F02"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p>
        </w:tc>
        <w:tc>
          <w:tcPr>
            <w:tcW w:w="2926" w:type="dxa"/>
            <w:noWrap/>
            <w:hideMark/>
          </w:tcPr>
          <w:p w14:paraId="3D46555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562</w:t>
            </w:r>
          </w:p>
        </w:tc>
      </w:tr>
      <w:tr w:rsidR="005325D9" w:rsidRPr="003048C1" w14:paraId="5665E339"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9" w:type="dxa"/>
            <w:noWrap/>
            <w:hideMark/>
          </w:tcPr>
          <w:p w14:paraId="4B31F0D6"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1479" w:type="dxa"/>
            <w:noWrap/>
            <w:hideMark/>
          </w:tcPr>
          <w:p w14:paraId="55F12180"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35</w:t>
            </w:r>
          </w:p>
        </w:tc>
        <w:tc>
          <w:tcPr>
            <w:tcW w:w="2926" w:type="dxa"/>
            <w:noWrap/>
            <w:hideMark/>
          </w:tcPr>
          <w:p w14:paraId="1E9F0A9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722</w:t>
            </w:r>
          </w:p>
        </w:tc>
      </w:tr>
    </w:tbl>
    <w:p w14:paraId="1DCAED88" w14:textId="3FEB84ED" w:rsidR="005325D9" w:rsidRPr="00697A86" w:rsidRDefault="005325D9" w:rsidP="00C72779">
      <w:pPr>
        <w:ind w:left="567"/>
        <w:jc w:val="center"/>
        <w:rPr>
          <w:rFonts w:eastAsia="Arial" w:cs="Arial"/>
          <w:color w:val="000000" w:themeColor="text1"/>
          <w:sz w:val="20"/>
          <w:szCs w:val="20"/>
        </w:rPr>
      </w:pPr>
    </w:p>
    <w:p w14:paraId="0D073C7F" w14:textId="77777777" w:rsidR="005325D9" w:rsidRPr="00697A86" w:rsidRDefault="005325D9" w:rsidP="00C72779">
      <w:pPr>
        <w:ind w:left="567"/>
        <w:jc w:val="center"/>
        <w:rPr>
          <w:rFonts w:eastAsia="Arial" w:cs="Arial"/>
          <w:b/>
          <w:color w:val="000000" w:themeColor="text1"/>
          <w:sz w:val="20"/>
          <w:szCs w:val="20"/>
        </w:rPr>
      </w:pPr>
      <w:r w:rsidRPr="00697A86">
        <w:rPr>
          <w:rFonts w:eastAsia="Arial" w:cs="Arial"/>
          <w:b/>
          <w:color w:val="000000" w:themeColor="text1"/>
          <w:sz w:val="20"/>
          <w:szCs w:val="20"/>
        </w:rPr>
        <w:t>Tasco</w:t>
      </w:r>
    </w:p>
    <w:tbl>
      <w:tblPr>
        <w:tblStyle w:val="Tabladecuadrcula4-nfasis1"/>
        <w:tblW w:w="6804" w:type="dxa"/>
        <w:jc w:val="center"/>
        <w:tblLook w:val="04A0" w:firstRow="1" w:lastRow="0" w:firstColumn="1" w:lastColumn="0" w:noHBand="0" w:noVBand="1"/>
      </w:tblPr>
      <w:tblGrid>
        <w:gridCol w:w="2397"/>
        <w:gridCol w:w="1484"/>
        <w:gridCol w:w="2923"/>
      </w:tblGrid>
      <w:tr w:rsidR="005325D9" w:rsidRPr="003048C1" w14:paraId="106ABF2A" w14:textId="77777777" w:rsidTr="00A6302C">
        <w:trPr>
          <w:cnfStyle w:val="100000000000" w:firstRow="1" w:lastRow="0" w:firstColumn="0" w:lastColumn="0" w:oddVBand="0" w:evenVBand="0" w:oddHBand="0"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69A88F8D" w14:textId="77777777" w:rsidR="005325D9" w:rsidRPr="00A32E8F" w:rsidRDefault="005325D9" w:rsidP="00C72779">
            <w:pPr>
              <w:jc w:val="center"/>
              <w:rPr>
                <w:rFonts w:cs="Arial"/>
                <w:sz w:val="20"/>
                <w:szCs w:val="20"/>
                <w:lang w:eastAsia="es-CO"/>
              </w:rPr>
            </w:pPr>
            <w:r w:rsidRPr="00A32E8F">
              <w:rPr>
                <w:rFonts w:cs="Arial"/>
                <w:sz w:val="20"/>
                <w:szCs w:val="20"/>
                <w:lang w:eastAsia="es-CO"/>
              </w:rPr>
              <w:t>Mes</w:t>
            </w:r>
          </w:p>
        </w:tc>
        <w:tc>
          <w:tcPr>
            <w:tcW w:w="1484" w:type="dxa"/>
            <w:noWrap/>
            <w:hideMark/>
          </w:tcPr>
          <w:p w14:paraId="02981601"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Jornadas</w:t>
            </w:r>
          </w:p>
        </w:tc>
        <w:tc>
          <w:tcPr>
            <w:tcW w:w="2923" w:type="dxa"/>
            <w:noWrap/>
            <w:hideMark/>
          </w:tcPr>
          <w:p w14:paraId="1F90C88E" w14:textId="77777777" w:rsidR="005325D9" w:rsidRPr="00A32E8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A32E8F">
              <w:rPr>
                <w:rFonts w:cs="Arial"/>
                <w:sz w:val="20"/>
                <w:szCs w:val="20"/>
                <w:lang w:eastAsia="es-CO"/>
              </w:rPr>
              <w:t>Asistentes</w:t>
            </w:r>
          </w:p>
        </w:tc>
      </w:tr>
      <w:tr w:rsidR="005325D9" w:rsidRPr="003048C1" w14:paraId="031E8889"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6A3474FD"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Mayo</w:t>
            </w:r>
          </w:p>
        </w:tc>
        <w:tc>
          <w:tcPr>
            <w:tcW w:w="1484" w:type="dxa"/>
            <w:noWrap/>
            <w:hideMark/>
          </w:tcPr>
          <w:p w14:paraId="7978F9BB"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w:t>
            </w:r>
          </w:p>
        </w:tc>
        <w:tc>
          <w:tcPr>
            <w:tcW w:w="2923" w:type="dxa"/>
            <w:noWrap/>
            <w:hideMark/>
          </w:tcPr>
          <w:p w14:paraId="31116363"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23</w:t>
            </w:r>
          </w:p>
        </w:tc>
      </w:tr>
      <w:tr w:rsidR="005325D9" w:rsidRPr="003048C1" w14:paraId="1FD5F61A"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4568B2C1"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Junio</w:t>
            </w:r>
          </w:p>
        </w:tc>
        <w:tc>
          <w:tcPr>
            <w:tcW w:w="1484" w:type="dxa"/>
            <w:noWrap/>
            <w:hideMark/>
          </w:tcPr>
          <w:p w14:paraId="5C9E7ECA"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w:t>
            </w:r>
          </w:p>
        </w:tc>
        <w:tc>
          <w:tcPr>
            <w:tcW w:w="2923" w:type="dxa"/>
            <w:noWrap/>
            <w:hideMark/>
          </w:tcPr>
          <w:p w14:paraId="4772F2B5"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70</w:t>
            </w:r>
          </w:p>
        </w:tc>
      </w:tr>
      <w:tr w:rsidR="005325D9" w:rsidRPr="003048C1" w14:paraId="10B511F0"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6E4F0FF2"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Julio</w:t>
            </w:r>
          </w:p>
        </w:tc>
        <w:tc>
          <w:tcPr>
            <w:tcW w:w="1484" w:type="dxa"/>
            <w:noWrap/>
            <w:hideMark/>
          </w:tcPr>
          <w:p w14:paraId="6A23A23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4</w:t>
            </w:r>
          </w:p>
        </w:tc>
        <w:tc>
          <w:tcPr>
            <w:tcW w:w="2923" w:type="dxa"/>
            <w:noWrap/>
            <w:hideMark/>
          </w:tcPr>
          <w:p w14:paraId="7412CFA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78</w:t>
            </w:r>
          </w:p>
        </w:tc>
      </w:tr>
      <w:tr w:rsidR="005325D9" w:rsidRPr="003048C1" w14:paraId="7BA97F7C"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0D7DD6C4" w14:textId="77777777" w:rsidR="005325D9" w:rsidRPr="00697A86" w:rsidRDefault="005325D9" w:rsidP="00C72779">
            <w:pPr>
              <w:jc w:val="center"/>
              <w:rPr>
                <w:rFonts w:cs="Arial"/>
                <w:color w:val="000000"/>
                <w:sz w:val="20"/>
                <w:szCs w:val="20"/>
                <w:lang w:eastAsia="es-CO"/>
              </w:rPr>
            </w:pPr>
            <w:r w:rsidRPr="00697A86">
              <w:rPr>
                <w:rFonts w:cs="Arial"/>
                <w:color w:val="000000"/>
                <w:sz w:val="20"/>
                <w:szCs w:val="20"/>
                <w:lang w:eastAsia="es-CO"/>
              </w:rPr>
              <w:t>Agosto</w:t>
            </w:r>
          </w:p>
        </w:tc>
        <w:tc>
          <w:tcPr>
            <w:tcW w:w="1484" w:type="dxa"/>
            <w:noWrap/>
            <w:hideMark/>
          </w:tcPr>
          <w:p w14:paraId="2FA4E7FC"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15</w:t>
            </w:r>
          </w:p>
        </w:tc>
        <w:tc>
          <w:tcPr>
            <w:tcW w:w="2923" w:type="dxa"/>
            <w:noWrap/>
            <w:hideMark/>
          </w:tcPr>
          <w:p w14:paraId="64646CA9" w14:textId="77777777" w:rsidR="005325D9" w:rsidRPr="00697A86"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697A86">
              <w:rPr>
                <w:rFonts w:cs="Arial"/>
                <w:color w:val="000000"/>
                <w:sz w:val="20"/>
                <w:szCs w:val="20"/>
                <w:lang w:eastAsia="es-CO"/>
              </w:rPr>
              <w:t>257</w:t>
            </w:r>
          </w:p>
        </w:tc>
      </w:tr>
      <w:tr w:rsidR="005325D9" w:rsidRPr="003048C1" w14:paraId="435AA32A"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397" w:type="dxa"/>
            <w:noWrap/>
            <w:hideMark/>
          </w:tcPr>
          <w:p w14:paraId="308CAE0F" w14:textId="77777777" w:rsidR="005325D9" w:rsidRPr="00A32E8F" w:rsidRDefault="005325D9" w:rsidP="00C72779">
            <w:pPr>
              <w:jc w:val="center"/>
              <w:rPr>
                <w:rFonts w:cs="Arial"/>
                <w:color w:val="000000"/>
                <w:sz w:val="20"/>
                <w:szCs w:val="20"/>
                <w:lang w:eastAsia="es-CO"/>
              </w:rPr>
            </w:pPr>
            <w:r w:rsidRPr="00A32E8F">
              <w:rPr>
                <w:rFonts w:cs="Arial"/>
                <w:color w:val="000000"/>
                <w:sz w:val="20"/>
                <w:szCs w:val="20"/>
                <w:lang w:eastAsia="es-CO"/>
              </w:rPr>
              <w:t>Total</w:t>
            </w:r>
          </w:p>
        </w:tc>
        <w:tc>
          <w:tcPr>
            <w:tcW w:w="1484" w:type="dxa"/>
            <w:noWrap/>
            <w:hideMark/>
          </w:tcPr>
          <w:p w14:paraId="1FFE5296"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24</w:t>
            </w:r>
          </w:p>
        </w:tc>
        <w:tc>
          <w:tcPr>
            <w:tcW w:w="2923" w:type="dxa"/>
            <w:noWrap/>
            <w:hideMark/>
          </w:tcPr>
          <w:p w14:paraId="7AB315DC" w14:textId="77777777" w:rsidR="005325D9" w:rsidRPr="00697A86"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eastAsia="es-CO"/>
              </w:rPr>
            </w:pPr>
            <w:r w:rsidRPr="00697A86">
              <w:rPr>
                <w:rFonts w:cs="Arial"/>
                <w:b/>
                <w:color w:val="000000"/>
                <w:sz w:val="20"/>
                <w:szCs w:val="20"/>
                <w:lang w:eastAsia="es-CO"/>
              </w:rPr>
              <w:t>428</w:t>
            </w:r>
          </w:p>
        </w:tc>
      </w:tr>
    </w:tbl>
    <w:p w14:paraId="0732610C" w14:textId="1DA1CDC8" w:rsidR="005325D9" w:rsidRDefault="246D269A" w:rsidP="00331B49">
      <w:pPr>
        <w:ind w:left="567"/>
        <w:jc w:val="center"/>
        <w:rPr>
          <w:rFonts w:cs="Arial"/>
          <w:b/>
          <w:sz w:val="16"/>
          <w:szCs w:val="16"/>
        </w:rPr>
      </w:pPr>
      <w:r w:rsidRPr="31FF9146">
        <w:rPr>
          <w:rFonts w:cs="Arial"/>
          <w:b/>
          <w:bCs/>
          <w:sz w:val="16"/>
          <w:szCs w:val="16"/>
        </w:rPr>
        <w:t>Fuente: Oficina de Relación con el Ciudadano</w:t>
      </w:r>
    </w:p>
    <w:p w14:paraId="54D39819" w14:textId="77777777" w:rsidR="00331B49" w:rsidRDefault="00331B49" w:rsidP="00331B49">
      <w:pPr>
        <w:ind w:left="567"/>
        <w:jc w:val="center"/>
        <w:rPr>
          <w:rFonts w:cs="Arial"/>
          <w:b/>
          <w:bCs/>
          <w:sz w:val="16"/>
          <w:szCs w:val="16"/>
        </w:rPr>
      </w:pPr>
    </w:p>
    <w:p w14:paraId="547ED3EB" w14:textId="77777777" w:rsidR="00331B49" w:rsidRDefault="00331B49" w:rsidP="00331B49">
      <w:pPr>
        <w:rPr>
          <w:rFonts w:cs="Arial"/>
          <w:b/>
          <w:bCs/>
          <w:sz w:val="16"/>
          <w:szCs w:val="16"/>
        </w:rPr>
      </w:pPr>
    </w:p>
    <w:p w14:paraId="2094BA3C" w14:textId="77777777" w:rsidR="00331B49" w:rsidRPr="00A32E8F" w:rsidRDefault="00331B49" w:rsidP="00331B49">
      <w:pPr>
        <w:rPr>
          <w:b/>
          <w:bCs/>
          <w:sz w:val="22"/>
          <w:lang w:val="es-CO"/>
        </w:rPr>
      </w:pPr>
      <w:r w:rsidRPr="00A32E8F">
        <w:rPr>
          <w:b/>
          <w:bCs/>
          <w:sz w:val="22"/>
          <w:lang w:val="es-CO"/>
        </w:rPr>
        <w:t>RACIONALIZACIÓN DE TRÁMITES</w:t>
      </w:r>
    </w:p>
    <w:p w14:paraId="1E7F55F5" w14:textId="07917F98" w:rsidR="00BD0AAB" w:rsidRDefault="00BD0AAB" w:rsidP="004B7A08">
      <w:pPr>
        <w:rPr>
          <w:b/>
          <w:bCs/>
        </w:rPr>
      </w:pPr>
    </w:p>
    <w:p w14:paraId="3335A094" w14:textId="1062799E" w:rsidR="00BD0AAB" w:rsidRPr="00BD0AAB" w:rsidRDefault="00BD0AAB" w:rsidP="00BD0AAB">
      <w:pPr>
        <w:pStyle w:val="Descripcin"/>
        <w:jc w:val="center"/>
        <w:rPr>
          <w:rFonts w:ascii="Arial" w:hAnsi="Arial" w:cs="Arial"/>
          <w:b/>
          <w:bCs/>
          <w:i w:val="0"/>
          <w:iCs w:val="0"/>
          <w:color w:val="000000" w:themeColor="text1"/>
          <w:sz w:val="16"/>
          <w:szCs w:val="16"/>
        </w:rPr>
      </w:pPr>
      <w:bookmarkStart w:id="179" w:name="_Toc88677210"/>
      <w:r w:rsidRPr="00BD0AAB">
        <w:rPr>
          <w:rFonts w:ascii="Arial" w:hAnsi="Arial" w:cs="Arial"/>
          <w:b/>
          <w:bCs/>
          <w:i w:val="0"/>
          <w:iCs w:val="0"/>
          <w:color w:val="000000" w:themeColor="text1"/>
          <w:sz w:val="16"/>
          <w:szCs w:val="16"/>
        </w:rPr>
        <w:t xml:space="preserve">Ilustración </w:t>
      </w:r>
      <w:r w:rsidRPr="00BD0AAB">
        <w:rPr>
          <w:rFonts w:ascii="Arial" w:hAnsi="Arial" w:cs="Arial"/>
          <w:b/>
          <w:bCs/>
          <w:i w:val="0"/>
          <w:iCs w:val="0"/>
          <w:color w:val="000000" w:themeColor="text1"/>
          <w:sz w:val="16"/>
          <w:szCs w:val="16"/>
        </w:rPr>
        <w:fldChar w:fldCharType="begin"/>
      </w:r>
      <w:r w:rsidRPr="00BD0AAB">
        <w:rPr>
          <w:rFonts w:ascii="Arial" w:hAnsi="Arial" w:cs="Arial"/>
          <w:b/>
          <w:bCs/>
          <w:i w:val="0"/>
          <w:iCs w:val="0"/>
          <w:color w:val="000000" w:themeColor="text1"/>
          <w:sz w:val="16"/>
          <w:szCs w:val="16"/>
        </w:rPr>
        <w:instrText xml:space="preserve"> SEQ Ilustración \* ARABIC </w:instrText>
      </w:r>
      <w:r w:rsidRPr="00BD0AAB">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54</w:t>
      </w:r>
      <w:r w:rsidRPr="00BD0AAB">
        <w:rPr>
          <w:rFonts w:ascii="Arial" w:hAnsi="Arial" w:cs="Arial"/>
          <w:b/>
          <w:bCs/>
          <w:i w:val="0"/>
          <w:iCs w:val="0"/>
          <w:color w:val="000000" w:themeColor="text1"/>
          <w:sz w:val="16"/>
          <w:szCs w:val="16"/>
        </w:rPr>
        <w:fldChar w:fldCharType="end"/>
      </w:r>
      <w:r w:rsidRPr="00BD0AAB">
        <w:rPr>
          <w:rFonts w:ascii="Arial" w:hAnsi="Arial" w:cs="Arial"/>
          <w:b/>
          <w:bCs/>
          <w:i w:val="0"/>
          <w:iCs w:val="0"/>
          <w:color w:val="000000" w:themeColor="text1"/>
          <w:sz w:val="16"/>
          <w:szCs w:val="16"/>
        </w:rPr>
        <w:t>. Racionalización de trámites</w:t>
      </w:r>
      <w:bookmarkEnd w:id="179"/>
    </w:p>
    <w:p w14:paraId="32C1B438" w14:textId="77777777" w:rsidR="005325D9" w:rsidRPr="008179E9" w:rsidRDefault="00331B49" w:rsidP="00C72779">
      <w:pPr>
        <w:ind w:left="567" w:hanging="207"/>
        <w:jc w:val="both"/>
        <w:rPr>
          <w:rFonts w:cs="Arial"/>
          <w:sz w:val="22"/>
          <w:szCs w:val="22"/>
        </w:rPr>
      </w:pPr>
      <w:r w:rsidRPr="008179E9">
        <w:rPr>
          <w:rFonts w:cs="Arial"/>
          <w:noProof/>
          <w:sz w:val="22"/>
          <w:szCs w:val="22"/>
          <w:lang w:val="es-CO" w:eastAsia="es-CO"/>
        </w:rPr>
        <w:drawing>
          <wp:inline distT="0" distB="0" distL="0" distR="0" wp14:anchorId="50AA7CCD" wp14:editId="37829279">
            <wp:extent cx="5657850" cy="2660650"/>
            <wp:effectExtent l="0" t="0" r="0" b="0"/>
            <wp:docPr id="291697603" name="Diagrama 29169760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6" r:lo="rId167" r:qs="rId168" r:cs="rId169"/>
              </a:graphicData>
            </a:graphic>
          </wp:inline>
        </w:drawing>
      </w:r>
    </w:p>
    <w:p w14:paraId="7DEBA35B" w14:textId="77777777" w:rsidR="00BD0AAB" w:rsidRDefault="00BD0AAB" w:rsidP="00BD0AAB">
      <w:pPr>
        <w:ind w:left="567"/>
        <w:jc w:val="center"/>
        <w:rPr>
          <w:rFonts w:cs="Arial"/>
          <w:b/>
          <w:sz w:val="16"/>
          <w:szCs w:val="16"/>
        </w:rPr>
      </w:pPr>
      <w:r w:rsidRPr="31FF9146">
        <w:rPr>
          <w:rFonts w:cs="Arial"/>
          <w:b/>
          <w:bCs/>
          <w:sz w:val="16"/>
          <w:szCs w:val="16"/>
        </w:rPr>
        <w:t>Fuente: Oficina de Relación con el Ciudadano</w:t>
      </w:r>
    </w:p>
    <w:p w14:paraId="4C2B9E49" w14:textId="49575097" w:rsidR="005325D9" w:rsidRPr="008179E9" w:rsidRDefault="005325D9" w:rsidP="00331B49">
      <w:pPr>
        <w:jc w:val="both"/>
        <w:rPr>
          <w:rFonts w:cs="Arial"/>
          <w:sz w:val="22"/>
          <w:szCs w:val="22"/>
        </w:rPr>
      </w:pPr>
    </w:p>
    <w:p w14:paraId="40643D79" w14:textId="77777777" w:rsidR="005325D9" w:rsidRPr="008179E9" w:rsidRDefault="005325D9" w:rsidP="00331B49">
      <w:pPr>
        <w:jc w:val="both"/>
        <w:rPr>
          <w:rFonts w:cs="Arial"/>
          <w:sz w:val="22"/>
          <w:szCs w:val="22"/>
        </w:rPr>
      </w:pPr>
      <w:r w:rsidRPr="31FF9146">
        <w:rPr>
          <w:rFonts w:cs="Arial"/>
          <w:sz w:val="22"/>
          <w:szCs w:val="22"/>
        </w:rPr>
        <w:t>A continuación, se presenta el discriminado de cada una de los Trámites y OPAS (Otros Procedimientos Administrativos) racionalizados, discriminando la situación inicial, su mejora y el beneficio para los ciudadanos y grupos de valor e interés:</w:t>
      </w:r>
    </w:p>
    <w:p w14:paraId="74A63C81" w14:textId="33ED55A7" w:rsidR="005325D9" w:rsidRPr="008179E9" w:rsidRDefault="005325D9" w:rsidP="31FF9146">
      <w:pPr>
        <w:ind w:left="567"/>
        <w:jc w:val="center"/>
      </w:pPr>
    </w:p>
    <w:p w14:paraId="674329C3" w14:textId="73D89107" w:rsidR="00331B49" w:rsidRDefault="00331B49" w:rsidP="00331B49">
      <w:pPr>
        <w:ind w:left="567"/>
        <w:jc w:val="center"/>
      </w:pPr>
    </w:p>
    <w:p w14:paraId="5640BD31" w14:textId="0CA6E030" w:rsidR="004B7A08" w:rsidRDefault="004B7A08" w:rsidP="00331B49">
      <w:pPr>
        <w:ind w:left="567"/>
        <w:jc w:val="center"/>
      </w:pPr>
    </w:p>
    <w:p w14:paraId="78F34DAD" w14:textId="28F7E78D" w:rsidR="004B7A08" w:rsidRDefault="004B7A08" w:rsidP="00331B49">
      <w:pPr>
        <w:ind w:left="567"/>
        <w:jc w:val="center"/>
      </w:pPr>
    </w:p>
    <w:p w14:paraId="497ACFE2" w14:textId="0785EBC5" w:rsidR="004B7A08" w:rsidRDefault="004B7A08" w:rsidP="00331B49">
      <w:pPr>
        <w:ind w:left="567"/>
        <w:jc w:val="center"/>
      </w:pPr>
    </w:p>
    <w:p w14:paraId="37B28FCD" w14:textId="77777777" w:rsidR="004B7A08" w:rsidRDefault="004B7A08" w:rsidP="00331B49">
      <w:pPr>
        <w:ind w:left="567"/>
        <w:jc w:val="center"/>
      </w:pPr>
    </w:p>
    <w:p w14:paraId="16A610A2" w14:textId="77777777" w:rsidR="00331B49" w:rsidRDefault="00331B49" w:rsidP="00331B49">
      <w:pPr>
        <w:ind w:left="567"/>
        <w:jc w:val="center"/>
      </w:pPr>
    </w:p>
    <w:p w14:paraId="60971476" w14:textId="126B6EE0" w:rsidR="005325D9" w:rsidRPr="004B7A08" w:rsidRDefault="00BD0AAB" w:rsidP="004B7A08">
      <w:pPr>
        <w:pStyle w:val="Descripcin"/>
        <w:jc w:val="center"/>
        <w:rPr>
          <w:rFonts w:ascii="Arial" w:hAnsi="Arial" w:cs="Arial"/>
          <w:b/>
          <w:i w:val="0"/>
          <w:color w:val="000000" w:themeColor="text1"/>
          <w:sz w:val="14"/>
          <w:szCs w:val="20"/>
        </w:rPr>
      </w:pPr>
      <w:bookmarkStart w:id="180" w:name="_Toc88677137"/>
      <w:r w:rsidRPr="00BD0AAB">
        <w:rPr>
          <w:rFonts w:ascii="Arial" w:hAnsi="Arial" w:cs="Arial"/>
          <w:b/>
          <w:bCs/>
          <w:i w:val="0"/>
          <w:iCs w:val="0"/>
          <w:color w:val="000000" w:themeColor="text1"/>
          <w:sz w:val="16"/>
          <w:szCs w:val="16"/>
        </w:rPr>
        <w:t xml:space="preserve">Tabla </w:t>
      </w:r>
      <w:r w:rsidRPr="00BD0AAB">
        <w:rPr>
          <w:rFonts w:ascii="Arial" w:hAnsi="Arial" w:cs="Arial"/>
          <w:b/>
          <w:bCs/>
          <w:i w:val="0"/>
          <w:iCs w:val="0"/>
          <w:color w:val="000000" w:themeColor="text1"/>
          <w:sz w:val="16"/>
          <w:szCs w:val="16"/>
        </w:rPr>
        <w:fldChar w:fldCharType="begin"/>
      </w:r>
      <w:r w:rsidRPr="00BD0AAB">
        <w:rPr>
          <w:rFonts w:ascii="Arial" w:hAnsi="Arial" w:cs="Arial"/>
          <w:b/>
          <w:bCs/>
          <w:i w:val="0"/>
          <w:iCs w:val="0"/>
          <w:color w:val="000000" w:themeColor="text1"/>
          <w:sz w:val="16"/>
          <w:szCs w:val="16"/>
        </w:rPr>
        <w:instrText xml:space="preserve"> SEQ Tabla \* ARABIC </w:instrText>
      </w:r>
      <w:r w:rsidRPr="00BD0AAB">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65</w:t>
      </w:r>
      <w:r w:rsidRPr="00BD0AAB">
        <w:rPr>
          <w:rFonts w:ascii="Arial" w:hAnsi="Arial" w:cs="Arial"/>
          <w:b/>
          <w:bCs/>
          <w:i w:val="0"/>
          <w:iCs w:val="0"/>
          <w:color w:val="000000" w:themeColor="text1"/>
          <w:sz w:val="16"/>
          <w:szCs w:val="16"/>
        </w:rPr>
        <w:fldChar w:fldCharType="end"/>
      </w:r>
      <w:r w:rsidRPr="00BD0AAB">
        <w:rPr>
          <w:rFonts w:ascii="Arial" w:hAnsi="Arial" w:cs="Arial"/>
          <w:b/>
          <w:bCs/>
          <w:i w:val="0"/>
          <w:iCs w:val="0"/>
          <w:color w:val="000000" w:themeColor="text1"/>
          <w:sz w:val="16"/>
          <w:szCs w:val="16"/>
        </w:rPr>
        <w:t xml:space="preserve">. </w:t>
      </w:r>
      <w:r w:rsidR="22A2BB6B" w:rsidRPr="00BD0AAB">
        <w:rPr>
          <w:rFonts w:ascii="Arial" w:hAnsi="Arial" w:cs="Arial"/>
          <w:b/>
          <w:i w:val="0"/>
          <w:color w:val="000000" w:themeColor="text1"/>
          <w:sz w:val="16"/>
          <w:szCs w:val="16"/>
        </w:rPr>
        <w:t xml:space="preserve">Relación de </w:t>
      </w:r>
      <w:r w:rsidRPr="00BD0AAB">
        <w:rPr>
          <w:rFonts w:ascii="Arial" w:hAnsi="Arial" w:cs="Arial"/>
          <w:b/>
          <w:bCs/>
          <w:i w:val="0"/>
          <w:iCs w:val="0"/>
          <w:color w:val="000000" w:themeColor="text1"/>
          <w:sz w:val="16"/>
          <w:szCs w:val="16"/>
        </w:rPr>
        <w:t>trámites</w:t>
      </w:r>
      <w:r w:rsidR="22A2BB6B" w:rsidRPr="00BD0AAB">
        <w:rPr>
          <w:rFonts w:ascii="Arial" w:hAnsi="Arial" w:cs="Arial"/>
          <w:b/>
          <w:i w:val="0"/>
          <w:color w:val="000000" w:themeColor="text1"/>
          <w:sz w:val="16"/>
          <w:szCs w:val="16"/>
        </w:rPr>
        <w:t xml:space="preserve"> y </w:t>
      </w:r>
      <w:r w:rsidRPr="00BD0AAB">
        <w:rPr>
          <w:rFonts w:ascii="Arial" w:hAnsi="Arial" w:cs="Arial"/>
          <w:b/>
          <w:bCs/>
          <w:i w:val="0"/>
          <w:iCs w:val="0"/>
          <w:color w:val="000000" w:themeColor="text1"/>
          <w:sz w:val="16"/>
          <w:szCs w:val="16"/>
        </w:rPr>
        <w:t>OPA´S</w:t>
      </w:r>
      <w:bookmarkEnd w:id="180"/>
    </w:p>
    <w:tbl>
      <w:tblPr>
        <w:tblStyle w:val="Tabladecuadrcula4-nfasis1"/>
        <w:tblW w:w="9508" w:type="dxa"/>
        <w:tblLook w:val="04A0" w:firstRow="1" w:lastRow="0" w:firstColumn="1" w:lastColumn="0" w:noHBand="0" w:noVBand="1"/>
      </w:tblPr>
      <w:tblGrid>
        <w:gridCol w:w="1977"/>
        <w:gridCol w:w="1982"/>
        <w:gridCol w:w="2263"/>
        <w:gridCol w:w="1701"/>
        <w:gridCol w:w="1585"/>
      </w:tblGrid>
      <w:tr w:rsidR="005325D9" w:rsidRPr="003048C1" w14:paraId="46CBBE7F" w14:textId="77777777" w:rsidTr="00A6302C">
        <w:trPr>
          <w:cnfStyle w:val="100000000000" w:firstRow="1" w:lastRow="0" w:firstColumn="0" w:lastColumn="0" w:oddVBand="0" w:evenVBand="0" w:oddHBand="0" w:evenHBand="0" w:firstRowFirstColumn="0" w:firstRowLastColumn="0" w:lastRowFirstColumn="0" w:lastRowLastColumn="0"/>
          <w:trHeight w:val="546"/>
          <w:tblHeader/>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1EF8D3FA" w14:textId="77777777" w:rsidR="005325D9" w:rsidRPr="0015570D" w:rsidRDefault="005325D9" w:rsidP="00C72779">
            <w:pPr>
              <w:jc w:val="center"/>
              <w:rPr>
                <w:rFonts w:cs="Arial"/>
                <w:sz w:val="18"/>
                <w:szCs w:val="18"/>
                <w:lang w:eastAsia="es-CO"/>
              </w:rPr>
            </w:pPr>
            <w:r w:rsidRPr="0015570D">
              <w:rPr>
                <w:rFonts w:cs="Arial"/>
                <w:sz w:val="18"/>
                <w:szCs w:val="18"/>
                <w:lang w:eastAsia="es-CO"/>
              </w:rPr>
              <w:t>Situación Inicial</w:t>
            </w:r>
          </w:p>
        </w:tc>
        <w:tc>
          <w:tcPr>
            <w:tcW w:w="1982" w:type="dxa"/>
            <w:vAlign w:val="center"/>
            <w:hideMark/>
          </w:tcPr>
          <w:p w14:paraId="4AE8E0E1" w14:textId="77777777" w:rsidR="005325D9" w:rsidRPr="0015570D"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15570D">
              <w:rPr>
                <w:rFonts w:cs="Arial"/>
                <w:sz w:val="18"/>
                <w:szCs w:val="18"/>
                <w:lang w:eastAsia="es-CO"/>
              </w:rPr>
              <w:t>Mejora</w:t>
            </w:r>
          </w:p>
        </w:tc>
        <w:tc>
          <w:tcPr>
            <w:tcW w:w="2263" w:type="dxa"/>
            <w:vAlign w:val="center"/>
            <w:hideMark/>
          </w:tcPr>
          <w:p w14:paraId="63080761" w14:textId="77777777" w:rsidR="005325D9" w:rsidRPr="0015570D"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15570D">
              <w:rPr>
                <w:rFonts w:cs="Arial"/>
                <w:sz w:val="18"/>
                <w:szCs w:val="18"/>
                <w:lang w:eastAsia="es-CO"/>
              </w:rPr>
              <w:t>Beneficio al ciudadano</w:t>
            </w:r>
          </w:p>
        </w:tc>
        <w:tc>
          <w:tcPr>
            <w:tcW w:w="1701" w:type="dxa"/>
            <w:vAlign w:val="center"/>
            <w:hideMark/>
          </w:tcPr>
          <w:p w14:paraId="461006CE" w14:textId="77777777" w:rsidR="005325D9" w:rsidRPr="0015570D"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15570D">
              <w:rPr>
                <w:rFonts w:cs="Arial"/>
                <w:sz w:val="18"/>
                <w:szCs w:val="18"/>
                <w:lang w:eastAsia="es-CO"/>
              </w:rPr>
              <w:t>Fecha de la Racionalización</w:t>
            </w:r>
          </w:p>
        </w:tc>
        <w:tc>
          <w:tcPr>
            <w:tcW w:w="1585" w:type="dxa"/>
            <w:vAlign w:val="center"/>
            <w:hideMark/>
          </w:tcPr>
          <w:p w14:paraId="6FE1DC42" w14:textId="77777777" w:rsidR="005325D9" w:rsidRPr="0015570D"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15570D">
              <w:rPr>
                <w:rFonts w:cs="Arial"/>
                <w:sz w:val="18"/>
                <w:szCs w:val="18"/>
                <w:lang w:eastAsia="es-CO"/>
              </w:rPr>
              <w:t>Tipo de racionalización</w:t>
            </w:r>
          </w:p>
        </w:tc>
      </w:tr>
      <w:tr w:rsidR="005325D9" w:rsidRPr="003048C1" w14:paraId="3E514515" w14:textId="77777777" w:rsidTr="00A6302C">
        <w:trPr>
          <w:cnfStyle w:val="000000100000" w:firstRow="0" w:lastRow="0" w:firstColumn="0" w:lastColumn="0" w:oddVBand="0" w:evenVBand="0" w:oddHBand="1" w:evenHBand="0" w:firstRowFirstColumn="0" w:firstRowLastColumn="0" w:lastRowFirstColumn="0" w:lastRowLastColumn="0"/>
          <w:trHeight w:val="1262"/>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1157E4FB"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Para la obtención del Certificado plano predial catastral se solicitaba de manera presencial.</w:t>
            </w:r>
          </w:p>
        </w:tc>
        <w:tc>
          <w:tcPr>
            <w:tcW w:w="1982" w:type="dxa"/>
            <w:vAlign w:val="center"/>
            <w:hideMark/>
          </w:tcPr>
          <w:p w14:paraId="73F838AA"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Disponer parcialmente en línea la solicitud y entrega del certificado por medio de correo electrónico.</w:t>
            </w:r>
          </w:p>
        </w:tc>
        <w:tc>
          <w:tcPr>
            <w:tcW w:w="2263" w:type="dxa"/>
            <w:vAlign w:val="center"/>
            <w:hideMark/>
          </w:tcPr>
          <w:p w14:paraId="14A2B68A"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costos y tiempo de desplazamiento para el ciudadano y descongestión en la atención al usuario en la entidad.</w:t>
            </w:r>
          </w:p>
        </w:tc>
        <w:tc>
          <w:tcPr>
            <w:tcW w:w="1701" w:type="dxa"/>
            <w:vAlign w:val="center"/>
            <w:hideMark/>
          </w:tcPr>
          <w:p w14:paraId="41418B73"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0A8F80EA"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06797998" w14:textId="77777777" w:rsidTr="00A6302C">
        <w:trPr>
          <w:trHeight w:val="1068"/>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4ED419AF"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En el SUIT el Avalúo Comercial se encontraba como OPA.</w:t>
            </w:r>
          </w:p>
        </w:tc>
        <w:tc>
          <w:tcPr>
            <w:tcW w:w="1982" w:type="dxa"/>
            <w:vAlign w:val="center"/>
            <w:hideMark/>
          </w:tcPr>
          <w:p w14:paraId="39EA2D5C"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Se elimina como OPA y se convierte en trámite debido a que es una actividad que se ejerce en virtud de las funciones del IGAC.</w:t>
            </w:r>
          </w:p>
        </w:tc>
        <w:tc>
          <w:tcPr>
            <w:tcW w:w="2263" w:type="dxa"/>
            <w:vAlign w:val="center"/>
            <w:hideMark/>
          </w:tcPr>
          <w:p w14:paraId="67DAF3A4"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Los ciudadanos podrán hacer efectivo su derecho de solicitar el avalúo comercial, de acuerdo con las funciones de la Dirección de Gestión Catastral del IGAC.</w:t>
            </w:r>
          </w:p>
        </w:tc>
        <w:tc>
          <w:tcPr>
            <w:tcW w:w="1701" w:type="dxa"/>
            <w:vAlign w:val="center"/>
            <w:hideMark/>
          </w:tcPr>
          <w:p w14:paraId="55C1D6E2"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085D830F"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Normativa</w:t>
            </w:r>
          </w:p>
        </w:tc>
      </w:tr>
      <w:tr w:rsidR="005325D9" w:rsidRPr="003048C1" w14:paraId="4583BEEC" w14:textId="77777777" w:rsidTr="00A6302C">
        <w:trPr>
          <w:cnfStyle w:val="000000100000" w:firstRow="0" w:lastRow="0" w:firstColumn="0" w:lastColumn="0" w:oddVBand="0" w:evenVBand="0" w:oddHBand="1" w:evenHBand="0" w:firstRowFirstColumn="0" w:firstRowLastColumn="0" w:lastRowFirstColumn="0" w:lastRowLastColumn="0"/>
          <w:trHeight w:val="564"/>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7D3A76F6"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En el SUIT el Certificado punto señalizado por el usuario sobre cartografía IGAC se encontraba como OPA.</w:t>
            </w:r>
          </w:p>
        </w:tc>
        <w:tc>
          <w:tcPr>
            <w:tcW w:w="1982" w:type="dxa"/>
            <w:vAlign w:val="center"/>
            <w:hideMark/>
          </w:tcPr>
          <w:p w14:paraId="46F2A4CB"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Se elimina como OPA y se convierte en trámite debido a que es una actividad que se ejerce en virtud de las funciones del IGAC.</w:t>
            </w:r>
          </w:p>
        </w:tc>
        <w:tc>
          <w:tcPr>
            <w:tcW w:w="2263" w:type="dxa"/>
            <w:vAlign w:val="center"/>
            <w:hideMark/>
          </w:tcPr>
          <w:p w14:paraId="65A8C919"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Los ciudadanos podrán hacer efectivo su derecho de solicitar el certificado punto señalizado por el usuario, de acuerdo con las funciones de la Dirección de Gestión de Información Geográfica del IGAC.</w:t>
            </w:r>
          </w:p>
        </w:tc>
        <w:tc>
          <w:tcPr>
            <w:tcW w:w="1701" w:type="dxa"/>
            <w:vAlign w:val="center"/>
            <w:hideMark/>
          </w:tcPr>
          <w:p w14:paraId="1737BD9E"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507221B3"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Normativa</w:t>
            </w:r>
          </w:p>
        </w:tc>
      </w:tr>
      <w:tr w:rsidR="005325D9" w:rsidRPr="003048C1" w14:paraId="31CFEA54" w14:textId="77777777" w:rsidTr="00A6302C">
        <w:trPr>
          <w:trHeight w:val="1014"/>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6A4036FA"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Para la obtención de la Delimitación municipal en</w:t>
            </w:r>
            <w:r w:rsidRPr="0015570D">
              <w:rPr>
                <w:rFonts w:cs="Arial"/>
                <w:color w:val="000000"/>
                <w:sz w:val="18"/>
                <w:szCs w:val="18"/>
                <w:lang w:eastAsia="es-CO"/>
              </w:rPr>
              <w:br/>
              <w:t>cartografía del IGAC (por plancha) el ciudadano visualiza dos certificados independientes.</w:t>
            </w:r>
          </w:p>
        </w:tc>
        <w:tc>
          <w:tcPr>
            <w:tcW w:w="1982" w:type="dxa"/>
            <w:vAlign w:val="center"/>
            <w:hideMark/>
          </w:tcPr>
          <w:p w14:paraId="3C8A0D75"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Eliminación porque esta delimitación se entrega con el servicio de Certificación sobre el kilometraje de los ductos que atraviesen las jurisdicciones municipales.</w:t>
            </w:r>
          </w:p>
        </w:tc>
        <w:tc>
          <w:tcPr>
            <w:tcW w:w="2263" w:type="dxa"/>
            <w:vAlign w:val="center"/>
            <w:hideMark/>
          </w:tcPr>
          <w:p w14:paraId="173305EB"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Disminución en costos por la generación de un único certificado.</w:t>
            </w:r>
          </w:p>
        </w:tc>
        <w:tc>
          <w:tcPr>
            <w:tcW w:w="1701" w:type="dxa"/>
            <w:vAlign w:val="center"/>
            <w:hideMark/>
          </w:tcPr>
          <w:p w14:paraId="1B76B5A1"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vAlign w:val="center"/>
            <w:hideMark/>
          </w:tcPr>
          <w:p w14:paraId="3422B03D"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Administrativa</w:t>
            </w:r>
          </w:p>
        </w:tc>
      </w:tr>
      <w:tr w:rsidR="005325D9" w:rsidRPr="003048C1" w14:paraId="7FCEE8B7" w14:textId="77777777" w:rsidTr="00A6302C">
        <w:trPr>
          <w:cnfStyle w:val="000000100000" w:firstRow="0" w:lastRow="0" w:firstColumn="0" w:lastColumn="0" w:oddVBand="0" w:evenVBand="0" w:oddHBand="1" w:evenHBand="0" w:firstRowFirstColumn="0" w:firstRowLastColumn="0" w:lastRowFirstColumn="0" w:lastRowLastColumn="0"/>
          <w:trHeight w:val="587"/>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105D6E03"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El trámite para la obtención del certificado catastral especial se debía realizar de manera presencial.</w:t>
            </w:r>
          </w:p>
        </w:tc>
        <w:tc>
          <w:tcPr>
            <w:tcW w:w="1982" w:type="dxa"/>
            <w:vAlign w:val="center"/>
            <w:hideMark/>
          </w:tcPr>
          <w:p w14:paraId="6B52263B"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Disponer parcialmente en línea la solicitud y entrega del certificado por medio de correo electrónico.</w:t>
            </w:r>
          </w:p>
        </w:tc>
        <w:tc>
          <w:tcPr>
            <w:tcW w:w="2263" w:type="dxa"/>
            <w:vAlign w:val="center"/>
            <w:hideMark/>
          </w:tcPr>
          <w:p w14:paraId="499187AA"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costos y tiempo de desplazamiento para el ciudadano y descongestión en la atención al usuario en la entidad.</w:t>
            </w:r>
          </w:p>
        </w:tc>
        <w:tc>
          <w:tcPr>
            <w:tcW w:w="1701" w:type="dxa"/>
            <w:vAlign w:val="center"/>
            <w:hideMark/>
          </w:tcPr>
          <w:p w14:paraId="6F0E63B0"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16135C76"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4C2E93F2" w14:textId="77777777" w:rsidTr="00A6302C">
        <w:trPr>
          <w:trHeight w:val="565"/>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3FC2AA1E"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Prestación de la OPA Superposición de áreas de yacimiento de hidrocarburos y/o minerales con la división política administrativa.</w:t>
            </w:r>
          </w:p>
        </w:tc>
        <w:tc>
          <w:tcPr>
            <w:tcW w:w="1982" w:type="dxa"/>
            <w:vAlign w:val="center"/>
            <w:hideMark/>
          </w:tcPr>
          <w:p w14:paraId="2A0521A2"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Se elimina esta OPA por no ser competencia legal del IGAC.</w:t>
            </w:r>
          </w:p>
        </w:tc>
        <w:tc>
          <w:tcPr>
            <w:tcW w:w="2263" w:type="dxa"/>
            <w:vAlign w:val="center"/>
            <w:hideMark/>
          </w:tcPr>
          <w:p w14:paraId="21E80A70"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Evitar confusiones al ciudadano por no ser competencia del IGAC.</w:t>
            </w:r>
          </w:p>
        </w:tc>
        <w:tc>
          <w:tcPr>
            <w:tcW w:w="1701" w:type="dxa"/>
            <w:vAlign w:val="center"/>
            <w:hideMark/>
          </w:tcPr>
          <w:p w14:paraId="5DE52235"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3A5E3BF2"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Normativa</w:t>
            </w:r>
          </w:p>
        </w:tc>
      </w:tr>
      <w:tr w:rsidR="005325D9" w:rsidRPr="003048C1" w14:paraId="02CB85CC" w14:textId="77777777" w:rsidTr="00A6302C">
        <w:trPr>
          <w:cnfStyle w:val="000000100000" w:firstRow="0" w:lastRow="0" w:firstColumn="0" w:lastColumn="0" w:oddVBand="0" w:evenVBand="0" w:oddHBand="1" w:evenHBand="0" w:firstRowFirstColumn="0" w:firstRowLastColumn="0" w:lastRowFirstColumn="0" w:lastRowLastColumn="0"/>
          <w:trHeight w:val="555"/>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31EE8D5F"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El tiempo de trámite de cambio de propietario está en 45 días.</w:t>
            </w:r>
          </w:p>
        </w:tc>
        <w:tc>
          <w:tcPr>
            <w:tcW w:w="1982" w:type="dxa"/>
            <w:vAlign w:val="center"/>
            <w:hideMark/>
          </w:tcPr>
          <w:p w14:paraId="27B242EA"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Disminuir el tiempo de del trámite a 30 días.</w:t>
            </w:r>
          </w:p>
        </w:tc>
        <w:tc>
          <w:tcPr>
            <w:tcW w:w="2263" w:type="dxa"/>
            <w:vAlign w:val="center"/>
            <w:hideMark/>
          </w:tcPr>
          <w:p w14:paraId="7CBDD6D5"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Reducción de tiempos de respuesta y de costos de desplazamiento para el ciudadano.</w:t>
            </w:r>
          </w:p>
        </w:tc>
        <w:tc>
          <w:tcPr>
            <w:tcW w:w="1701" w:type="dxa"/>
            <w:vAlign w:val="center"/>
            <w:hideMark/>
          </w:tcPr>
          <w:p w14:paraId="19E7A2B1"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31/12/2020</w:t>
            </w:r>
          </w:p>
        </w:tc>
        <w:tc>
          <w:tcPr>
            <w:tcW w:w="1585" w:type="dxa"/>
            <w:noWrap/>
            <w:vAlign w:val="center"/>
            <w:hideMark/>
          </w:tcPr>
          <w:p w14:paraId="665916C6"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2DD068E8" w14:textId="77777777" w:rsidTr="00A6302C">
        <w:trPr>
          <w:trHeight w:val="652"/>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54D88ABF"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 xml:space="preserve">El tiempo de obtención del certificado sobre </w:t>
            </w:r>
            <w:r w:rsidRPr="0015570D">
              <w:rPr>
                <w:rFonts w:cs="Arial"/>
                <w:color w:val="000000"/>
                <w:sz w:val="18"/>
                <w:szCs w:val="18"/>
                <w:lang w:eastAsia="es-CO"/>
              </w:rPr>
              <w:lastRenderedPageBreak/>
              <w:t>kilometraje de los ductos que atraviesan jurisdicciones municipales está en 90 días.</w:t>
            </w:r>
          </w:p>
        </w:tc>
        <w:tc>
          <w:tcPr>
            <w:tcW w:w="1982" w:type="dxa"/>
            <w:vAlign w:val="center"/>
            <w:hideMark/>
          </w:tcPr>
          <w:p w14:paraId="124F9E9A"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lastRenderedPageBreak/>
              <w:t>Disminuir el tiempo de obtención del certificado a 45 días.</w:t>
            </w:r>
          </w:p>
        </w:tc>
        <w:tc>
          <w:tcPr>
            <w:tcW w:w="2263" w:type="dxa"/>
            <w:vAlign w:val="center"/>
            <w:hideMark/>
          </w:tcPr>
          <w:p w14:paraId="138442EE"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Mayor rapidez en la obtención del certificado.</w:t>
            </w:r>
          </w:p>
        </w:tc>
        <w:tc>
          <w:tcPr>
            <w:tcW w:w="1701" w:type="dxa"/>
            <w:vAlign w:val="center"/>
            <w:hideMark/>
          </w:tcPr>
          <w:p w14:paraId="540854CA"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30/06/2021</w:t>
            </w:r>
          </w:p>
        </w:tc>
        <w:tc>
          <w:tcPr>
            <w:tcW w:w="1585" w:type="dxa"/>
            <w:noWrap/>
            <w:vAlign w:val="center"/>
            <w:hideMark/>
          </w:tcPr>
          <w:p w14:paraId="5EA9A94A"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Administrativa</w:t>
            </w:r>
          </w:p>
        </w:tc>
      </w:tr>
      <w:tr w:rsidR="005325D9" w:rsidRPr="003048C1" w14:paraId="74AEDEDA" w14:textId="77777777" w:rsidTr="00A6302C">
        <w:trPr>
          <w:cnfStyle w:val="000000100000" w:firstRow="0" w:lastRow="0" w:firstColumn="0" w:lastColumn="0" w:oddVBand="0" w:evenVBand="0" w:oddHBand="1" w:evenHBand="0" w:firstRowFirstColumn="0" w:firstRowLastColumn="0" w:lastRowFirstColumn="0" w:lastRowLastColumn="0"/>
          <w:trHeight w:val="1268"/>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2F554AC6"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lastRenderedPageBreak/>
              <w:t>Para obtener las Rectificaciones de la información catastral se realiza de manera presencial por parte del ciudadano.</w:t>
            </w:r>
          </w:p>
        </w:tc>
        <w:tc>
          <w:tcPr>
            <w:tcW w:w="1982" w:type="dxa"/>
            <w:vAlign w:val="center"/>
            <w:hideMark/>
          </w:tcPr>
          <w:p w14:paraId="76225422"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Implementar la ventanilla integrada virtual del IGAC (VIVI) para la solicitud de trámites y servicios.</w:t>
            </w:r>
          </w:p>
        </w:tc>
        <w:tc>
          <w:tcPr>
            <w:tcW w:w="2263" w:type="dxa"/>
            <w:vAlign w:val="center"/>
            <w:hideMark/>
          </w:tcPr>
          <w:p w14:paraId="1E02A420"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tiempo, costos de traslado y facilidades de acceso para el ciudadano.</w:t>
            </w:r>
          </w:p>
        </w:tc>
        <w:tc>
          <w:tcPr>
            <w:tcW w:w="1701" w:type="dxa"/>
            <w:vAlign w:val="center"/>
            <w:hideMark/>
          </w:tcPr>
          <w:p w14:paraId="665F1832"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25/03/2021</w:t>
            </w:r>
          </w:p>
        </w:tc>
        <w:tc>
          <w:tcPr>
            <w:tcW w:w="1585" w:type="dxa"/>
            <w:noWrap/>
            <w:vAlign w:val="center"/>
            <w:hideMark/>
          </w:tcPr>
          <w:p w14:paraId="69301552"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4DF7123B" w14:textId="77777777" w:rsidTr="00A6302C">
        <w:trPr>
          <w:trHeight w:val="1548"/>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73A838E5"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Los usuarios solo pueden solicitar los análisis en las propiedades físicas, químicas, biológicas o mineralógicas de los suelos, tejido vegetal y aguas para riego de manera presencial.</w:t>
            </w:r>
          </w:p>
        </w:tc>
        <w:tc>
          <w:tcPr>
            <w:tcW w:w="1982" w:type="dxa"/>
            <w:vAlign w:val="center"/>
            <w:hideMark/>
          </w:tcPr>
          <w:p w14:paraId="179B9205"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Presentación de la solicitud de Análisis de las Propiedades Físicas Químicas, Biológicas o Mineralógicas de los Suelos, Tejido Vegetal y Aguas para Riego y de la muestra en cualquier lugar del país por medio de convenio con 4 – 72.</w:t>
            </w:r>
          </w:p>
        </w:tc>
        <w:tc>
          <w:tcPr>
            <w:tcW w:w="2263" w:type="dxa"/>
            <w:vAlign w:val="center"/>
            <w:hideMark/>
          </w:tcPr>
          <w:p w14:paraId="463D81CA"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Disminución en costos de desplazamiento por parte de los clientes para realizar solicitudes de análisis para el paquete Q01 y obtención de los informes de resultados por medio del correo electrónico.</w:t>
            </w:r>
          </w:p>
        </w:tc>
        <w:tc>
          <w:tcPr>
            <w:tcW w:w="1701" w:type="dxa"/>
            <w:vAlign w:val="center"/>
            <w:hideMark/>
          </w:tcPr>
          <w:p w14:paraId="40A8F029"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30/12/2021</w:t>
            </w:r>
          </w:p>
        </w:tc>
        <w:tc>
          <w:tcPr>
            <w:tcW w:w="1585" w:type="dxa"/>
            <w:noWrap/>
            <w:vAlign w:val="center"/>
            <w:hideMark/>
          </w:tcPr>
          <w:p w14:paraId="2C121D34"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Administrativa</w:t>
            </w:r>
          </w:p>
        </w:tc>
      </w:tr>
      <w:tr w:rsidR="005325D9" w:rsidRPr="003048C1" w14:paraId="7185F6D2" w14:textId="77777777" w:rsidTr="00A6302C">
        <w:trPr>
          <w:cnfStyle w:val="000000100000" w:firstRow="0" w:lastRow="0" w:firstColumn="0" w:lastColumn="0" w:oddVBand="0" w:evenVBand="0" w:oddHBand="1"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1A834012"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El Certificado punto señalizado por el usuario sobre cartografía IGAC actualmente se encuentra disponible como trámite.</w:t>
            </w:r>
          </w:p>
        </w:tc>
        <w:tc>
          <w:tcPr>
            <w:tcW w:w="1982" w:type="dxa"/>
            <w:vAlign w:val="center"/>
            <w:hideMark/>
          </w:tcPr>
          <w:p w14:paraId="383DB5D3"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Quedará disponible como consulta de información pública bajo el nombre "Punto señalizado por el usuario sobre cartografía IGAC".</w:t>
            </w:r>
          </w:p>
        </w:tc>
        <w:tc>
          <w:tcPr>
            <w:tcW w:w="2263" w:type="dxa"/>
            <w:vAlign w:val="center"/>
            <w:hideMark/>
          </w:tcPr>
          <w:p w14:paraId="32753DD7"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Mayor claridad sobre la oferta institucional</w:t>
            </w:r>
          </w:p>
        </w:tc>
        <w:tc>
          <w:tcPr>
            <w:tcW w:w="1701" w:type="dxa"/>
            <w:vAlign w:val="center"/>
            <w:hideMark/>
          </w:tcPr>
          <w:p w14:paraId="56D220F1"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8/09/2021</w:t>
            </w:r>
          </w:p>
        </w:tc>
        <w:tc>
          <w:tcPr>
            <w:tcW w:w="1585" w:type="dxa"/>
            <w:vAlign w:val="center"/>
            <w:hideMark/>
          </w:tcPr>
          <w:p w14:paraId="5646B476"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Normativa</w:t>
            </w:r>
          </w:p>
        </w:tc>
      </w:tr>
      <w:tr w:rsidR="005325D9" w:rsidRPr="003048C1" w14:paraId="36D56DA5" w14:textId="77777777" w:rsidTr="00A6302C">
        <w:trPr>
          <w:trHeight w:val="1000"/>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3B5ABBF8"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La solicitud del certificado de Englobe o desenglobe de dos o más predios se realiza de manera presencial por parte del ciudadano.</w:t>
            </w:r>
          </w:p>
        </w:tc>
        <w:tc>
          <w:tcPr>
            <w:tcW w:w="1982" w:type="dxa"/>
            <w:vAlign w:val="center"/>
            <w:hideMark/>
          </w:tcPr>
          <w:p w14:paraId="22E9DF4E"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Implementar la ventanilla integrada virtual del IGAC (VIVI) para la solicitud de trámites y servicios.</w:t>
            </w:r>
          </w:p>
        </w:tc>
        <w:tc>
          <w:tcPr>
            <w:tcW w:w="2263" w:type="dxa"/>
            <w:vAlign w:val="center"/>
            <w:hideMark/>
          </w:tcPr>
          <w:p w14:paraId="01286E62"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tiempo, costos de traslado y facilidades de acceso para el ciudadano</w:t>
            </w:r>
          </w:p>
        </w:tc>
        <w:tc>
          <w:tcPr>
            <w:tcW w:w="1701" w:type="dxa"/>
            <w:vAlign w:val="center"/>
            <w:hideMark/>
          </w:tcPr>
          <w:p w14:paraId="071F5E2D"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25/03/2021</w:t>
            </w:r>
          </w:p>
        </w:tc>
        <w:tc>
          <w:tcPr>
            <w:tcW w:w="1585" w:type="dxa"/>
            <w:noWrap/>
            <w:vAlign w:val="center"/>
            <w:hideMark/>
          </w:tcPr>
          <w:p w14:paraId="596C9D25"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063CE15A" w14:textId="77777777" w:rsidTr="00A6302C">
        <w:trPr>
          <w:cnfStyle w:val="000000100000" w:firstRow="0" w:lastRow="0" w:firstColumn="0" w:lastColumn="0" w:oddVBand="0" w:evenVBand="0" w:oddHBand="1" w:evenHBand="0" w:firstRowFirstColumn="0" w:firstRowLastColumn="0" w:lastRowFirstColumn="0" w:lastRowLastColumn="0"/>
          <w:trHeight w:val="655"/>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34DC22F7"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Actualmente se requiere copia del certificado de libertad como requisito para solicitar cambio de propietario o poseedor de un bien inmueble.</w:t>
            </w:r>
          </w:p>
        </w:tc>
        <w:tc>
          <w:tcPr>
            <w:tcW w:w="1982" w:type="dxa"/>
            <w:vAlign w:val="center"/>
            <w:hideMark/>
          </w:tcPr>
          <w:p w14:paraId="7C363744"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Interoperabilidad con la Superintendencia de Notariado y Registro para consulta de este documento a través de la ventanilla única de registro VUR.</w:t>
            </w:r>
          </w:p>
        </w:tc>
        <w:tc>
          <w:tcPr>
            <w:tcW w:w="2263" w:type="dxa"/>
            <w:vAlign w:val="center"/>
            <w:hideMark/>
          </w:tcPr>
          <w:p w14:paraId="46F32E3A"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Para la sede central y las direcciones territoriales que cuenten con acceso a la ventanilla única de registro (VUR), no será necesaria la presentación de este requisito.</w:t>
            </w:r>
          </w:p>
        </w:tc>
        <w:tc>
          <w:tcPr>
            <w:tcW w:w="1701" w:type="dxa"/>
            <w:vAlign w:val="center"/>
            <w:hideMark/>
          </w:tcPr>
          <w:p w14:paraId="7A415117"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26/02/2021</w:t>
            </w:r>
          </w:p>
        </w:tc>
        <w:tc>
          <w:tcPr>
            <w:tcW w:w="1585" w:type="dxa"/>
            <w:noWrap/>
            <w:vAlign w:val="center"/>
            <w:hideMark/>
          </w:tcPr>
          <w:p w14:paraId="36D0E062"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2C6593C0" w14:textId="77777777" w:rsidTr="00A6302C">
        <w:trPr>
          <w:trHeight w:val="1049"/>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689DF3B0"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La revisión de avalúo catastral de un predio se realiza de manera presencial por parte del ciudadano.</w:t>
            </w:r>
          </w:p>
        </w:tc>
        <w:tc>
          <w:tcPr>
            <w:tcW w:w="1982" w:type="dxa"/>
            <w:vAlign w:val="center"/>
            <w:hideMark/>
          </w:tcPr>
          <w:p w14:paraId="0E9A9769"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Implementar la ventanilla integrada virtual del IGAC (VIVI) para la solicitud de trámites y servicios.</w:t>
            </w:r>
          </w:p>
        </w:tc>
        <w:tc>
          <w:tcPr>
            <w:tcW w:w="2263" w:type="dxa"/>
            <w:vAlign w:val="center"/>
            <w:hideMark/>
          </w:tcPr>
          <w:p w14:paraId="5BAF3CE8"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tiempo, costos de traslado y facilidades de acceso para el ciudadano.</w:t>
            </w:r>
          </w:p>
        </w:tc>
        <w:tc>
          <w:tcPr>
            <w:tcW w:w="1701" w:type="dxa"/>
            <w:vAlign w:val="center"/>
            <w:hideMark/>
          </w:tcPr>
          <w:p w14:paraId="6CC07F19"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25/03/2021</w:t>
            </w:r>
          </w:p>
        </w:tc>
        <w:tc>
          <w:tcPr>
            <w:tcW w:w="1585" w:type="dxa"/>
            <w:noWrap/>
            <w:vAlign w:val="center"/>
            <w:hideMark/>
          </w:tcPr>
          <w:p w14:paraId="2FD8D4B9"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6E23819E" w14:textId="77777777" w:rsidTr="00A6302C">
        <w:trPr>
          <w:cnfStyle w:val="000000100000" w:firstRow="0" w:lastRow="0" w:firstColumn="0" w:lastColumn="0" w:oddVBand="0" w:evenVBand="0" w:oddHBand="1"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4FE1FEB9"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t xml:space="preserve">La solicitud del certificado de cambios producidos </w:t>
            </w:r>
            <w:r w:rsidRPr="0015570D">
              <w:rPr>
                <w:rFonts w:cs="Arial"/>
                <w:color w:val="000000"/>
                <w:sz w:val="18"/>
                <w:szCs w:val="18"/>
                <w:lang w:eastAsia="es-CO"/>
              </w:rPr>
              <w:lastRenderedPageBreak/>
              <w:t>por la inscripción de predios o mejoras por edificaciones no declaradas u omitidas durante el proceso de formación o actualización del catastro. Se realiza de manera presencial por parte del ciudadano.</w:t>
            </w:r>
          </w:p>
        </w:tc>
        <w:tc>
          <w:tcPr>
            <w:tcW w:w="1982" w:type="dxa"/>
            <w:vAlign w:val="center"/>
            <w:hideMark/>
          </w:tcPr>
          <w:p w14:paraId="2BF5CE1C"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lastRenderedPageBreak/>
              <w:t xml:space="preserve">Implementar la ventanilla integrada virtual del IGAC </w:t>
            </w:r>
            <w:r w:rsidRPr="0015570D">
              <w:rPr>
                <w:rFonts w:cs="Arial"/>
                <w:color w:val="000000"/>
                <w:sz w:val="18"/>
                <w:szCs w:val="18"/>
                <w:lang w:eastAsia="es-CO"/>
              </w:rPr>
              <w:lastRenderedPageBreak/>
              <w:t>(VIVI) para la solicitud de trámites y servicios.</w:t>
            </w:r>
          </w:p>
        </w:tc>
        <w:tc>
          <w:tcPr>
            <w:tcW w:w="2263" w:type="dxa"/>
            <w:vAlign w:val="center"/>
            <w:hideMark/>
          </w:tcPr>
          <w:p w14:paraId="0FF0C5EB" w14:textId="77777777" w:rsidR="005325D9" w:rsidRPr="0015570D" w:rsidRDefault="005325D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lastRenderedPageBreak/>
              <w:t xml:space="preserve">Ahorro en tiempo, costos de traslado y facilidades </w:t>
            </w:r>
            <w:r w:rsidRPr="0015570D">
              <w:rPr>
                <w:rFonts w:cs="Arial"/>
                <w:color w:val="000000"/>
                <w:sz w:val="18"/>
                <w:szCs w:val="18"/>
                <w:lang w:eastAsia="es-CO"/>
              </w:rPr>
              <w:lastRenderedPageBreak/>
              <w:t>de acceso para el ciudadano.</w:t>
            </w:r>
          </w:p>
        </w:tc>
        <w:tc>
          <w:tcPr>
            <w:tcW w:w="1701" w:type="dxa"/>
            <w:vAlign w:val="center"/>
            <w:hideMark/>
          </w:tcPr>
          <w:p w14:paraId="22E56F43"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lastRenderedPageBreak/>
              <w:t>25/03/2021</w:t>
            </w:r>
          </w:p>
        </w:tc>
        <w:tc>
          <w:tcPr>
            <w:tcW w:w="1585" w:type="dxa"/>
            <w:noWrap/>
            <w:vAlign w:val="center"/>
            <w:hideMark/>
          </w:tcPr>
          <w:p w14:paraId="56EA1B3B" w14:textId="77777777" w:rsidR="005325D9" w:rsidRPr="0015570D"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r w:rsidR="005325D9" w:rsidRPr="003048C1" w14:paraId="5959D1BB" w14:textId="77777777" w:rsidTr="00A6302C">
        <w:trPr>
          <w:trHeight w:val="1558"/>
        </w:trPr>
        <w:tc>
          <w:tcPr>
            <w:cnfStyle w:val="001000000000" w:firstRow="0" w:lastRow="0" w:firstColumn="1" w:lastColumn="0" w:oddVBand="0" w:evenVBand="0" w:oddHBand="0" w:evenHBand="0" w:firstRowFirstColumn="0" w:firstRowLastColumn="0" w:lastRowFirstColumn="0" w:lastRowLastColumn="0"/>
            <w:tcW w:w="1977" w:type="dxa"/>
            <w:vAlign w:val="center"/>
            <w:hideMark/>
          </w:tcPr>
          <w:p w14:paraId="63308CC6" w14:textId="77777777" w:rsidR="005325D9" w:rsidRPr="0015570D" w:rsidRDefault="005325D9" w:rsidP="00A6302C">
            <w:pPr>
              <w:jc w:val="center"/>
              <w:rPr>
                <w:rFonts w:cs="Arial"/>
                <w:color w:val="000000"/>
                <w:sz w:val="18"/>
                <w:szCs w:val="18"/>
                <w:lang w:eastAsia="es-CO"/>
              </w:rPr>
            </w:pPr>
            <w:r w:rsidRPr="0015570D">
              <w:rPr>
                <w:rFonts w:cs="Arial"/>
                <w:color w:val="000000"/>
                <w:sz w:val="18"/>
                <w:szCs w:val="18"/>
                <w:lang w:eastAsia="es-CO"/>
              </w:rPr>
              <w:lastRenderedPageBreak/>
              <w:t>La solicitud del certificado Autoestimación del avalúo catastral. Se realiza de manera presencial por parte del ciudadano.</w:t>
            </w:r>
          </w:p>
        </w:tc>
        <w:tc>
          <w:tcPr>
            <w:tcW w:w="1982" w:type="dxa"/>
            <w:vAlign w:val="center"/>
            <w:hideMark/>
          </w:tcPr>
          <w:p w14:paraId="589563DE"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Implementar la ventanilla integrada virtual del IGAC (VIVI) para la solicitud de trámites y servicios.</w:t>
            </w:r>
          </w:p>
        </w:tc>
        <w:tc>
          <w:tcPr>
            <w:tcW w:w="2263" w:type="dxa"/>
            <w:vAlign w:val="center"/>
            <w:hideMark/>
          </w:tcPr>
          <w:p w14:paraId="7625109D" w14:textId="77777777" w:rsidR="005325D9" w:rsidRPr="0015570D" w:rsidRDefault="005325D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Ahorro en tiempo, costos de traslado y facilidades de acceso para el ciudadano.</w:t>
            </w:r>
          </w:p>
        </w:tc>
        <w:tc>
          <w:tcPr>
            <w:tcW w:w="1701" w:type="dxa"/>
            <w:vAlign w:val="center"/>
            <w:hideMark/>
          </w:tcPr>
          <w:p w14:paraId="06FB567E"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25/03/2021</w:t>
            </w:r>
          </w:p>
        </w:tc>
        <w:tc>
          <w:tcPr>
            <w:tcW w:w="1585" w:type="dxa"/>
            <w:noWrap/>
            <w:vAlign w:val="center"/>
            <w:hideMark/>
          </w:tcPr>
          <w:p w14:paraId="7331D233" w14:textId="77777777" w:rsidR="005325D9" w:rsidRPr="0015570D"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sidRPr="0015570D">
              <w:rPr>
                <w:rFonts w:cs="Arial"/>
                <w:color w:val="000000"/>
                <w:sz w:val="18"/>
                <w:szCs w:val="18"/>
                <w:lang w:eastAsia="es-CO"/>
              </w:rPr>
              <w:t>Tecnológica</w:t>
            </w:r>
          </w:p>
        </w:tc>
      </w:tr>
    </w:tbl>
    <w:p w14:paraId="72C3F902" w14:textId="738AD191" w:rsidR="005325D9" w:rsidRDefault="0A46176E" w:rsidP="00331B49">
      <w:pPr>
        <w:pStyle w:val="Lista"/>
        <w:jc w:val="center"/>
        <w:rPr>
          <w:rFonts w:cs="Arial"/>
          <w:b/>
          <w:sz w:val="16"/>
          <w:szCs w:val="16"/>
        </w:rPr>
      </w:pPr>
      <w:r w:rsidRPr="31FF9146">
        <w:rPr>
          <w:rFonts w:cs="Arial"/>
          <w:b/>
          <w:bCs/>
          <w:sz w:val="16"/>
          <w:szCs w:val="16"/>
        </w:rPr>
        <w:t>Fuente: Oficina de Relación con el Ciudadano</w:t>
      </w:r>
    </w:p>
    <w:p w14:paraId="486D80FC" w14:textId="2EB4725C" w:rsidR="00BD0AAB" w:rsidRPr="0015570D" w:rsidRDefault="00BD0AAB" w:rsidP="00331B49">
      <w:pPr>
        <w:pStyle w:val="Lista"/>
        <w:rPr>
          <w:b/>
          <w:bCs/>
          <w:sz w:val="22"/>
          <w:lang w:val="es-CO"/>
        </w:rPr>
      </w:pPr>
    </w:p>
    <w:p w14:paraId="373D3A01" w14:textId="452AAB35" w:rsidR="00BD0AAB" w:rsidRPr="004B7A08" w:rsidRDefault="00331B49" w:rsidP="004B7A08">
      <w:pPr>
        <w:pStyle w:val="Lista"/>
        <w:rPr>
          <w:b/>
          <w:bCs/>
          <w:sz w:val="22"/>
          <w:lang w:val="es-CO"/>
        </w:rPr>
      </w:pPr>
      <w:r w:rsidRPr="0015570D">
        <w:rPr>
          <w:b/>
          <w:bCs/>
          <w:sz w:val="22"/>
          <w:lang w:val="es-CO"/>
        </w:rPr>
        <w:t>CANALES DE A</w:t>
      </w:r>
      <w:r w:rsidR="004B7A08">
        <w:rPr>
          <w:b/>
          <w:bCs/>
          <w:sz w:val="22"/>
          <w:lang w:val="es-CO"/>
        </w:rPr>
        <w:t>TENCIÓN</w:t>
      </w:r>
    </w:p>
    <w:p w14:paraId="7ABEB1F1" w14:textId="77777777" w:rsidR="00BD0AAB" w:rsidRDefault="00BD0AAB" w:rsidP="00331B49">
      <w:pPr>
        <w:pStyle w:val="Lista"/>
        <w:jc w:val="center"/>
        <w:rPr>
          <w:b/>
          <w:bCs/>
        </w:rPr>
      </w:pPr>
    </w:p>
    <w:p w14:paraId="7B0EDE61" w14:textId="3208C7C7" w:rsidR="00BD0AAB" w:rsidRPr="00A315AC" w:rsidRDefault="00A315AC" w:rsidP="00A315AC">
      <w:pPr>
        <w:pStyle w:val="Descripcin"/>
        <w:jc w:val="center"/>
        <w:rPr>
          <w:rFonts w:ascii="Arial" w:hAnsi="Arial" w:cs="Arial"/>
          <w:b/>
          <w:bCs/>
          <w:i w:val="0"/>
          <w:iCs w:val="0"/>
          <w:color w:val="000000" w:themeColor="text1"/>
          <w:sz w:val="16"/>
          <w:szCs w:val="16"/>
        </w:rPr>
      </w:pPr>
      <w:bookmarkStart w:id="181" w:name="_Toc88677211"/>
      <w:r w:rsidRPr="00A315AC">
        <w:rPr>
          <w:rFonts w:ascii="Arial" w:hAnsi="Arial" w:cs="Arial"/>
          <w:b/>
          <w:bCs/>
          <w:i w:val="0"/>
          <w:iCs w:val="0"/>
          <w:color w:val="000000" w:themeColor="text1"/>
          <w:sz w:val="16"/>
          <w:szCs w:val="16"/>
        </w:rPr>
        <w:t xml:space="preserve">Ilustración </w:t>
      </w:r>
      <w:r w:rsidRPr="00A315AC">
        <w:rPr>
          <w:rFonts w:ascii="Arial" w:hAnsi="Arial" w:cs="Arial"/>
          <w:b/>
          <w:bCs/>
          <w:i w:val="0"/>
          <w:iCs w:val="0"/>
          <w:color w:val="000000" w:themeColor="text1"/>
          <w:sz w:val="16"/>
          <w:szCs w:val="16"/>
        </w:rPr>
        <w:fldChar w:fldCharType="begin"/>
      </w:r>
      <w:r w:rsidRPr="00A315AC">
        <w:rPr>
          <w:rFonts w:ascii="Arial" w:hAnsi="Arial" w:cs="Arial"/>
          <w:b/>
          <w:bCs/>
          <w:i w:val="0"/>
          <w:iCs w:val="0"/>
          <w:color w:val="000000" w:themeColor="text1"/>
          <w:sz w:val="16"/>
          <w:szCs w:val="16"/>
        </w:rPr>
        <w:instrText xml:space="preserve"> SEQ Ilustración \* ARABIC </w:instrText>
      </w:r>
      <w:r w:rsidRPr="00A315AC">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55</w:t>
      </w:r>
      <w:r w:rsidRPr="00A315AC">
        <w:rPr>
          <w:rFonts w:ascii="Arial" w:hAnsi="Arial" w:cs="Arial"/>
          <w:b/>
          <w:bCs/>
          <w:i w:val="0"/>
          <w:iCs w:val="0"/>
          <w:color w:val="000000" w:themeColor="text1"/>
          <w:sz w:val="16"/>
          <w:szCs w:val="16"/>
        </w:rPr>
        <w:fldChar w:fldCharType="end"/>
      </w:r>
      <w:r w:rsidRPr="00A315AC">
        <w:rPr>
          <w:rFonts w:ascii="Arial" w:hAnsi="Arial" w:cs="Arial"/>
          <w:b/>
          <w:bCs/>
          <w:i w:val="0"/>
          <w:iCs w:val="0"/>
          <w:color w:val="000000" w:themeColor="text1"/>
          <w:sz w:val="16"/>
          <w:szCs w:val="16"/>
        </w:rPr>
        <w:t>. Canales de Atención</w:t>
      </w:r>
      <w:bookmarkEnd w:id="181"/>
    </w:p>
    <w:p w14:paraId="71F6DCCE" w14:textId="77777777" w:rsidR="00331B49" w:rsidRPr="008179E9" w:rsidRDefault="00331B49" w:rsidP="00331B49">
      <w:pPr>
        <w:pStyle w:val="Prrafodelista"/>
        <w:ind w:left="360"/>
        <w:jc w:val="center"/>
        <w:rPr>
          <w:rFonts w:cs="Arial"/>
          <w:sz w:val="22"/>
          <w:szCs w:val="22"/>
        </w:rPr>
      </w:pPr>
      <w:r w:rsidRPr="008179E9">
        <w:rPr>
          <w:rFonts w:cs="Arial"/>
          <w:noProof/>
          <w:sz w:val="22"/>
          <w:szCs w:val="22"/>
          <w:lang w:val="es-CO" w:eastAsia="es-CO"/>
        </w:rPr>
        <w:drawing>
          <wp:inline distT="0" distB="0" distL="0" distR="0" wp14:anchorId="273A092B" wp14:editId="787E8EF5">
            <wp:extent cx="6019800" cy="3548380"/>
            <wp:effectExtent l="0" t="19050" r="0" b="13970"/>
            <wp:docPr id="291697604" name="Diagrama 29169760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1" r:lo="rId172" r:qs="rId173" r:cs="rId174"/>
              </a:graphicData>
            </a:graphic>
          </wp:inline>
        </w:drawing>
      </w:r>
    </w:p>
    <w:p w14:paraId="3E6298A4" w14:textId="77777777" w:rsidR="00E62048" w:rsidRDefault="00E62048" w:rsidP="00E62048">
      <w:pPr>
        <w:pStyle w:val="Lista"/>
        <w:jc w:val="center"/>
        <w:rPr>
          <w:rFonts w:cs="Arial"/>
          <w:b/>
          <w:sz w:val="16"/>
          <w:szCs w:val="16"/>
        </w:rPr>
      </w:pPr>
      <w:r w:rsidRPr="31FF9146">
        <w:rPr>
          <w:rFonts w:cs="Arial"/>
          <w:b/>
          <w:bCs/>
          <w:sz w:val="16"/>
          <w:szCs w:val="16"/>
        </w:rPr>
        <w:t>Fuente: Oficina de Relación con el Ciudadano</w:t>
      </w:r>
    </w:p>
    <w:p w14:paraId="2681ACB2" w14:textId="77777777" w:rsidR="00331B49" w:rsidRPr="00D94327" w:rsidRDefault="00331B49" w:rsidP="00D94327">
      <w:pPr>
        <w:pStyle w:val="Lista"/>
      </w:pPr>
    </w:p>
    <w:p w14:paraId="57CAE4D5" w14:textId="77777777" w:rsidR="00331B49" w:rsidRDefault="00331B49" w:rsidP="00331B49">
      <w:pPr>
        <w:pStyle w:val="Lista"/>
      </w:pPr>
    </w:p>
    <w:p w14:paraId="1DB993C0" w14:textId="77777777" w:rsidR="00331B49" w:rsidRDefault="00331B49" w:rsidP="00331B49">
      <w:pPr>
        <w:pStyle w:val="Lista"/>
      </w:pPr>
    </w:p>
    <w:p w14:paraId="7365F474" w14:textId="77777777" w:rsidR="00331B49" w:rsidRPr="0015570D" w:rsidRDefault="00331B49" w:rsidP="00331B49">
      <w:pPr>
        <w:pStyle w:val="Lista"/>
      </w:pPr>
    </w:p>
    <w:p w14:paraId="295FFFD3" w14:textId="77777777" w:rsidR="00331B49" w:rsidRPr="0015570D" w:rsidRDefault="00331B49" w:rsidP="000A20EE">
      <w:pPr>
        <w:pStyle w:val="Prrafodelista"/>
        <w:numPr>
          <w:ilvl w:val="0"/>
          <w:numId w:val="188"/>
        </w:numPr>
        <w:suppressAutoHyphens w:val="0"/>
        <w:contextualSpacing/>
        <w:rPr>
          <w:rFonts w:cs="Arial"/>
          <w:b/>
          <w:sz w:val="22"/>
          <w:szCs w:val="22"/>
        </w:rPr>
      </w:pPr>
      <w:r w:rsidRPr="0015570D">
        <w:rPr>
          <w:rFonts w:cs="Arial"/>
          <w:b/>
          <w:sz w:val="22"/>
          <w:szCs w:val="22"/>
        </w:rPr>
        <w:t>CANAL TELEFÓNICO</w:t>
      </w:r>
    </w:p>
    <w:p w14:paraId="60A2369F" w14:textId="77711893" w:rsidR="005325D9" w:rsidRPr="008179E9" w:rsidRDefault="005325D9" w:rsidP="00C72779">
      <w:pPr>
        <w:pStyle w:val="Prrafodelista"/>
        <w:ind w:left="927"/>
        <w:rPr>
          <w:rFonts w:cs="Arial"/>
          <w:sz w:val="22"/>
          <w:szCs w:val="22"/>
        </w:rPr>
      </w:pPr>
    </w:p>
    <w:p w14:paraId="4A165EC8" w14:textId="77777777" w:rsidR="005325D9" w:rsidRPr="008179E9" w:rsidRDefault="005325D9" w:rsidP="00331B49">
      <w:pPr>
        <w:jc w:val="both"/>
        <w:rPr>
          <w:rFonts w:cs="Arial"/>
          <w:sz w:val="22"/>
          <w:szCs w:val="22"/>
        </w:rPr>
      </w:pPr>
      <w:r w:rsidRPr="008179E9">
        <w:rPr>
          <w:rFonts w:cs="Arial"/>
          <w:sz w:val="22"/>
          <w:szCs w:val="22"/>
        </w:rPr>
        <w:t>Con el fin de fortalecer los canales de atención no presenciales y dando cumplimiento a la Resolución No. 320 de 2020, por medio de la cual se “Establecen lineamientos para atender la Emergencia Económica, Social y Ecológica”, para proteger el empleo, la actividad productiva de la Entidad y salvaguardar la salud y bienestar de sus colaboradores y ciudadanos, en junio del 2020 se amplían las líneas telefónicas pasando de una línea telefónica a nivel nacional a dos líneas con 50 extensiones, distribuidas en las diferentes direcciones territoriales y las dependencias de sede central que más relación tienen con el ciudadano y con un numeral corto #367 para llamadas desde celular.</w:t>
      </w:r>
    </w:p>
    <w:p w14:paraId="573F0382" w14:textId="48C8AE12" w:rsidR="005325D9" w:rsidRPr="008179E9" w:rsidRDefault="005325D9" w:rsidP="00C72779">
      <w:pPr>
        <w:pStyle w:val="Prrafodelista"/>
        <w:ind w:left="927"/>
        <w:rPr>
          <w:rFonts w:cs="Arial"/>
          <w:sz w:val="22"/>
          <w:szCs w:val="22"/>
        </w:rPr>
      </w:pPr>
    </w:p>
    <w:p w14:paraId="27767ECD" w14:textId="77777777" w:rsidR="005325D9" w:rsidRPr="008179E9" w:rsidRDefault="005325D9" w:rsidP="00331B49">
      <w:pPr>
        <w:jc w:val="both"/>
        <w:rPr>
          <w:rFonts w:cs="Arial"/>
          <w:sz w:val="22"/>
          <w:szCs w:val="22"/>
        </w:rPr>
      </w:pPr>
      <w:r w:rsidRPr="008179E9">
        <w:rPr>
          <w:rFonts w:cs="Arial"/>
          <w:sz w:val="22"/>
          <w:szCs w:val="22"/>
        </w:rPr>
        <w:t>A partir de agosto del mismo año se adquiere el servicio de oficina colaborativa con el prestador de servicios ETB lo que facilitó el seguimiento a la gestión realizada por el canal y la implementación de mecanismos para una mejora continua. En el segundo trimestre del 2021 se realizó conteo y envío de diademas para optimizar la comunicación con la ciudadanía y mejorar las condiciones de los colaboradores que atienden el canal, así como el rendimiento y productividad de éstos.</w:t>
      </w:r>
    </w:p>
    <w:p w14:paraId="07EB3985" w14:textId="55CACD51" w:rsidR="005325D9" w:rsidRPr="008179E9" w:rsidRDefault="005325D9" w:rsidP="00C72779">
      <w:pPr>
        <w:pStyle w:val="Prrafodelista"/>
        <w:ind w:left="927"/>
        <w:rPr>
          <w:rFonts w:cs="Arial"/>
          <w:sz w:val="22"/>
          <w:szCs w:val="22"/>
        </w:rPr>
      </w:pPr>
    </w:p>
    <w:p w14:paraId="72E3C259" w14:textId="61B2BB0E" w:rsidR="31FF9146" w:rsidRPr="004B7A08" w:rsidRDefault="005325D9" w:rsidP="004B7A08">
      <w:pPr>
        <w:rPr>
          <w:rFonts w:cs="Arial"/>
          <w:sz w:val="22"/>
          <w:szCs w:val="22"/>
        </w:rPr>
      </w:pPr>
      <w:r w:rsidRPr="31FF9146">
        <w:rPr>
          <w:rFonts w:cs="Arial"/>
          <w:sz w:val="22"/>
          <w:szCs w:val="22"/>
        </w:rPr>
        <w:t>A continuación, se presentan las cifras de las llamadas que se recibieron desde el inicio del seguimiento del canal y su evolución:</w:t>
      </w:r>
    </w:p>
    <w:p w14:paraId="2C781F43" w14:textId="77777777" w:rsidR="000A3FBD" w:rsidRPr="004B7A08" w:rsidRDefault="000A3FBD" w:rsidP="000A3FBD">
      <w:pPr>
        <w:pStyle w:val="Descripcin"/>
        <w:jc w:val="center"/>
        <w:rPr>
          <w:rFonts w:ascii="Arial" w:hAnsi="Arial" w:cs="Arial"/>
          <w:b/>
          <w:i w:val="0"/>
          <w:color w:val="000000" w:themeColor="text1"/>
          <w:sz w:val="16"/>
        </w:rPr>
      </w:pPr>
    </w:p>
    <w:p w14:paraId="3DF0798E" w14:textId="7A4FA82A" w:rsidR="00331B49" w:rsidRPr="004B7A08" w:rsidRDefault="000A3FBD" w:rsidP="000A3FBD">
      <w:pPr>
        <w:pStyle w:val="Descripcin"/>
        <w:jc w:val="center"/>
        <w:rPr>
          <w:rFonts w:ascii="Arial" w:hAnsi="Arial" w:cs="Arial"/>
          <w:b/>
          <w:i w:val="0"/>
          <w:color w:val="000000" w:themeColor="text1"/>
          <w:sz w:val="16"/>
        </w:rPr>
      </w:pPr>
      <w:bookmarkStart w:id="182" w:name="_Toc88677212"/>
      <w:r w:rsidRPr="004B7A08">
        <w:rPr>
          <w:rFonts w:ascii="Arial" w:hAnsi="Arial" w:cs="Arial"/>
          <w:b/>
          <w:i w:val="0"/>
          <w:color w:val="000000" w:themeColor="text1"/>
          <w:sz w:val="16"/>
        </w:rPr>
        <w:t xml:space="preserve">Ilustración </w:t>
      </w:r>
      <w:r w:rsidRPr="004B7A08">
        <w:rPr>
          <w:rFonts w:ascii="Arial" w:hAnsi="Arial" w:cs="Arial"/>
          <w:b/>
          <w:i w:val="0"/>
          <w:color w:val="000000" w:themeColor="text1"/>
          <w:sz w:val="16"/>
        </w:rPr>
        <w:fldChar w:fldCharType="begin"/>
      </w:r>
      <w:r w:rsidRPr="004B7A08">
        <w:rPr>
          <w:rFonts w:ascii="Arial" w:hAnsi="Arial" w:cs="Arial"/>
          <w:b/>
          <w:i w:val="0"/>
          <w:color w:val="000000" w:themeColor="text1"/>
          <w:sz w:val="16"/>
        </w:rPr>
        <w:instrText xml:space="preserve"> SEQ Ilustración \* ARABIC </w:instrText>
      </w:r>
      <w:r w:rsidRPr="004B7A08">
        <w:rPr>
          <w:rFonts w:ascii="Arial" w:hAnsi="Arial" w:cs="Arial"/>
          <w:b/>
          <w:i w:val="0"/>
          <w:color w:val="000000" w:themeColor="text1"/>
          <w:sz w:val="16"/>
        </w:rPr>
        <w:fldChar w:fldCharType="separate"/>
      </w:r>
      <w:r w:rsidR="005D5B0E" w:rsidRPr="004B7A08">
        <w:rPr>
          <w:rFonts w:ascii="Arial" w:hAnsi="Arial" w:cs="Arial"/>
          <w:b/>
          <w:i w:val="0"/>
          <w:noProof/>
          <w:color w:val="000000" w:themeColor="text1"/>
          <w:sz w:val="16"/>
        </w:rPr>
        <w:t>56</w:t>
      </w:r>
      <w:r w:rsidRPr="004B7A08">
        <w:rPr>
          <w:rFonts w:ascii="Arial" w:hAnsi="Arial" w:cs="Arial"/>
          <w:b/>
          <w:i w:val="0"/>
          <w:color w:val="000000" w:themeColor="text1"/>
          <w:sz w:val="16"/>
        </w:rPr>
        <w:fldChar w:fldCharType="end"/>
      </w:r>
      <w:r w:rsidRPr="004B7A08">
        <w:rPr>
          <w:rFonts w:ascii="Arial" w:hAnsi="Arial" w:cs="Arial"/>
          <w:b/>
          <w:i w:val="0"/>
          <w:color w:val="000000" w:themeColor="text1"/>
          <w:sz w:val="16"/>
        </w:rPr>
        <w:t xml:space="preserve">. </w:t>
      </w:r>
      <w:r w:rsidR="290951CF" w:rsidRPr="004B7A08">
        <w:rPr>
          <w:rFonts w:ascii="Arial" w:hAnsi="Arial" w:cs="Arial"/>
          <w:b/>
          <w:i w:val="0"/>
          <w:color w:val="000000" w:themeColor="text1"/>
          <w:sz w:val="16"/>
        </w:rPr>
        <w:t xml:space="preserve">Relación </w:t>
      </w:r>
      <w:r w:rsidR="5F68DB62" w:rsidRPr="004B7A08">
        <w:rPr>
          <w:rFonts w:ascii="Arial" w:hAnsi="Arial" w:cs="Arial"/>
          <w:b/>
          <w:i w:val="0"/>
          <w:color w:val="000000" w:themeColor="text1"/>
          <w:sz w:val="16"/>
        </w:rPr>
        <w:t xml:space="preserve">atención </w:t>
      </w:r>
      <w:r w:rsidR="65CF71C6" w:rsidRPr="004B7A08">
        <w:rPr>
          <w:rFonts w:ascii="Arial" w:hAnsi="Arial" w:cs="Arial"/>
          <w:b/>
          <w:i w:val="0"/>
          <w:color w:val="000000" w:themeColor="text1"/>
          <w:sz w:val="16"/>
        </w:rPr>
        <w:t>telefónica</w:t>
      </w:r>
      <w:r w:rsidR="290951CF" w:rsidRPr="004B7A08">
        <w:rPr>
          <w:rFonts w:ascii="Arial" w:hAnsi="Arial" w:cs="Arial"/>
          <w:b/>
          <w:i w:val="0"/>
          <w:color w:val="000000" w:themeColor="text1"/>
          <w:sz w:val="16"/>
        </w:rPr>
        <w:t xml:space="preserve"> 2021</w:t>
      </w:r>
      <w:bookmarkEnd w:id="182"/>
    </w:p>
    <w:p w14:paraId="4D741C6B" w14:textId="77777777" w:rsidR="00331B49" w:rsidRPr="0015570D" w:rsidRDefault="00331B49" w:rsidP="00331B49">
      <w:pPr>
        <w:pStyle w:val="Lista"/>
      </w:pPr>
      <w:r w:rsidRPr="008179E9">
        <w:rPr>
          <w:rFonts w:cs="Arial"/>
          <w:noProof/>
          <w:sz w:val="22"/>
          <w:szCs w:val="22"/>
          <w:lang w:val="es-CO" w:eastAsia="es-CO"/>
        </w:rPr>
        <w:drawing>
          <wp:anchor distT="0" distB="0" distL="114300" distR="114300" simplePos="0" relativeHeight="251658262" behindDoc="0" locked="0" layoutInCell="1" allowOverlap="1" wp14:anchorId="2A3F5321" wp14:editId="5A64D1DC">
            <wp:simplePos x="0" y="0"/>
            <wp:positionH relativeFrom="margin">
              <wp:align>center</wp:align>
            </wp:positionH>
            <wp:positionV relativeFrom="paragraph">
              <wp:posOffset>7620</wp:posOffset>
            </wp:positionV>
            <wp:extent cx="4772025" cy="2638425"/>
            <wp:effectExtent l="0" t="0" r="9525" b="9525"/>
            <wp:wrapSquare wrapText="bothSides"/>
            <wp:docPr id="291697605" name="Gráfico 291697605">
              <a:extLst xmlns:a="http://schemas.openxmlformats.org/drawingml/2006/main">
                <a:ext uri="{FF2B5EF4-FFF2-40B4-BE49-F238E27FC236}">
                  <a16:creationId xmlns:a16="http://schemas.microsoft.com/office/drawing/2014/main" id="{B1E124B0-9D33-4698-BED2-46A72A31A17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6"/>
              </a:graphicData>
            </a:graphic>
            <wp14:sizeRelH relativeFrom="page">
              <wp14:pctWidth>0</wp14:pctWidth>
            </wp14:sizeRelH>
            <wp14:sizeRelV relativeFrom="page">
              <wp14:pctHeight>0</wp14:pctHeight>
            </wp14:sizeRelV>
          </wp:anchor>
        </w:drawing>
      </w:r>
    </w:p>
    <w:p w14:paraId="192FB1D4" w14:textId="77777777" w:rsidR="005325D9" w:rsidRPr="008179E9" w:rsidRDefault="005325D9" w:rsidP="00C72779">
      <w:pPr>
        <w:pStyle w:val="Prrafodelista"/>
        <w:ind w:left="927"/>
        <w:rPr>
          <w:rFonts w:cs="Arial"/>
          <w:sz w:val="22"/>
          <w:szCs w:val="22"/>
        </w:rPr>
      </w:pPr>
    </w:p>
    <w:p w14:paraId="55C5D35A" w14:textId="3E386D56" w:rsidR="005325D9" w:rsidRPr="008179E9" w:rsidRDefault="6797A0E8" w:rsidP="00331B49">
      <w:pPr>
        <w:ind w:left="567" w:firstLine="360"/>
        <w:jc w:val="center"/>
        <w:rPr>
          <w:b/>
          <w:bCs/>
        </w:rPr>
      </w:pPr>
      <w:r w:rsidRPr="31FF9146">
        <w:rPr>
          <w:rFonts w:cs="Arial"/>
          <w:b/>
          <w:bCs/>
          <w:sz w:val="16"/>
          <w:szCs w:val="16"/>
        </w:rPr>
        <w:t>Fuente: Oficina de Relación con el Ciudadano</w:t>
      </w:r>
    </w:p>
    <w:p w14:paraId="30EC8728" w14:textId="5AAB1C31" w:rsidR="00331B49" w:rsidRDefault="00331B49" w:rsidP="004B7A08">
      <w:pPr>
        <w:jc w:val="both"/>
        <w:rPr>
          <w:b/>
          <w:bCs/>
        </w:rPr>
      </w:pPr>
    </w:p>
    <w:p w14:paraId="7D09D2BC" w14:textId="77777777" w:rsidR="00331B49" w:rsidRPr="0015570D" w:rsidRDefault="00331B49" w:rsidP="000A20EE">
      <w:pPr>
        <w:pStyle w:val="Prrafodelista"/>
        <w:numPr>
          <w:ilvl w:val="0"/>
          <w:numId w:val="188"/>
        </w:numPr>
        <w:suppressAutoHyphens w:val="0"/>
        <w:contextualSpacing/>
        <w:rPr>
          <w:rFonts w:cs="Arial"/>
          <w:b/>
          <w:sz w:val="22"/>
          <w:szCs w:val="22"/>
        </w:rPr>
      </w:pPr>
      <w:r w:rsidRPr="0015570D">
        <w:rPr>
          <w:rFonts w:cs="Arial"/>
          <w:b/>
          <w:sz w:val="22"/>
          <w:szCs w:val="22"/>
        </w:rPr>
        <w:t>CANAL VIRTUAL</w:t>
      </w:r>
    </w:p>
    <w:p w14:paraId="30CF2894" w14:textId="60338207" w:rsidR="005325D9" w:rsidRPr="008179E9" w:rsidRDefault="005325D9" w:rsidP="00C72779">
      <w:pPr>
        <w:pStyle w:val="Prrafodelista"/>
        <w:ind w:left="927"/>
        <w:rPr>
          <w:rFonts w:cs="Arial"/>
          <w:sz w:val="22"/>
          <w:szCs w:val="22"/>
        </w:rPr>
      </w:pPr>
    </w:p>
    <w:p w14:paraId="16547C93" w14:textId="716576D0" w:rsidR="005325D9" w:rsidRDefault="005325D9" w:rsidP="00331B49">
      <w:pPr>
        <w:jc w:val="both"/>
        <w:rPr>
          <w:rFonts w:cs="Arial"/>
          <w:sz w:val="22"/>
          <w:szCs w:val="22"/>
        </w:rPr>
      </w:pPr>
      <w:r w:rsidRPr="008179E9">
        <w:rPr>
          <w:rFonts w:cs="Arial"/>
          <w:sz w:val="22"/>
          <w:szCs w:val="22"/>
        </w:rPr>
        <w:t>Se registra la información de los tres primeros trimestres de 2021, del comportamiento de la ciudadanía y grupos de valor e interés en el acceso a los diferentes canales virtuales que dispone el IGAC:</w:t>
      </w:r>
    </w:p>
    <w:p w14:paraId="5C8C02CC" w14:textId="77777777" w:rsidR="004B7A08" w:rsidRPr="008179E9" w:rsidRDefault="004B7A08" w:rsidP="00331B49">
      <w:pPr>
        <w:jc w:val="both"/>
        <w:rPr>
          <w:rFonts w:cs="Arial"/>
          <w:sz w:val="22"/>
          <w:szCs w:val="22"/>
        </w:rPr>
      </w:pPr>
    </w:p>
    <w:p w14:paraId="423BDFD4" w14:textId="33102C12" w:rsidR="005325D9" w:rsidRPr="00B21AA3" w:rsidRDefault="005325D9" w:rsidP="00331B49">
      <w:pPr>
        <w:pStyle w:val="Lista"/>
        <w:rPr>
          <w:rFonts w:cs="Arial"/>
          <w:b/>
          <w:sz w:val="22"/>
          <w:szCs w:val="22"/>
        </w:rPr>
      </w:pPr>
    </w:p>
    <w:p w14:paraId="31A79C9E" w14:textId="6AB9D0A4" w:rsidR="00331B49" w:rsidRPr="00B21AA3" w:rsidRDefault="00B21AA3" w:rsidP="00331B49">
      <w:pPr>
        <w:pStyle w:val="Descripcin"/>
        <w:keepNext/>
        <w:jc w:val="center"/>
        <w:rPr>
          <w:rFonts w:ascii="Arial" w:hAnsi="Arial" w:cs="Arial"/>
          <w:b/>
          <w:i w:val="0"/>
          <w:color w:val="000000" w:themeColor="text1"/>
          <w:sz w:val="16"/>
          <w:szCs w:val="16"/>
        </w:rPr>
      </w:pPr>
      <w:bookmarkStart w:id="183" w:name="_Toc88677138"/>
      <w:r w:rsidRPr="00B21AA3">
        <w:rPr>
          <w:rFonts w:ascii="Arial" w:hAnsi="Arial" w:cs="Arial"/>
          <w:b/>
          <w:bCs/>
          <w:i w:val="0"/>
          <w:iCs w:val="0"/>
          <w:color w:val="000000" w:themeColor="text1"/>
          <w:sz w:val="16"/>
          <w:szCs w:val="16"/>
        </w:rPr>
        <w:lastRenderedPageBreak/>
        <w:t xml:space="preserve">Tabla </w:t>
      </w:r>
      <w:r w:rsidRPr="00B21AA3">
        <w:rPr>
          <w:rFonts w:ascii="Arial" w:hAnsi="Arial" w:cs="Arial"/>
          <w:b/>
          <w:bCs/>
          <w:i w:val="0"/>
          <w:iCs w:val="0"/>
          <w:color w:val="000000" w:themeColor="text1"/>
          <w:sz w:val="16"/>
          <w:szCs w:val="16"/>
        </w:rPr>
        <w:fldChar w:fldCharType="begin"/>
      </w:r>
      <w:r w:rsidRPr="00B21AA3">
        <w:rPr>
          <w:rFonts w:ascii="Arial" w:hAnsi="Arial" w:cs="Arial"/>
          <w:b/>
          <w:bCs/>
          <w:i w:val="0"/>
          <w:iCs w:val="0"/>
          <w:color w:val="000000" w:themeColor="text1"/>
          <w:sz w:val="16"/>
          <w:szCs w:val="16"/>
        </w:rPr>
        <w:instrText xml:space="preserve"> SEQ Tabla \* ARABIC </w:instrText>
      </w:r>
      <w:r w:rsidRPr="00B21AA3">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66</w:t>
      </w:r>
      <w:r w:rsidRPr="00B21AA3">
        <w:rPr>
          <w:rFonts w:ascii="Arial" w:hAnsi="Arial" w:cs="Arial"/>
          <w:b/>
          <w:bCs/>
          <w:i w:val="0"/>
          <w:iCs w:val="0"/>
          <w:color w:val="000000" w:themeColor="text1"/>
          <w:sz w:val="16"/>
          <w:szCs w:val="16"/>
        </w:rPr>
        <w:fldChar w:fldCharType="end"/>
      </w:r>
      <w:r w:rsidRPr="00B21AA3">
        <w:rPr>
          <w:rFonts w:ascii="Arial" w:hAnsi="Arial" w:cs="Arial"/>
          <w:b/>
          <w:bCs/>
          <w:i w:val="0"/>
          <w:iCs w:val="0"/>
          <w:color w:val="000000" w:themeColor="text1"/>
          <w:sz w:val="16"/>
          <w:szCs w:val="16"/>
        </w:rPr>
        <w:t xml:space="preserve">. </w:t>
      </w:r>
      <w:r w:rsidR="12937DEB" w:rsidRPr="00B21AA3">
        <w:rPr>
          <w:rFonts w:ascii="Arial" w:hAnsi="Arial" w:cs="Arial"/>
          <w:b/>
          <w:i w:val="0"/>
          <w:color w:val="000000" w:themeColor="text1"/>
          <w:sz w:val="16"/>
          <w:szCs w:val="16"/>
        </w:rPr>
        <w:t>Relación atención Virtual 2021</w:t>
      </w:r>
      <w:bookmarkEnd w:id="183"/>
    </w:p>
    <w:tbl>
      <w:tblPr>
        <w:tblStyle w:val="Tabladecuadrcula4-nfasis1"/>
        <w:tblpPr w:leftFromText="141" w:rightFromText="141" w:vertAnchor="text" w:tblpXSpec="center" w:tblpY="1"/>
        <w:tblW w:w="8080" w:type="dxa"/>
        <w:tblLook w:val="04A0" w:firstRow="1" w:lastRow="0" w:firstColumn="1" w:lastColumn="0" w:noHBand="0" w:noVBand="1"/>
      </w:tblPr>
      <w:tblGrid>
        <w:gridCol w:w="3721"/>
        <w:gridCol w:w="1125"/>
        <w:gridCol w:w="1125"/>
        <w:gridCol w:w="1133"/>
        <w:gridCol w:w="976"/>
      </w:tblGrid>
      <w:tr w:rsidR="005325D9" w:rsidRPr="003048C1" w14:paraId="6E2337A6" w14:textId="77777777" w:rsidTr="00A6302C">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21" w:type="dxa"/>
            <w:vAlign w:val="center"/>
          </w:tcPr>
          <w:p w14:paraId="0E06AC59" w14:textId="77777777" w:rsidR="005325D9" w:rsidRPr="008E57FA" w:rsidRDefault="005325D9" w:rsidP="00C72779">
            <w:pPr>
              <w:jc w:val="center"/>
              <w:rPr>
                <w:rFonts w:cs="Arial"/>
                <w:sz w:val="20"/>
                <w:szCs w:val="20"/>
              </w:rPr>
            </w:pPr>
            <w:r w:rsidRPr="008E57FA">
              <w:rPr>
                <w:rFonts w:cs="Arial"/>
                <w:sz w:val="20"/>
                <w:szCs w:val="20"/>
              </w:rPr>
              <w:t>Canal de Interacción Ciudadana</w:t>
            </w:r>
          </w:p>
        </w:tc>
        <w:tc>
          <w:tcPr>
            <w:tcW w:w="1125" w:type="dxa"/>
            <w:vAlign w:val="center"/>
          </w:tcPr>
          <w:p w14:paraId="310E8E20"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I trimestre</w:t>
            </w:r>
          </w:p>
        </w:tc>
        <w:tc>
          <w:tcPr>
            <w:tcW w:w="1125" w:type="dxa"/>
            <w:vAlign w:val="center"/>
          </w:tcPr>
          <w:p w14:paraId="166F3985"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II trimestre</w:t>
            </w:r>
          </w:p>
        </w:tc>
        <w:tc>
          <w:tcPr>
            <w:tcW w:w="1133" w:type="dxa"/>
            <w:vAlign w:val="center"/>
          </w:tcPr>
          <w:p w14:paraId="43FE5944"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III trimestre</w:t>
            </w:r>
          </w:p>
        </w:tc>
        <w:tc>
          <w:tcPr>
            <w:tcW w:w="976" w:type="dxa"/>
            <w:vAlign w:val="center"/>
          </w:tcPr>
          <w:p w14:paraId="0FB35727"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Total 2021</w:t>
            </w:r>
          </w:p>
        </w:tc>
      </w:tr>
      <w:tr w:rsidR="005325D9" w:rsidRPr="003048C1" w14:paraId="366AF8A9" w14:textId="77777777" w:rsidTr="00A6302C">
        <w:trPr>
          <w:cnfStyle w:val="000000100000" w:firstRow="0" w:lastRow="0" w:firstColumn="0" w:lastColumn="0" w:oddVBand="0" w:evenVBand="0" w:oddHBand="1"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3721" w:type="dxa"/>
            <w:vAlign w:val="center"/>
          </w:tcPr>
          <w:p w14:paraId="581ADC41" w14:textId="77777777" w:rsidR="005325D9" w:rsidRPr="008E57FA" w:rsidRDefault="005325D9" w:rsidP="00C72779">
            <w:pPr>
              <w:rPr>
                <w:rFonts w:cs="Arial"/>
                <w:sz w:val="20"/>
                <w:szCs w:val="20"/>
              </w:rPr>
            </w:pPr>
            <w:r w:rsidRPr="008E57FA">
              <w:rPr>
                <w:rFonts w:cs="Arial"/>
                <w:sz w:val="20"/>
                <w:szCs w:val="20"/>
              </w:rPr>
              <w:t xml:space="preserve">Correo institucional </w:t>
            </w:r>
            <w:hyperlink r:id="rId177" w:history="1">
              <w:r w:rsidRPr="008E57FA">
                <w:rPr>
                  <w:rStyle w:val="Hipervnculo"/>
                  <w:rFonts w:cs="Arial"/>
                  <w:sz w:val="20"/>
                  <w:szCs w:val="20"/>
                </w:rPr>
                <w:t>contactenos@igac.gov.co</w:t>
              </w:r>
            </w:hyperlink>
          </w:p>
        </w:tc>
        <w:tc>
          <w:tcPr>
            <w:tcW w:w="1125" w:type="dxa"/>
            <w:vAlign w:val="center"/>
          </w:tcPr>
          <w:p w14:paraId="19809AAF"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15.339</w:t>
            </w:r>
          </w:p>
        </w:tc>
        <w:tc>
          <w:tcPr>
            <w:tcW w:w="1125" w:type="dxa"/>
            <w:vAlign w:val="center"/>
          </w:tcPr>
          <w:p w14:paraId="75BAE2B8"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9.125</w:t>
            </w:r>
          </w:p>
        </w:tc>
        <w:tc>
          <w:tcPr>
            <w:tcW w:w="1133" w:type="dxa"/>
            <w:vAlign w:val="center"/>
          </w:tcPr>
          <w:p w14:paraId="1D98A10F"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10.996</w:t>
            </w:r>
          </w:p>
        </w:tc>
        <w:tc>
          <w:tcPr>
            <w:tcW w:w="976" w:type="dxa"/>
            <w:vAlign w:val="center"/>
          </w:tcPr>
          <w:p w14:paraId="03678BCD"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35.460</w:t>
            </w:r>
          </w:p>
        </w:tc>
      </w:tr>
      <w:tr w:rsidR="005325D9" w:rsidRPr="003048C1" w14:paraId="0B3DC652" w14:textId="77777777" w:rsidTr="00A6302C">
        <w:trPr>
          <w:trHeight w:val="345"/>
        </w:trPr>
        <w:tc>
          <w:tcPr>
            <w:cnfStyle w:val="001000000000" w:firstRow="0" w:lastRow="0" w:firstColumn="1" w:lastColumn="0" w:oddVBand="0" w:evenVBand="0" w:oddHBand="0" w:evenHBand="0" w:firstRowFirstColumn="0" w:firstRowLastColumn="0" w:lastRowFirstColumn="0" w:lastRowLastColumn="0"/>
            <w:tcW w:w="3721" w:type="dxa"/>
            <w:vAlign w:val="center"/>
          </w:tcPr>
          <w:p w14:paraId="40D24648" w14:textId="77777777" w:rsidR="005325D9" w:rsidRPr="008E57FA" w:rsidRDefault="005325D9" w:rsidP="00C72779">
            <w:pPr>
              <w:rPr>
                <w:rFonts w:cs="Arial"/>
                <w:sz w:val="20"/>
                <w:szCs w:val="20"/>
              </w:rPr>
            </w:pPr>
            <w:r w:rsidRPr="008E57FA">
              <w:rPr>
                <w:rFonts w:cs="Arial"/>
                <w:sz w:val="20"/>
                <w:szCs w:val="20"/>
              </w:rPr>
              <w:t>Página Web - SIGAC</w:t>
            </w:r>
            <w:r w:rsidRPr="008E57FA">
              <w:rPr>
                <w:rStyle w:val="Refdenotaalpie"/>
                <w:rFonts w:cs="Arial"/>
                <w:sz w:val="20"/>
                <w:szCs w:val="20"/>
              </w:rPr>
              <w:footnoteReference w:id="5"/>
            </w:r>
          </w:p>
        </w:tc>
        <w:tc>
          <w:tcPr>
            <w:tcW w:w="1125" w:type="dxa"/>
            <w:vAlign w:val="center"/>
          </w:tcPr>
          <w:p w14:paraId="5DDF1EA8"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820</w:t>
            </w:r>
          </w:p>
        </w:tc>
        <w:tc>
          <w:tcPr>
            <w:tcW w:w="1125" w:type="dxa"/>
            <w:vAlign w:val="center"/>
          </w:tcPr>
          <w:p w14:paraId="53A7FF74"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1.184</w:t>
            </w:r>
          </w:p>
        </w:tc>
        <w:tc>
          <w:tcPr>
            <w:tcW w:w="1133" w:type="dxa"/>
            <w:vAlign w:val="center"/>
          </w:tcPr>
          <w:p w14:paraId="6EFFD89C"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983</w:t>
            </w:r>
          </w:p>
        </w:tc>
        <w:tc>
          <w:tcPr>
            <w:tcW w:w="976" w:type="dxa"/>
            <w:vAlign w:val="center"/>
          </w:tcPr>
          <w:p w14:paraId="6825BFD9"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8E57FA">
              <w:rPr>
                <w:rFonts w:cs="Arial"/>
                <w:sz w:val="20"/>
                <w:szCs w:val="20"/>
              </w:rPr>
              <w:t>2.987</w:t>
            </w:r>
          </w:p>
        </w:tc>
      </w:tr>
      <w:tr w:rsidR="005325D9" w:rsidRPr="003048C1" w14:paraId="6F993B9E"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721" w:type="dxa"/>
            <w:vAlign w:val="center"/>
          </w:tcPr>
          <w:p w14:paraId="5BEDED23" w14:textId="77777777" w:rsidR="005325D9" w:rsidRPr="008E57FA" w:rsidRDefault="005325D9" w:rsidP="00C72779">
            <w:pPr>
              <w:rPr>
                <w:rFonts w:cs="Arial"/>
                <w:sz w:val="20"/>
                <w:szCs w:val="20"/>
              </w:rPr>
            </w:pPr>
            <w:r w:rsidRPr="008E57FA">
              <w:rPr>
                <w:rFonts w:cs="Arial"/>
                <w:sz w:val="20"/>
                <w:szCs w:val="20"/>
              </w:rPr>
              <w:t>Redes sociales</w:t>
            </w:r>
          </w:p>
        </w:tc>
        <w:tc>
          <w:tcPr>
            <w:tcW w:w="1125" w:type="dxa"/>
            <w:vAlign w:val="center"/>
          </w:tcPr>
          <w:p w14:paraId="51AF3E24"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552</w:t>
            </w:r>
          </w:p>
        </w:tc>
        <w:tc>
          <w:tcPr>
            <w:tcW w:w="1125" w:type="dxa"/>
            <w:vAlign w:val="center"/>
          </w:tcPr>
          <w:p w14:paraId="4AEFD088"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787</w:t>
            </w:r>
          </w:p>
        </w:tc>
        <w:tc>
          <w:tcPr>
            <w:tcW w:w="1133" w:type="dxa"/>
            <w:vAlign w:val="center"/>
          </w:tcPr>
          <w:p w14:paraId="6D1FC8FF"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846</w:t>
            </w:r>
          </w:p>
        </w:tc>
        <w:tc>
          <w:tcPr>
            <w:tcW w:w="976" w:type="dxa"/>
            <w:vAlign w:val="center"/>
          </w:tcPr>
          <w:p w14:paraId="776EC56F"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8E57FA">
              <w:rPr>
                <w:rFonts w:cs="Arial"/>
                <w:sz w:val="20"/>
                <w:szCs w:val="20"/>
              </w:rPr>
              <w:t>2.185</w:t>
            </w:r>
          </w:p>
        </w:tc>
      </w:tr>
    </w:tbl>
    <w:p w14:paraId="41C2E7A5" w14:textId="69DED0A0" w:rsidR="31FF9146" w:rsidRDefault="31FF9146"/>
    <w:p w14:paraId="2FA91C9A" w14:textId="3E386D56" w:rsidR="4094F74C" w:rsidRDefault="4094F74C" w:rsidP="00331B49">
      <w:pPr>
        <w:ind w:left="567" w:firstLine="360"/>
        <w:jc w:val="center"/>
        <w:rPr>
          <w:b/>
          <w:bCs/>
        </w:rPr>
      </w:pPr>
      <w:r w:rsidRPr="31FF9146">
        <w:rPr>
          <w:rFonts w:cs="Arial"/>
          <w:b/>
          <w:bCs/>
          <w:sz w:val="16"/>
          <w:szCs w:val="16"/>
        </w:rPr>
        <w:t>Fuente: Oficina de Relación con el Ciudadano</w:t>
      </w:r>
    </w:p>
    <w:p w14:paraId="6FA61718" w14:textId="77CE601D" w:rsidR="31FF9146" w:rsidRDefault="31FF9146" w:rsidP="31FF9146">
      <w:pPr>
        <w:ind w:left="567" w:firstLine="360"/>
        <w:jc w:val="both"/>
        <w:rPr>
          <w:b/>
          <w:bCs/>
        </w:rPr>
      </w:pPr>
    </w:p>
    <w:p w14:paraId="2A993902" w14:textId="77777777" w:rsidR="005325D9" w:rsidRPr="008179E9" w:rsidRDefault="005325D9" w:rsidP="00331B49">
      <w:pPr>
        <w:jc w:val="both"/>
        <w:rPr>
          <w:rFonts w:cs="Arial"/>
          <w:sz w:val="22"/>
          <w:szCs w:val="22"/>
        </w:rPr>
      </w:pPr>
      <w:r w:rsidRPr="008179E9">
        <w:rPr>
          <w:rFonts w:cs="Arial"/>
          <w:sz w:val="22"/>
          <w:szCs w:val="22"/>
        </w:rPr>
        <w:t>El acceso virtual por el cual ingresó un mayor número de peticiones ciudadanas durante los tres primeros trimestres es el correo institucional, seguido por el registro de peticiones en línea en SIGAC y, por último, la interacción en redes sociales.</w:t>
      </w:r>
    </w:p>
    <w:p w14:paraId="532CD4E5" w14:textId="0E778D1A" w:rsidR="005325D9" w:rsidRPr="008179E9" w:rsidRDefault="005325D9" w:rsidP="00C72779">
      <w:pPr>
        <w:pStyle w:val="Prrafodelista"/>
        <w:ind w:left="927"/>
        <w:rPr>
          <w:rFonts w:cs="Arial"/>
          <w:sz w:val="22"/>
          <w:szCs w:val="22"/>
        </w:rPr>
      </w:pPr>
    </w:p>
    <w:p w14:paraId="79F046DB" w14:textId="77777777" w:rsidR="005325D9" w:rsidRPr="008179E9" w:rsidRDefault="005325D9" w:rsidP="00331B49">
      <w:pPr>
        <w:jc w:val="both"/>
        <w:rPr>
          <w:rFonts w:cs="Arial"/>
          <w:sz w:val="22"/>
          <w:szCs w:val="22"/>
        </w:rPr>
      </w:pPr>
      <w:r w:rsidRPr="008179E9">
        <w:rPr>
          <w:rFonts w:cs="Arial"/>
          <w:sz w:val="22"/>
          <w:szCs w:val="22"/>
        </w:rPr>
        <w:t xml:space="preserve">En cuanto al correo institucional: </w:t>
      </w:r>
      <w:hyperlink r:id="rId178">
        <w:r w:rsidRPr="008179E9">
          <w:rPr>
            <w:rFonts w:cs="Arial"/>
            <w:sz w:val="22"/>
            <w:szCs w:val="22"/>
          </w:rPr>
          <w:t>contactenos@igac.gov.co</w:t>
        </w:r>
      </w:hyperlink>
      <w:r w:rsidRPr="008179E9">
        <w:rPr>
          <w:rFonts w:cs="Arial"/>
          <w:sz w:val="22"/>
          <w:szCs w:val="22"/>
        </w:rPr>
        <w:t>, la siguiente tabla registra su comportamiento durante los tres primeros trimestres de 2021:</w:t>
      </w:r>
    </w:p>
    <w:p w14:paraId="11DB2E75" w14:textId="1B6CDAC4" w:rsidR="005325D9" w:rsidRPr="008179E9" w:rsidRDefault="005325D9" w:rsidP="00C72779">
      <w:pPr>
        <w:pStyle w:val="Prrafodelista"/>
        <w:ind w:left="927"/>
        <w:rPr>
          <w:rFonts w:cs="Arial"/>
          <w:sz w:val="22"/>
          <w:szCs w:val="22"/>
        </w:rPr>
      </w:pPr>
    </w:p>
    <w:p w14:paraId="272494D6" w14:textId="68FD39BF" w:rsidR="00B21AA3" w:rsidRPr="00B21AA3" w:rsidRDefault="00B21AA3" w:rsidP="00B21AA3">
      <w:pPr>
        <w:pStyle w:val="Descripcin"/>
        <w:keepNext/>
        <w:jc w:val="center"/>
        <w:rPr>
          <w:rFonts w:ascii="Arial" w:hAnsi="Arial" w:cs="Arial"/>
          <w:b/>
          <w:bCs/>
          <w:i w:val="0"/>
          <w:iCs w:val="0"/>
          <w:color w:val="000000" w:themeColor="text1"/>
          <w:sz w:val="16"/>
          <w:szCs w:val="16"/>
        </w:rPr>
      </w:pPr>
      <w:bookmarkStart w:id="184" w:name="_Toc88677139"/>
      <w:r w:rsidRPr="00B21AA3">
        <w:rPr>
          <w:rFonts w:ascii="Arial" w:hAnsi="Arial" w:cs="Arial"/>
          <w:b/>
          <w:bCs/>
          <w:i w:val="0"/>
          <w:iCs w:val="0"/>
          <w:color w:val="000000" w:themeColor="text1"/>
          <w:sz w:val="16"/>
          <w:szCs w:val="16"/>
        </w:rPr>
        <w:t xml:space="preserve">Tabla </w:t>
      </w:r>
      <w:r w:rsidRPr="00B21AA3">
        <w:rPr>
          <w:rFonts w:ascii="Arial" w:hAnsi="Arial" w:cs="Arial"/>
          <w:b/>
          <w:bCs/>
          <w:i w:val="0"/>
          <w:iCs w:val="0"/>
          <w:color w:val="000000" w:themeColor="text1"/>
          <w:sz w:val="16"/>
          <w:szCs w:val="16"/>
        </w:rPr>
        <w:fldChar w:fldCharType="begin"/>
      </w:r>
      <w:r w:rsidRPr="00B21AA3">
        <w:rPr>
          <w:rFonts w:ascii="Arial" w:hAnsi="Arial" w:cs="Arial"/>
          <w:b/>
          <w:bCs/>
          <w:i w:val="0"/>
          <w:iCs w:val="0"/>
          <w:color w:val="000000" w:themeColor="text1"/>
          <w:sz w:val="16"/>
          <w:szCs w:val="16"/>
        </w:rPr>
        <w:instrText xml:space="preserve"> SEQ Tabla \* ARABIC </w:instrText>
      </w:r>
      <w:r w:rsidRPr="00B21AA3">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67</w:t>
      </w:r>
      <w:r w:rsidRPr="00B21AA3">
        <w:rPr>
          <w:rFonts w:ascii="Arial" w:hAnsi="Arial" w:cs="Arial"/>
          <w:b/>
          <w:bCs/>
          <w:i w:val="0"/>
          <w:iCs w:val="0"/>
          <w:color w:val="000000" w:themeColor="text1"/>
          <w:sz w:val="16"/>
          <w:szCs w:val="16"/>
        </w:rPr>
        <w:fldChar w:fldCharType="end"/>
      </w:r>
      <w:r w:rsidRPr="00B21AA3">
        <w:rPr>
          <w:rFonts w:ascii="Arial" w:hAnsi="Arial" w:cs="Arial"/>
          <w:b/>
          <w:bCs/>
          <w:i w:val="0"/>
          <w:iCs w:val="0"/>
          <w:color w:val="000000" w:themeColor="text1"/>
          <w:sz w:val="16"/>
          <w:szCs w:val="16"/>
        </w:rPr>
        <w:t>. Relación atención mediante correo electrónico 2021</w:t>
      </w:r>
      <w:bookmarkEnd w:id="184"/>
    </w:p>
    <w:tbl>
      <w:tblPr>
        <w:tblStyle w:val="Tabladecuadrcula4-nfasis1"/>
        <w:tblW w:w="8221" w:type="dxa"/>
        <w:jc w:val="center"/>
        <w:tblLook w:val="04A0" w:firstRow="1" w:lastRow="0" w:firstColumn="1" w:lastColumn="0" w:noHBand="0" w:noVBand="1"/>
      </w:tblPr>
      <w:tblGrid>
        <w:gridCol w:w="2268"/>
        <w:gridCol w:w="1488"/>
        <w:gridCol w:w="1488"/>
        <w:gridCol w:w="1488"/>
        <w:gridCol w:w="1489"/>
      </w:tblGrid>
      <w:tr w:rsidR="005325D9" w:rsidRPr="00933005" w14:paraId="02A04E9D" w14:textId="77777777" w:rsidTr="00A6302C">
        <w:trPr>
          <w:cnfStyle w:val="100000000000" w:firstRow="1" w:lastRow="0" w:firstColumn="0" w:lastColumn="0" w:oddVBand="0" w:evenVBand="0" w:oddHBand="0"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2268" w:type="dxa"/>
            <w:vAlign w:val="center"/>
            <w:hideMark/>
          </w:tcPr>
          <w:p w14:paraId="2091EB63" w14:textId="3A114D25" w:rsidR="005325D9" w:rsidRPr="008E57FA" w:rsidRDefault="005325D9" w:rsidP="00C72779">
            <w:pPr>
              <w:jc w:val="center"/>
              <w:rPr>
                <w:rFonts w:cs="Arial"/>
                <w:b w:val="0"/>
                <w:color w:val="000000"/>
                <w:sz w:val="20"/>
                <w:szCs w:val="22"/>
                <w:lang w:eastAsia="es-CO"/>
              </w:rPr>
            </w:pPr>
          </w:p>
        </w:tc>
        <w:tc>
          <w:tcPr>
            <w:tcW w:w="1488" w:type="dxa"/>
            <w:vAlign w:val="center"/>
            <w:hideMark/>
          </w:tcPr>
          <w:p w14:paraId="1900073D"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rPr>
            </w:pPr>
            <w:r w:rsidRPr="008E57FA">
              <w:rPr>
                <w:rFonts w:cs="Arial"/>
                <w:sz w:val="20"/>
                <w:szCs w:val="22"/>
              </w:rPr>
              <w:t>I trimestre</w:t>
            </w:r>
          </w:p>
        </w:tc>
        <w:tc>
          <w:tcPr>
            <w:tcW w:w="1488" w:type="dxa"/>
            <w:vAlign w:val="center"/>
            <w:hideMark/>
          </w:tcPr>
          <w:p w14:paraId="31227392"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sz w:val="20"/>
                <w:szCs w:val="22"/>
              </w:rPr>
              <w:t>II trimestre</w:t>
            </w:r>
          </w:p>
        </w:tc>
        <w:tc>
          <w:tcPr>
            <w:tcW w:w="1488" w:type="dxa"/>
            <w:vAlign w:val="center"/>
            <w:hideMark/>
          </w:tcPr>
          <w:p w14:paraId="11B87BAA"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sz w:val="20"/>
                <w:szCs w:val="22"/>
              </w:rPr>
              <w:t>III trimestre</w:t>
            </w:r>
          </w:p>
        </w:tc>
        <w:tc>
          <w:tcPr>
            <w:tcW w:w="1489" w:type="dxa"/>
            <w:vAlign w:val="center"/>
            <w:hideMark/>
          </w:tcPr>
          <w:p w14:paraId="6D6CD124" w14:textId="77777777" w:rsidR="005325D9" w:rsidRPr="008E57FA"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sz w:val="20"/>
                <w:szCs w:val="22"/>
              </w:rPr>
              <w:t>Total 2021</w:t>
            </w:r>
          </w:p>
        </w:tc>
      </w:tr>
      <w:tr w:rsidR="005325D9" w:rsidRPr="00933005" w14:paraId="46157DC5"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vAlign w:val="center"/>
            <w:hideMark/>
          </w:tcPr>
          <w:p w14:paraId="5AF48C50" w14:textId="77777777" w:rsidR="005325D9" w:rsidRPr="008E57FA" w:rsidRDefault="005325D9" w:rsidP="00A6302C">
            <w:pPr>
              <w:ind w:right="-52"/>
              <w:jc w:val="center"/>
              <w:rPr>
                <w:rFonts w:cs="Arial"/>
                <w:color w:val="000000"/>
                <w:sz w:val="20"/>
                <w:szCs w:val="22"/>
                <w:lang w:eastAsia="es-CO"/>
              </w:rPr>
            </w:pPr>
            <w:r w:rsidRPr="008E57FA">
              <w:rPr>
                <w:rFonts w:cs="Arial"/>
                <w:color w:val="000000"/>
                <w:sz w:val="20"/>
                <w:szCs w:val="22"/>
                <w:lang w:eastAsia="es-CO"/>
              </w:rPr>
              <w:t>Recibidos</w:t>
            </w:r>
          </w:p>
        </w:tc>
        <w:tc>
          <w:tcPr>
            <w:tcW w:w="1488" w:type="dxa"/>
            <w:vAlign w:val="center"/>
            <w:hideMark/>
          </w:tcPr>
          <w:p w14:paraId="72B7CA81"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sz w:val="20"/>
                <w:szCs w:val="22"/>
              </w:rPr>
              <w:t>15.339</w:t>
            </w:r>
          </w:p>
        </w:tc>
        <w:tc>
          <w:tcPr>
            <w:tcW w:w="1488" w:type="dxa"/>
            <w:vAlign w:val="center"/>
            <w:hideMark/>
          </w:tcPr>
          <w:p w14:paraId="0FE0A7DC"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sz w:val="20"/>
                <w:szCs w:val="22"/>
              </w:rPr>
              <w:t>9.125</w:t>
            </w:r>
          </w:p>
        </w:tc>
        <w:tc>
          <w:tcPr>
            <w:tcW w:w="1488" w:type="dxa"/>
            <w:vAlign w:val="center"/>
            <w:hideMark/>
          </w:tcPr>
          <w:p w14:paraId="3894531A"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sz w:val="20"/>
                <w:szCs w:val="22"/>
              </w:rPr>
              <w:t>10.996</w:t>
            </w:r>
          </w:p>
        </w:tc>
        <w:tc>
          <w:tcPr>
            <w:tcW w:w="1489" w:type="dxa"/>
            <w:vAlign w:val="center"/>
            <w:hideMark/>
          </w:tcPr>
          <w:p w14:paraId="2D44DE6B"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sz w:val="20"/>
                <w:szCs w:val="22"/>
              </w:rPr>
              <w:t>35.460</w:t>
            </w:r>
          </w:p>
        </w:tc>
      </w:tr>
      <w:tr w:rsidR="005325D9" w:rsidRPr="00933005" w14:paraId="3C467F40"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268" w:type="dxa"/>
            <w:vAlign w:val="center"/>
            <w:hideMark/>
          </w:tcPr>
          <w:p w14:paraId="4186D2AC" w14:textId="77777777" w:rsidR="005325D9" w:rsidRPr="008E57FA" w:rsidRDefault="005325D9" w:rsidP="00A6302C">
            <w:pPr>
              <w:ind w:right="-52"/>
              <w:jc w:val="center"/>
              <w:rPr>
                <w:rFonts w:cs="Arial"/>
                <w:color w:val="000000"/>
                <w:sz w:val="20"/>
                <w:szCs w:val="22"/>
                <w:lang w:eastAsia="es-CO"/>
              </w:rPr>
            </w:pPr>
            <w:r w:rsidRPr="008E57FA">
              <w:rPr>
                <w:rFonts w:cs="Arial"/>
                <w:color w:val="000000"/>
                <w:sz w:val="20"/>
                <w:szCs w:val="22"/>
                <w:lang w:eastAsia="es-CO"/>
              </w:rPr>
              <w:t>Radicados</w:t>
            </w:r>
          </w:p>
        </w:tc>
        <w:tc>
          <w:tcPr>
            <w:tcW w:w="1488" w:type="dxa"/>
            <w:vAlign w:val="center"/>
            <w:hideMark/>
          </w:tcPr>
          <w:p w14:paraId="6C4CDDBC"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4.769</w:t>
            </w:r>
          </w:p>
        </w:tc>
        <w:tc>
          <w:tcPr>
            <w:tcW w:w="1488" w:type="dxa"/>
            <w:vAlign w:val="center"/>
            <w:hideMark/>
          </w:tcPr>
          <w:p w14:paraId="5BE3598D"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2.556</w:t>
            </w:r>
          </w:p>
        </w:tc>
        <w:tc>
          <w:tcPr>
            <w:tcW w:w="1488" w:type="dxa"/>
            <w:vAlign w:val="center"/>
            <w:hideMark/>
          </w:tcPr>
          <w:p w14:paraId="3BEF5190"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2.784</w:t>
            </w:r>
          </w:p>
        </w:tc>
        <w:tc>
          <w:tcPr>
            <w:tcW w:w="1489" w:type="dxa"/>
            <w:vAlign w:val="center"/>
            <w:hideMark/>
          </w:tcPr>
          <w:p w14:paraId="6718C4E5" w14:textId="77777777" w:rsidR="005325D9" w:rsidRPr="008E57FA"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10.109</w:t>
            </w:r>
          </w:p>
        </w:tc>
      </w:tr>
      <w:tr w:rsidR="005325D9" w:rsidRPr="00933005" w14:paraId="3B37E2B9"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268" w:type="dxa"/>
            <w:vAlign w:val="center"/>
            <w:hideMark/>
          </w:tcPr>
          <w:p w14:paraId="778C8FF7" w14:textId="77777777" w:rsidR="005325D9" w:rsidRPr="008E57FA" w:rsidRDefault="005325D9" w:rsidP="00A6302C">
            <w:pPr>
              <w:ind w:right="-52"/>
              <w:jc w:val="center"/>
              <w:rPr>
                <w:rFonts w:cs="Arial"/>
                <w:color w:val="000000"/>
                <w:sz w:val="20"/>
                <w:szCs w:val="22"/>
                <w:lang w:eastAsia="es-CO"/>
              </w:rPr>
            </w:pPr>
            <w:r w:rsidRPr="008E57FA">
              <w:rPr>
                <w:rFonts w:cs="Arial"/>
                <w:color w:val="000000"/>
                <w:sz w:val="20"/>
                <w:szCs w:val="22"/>
                <w:lang w:eastAsia="es-CO"/>
              </w:rPr>
              <w:t>Correos sin radicar</w:t>
            </w:r>
          </w:p>
        </w:tc>
        <w:tc>
          <w:tcPr>
            <w:tcW w:w="1488" w:type="dxa"/>
            <w:vAlign w:val="center"/>
            <w:hideMark/>
          </w:tcPr>
          <w:p w14:paraId="667BEF23"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10.570</w:t>
            </w:r>
          </w:p>
        </w:tc>
        <w:tc>
          <w:tcPr>
            <w:tcW w:w="1488" w:type="dxa"/>
            <w:vAlign w:val="center"/>
            <w:hideMark/>
          </w:tcPr>
          <w:p w14:paraId="3B920E05"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6.569</w:t>
            </w:r>
          </w:p>
        </w:tc>
        <w:tc>
          <w:tcPr>
            <w:tcW w:w="1488" w:type="dxa"/>
            <w:vAlign w:val="center"/>
            <w:hideMark/>
          </w:tcPr>
          <w:p w14:paraId="6D30BCC4"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8.212</w:t>
            </w:r>
          </w:p>
        </w:tc>
        <w:tc>
          <w:tcPr>
            <w:tcW w:w="1489" w:type="dxa"/>
            <w:vAlign w:val="center"/>
            <w:hideMark/>
          </w:tcPr>
          <w:p w14:paraId="01C69B13" w14:textId="77777777" w:rsidR="005325D9" w:rsidRPr="008E57FA"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E57FA">
              <w:rPr>
                <w:rFonts w:cs="Arial"/>
                <w:color w:val="000000"/>
                <w:sz w:val="20"/>
                <w:szCs w:val="22"/>
                <w:lang w:eastAsia="es-CO"/>
              </w:rPr>
              <w:t>25.351</w:t>
            </w:r>
          </w:p>
        </w:tc>
      </w:tr>
    </w:tbl>
    <w:p w14:paraId="0BFB28D4" w14:textId="3E386D56" w:rsidR="005325D9" w:rsidRPr="008179E9" w:rsidRDefault="04E52DFD" w:rsidP="00331B49">
      <w:pPr>
        <w:jc w:val="center"/>
        <w:rPr>
          <w:b/>
          <w:bCs/>
        </w:rPr>
      </w:pPr>
      <w:r w:rsidRPr="31FF9146">
        <w:rPr>
          <w:rFonts w:cs="Arial"/>
          <w:b/>
          <w:bCs/>
          <w:sz w:val="16"/>
          <w:szCs w:val="16"/>
        </w:rPr>
        <w:t>Fuente: Oficina de Relación con el Ciudadano</w:t>
      </w:r>
    </w:p>
    <w:p w14:paraId="238B3BFC" w14:textId="77CE601D" w:rsidR="005325D9" w:rsidRPr="008179E9" w:rsidRDefault="005325D9" w:rsidP="31FF9146">
      <w:pPr>
        <w:ind w:left="567" w:firstLine="360"/>
        <w:jc w:val="both"/>
        <w:rPr>
          <w:b/>
          <w:bCs/>
        </w:rPr>
      </w:pPr>
    </w:p>
    <w:p w14:paraId="5C047CEE" w14:textId="77777777" w:rsidR="00331B49" w:rsidRDefault="00331B49" w:rsidP="00331B49">
      <w:pPr>
        <w:jc w:val="both"/>
        <w:rPr>
          <w:rFonts w:cs="Arial"/>
          <w:sz w:val="22"/>
          <w:szCs w:val="22"/>
        </w:rPr>
      </w:pPr>
      <w:r w:rsidRPr="008179E9">
        <w:rPr>
          <w:rFonts w:cs="Arial"/>
          <w:sz w:val="22"/>
          <w:szCs w:val="22"/>
        </w:rPr>
        <w:t>Las solicitudes de información general que ingresan al correo institucional se responden directamente por ese mismo medio al peticionario, para dar mayor celeridad en los términos de respuesta y fortalecer la relación con la ciudadanía con una comunic</w:t>
      </w:r>
      <w:r>
        <w:rPr>
          <w:rFonts w:cs="Arial"/>
          <w:sz w:val="22"/>
          <w:szCs w:val="22"/>
        </w:rPr>
        <w:t xml:space="preserve">ación fluida, cercana y amable. </w:t>
      </w:r>
    </w:p>
    <w:p w14:paraId="454478AA" w14:textId="44C96A45" w:rsidR="005325D9" w:rsidRPr="008179E9" w:rsidRDefault="005325D9" w:rsidP="00331B49">
      <w:pPr>
        <w:jc w:val="both"/>
        <w:rPr>
          <w:rFonts w:cs="Arial"/>
          <w:sz w:val="22"/>
          <w:szCs w:val="22"/>
        </w:rPr>
      </w:pPr>
    </w:p>
    <w:p w14:paraId="6ED5DE7B" w14:textId="77777777" w:rsidR="005325D9" w:rsidRPr="008179E9" w:rsidRDefault="005325D9" w:rsidP="00331B49">
      <w:pPr>
        <w:jc w:val="both"/>
        <w:rPr>
          <w:rFonts w:cs="Arial"/>
          <w:sz w:val="22"/>
          <w:szCs w:val="22"/>
        </w:rPr>
      </w:pPr>
      <w:r w:rsidRPr="31FF9146">
        <w:rPr>
          <w:rFonts w:cs="Arial"/>
          <w:sz w:val="22"/>
          <w:szCs w:val="22"/>
        </w:rPr>
        <w:t>Para la página web institucional sección contáctenos asociado al SIGAC, en la opción de autogestión de solicitudes (ventanilla virtual de radicación) se presentan las siguientes cifras:</w:t>
      </w:r>
    </w:p>
    <w:p w14:paraId="31105C20" w14:textId="1B7AB0C9" w:rsidR="31FF9146" w:rsidRDefault="31FF9146" w:rsidP="31FF9146">
      <w:pPr>
        <w:ind w:left="567"/>
        <w:jc w:val="both"/>
      </w:pPr>
    </w:p>
    <w:p w14:paraId="5233B614" w14:textId="3F637AF5" w:rsidR="00B21AA3" w:rsidRPr="00B21AA3" w:rsidRDefault="00B21AA3" w:rsidP="00B21AA3">
      <w:pPr>
        <w:pStyle w:val="Descripcin"/>
        <w:keepNext/>
        <w:jc w:val="center"/>
        <w:rPr>
          <w:b/>
          <w:bCs/>
          <w:i w:val="0"/>
          <w:iCs w:val="0"/>
          <w:color w:val="000000" w:themeColor="text1"/>
        </w:rPr>
      </w:pPr>
      <w:bookmarkStart w:id="185" w:name="_Toc88677140"/>
      <w:r w:rsidRPr="00B21AA3">
        <w:rPr>
          <w:b/>
          <w:bCs/>
          <w:i w:val="0"/>
          <w:iCs w:val="0"/>
          <w:color w:val="000000" w:themeColor="text1"/>
        </w:rPr>
        <w:t xml:space="preserve">Tabla </w:t>
      </w:r>
      <w:r w:rsidRPr="00B21AA3">
        <w:rPr>
          <w:b/>
          <w:bCs/>
          <w:i w:val="0"/>
          <w:iCs w:val="0"/>
          <w:color w:val="000000" w:themeColor="text1"/>
        </w:rPr>
        <w:fldChar w:fldCharType="begin"/>
      </w:r>
      <w:r w:rsidRPr="00B21AA3">
        <w:rPr>
          <w:b/>
          <w:bCs/>
          <w:i w:val="0"/>
          <w:iCs w:val="0"/>
          <w:color w:val="000000" w:themeColor="text1"/>
        </w:rPr>
        <w:instrText xml:space="preserve"> SEQ Tabla \* ARABIC </w:instrText>
      </w:r>
      <w:r w:rsidRPr="00B21AA3">
        <w:rPr>
          <w:b/>
          <w:bCs/>
          <w:i w:val="0"/>
          <w:iCs w:val="0"/>
          <w:color w:val="000000" w:themeColor="text1"/>
        </w:rPr>
        <w:fldChar w:fldCharType="separate"/>
      </w:r>
      <w:r w:rsidR="004D4C6A">
        <w:rPr>
          <w:b/>
          <w:bCs/>
          <w:i w:val="0"/>
          <w:iCs w:val="0"/>
          <w:noProof/>
          <w:color w:val="000000" w:themeColor="text1"/>
        </w:rPr>
        <w:t>68</w:t>
      </w:r>
      <w:r w:rsidRPr="00B21AA3">
        <w:rPr>
          <w:b/>
          <w:bCs/>
          <w:i w:val="0"/>
          <w:iCs w:val="0"/>
          <w:color w:val="000000" w:themeColor="text1"/>
        </w:rPr>
        <w:fldChar w:fldCharType="end"/>
      </w:r>
      <w:r w:rsidRPr="00B21AA3">
        <w:rPr>
          <w:b/>
          <w:bCs/>
          <w:i w:val="0"/>
          <w:iCs w:val="0"/>
          <w:color w:val="000000" w:themeColor="text1"/>
        </w:rPr>
        <w:t>. Relación PQRSD recibidas página web – SIGAC 2021</w:t>
      </w:r>
      <w:bookmarkEnd w:id="185"/>
    </w:p>
    <w:tbl>
      <w:tblPr>
        <w:tblStyle w:val="Tabladecuadrcula4-nfasis1"/>
        <w:tblW w:w="8359" w:type="dxa"/>
        <w:jc w:val="center"/>
        <w:tblLayout w:type="fixed"/>
        <w:tblLook w:val="04A0" w:firstRow="1" w:lastRow="0" w:firstColumn="1" w:lastColumn="0" w:noHBand="0" w:noVBand="1"/>
      </w:tblPr>
      <w:tblGrid>
        <w:gridCol w:w="3494"/>
        <w:gridCol w:w="1216"/>
        <w:gridCol w:w="1216"/>
        <w:gridCol w:w="1216"/>
        <w:gridCol w:w="1217"/>
      </w:tblGrid>
      <w:tr w:rsidR="005325D9" w:rsidRPr="00933005" w14:paraId="3B5FC552" w14:textId="77777777" w:rsidTr="00A6302C">
        <w:trPr>
          <w:cnfStyle w:val="100000000000" w:firstRow="1" w:lastRow="0" w:firstColumn="0" w:lastColumn="0" w:oddVBand="0" w:evenVBand="0" w:oddHBand="0" w:evenHBand="0" w:firstRowFirstColumn="0" w:firstRowLastColumn="0" w:lastRowFirstColumn="0" w:lastRowLastColumn="0"/>
          <w:trHeight w:val="567"/>
          <w:jc w:val="center"/>
        </w:trPr>
        <w:tc>
          <w:tcPr>
            <w:cnfStyle w:val="001000000000" w:firstRow="0" w:lastRow="0" w:firstColumn="1" w:lastColumn="0" w:oddVBand="0" w:evenVBand="0" w:oddHBand="0" w:evenHBand="0" w:firstRowFirstColumn="0" w:firstRowLastColumn="0" w:lastRowFirstColumn="0" w:lastRowLastColumn="0"/>
            <w:tcW w:w="3494" w:type="dxa"/>
            <w:vAlign w:val="center"/>
            <w:hideMark/>
          </w:tcPr>
          <w:p w14:paraId="2CBF1A37" w14:textId="77777777" w:rsidR="005325D9" w:rsidRPr="00805038" w:rsidRDefault="005325D9" w:rsidP="00C72779">
            <w:pPr>
              <w:jc w:val="center"/>
              <w:rPr>
                <w:rFonts w:cs="Arial"/>
                <w:sz w:val="20"/>
                <w:szCs w:val="22"/>
                <w:lang w:eastAsia="es-CO"/>
              </w:rPr>
            </w:pPr>
            <w:r w:rsidRPr="00805038">
              <w:rPr>
                <w:rFonts w:cs="Arial"/>
                <w:sz w:val="20"/>
                <w:szCs w:val="22"/>
                <w:lang w:eastAsia="es-CO"/>
              </w:rPr>
              <w:t>PQRSD recibidas página web - SIGAC</w:t>
            </w:r>
          </w:p>
        </w:tc>
        <w:tc>
          <w:tcPr>
            <w:tcW w:w="1216" w:type="dxa"/>
            <w:noWrap/>
            <w:vAlign w:val="center"/>
            <w:hideMark/>
          </w:tcPr>
          <w:p w14:paraId="3A5D69FA"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rPr>
            </w:pPr>
            <w:r w:rsidRPr="00805038">
              <w:rPr>
                <w:rFonts w:cs="Arial"/>
                <w:sz w:val="20"/>
                <w:szCs w:val="22"/>
              </w:rPr>
              <w:t>I trimestre</w:t>
            </w:r>
          </w:p>
        </w:tc>
        <w:tc>
          <w:tcPr>
            <w:tcW w:w="1216" w:type="dxa"/>
            <w:noWrap/>
            <w:vAlign w:val="center"/>
            <w:hideMark/>
          </w:tcPr>
          <w:p w14:paraId="2CB765ED"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rPr>
              <w:t>II trimestre</w:t>
            </w:r>
          </w:p>
        </w:tc>
        <w:tc>
          <w:tcPr>
            <w:tcW w:w="1216" w:type="dxa"/>
            <w:noWrap/>
            <w:vAlign w:val="center"/>
            <w:hideMark/>
          </w:tcPr>
          <w:p w14:paraId="12CE013A"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rPr>
              <w:t>III trimestre</w:t>
            </w:r>
          </w:p>
        </w:tc>
        <w:tc>
          <w:tcPr>
            <w:tcW w:w="1217" w:type="dxa"/>
            <w:vAlign w:val="center"/>
            <w:hideMark/>
          </w:tcPr>
          <w:p w14:paraId="0411D688"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rPr>
              <w:t>Total 2021</w:t>
            </w:r>
          </w:p>
        </w:tc>
      </w:tr>
      <w:tr w:rsidR="005325D9" w:rsidRPr="003048C1" w14:paraId="638DAE32"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3494" w:type="dxa"/>
            <w:noWrap/>
            <w:vAlign w:val="center"/>
            <w:hideMark/>
          </w:tcPr>
          <w:p w14:paraId="6421B12E" w14:textId="77777777" w:rsidR="005325D9" w:rsidRPr="00805038" w:rsidRDefault="005325D9" w:rsidP="00A6302C">
            <w:pPr>
              <w:jc w:val="center"/>
              <w:rPr>
                <w:rFonts w:cs="Arial"/>
                <w:color w:val="000000"/>
                <w:sz w:val="20"/>
                <w:szCs w:val="22"/>
                <w:lang w:eastAsia="es-CO"/>
              </w:rPr>
            </w:pPr>
            <w:r w:rsidRPr="00805038">
              <w:rPr>
                <w:rFonts w:cs="Arial"/>
                <w:color w:val="000000"/>
                <w:sz w:val="20"/>
                <w:szCs w:val="22"/>
                <w:lang w:eastAsia="es-CO"/>
              </w:rPr>
              <w:t>PQRSD Recibidas</w:t>
            </w:r>
          </w:p>
        </w:tc>
        <w:tc>
          <w:tcPr>
            <w:tcW w:w="1216" w:type="dxa"/>
            <w:noWrap/>
            <w:vAlign w:val="center"/>
            <w:hideMark/>
          </w:tcPr>
          <w:p w14:paraId="7B971C1B"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840</w:t>
            </w:r>
          </w:p>
        </w:tc>
        <w:tc>
          <w:tcPr>
            <w:tcW w:w="1216" w:type="dxa"/>
            <w:noWrap/>
            <w:vAlign w:val="center"/>
            <w:hideMark/>
          </w:tcPr>
          <w:p w14:paraId="6F1E3550"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1.184</w:t>
            </w:r>
          </w:p>
        </w:tc>
        <w:tc>
          <w:tcPr>
            <w:tcW w:w="1216" w:type="dxa"/>
            <w:noWrap/>
            <w:vAlign w:val="center"/>
            <w:hideMark/>
          </w:tcPr>
          <w:p w14:paraId="74F0217D"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983</w:t>
            </w:r>
          </w:p>
        </w:tc>
        <w:tc>
          <w:tcPr>
            <w:tcW w:w="1217" w:type="dxa"/>
            <w:noWrap/>
            <w:vAlign w:val="center"/>
            <w:hideMark/>
          </w:tcPr>
          <w:p w14:paraId="3B41BA1D"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3.007</w:t>
            </w:r>
          </w:p>
        </w:tc>
      </w:tr>
      <w:tr w:rsidR="005325D9" w:rsidRPr="003048C1" w14:paraId="4A1B07E7"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3494" w:type="dxa"/>
            <w:vAlign w:val="center"/>
            <w:hideMark/>
          </w:tcPr>
          <w:p w14:paraId="4D608ED4" w14:textId="77777777" w:rsidR="005325D9" w:rsidRPr="00805038" w:rsidRDefault="005325D9" w:rsidP="00A6302C">
            <w:pPr>
              <w:jc w:val="center"/>
              <w:rPr>
                <w:rFonts w:cs="Arial"/>
                <w:color w:val="000000"/>
                <w:sz w:val="20"/>
                <w:szCs w:val="22"/>
                <w:lang w:eastAsia="es-CO"/>
              </w:rPr>
            </w:pPr>
            <w:r w:rsidRPr="00805038">
              <w:rPr>
                <w:rFonts w:cs="Arial"/>
                <w:color w:val="000000"/>
                <w:sz w:val="20"/>
                <w:szCs w:val="22"/>
                <w:lang w:eastAsia="es-CO"/>
              </w:rPr>
              <w:t>Total PQRSD transferidas a Sede Central</w:t>
            </w:r>
          </w:p>
        </w:tc>
        <w:tc>
          <w:tcPr>
            <w:tcW w:w="1216" w:type="dxa"/>
            <w:noWrap/>
            <w:vAlign w:val="center"/>
            <w:hideMark/>
          </w:tcPr>
          <w:p w14:paraId="0C542C9E"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214</w:t>
            </w:r>
          </w:p>
        </w:tc>
        <w:tc>
          <w:tcPr>
            <w:tcW w:w="1216" w:type="dxa"/>
            <w:noWrap/>
            <w:vAlign w:val="center"/>
            <w:hideMark/>
          </w:tcPr>
          <w:p w14:paraId="14405576"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293</w:t>
            </w:r>
          </w:p>
        </w:tc>
        <w:tc>
          <w:tcPr>
            <w:tcW w:w="1216" w:type="dxa"/>
            <w:noWrap/>
            <w:vAlign w:val="center"/>
            <w:hideMark/>
          </w:tcPr>
          <w:p w14:paraId="031B3BDB"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281</w:t>
            </w:r>
          </w:p>
        </w:tc>
        <w:tc>
          <w:tcPr>
            <w:tcW w:w="1217" w:type="dxa"/>
            <w:noWrap/>
            <w:vAlign w:val="center"/>
            <w:hideMark/>
          </w:tcPr>
          <w:p w14:paraId="46D3E593"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788</w:t>
            </w:r>
          </w:p>
        </w:tc>
      </w:tr>
      <w:tr w:rsidR="005325D9" w:rsidRPr="003048C1" w14:paraId="42F2D743"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3494" w:type="dxa"/>
            <w:vAlign w:val="center"/>
            <w:hideMark/>
          </w:tcPr>
          <w:p w14:paraId="0A0B0F0D" w14:textId="77777777" w:rsidR="005325D9" w:rsidRPr="00805038" w:rsidRDefault="005325D9" w:rsidP="00A6302C">
            <w:pPr>
              <w:jc w:val="center"/>
              <w:rPr>
                <w:rFonts w:cs="Arial"/>
                <w:color w:val="000000"/>
                <w:sz w:val="20"/>
                <w:szCs w:val="22"/>
                <w:lang w:eastAsia="es-CO"/>
              </w:rPr>
            </w:pPr>
            <w:r w:rsidRPr="00805038">
              <w:rPr>
                <w:rFonts w:cs="Arial"/>
                <w:color w:val="000000"/>
                <w:sz w:val="20"/>
                <w:szCs w:val="22"/>
                <w:lang w:eastAsia="es-CO"/>
              </w:rPr>
              <w:t>Total PQRSD transferidas a Direcciones Territoriales</w:t>
            </w:r>
          </w:p>
        </w:tc>
        <w:tc>
          <w:tcPr>
            <w:tcW w:w="1216" w:type="dxa"/>
            <w:noWrap/>
            <w:vAlign w:val="center"/>
            <w:hideMark/>
          </w:tcPr>
          <w:p w14:paraId="654D08F0"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626</w:t>
            </w:r>
          </w:p>
        </w:tc>
        <w:tc>
          <w:tcPr>
            <w:tcW w:w="1216" w:type="dxa"/>
            <w:noWrap/>
            <w:vAlign w:val="center"/>
            <w:hideMark/>
          </w:tcPr>
          <w:p w14:paraId="575CC743"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891</w:t>
            </w:r>
          </w:p>
        </w:tc>
        <w:tc>
          <w:tcPr>
            <w:tcW w:w="1216" w:type="dxa"/>
            <w:noWrap/>
            <w:vAlign w:val="center"/>
            <w:hideMark/>
          </w:tcPr>
          <w:p w14:paraId="1D553AA5"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702</w:t>
            </w:r>
          </w:p>
        </w:tc>
        <w:tc>
          <w:tcPr>
            <w:tcW w:w="1217" w:type="dxa"/>
            <w:noWrap/>
            <w:vAlign w:val="center"/>
            <w:hideMark/>
          </w:tcPr>
          <w:p w14:paraId="69B79598"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2.219</w:t>
            </w:r>
          </w:p>
        </w:tc>
      </w:tr>
    </w:tbl>
    <w:p w14:paraId="7AA50076" w14:textId="3E386D56" w:rsidR="005325D9" w:rsidRPr="008179E9" w:rsidRDefault="52089445" w:rsidP="00331B49">
      <w:pPr>
        <w:jc w:val="center"/>
        <w:rPr>
          <w:b/>
          <w:bCs/>
        </w:rPr>
      </w:pPr>
      <w:r w:rsidRPr="31FF9146">
        <w:rPr>
          <w:rFonts w:cs="Arial"/>
          <w:b/>
          <w:bCs/>
          <w:sz w:val="16"/>
          <w:szCs w:val="16"/>
        </w:rPr>
        <w:t>Fuente: Oficina de Relación con el Ciudadano</w:t>
      </w:r>
    </w:p>
    <w:p w14:paraId="07120102" w14:textId="77CE601D" w:rsidR="005325D9" w:rsidRPr="008179E9" w:rsidRDefault="005325D9" w:rsidP="31FF9146">
      <w:pPr>
        <w:ind w:left="567" w:firstLine="360"/>
        <w:jc w:val="both"/>
        <w:rPr>
          <w:b/>
          <w:bCs/>
        </w:rPr>
      </w:pPr>
    </w:p>
    <w:p w14:paraId="1BBC0CB6" w14:textId="77777777" w:rsidR="005325D9" w:rsidRPr="008179E9" w:rsidRDefault="005325D9" w:rsidP="00331B49">
      <w:pPr>
        <w:jc w:val="both"/>
        <w:rPr>
          <w:rFonts w:cs="Arial"/>
          <w:sz w:val="22"/>
          <w:szCs w:val="22"/>
        </w:rPr>
      </w:pPr>
      <w:r w:rsidRPr="31FF9146">
        <w:rPr>
          <w:rFonts w:cs="Arial"/>
          <w:sz w:val="22"/>
          <w:szCs w:val="22"/>
        </w:rPr>
        <w:t>Durante los tres primeros trimestres de 2021, la red social preferida por los ciudadanos para interactuar con el Instituto es Facebook, con 1.570 interacciones, seguida por Twitter con 326 e Instagram con 289 interacciones.</w:t>
      </w:r>
    </w:p>
    <w:p w14:paraId="35E8A04A" w14:textId="6428CDB5" w:rsidR="31FF9146" w:rsidRPr="00B21AA3" w:rsidRDefault="31FF9146" w:rsidP="31FF9146">
      <w:pPr>
        <w:ind w:left="567"/>
        <w:jc w:val="both"/>
        <w:rPr>
          <w:rFonts w:cs="Arial"/>
          <w:b/>
          <w:color w:val="000000" w:themeColor="text1"/>
          <w:sz w:val="20"/>
          <w:szCs w:val="20"/>
        </w:rPr>
      </w:pPr>
    </w:p>
    <w:p w14:paraId="59FDCDFB" w14:textId="7D9210A3" w:rsidR="00B21AA3" w:rsidRPr="00B21AA3" w:rsidRDefault="00B21AA3" w:rsidP="00B21AA3">
      <w:pPr>
        <w:pStyle w:val="Descripcin"/>
        <w:keepNext/>
        <w:jc w:val="center"/>
        <w:rPr>
          <w:rFonts w:ascii="Arial" w:hAnsi="Arial" w:cs="Arial"/>
          <w:b/>
          <w:bCs/>
          <w:i w:val="0"/>
          <w:iCs w:val="0"/>
          <w:color w:val="000000" w:themeColor="text1"/>
          <w:sz w:val="16"/>
          <w:szCs w:val="16"/>
        </w:rPr>
      </w:pPr>
      <w:bookmarkStart w:id="186" w:name="_Toc88677141"/>
      <w:r w:rsidRPr="00B21AA3">
        <w:rPr>
          <w:rFonts w:ascii="Arial" w:hAnsi="Arial" w:cs="Arial"/>
          <w:b/>
          <w:bCs/>
          <w:i w:val="0"/>
          <w:iCs w:val="0"/>
          <w:color w:val="000000" w:themeColor="text1"/>
          <w:sz w:val="16"/>
          <w:szCs w:val="16"/>
        </w:rPr>
        <w:lastRenderedPageBreak/>
        <w:t xml:space="preserve">Tabla </w:t>
      </w:r>
      <w:r w:rsidRPr="00B21AA3">
        <w:rPr>
          <w:rFonts w:ascii="Arial" w:hAnsi="Arial" w:cs="Arial"/>
          <w:b/>
          <w:bCs/>
          <w:i w:val="0"/>
          <w:iCs w:val="0"/>
          <w:color w:val="000000" w:themeColor="text1"/>
          <w:sz w:val="16"/>
          <w:szCs w:val="16"/>
        </w:rPr>
        <w:fldChar w:fldCharType="begin"/>
      </w:r>
      <w:r w:rsidRPr="00B21AA3">
        <w:rPr>
          <w:rFonts w:ascii="Arial" w:hAnsi="Arial" w:cs="Arial"/>
          <w:b/>
          <w:bCs/>
          <w:i w:val="0"/>
          <w:iCs w:val="0"/>
          <w:color w:val="000000" w:themeColor="text1"/>
          <w:sz w:val="16"/>
          <w:szCs w:val="16"/>
        </w:rPr>
        <w:instrText xml:space="preserve"> SEQ Tabla \* ARABIC </w:instrText>
      </w:r>
      <w:r w:rsidRPr="00B21AA3">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69</w:t>
      </w:r>
      <w:r w:rsidRPr="00B21AA3">
        <w:rPr>
          <w:rFonts w:ascii="Arial" w:hAnsi="Arial" w:cs="Arial"/>
          <w:b/>
          <w:bCs/>
          <w:i w:val="0"/>
          <w:iCs w:val="0"/>
          <w:color w:val="000000" w:themeColor="text1"/>
          <w:sz w:val="16"/>
          <w:szCs w:val="16"/>
        </w:rPr>
        <w:fldChar w:fldCharType="end"/>
      </w:r>
      <w:r w:rsidRPr="00B21AA3">
        <w:rPr>
          <w:rFonts w:ascii="Arial" w:hAnsi="Arial" w:cs="Arial"/>
          <w:b/>
          <w:bCs/>
          <w:i w:val="0"/>
          <w:iCs w:val="0"/>
          <w:color w:val="000000" w:themeColor="text1"/>
          <w:sz w:val="16"/>
          <w:szCs w:val="16"/>
        </w:rPr>
        <w:t>. Relación de interacción ciudadana mediante redes sociales 2021</w:t>
      </w:r>
      <w:bookmarkEnd w:id="186"/>
    </w:p>
    <w:p w14:paraId="0083DFE7" w14:textId="77777777" w:rsidR="00331B49" w:rsidRPr="00805038" w:rsidRDefault="00331B49" w:rsidP="00331B49">
      <w:pPr>
        <w:ind w:left="567"/>
        <w:jc w:val="center"/>
        <w:rPr>
          <w:rFonts w:cs="Arial"/>
          <w:b/>
          <w:bCs/>
          <w:sz w:val="16"/>
          <w:szCs w:val="16"/>
        </w:rPr>
      </w:pPr>
    </w:p>
    <w:tbl>
      <w:tblPr>
        <w:tblStyle w:val="Tabladecuadrcula4-nfasis1"/>
        <w:tblW w:w="8359" w:type="dxa"/>
        <w:jc w:val="center"/>
        <w:tblLayout w:type="fixed"/>
        <w:tblLook w:val="04A0" w:firstRow="1" w:lastRow="0" w:firstColumn="1" w:lastColumn="0" w:noHBand="0" w:noVBand="1"/>
      </w:tblPr>
      <w:tblGrid>
        <w:gridCol w:w="1629"/>
        <w:gridCol w:w="1629"/>
        <w:gridCol w:w="1629"/>
        <w:gridCol w:w="1629"/>
        <w:gridCol w:w="1843"/>
      </w:tblGrid>
      <w:tr w:rsidR="005325D9" w:rsidRPr="003048C1" w14:paraId="620C58BE" w14:textId="77777777" w:rsidTr="00A6302C">
        <w:trPr>
          <w:cnfStyle w:val="100000000000" w:firstRow="1" w:lastRow="0" w:firstColumn="0" w:lastColumn="0" w:oddVBand="0" w:evenVBand="0" w:oddHBand="0"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629" w:type="dxa"/>
            <w:vAlign w:val="center"/>
            <w:hideMark/>
          </w:tcPr>
          <w:p w14:paraId="79C6DB5E" w14:textId="77777777" w:rsidR="005325D9" w:rsidRPr="00805038" w:rsidRDefault="005325D9" w:rsidP="00C72779">
            <w:pPr>
              <w:jc w:val="center"/>
              <w:rPr>
                <w:rFonts w:cs="Arial"/>
                <w:sz w:val="20"/>
                <w:szCs w:val="22"/>
                <w:lang w:eastAsia="es-CO"/>
              </w:rPr>
            </w:pPr>
            <w:r w:rsidRPr="00805038">
              <w:rPr>
                <w:rFonts w:cs="Arial"/>
                <w:sz w:val="20"/>
                <w:szCs w:val="22"/>
                <w:lang w:eastAsia="es-CO"/>
              </w:rPr>
              <w:t>Trimestre</w:t>
            </w:r>
          </w:p>
        </w:tc>
        <w:tc>
          <w:tcPr>
            <w:tcW w:w="1629" w:type="dxa"/>
            <w:noWrap/>
            <w:vAlign w:val="center"/>
            <w:hideMark/>
          </w:tcPr>
          <w:p w14:paraId="5CDA976A"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lang w:eastAsia="es-CO"/>
              </w:rPr>
              <w:t>Instagram</w:t>
            </w:r>
          </w:p>
        </w:tc>
        <w:tc>
          <w:tcPr>
            <w:tcW w:w="1629" w:type="dxa"/>
            <w:noWrap/>
            <w:vAlign w:val="center"/>
            <w:hideMark/>
          </w:tcPr>
          <w:p w14:paraId="48EF977F"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lang w:eastAsia="es-CO"/>
              </w:rPr>
              <w:t>Facebook</w:t>
            </w:r>
          </w:p>
        </w:tc>
        <w:tc>
          <w:tcPr>
            <w:tcW w:w="1629" w:type="dxa"/>
            <w:noWrap/>
            <w:vAlign w:val="center"/>
            <w:hideMark/>
          </w:tcPr>
          <w:p w14:paraId="2A93C2BF"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lang w:eastAsia="es-CO"/>
              </w:rPr>
              <w:t>Twitter</w:t>
            </w:r>
          </w:p>
        </w:tc>
        <w:tc>
          <w:tcPr>
            <w:tcW w:w="1843" w:type="dxa"/>
            <w:noWrap/>
            <w:vAlign w:val="center"/>
            <w:hideMark/>
          </w:tcPr>
          <w:p w14:paraId="01A2EA8A" w14:textId="77777777" w:rsidR="005325D9" w:rsidRPr="00805038"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eastAsia="es-CO"/>
              </w:rPr>
            </w:pPr>
            <w:r w:rsidRPr="00805038">
              <w:rPr>
                <w:rFonts w:cs="Arial"/>
                <w:sz w:val="20"/>
                <w:szCs w:val="22"/>
                <w:lang w:eastAsia="es-CO"/>
              </w:rPr>
              <w:t>Total interacciones</w:t>
            </w:r>
          </w:p>
        </w:tc>
      </w:tr>
      <w:tr w:rsidR="005325D9" w:rsidRPr="003048C1" w14:paraId="1F66436A"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1629" w:type="dxa"/>
            <w:vAlign w:val="center"/>
            <w:hideMark/>
          </w:tcPr>
          <w:p w14:paraId="0EB55C1A" w14:textId="77777777" w:rsidR="005325D9" w:rsidRPr="00805038" w:rsidRDefault="005325D9" w:rsidP="00C72779">
            <w:pPr>
              <w:jc w:val="center"/>
              <w:rPr>
                <w:rFonts w:cs="Arial"/>
                <w:color w:val="000000"/>
                <w:sz w:val="20"/>
                <w:szCs w:val="22"/>
                <w:lang w:eastAsia="es-CO"/>
              </w:rPr>
            </w:pPr>
            <w:r w:rsidRPr="00805038">
              <w:rPr>
                <w:rFonts w:cs="Arial"/>
                <w:color w:val="000000"/>
                <w:sz w:val="20"/>
                <w:szCs w:val="22"/>
                <w:lang w:eastAsia="es-CO"/>
              </w:rPr>
              <w:t>I</w:t>
            </w:r>
          </w:p>
        </w:tc>
        <w:tc>
          <w:tcPr>
            <w:tcW w:w="1629" w:type="dxa"/>
            <w:noWrap/>
            <w:vAlign w:val="center"/>
            <w:hideMark/>
          </w:tcPr>
          <w:p w14:paraId="5E9AFFAD"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74</w:t>
            </w:r>
          </w:p>
        </w:tc>
        <w:tc>
          <w:tcPr>
            <w:tcW w:w="1629" w:type="dxa"/>
            <w:noWrap/>
            <w:vAlign w:val="center"/>
            <w:hideMark/>
          </w:tcPr>
          <w:p w14:paraId="7B4F6C75"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415</w:t>
            </w:r>
          </w:p>
        </w:tc>
        <w:tc>
          <w:tcPr>
            <w:tcW w:w="1629" w:type="dxa"/>
            <w:noWrap/>
            <w:vAlign w:val="center"/>
            <w:hideMark/>
          </w:tcPr>
          <w:p w14:paraId="3100B1D3"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63</w:t>
            </w:r>
          </w:p>
        </w:tc>
        <w:tc>
          <w:tcPr>
            <w:tcW w:w="1843" w:type="dxa"/>
            <w:noWrap/>
            <w:vAlign w:val="center"/>
            <w:hideMark/>
          </w:tcPr>
          <w:p w14:paraId="02B2C618"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552</w:t>
            </w:r>
          </w:p>
        </w:tc>
      </w:tr>
      <w:tr w:rsidR="005325D9" w:rsidRPr="003048C1" w14:paraId="75EBF068"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1629" w:type="dxa"/>
            <w:vAlign w:val="center"/>
            <w:hideMark/>
          </w:tcPr>
          <w:p w14:paraId="3134F1EF" w14:textId="77777777" w:rsidR="005325D9" w:rsidRPr="00805038" w:rsidRDefault="005325D9" w:rsidP="00C72779">
            <w:pPr>
              <w:jc w:val="center"/>
              <w:rPr>
                <w:rFonts w:cs="Arial"/>
                <w:color w:val="000000"/>
                <w:sz w:val="20"/>
                <w:szCs w:val="22"/>
                <w:lang w:eastAsia="es-CO"/>
              </w:rPr>
            </w:pPr>
            <w:r w:rsidRPr="00805038">
              <w:rPr>
                <w:rFonts w:cs="Arial"/>
                <w:color w:val="000000"/>
                <w:sz w:val="20"/>
                <w:szCs w:val="22"/>
                <w:lang w:eastAsia="es-CO"/>
              </w:rPr>
              <w:t>II</w:t>
            </w:r>
          </w:p>
        </w:tc>
        <w:tc>
          <w:tcPr>
            <w:tcW w:w="1629" w:type="dxa"/>
            <w:noWrap/>
            <w:vAlign w:val="center"/>
            <w:hideMark/>
          </w:tcPr>
          <w:p w14:paraId="57321FAF"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116</w:t>
            </w:r>
          </w:p>
        </w:tc>
        <w:tc>
          <w:tcPr>
            <w:tcW w:w="1629" w:type="dxa"/>
            <w:noWrap/>
            <w:vAlign w:val="center"/>
            <w:hideMark/>
          </w:tcPr>
          <w:p w14:paraId="38F66FD1"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553</w:t>
            </w:r>
          </w:p>
        </w:tc>
        <w:tc>
          <w:tcPr>
            <w:tcW w:w="1629" w:type="dxa"/>
            <w:noWrap/>
            <w:vAlign w:val="center"/>
            <w:hideMark/>
          </w:tcPr>
          <w:p w14:paraId="612C6656"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118</w:t>
            </w:r>
          </w:p>
        </w:tc>
        <w:tc>
          <w:tcPr>
            <w:tcW w:w="1843" w:type="dxa"/>
            <w:noWrap/>
            <w:vAlign w:val="center"/>
          </w:tcPr>
          <w:p w14:paraId="7F5EE108"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787</w:t>
            </w:r>
          </w:p>
        </w:tc>
      </w:tr>
      <w:tr w:rsidR="005325D9" w:rsidRPr="003048C1" w14:paraId="3026A614"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1629" w:type="dxa"/>
            <w:vAlign w:val="center"/>
            <w:hideMark/>
          </w:tcPr>
          <w:p w14:paraId="7772B366" w14:textId="77777777" w:rsidR="005325D9" w:rsidRPr="00805038" w:rsidRDefault="005325D9" w:rsidP="00C72779">
            <w:pPr>
              <w:jc w:val="center"/>
              <w:rPr>
                <w:rFonts w:cs="Arial"/>
                <w:color w:val="000000"/>
                <w:sz w:val="20"/>
                <w:szCs w:val="22"/>
                <w:lang w:eastAsia="es-CO"/>
              </w:rPr>
            </w:pPr>
            <w:r w:rsidRPr="00805038">
              <w:rPr>
                <w:rFonts w:cs="Arial"/>
                <w:color w:val="000000"/>
                <w:sz w:val="20"/>
                <w:szCs w:val="22"/>
                <w:lang w:eastAsia="es-CO"/>
              </w:rPr>
              <w:t>III</w:t>
            </w:r>
          </w:p>
        </w:tc>
        <w:tc>
          <w:tcPr>
            <w:tcW w:w="1629" w:type="dxa"/>
            <w:noWrap/>
            <w:vAlign w:val="center"/>
            <w:hideMark/>
          </w:tcPr>
          <w:p w14:paraId="0659465F"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99</w:t>
            </w:r>
          </w:p>
        </w:tc>
        <w:tc>
          <w:tcPr>
            <w:tcW w:w="1629" w:type="dxa"/>
            <w:noWrap/>
            <w:vAlign w:val="center"/>
            <w:hideMark/>
          </w:tcPr>
          <w:p w14:paraId="29ED56CC"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602</w:t>
            </w:r>
          </w:p>
        </w:tc>
        <w:tc>
          <w:tcPr>
            <w:tcW w:w="1629" w:type="dxa"/>
            <w:noWrap/>
            <w:vAlign w:val="center"/>
            <w:hideMark/>
          </w:tcPr>
          <w:p w14:paraId="11279100"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145</w:t>
            </w:r>
          </w:p>
        </w:tc>
        <w:tc>
          <w:tcPr>
            <w:tcW w:w="1843" w:type="dxa"/>
            <w:noWrap/>
            <w:vAlign w:val="center"/>
          </w:tcPr>
          <w:p w14:paraId="35F26C04" w14:textId="77777777" w:rsidR="005325D9" w:rsidRPr="00805038"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846</w:t>
            </w:r>
          </w:p>
        </w:tc>
      </w:tr>
      <w:tr w:rsidR="005325D9" w:rsidRPr="003048C1" w14:paraId="6F4C2D76"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1629" w:type="dxa"/>
            <w:vAlign w:val="center"/>
            <w:hideMark/>
          </w:tcPr>
          <w:p w14:paraId="55BE11D3" w14:textId="77777777" w:rsidR="005325D9" w:rsidRPr="00805038" w:rsidRDefault="005325D9" w:rsidP="00C72779">
            <w:pPr>
              <w:jc w:val="center"/>
              <w:rPr>
                <w:rFonts w:cs="Arial"/>
                <w:color w:val="000000"/>
                <w:sz w:val="20"/>
                <w:szCs w:val="22"/>
                <w:lang w:eastAsia="es-CO"/>
              </w:rPr>
            </w:pPr>
            <w:r w:rsidRPr="00805038">
              <w:rPr>
                <w:rFonts w:cs="Arial"/>
                <w:color w:val="000000"/>
                <w:sz w:val="20"/>
                <w:szCs w:val="22"/>
                <w:lang w:eastAsia="es-CO"/>
              </w:rPr>
              <w:t>Total 2021</w:t>
            </w:r>
          </w:p>
        </w:tc>
        <w:tc>
          <w:tcPr>
            <w:tcW w:w="1629" w:type="dxa"/>
            <w:noWrap/>
            <w:vAlign w:val="center"/>
          </w:tcPr>
          <w:p w14:paraId="77BEAD35"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289</w:t>
            </w:r>
          </w:p>
        </w:tc>
        <w:tc>
          <w:tcPr>
            <w:tcW w:w="1629" w:type="dxa"/>
            <w:noWrap/>
            <w:vAlign w:val="center"/>
          </w:tcPr>
          <w:p w14:paraId="6907B71F"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1.570</w:t>
            </w:r>
          </w:p>
        </w:tc>
        <w:tc>
          <w:tcPr>
            <w:tcW w:w="1629" w:type="dxa"/>
            <w:noWrap/>
            <w:vAlign w:val="center"/>
          </w:tcPr>
          <w:p w14:paraId="68091D9D"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326</w:t>
            </w:r>
          </w:p>
        </w:tc>
        <w:tc>
          <w:tcPr>
            <w:tcW w:w="1843" w:type="dxa"/>
            <w:noWrap/>
            <w:vAlign w:val="center"/>
            <w:hideMark/>
          </w:tcPr>
          <w:p w14:paraId="40C20BD1" w14:textId="77777777" w:rsidR="005325D9" w:rsidRPr="00805038"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2"/>
                <w:lang w:eastAsia="es-CO"/>
              </w:rPr>
            </w:pPr>
            <w:r w:rsidRPr="00805038">
              <w:rPr>
                <w:rFonts w:cs="Arial"/>
                <w:color w:val="000000"/>
                <w:sz w:val="20"/>
                <w:szCs w:val="22"/>
                <w:lang w:eastAsia="es-CO"/>
              </w:rPr>
              <w:t>2.185</w:t>
            </w:r>
          </w:p>
        </w:tc>
      </w:tr>
    </w:tbl>
    <w:p w14:paraId="5FCC84E4" w14:textId="3E386D56" w:rsidR="005325D9" w:rsidRPr="008179E9" w:rsidRDefault="145C22D2" w:rsidP="00331B49">
      <w:pPr>
        <w:jc w:val="center"/>
        <w:rPr>
          <w:b/>
          <w:bCs/>
        </w:rPr>
      </w:pPr>
      <w:r w:rsidRPr="31FF9146">
        <w:rPr>
          <w:rFonts w:cs="Arial"/>
          <w:b/>
          <w:bCs/>
          <w:sz w:val="16"/>
          <w:szCs w:val="16"/>
        </w:rPr>
        <w:t>Fuente: Oficina de Relación con el Ciudadano</w:t>
      </w:r>
    </w:p>
    <w:p w14:paraId="42EB70AB" w14:textId="77CE601D" w:rsidR="005325D9" w:rsidRPr="008179E9" w:rsidRDefault="005325D9" w:rsidP="31FF9146">
      <w:pPr>
        <w:ind w:left="567" w:firstLine="360"/>
        <w:jc w:val="both"/>
        <w:rPr>
          <w:b/>
          <w:bCs/>
        </w:rPr>
      </w:pPr>
    </w:p>
    <w:p w14:paraId="43BC5F6E" w14:textId="77777777" w:rsidR="00331B49" w:rsidRPr="00805038" w:rsidRDefault="00331B49" w:rsidP="000A20EE">
      <w:pPr>
        <w:pStyle w:val="Prrafodelista"/>
        <w:numPr>
          <w:ilvl w:val="0"/>
          <w:numId w:val="188"/>
        </w:numPr>
        <w:suppressAutoHyphens w:val="0"/>
        <w:contextualSpacing/>
        <w:rPr>
          <w:rFonts w:cs="Arial"/>
          <w:b/>
          <w:sz w:val="22"/>
          <w:szCs w:val="22"/>
        </w:rPr>
      </w:pPr>
      <w:r w:rsidRPr="00805038">
        <w:rPr>
          <w:rFonts w:cs="Arial"/>
          <w:b/>
          <w:sz w:val="22"/>
          <w:szCs w:val="22"/>
        </w:rPr>
        <w:t>CANAL PRESENCIAL</w:t>
      </w:r>
    </w:p>
    <w:p w14:paraId="6A603878" w14:textId="7DFEAD22" w:rsidR="005325D9" w:rsidRPr="008179E9" w:rsidRDefault="005325D9" w:rsidP="00331B49">
      <w:pPr>
        <w:rPr>
          <w:rFonts w:cs="Arial"/>
          <w:sz w:val="22"/>
          <w:szCs w:val="22"/>
        </w:rPr>
      </w:pPr>
    </w:p>
    <w:p w14:paraId="086331C8" w14:textId="77777777" w:rsidR="005325D9" w:rsidRPr="008179E9" w:rsidRDefault="005325D9" w:rsidP="00331B49">
      <w:pPr>
        <w:jc w:val="both"/>
        <w:rPr>
          <w:rFonts w:cs="Arial"/>
          <w:sz w:val="22"/>
          <w:szCs w:val="22"/>
        </w:rPr>
      </w:pPr>
      <w:r w:rsidRPr="008179E9">
        <w:rPr>
          <w:rFonts w:cs="Arial"/>
          <w:sz w:val="22"/>
          <w:szCs w:val="22"/>
        </w:rPr>
        <w:t>La atención a través del canal presencial se presta en la Sede Central, las 22 Direcciones Territoriales y el Centro de Atención de San Andrés, Providencia y Santa Catalina.</w:t>
      </w:r>
    </w:p>
    <w:p w14:paraId="6079857E" w14:textId="2E44E9EA" w:rsidR="005325D9" w:rsidRPr="008179E9" w:rsidRDefault="005325D9" w:rsidP="00331B49">
      <w:pPr>
        <w:rPr>
          <w:rFonts w:cs="Arial"/>
          <w:sz w:val="22"/>
          <w:szCs w:val="22"/>
        </w:rPr>
      </w:pPr>
    </w:p>
    <w:p w14:paraId="310329B0" w14:textId="77777777" w:rsidR="005325D9" w:rsidRPr="008179E9" w:rsidRDefault="005325D9" w:rsidP="00331B49">
      <w:pPr>
        <w:jc w:val="both"/>
        <w:rPr>
          <w:rFonts w:cs="Arial"/>
          <w:sz w:val="22"/>
          <w:szCs w:val="22"/>
        </w:rPr>
      </w:pPr>
      <w:r w:rsidRPr="008179E9">
        <w:rPr>
          <w:rFonts w:cs="Arial"/>
          <w:sz w:val="22"/>
          <w:szCs w:val="22"/>
        </w:rPr>
        <w:t>Mediante las Circulares 43, 75 y 89 de 2020 y 43 de 2020, se definen las medidas, alcance, responsabilidades y protocolos de bioseguridad para los funcionarios y contratistas del Instituto, en especial frente a la atención presencial se ordena la supresión del uso de los elementos biométricos y evitar la manipulación de digiturnos. De igual forma se da orientación a los Directores Territoriales para que acojan las medidas que dicten las respectivas autoridades territoriales respecto de horarios de atención al público u otras restricciones como el pico y cédula/género.</w:t>
      </w:r>
    </w:p>
    <w:p w14:paraId="61630287" w14:textId="24CE7387" w:rsidR="005325D9" w:rsidRPr="008179E9" w:rsidRDefault="005325D9" w:rsidP="00331B49">
      <w:pPr>
        <w:rPr>
          <w:rFonts w:cs="Arial"/>
          <w:sz w:val="22"/>
          <w:szCs w:val="22"/>
        </w:rPr>
      </w:pPr>
    </w:p>
    <w:p w14:paraId="2E64DAB9" w14:textId="77777777" w:rsidR="005325D9" w:rsidRPr="008179E9" w:rsidRDefault="005325D9" w:rsidP="00331B49">
      <w:pPr>
        <w:jc w:val="both"/>
        <w:rPr>
          <w:rFonts w:cs="Arial"/>
          <w:sz w:val="22"/>
          <w:szCs w:val="22"/>
        </w:rPr>
      </w:pPr>
      <w:r w:rsidRPr="008179E9">
        <w:rPr>
          <w:rFonts w:cs="Arial"/>
          <w:sz w:val="22"/>
          <w:szCs w:val="22"/>
        </w:rPr>
        <w:t>Desde la Oficina de Relación con el Ciudadano se cuenta en Sede Central con la atención incluyente de intérprete de lengua de señas colombiana, para atender a personas con discapacidad auditiva, quien apoya de manera virtual las necesidades que surjan a nivel nacional.</w:t>
      </w:r>
    </w:p>
    <w:p w14:paraId="6E27B156" w14:textId="1F32BA64" w:rsidR="005325D9" w:rsidRPr="008179E9" w:rsidRDefault="005325D9" w:rsidP="00C72779">
      <w:pPr>
        <w:pStyle w:val="Prrafodelista"/>
        <w:ind w:left="927"/>
        <w:rPr>
          <w:rFonts w:cs="Arial"/>
          <w:sz w:val="22"/>
          <w:szCs w:val="22"/>
        </w:rPr>
      </w:pPr>
    </w:p>
    <w:p w14:paraId="03CB310C" w14:textId="77777777" w:rsidR="005325D9" w:rsidRPr="008179E9" w:rsidRDefault="005325D9" w:rsidP="00331B49">
      <w:pPr>
        <w:jc w:val="both"/>
        <w:rPr>
          <w:rFonts w:cs="Arial"/>
          <w:sz w:val="22"/>
          <w:szCs w:val="22"/>
        </w:rPr>
      </w:pPr>
      <w:r w:rsidRPr="008179E9">
        <w:rPr>
          <w:rFonts w:cs="Arial"/>
          <w:sz w:val="22"/>
          <w:szCs w:val="22"/>
        </w:rPr>
        <w:t>En el mes de agosto de 2021 mediante circular, se emitieron los parámetros para el retorno al trabajo presencial de los servidores públicos. Así mismo, en este mes se prorroga la emergencia sanitaria por el COVID-19, hasta el 30 de noviembre de 2021 en todo el territorio nacional mediante Resolución 1315 de 2021.</w:t>
      </w:r>
    </w:p>
    <w:p w14:paraId="25255621" w14:textId="78255894" w:rsidR="005325D9" w:rsidRPr="008179E9" w:rsidRDefault="005325D9" w:rsidP="00C72779">
      <w:pPr>
        <w:pStyle w:val="Prrafodelista"/>
        <w:ind w:left="927"/>
        <w:rPr>
          <w:rFonts w:cs="Arial"/>
          <w:sz w:val="22"/>
          <w:szCs w:val="22"/>
        </w:rPr>
      </w:pPr>
    </w:p>
    <w:p w14:paraId="2465EF61" w14:textId="0984B48C" w:rsidR="005325D9" w:rsidRPr="008179E9" w:rsidRDefault="005325D9" w:rsidP="00331B49">
      <w:pPr>
        <w:jc w:val="both"/>
        <w:rPr>
          <w:rFonts w:cs="Arial"/>
          <w:sz w:val="22"/>
          <w:szCs w:val="22"/>
        </w:rPr>
      </w:pPr>
      <w:r w:rsidRPr="31FF9146">
        <w:rPr>
          <w:rFonts w:cs="Arial"/>
          <w:sz w:val="22"/>
          <w:szCs w:val="22"/>
        </w:rPr>
        <w:t xml:space="preserve">De acuerdo con la información enviada por cada una de las Direcciones Territoriales frente a la atención presencial, se presentan las cifras correspondientes durante la vigencia 2021: </w:t>
      </w:r>
    </w:p>
    <w:p w14:paraId="759D2956" w14:textId="4BC42631" w:rsidR="005325D9" w:rsidRPr="00805038" w:rsidRDefault="005325D9" w:rsidP="00C72779">
      <w:pPr>
        <w:pStyle w:val="Prrafodelista"/>
        <w:ind w:left="927"/>
        <w:rPr>
          <w:rFonts w:cs="Arial"/>
          <w:b/>
          <w:sz w:val="16"/>
          <w:szCs w:val="22"/>
        </w:rPr>
      </w:pPr>
    </w:p>
    <w:p w14:paraId="228E9F8C" w14:textId="5A355EB3" w:rsidR="00B21AA3" w:rsidRPr="00B21AA3" w:rsidRDefault="00B21AA3" w:rsidP="00B21AA3">
      <w:pPr>
        <w:pStyle w:val="Descripcin"/>
        <w:keepNext/>
        <w:jc w:val="center"/>
        <w:rPr>
          <w:rFonts w:ascii="Arial" w:hAnsi="Arial" w:cs="Arial"/>
          <w:b/>
          <w:bCs/>
          <w:i w:val="0"/>
          <w:iCs w:val="0"/>
          <w:color w:val="000000" w:themeColor="text1"/>
          <w:sz w:val="16"/>
          <w:szCs w:val="16"/>
        </w:rPr>
      </w:pPr>
      <w:bookmarkStart w:id="187" w:name="_Toc88677142"/>
      <w:r w:rsidRPr="00B21AA3">
        <w:rPr>
          <w:rFonts w:ascii="Arial" w:hAnsi="Arial" w:cs="Arial"/>
          <w:b/>
          <w:bCs/>
          <w:i w:val="0"/>
          <w:iCs w:val="0"/>
          <w:color w:val="000000" w:themeColor="text1"/>
          <w:sz w:val="16"/>
          <w:szCs w:val="16"/>
        </w:rPr>
        <w:t xml:space="preserve">Tabla </w:t>
      </w:r>
      <w:r w:rsidRPr="00B21AA3">
        <w:rPr>
          <w:rFonts w:ascii="Arial" w:hAnsi="Arial" w:cs="Arial"/>
          <w:b/>
          <w:bCs/>
          <w:i w:val="0"/>
          <w:iCs w:val="0"/>
          <w:color w:val="000000" w:themeColor="text1"/>
          <w:sz w:val="16"/>
          <w:szCs w:val="16"/>
        </w:rPr>
        <w:fldChar w:fldCharType="begin"/>
      </w:r>
      <w:r w:rsidRPr="00B21AA3">
        <w:rPr>
          <w:rFonts w:ascii="Arial" w:hAnsi="Arial" w:cs="Arial"/>
          <w:b/>
          <w:bCs/>
          <w:i w:val="0"/>
          <w:iCs w:val="0"/>
          <w:color w:val="000000" w:themeColor="text1"/>
          <w:sz w:val="16"/>
          <w:szCs w:val="16"/>
        </w:rPr>
        <w:instrText xml:space="preserve"> SEQ Tabla \* ARABIC </w:instrText>
      </w:r>
      <w:r w:rsidRPr="00B21AA3">
        <w:rPr>
          <w:rFonts w:ascii="Arial" w:hAnsi="Arial" w:cs="Arial"/>
          <w:b/>
          <w:bCs/>
          <w:i w:val="0"/>
          <w:iCs w:val="0"/>
          <w:color w:val="000000" w:themeColor="text1"/>
          <w:sz w:val="16"/>
          <w:szCs w:val="16"/>
        </w:rPr>
        <w:fldChar w:fldCharType="separate"/>
      </w:r>
      <w:r w:rsidR="004D4C6A">
        <w:rPr>
          <w:rFonts w:ascii="Arial" w:hAnsi="Arial" w:cs="Arial"/>
          <w:b/>
          <w:bCs/>
          <w:i w:val="0"/>
          <w:iCs w:val="0"/>
          <w:noProof/>
          <w:color w:val="000000" w:themeColor="text1"/>
          <w:sz w:val="16"/>
          <w:szCs w:val="16"/>
        </w:rPr>
        <w:t>70</w:t>
      </w:r>
      <w:r w:rsidRPr="00B21AA3">
        <w:rPr>
          <w:rFonts w:ascii="Arial" w:hAnsi="Arial" w:cs="Arial"/>
          <w:b/>
          <w:bCs/>
          <w:i w:val="0"/>
          <w:iCs w:val="0"/>
          <w:color w:val="000000" w:themeColor="text1"/>
          <w:sz w:val="16"/>
          <w:szCs w:val="16"/>
        </w:rPr>
        <w:fldChar w:fldCharType="end"/>
      </w:r>
      <w:r w:rsidRPr="00B21AA3">
        <w:rPr>
          <w:rFonts w:ascii="Arial" w:hAnsi="Arial" w:cs="Arial"/>
          <w:b/>
          <w:bCs/>
          <w:i w:val="0"/>
          <w:iCs w:val="0"/>
          <w:color w:val="000000" w:themeColor="text1"/>
          <w:sz w:val="16"/>
          <w:szCs w:val="16"/>
        </w:rPr>
        <w:t>. Relación de atención presencial del Instituto 2021</w:t>
      </w:r>
      <w:bookmarkEnd w:id="187"/>
    </w:p>
    <w:tbl>
      <w:tblPr>
        <w:tblStyle w:val="Tabladecuadrcula4-nfasis1"/>
        <w:tblW w:w="6647" w:type="dxa"/>
        <w:jc w:val="center"/>
        <w:tblLook w:val="04A0" w:firstRow="1" w:lastRow="0" w:firstColumn="1" w:lastColumn="0" w:noHBand="0" w:noVBand="1"/>
      </w:tblPr>
      <w:tblGrid>
        <w:gridCol w:w="1975"/>
        <w:gridCol w:w="1072"/>
        <w:gridCol w:w="1200"/>
        <w:gridCol w:w="1200"/>
        <w:gridCol w:w="1200"/>
      </w:tblGrid>
      <w:tr w:rsidR="00331B49" w:rsidRPr="00805038" w14:paraId="646DAD6B" w14:textId="77777777" w:rsidTr="00A6302C">
        <w:trPr>
          <w:cnfStyle w:val="100000000000" w:firstRow="1" w:lastRow="0" w:firstColumn="0" w:lastColumn="0" w:oddVBand="0" w:evenVBand="0" w:oddHBand="0" w:evenHBand="0" w:firstRowFirstColumn="0" w:firstRowLastColumn="0" w:lastRowFirstColumn="0" w:lastRowLastColumn="0"/>
          <w:trHeight w:val="525"/>
          <w:tblHeader/>
          <w:jc w:val="center"/>
        </w:trPr>
        <w:tc>
          <w:tcPr>
            <w:cnfStyle w:val="001000000000" w:firstRow="0" w:lastRow="0" w:firstColumn="1" w:lastColumn="0" w:oddVBand="0" w:evenVBand="0" w:oddHBand="0" w:evenHBand="0" w:firstRowFirstColumn="0" w:firstRowLastColumn="0" w:lastRowFirstColumn="0" w:lastRowLastColumn="0"/>
            <w:tcW w:w="1975" w:type="dxa"/>
            <w:vAlign w:val="center"/>
            <w:hideMark/>
          </w:tcPr>
          <w:p w14:paraId="6D5CEF20" w14:textId="77777777" w:rsidR="00331B49" w:rsidRPr="00805038" w:rsidRDefault="00331B49" w:rsidP="00A6302C">
            <w:pPr>
              <w:jc w:val="center"/>
              <w:rPr>
                <w:rFonts w:cs="Arial"/>
                <w:sz w:val="20"/>
                <w:szCs w:val="20"/>
                <w:lang w:eastAsia="es-CO"/>
              </w:rPr>
            </w:pPr>
            <w:r w:rsidRPr="00805038">
              <w:rPr>
                <w:rFonts w:cs="Arial"/>
                <w:sz w:val="20"/>
                <w:szCs w:val="20"/>
                <w:lang w:eastAsia="es-CO"/>
              </w:rPr>
              <w:t>Direcciones Territoriales</w:t>
            </w:r>
          </w:p>
        </w:tc>
        <w:tc>
          <w:tcPr>
            <w:tcW w:w="1072" w:type="dxa"/>
            <w:vAlign w:val="center"/>
            <w:hideMark/>
          </w:tcPr>
          <w:p w14:paraId="214E8CD9" w14:textId="77777777" w:rsidR="00331B49" w:rsidRPr="00805038"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805038">
              <w:rPr>
                <w:rFonts w:cs="Arial"/>
                <w:sz w:val="20"/>
                <w:szCs w:val="20"/>
                <w:lang w:eastAsia="es-CO"/>
              </w:rPr>
              <w:t>I trimestre</w:t>
            </w:r>
          </w:p>
        </w:tc>
        <w:tc>
          <w:tcPr>
            <w:tcW w:w="1200" w:type="dxa"/>
            <w:vAlign w:val="center"/>
            <w:hideMark/>
          </w:tcPr>
          <w:p w14:paraId="5D7E1BCD" w14:textId="77777777" w:rsidR="00331B49" w:rsidRPr="00805038"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805038">
              <w:rPr>
                <w:rFonts w:cs="Arial"/>
                <w:sz w:val="20"/>
                <w:szCs w:val="20"/>
                <w:lang w:eastAsia="es-CO"/>
              </w:rPr>
              <w:t>II Trimestre</w:t>
            </w:r>
          </w:p>
        </w:tc>
        <w:tc>
          <w:tcPr>
            <w:tcW w:w="1200" w:type="dxa"/>
            <w:vAlign w:val="center"/>
            <w:hideMark/>
          </w:tcPr>
          <w:p w14:paraId="49FD5F70" w14:textId="77777777" w:rsidR="00331B49" w:rsidRPr="00805038"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805038">
              <w:rPr>
                <w:rFonts w:cs="Arial"/>
                <w:sz w:val="20"/>
                <w:szCs w:val="20"/>
                <w:lang w:eastAsia="es-CO"/>
              </w:rPr>
              <w:t>III Trimestre</w:t>
            </w:r>
          </w:p>
        </w:tc>
        <w:tc>
          <w:tcPr>
            <w:tcW w:w="1200" w:type="dxa"/>
            <w:vAlign w:val="center"/>
            <w:hideMark/>
          </w:tcPr>
          <w:p w14:paraId="18432EF8" w14:textId="77777777" w:rsidR="00331B49" w:rsidRPr="00805038"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eastAsia="es-CO"/>
              </w:rPr>
            </w:pPr>
            <w:r w:rsidRPr="00805038">
              <w:rPr>
                <w:rFonts w:cs="Arial"/>
                <w:sz w:val="20"/>
                <w:szCs w:val="20"/>
                <w:lang w:eastAsia="es-CO"/>
              </w:rPr>
              <w:t>Total</w:t>
            </w:r>
          </w:p>
        </w:tc>
      </w:tr>
      <w:tr w:rsidR="00331B49" w:rsidRPr="00805038" w14:paraId="643E06CA"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5EA2CD18"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Bolívar</w:t>
            </w:r>
          </w:p>
        </w:tc>
        <w:tc>
          <w:tcPr>
            <w:tcW w:w="1072" w:type="dxa"/>
            <w:noWrap/>
            <w:vAlign w:val="center"/>
            <w:hideMark/>
          </w:tcPr>
          <w:p w14:paraId="26A2E8CA"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7.563</w:t>
            </w:r>
          </w:p>
        </w:tc>
        <w:tc>
          <w:tcPr>
            <w:tcW w:w="1200" w:type="dxa"/>
            <w:noWrap/>
            <w:vAlign w:val="center"/>
            <w:hideMark/>
          </w:tcPr>
          <w:p w14:paraId="52C94368"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5.692</w:t>
            </w:r>
          </w:p>
        </w:tc>
        <w:tc>
          <w:tcPr>
            <w:tcW w:w="1200" w:type="dxa"/>
            <w:noWrap/>
            <w:vAlign w:val="center"/>
            <w:hideMark/>
          </w:tcPr>
          <w:p w14:paraId="0E2BC53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6.627</w:t>
            </w:r>
          </w:p>
        </w:tc>
        <w:tc>
          <w:tcPr>
            <w:tcW w:w="1200" w:type="dxa"/>
            <w:noWrap/>
            <w:vAlign w:val="center"/>
            <w:hideMark/>
          </w:tcPr>
          <w:p w14:paraId="4038F5E4"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6.627</w:t>
            </w:r>
          </w:p>
        </w:tc>
      </w:tr>
      <w:tr w:rsidR="00331B49" w:rsidRPr="00805038" w14:paraId="468AC843"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3A9760DB"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Boyacá</w:t>
            </w:r>
          </w:p>
        </w:tc>
        <w:tc>
          <w:tcPr>
            <w:tcW w:w="1072" w:type="dxa"/>
            <w:noWrap/>
            <w:vAlign w:val="center"/>
            <w:hideMark/>
          </w:tcPr>
          <w:p w14:paraId="5C6B737E"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7.415</w:t>
            </w:r>
          </w:p>
        </w:tc>
        <w:tc>
          <w:tcPr>
            <w:tcW w:w="1200" w:type="dxa"/>
            <w:noWrap/>
            <w:vAlign w:val="center"/>
            <w:hideMark/>
          </w:tcPr>
          <w:p w14:paraId="213AA2FC"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8.087</w:t>
            </w:r>
          </w:p>
        </w:tc>
        <w:tc>
          <w:tcPr>
            <w:tcW w:w="1200" w:type="dxa"/>
            <w:noWrap/>
            <w:vAlign w:val="center"/>
            <w:hideMark/>
          </w:tcPr>
          <w:p w14:paraId="618B5AD6"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9.516</w:t>
            </w:r>
          </w:p>
        </w:tc>
        <w:tc>
          <w:tcPr>
            <w:tcW w:w="1200" w:type="dxa"/>
            <w:noWrap/>
            <w:vAlign w:val="center"/>
            <w:hideMark/>
          </w:tcPr>
          <w:p w14:paraId="3A28B3E9"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9.516</w:t>
            </w:r>
          </w:p>
        </w:tc>
      </w:tr>
      <w:tr w:rsidR="00331B49" w:rsidRPr="00805038" w14:paraId="2FA560B7"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55318B47"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Quindío</w:t>
            </w:r>
          </w:p>
        </w:tc>
        <w:tc>
          <w:tcPr>
            <w:tcW w:w="1072" w:type="dxa"/>
            <w:noWrap/>
            <w:vAlign w:val="center"/>
            <w:hideMark/>
          </w:tcPr>
          <w:p w14:paraId="68B913EF"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6.801</w:t>
            </w:r>
          </w:p>
        </w:tc>
        <w:tc>
          <w:tcPr>
            <w:tcW w:w="1200" w:type="dxa"/>
            <w:noWrap/>
            <w:vAlign w:val="center"/>
            <w:hideMark/>
          </w:tcPr>
          <w:p w14:paraId="1F3E9C4E"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1.638</w:t>
            </w:r>
          </w:p>
        </w:tc>
        <w:tc>
          <w:tcPr>
            <w:tcW w:w="1200" w:type="dxa"/>
            <w:noWrap/>
            <w:vAlign w:val="center"/>
            <w:hideMark/>
          </w:tcPr>
          <w:p w14:paraId="3FFF261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3A6429D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55E78FEF"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767C16E2"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Sucre</w:t>
            </w:r>
          </w:p>
        </w:tc>
        <w:tc>
          <w:tcPr>
            <w:tcW w:w="1072" w:type="dxa"/>
            <w:noWrap/>
            <w:vAlign w:val="center"/>
            <w:hideMark/>
          </w:tcPr>
          <w:p w14:paraId="1186C41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6.570</w:t>
            </w:r>
          </w:p>
        </w:tc>
        <w:tc>
          <w:tcPr>
            <w:tcW w:w="1200" w:type="dxa"/>
            <w:noWrap/>
            <w:vAlign w:val="center"/>
            <w:hideMark/>
          </w:tcPr>
          <w:p w14:paraId="7A1DF7C7"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1.928</w:t>
            </w:r>
          </w:p>
        </w:tc>
        <w:tc>
          <w:tcPr>
            <w:tcW w:w="1200" w:type="dxa"/>
            <w:noWrap/>
            <w:vAlign w:val="center"/>
            <w:hideMark/>
          </w:tcPr>
          <w:p w14:paraId="6AB7816E"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1CED47C8"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40B7BDB1"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2F899A38"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Cundinamarca</w:t>
            </w:r>
          </w:p>
        </w:tc>
        <w:tc>
          <w:tcPr>
            <w:tcW w:w="1072" w:type="dxa"/>
            <w:noWrap/>
            <w:vAlign w:val="center"/>
            <w:hideMark/>
          </w:tcPr>
          <w:p w14:paraId="4CEE1A6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6.352</w:t>
            </w:r>
          </w:p>
        </w:tc>
        <w:tc>
          <w:tcPr>
            <w:tcW w:w="1200" w:type="dxa"/>
            <w:noWrap/>
            <w:vAlign w:val="center"/>
            <w:hideMark/>
          </w:tcPr>
          <w:p w14:paraId="6576D26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5.637</w:t>
            </w:r>
          </w:p>
        </w:tc>
        <w:tc>
          <w:tcPr>
            <w:tcW w:w="1200" w:type="dxa"/>
            <w:noWrap/>
            <w:vAlign w:val="center"/>
            <w:hideMark/>
          </w:tcPr>
          <w:p w14:paraId="1A71B699"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1776B984"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279B7E54"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63F506BD"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Santander</w:t>
            </w:r>
          </w:p>
        </w:tc>
        <w:tc>
          <w:tcPr>
            <w:tcW w:w="1072" w:type="dxa"/>
            <w:noWrap/>
            <w:vAlign w:val="center"/>
            <w:hideMark/>
          </w:tcPr>
          <w:p w14:paraId="4A107FE3"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5.530</w:t>
            </w:r>
          </w:p>
        </w:tc>
        <w:tc>
          <w:tcPr>
            <w:tcW w:w="1200" w:type="dxa"/>
            <w:noWrap/>
            <w:vAlign w:val="center"/>
            <w:hideMark/>
          </w:tcPr>
          <w:p w14:paraId="760711A3"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6.001</w:t>
            </w:r>
          </w:p>
        </w:tc>
        <w:tc>
          <w:tcPr>
            <w:tcW w:w="1200" w:type="dxa"/>
            <w:noWrap/>
            <w:vAlign w:val="center"/>
            <w:hideMark/>
          </w:tcPr>
          <w:p w14:paraId="083C82D2"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3.821</w:t>
            </w:r>
          </w:p>
        </w:tc>
        <w:tc>
          <w:tcPr>
            <w:tcW w:w="1200" w:type="dxa"/>
            <w:noWrap/>
            <w:vAlign w:val="center"/>
            <w:hideMark/>
          </w:tcPr>
          <w:p w14:paraId="14735549"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3.821</w:t>
            </w:r>
          </w:p>
        </w:tc>
      </w:tr>
      <w:tr w:rsidR="00331B49" w:rsidRPr="00805038" w14:paraId="68566766"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134A27D2"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Norte de Santander</w:t>
            </w:r>
          </w:p>
        </w:tc>
        <w:tc>
          <w:tcPr>
            <w:tcW w:w="1072" w:type="dxa"/>
            <w:noWrap/>
            <w:vAlign w:val="center"/>
            <w:hideMark/>
          </w:tcPr>
          <w:p w14:paraId="1EE66BD2"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4.880</w:t>
            </w:r>
          </w:p>
        </w:tc>
        <w:tc>
          <w:tcPr>
            <w:tcW w:w="1200" w:type="dxa"/>
            <w:noWrap/>
            <w:vAlign w:val="center"/>
            <w:hideMark/>
          </w:tcPr>
          <w:p w14:paraId="08C32A8A"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4.200</w:t>
            </w:r>
          </w:p>
        </w:tc>
        <w:tc>
          <w:tcPr>
            <w:tcW w:w="1200" w:type="dxa"/>
            <w:noWrap/>
            <w:vAlign w:val="center"/>
            <w:hideMark/>
          </w:tcPr>
          <w:p w14:paraId="42439C0A"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2.520</w:t>
            </w:r>
          </w:p>
        </w:tc>
        <w:tc>
          <w:tcPr>
            <w:tcW w:w="1200" w:type="dxa"/>
            <w:noWrap/>
            <w:vAlign w:val="center"/>
            <w:hideMark/>
          </w:tcPr>
          <w:p w14:paraId="36C61668"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2.520</w:t>
            </w:r>
          </w:p>
        </w:tc>
      </w:tr>
      <w:tr w:rsidR="00331B49" w:rsidRPr="00805038" w14:paraId="55359FF4"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55C9A92B"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Caldas</w:t>
            </w:r>
          </w:p>
        </w:tc>
        <w:tc>
          <w:tcPr>
            <w:tcW w:w="1072" w:type="dxa"/>
            <w:noWrap/>
            <w:vAlign w:val="center"/>
            <w:hideMark/>
          </w:tcPr>
          <w:p w14:paraId="346BACCA"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4.182</w:t>
            </w:r>
          </w:p>
        </w:tc>
        <w:tc>
          <w:tcPr>
            <w:tcW w:w="1200" w:type="dxa"/>
            <w:noWrap/>
            <w:vAlign w:val="center"/>
            <w:hideMark/>
          </w:tcPr>
          <w:p w14:paraId="21D096E1"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4.108</w:t>
            </w:r>
          </w:p>
        </w:tc>
        <w:tc>
          <w:tcPr>
            <w:tcW w:w="1200" w:type="dxa"/>
            <w:noWrap/>
            <w:vAlign w:val="center"/>
            <w:hideMark/>
          </w:tcPr>
          <w:p w14:paraId="5A38F2E1"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55CA83F8"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22D10DD4"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05462BD6"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Córdoba</w:t>
            </w:r>
          </w:p>
        </w:tc>
        <w:tc>
          <w:tcPr>
            <w:tcW w:w="1072" w:type="dxa"/>
            <w:noWrap/>
            <w:vAlign w:val="center"/>
            <w:hideMark/>
          </w:tcPr>
          <w:p w14:paraId="700C5C3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4.146</w:t>
            </w:r>
          </w:p>
        </w:tc>
        <w:tc>
          <w:tcPr>
            <w:tcW w:w="1200" w:type="dxa"/>
            <w:noWrap/>
            <w:vAlign w:val="center"/>
            <w:hideMark/>
          </w:tcPr>
          <w:p w14:paraId="2539F7D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3.355</w:t>
            </w:r>
          </w:p>
        </w:tc>
        <w:tc>
          <w:tcPr>
            <w:tcW w:w="1200" w:type="dxa"/>
            <w:noWrap/>
            <w:vAlign w:val="center"/>
            <w:hideMark/>
          </w:tcPr>
          <w:p w14:paraId="3BE6529E"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1.650</w:t>
            </w:r>
          </w:p>
        </w:tc>
        <w:tc>
          <w:tcPr>
            <w:tcW w:w="1200" w:type="dxa"/>
            <w:noWrap/>
            <w:vAlign w:val="center"/>
            <w:hideMark/>
          </w:tcPr>
          <w:p w14:paraId="0DFC4ADF"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1.650</w:t>
            </w:r>
          </w:p>
        </w:tc>
      </w:tr>
      <w:tr w:rsidR="00331B49" w:rsidRPr="00805038" w14:paraId="308D13BB"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490C3610"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lastRenderedPageBreak/>
              <w:t>Meta</w:t>
            </w:r>
          </w:p>
        </w:tc>
        <w:tc>
          <w:tcPr>
            <w:tcW w:w="1072" w:type="dxa"/>
            <w:noWrap/>
            <w:vAlign w:val="center"/>
            <w:hideMark/>
          </w:tcPr>
          <w:p w14:paraId="7482D88E"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3.110</w:t>
            </w:r>
          </w:p>
        </w:tc>
        <w:tc>
          <w:tcPr>
            <w:tcW w:w="1200" w:type="dxa"/>
            <w:noWrap/>
            <w:vAlign w:val="center"/>
            <w:hideMark/>
          </w:tcPr>
          <w:p w14:paraId="5ABAAA22"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4.250</w:t>
            </w:r>
          </w:p>
        </w:tc>
        <w:tc>
          <w:tcPr>
            <w:tcW w:w="1200" w:type="dxa"/>
            <w:noWrap/>
            <w:vAlign w:val="center"/>
            <w:hideMark/>
          </w:tcPr>
          <w:p w14:paraId="461DBF94"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180</w:t>
            </w:r>
          </w:p>
        </w:tc>
        <w:tc>
          <w:tcPr>
            <w:tcW w:w="1200" w:type="dxa"/>
            <w:noWrap/>
            <w:vAlign w:val="center"/>
            <w:hideMark/>
          </w:tcPr>
          <w:p w14:paraId="7E4B79D0"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180</w:t>
            </w:r>
          </w:p>
        </w:tc>
      </w:tr>
      <w:tr w:rsidR="00331B49" w:rsidRPr="00805038" w14:paraId="58A36D2D"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2F3AA774"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Nariño</w:t>
            </w:r>
          </w:p>
        </w:tc>
        <w:tc>
          <w:tcPr>
            <w:tcW w:w="1072" w:type="dxa"/>
            <w:noWrap/>
            <w:vAlign w:val="center"/>
            <w:hideMark/>
          </w:tcPr>
          <w:p w14:paraId="7836E1A8"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2.985</w:t>
            </w:r>
          </w:p>
        </w:tc>
        <w:tc>
          <w:tcPr>
            <w:tcW w:w="1200" w:type="dxa"/>
            <w:noWrap/>
            <w:vAlign w:val="center"/>
            <w:hideMark/>
          </w:tcPr>
          <w:p w14:paraId="6C7BE609"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4.500</w:t>
            </w:r>
          </w:p>
        </w:tc>
        <w:tc>
          <w:tcPr>
            <w:tcW w:w="1200" w:type="dxa"/>
            <w:noWrap/>
            <w:vAlign w:val="center"/>
            <w:hideMark/>
          </w:tcPr>
          <w:p w14:paraId="6834D8C9"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14.025</w:t>
            </w:r>
          </w:p>
        </w:tc>
        <w:tc>
          <w:tcPr>
            <w:tcW w:w="1200" w:type="dxa"/>
            <w:noWrap/>
            <w:vAlign w:val="center"/>
            <w:hideMark/>
          </w:tcPr>
          <w:p w14:paraId="4E6D780D"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14.025</w:t>
            </w:r>
          </w:p>
        </w:tc>
      </w:tr>
      <w:tr w:rsidR="00331B49" w:rsidRPr="00805038" w14:paraId="4CE595F6"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10A04B1D"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Valle</w:t>
            </w:r>
          </w:p>
        </w:tc>
        <w:tc>
          <w:tcPr>
            <w:tcW w:w="1072" w:type="dxa"/>
            <w:noWrap/>
            <w:vAlign w:val="center"/>
            <w:hideMark/>
          </w:tcPr>
          <w:p w14:paraId="706E635C"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2.770</w:t>
            </w:r>
          </w:p>
        </w:tc>
        <w:tc>
          <w:tcPr>
            <w:tcW w:w="1200" w:type="dxa"/>
            <w:noWrap/>
            <w:vAlign w:val="center"/>
            <w:hideMark/>
          </w:tcPr>
          <w:p w14:paraId="55E6B9B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1.190</w:t>
            </w:r>
          </w:p>
        </w:tc>
        <w:tc>
          <w:tcPr>
            <w:tcW w:w="1200" w:type="dxa"/>
            <w:noWrap/>
            <w:vAlign w:val="center"/>
            <w:hideMark/>
          </w:tcPr>
          <w:p w14:paraId="0F7017C6"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5A4CBC6D"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3668CCDD"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1EB6DB95"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Cesar</w:t>
            </w:r>
          </w:p>
        </w:tc>
        <w:tc>
          <w:tcPr>
            <w:tcW w:w="1072" w:type="dxa"/>
            <w:noWrap/>
            <w:vAlign w:val="center"/>
            <w:hideMark/>
          </w:tcPr>
          <w:p w14:paraId="6812951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2.755</w:t>
            </w:r>
          </w:p>
        </w:tc>
        <w:tc>
          <w:tcPr>
            <w:tcW w:w="1200" w:type="dxa"/>
            <w:noWrap/>
            <w:vAlign w:val="center"/>
            <w:hideMark/>
          </w:tcPr>
          <w:p w14:paraId="2BEF0C92"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2.611</w:t>
            </w:r>
          </w:p>
        </w:tc>
        <w:tc>
          <w:tcPr>
            <w:tcW w:w="1200" w:type="dxa"/>
            <w:noWrap/>
            <w:vAlign w:val="center"/>
            <w:hideMark/>
          </w:tcPr>
          <w:p w14:paraId="0CC1F5C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2.345</w:t>
            </w:r>
          </w:p>
        </w:tc>
        <w:tc>
          <w:tcPr>
            <w:tcW w:w="1200" w:type="dxa"/>
            <w:noWrap/>
            <w:vAlign w:val="center"/>
            <w:hideMark/>
          </w:tcPr>
          <w:p w14:paraId="07FE009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2.345</w:t>
            </w:r>
          </w:p>
        </w:tc>
      </w:tr>
      <w:tr w:rsidR="00331B49" w:rsidRPr="00805038" w14:paraId="5D898D7D"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6D87FC5F"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Tolima</w:t>
            </w:r>
          </w:p>
        </w:tc>
        <w:tc>
          <w:tcPr>
            <w:tcW w:w="1072" w:type="dxa"/>
            <w:noWrap/>
            <w:vAlign w:val="center"/>
            <w:hideMark/>
          </w:tcPr>
          <w:p w14:paraId="14E9AA4C"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2.337</w:t>
            </w:r>
          </w:p>
        </w:tc>
        <w:tc>
          <w:tcPr>
            <w:tcW w:w="1200" w:type="dxa"/>
            <w:noWrap/>
            <w:vAlign w:val="center"/>
            <w:hideMark/>
          </w:tcPr>
          <w:p w14:paraId="6336DAB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5.700</w:t>
            </w:r>
          </w:p>
        </w:tc>
        <w:tc>
          <w:tcPr>
            <w:tcW w:w="1200" w:type="dxa"/>
            <w:noWrap/>
            <w:vAlign w:val="center"/>
            <w:hideMark/>
          </w:tcPr>
          <w:p w14:paraId="4A722FD2"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5.700</w:t>
            </w:r>
          </w:p>
        </w:tc>
        <w:tc>
          <w:tcPr>
            <w:tcW w:w="1200" w:type="dxa"/>
            <w:noWrap/>
            <w:vAlign w:val="center"/>
            <w:hideMark/>
          </w:tcPr>
          <w:p w14:paraId="19A156BF"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5.700</w:t>
            </w:r>
          </w:p>
        </w:tc>
      </w:tr>
      <w:tr w:rsidR="00331B49" w:rsidRPr="00805038" w14:paraId="3836404D"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0105E5C8"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Atlántico</w:t>
            </w:r>
          </w:p>
        </w:tc>
        <w:tc>
          <w:tcPr>
            <w:tcW w:w="1072" w:type="dxa"/>
            <w:noWrap/>
            <w:vAlign w:val="center"/>
            <w:hideMark/>
          </w:tcPr>
          <w:p w14:paraId="5A4CD650"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2.123</w:t>
            </w:r>
          </w:p>
        </w:tc>
        <w:tc>
          <w:tcPr>
            <w:tcW w:w="1200" w:type="dxa"/>
            <w:noWrap/>
            <w:vAlign w:val="center"/>
            <w:hideMark/>
          </w:tcPr>
          <w:p w14:paraId="50C69EC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1.839</w:t>
            </w:r>
          </w:p>
        </w:tc>
        <w:tc>
          <w:tcPr>
            <w:tcW w:w="1200" w:type="dxa"/>
            <w:noWrap/>
            <w:vAlign w:val="center"/>
            <w:hideMark/>
          </w:tcPr>
          <w:p w14:paraId="6EC6ADF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1.845</w:t>
            </w:r>
          </w:p>
        </w:tc>
        <w:tc>
          <w:tcPr>
            <w:tcW w:w="1200" w:type="dxa"/>
            <w:noWrap/>
            <w:vAlign w:val="center"/>
            <w:hideMark/>
          </w:tcPr>
          <w:p w14:paraId="570D6706"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1.845</w:t>
            </w:r>
          </w:p>
        </w:tc>
      </w:tr>
      <w:tr w:rsidR="00331B49" w:rsidRPr="00805038" w14:paraId="0CAF779A"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144D8BC3"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Sede Central</w:t>
            </w:r>
          </w:p>
        </w:tc>
        <w:tc>
          <w:tcPr>
            <w:tcW w:w="1072" w:type="dxa"/>
            <w:noWrap/>
            <w:vAlign w:val="center"/>
            <w:hideMark/>
          </w:tcPr>
          <w:p w14:paraId="7DF77DBF"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1.881</w:t>
            </w:r>
          </w:p>
        </w:tc>
        <w:tc>
          <w:tcPr>
            <w:tcW w:w="1200" w:type="dxa"/>
            <w:noWrap/>
            <w:vAlign w:val="center"/>
            <w:hideMark/>
          </w:tcPr>
          <w:p w14:paraId="1A9FF449"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1.327</w:t>
            </w:r>
          </w:p>
        </w:tc>
        <w:tc>
          <w:tcPr>
            <w:tcW w:w="1200" w:type="dxa"/>
            <w:noWrap/>
            <w:vAlign w:val="center"/>
            <w:hideMark/>
          </w:tcPr>
          <w:p w14:paraId="056B5D94"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10.380</w:t>
            </w:r>
          </w:p>
        </w:tc>
        <w:tc>
          <w:tcPr>
            <w:tcW w:w="1200" w:type="dxa"/>
            <w:noWrap/>
            <w:vAlign w:val="center"/>
            <w:hideMark/>
          </w:tcPr>
          <w:p w14:paraId="02F1AE11"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10.380</w:t>
            </w:r>
          </w:p>
        </w:tc>
      </w:tr>
      <w:tr w:rsidR="00331B49" w:rsidRPr="00805038" w14:paraId="4D3D46DB"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428C15FB"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Magdalena</w:t>
            </w:r>
          </w:p>
        </w:tc>
        <w:tc>
          <w:tcPr>
            <w:tcW w:w="1072" w:type="dxa"/>
            <w:noWrap/>
            <w:vAlign w:val="center"/>
            <w:hideMark/>
          </w:tcPr>
          <w:p w14:paraId="13341026"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1.610</w:t>
            </w:r>
          </w:p>
        </w:tc>
        <w:tc>
          <w:tcPr>
            <w:tcW w:w="1200" w:type="dxa"/>
            <w:noWrap/>
            <w:vAlign w:val="center"/>
            <w:hideMark/>
          </w:tcPr>
          <w:p w14:paraId="4F5C416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3.091</w:t>
            </w:r>
          </w:p>
        </w:tc>
        <w:tc>
          <w:tcPr>
            <w:tcW w:w="1200" w:type="dxa"/>
            <w:noWrap/>
            <w:vAlign w:val="center"/>
            <w:hideMark/>
          </w:tcPr>
          <w:p w14:paraId="214687E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975</w:t>
            </w:r>
          </w:p>
        </w:tc>
        <w:tc>
          <w:tcPr>
            <w:tcW w:w="1200" w:type="dxa"/>
            <w:noWrap/>
            <w:vAlign w:val="center"/>
            <w:hideMark/>
          </w:tcPr>
          <w:p w14:paraId="29D78CB2"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975</w:t>
            </w:r>
          </w:p>
        </w:tc>
      </w:tr>
      <w:tr w:rsidR="00331B49" w:rsidRPr="00805038" w14:paraId="26F67DED"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42D41042"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Huila</w:t>
            </w:r>
          </w:p>
        </w:tc>
        <w:tc>
          <w:tcPr>
            <w:tcW w:w="1072" w:type="dxa"/>
            <w:noWrap/>
            <w:vAlign w:val="center"/>
            <w:hideMark/>
          </w:tcPr>
          <w:p w14:paraId="5C807F81"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1.460</w:t>
            </w:r>
          </w:p>
        </w:tc>
        <w:tc>
          <w:tcPr>
            <w:tcW w:w="1200" w:type="dxa"/>
            <w:noWrap/>
            <w:vAlign w:val="center"/>
            <w:hideMark/>
          </w:tcPr>
          <w:p w14:paraId="48A8554C"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3.594</w:t>
            </w:r>
          </w:p>
        </w:tc>
        <w:tc>
          <w:tcPr>
            <w:tcW w:w="1200" w:type="dxa"/>
            <w:noWrap/>
            <w:vAlign w:val="center"/>
            <w:hideMark/>
          </w:tcPr>
          <w:p w14:paraId="7CDD31DA"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3.114</w:t>
            </w:r>
          </w:p>
        </w:tc>
        <w:tc>
          <w:tcPr>
            <w:tcW w:w="1200" w:type="dxa"/>
            <w:noWrap/>
            <w:vAlign w:val="center"/>
            <w:hideMark/>
          </w:tcPr>
          <w:p w14:paraId="4CCE71F4"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3.114</w:t>
            </w:r>
          </w:p>
        </w:tc>
      </w:tr>
      <w:tr w:rsidR="00331B49" w:rsidRPr="00805038" w14:paraId="076512B4"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5949B03B"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Guajira</w:t>
            </w:r>
          </w:p>
        </w:tc>
        <w:tc>
          <w:tcPr>
            <w:tcW w:w="1072" w:type="dxa"/>
            <w:noWrap/>
            <w:vAlign w:val="center"/>
            <w:hideMark/>
          </w:tcPr>
          <w:p w14:paraId="7AFABE0B"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1.270</w:t>
            </w:r>
          </w:p>
        </w:tc>
        <w:tc>
          <w:tcPr>
            <w:tcW w:w="1200" w:type="dxa"/>
            <w:noWrap/>
            <w:vAlign w:val="center"/>
            <w:hideMark/>
          </w:tcPr>
          <w:p w14:paraId="00599A72"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3.205</w:t>
            </w:r>
          </w:p>
        </w:tc>
        <w:tc>
          <w:tcPr>
            <w:tcW w:w="1200" w:type="dxa"/>
            <w:noWrap/>
            <w:vAlign w:val="center"/>
            <w:hideMark/>
          </w:tcPr>
          <w:p w14:paraId="0886B10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4.213</w:t>
            </w:r>
          </w:p>
        </w:tc>
        <w:tc>
          <w:tcPr>
            <w:tcW w:w="1200" w:type="dxa"/>
            <w:noWrap/>
            <w:vAlign w:val="center"/>
            <w:hideMark/>
          </w:tcPr>
          <w:p w14:paraId="32411F93"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4.213</w:t>
            </w:r>
          </w:p>
        </w:tc>
      </w:tr>
      <w:tr w:rsidR="00331B49" w:rsidRPr="00805038" w14:paraId="656864C9"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4B8B327C"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Caquetá</w:t>
            </w:r>
          </w:p>
        </w:tc>
        <w:tc>
          <w:tcPr>
            <w:tcW w:w="1072" w:type="dxa"/>
            <w:noWrap/>
            <w:vAlign w:val="center"/>
            <w:hideMark/>
          </w:tcPr>
          <w:p w14:paraId="361C8BE3"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655</w:t>
            </w:r>
          </w:p>
        </w:tc>
        <w:tc>
          <w:tcPr>
            <w:tcW w:w="1200" w:type="dxa"/>
            <w:noWrap/>
            <w:vAlign w:val="center"/>
            <w:hideMark/>
          </w:tcPr>
          <w:p w14:paraId="002F548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1.340</w:t>
            </w:r>
          </w:p>
        </w:tc>
        <w:tc>
          <w:tcPr>
            <w:tcW w:w="1200" w:type="dxa"/>
            <w:noWrap/>
            <w:vAlign w:val="center"/>
            <w:hideMark/>
          </w:tcPr>
          <w:p w14:paraId="32CAFA24"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2FEAFFE9"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2EE72E00"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70EF565F"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Cauca</w:t>
            </w:r>
          </w:p>
        </w:tc>
        <w:tc>
          <w:tcPr>
            <w:tcW w:w="1072" w:type="dxa"/>
            <w:noWrap/>
            <w:vAlign w:val="center"/>
            <w:hideMark/>
          </w:tcPr>
          <w:p w14:paraId="28D1752C"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483</w:t>
            </w:r>
          </w:p>
        </w:tc>
        <w:tc>
          <w:tcPr>
            <w:tcW w:w="1200" w:type="dxa"/>
            <w:noWrap/>
            <w:vAlign w:val="center"/>
            <w:hideMark/>
          </w:tcPr>
          <w:p w14:paraId="0688D9CD"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3.600</w:t>
            </w:r>
          </w:p>
        </w:tc>
        <w:tc>
          <w:tcPr>
            <w:tcW w:w="1200" w:type="dxa"/>
            <w:noWrap/>
            <w:vAlign w:val="center"/>
            <w:hideMark/>
          </w:tcPr>
          <w:p w14:paraId="4B184585"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7D2FD40F"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r>
      <w:tr w:rsidR="00331B49" w:rsidRPr="00805038" w14:paraId="061B8D37"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75DC74DD"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Risaralda</w:t>
            </w:r>
          </w:p>
        </w:tc>
        <w:tc>
          <w:tcPr>
            <w:tcW w:w="1072" w:type="dxa"/>
            <w:noWrap/>
            <w:vAlign w:val="center"/>
            <w:hideMark/>
          </w:tcPr>
          <w:p w14:paraId="257C2B56"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105</w:t>
            </w:r>
          </w:p>
        </w:tc>
        <w:tc>
          <w:tcPr>
            <w:tcW w:w="1200" w:type="dxa"/>
            <w:noWrap/>
            <w:vAlign w:val="center"/>
            <w:hideMark/>
          </w:tcPr>
          <w:p w14:paraId="27974F32"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72C5F98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1.860</w:t>
            </w:r>
          </w:p>
        </w:tc>
        <w:tc>
          <w:tcPr>
            <w:tcW w:w="1200" w:type="dxa"/>
            <w:noWrap/>
            <w:vAlign w:val="center"/>
            <w:hideMark/>
          </w:tcPr>
          <w:p w14:paraId="3003352B"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1.860</w:t>
            </w:r>
          </w:p>
        </w:tc>
      </w:tr>
      <w:tr w:rsidR="00331B49" w:rsidRPr="00805038" w14:paraId="76C12150" w14:textId="77777777" w:rsidTr="00A630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6A051B3E"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Casanare</w:t>
            </w:r>
          </w:p>
        </w:tc>
        <w:tc>
          <w:tcPr>
            <w:tcW w:w="1072" w:type="dxa"/>
            <w:noWrap/>
            <w:vAlign w:val="center"/>
            <w:hideMark/>
          </w:tcPr>
          <w:p w14:paraId="60F3166D"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lang w:eastAsia="es-CO"/>
              </w:rPr>
            </w:pPr>
            <w:r w:rsidRPr="00805038">
              <w:rPr>
                <w:rFonts w:ascii="Calibri" w:hAnsi="Calibri"/>
                <w:color w:val="000000"/>
                <w:sz w:val="20"/>
                <w:szCs w:val="20"/>
                <w:lang w:eastAsia="es-CO"/>
              </w:rPr>
              <w:t>*</w:t>
            </w:r>
          </w:p>
        </w:tc>
        <w:tc>
          <w:tcPr>
            <w:tcW w:w="1200" w:type="dxa"/>
            <w:noWrap/>
            <w:vAlign w:val="center"/>
            <w:hideMark/>
          </w:tcPr>
          <w:p w14:paraId="68B04BEE"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1.480</w:t>
            </w:r>
          </w:p>
        </w:tc>
        <w:tc>
          <w:tcPr>
            <w:tcW w:w="1200" w:type="dxa"/>
            <w:noWrap/>
            <w:vAlign w:val="center"/>
            <w:hideMark/>
          </w:tcPr>
          <w:p w14:paraId="4E5DDEB9"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1.631</w:t>
            </w:r>
          </w:p>
        </w:tc>
        <w:tc>
          <w:tcPr>
            <w:tcW w:w="1200" w:type="dxa"/>
            <w:noWrap/>
            <w:vAlign w:val="center"/>
            <w:hideMark/>
          </w:tcPr>
          <w:p w14:paraId="02364351" w14:textId="77777777" w:rsidR="00331B49" w:rsidRPr="00805038" w:rsidRDefault="00331B49" w:rsidP="00A6302C">
            <w:pPr>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1.631</w:t>
            </w:r>
          </w:p>
        </w:tc>
      </w:tr>
      <w:tr w:rsidR="00331B49" w:rsidRPr="00805038" w14:paraId="5AE437A8" w14:textId="77777777" w:rsidTr="00A6302C">
        <w:trPr>
          <w:trHeight w:val="315"/>
          <w:jc w:val="center"/>
        </w:trPr>
        <w:tc>
          <w:tcPr>
            <w:cnfStyle w:val="001000000000" w:firstRow="0" w:lastRow="0" w:firstColumn="1" w:lastColumn="0" w:oddVBand="0" w:evenVBand="0" w:oddHBand="0" w:evenHBand="0" w:firstRowFirstColumn="0" w:firstRowLastColumn="0" w:lastRowFirstColumn="0" w:lastRowLastColumn="0"/>
            <w:tcW w:w="1975" w:type="dxa"/>
            <w:noWrap/>
            <w:vAlign w:val="center"/>
            <w:hideMark/>
          </w:tcPr>
          <w:p w14:paraId="6A27DE51" w14:textId="77777777" w:rsidR="00331B49" w:rsidRPr="00805038" w:rsidRDefault="00331B49" w:rsidP="00A6302C">
            <w:pPr>
              <w:jc w:val="center"/>
              <w:rPr>
                <w:rFonts w:cs="Arial"/>
                <w:color w:val="000000"/>
                <w:sz w:val="20"/>
                <w:szCs w:val="20"/>
                <w:lang w:eastAsia="es-CO"/>
              </w:rPr>
            </w:pPr>
            <w:r w:rsidRPr="00805038">
              <w:rPr>
                <w:rFonts w:cs="Arial"/>
                <w:color w:val="000000"/>
                <w:sz w:val="20"/>
                <w:szCs w:val="20"/>
                <w:lang w:eastAsia="es-CO"/>
              </w:rPr>
              <w:t>Total</w:t>
            </w:r>
          </w:p>
        </w:tc>
        <w:tc>
          <w:tcPr>
            <w:tcW w:w="1072" w:type="dxa"/>
            <w:noWrap/>
            <w:vAlign w:val="center"/>
            <w:hideMark/>
          </w:tcPr>
          <w:p w14:paraId="1688BBB2"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76.983</w:t>
            </w:r>
          </w:p>
        </w:tc>
        <w:tc>
          <w:tcPr>
            <w:tcW w:w="1200" w:type="dxa"/>
            <w:noWrap/>
            <w:vAlign w:val="center"/>
            <w:hideMark/>
          </w:tcPr>
          <w:p w14:paraId="16954F38"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78.373</w:t>
            </w:r>
          </w:p>
        </w:tc>
        <w:tc>
          <w:tcPr>
            <w:tcW w:w="1200" w:type="dxa"/>
            <w:noWrap/>
            <w:vAlign w:val="center"/>
            <w:hideMark/>
          </w:tcPr>
          <w:p w14:paraId="790CC99E"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70.402</w:t>
            </w:r>
          </w:p>
        </w:tc>
        <w:tc>
          <w:tcPr>
            <w:tcW w:w="1200" w:type="dxa"/>
            <w:noWrap/>
            <w:vAlign w:val="center"/>
            <w:hideMark/>
          </w:tcPr>
          <w:p w14:paraId="7A9FAE07" w14:textId="77777777" w:rsidR="00331B49" w:rsidRPr="00805038"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805038">
              <w:rPr>
                <w:rFonts w:cs="Arial"/>
                <w:color w:val="000000"/>
                <w:sz w:val="20"/>
                <w:szCs w:val="20"/>
                <w:lang w:eastAsia="es-CO"/>
              </w:rPr>
              <w:t>70.402</w:t>
            </w:r>
          </w:p>
        </w:tc>
      </w:tr>
    </w:tbl>
    <w:p w14:paraId="0037FE47" w14:textId="77777777" w:rsidR="00331B49" w:rsidRDefault="00331B49" w:rsidP="00331B49">
      <w:pPr>
        <w:jc w:val="center"/>
      </w:pPr>
      <w:r w:rsidRPr="31FF9146">
        <w:rPr>
          <w:rFonts w:cs="Arial"/>
          <w:b/>
          <w:bCs/>
          <w:sz w:val="16"/>
          <w:szCs w:val="16"/>
        </w:rPr>
        <w:t>Fuente: Oficina de Relación con el Ciudadano</w:t>
      </w:r>
    </w:p>
    <w:p w14:paraId="7F229FE3" w14:textId="77777777" w:rsidR="00331B49" w:rsidRPr="00805038" w:rsidRDefault="00331B49" w:rsidP="00331B49">
      <w:pPr>
        <w:jc w:val="center"/>
        <w:rPr>
          <w:rFonts w:cs="Arial"/>
          <w:b/>
          <w:sz w:val="16"/>
          <w:szCs w:val="22"/>
        </w:rPr>
      </w:pPr>
      <w:r w:rsidRPr="00805038">
        <w:rPr>
          <w:rFonts w:cs="Arial"/>
          <w:b/>
          <w:sz w:val="16"/>
          <w:szCs w:val="22"/>
        </w:rPr>
        <w:t>*Sin información reportada po</w:t>
      </w:r>
      <w:r>
        <w:rPr>
          <w:rFonts w:cs="Arial"/>
          <w:b/>
          <w:sz w:val="16"/>
          <w:szCs w:val="22"/>
        </w:rPr>
        <w:t>r las Direcciones Territoriales</w:t>
      </w:r>
    </w:p>
    <w:p w14:paraId="3DBDCB78" w14:textId="4CB703D1" w:rsidR="005325D9" w:rsidRPr="008179E9" w:rsidRDefault="005325D9" w:rsidP="00C72779">
      <w:pPr>
        <w:pStyle w:val="Prrafodelista"/>
        <w:ind w:left="567"/>
        <w:rPr>
          <w:rFonts w:cs="Arial"/>
          <w:sz w:val="22"/>
          <w:szCs w:val="22"/>
        </w:rPr>
      </w:pPr>
    </w:p>
    <w:p w14:paraId="353397BB" w14:textId="77777777" w:rsidR="005325D9" w:rsidRPr="008179E9" w:rsidRDefault="005325D9" w:rsidP="00331B49">
      <w:pPr>
        <w:jc w:val="both"/>
        <w:rPr>
          <w:rFonts w:cs="Arial"/>
          <w:b/>
          <w:sz w:val="22"/>
          <w:szCs w:val="22"/>
        </w:rPr>
      </w:pPr>
      <w:r w:rsidRPr="008179E9">
        <w:rPr>
          <w:rFonts w:cs="Arial"/>
          <w:b/>
          <w:sz w:val="22"/>
          <w:szCs w:val="22"/>
        </w:rPr>
        <w:t>4.7.4 OTROS LOGROS</w:t>
      </w:r>
    </w:p>
    <w:p w14:paraId="1750B24F" w14:textId="241A39B3" w:rsidR="005325D9" w:rsidRPr="008179E9" w:rsidRDefault="005325D9" w:rsidP="00C72779">
      <w:pPr>
        <w:pStyle w:val="Prrafodelista"/>
        <w:ind w:left="567"/>
        <w:rPr>
          <w:rFonts w:cs="Arial"/>
          <w:sz w:val="22"/>
          <w:szCs w:val="22"/>
        </w:rPr>
      </w:pPr>
    </w:p>
    <w:p w14:paraId="0DD53E38" w14:textId="77777777" w:rsidR="005325D9" w:rsidRPr="008179E9" w:rsidRDefault="005325D9" w:rsidP="000A20EE">
      <w:pPr>
        <w:pStyle w:val="Prrafodelista"/>
        <w:numPr>
          <w:ilvl w:val="0"/>
          <w:numId w:val="100"/>
        </w:numPr>
        <w:suppressAutoHyphens w:val="0"/>
        <w:overflowPunct/>
        <w:autoSpaceDE/>
        <w:contextualSpacing/>
        <w:textAlignment w:val="auto"/>
        <w:rPr>
          <w:rFonts w:cs="Arial"/>
          <w:sz w:val="22"/>
          <w:szCs w:val="22"/>
        </w:rPr>
      </w:pPr>
      <w:r w:rsidRPr="008179E9">
        <w:rPr>
          <w:rFonts w:cs="Arial"/>
          <w:sz w:val="22"/>
          <w:szCs w:val="22"/>
        </w:rPr>
        <w:t>La Oficina de Relación con el Ciudadano coordinó en cada vigencia un Encuentro Nacional de Servicio al Ciudadano, con la participación de entidades de orden Nacional y Distrital, con el fin de conocer experiencias de éxito para mejorar la estrategia de la Entidad frente a la atención oportuna, de calidad, incluyente y con enfoque diferencial.</w:t>
      </w:r>
    </w:p>
    <w:p w14:paraId="212E2A8F" w14:textId="77777777" w:rsidR="005325D9" w:rsidRPr="008179E9" w:rsidRDefault="005325D9" w:rsidP="000A20EE">
      <w:pPr>
        <w:pStyle w:val="Prrafodelista"/>
        <w:numPr>
          <w:ilvl w:val="0"/>
          <w:numId w:val="100"/>
        </w:numPr>
        <w:suppressAutoHyphens w:val="0"/>
        <w:overflowPunct/>
        <w:autoSpaceDE/>
        <w:contextualSpacing/>
        <w:textAlignment w:val="auto"/>
        <w:rPr>
          <w:rFonts w:cs="Arial"/>
          <w:sz w:val="22"/>
          <w:szCs w:val="22"/>
        </w:rPr>
      </w:pPr>
      <w:r w:rsidRPr="008179E9">
        <w:rPr>
          <w:rFonts w:cs="Arial"/>
          <w:sz w:val="22"/>
          <w:szCs w:val="22"/>
        </w:rPr>
        <w:t>En el 2021, se desarrollaron las Ferias de Servicio al Ciudadano en los municipios de Corrales (Boyacá) y Dibulla (La Guajira) con el objetivo de generar acercamientos con la ciudadanía, se contó con la presencia de alrededor de 200 personas que aclararon dudas frente a los trámites y servicios prestados por el Instituto.</w:t>
      </w:r>
    </w:p>
    <w:p w14:paraId="23766D3A" w14:textId="69DB1068" w:rsidR="00331B49" w:rsidRPr="004B7A08" w:rsidRDefault="005325D9" w:rsidP="00331B49">
      <w:pPr>
        <w:pStyle w:val="Prrafodelista"/>
        <w:numPr>
          <w:ilvl w:val="0"/>
          <w:numId w:val="100"/>
        </w:numPr>
        <w:suppressAutoHyphens w:val="0"/>
        <w:overflowPunct/>
        <w:autoSpaceDE/>
        <w:contextualSpacing/>
        <w:textAlignment w:val="auto"/>
        <w:rPr>
          <w:rFonts w:cs="Arial"/>
          <w:sz w:val="22"/>
          <w:szCs w:val="22"/>
        </w:rPr>
      </w:pPr>
      <w:r w:rsidRPr="008179E9">
        <w:rPr>
          <w:rFonts w:cs="Arial"/>
          <w:sz w:val="22"/>
          <w:szCs w:val="22"/>
        </w:rPr>
        <w:t>Desde el mes de septiembre de 2021 la Oficina de Relación con el Ciudadana implementa una estrategia de transferencia de conocimiento, en la cual todos los integrantes del equipo asisten a charlas sobre temas como: Generalidades del Instituto, Procedimientos y Políticas a cargo, Museo Nacional de Suelos, Geoportal, Colombia en Mapas, entre otras.</w:t>
      </w:r>
    </w:p>
    <w:p w14:paraId="1149226A" w14:textId="77777777" w:rsidR="00331B49" w:rsidRDefault="00331B49" w:rsidP="00331B49">
      <w:pPr>
        <w:pStyle w:val="Lista"/>
      </w:pPr>
    </w:p>
    <w:p w14:paraId="13BDB319" w14:textId="1BC0F057" w:rsidR="00331B49" w:rsidRPr="008179E9" w:rsidRDefault="00B21AA3" w:rsidP="00B21AA3">
      <w:pPr>
        <w:pStyle w:val="Lista"/>
        <w:tabs>
          <w:tab w:val="left" w:pos="1965"/>
        </w:tabs>
        <w:rPr>
          <w:rFonts w:cs="Arial"/>
          <w:sz w:val="22"/>
          <w:szCs w:val="22"/>
        </w:rPr>
      </w:pPr>
      <w:r>
        <w:tab/>
      </w:r>
    </w:p>
    <w:p w14:paraId="24475C6B" w14:textId="77777777" w:rsidR="005325D9" w:rsidRPr="008179E9" w:rsidRDefault="005325D9" w:rsidP="00331B49">
      <w:pPr>
        <w:jc w:val="both"/>
        <w:rPr>
          <w:rFonts w:cs="Arial"/>
          <w:b/>
          <w:sz w:val="22"/>
          <w:szCs w:val="22"/>
        </w:rPr>
      </w:pPr>
      <w:r w:rsidRPr="008179E9">
        <w:rPr>
          <w:rFonts w:cs="Arial"/>
          <w:b/>
          <w:sz w:val="22"/>
          <w:szCs w:val="22"/>
        </w:rPr>
        <w:t>4.7.5 ANTECEDENTES Y ESTADO ACTUAL DE LA OFICINA DE RELACIÓN CON EL CIUDADANO</w:t>
      </w:r>
    </w:p>
    <w:p w14:paraId="60B133F6" w14:textId="231BE111" w:rsidR="005325D9" w:rsidRPr="008179E9" w:rsidRDefault="005325D9" w:rsidP="00C72779">
      <w:pPr>
        <w:pStyle w:val="Prrafodelista"/>
        <w:ind w:left="567"/>
        <w:rPr>
          <w:rFonts w:cs="Arial"/>
          <w:sz w:val="22"/>
          <w:szCs w:val="22"/>
        </w:rPr>
      </w:pPr>
    </w:p>
    <w:tbl>
      <w:tblPr>
        <w:tblStyle w:val="Tabladecuadrcula4-nfasis1"/>
        <w:tblW w:w="9493" w:type="dxa"/>
        <w:tblLook w:val="04A0" w:firstRow="1" w:lastRow="0" w:firstColumn="1" w:lastColumn="0" w:noHBand="0" w:noVBand="1"/>
      </w:tblPr>
      <w:tblGrid>
        <w:gridCol w:w="1980"/>
        <w:gridCol w:w="3402"/>
        <w:gridCol w:w="4111"/>
      </w:tblGrid>
      <w:tr w:rsidR="00331B49" w:rsidRPr="009A40AF" w14:paraId="0EA0261B" w14:textId="77777777" w:rsidTr="00A6302C">
        <w:trPr>
          <w:cnfStyle w:val="100000000000" w:firstRow="1" w:lastRow="0" w:firstColumn="0" w:lastColumn="0" w:oddVBand="0" w:evenVBand="0" w:oddHBand="0" w:evenHBand="0" w:firstRowFirstColumn="0" w:firstRowLastColumn="0" w:lastRowFirstColumn="0" w:lastRowLastColumn="0"/>
          <w:trHeight w:val="308"/>
          <w:tblHeader/>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7F92D70E"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t>Ítem</w:t>
            </w:r>
          </w:p>
        </w:tc>
        <w:tc>
          <w:tcPr>
            <w:tcW w:w="3402" w:type="dxa"/>
            <w:vAlign w:val="center"/>
          </w:tcPr>
          <w:p w14:paraId="3F5143E0" w14:textId="77777777" w:rsidR="00331B49" w:rsidRPr="009A40AF"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Estado Inicial</w:t>
            </w:r>
          </w:p>
        </w:tc>
        <w:tc>
          <w:tcPr>
            <w:tcW w:w="4111" w:type="dxa"/>
            <w:vAlign w:val="center"/>
          </w:tcPr>
          <w:p w14:paraId="2BA5B1BB" w14:textId="77777777" w:rsidR="00331B49" w:rsidRPr="009A40AF" w:rsidRDefault="00331B49" w:rsidP="00A6302C">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Estado Actual</w:t>
            </w:r>
          </w:p>
        </w:tc>
      </w:tr>
      <w:tr w:rsidR="00331B49" w:rsidRPr="009A40AF" w14:paraId="3BA05D13" w14:textId="77777777" w:rsidTr="00A6302C">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30E2A51D"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t>Información</w:t>
            </w:r>
          </w:p>
        </w:tc>
        <w:tc>
          <w:tcPr>
            <w:tcW w:w="3402" w:type="dxa"/>
            <w:vAlign w:val="center"/>
          </w:tcPr>
          <w:p w14:paraId="01E51212"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9A40AF">
              <w:rPr>
                <w:rFonts w:cs="Arial"/>
                <w:sz w:val="20"/>
                <w:szCs w:val="20"/>
                <w:lang w:val="es-MX"/>
              </w:rPr>
              <w:t>a). No se tenía digitalización de las PQRSDF.</w:t>
            </w:r>
          </w:p>
          <w:p w14:paraId="4BF2E96C"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9A40AF">
              <w:rPr>
                <w:rFonts w:cs="Arial"/>
                <w:sz w:val="20"/>
                <w:szCs w:val="20"/>
                <w:lang w:val="es-MX"/>
              </w:rPr>
              <w:t>b). Antes de entrar en servicio el Sistema de Gestión Documental (SIGAC) el ciudadano no podía registrarse anónimamente.</w:t>
            </w:r>
          </w:p>
          <w:p w14:paraId="40F1A682"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lastRenderedPageBreak/>
              <w:t>c). No se contaba con equipo líder.</w:t>
            </w:r>
          </w:p>
          <w:p w14:paraId="118DA4A4"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eastAsia="en-US"/>
              </w:rPr>
              <w:t xml:space="preserve">d) No </w:t>
            </w:r>
            <w:r w:rsidRPr="009A40AF">
              <w:rPr>
                <w:rFonts w:cs="Arial"/>
                <w:sz w:val="20"/>
                <w:szCs w:val="20"/>
                <w:lang w:val="es-MX"/>
              </w:rPr>
              <w:t>existía el procedimiento de Participación ciudadana y rendición de cuentas en el instituto.</w:t>
            </w:r>
          </w:p>
        </w:tc>
        <w:tc>
          <w:tcPr>
            <w:tcW w:w="4111" w:type="dxa"/>
            <w:vAlign w:val="center"/>
          </w:tcPr>
          <w:p w14:paraId="01F1F223"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9A40AF">
              <w:rPr>
                <w:rFonts w:cs="Arial"/>
                <w:sz w:val="20"/>
                <w:szCs w:val="20"/>
                <w:lang w:val="es-MX"/>
              </w:rPr>
              <w:lastRenderedPageBreak/>
              <w:t>a). Digitalización de documentos de las PQRSDF y seguimiento a la trazabilidad de las mismas.</w:t>
            </w:r>
          </w:p>
          <w:p w14:paraId="39E2D1ED"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9A40AF">
              <w:rPr>
                <w:rFonts w:cs="Arial"/>
                <w:sz w:val="20"/>
                <w:szCs w:val="20"/>
                <w:lang w:val="es-MX"/>
              </w:rPr>
              <w:t>b). El (SIGAC) permite al ciudadano realizar peticiones anónimas.</w:t>
            </w:r>
          </w:p>
          <w:p w14:paraId="4D9C4731"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eastAsia="en-US"/>
              </w:rPr>
            </w:pPr>
            <w:r w:rsidRPr="009A40AF">
              <w:rPr>
                <w:rFonts w:cs="Arial"/>
                <w:sz w:val="20"/>
                <w:szCs w:val="20"/>
                <w:lang w:val="es-MX"/>
              </w:rPr>
              <w:lastRenderedPageBreak/>
              <w:t>c). Equipo Líder de Participación Ciudadana y Rendición de Cuentas, conformado por un grupo de profesionales de áreas interdisciplinarias, de las diferentes dependencias de la entidad.</w:t>
            </w:r>
          </w:p>
          <w:p w14:paraId="7F640853"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rPr>
            </w:pPr>
            <w:r w:rsidRPr="009A40AF">
              <w:rPr>
                <w:rFonts w:cs="Arial"/>
                <w:sz w:val="20"/>
                <w:szCs w:val="20"/>
                <w:lang w:val="es-MX"/>
              </w:rPr>
              <w:t>d). Definición de funciones con la creación de los procedimientos de Participación ciudadana y rendición de cuentas.</w:t>
            </w:r>
          </w:p>
        </w:tc>
      </w:tr>
      <w:tr w:rsidR="00331B49" w:rsidRPr="009A40AF" w14:paraId="0A0E04C5" w14:textId="77777777" w:rsidTr="00A6302C">
        <w:trPr>
          <w:trHeight w:val="23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121F84BC"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lastRenderedPageBreak/>
              <w:t>Alcance del proceso</w:t>
            </w:r>
          </w:p>
        </w:tc>
        <w:tc>
          <w:tcPr>
            <w:tcW w:w="3402" w:type="dxa"/>
            <w:vAlign w:val="center"/>
          </w:tcPr>
          <w:p w14:paraId="5E33EA2D"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Grupo Interno de Trabajo Servicio al Ciudadano, de la Secretaría General.</w:t>
            </w:r>
          </w:p>
          <w:p w14:paraId="08AB9DF0"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3AD6AEA5" w14:textId="77777777" w:rsidR="00331B49" w:rsidRPr="009A40AF"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Se realiza seguimiento y control a las Direcciones Territoriales en temas de PQRSD, Participación Ciudadana y Canales de atención.</w:t>
            </w:r>
          </w:p>
        </w:tc>
        <w:tc>
          <w:tcPr>
            <w:tcW w:w="4111" w:type="dxa"/>
            <w:vAlign w:val="center"/>
          </w:tcPr>
          <w:p w14:paraId="58F6BB18"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Oficina Estratégica - Oficina de Relación con el Ciudadano, de la Dirección General.</w:t>
            </w:r>
          </w:p>
          <w:p w14:paraId="0C7468AE"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p>
          <w:p w14:paraId="68E09055"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Dirigimos la implementación de políticas de: Servicio al ciudadano, Racionalización de trámites y Participación ciudadana en la gestión pública.</w:t>
            </w:r>
          </w:p>
        </w:tc>
      </w:tr>
      <w:tr w:rsidR="00331B49" w:rsidRPr="009A40AF" w14:paraId="3FCDDFD3" w14:textId="77777777" w:rsidTr="00A6302C">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6D99EA8" w14:textId="77777777" w:rsidR="00331B49" w:rsidRPr="009A40AF" w:rsidRDefault="00331B49" w:rsidP="00A6302C">
            <w:pPr>
              <w:tabs>
                <w:tab w:val="left" w:pos="240"/>
              </w:tabs>
              <w:jc w:val="center"/>
              <w:rPr>
                <w:rFonts w:cs="Arial"/>
                <w:sz w:val="20"/>
                <w:szCs w:val="20"/>
                <w:lang w:val="es-MX" w:eastAsia="en-US"/>
              </w:rPr>
            </w:pPr>
            <w:r w:rsidRPr="009A40AF">
              <w:rPr>
                <w:rFonts w:cs="Arial"/>
                <w:sz w:val="20"/>
                <w:szCs w:val="20"/>
                <w:lang w:val="es-MX"/>
              </w:rPr>
              <w:t>Seguimiento</w:t>
            </w:r>
          </w:p>
        </w:tc>
        <w:tc>
          <w:tcPr>
            <w:tcW w:w="3402" w:type="dxa"/>
            <w:vAlign w:val="center"/>
          </w:tcPr>
          <w:p w14:paraId="75A8697F"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eastAsia="en-US"/>
              </w:rPr>
              <w:t xml:space="preserve">a). </w:t>
            </w:r>
            <w:r w:rsidRPr="009A40AF">
              <w:rPr>
                <w:rFonts w:cs="Arial"/>
                <w:sz w:val="20"/>
                <w:szCs w:val="20"/>
                <w:lang w:val="es-MX"/>
              </w:rPr>
              <w:t>Índice desempeño institucional Política de Participación Ciudadana en la Gestión Pública: para el 2018 el IGAC obtiene un índice de desempeño institucional de 80,1.</w:t>
            </w:r>
          </w:p>
          <w:p w14:paraId="58E41E81"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b). Índice desempeño institucional Política de Servicio al Ciudadano en la Gestión Pública: para el 2018 el IGAC obtiene un índice de desempeño institucional de 82,2.</w:t>
            </w:r>
          </w:p>
          <w:p w14:paraId="42730DF5"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c). Índice desempeño institucional Política de trámites en la Gestión Pública: para el 2018 el IGAC obtiene un índice de desempeño institucional de 84,2.</w:t>
            </w:r>
          </w:p>
          <w:p w14:paraId="52EB5AB3"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d) No se contaba con indicadores de medición para los canales de atención.</w:t>
            </w:r>
          </w:p>
          <w:p w14:paraId="2A03780B"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e). Gran cantidad de correos a través de los cuales los ciudadanos interactuaban e interponían solicitudes.</w:t>
            </w:r>
          </w:p>
        </w:tc>
        <w:tc>
          <w:tcPr>
            <w:tcW w:w="4111" w:type="dxa"/>
            <w:vAlign w:val="center"/>
          </w:tcPr>
          <w:p w14:paraId="622110DD"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eastAsia="en-US"/>
              </w:rPr>
              <w:t>a</w:t>
            </w:r>
            <w:r w:rsidRPr="009A40AF">
              <w:rPr>
                <w:rFonts w:cs="Arial"/>
                <w:sz w:val="20"/>
                <w:szCs w:val="20"/>
                <w:lang w:val="es-MX"/>
              </w:rPr>
              <w:t>). Índice desempeño institucional Política de Participación Ciudadana en la Gestión Pública: para el 2020 el IGAC obtiene un índice de desempeño institucional de 87,6.</w:t>
            </w:r>
          </w:p>
          <w:p w14:paraId="2990EA71"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b). Índice desempeño institucional Política de Servicio al Ciudadano en la Gestión Pública: para el 2020 el IGAC obtiene un índice de desempeño institucional de 94,6.</w:t>
            </w:r>
          </w:p>
          <w:p w14:paraId="377ECA11"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c). Índice desempeño institucional Política de trámites en la Gestión Pública: para el 2020 el IGAC obtiene un índice de desempeño institucional de 92,6.</w:t>
            </w:r>
          </w:p>
          <w:p w14:paraId="161ABFED"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rPr>
              <w:t>d). Implementación de indicadores de medición internos para el canal presencial, virtual y telefónico, reflejados en los informes trimestrales.</w:t>
            </w:r>
          </w:p>
          <w:p w14:paraId="1B41A118" w14:textId="77777777" w:rsidR="00331B49" w:rsidRPr="009A40AF" w:rsidRDefault="00331B49" w:rsidP="00A6302C">
            <w:pPr>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9A40AF">
              <w:rPr>
                <w:rFonts w:cs="Arial"/>
                <w:sz w:val="20"/>
                <w:szCs w:val="20"/>
                <w:lang w:val="es-MX" w:eastAsia="en-US"/>
              </w:rPr>
              <w:t>e).</w:t>
            </w:r>
            <w:r w:rsidRPr="009A40AF">
              <w:rPr>
                <w:rFonts w:cs="Arial"/>
                <w:sz w:val="20"/>
                <w:szCs w:val="20"/>
                <w:lang w:val="es-MX"/>
              </w:rPr>
              <w:t xml:space="preserve"> Inicia operación el 3 de marzo de 2020; el correo institucional contactenos@igac.gov.co centralizó la interacción con el ciudadano y permite mayor control en el acceso y gestión de los correos recibidos.</w:t>
            </w:r>
          </w:p>
        </w:tc>
      </w:tr>
      <w:tr w:rsidR="00331B49" w:rsidRPr="009A40AF" w14:paraId="32262A50" w14:textId="77777777" w:rsidTr="00A6302C">
        <w:trPr>
          <w:trHeight w:val="23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8106DC7"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t>Procedimiento</w:t>
            </w:r>
          </w:p>
        </w:tc>
        <w:tc>
          <w:tcPr>
            <w:tcW w:w="3402" w:type="dxa"/>
            <w:vAlign w:val="center"/>
          </w:tcPr>
          <w:p w14:paraId="09505A1E"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Se cuenta con el procedimiento de:</w:t>
            </w:r>
          </w:p>
          <w:p w14:paraId="6A9DD6CF" w14:textId="77777777" w:rsidR="00331B49" w:rsidRPr="009A40AF" w:rsidRDefault="00331B49" w:rsidP="000A20EE">
            <w:pPr>
              <w:pStyle w:val="Prrafodelista"/>
              <w:numPr>
                <w:ilvl w:val="0"/>
                <w:numId w:val="97"/>
              </w:numPr>
              <w:suppressAutoHyphens w:val="0"/>
              <w:overflowPunct/>
              <w:autoSpaceDE/>
              <w:ind w:left="175" w:hanging="175"/>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Trámite de peticiones, quejas, reclamos, sugerencias y denuncias.</w:t>
            </w:r>
          </w:p>
          <w:p w14:paraId="4446BFF4" w14:textId="77777777" w:rsidR="00331B49" w:rsidRPr="009A40AF"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p>
          <w:p w14:paraId="693EDE09" w14:textId="77777777" w:rsidR="00331B49" w:rsidRPr="009A40AF"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r w:rsidRPr="009A40AF">
              <w:rPr>
                <w:rFonts w:cs="Arial"/>
                <w:sz w:val="20"/>
                <w:szCs w:val="20"/>
                <w:lang w:val="es-MX"/>
              </w:rPr>
              <w:t>No se tiene ninguna política</w:t>
            </w:r>
          </w:p>
        </w:tc>
        <w:tc>
          <w:tcPr>
            <w:tcW w:w="4111" w:type="dxa"/>
            <w:vAlign w:val="center"/>
          </w:tcPr>
          <w:p w14:paraId="2BD8FCC7"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Se tienen los procedimientos de:</w:t>
            </w:r>
          </w:p>
          <w:p w14:paraId="3E661B49" w14:textId="77777777" w:rsidR="00331B49" w:rsidRPr="009A40AF" w:rsidRDefault="00331B49" w:rsidP="000A20EE">
            <w:pPr>
              <w:pStyle w:val="Prrafodelista"/>
              <w:numPr>
                <w:ilvl w:val="0"/>
                <w:numId w:val="97"/>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Trámite de peticiones, quejas, reclamos, sugerencias y denuncias.</w:t>
            </w:r>
          </w:p>
          <w:p w14:paraId="6E3193D0" w14:textId="77777777" w:rsidR="00331B49" w:rsidRPr="009A40AF" w:rsidRDefault="00331B49" w:rsidP="000A20EE">
            <w:pPr>
              <w:pStyle w:val="Prrafodelista"/>
              <w:numPr>
                <w:ilvl w:val="0"/>
                <w:numId w:val="97"/>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Rendición de Cuentas</w:t>
            </w:r>
          </w:p>
          <w:p w14:paraId="7F0079A9" w14:textId="77777777" w:rsidR="00331B49" w:rsidRPr="009A40AF" w:rsidRDefault="00331B49" w:rsidP="000A20EE">
            <w:pPr>
              <w:pStyle w:val="Prrafodelista"/>
              <w:numPr>
                <w:ilvl w:val="0"/>
                <w:numId w:val="97"/>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Participación Ciudadana</w:t>
            </w:r>
          </w:p>
          <w:p w14:paraId="50484633" w14:textId="77777777" w:rsidR="00331B49" w:rsidRPr="009A40AF" w:rsidRDefault="00331B49" w:rsidP="000A20EE">
            <w:pPr>
              <w:pStyle w:val="Prrafodelista"/>
              <w:numPr>
                <w:ilvl w:val="0"/>
                <w:numId w:val="97"/>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Visitas guiadas</w:t>
            </w:r>
          </w:p>
          <w:p w14:paraId="7FB9EB77" w14:textId="77777777" w:rsidR="00331B49" w:rsidRPr="009A40AF" w:rsidRDefault="00331B49" w:rsidP="000A20EE">
            <w:pPr>
              <w:pStyle w:val="Prrafodelista"/>
              <w:numPr>
                <w:ilvl w:val="0"/>
                <w:numId w:val="97"/>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Servicio de Biblioteca.</w:t>
            </w:r>
          </w:p>
          <w:p w14:paraId="1A8B2560" w14:textId="77777777" w:rsidR="00331B49" w:rsidRPr="009A40AF" w:rsidRDefault="00331B49" w:rsidP="00A6302C">
            <w:pPr>
              <w:ind w:left="-108"/>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p>
          <w:p w14:paraId="67259223" w14:textId="77777777" w:rsidR="00331B49" w:rsidRPr="009A40AF"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r w:rsidRPr="009A40AF">
              <w:rPr>
                <w:rFonts w:cs="Arial"/>
                <w:sz w:val="20"/>
                <w:szCs w:val="20"/>
                <w:lang w:val="es-MX"/>
              </w:rPr>
              <w:t>Se cuenta con las políticas de:</w:t>
            </w:r>
          </w:p>
          <w:p w14:paraId="276446BF"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Participación ciudadana en la gestión pública</w:t>
            </w:r>
          </w:p>
          <w:p w14:paraId="4CFAD4CB"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000000" w:firstRow="0" w:lastRow="0" w:firstColumn="0" w:lastColumn="0" w:oddVBand="0" w:evenVBand="0" w:oddHBand="0" w:evenHBand="0" w:firstRowFirstColumn="0" w:firstRowLastColumn="0" w:lastRowFirstColumn="0" w:lastRowLastColumn="0"/>
              <w:rPr>
                <w:rFonts w:cs="Arial"/>
                <w:lang w:val="es-MX"/>
              </w:rPr>
            </w:pPr>
            <w:r w:rsidRPr="009A40AF">
              <w:rPr>
                <w:rFonts w:cs="Arial"/>
                <w:lang w:val="es-MX"/>
              </w:rPr>
              <w:t>Racionalización de trámites</w:t>
            </w:r>
          </w:p>
          <w:p w14:paraId="4DC24D8E" w14:textId="77777777" w:rsidR="00331B49" w:rsidRPr="009A40AF" w:rsidRDefault="00331B49" w:rsidP="00A6302C">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r w:rsidRPr="009A40AF">
              <w:rPr>
                <w:rFonts w:cs="Arial"/>
                <w:sz w:val="20"/>
                <w:szCs w:val="20"/>
                <w:lang w:val="es-MX"/>
              </w:rPr>
              <w:t>Servicio al Ciudadano</w:t>
            </w:r>
          </w:p>
        </w:tc>
      </w:tr>
      <w:tr w:rsidR="00331B49" w:rsidRPr="009A40AF" w14:paraId="6B37E104" w14:textId="77777777" w:rsidTr="00A6302C">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7D31FDD9"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t>Equipo Humano</w:t>
            </w:r>
          </w:p>
        </w:tc>
        <w:tc>
          <w:tcPr>
            <w:tcW w:w="3402" w:type="dxa"/>
            <w:vAlign w:val="center"/>
          </w:tcPr>
          <w:p w14:paraId="01E47648"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1 Coordinador</w:t>
            </w:r>
            <w:r w:rsidRPr="009A40AF">
              <w:rPr>
                <w:rFonts w:cs="Arial"/>
                <w:lang w:val="es-MX"/>
              </w:rPr>
              <w:t>.</w:t>
            </w:r>
          </w:p>
          <w:p w14:paraId="349A52CB"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3 Profesionales Universitarios (Carrera Administrativa)</w:t>
            </w:r>
            <w:r w:rsidRPr="009A40AF">
              <w:rPr>
                <w:rFonts w:cs="Arial"/>
                <w:lang w:val="es-MX"/>
              </w:rPr>
              <w:t>.</w:t>
            </w:r>
          </w:p>
          <w:p w14:paraId="1F66F6CA"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lastRenderedPageBreak/>
              <w:t>3 Auxiliares Administrativos (Provisionales)</w:t>
            </w:r>
            <w:r w:rsidRPr="009A40AF">
              <w:rPr>
                <w:rFonts w:cs="Arial"/>
                <w:lang w:val="es-MX"/>
              </w:rPr>
              <w:t>.</w:t>
            </w:r>
          </w:p>
          <w:p w14:paraId="4C1660F9"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2 secretarios (Provisionales)</w:t>
            </w:r>
            <w:r w:rsidRPr="009A40AF">
              <w:rPr>
                <w:rFonts w:cs="Arial"/>
                <w:lang w:val="es-MX"/>
              </w:rPr>
              <w:t>.</w:t>
            </w:r>
          </w:p>
          <w:p w14:paraId="11931623"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eastAsia="en-US"/>
              </w:rPr>
            </w:pPr>
            <w:r w:rsidRPr="009A40AF">
              <w:rPr>
                <w:rFonts w:cs="Arial"/>
                <w:lang w:val="es-MX" w:eastAsia="en-US"/>
              </w:rPr>
              <w:t>5 contratistas</w:t>
            </w:r>
            <w:r w:rsidRPr="009A40AF">
              <w:rPr>
                <w:rFonts w:cs="Arial"/>
                <w:lang w:val="es-MX"/>
              </w:rPr>
              <w:t>.</w:t>
            </w:r>
          </w:p>
        </w:tc>
        <w:tc>
          <w:tcPr>
            <w:tcW w:w="4111" w:type="dxa"/>
            <w:vAlign w:val="center"/>
          </w:tcPr>
          <w:p w14:paraId="52C502D9"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lastRenderedPageBreak/>
              <w:t>1 Jefe de Oficina</w:t>
            </w:r>
          </w:p>
          <w:p w14:paraId="6B0B1945"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2 Profesionales Especializados (Carrera Administrativa)</w:t>
            </w:r>
          </w:p>
          <w:p w14:paraId="23D54F20"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lastRenderedPageBreak/>
              <w:t>2 Profesionales Universitarios (1 -Carrera Administrativa, 1 - Provisional)</w:t>
            </w:r>
          </w:p>
          <w:p w14:paraId="49493732"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4 Auxiliares Administrativos (Carrera Administrativa)</w:t>
            </w:r>
          </w:p>
          <w:p w14:paraId="18D75853"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1 Operario calificado (Carrera Administrativa)</w:t>
            </w:r>
          </w:p>
          <w:p w14:paraId="186435DB"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rPr>
            </w:pPr>
            <w:r w:rsidRPr="009A40AF">
              <w:rPr>
                <w:rFonts w:cs="Arial"/>
                <w:lang w:val="es-MX" w:eastAsia="en-US"/>
              </w:rPr>
              <w:t>2 secretarios (Provisionales)</w:t>
            </w:r>
          </w:p>
          <w:p w14:paraId="5772D3E5" w14:textId="77777777" w:rsidR="00331B49" w:rsidRPr="009A40AF" w:rsidRDefault="00331B49" w:rsidP="000A20EE">
            <w:pPr>
              <w:pStyle w:val="Prrafodelista"/>
              <w:numPr>
                <w:ilvl w:val="0"/>
                <w:numId w:val="98"/>
              </w:numPr>
              <w:suppressAutoHyphens w:val="0"/>
              <w:overflowPunct/>
              <w:autoSpaceDE/>
              <w:ind w:left="34" w:hanging="142"/>
              <w:contextualSpacing/>
              <w:jc w:val="center"/>
              <w:textAlignment w:val="auto"/>
              <w:cnfStyle w:val="000000100000" w:firstRow="0" w:lastRow="0" w:firstColumn="0" w:lastColumn="0" w:oddVBand="0" w:evenVBand="0" w:oddHBand="1" w:evenHBand="0" w:firstRowFirstColumn="0" w:firstRowLastColumn="0" w:lastRowFirstColumn="0" w:lastRowLastColumn="0"/>
              <w:rPr>
                <w:rFonts w:cs="Arial"/>
                <w:lang w:val="es-MX" w:eastAsia="en-US"/>
              </w:rPr>
            </w:pPr>
            <w:r w:rsidRPr="009A40AF">
              <w:rPr>
                <w:rFonts w:cs="Arial"/>
                <w:lang w:val="es-MX"/>
              </w:rPr>
              <w:t>7</w:t>
            </w:r>
            <w:r w:rsidRPr="009A40AF">
              <w:rPr>
                <w:rFonts w:cs="Arial"/>
                <w:lang w:val="es-MX" w:eastAsia="en-US"/>
              </w:rPr>
              <w:t xml:space="preserve"> contratistas</w:t>
            </w:r>
          </w:p>
        </w:tc>
      </w:tr>
      <w:tr w:rsidR="00331B49" w:rsidRPr="009A40AF" w14:paraId="70E48333" w14:textId="77777777" w:rsidTr="00A6302C">
        <w:trPr>
          <w:trHeight w:val="252"/>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9C034B6" w14:textId="77777777" w:rsidR="00331B49" w:rsidRPr="009A40AF" w:rsidRDefault="00331B49" w:rsidP="00A6302C">
            <w:pPr>
              <w:jc w:val="center"/>
              <w:rPr>
                <w:rFonts w:cs="Arial"/>
                <w:sz w:val="20"/>
                <w:szCs w:val="20"/>
                <w:lang w:val="es-MX" w:eastAsia="en-US"/>
              </w:rPr>
            </w:pPr>
            <w:r w:rsidRPr="009A40AF">
              <w:rPr>
                <w:rFonts w:cs="Arial"/>
                <w:sz w:val="20"/>
                <w:szCs w:val="20"/>
                <w:lang w:val="es-MX"/>
              </w:rPr>
              <w:lastRenderedPageBreak/>
              <w:t>Otros</w:t>
            </w:r>
          </w:p>
        </w:tc>
        <w:tc>
          <w:tcPr>
            <w:tcW w:w="3402" w:type="dxa"/>
            <w:vAlign w:val="center"/>
          </w:tcPr>
          <w:p w14:paraId="3DB31770"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r w:rsidRPr="009A40AF">
              <w:rPr>
                <w:rFonts w:cs="Arial"/>
                <w:sz w:val="20"/>
                <w:szCs w:val="20"/>
                <w:lang w:val="es-MX"/>
              </w:rPr>
              <w:t>Las redes sociales no eran canal de interacción ciudadana.</w:t>
            </w:r>
          </w:p>
          <w:p w14:paraId="1A96FE0E"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p>
          <w:p w14:paraId="2D9D14D0"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Antes de 2021 no se llevaba registro de las interacciones ciudadanas en redes sociales del Instituto (Instagram, Facebook, Twitter).</w:t>
            </w:r>
          </w:p>
        </w:tc>
        <w:tc>
          <w:tcPr>
            <w:tcW w:w="4111" w:type="dxa"/>
            <w:vAlign w:val="center"/>
          </w:tcPr>
          <w:p w14:paraId="7E342C1A"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r w:rsidRPr="009A40AF">
              <w:rPr>
                <w:rFonts w:cs="Arial"/>
                <w:sz w:val="20"/>
                <w:szCs w:val="20"/>
                <w:lang w:val="es-MX"/>
              </w:rPr>
              <w:t>Las redes sociales que maneja el Instituto se han convertido en canal de interacción ciudadana.</w:t>
            </w:r>
          </w:p>
          <w:p w14:paraId="328CD8A8"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rPr>
            </w:pPr>
          </w:p>
          <w:p w14:paraId="60607E92" w14:textId="77777777" w:rsidR="00331B49" w:rsidRPr="009A40AF" w:rsidRDefault="00331B49" w:rsidP="00A6302C">
            <w:pPr>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9A40AF">
              <w:rPr>
                <w:rFonts w:cs="Arial"/>
                <w:sz w:val="20"/>
                <w:szCs w:val="20"/>
                <w:lang w:val="es-MX"/>
              </w:rPr>
              <w:t>Se lleva registro de las interacciones ciudadanas en redes sociales, además, se da respuesta sino de manera inmediata, a más tardar el siguiente día.</w:t>
            </w:r>
          </w:p>
        </w:tc>
      </w:tr>
    </w:tbl>
    <w:p w14:paraId="098A2568" w14:textId="77777777" w:rsidR="00331B49" w:rsidRDefault="00331B49" w:rsidP="00331B49">
      <w:pPr>
        <w:jc w:val="center"/>
      </w:pPr>
      <w:r w:rsidRPr="31FF9146">
        <w:rPr>
          <w:rFonts w:cs="Arial"/>
          <w:b/>
          <w:bCs/>
          <w:sz w:val="16"/>
          <w:szCs w:val="16"/>
        </w:rPr>
        <w:t>Fuente: Oficina de Relación con el Ciudadano</w:t>
      </w:r>
    </w:p>
    <w:p w14:paraId="40FD8240" w14:textId="022EB2FB" w:rsidR="31FF9146" w:rsidRPr="00553569" w:rsidRDefault="31FF9146">
      <w:pPr>
        <w:rPr>
          <w:b/>
          <w:sz w:val="22"/>
        </w:rPr>
      </w:pPr>
    </w:p>
    <w:p w14:paraId="49583A9E" w14:textId="51E3A77C" w:rsidR="005325D9" w:rsidRPr="00553569" w:rsidRDefault="005325D9" w:rsidP="00C72779">
      <w:pPr>
        <w:pStyle w:val="Prrafodelista"/>
        <w:ind w:left="567"/>
        <w:rPr>
          <w:rFonts w:cs="Arial"/>
          <w:b/>
          <w:szCs w:val="22"/>
        </w:rPr>
      </w:pPr>
    </w:p>
    <w:p w14:paraId="58CD8D3F" w14:textId="77777777" w:rsidR="005325D9" w:rsidRPr="00553569" w:rsidRDefault="005325D9" w:rsidP="00553569">
      <w:pPr>
        <w:jc w:val="both"/>
        <w:rPr>
          <w:b/>
          <w:sz w:val="22"/>
          <w:lang w:eastAsia="es-MX"/>
        </w:rPr>
      </w:pPr>
      <w:r w:rsidRPr="00553569">
        <w:rPr>
          <w:b/>
          <w:sz w:val="22"/>
          <w:lang w:eastAsia="es-MX"/>
        </w:rPr>
        <w:t xml:space="preserve">4.7.6 PROCEDIMIENTOS, INDICADORES Y RIESGOS ASOCIADOS A LOS PROCESOS </w:t>
      </w:r>
      <w:r w:rsidRPr="00553569">
        <w:rPr>
          <w:b/>
          <w:sz w:val="22"/>
        </w:rPr>
        <w:t>DE LA OFICINA DE RELACIÓN CON EL CIUDADANO</w:t>
      </w:r>
    </w:p>
    <w:p w14:paraId="5232067F" w14:textId="35E0A4E1" w:rsidR="69A00A26" w:rsidRDefault="69A00A26" w:rsidP="00C72779">
      <w:pPr>
        <w:ind w:left="708"/>
        <w:jc w:val="both"/>
        <w:outlineLvl w:val="1"/>
        <w:rPr>
          <w:b/>
          <w:bCs/>
        </w:rPr>
      </w:pPr>
    </w:p>
    <w:tbl>
      <w:tblPr>
        <w:tblStyle w:val="Tablaconcuadrcula"/>
        <w:tblW w:w="9360" w:type="dxa"/>
        <w:jc w:val="center"/>
        <w:tblLayout w:type="fixed"/>
        <w:tblLook w:val="06A0" w:firstRow="1" w:lastRow="0" w:firstColumn="1" w:lastColumn="0" w:noHBand="1" w:noVBand="1"/>
      </w:tblPr>
      <w:tblGrid>
        <w:gridCol w:w="1740"/>
        <w:gridCol w:w="2460"/>
        <w:gridCol w:w="1800"/>
        <w:gridCol w:w="1590"/>
        <w:gridCol w:w="1770"/>
      </w:tblGrid>
      <w:tr w:rsidR="69A00A26" w14:paraId="4A87EED5" w14:textId="77777777" w:rsidTr="00A6302C">
        <w:trPr>
          <w:trHeight w:val="585"/>
          <w:jc w:val="center"/>
        </w:trPr>
        <w:tc>
          <w:tcPr>
            <w:tcW w:w="1740"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vAlign w:val="center"/>
          </w:tcPr>
          <w:p w14:paraId="3657B6C8" w14:textId="1025F012" w:rsidR="69A00A26" w:rsidRPr="009A40AF" w:rsidRDefault="69A00A26" w:rsidP="00C72779">
            <w:pPr>
              <w:jc w:val="center"/>
              <w:rPr>
                <w:b/>
                <w:sz w:val="20"/>
              </w:rPr>
            </w:pPr>
            <w:r w:rsidRPr="009A40AF">
              <w:rPr>
                <w:rFonts w:eastAsia="Arial" w:cs="Arial"/>
                <w:b/>
                <w:color w:val="FFFFFF" w:themeColor="background1"/>
                <w:sz w:val="20"/>
                <w:szCs w:val="22"/>
                <w:lang w:val="es"/>
              </w:rPr>
              <w:t>Proceso</w:t>
            </w:r>
          </w:p>
        </w:tc>
        <w:tc>
          <w:tcPr>
            <w:tcW w:w="2460" w:type="dxa"/>
            <w:tcBorders>
              <w:top w:val="single" w:sz="8" w:space="0" w:color="4F81BD" w:themeColor="accent1"/>
              <w:left w:val="nil"/>
              <w:bottom w:val="single" w:sz="8" w:space="0" w:color="4F81BD" w:themeColor="accent1"/>
              <w:right w:val="nil"/>
            </w:tcBorders>
            <w:shd w:val="clear" w:color="auto" w:fill="4F81BD" w:themeFill="accent1"/>
            <w:vAlign w:val="center"/>
          </w:tcPr>
          <w:p w14:paraId="59E724FD" w14:textId="0907B421" w:rsidR="69A00A26" w:rsidRPr="009A40AF" w:rsidRDefault="69A00A26" w:rsidP="00C72779">
            <w:pPr>
              <w:jc w:val="center"/>
              <w:rPr>
                <w:b/>
                <w:sz w:val="20"/>
              </w:rPr>
            </w:pPr>
            <w:r w:rsidRPr="009A40AF">
              <w:rPr>
                <w:rFonts w:eastAsia="Arial" w:cs="Arial"/>
                <w:b/>
                <w:color w:val="FFFFFF" w:themeColor="background1"/>
                <w:sz w:val="20"/>
                <w:szCs w:val="22"/>
                <w:lang w:val="es"/>
              </w:rPr>
              <w:t>Subproceso</w:t>
            </w:r>
          </w:p>
        </w:tc>
        <w:tc>
          <w:tcPr>
            <w:tcW w:w="1800" w:type="dxa"/>
            <w:tcBorders>
              <w:top w:val="single" w:sz="8" w:space="0" w:color="4F81BD" w:themeColor="accent1"/>
              <w:left w:val="nil"/>
              <w:bottom w:val="single" w:sz="8" w:space="0" w:color="4F81BD" w:themeColor="accent1"/>
              <w:right w:val="nil"/>
            </w:tcBorders>
            <w:shd w:val="clear" w:color="auto" w:fill="4F81BD" w:themeFill="accent1"/>
            <w:vAlign w:val="center"/>
          </w:tcPr>
          <w:p w14:paraId="66419145" w14:textId="3CB76015" w:rsidR="69A00A26" w:rsidRPr="009A40AF" w:rsidRDefault="69A00A26" w:rsidP="00C72779">
            <w:pPr>
              <w:jc w:val="center"/>
              <w:rPr>
                <w:b/>
                <w:sz w:val="20"/>
              </w:rPr>
            </w:pPr>
            <w:r w:rsidRPr="009A40AF">
              <w:rPr>
                <w:rFonts w:eastAsia="Arial" w:cs="Arial"/>
                <w:b/>
                <w:color w:val="FFFFFF" w:themeColor="background1"/>
                <w:sz w:val="20"/>
                <w:szCs w:val="22"/>
                <w:lang w:val="es"/>
              </w:rPr>
              <w:t>Procedimientos</w:t>
            </w:r>
          </w:p>
        </w:tc>
        <w:tc>
          <w:tcPr>
            <w:tcW w:w="1590" w:type="dxa"/>
            <w:tcBorders>
              <w:top w:val="single" w:sz="8" w:space="0" w:color="4F81BD" w:themeColor="accent1"/>
              <w:left w:val="nil"/>
              <w:bottom w:val="single" w:sz="8" w:space="0" w:color="4F81BD" w:themeColor="accent1"/>
              <w:right w:val="nil"/>
            </w:tcBorders>
            <w:shd w:val="clear" w:color="auto" w:fill="4F81BD" w:themeFill="accent1"/>
            <w:vAlign w:val="center"/>
          </w:tcPr>
          <w:p w14:paraId="5111FCF5" w14:textId="2A1FAC49" w:rsidR="69A00A26" w:rsidRPr="009A40AF" w:rsidRDefault="69A00A26" w:rsidP="00C72779">
            <w:pPr>
              <w:jc w:val="center"/>
              <w:rPr>
                <w:b/>
                <w:sz w:val="20"/>
              </w:rPr>
            </w:pPr>
            <w:r w:rsidRPr="009A40AF">
              <w:rPr>
                <w:rFonts w:eastAsia="Arial" w:cs="Arial"/>
                <w:b/>
                <w:color w:val="FFFFFF" w:themeColor="background1"/>
                <w:sz w:val="20"/>
                <w:szCs w:val="22"/>
                <w:lang w:val="es"/>
              </w:rPr>
              <w:t>Indicadores</w:t>
            </w:r>
          </w:p>
        </w:tc>
        <w:tc>
          <w:tcPr>
            <w:tcW w:w="1770"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vAlign w:val="center"/>
          </w:tcPr>
          <w:p w14:paraId="05718255" w14:textId="52F866EE" w:rsidR="69A00A26" w:rsidRPr="009A40AF" w:rsidRDefault="69A00A26" w:rsidP="00C72779">
            <w:pPr>
              <w:jc w:val="center"/>
              <w:rPr>
                <w:b/>
                <w:sz w:val="20"/>
              </w:rPr>
            </w:pPr>
            <w:r w:rsidRPr="009A40AF">
              <w:rPr>
                <w:rFonts w:eastAsia="Arial" w:cs="Arial"/>
                <w:b/>
                <w:color w:val="FFFFFF" w:themeColor="background1"/>
                <w:sz w:val="20"/>
                <w:szCs w:val="22"/>
                <w:lang w:val="es"/>
              </w:rPr>
              <w:t>Riesgos</w:t>
            </w:r>
          </w:p>
        </w:tc>
      </w:tr>
      <w:tr w:rsidR="69A00A26" w14:paraId="7905A9C5" w14:textId="77777777" w:rsidTr="00A6302C">
        <w:trPr>
          <w:trHeight w:val="510"/>
          <w:jc w:val="center"/>
        </w:trPr>
        <w:tc>
          <w:tcPr>
            <w:tcW w:w="1740" w:type="dxa"/>
            <w:vMerge w:val="restart"/>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71B36907" w14:textId="59388268" w:rsidR="69A00A26" w:rsidRPr="009A40AF" w:rsidRDefault="69A00A26" w:rsidP="00C72779">
            <w:pPr>
              <w:rPr>
                <w:sz w:val="20"/>
              </w:rPr>
            </w:pPr>
            <w:r w:rsidRPr="009A40AF">
              <w:rPr>
                <w:rFonts w:eastAsia="Arial" w:cs="Arial"/>
                <w:b/>
                <w:color w:val="000000" w:themeColor="text1"/>
                <w:sz w:val="20"/>
                <w:szCs w:val="22"/>
                <w:lang w:val="es"/>
              </w:rPr>
              <w:t>Gestión de Servicio al Ciudadano</w:t>
            </w:r>
          </w:p>
        </w:tc>
        <w:tc>
          <w:tcPr>
            <w:tcW w:w="246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B0FC41B" w14:textId="1A3CBB0E" w:rsidR="69A00A26" w:rsidRPr="009A40AF" w:rsidRDefault="69A00A26" w:rsidP="00C72779">
            <w:pPr>
              <w:rPr>
                <w:sz w:val="20"/>
              </w:rPr>
            </w:pPr>
            <w:r w:rsidRPr="009A40AF">
              <w:rPr>
                <w:rFonts w:eastAsia="Arial" w:cs="Arial"/>
                <w:color w:val="000000" w:themeColor="text1"/>
                <w:sz w:val="20"/>
                <w:szCs w:val="22"/>
                <w:lang w:val="es"/>
              </w:rPr>
              <w:t xml:space="preserve">Gestión de Atención al Ciudadano </w:t>
            </w:r>
          </w:p>
        </w:tc>
        <w:tc>
          <w:tcPr>
            <w:tcW w:w="180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5E7E16DF" w14:textId="116205E6" w:rsidR="69A00A26" w:rsidRPr="009A40AF" w:rsidRDefault="69A00A26" w:rsidP="00C72779">
            <w:pPr>
              <w:jc w:val="center"/>
              <w:rPr>
                <w:sz w:val="20"/>
              </w:rPr>
            </w:pPr>
            <w:r w:rsidRPr="009A40AF">
              <w:rPr>
                <w:rFonts w:eastAsia="Arial" w:cs="Arial"/>
                <w:color w:val="000000" w:themeColor="text1"/>
                <w:sz w:val="20"/>
                <w:szCs w:val="22"/>
                <w:lang w:val="es"/>
              </w:rPr>
              <w:t>3</w:t>
            </w:r>
          </w:p>
        </w:tc>
        <w:tc>
          <w:tcPr>
            <w:tcW w:w="159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17F4D18" w14:textId="63FAE3FD" w:rsidR="69A00A26" w:rsidRPr="009A40AF" w:rsidRDefault="69A00A26" w:rsidP="00C72779">
            <w:pPr>
              <w:jc w:val="center"/>
              <w:rPr>
                <w:sz w:val="20"/>
              </w:rPr>
            </w:pPr>
            <w:r w:rsidRPr="009A40AF">
              <w:rPr>
                <w:rFonts w:eastAsia="Arial" w:cs="Arial"/>
                <w:color w:val="000000" w:themeColor="text1"/>
                <w:sz w:val="20"/>
                <w:szCs w:val="22"/>
                <w:lang w:val="es"/>
              </w:rPr>
              <w:t>4</w:t>
            </w:r>
          </w:p>
        </w:tc>
        <w:tc>
          <w:tcPr>
            <w:tcW w:w="177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7A8519A" w14:textId="4E707963" w:rsidR="69A00A26" w:rsidRPr="009A40AF" w:rsidRDefault="69A00A26" w:rsidP="00C72779">
            <w:pPr>
              <w:jc w:val="center"/>
              <w:rPr>
                <w:sz w:val="20"/>
              </w:rPr>
            </w:pPr>
            <w:r w:rsidRPr="009A40AF">
              <w:rPr>
                <w:rFonts w:eastAsia="Arial" w:cs="Arial"/>
                <w:color w:val="000000" w:themeColor="text1"/>
                <w:sz w:val="20"/>
                <w:szCs w:val="22"/>
                <w:lang w:val="es"/>
              </w:rPr>
              <w:t>2</w:t>
            </w:r>
          </w:p>
        </w:tc>
      </w:tr>
      <w:tr w:rsidR="69A00A26" w14:paraId="135E7D42" w14:textId="77777777" w:rsidTr="00A6302C">
        <w:trPr>
          <w:trHeight w:val="585"/>
          <w:jc w:val="center"/>
        </w:trPr>
        <w:tc>
          <w:tcPr>
            <w:tcW w:w="1740" w:type="dxa"/>
            <w:vMerge/>
            <w:vAlign w:val="center"/>
          </w:tcPr>
          <w:p w14:paraId="358BE015" w14:textId="77777777" w:rsidR="009F67EA" w:rsidRPr="009A40AF" w:rsidRDefault="009F67EA" w:rsidP="00C72779">
            <w:pPr>
              <w:rPr>
                <w:sz w:val="20"/>
              </w:rPr>
            </w:pPr>
          </w:p>
        </w:tc>
        <w:tc>
          <w:tcPr>
            <w:tcW w:w="2460" w:type="dxa"/>
            <w:tcBorders>
              <w:top w:val="single" w:sz="8" w:space="0" w:color="95B3D7" w:themeColor="accent1" w:themeTint="99"/>
              <w:left w:val="nil"/>
              <w:bottom w:val="single" w:sz="8" w:space="0" w:color="95B3D7" w:themeColor="accent1" w:themeTint="99"/>
              <w:right w:val="single" w:sz="8" w:space="0" w:color="95B3D7" w:themeColor="accent1" w:themeTint="99"/>
            </w:tcBorders>
            <w:vAlign w:val="center"/>
          </w:tcPr>
          <w:p w14:paraId="1B7CA5A5" w14:textId="5F9BD079" w:rsidR="69A00A26" w:rsidRPr="009A40AF" w:rsidRDefault="69A00A26" w:rsidP="00C72779">
            <w:pPr>
              <w:rPr>
                <w:sz w:val="20"/>
              </w:rPr>
            </w:pPr>
            <w:r w:rsidRPr="009A40AF">
              <w:rPr>
                <w:rFonts w:eastAsia="Arial" w:cs="Arial"/>
                <w:color w:val="000000" w:themeColor="text1"/>
                <w:sz w:val="20"/>
                <w:szCs w:val="22"/>
                <w:lang w:val="es"/>
              </w:rPr>
              <w:t>Orientación al Servicio</w:t>
            </w:r>
          </w:p>
        </w:tc>
        <w:tc>
          <w:tcPr>
            <w:tcW w:w="180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DF54D9C" w14:textId="4B3633E2" w:rsidR="69A00A26" w:rsidRPr="009A40AF" w:rsidRDefault="69A00A26" w:rsidP="00C72779">
            <w:pPr>
              <w:jc w:val="center"/>
              <w:rPr>
                <w:sz w:val="20"/>
              </w:rPr>
            </w:pPr>
            <w:r w:rsidRPr="009A40AF">
              <w:rPr>
                <w:rFonts w:eastAsia="Arial" w:cs="Arial"/>
                <w:color w:val="000000" w:themeColor="text1"/>
                <w:sz w:val="20"/>
                <w:szCs w:val="22"/>
                <w:lang w:val="es"/>
              </w:rPr>
              <w:t>2</w:t>
            </w:r>
          </w:p>
        </w:tc>
        <w:tc>
          <w:tcPr>
            <w:tcW w:w="15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5B00C871" w14:textId="2E0D8BC8" w:rsidR="69A00A26" w:rsidRPr="009A40AF" w:rsidRDefault="69A00A26" w:rsidP="00C72779">
            <w:pPr>
              <w:jc w:val="center"/>
              <w:rPr>
                <w:sz w:val="20"/>
              </w:rPr>
            </w:pPr>
            <w:r w:rsidRPr="009A40AF">
              <w:rPr>
                <w:rFonts w:eastAsia="Arial" w:cs="Arial"/>
                <w:color w:val="000000" w:themeColor="text1"/>
                <w:sz w:val="20"/>
                <w:szCs w:val="22"/>
                <w:lang w:val="es"/>
              </w:rPr>
              <w:t>1</w:t>
            </w:r>
          </w:p>
        </w:tc>
        <w:tc>
          <w:tcPr>
            <w:tcW w:w="177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1D68F86" w14:textId="08D258C0" w:rsidR="69A00A26" w:rsidRPr="009A40AF" w:rsidRDefault="69A00A26" w:rsidP="00C72779">
            <w:pPr>
              <w:jc w:val="center"/>
              <w:rPr>
                <w:sz w:val="20"/>
              </w:rPr>
            </w:pPr>
            <w:r w:rsidRPr="009A40AF">
              <w:rPr>
                <w:rFonts w:eastAsia="Arial" w:cs="Arial"/>
                <w:color w:val="000000" w:themeColor="text1"/>
                <w:sz w:val="20"/>
                <w:szCs w:val="22"/>
                <w:lang w:val="es"/>
              </w:rPr>
              <w:t>0</w:t>
            </w:r>
          </w:p>
        </w:tc>
      </w:tr>
      <w:tr w:rsidR="69A00A26" w14:paraId="5D742F6E" w14:textId="77777777" w:rsidTr="00A6302C">
        <w:trPr>
          <w:trHeight w:val="315"/>
          <w:jc w:val="center"/>
        </w:trPr>
        <w:tc>
          <w:tcPr>
            <w:tcW w:w="4200" w:type="dxa"/>
            <w:gridSpan w:val="2"/>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767F5FEF" w14:textId="24A003D0" w:rsidR="69A00A26" w:rsidRPr="009A40AF" w:rsidRDefault="69A00A26" w:rsidP="00C72779">
            <w:pPr>
              <w:rPr>
                <w:sz w:val="20"/>
              </w:rPr>
            </w:pPr>
            <w:r w:rsidRPr="009A40AF">
              <w:rPr>
                <w:rFonts w:eastAsia="Arial" w:cs="Arial"/>
                <w:b/>
                <w:color w:val="000000" w:themeColor="text1"/>
                <w:sz w:val="20"/>
                <w:szCs w:val="22"/>
                <w:lang w:val="es"/>
              </w:rPr>
              <w:t>Total</w:t>
            </w:r>
          </w:p>
        </w:tc>
        <w:tc>
          <w:tcPr>
            <w:tcW w:w="1800" w:type="dxa"/>
            <w:tcBorders>
              <w:top w:val="single" w:sz="8" w:space="0" w:color="95B3D7" w:themeColor="accent1" w:themeTint="99"/>
              <w:left w:val="nil"/>
              <w:bottom w:val="single" w:sz="8" w:space="0" w:color="95B3D7" w:themeColor="accent1" w:themeTint="99"/>
              <w:right w:val="single" w:sz="8" w:space="0" w:color="95B3D7" w:themeColor="accent1" w:themeTint="99"/>
            </w:tcBorders>
            <w:shd w:val="clear" w:color="auto" w:fill="DBE5F1" w:themeFill="accent1" w:themeFillTint="33"/>
            <w:vAlign w:val="center"/>
          </w:tcPr>
          <w:p w14:paraId="376BDECF" w14:textId="1C0D8484" w:rsidR="69A00A26" w:rsidRPr="009A40AF" w:rsidRDefault="69A00A26" w:rsidP="00C72779">
            <w:pPr>
              <w:jc w:val="center"/>
              <w:rPr>
                <w:sz w:val="20"/>
              </w:rPr>
            </w:pPr>
            <w:r w:rsidRPr="009A40AF">
              <w:rPr>
                <w:rFonts w:eastAsia="Arial" w:cs="Arial"/>
                <w:b/>
                <w:color w:val="000000" w:themeColor="text1"/>
                <w:sz w:val="20"/>
                <w:szCs w:val="22"/>
                <w:lang w:val="es"/>
              </w:rPr>
              <w:t>5</w:t>
            </w:r>
          </w:p>
        </w:tc>
        <w:tc>
          <w:tcPr>
            <w:tcW w:w="15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5C9C03A" w14:textId="690B3FDE" w:rsidR="69A00A26" w:rsidRPr="009A40AF" w:rsidRDefault="69A00A26" w:rsidP="00C72779">
            <w:pPr>
              <w:jc w:val="center"/>
              <w:rPr>
                <w:sz w:val="20"/>
              </w:rPr>
            </w:pPr>
            <w:r w:rsidRPr="009A40AF">
              <w:rPr>
                <w:rFonts w:eastAsia="Arial" w:cs="Arial"/>
                <w:b/>
                <w:color w:val="000000" w:themeColor="text1"/>
                <w:sz w:val="20"/>
                <w:szCs w:val="22"/>
                <w:lang w:val="es"/>
              </w:rPr>
              <w:t>5</w:t>
            </w:r>
          </w:p>
        </w:tc>
        <w:tc>
          <w:tcPr>
            <w:tcW w:w="177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6EF13A1" w14:textId="38454BEB" w:rsidR="69A00A26" w:rsidRPr="009A40AF" w:rsidRDefault="69A00A26" w:rsidP="00C72779">
            <w:pPr>
              <w:jc w:val="center"/>
              <w:rPr>
                <w:sz w:val="20"/>
              </w:rPr>
            </w:pPr>
            <w:r w:rsidRPr="009A40AF">
              <w:rPr>
                <w:rFonts w:eastAsia="Arial" w:cs="Arial"/>
                <w:b/>
                <w:color w:val="000000" w:themeColor="text1"/>
                <w:sz w:val="20"/>
                <w:szCs w:val="22"/>
                <w:lang w:val="es"/>
              </w:rPr>
              <w:t>2</w:t>
            </w:r>
          </w:p>
        </w:tc>
      </w:tr>
    </w:tbl>
    <w:p w14:paraId="60B09F86" w14:textId="7A5A0807" w:rsidR="005325D9" w:rsidRDefault="00331B49" w:rsidP="004B7A08">
      <w:pPr>
        <w:jc w:val="center"/>
      </w:pPr>
      <w:r w:rsidRPr="31FF9146">
        <w:rPr>
          <w:rFonts w:cs="Arial"/>
          <w:b/>
          <w:bCs/>
          <w:sz w:val="16"/>
          <w:szCs w:val="16"/>
        </w:rPr>
        <w:t xml:space="preserve">Fuente: Oficina </w:t>
      </w:r>
      <w:r>
        <w:rPr>
          <w:rFonts w:cs="Arial"/>
          <w:b/>
          <w:bCs/>
          <w:sz w:val="16"/>
          <w:szCs w:val="16"/>
        </w:rPr>
        <w:t xml:space="preserve">Asesora de Planeación </w:t>
      </w:r>
    </w:p>
    <w:p w14:paraId="6C53AE10" w14:textId="166CF159" w:rsidR="005325D9" w:rsidRPr="008179E9" w:rsidRDefault="005325D9" w:rsidP="00C72779">
      <w:pPr>
        <w:outlineLvl w:val="1"/>
        <w:rPr>
          <w:rFonts w:cs="Arial"/>
          <w:sz w:val="22"/>
          <w:szCs w:val="22"/>
          <w:lang w:val="es-MX"/>
        </w:rPr>
      </w:pPr>
    </w:p>
    <w:p w14:paraId="614986A9" w14:textId="77777777" w:rsidR="005325D9" w:rsidRPr="00553569" w:rsidRDefault="005325D9" w:rsidP="00553569">
      <w:pPr>
        <w:rPr>
          <w:b/>
          <w:sz w:val="22"/>
          <w:lang w:eastAsia="es-MX"/>
        </w:rPr>
      </w:pPr>
      <w:r w:rsidRPr="00553569">
        <w:rPr>
          <w:b/>
          <w:sz w:val="22"/>
          <w:lang w:eastAsia="es-MX"/>
        </w:rPr>
        <w:t>4.7.7 POLÍTICAS ASOCIADAS A LOS PROCESOS DE LA OFICINA DE RELACIÓN CON EL CIUDADANO</w:t>
      </w:r>
    </w:p>
    <w:p w14:paraId="5CBFDC22" w14:textId="6C739C5A" w:rsidR="005325D9" w:rsidRPr="008179E9" w:rsidRDefault="005325D9" w:rsidP="00C72779">
      <w:pPr>
        <w:pStyle w:val="Prrafodelista"/>
        <w:ind w:left="567"/>
        <w:rPr>
          <w:rFonts w:cs="Arial"/>
          <w:sz w:val="22"/>
          <w:szCs w:val="22"/>
          <w:lang w:eastAsia="es-MX"/>
        </w:rPr>
      </w:pPr>
    </w:p>
    <w:tbl>
      <w:tblPr>
        <w:tblStyle w:val="Tabladecuadrcula4-nfasis1"/>
        <w:tblW w:w="0" w:type="auto"/>
        <w:jc w:val="center"/>
        <w:tblLook w:val="04A0" w:firstRow="1" w:lastRow="0" w:firstColumn="1" w:lastColumn="0" w:noHBand="0" w:noVBand="1"/>
      </w:tblPr>
      <w:tblGrid>
        <w:gridCol w:w="2942"/>
        <w:gridCol w:w="2943"/>
        <w:gridCol w:w="2943"/>
      </w:tblGrid>
      <w:tr w:rsidR="005325D9" w:rsidRPr="005B51F8" w14:paraId="7F35871B" w14:textId="77777777" w:rsidTr="00A6302C">
        <w:trPr>
          <w:cnfStyle w:val="100000000000" w:firstRow="1" w:lastRow="0" w:firstColumn="0" w:lastColumn="0" w:oddVBand="0" w:evenVBand="0" w:oddHBand="0" w:evenHBand="0" w:firstRowFirstColumn="0" w:firstRowLastColumn="0" w:lastRowFirstColumn="0" w:lastRowLastColumn="0"/>
          <w:trHeight w:val="283"/>
          <w:tblHeader/>
          <w:jc w:val="center"/>
        </w:trPr>
        <w:tc>
          <w:tcPr>
            <w:cnfStyle w:val="001000000000" w:firstRow="0" w:lastRow="0" w:firstColumn="1" w:lastColumn="0" w:oddVBand="0" w:evenVBand="0" w:oddHBand="0" w:evenHBand="0" w:firstRowFirstColumn="0" w:firstRowLastColumn="0" w:lastRowFirstColumn="0" w:lastRowLastColumn="0"/>
            <w:tcW w:w="2942" w:type="dxa"/>
            <w:vAlign w:val="center"/>
          </w:tcPr>
          <w:p w14:paraId="476CDCEB" w14:textId="77777777" w:rsidR="005325D9" w:rsidRPr="009A40AF" w:rsidRDefault="005325D9" w:rsidP="00C72779">
            <w:pPr>
              <w:jc w:val="center"/>
              <w:rPr>
                <w:rFonts w:cs="Arial"/>
                <w:b w:val="0"/>
                <w:sz w:val="20"/>
                <w:szCs w:val="22"/>
                <w:lang w:val="es-MX" w:eastAsia="en-US"/>
              </w:rPr>
            </w:pPr>
            <w:r w:rsidRPr="009A40AF">
              <w:rPr>
                <w:rFonts w:cs="Arial"/>
                <w:sz w:val="20"/>
                <w:szCs w:val="22"/>
                <w:lang w:val="es-MX" w:eastAsia="en-US"/>
              </w:rPr>
              <w:t>Política</w:t>
            </w:r>
          </w:p>
        </w:tc>
        <w:tc>
          <w:tcPr>
            <w:tcW w:w="2943" w:type="dxa"/>
            <w:vAlign w:val="center"/>
          </w:tcPr>
          <w:p w14:paraId="3663F1AC" w14:textId="77777777" w:rsidR="005325D9" w:rsidRPr="009A40A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9A40AF">
              <w:rPr>
                <w:rFonts w:cs="Arial"/>
                <w:sz w:val="20"/>
                <w:szCs w:val="22"/>
                <w:lang w:val="es-MX" w:eastAsia="en-US"/>
              </w:rPr>
              <w:t>Objetivo</w:t>
            </w:r>
          </w:p>
        </w:tc>
        <w:tc>
          <w:tcPr>
            <w:tcW w:w="2943" w:type="dxa"/>
            <w:vAlign w:val="center"/>
          </w:tcPr>
          <w:p w14:paraId="333B2635" w14:textId="77777777" w:rsidR="005325D9" w:rsidRPr="009A40A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2"/>
                <w:lang w:val="es-MX" w:eastAsia="en-US"/>
              </w:rPr>
            </w:pPr>
            <w:r w:rsidRPr="009A40AF">
              <w:rPr>
                <w:rFonts w:cs="Arial"/>
                <w:sz w:val="20"/>
                <w:szCs w:val="22"/>
                <w:lang w:val="es-MX" w:eastAsia="en-US"/>
              </w:rPr>
              <w:t>Alcance</w:t>
            </w:r>
          </w:p>
        </w:tc>
      </w:tr>
      <w:tr w:rsidR="005325D9" w:rsidRPr="005B51F8" w14:paraId="2071DE84"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942" w:type="dxa"/>
            <w:vAlign w:val="center"/>
          </w:tcPr>
          <w:p w14:paraId="438D1E6E" w14:textId="77777777" w:rsidR="005325D9" w:rsidRPr="009A40AF" w:rsidRDefault="005325D9" w:rsidP="00A6302C">
            <w:pPr>
              <w:jc w:val="center"/>
              <w:rPr>
                <w:rFonts w:cs="Arial"/>
                <w:sz w:val="20"/>
                <w:szCs w:val="22"/>
                <w:lang w:val="es-MX" w:eastAsia="en-US"/>
              </w:rPr>
            </w:pPr>
            <w:r w:rsidRPr="009A40AF">
              <w:rPr>
                <w:rFonts w:cs="Arial"/>
                <w:sz w:val="20"/>
                <w:szCs w:val="22"/>
                <w:lang w:val="es-MX" w:eastAsia="en-US"/>
              </w:rPr>
              <w:t>Servicio al Ciudadano</w:t>
            </w:r>
          </w:p>
        </w:tc>
        <w:tc>
          <w:tcPr>
            <w:tcW w:w="2943" w:type="dxa"/>
            <w:vAlign w:val="center"/>
          </w:tcPr>
          <w:p w14:paraId="17D5331C" w14:textId="77777777" w:rsidR="005325D9" w:rsidRPr="009A40AF" w:rsidRDefault="005325D9" w:rsidP="00A6302C">
            <w:pPr>
              <w:tabs>
                <w:tab w:val="left" w:pos="268"/>
              </w:tabs>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eastAsia="en-US"/>
              </w:rPr>
            </w:pPr>
            <w:r w:rsidRPr="009A40AF">
              <w:rPr>
                <w:rFonts w:cs="Arial"/>
                <w:sz w:val="20"/>
                <w:szCs w:val="22"/>
              </w:rPr>
              <w:t>Fortalecer el ciclo de buen servicio y la gestión permanente y conjunta con los colaboradores y contratistas del IGAC, a través de los diferentes canales dispuestos por la entidad de manera eficiente, transparente y garantizando siempre el acceso a la información de los ciudadanos, partes interesadas y/o grupos de valor.</w:t>
            </w:r>
          </w:p>
        </w:tc>
        <w:tc>
          <w:tcPr>
            <w:tcW w:w="2943" w:type="dxa"/>
            <w:vAlign w:val="center"/>
          </w:tcPr>
          <w:p w14:paraId="69168825" w14:textId="77777777" w:rsidR="005325D9" w:rsidRPr="009A40AF" w:rsidRDefault="005325D9" w:rsidP="00A6302C">
            <w:pPr>
              <w:tabs>
                <w:tab w:val="left" w:pos="268"/>
              </w:tabs>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eastAsia="en-US"/>
              </w:rPr>
            </w:pPr>
            <w:r w:rsidRPr="009A40AF">
              <w:rPr>
                <w:rFonts w:cs="Arial"/>
                <w:sz w:val="20"/>
                <w:szCs w:val="22"/>
              </w:rPr>
              <w:t>Esta política está dirigida a todos los servidores y contratistas del IGAC quienes continuamente se involucran en las diferentes acciones, servicios, actividades, procesos y procedimientos que se llevan a cabo en función de la participación y servicio al ciudadano.</w:t>
            </w:r>
          </w:p>
        </w:tc>
      </w:tr>
      <w:tr w:rsidR="005325D9" w:rsidRPr="005B51F8" w14:paraId="68565D7F" w14:textId="77777777" w:rsidTr="00A6302C">
        <w:trPr>
          <w:trHeight w:val="283"/>
          <w:jc w:val="center"/>
        </w:trPr>
        <w:tc>
          <w:tcPr>
            <w:cnfStyle w:val="001000000000" w:firstRow="0" w:lastRow="0" w:firstColumn="1" w:lastColumn="0" w:oddVBand="0" w:evenVBand="0" w:oddHBand="0" w:evenHBand="0" w:firstRowFirstColumn="0" w:firstRowLastColumn="0" w:lastRowFirstColumn="0" w:lastRowLastColumn="0"/>
            <w:tcW w:w="2942" w:type="dxa"/>
            <w:vAlign w:val="center"/>
          </w:tcPr>
          <w:p w14:paraId="4B723715" w14:textId="77777777" w:rsidR="005325D9" w:rsidRPr="009A40AF" w:rsidRDefault="005325D9" w:rsidP="00A6302C">
            <w:pPr>
              <w:jc w:val="center"/>
              <w:rPr>
                <w:rFonts w:cs="Arial"/>
                <w:sz w:val="20"/>
                <w:szCs w:val="22"/>
                <w:lang w:val="es-MX" w:eastAsia="en-US"/>
              </w:rPr>
            </w:pPr>
            <w:r w:rsidRPr="009A40AF">
              <w:rPr>
                <w:rFonts w:cs="Arial"/>
                <w:sz w:val="20"/>
                <w:szCs w:val="22"/>
                <w:lang w:val="es-MX" w:eastAsia="en-US"/>
              </w:rPr>
              <w:t>Racionalización de Trámites</w:t>
            </w:r>
          </w:p>
        </w:tc>
        <w:tc>
          <w:tcPr>
            <w:tcW w:w="2943" w:type="dxa"/>
            <w:vAlign w:val="center"/>
          </w:tcPr>
          <w:p w14:paraId="77B80541" w14:textId="77777777" w:rsidR="005325D9" w:rsidRPr="009A40AF" w:rsidRDefault="005325D9" w:rsidP="00A6302C">
            <w:pPr>
              <w:tabs>
                <w:tab w:val="left" w:pos="268"/>
              </w:tabs>
              <w:jc w:val="center"/>
              <w:cnfStyle w:val="000000000000" w:firstRow="0" w:lastRow="0" w:firstColumn="0" w:lastColumn="0" w:oddVBand="0" w:evenVBand="0" w:oddHBand="0" w:evenHBand="0" w:firstRowFirstColumn="0" w:firstRowLastColumn="0" w:lastRowFirstColumn="0" w:lastRowLastColumn="0"/>
              <w:rPr>
                <w:rFonts w:cs="Arial"/>
                <w:b/>
                <w:sz w:val="20"/>
                <w:szCs w:val="22"/>
                <w:lang w:val="es-MX" w:eastAsia="en-US"/>
              </w:rPr>
            </w:pPr>
            <w:r w:rsidRPr="009A40AF">
              <w:rPr>
                <w:rFonts w:cs="Arial"/>
                <w:sz w:val="20"/>
                <w:szCs w:val="22"/>
              </w:rPr>
              <w:t xml:space="preserve">Fortalecer el análisis de los procesos y procedimientos que permitan establecer </w:t>
            </w:r>
            <w:r w:rsidRPr="009A40AF">
              <w:rPr>
                <w:rFonts w:cs="Arial"/>
                <w:sz w:val="20"/>
                <w:szCs w:val="22"/>
              </w:rPr>
              <w:lastRenderedPageBreak/>
              <w:t>diagnósticos y diseñar acciones de mejora continua en la estrategia de racionalización de trámites del IGAC.</w:t>
            </w:r>
          </w:p>
        </w:tc>
        <w:tc>
          <w:tcPr>
            <w:tcW w:w="2943" w:type="dxa"/>
            <w:vAlign w:val="center"/>
          </w:tcPr>
          <w:p w14:paraId="69AE8CA4" w14:textId="77777777" w:rsidR="005325D9" w:rsidRPr="009A40AF" w:rsidRDefault="005325D9" w:rsidP="00A6302C">
            <w:pPr>
              <w:tabs>
                <w:tab w:val="left" w:pos="268"/>
              </w:tabs>
              <w:jc w:val="center"/>
              <w:cnfStyle w:val="000000000000" w:firstRow="0" w:lastRow="0" w:firstColumn="0" w:lastColumn="0" w:oddVBand="0" w:evenVBand="0" w:oddHBand="0" w:evenHBand="0" w:firstRowFirstColumn="0" w:firstRowLastColumn="0" w:lastRowFirstColumn="0" w:lastRowLastColumn="0"/>
              <w:rPr>
                <w:rFonts w:cs="Arial"/>
                <w:b/>
                <w:sz w:val="20"/>
                <w:szCs w:val="22"/>
                <w:lang w:val="es-MX" w:eastAsia="en-US"/>
              </w:rPr>
            </w:pPr>
            <w:r w:rsidRPr="009A40AF">
              <w:rPr>
                <w:rFonts w:cs="Arial"/>
                <w:sz w:val="20"/>
                <w:szCs w:val="22"/>
              </w:rPr>
              <w:lastRenderedPageBreak/>
              <w:t xml:space="preserve">Esta política centra su desarrollo conceptual y procedimental en dos fases de </w:t>
            </w:r>
            <w:r w:rsidRPr="009A40AF">
              <w:rPr>
                <w:rFonts w:cs="Arial"/>
                <w:sz w:val="20"/>
                <w:szCs w:val="22"/>
              </w:rPr>
              <w:lastRenderedPageBreak/>
              <w:t>racionalización: en primer lugar, la priorización de tramites aplicando criterios diferenciadores contemplados en el Sistema Único de Información de Trámites (SUIT) y, en segundo lugar, la racionalización a través de las acciones de mejora en los procesos y procedimientos para la efectiva gestión de los trámites y OPA.</w:t>
            </w:r>
          </w:p>
        </w:tc>
      </w:tr>
      <w:tr w:rsidR="005325D9" w:rsidRPr="005B51F8" w14:paraId="6191C2F1" w14:textId="77777777" w:rsidTr="00A6302C">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2942" w:type="dxa"/>
            <w:vAlign w:val="center"/>
          </w:tcPr>
          <w:p w14:paraId="544DBCE2" w14:textId="77777777" w:rsidR="005325D9" w:rsidRPr="009A40AF" w:rsidRDefault="005325D9" w:rsidP="00A6302C">
            <w:pPr>
              <w:jc w:val="center"/>
              <w:rPr>
                <w:rFonts w:cs="Arial"/>
                <w:sz w:val="20"/>
                <w:szCs w:val="22"/>
                <w:lang w:val="es-MX"/>
              </w:rPr>
            </w:pPr>
            <w:r w:rsidRPr="009A40AF">
              <w:rPr>
                <w:rFonts w:cs="Arial"/>
                <w:sz w:val="20"/>
                <w:szCs w:val="22"/>
                <w:lang w:val="es-MX"/>
              </w:rPr>
              <w:lastRenderedPageBreak/>
              <w:t>Participación Ciudadana en la Gestión Pública</w:t>
            </w:r>
          </w:p>
        </w:tc>
        <w:tc>
          <w:tcPr>
            <w:tcW w:w="2943" w:type="dxa"/>
            <w:vAlign w:val="center"/>
          </w:tcPr>
          <w:p w14:paraId="45540B95" w14:textId="77777777" w:rsidR="005325D9" w:rsidRPr="009A40AF" w:rsidRDefault="005325D9" w:rsidP="00A6302C">
            <w:pPr>
              <w:tabs>
                <w:tab w:val="left" w:pos="268"/>
              </w:tabs>
              <w:jc w:val="center"/>
              <w:cnfStyle w:val="000000100000" w:firstRow="0" w:lastRow="0" w:firstColumn="0" w:lastColumn="0" w:oddVBand="0" w:evenVBand="0" w:oddHBand="1" w:evenHBand="0" w:firstRowFirstColumn="0" w:firstRowLastColumn="0" w:lastRowFirstColumn="0" w:lastRowLastColumn="0"/>
              <w:rPr>
                <w:rFonts w:cs="Arial"/>
                <w:sz w:val="20"/>
                <w:szCs w:val="22"/>
              </w:rPr>
            </w:pPr>
            <w:r w:rsidRPr="009A40AF">
              <w:rPr>
                <w:rFonts w:cs="Arial"/>
                <w:sz w:val="20"/>
                <w:szCs w:val="22"/>
              </w:rPr>
              <w:t>Robustecer el análisis, la construcción de estrategias su implementación y evaluación de la participación ciudadana por parte del IGA, con el propósito de lograr los resultados en términos de calidad e integridad para generar valor de cara al ciudadano.</w:t>
            </w:r>
          </w:p>
        </w:tc>
        <w:tc>
          <w:tcPr>
            <w:tcW w:w="2943" w:type="dxa"/>
            <w:vAlign w:val="center"/>
          </w:tcPr>
          <w:p w14:paraId="444D3908" w14:textId="77777777" w:rsidR="005325D9" w:rsidRPr="009A40AF" w:rsidRDefault="005325D9" w:rsidP="00A6302C">
            <w:pPr>
              <w:tabs>
                <w:tab w:val="left" w:pos="268"/>
              </w:tabs>
              <w:jc w:val="center"/>
              <w:cnfStyle w:val="000000100000" w:firstRow="0" w:lastRow="0" w:firstColumn="0" w:lastColumn="0" w:oddVBand="0" w:evenVBand="0" w:oddHBand="1" w:evenHBand="0" w:firstRowFirstColumn="0" w:firstRowLastColumn="0" w:lastRowFirstColumn="0" w:lastRowLastColumn="0"/>
              <w:rPr>
                <w:rFonts w:cs="Arial"/>
                <w:b/>
                <w:sz w:val="20"/>
                <w:szCs w:val="22"/>
                <w:lang w:val="es-MX"/>
              </w:rPr>
            </w:pPr>
            <w:r w:rsidRPr="009A40AF">
              <w:rPr>
                <w:rFonts w:cs="Arial"/>
                <w:sz w:val="20"/>
                <w:szCs w:val="22"/>
              </w:rPr>
              <w:t>La política abarca a los servidores y contratistas del IGAC desde cada uno de los procesos, procedimientos y actividades en función de la participación y servicio al ciudadano.</w:t>
            </w:r>
          </w:p>
        </w:tc>
      </w:tr>
    </w:tbl>
    <w:p w14:paraId="103532A4" w14:textId="77777777" w:rsidR="00331B49" w:rsidRDefault="00331B49" w:rsidP="00331B49">
      <w:pPr>
        <w:jc w:val="center"/>
      </w:pPr>
      <w:r w:rsidRPr="31FF9146">
        <w:rPr>
          <w:rFonts w:cs="Arial"/>
          <w:b/>
          <w:bCs/>
          <w:sz w:val="16"/>
          <w:szCs w:val="16"/>
        </w:rPr>
        <w:t>Fuente: Oficina de Relación con el Ciudadano</w:t>
      </w:r>
    </w:p>
    <w:p w14:paraId="2FF08BFE" w14:textId="2A420B4D" w:rsidR="005325D9" w:rsidRPr="008179E9" w:rsidRDefault="005325D9" w:rsidP="00C72779">
      <w:pPr>
        <w:jc w:val="both"/>
        <w:rPr>
          <w:rFonts w:cs="Arial"/>
          <w:sz w:val="22"/>
          <w:szCs w:val="22"/>
        </w:rPr>
      </w:pPr>
    </w:p>
    <w:p w14:paraId="3A374D17" w14:textId="42B8644F" w:rsidR="005325D9" w:rsidRPr="008179E9" w:rsidRDefault="005325D9" w:rsidP="00C72779">
      <w:pPr>
        <w:pStyle w:val="Prrafodelista"/>
        <w:ind w:left="567"/>
        <w:outlineLvl w:val="1"/>
        <w:rPr>
          <w:rFonts w:cs="Arial"/>
          <w:sz w:val="22"/>
          <w:szCs w:val="22"/>
          <w:lang w:eastAsia="es-MX"/>
        </w:rPr>
      </w:pPr>
    </w:p>
    <w:p w14:paraId="112CAA62" w14:textId="77777777" w:rsidR="00331B49" w:rsidRPr="00553569" w:rsidRDefault="005325D9" w:rsidP="00553569">
      <w:pPr>
        <w:rPr>
          <w:b/>
          <w:sz w:val="22"/>
          <w:lang w:eastAsia="es-MX"/>
        </w:rPr>
      </w:pPr>
      <w:r w:rsidRPr="00553569">
        <w:rPr>
          <w:b/>
          <w:sz w:val="22"/>
          <w:lang w:eastAsia="es-MX"/>
        </w:rPr>
        <w:t>4.7.8 LISTADO DE INFORMES</w:t>
      </w:r>
    </w:p>
    <w:p w14:paraId="56B4CA89" w14:textId="731D9C4A" w:rsidR="005325D9" w:rsidRPr="008179E9" w:rsidRDefault="005325D9" w:rsidP="00553569">
      <w:pPr>
        <w:rPr>
          <w:lang w:eastAsia="es-MX"/>
        </w:rPr>
      </w:pPr>
    </w:p>
    <w:tbl>
      <w:tblPr>
        <w:tblStyle w:val="Tabladecuadrcula5oscura-nfasis1"/>
        <w:tblpPr w:leftFromText="141" w:rightFromText="141" w:vertAnchor="text" w:horzAnchor="margin" w:tblpXSpec="center" w:tblpY="62"/>
        <w:tblW w:w="9918" w:type="dxa"/>
        <w:tblLook w:val="04A0" w:firstRow="1" w:lastRow="0" w:firstColumn="1" w:lastColumn="0" w:noHBand="0" w:noVBand="1"/>
      </w:tblPr>
      <w:tblGrid>
        <w:gridCol w:w="809"/>
        <w:gridCol w:w="3722"/>
        <w:gridCol w:w="2410"/>
        <w:gridCol w:w="2977"/>
      </w:tblGrid>
      <w:tr w:rsidR="005325D9" w:rsidRPr="007764C5" w14:paraId="27B2C9D9" w14:textId="77777777" w:rsidTr="00411C18">
        <w:trPr>
          <w:cnfStyle w:val="100000000000" w:firstRow="1" w:lastRow="0" w:firstColumn="0" w:lastColumn="0" w:oddVBand="0" w:evenVBand="0" w:oddHBand="0" w:evenHBand="0" w:firstRowFirstColumn="0" w:firstRowLastColumn="0" w:lastRowFirstColumn="0" w:lastRowLastColumn="0"/>
          <w:cantSplit/>
          <w:trHeight w:val="567"/>
        </w:trPr>
        <w:tc>
          <w:tcPr>
            <w:cnfStyle w:val="001000000000" w:firstRow="0" w:lastRow="0" w:firstColumn="1" w:lastColumn="0" w:oddVBand="0" w:evenVBand="0" w:oddHBand="0" w:evenHBand="0" w:firstRowFirstColumn="0" w:firstRowLastColumn="0" w:lastRowFirstColumn="0" w:lastRowLastColumn="0"/>
            <w:tcW w:w="809" w:type="dxa"/>
            <w:vMerge w:val="restart"/>
            <w:noWrap/>
            <w:textDirection w:val="btLr"/>
            <w:vAlign w:val="center"/>
            <w:hideMark/>
          </w:tcPr>
          <w:p w14:paraId="70CAC567" w14:textId="77777777" w:rsidR="005325D9" w:rsidRPr="009A40AF" w:rsidRDefault="005325D9" w:rsidP="00C72779">
            <w:pPr>
              <w:jc w:val="center"/>
              <w:rPr>
                <w:rFonts w:cs="Arial"/>
                <w:sz w:val="20"/>
                <w:szCs w:val="20"/>
                <w:lang w:val="es-MX" w:eastAsia="es-MX"/>
              </w:rPr>
            </w:pPr>
            <w:r w:rsidRPr="009A40AF">
              <w:rPr>
                <w:rFonts w:cs="Arial"/>
                <w:sz w:val="20"/>
                <w:szCs w:val="20"/>
                <w:lang w:val="es-MX" w:eastAsia="es-MX"/>
              </w:rPr>
              <w:t>Internos</w:t>
            </w:r>
          </w:p>
        </w:tc>
        <w:tc>
          <w:tcPr>
            <w:tcW w:w="3722" w:type="dxa"/>
            <w:vAlign w:val="center"/>
            <w:hideMark/>
          </w:tcPr>
          <w:p w14:paraId="2E04063E" w14:textId="77777777" w:rsidR="005325D9" w:rsidRPr="009A40A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Informe</w:t>
            </w:r>
          </w:p>
        </w:tc>
        <w:tc>
          <w:tcPr>
            <w:tcW w:w="2410" w:type="dxa"/>
            <w:vAlign w:val="center"/>
            <w:hideMark/>
          </w:tcPr>
          <w:p w14:paraId="6B703BE2" w14:textId="77777777" w:rsidR="005325D9" w:rsidRPr="009A40A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Responsable</w:t>
            </w:r>
          </w:p>
        </w:tc>
        <w:tc>
          <w:tcPr>
            <w:tcW w:w="2977" w:type="dxa"/>
            <w:vAlign w:val="center"/>
            <w:hideMark/>
          </w:tcPr>
          <w:p w14:paraId="4BB63241" w14:textId="77777777" w:rsidR="005325D9" w:rsidRPr="009A40AF" w:rsidRDefault="005325D9" w:rsidP="00C72779">
            <w:pPr>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Entrega y Publicación</w:t>
            </w:r>
          </w:p>
        </w:tc>
      </w:tr>
      <w:tr w:rsidR="005325D9" w:rsidRPr="007764C5" w14:paraId="017F82EC"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09" w:type="dxa"/>
            <w:vMerge/>
            <w:vAlign w:val="center"/>
            <w:hideMark/>
          </w:tcPr>
          <w:p w14:paraId="10F64255" w14:textId="77777777" w:rsidR="005325D9" w:rsidRPr="009A40AF" w:rsidRDefault="005325D9" w:rsidP="00C72779">
            <w:pPr>
              <w:jc w:val="center"/>
              <w:rPr>
                <w:rFonts w:cs="Arial"/>
                <w:sz w:val="20"/>
                <w:szCs w:val="20"/>
                <w:lang w:val="es-MX" w:eastAsia="es-MX"/>
              </w:rPr>
            </w:pPr>
          </w:p>
        </w:tc>
        <w:tc>
          <w:tcPr>
            <w:tcW w:w="3722" w:type="dxa"/>
            <w:vAlign w:val="center"/>
            <w:hideMark/>
          </w:tcPr>
          <w:p w14:paraId="525B68B5" w14:textId="77777777" w:rsidR="005325D9" w:rsidRPr="009A40AF" w:rsidRDefault="005325D9" w:rsidP="00C72779">
            <w:pPr>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Informes (3) del avance del cronograma de participación ciudadana y rendición de cuentas del IGAC</w:t>
            </w:r>
          </w:p>
        </w:tc>
        <w:tc>
          <w:tcPr>
            <w:tcW w:w="2410" w:type="dxa"/>
            <w:noWrap/>
            <w:vAlign w:val="center"/>
            <w:hideMark/>
          </w:tcPr>
          <w:p w14:paraId="17CCB994" w14:textId="77777777" w:rsidR="005325D9" w:rsidRPr="009A40AF"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Oficina de Relación con el Ciudadano</w:t>
            </w:r>
          </w:p>
        </w:tc>
        <w:tc>
          <w:tcPr>
            <w:tcW w:w="2977" w:type="dxa"/>
            <w:noWrap/>
            <w:vAlign w:val="center"/>
            <w:hideMark/>
          </w:tcPr>
          <w:p w14:paraId="23F823BB" w14:textId="77777777" w:rsidR="005325D9" w:rsidRPr="009A40AF"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Trimestral y se publica en la página web - Validado por el Equipo Líder</w:t>
            </w:r>
          </w:p>
        </w:tc>
      </w:tr>
      <w:tr w:rsidR="005325D9" w:rsidRPr="007764C5" w14:paraId="61269E41" w14:textId="77777777" w:rsidTr="00A6302C">
        <w:trPr>
          <w:trHeight w:val="795"/>
        </w:trPr>
        <w:tc>
          <w:tcPr>
            <w:cnfStyle w:val="001000000000" w:firstRow="0" w:lastRow="0" w:firstColumn="1" w:lastColumn="0" w:oddVBand="0" w:evenVBand="0" w:oddHBand="0" w:evenHBand="0" w:firstRowFirstColumn="0" w:firstRowLastColumn="0" w:lastRowFirstColumn="0" w:lastRowLastColumn="0"/>
            <w:tcW w:w="809" w:type="dxa"/>
            <w:vMerge/>
            <w:vAlign w:val="center"/>
          </w:tcPr>
          <w:p w14:paraId="13CE3DE0" w14:textId="77777777" w:rsidR="005325D9" w:rsidRPr="009A40AF" w:rsidRDefault="005325D9" w:rsidP="00C72779">
            <w:pPr>
              <w:jc w:val="center"/>
              <w:rPr>
                <w:rFonts w:cs="Arial"/>
                <w:sz w:val="20"/>
                <w:szCs w:val="20"/>
                <w:lang w:val="es-MX" w:eastAsia="es-MX"/>
              </w:rPr>
            </w:pPr>
          </w:p>
        </w:tc>
        <w:tc>
          <w:tcPr>
            <w:tcW w:w="3722" w:type="dxa"/>
            <w:vAlign w:val="center"/>
          </w:tcPr>
          <w:p w14:paraId="6A287F4F" w14:textId="77777777" w:rsidR="005325D9" w:rsidRPr="009A40AF" w:rsidRDefault="005325D9" w:rsidP="00C72779">
            <w:pPr>
              <w:jc w:val="both"/>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A40AF">
              <w:rPr>
                <w:rFonts w:cs="Arial"/>
                <w:color w:val="000000" w:themeColor="text1"/>
                <w:sz w:val="20"/>
                <w:szCs w:val="20"/>
                <w:lang w:eastAsia="es-CO"/>
              </w:rPr>
              <w:t>Informe trimestral de la Oficina de Relación con el Ciudadano (información de canales, racionalización de trámites, participación en encuentros o ferias, gestión de PQRSDF, Participación ciudadana y Rendición de Cuentas, entre otro).</w:t>
            </w:r>
          </w:p>
        </w:tc>
        <w:tc>
          <w:tcPr>
            <w:tcW w:w="2410" w:type="dxa"/>
            <w:noWrap/>
            <w:vAlign w:val="center"/>
          </w:tcPr>
          <w:p w14:paraId="2EA8E33D" w14:textId="77777777" w:rsidR="005325D9" w:rsidRPr="009A40AF"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Oficina de Relación con el Ciudadano</w:t>
            </w:r>
          </w:p>
        </w:tc>
        <w:tc>
          <w:tcPr>
            <w:tcW w:w="2977" w:type="dxa"/>
            <w:noWrap/>
            <w:vAlign w:val="center"/>
          </w:tcPr>
          <w:p w14:paraId="20225BC0" w14:textId="77777777" w:rsidR="005325D9" w:rsidRPr="009A40AF"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Trimestral - Dirección General</w:t>
            </w:r>
          </w:p>
        </w:tc>
      </w:tr>
      <w:tr w:rsidR="005325D9" w:rsidRPr="007764C5" w14:paraId="10F540F0" w14:textId="77777777" w:rsidTr="00A6302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09" w:type="dxa"/>
            <w:vMerge w:val="restart"/>
            <w:noWrap/>
            <w:textDirection w:val="btLr"/>
            <w:vAlign w:val="center"/>
            <w:hideMark/>
          </w:tcPr>
          <w:p w14:paraId="219204B9" w14:textId="77777777" w:rsidR="005325D9" w:rsidRPr="009A40AF" w:rsidRDefault="005325D9" w:rsidP="00C72779">
            <w:pPr>
              <w:jc w:val="center"/>
              <w:rPr>
                <w:rFonts w:cs="Arial"/>
                <w:sz w:val="20"/>
                <w:szCs w:val="20"/>
                <w:lang w:val="es-MX" w:eastAsia="es-MX"/>
              </w:rPr>
            </w:pPr>
            <w:r w:rsidRPr="009A40AF">
              <w:rPr>
                <w:rFonts w:cs="Arial"/>
                <w:sz w:val="20"/>
                <w:szCs w:val="20"/>
                <w:lang w:val="es-MX" w:eastAsia="es-MX"/>
              </w:rPr>
              <w:t>Externos</w:t>
            </w:r>
          </w:p>
        </w:tc>
        <w:tc>
          <w:tcPr>
            <w:tcW w:w="3722" w:type="dxa"/>
            <w:vAlign w:val="center"/>
            <w:hideMark/>
          </w:tcPr>
          <w:p w14:paraId="79CBF044" w14:textId="77777777" w:rsidR="005325D9" w:rsidRPr="009A40AF" w:rsidRDefault="005325D9" w:rsidP="00C72779">
            <w:pPr>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Reporte en formulario FORMS de peticiones realizadas en el marco del catastro multipropósito</w:t>
            </w:r>
          </w:p>
        </w:tc>
        <w:tc>
          <w:tcPr>
            <w:tcW w:w="2410" w:type="dxa"/>
            <w:vAlign w:val="center"/>
            <w:hideMark/>
          </w:tcPr>
          <w:p w14:paraId="1FCD5059" w14:textId="77777777" w:rsidR="005325D9" w:rsidRPr="009A40AF"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color w:val="000000" w:themeColor="text1"/>
                <w:sz w:val="20"/>
                <w:szCs w:val="20"/>
                <w:lang w:eastAsia="es-CO"/>
              </w:rPr>
              <w:t>Oficina de Relación con el Ciudadano</w:t>
            </w:r>
          </w:p>
        </w:tc>
        <w:tc>
          <w:tcPr>
            <w:tcW w:w="2977" w:type="dxa"/>
            <w:vAlign w:val="center"/>
            <w:hideMark/>
          </w:tcPr>
          <w:p w14:paraId="229032B0" w14:textId="77777777" w:rsidR="005325D9" w:rsidRPr="009A40AF" w:rsidRDefault="005325D9" w:rsidP="00C72779">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Semanal - Departamento Nacional de Planeación DNP</w:t>
            </w:r>
          </w:p>
        </w:tc>
      </w:tr>
      <w:tr w:rsidR="005325D9" w:rsidRPr="007764C5" w14:paraId="1C51F0E4" w14:textId="77777777" w:rsidTr="00A6302C">
        <w:trPr>
          <w:trHeight w:val="1000"/>
        </w:trPr>
        <w:tc>
          <w:tcPr>
            <w:cnfStyle w:val="001000000000" w:firstRow="0" w:lastRow="0" w:firstColumn="1" w:lastColumn="0" w:oddVBand="0" w:evenVBand="0" w:oddHBand="0" w:evenHBand="0" w:firstRowFirstColumn="0" w:firstRowLastColumn="0" w:lastRowFirstColumn="0" w:lastRowLastColumn="0"/>
            <w:tcW w:w="809" w:type="dxa"/>
            <w:vMerge/>
            <w:noWrap/>
            <w:textDirection w:val="btLr"/>
            <w:vAlign w:val="center"/>
          </w:tcPr>
          <w:p w14:paraId="2BC8F71A" w14:textId="77777777" w:rsidR="005325D9" w:rsidRPr="009A40AF" w:rsidRDefault="005325D9" w:rsidP="00C72779">
            <w:pPr>
              <w:jc w:val="center"/>
              <w:rPr>
                <w:rFonts w:cs="Arial"/>
                <w:sz w:val="20"/>
                <w:szCs w:val="20"/>
                <w:lang w:val="es-MX" w:eastAsia="es-MX"/>
              </w:rPr>
            </w:pPr>
          </w:p>
        </w:tc>
        <w:tc>
          <w:tcPr>
            <w:tcW w:w="3722" w:type="dxa"/>
            <w:vAlign w:val="center"/>
          </w:tcPr>
          <w:p w14:paraId="57BC77F6" w14:textId="77777777" w:rsidR="005325D9" w:rsidRPr="009A40AF" w:rsidRDefault="005325D9" w:rsidP="00C72779">
            <w:pPr>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sz w:val="20"/>
                <w:szCs w:val="20"/>
                <w:lang w:val="es-MX" w:eastAsia="es-MX"/>
              </w:rPr>
              <w:t xml:space="preserve">Informe </w:t>
            </w:r>
            <w:hyperlink r:id="rId179" w:history="1">
              <w:r w:rsidRPr="009A40AF">
                <w:rPr>
                  <w:rFonts w:cs="Arial"/>
                  <w:sz w:val="20"/>
                  <w:szCs w:val="20"/>
                  <w:lang w:val="es-MX" w:eastAsia="es-MX"/>
                </w:rPr>
                <w:t>trimestrales sobre acceso a información, quejas y reclamos</w:t>
              </w:r>
            </w:hyperlink>
            <w:r w:rsidRPr="009A40AF">
              <w:rPr>
                <w:rFonts w:cs="Arial"/>
                <w:sz w:val="20"/>
                <w:szCs w:val="20"/>
                <w:lang w:val="es-MX" w:eastAsia="es-MX"/>
              </w:rPr>
              <w:t>.</w:t>
            </w:r>
          </w:p>
        </w:tc>
        <w:tc>
          <w:tcPr>
            <w:tcW w:w="2410" w:type="dxa"/>
            <w:vAlign w:val="center"/>
          </w:tcPr>
          <w:p w14:paraId="7452F833" w14:textId="77777777" w:rsidR="005325D9" w:rsidRPr="009A40AF"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A40AF">
              <w:rPr>
                <w:rFonts w:cs="Arial"/>
                <w:color w:val="000000" w:themeColor="text1"/>
                <w:sz w:val="20"/>
                <w:szCs w:val="20"/>
                <w:lang w:eastAsia="es-CO"/>
              </w:rPr>
              <w:t>Oficina de Relación con el Ciudadano</w:t>
            </w:r>
          </w:p>
        </w:tc>
        <w:tc>
          <w:tcPr>
            <w:tcW w:w="2977" w:type="dxa"/>
            <w:vAlign w:val="center"/>
          </w:tcPr>
          <w:p w14:paraId="2E08A295" w14:textId="77777777" w:rsidR="005325D9" w:rsidRPr="009A40AF" w:rsidRDefault="005325D9" w:rsidP="00C72779">
            <w:pPr>
              <w:jc w:val="center"/>
              <w:cnfStyle w:val="000000000000" w:firstRow="0" w:lastRow="0" w:firstColumn="0" w:lastColumn="0" w:oddVBand="0" w:evenVBand="0" w:oddHBand="0" w:evenHBand="0" w:firstRowFirstColumn="0" w:firstRowLastColumn="0" w:lastRowFirstColumn="0" w:lastRowLastColumn="0"/>
              <w:rPr>
                <w:rFonts w:cs="Arial"/>
                <w:sz w:val="20"/>
                <w:szCs w:val="20"/>
                <w:lang w:val="es-MX" w:eastAsia="es-MX"/>
              </w:rPr>
            </w:pPr>
            <w:r w:rsidRPr="009A40AF">
              <w:rPr>
                <w:rFonts w:cs="Arial"/>
                <w:color w:val="000000"/>
                <w:sz w:val="20"/>
                <w:szCs w:val="20"/>
                <w:lang w:eastAsia="es-CO"/>
              </w:rPr>
              <w:t>Trimestral y se publica en la página web</w:t>
            </w:r>
          </w:p>
        </w:tc>
      </w:tr>
    </w:tbl>
    <w:p w14:paraId="5B866237" w14:textId="77777777" w:rsidR="00331B49" w:rsidRDefault="00331B49" w:rsidP="00331B49">
      <w:pPr>
        <w:jc w:val="center"/>
      </w:pPr>
      <w:r w:rsidRPr="31FF9146">
        <w:rPr>
          <w:rFonts w:cs="Arial"/>
          <w:b/>
          <w:bCs/>
          <w:sz w:val="16"/>
          <w:szCs w:val="16"/>
        </w:rPr>
        <w:t>Fuente: Oficina de Relación con el Ciudadano</w:t>
      </w:r>
    </w:p>
    <w:p w14:paraId="0E932E9A" w14:textId="6AF2E143" w:rsidR="005325D9" w:rsidRDefault="005325D9" w:rsidP="00C72779">
      <w:pPr>
        <w:pStyle w:val="Prrafodelista"/>
        <w:ind w:left="567"/>
        <w:rPr>
          <w:rFonts w:cs="Arial"/>
          <w:sz w:val="22"/>
          <w:szCs w:val="22"/>
        </w:rPr>
      </w:pPr>
    </w:p>
    <w:p w14:paraId="02B8B6C3" w14:textId="03480E37" w:rsidR="004B7A08" w:rsidRDefault="004B7A08" w:rsidP="004B7A08">
      <w:pPr>
        <w:pStyle w:val="Lista"/>
      </w:pPr>
    </w:p>
    <w:p w14:paraId="7E56105F" w14:textId="46BF0CC9" w:rsidR="004B7A08" w:rsidRDefault="004B7A08" w:rsidP="004B7A08">
      <w:pPr>
        <w:pStyle w:val="Lista"/>
      </w:pPr>
    </w:p>
    <w:p w14:paraId="2A5A4C2B" w14:textId="6528DC98" w:rsidR="004B7A08" w:rsidRDefault="004B7A08" w:rsidP="004B7A08">
      <w:pPr>
        <w:pStyle w:val="Lista"/>
      </w:pPr>
    </w:p>
    <w:p w14:paraId="6BA39E4A" w14:textId="77777777" w:rsidR="004B7A08" w:rsidRPr="004B7A08" w:rsidRDefault="004B7A08" w:rsidP="004B7A08">
      <w:pPr>
        <w:pStyle w:val="Lista"/>
      </w:pPr>
    </w:p>
    <w:p w14:paraId="3F6F8045" w14:textId="77777777" w:rsidR="005325D9" w:rsidRPr="008179E9" w:rsidRDefault="005325D9" w:rsidP="00331B49">
      <w:pPr>
        <w:jc w:val="both"/>
        <w:rPr>
          <w:rFonts w:cs="Arial"/>
          <w:b/>
          <w:sz w:val="22"/>
          <w:szCs w:val="22"/>
        </w:rPr>
      </w:pPr>
      <w:r w:rsidRPr="008179E9">
        <w:rPr>
          <w:rFonts w:cs="Arial"/>
          <w:b/>
          <w:sz w:val="22"/>
          <w:szCs w:val="22"/>
        </w:rPr>
        <w:t>4.7.9 RECOMENDACIONES</w:t>
      </w:r>
    </w:p>
    <w:p w14:paraId="3398A4FE" w14:textId="245FEDB8" w:rsidR="005325D9" w:rsidRPr="008179E9" w:rsidRDefault="005325D9" w:rsidP="00C72779">
      <w:pPr>
        <w:pStyle w:val="Prrafodelista"/>
        <w:ind w:left="567"/>
        <w:rPr>
          <w:rFonts w:cs="Arial"/>
          <w:sz w:val="22"/>
          <w:szCs w:val="22"/>
        </w:rPr>
      </w:pPr>
    </w:p>
    <w:p w14:paraId="01FE7A85" w14:textId="77777777" w:rsidR="005325D9" w:rsidRPr="008179E9" w:rsidRDefault="005325D9" w:rsidP="000A20EE">
      <w:pPr>
        <w:pStyle w:val="Prrafodelista"/>
        <w:numPr>
          <w:ilvl w:val="0"/>
          <w:numId w:val="189"/>
        </w:numPr>
        <w:suppressAutoHyphens w:val="0"/>
        <w:overflowPunct/>
        <w:autoSpaceDE/>
        <w:contextualSpacing/>
        <w:textAlignment w:val="auto"/>
        <w:rPr>
          <w:rFonts w:cs="Arial"/>
          <w:color w:val="000000"/>
          <w:sz w:val="22"/>
          <w:szCs w:val="22"/>
        </w:rPr>
      </w:pPr>
      <w:r w:rsidRPr="008179E9">
        <w:rPr>
          <w:rFonts w:cs="Arial"/>
          <w:sz w:val="22"/>
          <w:szCs w:val="22"/>
        </w:rPr>
        <w:t>Fortalecer el canal telefónico y actualizar la infraestructura tecnológica, que permita contar con una plataforma adecuada para recibir, atender y hacer control de las llamadas que ingresan al Instituto. Por falta de una herramienta y personal especializados del 75% al 80% de las consultas ciudadanas que ingresan por el canal telefónico quedan sin respuesta; por tanto, la entidad requiere garantizar el servicio sin interrupción ni caídas. Se sugiere contratar, a través del Acuerdo Marco de Colombia Compra Eficiente, los servicios de BPO (Centro de contacto y servicios asociados), garantizando la admisión, trámite y respuestas de las consultas de los ciudadanos.</w:t>
      </w:r>
    </w:p>
    <w:p w14:paraId="1AAEF66B" w14:textId="77777777" w:rsidR="005325D9" w:rsidRPr="008179E9" w:rsidRDefault="005325D9" w:rsidP="000A20EE">
      <w:pPr>
        <w:pStyle w:val="Prrafodelista"/>
        <w:numPr>
          <w:ilvl w:val="0"/>
          <w:numId w:val="189"/>
        </w:numPr>
        <w:suppressAutoHyphens w:val="0"/>
        <w:overflowPunct/>
        <w:autoSpaceDE/>
        <w:contextualSpacing/>
        <w:textAlignment w:val="auto"/>
        <w:rPr>
          <w:rFonts w:cs="Arial"/>
          <w:sz w:val="22"/>
          <w:szCs w:val="22"/>
        </w:rPr>
      </w:pPr>
      <w:r w:rsidRPr="008179E9">
        <w:rPr>
          <w:rFonts w:cs="Arial"/>
          <w:sz w:val="22"/>
          <w:szCs w:val="22"/>
        </w:rPr>
        <w:t>Impulsar mediante campañas a los ciudadanos, grupos de valor e interés el uso de las plataformas tecnológicas para la radicación de PQRSD, promocionando la autogestión de peticiones y ahorrando tiempo en asignaciones y traslados.</w:t>
      </w:r>
    </w:p>
    <w:p w14:paraId="45301FE5" w14:textId="77777777" w:rsidR="005325D9" w:rsidRPr="008179E9" w:rsidRDefault="005325D9" w:rsidP="000A20EE">
      <w:pPr>
        <w:pStyle w:val="Prrafodelista"/>
        <w:numPr>
          <w:ilvl w:val="0"/>
          <w:numId w:val="189"/>
        </w:numPr>
        <w:suppressAutoHyphens w:val="0"/>
        <w:overflowPunct/>
        <w:autoSpaceDE/>
        <w:contextualSpacing/>
        <w:textAlignment w:val="auto"/>
        <w:rPr>
          <w:rFonts w:cs="Arial"/>
          <w:sz w:val="22"/>
          <w:szCs w:val="22"/>
        </w:rPr>
      </w:pPr>
      <w:r w:rsidRPr="008179E9">
        <w:rPr>
          <w:rFonts w:cs="Arial"/>
          <w:sz w:val="22"/>
          <w:szCs w:val="22"/>
        </w:rPr>
        <w:t>Realizar capacitaciones en calidad del servicio para las personas que atienden al público en cualquier canal del IGAC, y así mejorar el servicio prestado y disminuir las quejas de los ciudadanos.</w:t>
      </w:r>
    </w:p>
    <w:p w14:paraId="6244676F" w14:textId="77777777" w:rsidR="005325D9" w:rsidRPr="008179E9" w:rsidRDefault="005325D9" w:rsidP="000A20EE">
      <w:pPr>
        <w:pStyle w:val="Prrafodelista"/>
        <w:numPr>
          <w:ilvl w:val="0"/>
          <w:numId w:val="189"/>
        </w:numPr>
        <w:suppressAutoHyphens w:val="0"/>
        <w:overflowPunct/>
        <w:autoSpaceDE/>
        <w:contextualSpacing/>
        <w:textAlignment w:val="auto"/>
        <w:rPr>
          <w:rFonts w:cs="Arial"/>
          <w:sz w:val="22"/>
          <w:szCs w:val="22"/>
        </w:rPr>
      </w:pPr>
      <w:r w:rsidRPr="008179E9">
        <w:rPr>
          <w:rFonts w:cs="Arial"/>
          <w:sz w:val="22"/>
          <w:szCs w:val="22"/>
        </w:rPr>
        <w:t>Continuar con los encuentros de servicio al ciudadano y la participación en ferias nacionales convocadas por las demás entidades del orden nacional y territorial.</w:t>
      </w:r>
    </w:p>
    <w:p w14:paraId="754105F5" w14:textId="77777777" w:rsidR="005325D9" w:rsidRPr="008179E9" w:rsidRDefault="005325D9" w:rsidP="000A20EE">
      <w:pPr>
        <w:pStyle w:val="Prrafodelista"/>
        <w:numPr>
          <w:ilvl w:val="0"/>
          <w:numId w:val="189"/>
        </w:numPr>
        <w:suppressAutoHyphens w:val="0"/>
        <w:overflowPunct/>
        <w:autoSpaceDE/>
        <w:contextualSpacing/>
        <w:textAlignment w:val="auto"/>
        <w:rPr>
          <w:rFonts w:cs="Arial"/>
          <w:sz w:val="22"/>
          <w:szCs w:val="22"/>
        </w:rPr>
      </w:pPr>
      <w:r w:rsidRPr="008179E9">
        <w:rPr>
          <w:rFonts w:cs="Arial"/>
          <w:sz w:val="22"/>
          <w:szCs w:val="22"/>
        </w:rPr>
        <w:t>Reiterar a las Direcciones Territoriales y dependencias hacer las radicaciones de PQRSDF en el Sistema de Correspondencia SIGAC para el seguimiento y control oportuno a las respuestas a los ciudadanos; así mismo, recordar la importancia del cumplimiento de los términos de ley para dar respuesta a las PQRSD evitando la vulneración del derecho fundamental de petición y lograr la satisfacción de los ciudadanos, grupos de valor e interés.</w:t>
      </w:r>
    </w:p>
    <w:p w14:paraId="5A8E72C7" w14:textId="77777777" w:rsidR="005325D9" w:rsidRPr="008179E9" w:rsidRDefault="005325D9" w:rsidP="000A20EE">
      <w:pPr>
        <w:pStyle w:val="Prrafodelista"/>
        <w:numPr>
          <w:ilvl w:val="0"/>
          <w:numId w:val="189"/>
        </w:numPr>
        <w:suppressAutoHyphens w:val="0"/>
        <w:overflowPunct/>
        <w:autoSpaceDE/>
        <w:contextualSpacing/>
        <w:textAlignment w:val="auto"/>
        <w:rPr>
          <w:sz w:val="22"/>
          <w:szCs w:val="22"/>
        </w:rPr>
      </w:pPr>
      <w:r w:rsidRPr="008179E9">
        <w:rPr>
          <w:rFonts w:cs="Arial"/>
          <w:sz w:val="22"/>
          <w:szCs w:val="22"/>
        </w:rPr>
        <w:t>Continuar con el compromiso de finalización de PQRSD de vigencias anteriores aplicando la circular del 28 de julio de 2021 sobre “depuración del sistema de gestión documental - SIGAC y trámite de reconstrucción de expedientes en caso de extravío”, la cartilla realizada por Gestión Documental de ¿cómo realizar la finalización de los radicados pendientes de CORDIS?, y el seguimiento periódico por parte de la Oficina de Relación con el Ciudadano.</w:t>
      </w:r>
    </w:p>
    <w:p w14:paraId="7DA9D67B" w14:textId="77777777" w:rsidR="00331B49" w:rsidRDefault="00331B49" w:rsidP="00331B49">
      <w:pPr>
        <w:rPr>
          <w:sz w:val="22"/>
          <w:szCs w:val="22"/>
        </w:rPr>
      </w:pPr>
    </w:p>
    <w:p w14:paraId="5A2161AA" w14:textId="77777777" w:rsidR="005F46D2" w:rsidRDefault="005F46D2" w:rsidP="31FF9146">
      <w:pPr>
        <w:jc w:val="both"/>
      </w:pPr>
    </w:p>
    <w:p w14:paraId="2256BF42" w14:textId="77777777" w:rsidR="005F46D2" w:rsidRDefault="005F46D2" w:rsidP="31FF9146">
      <w:pPr>
        <w:jc w:val="both"/>
      </w:pPr>
    </w:p>
    <w:p w14:paraId="258B0E7F" w14:textId="77777777" w:rsidR="005F46D2" w:rsidRDefault="005F46D2" w:rsidP="31FF9146">
      <w:pPr>
        <w:jc w:val="both"/>
      </w:pPr>
    </w:p>
    <w:p w14:paraId="5CAFB1F4" w14:textId="77777777" w:rsidR="00385108" w:rsidRPr="002D2F11" w:rsidRDefault="00385108" w:rsidP="00C72779">
      <w:pPr>
        <w:rPr>
          <w:sz w:val="22"/>
          <w:szCs w:val="22"/>
        </w:rPr>
      </w:pPr>
    </w:p>
    <w:p w14:paraId="5D9C1929" w14:textId="77777777" w:rsidR="00331B49" w:rsidRDefault="00331B49" w:rsidP="00C72779">
      <w:pPr>
        <w:rPr>
          <w:sz w:val="22"/>
          <w:szCs w:val="22"/>
        </w:rPr>
      </w:pPr>
    </w:p>
    <w:p w14:paraId="1C662A12" w14:textId="77777777" w:rsidR="00331B49" w:rsidRDefault="00331B49" w:rsidP="00C72779">
      <w:pPr>
        <w:rPr>
          <w:sz w:val="22"/>
          <w:szCs w:val="22"/>
        </w:rPr>
      </w:pPr>
    </w:p>
    <w:p w14:paraId="14B9B1FE" w14:textId="77777777" w:rsidR="00331B49" w:rsidRDefault="00331B49" w:rsidP="00C72779">
      <w:pPr>
        <w:rPr>
          <w:sz w:val="22"/>
          <w:szCs w:val="22"/>
        </w:rPr>
      </w:pPr>
    </w:p>
    <w:p w14:paraId="1A121EF5" w14:textId="77777777" w:rsidR="00331B49" w:rsidRDefault="00331B49" w:rsidP="00C72779">
      <w:pPr>
        <w:rPr>
          <w:sz w:val="22"/>
          <w:szCs w:val="22"/>
        </w:rPr>
      </w:pPr>
    </w:p>
    <w:p w14:paraId="00A967D8" w14:textId="77777777" w:rsidR="00331B49" w:rsidRDefault="00331B49" w:rsidP="00C72779">
      <w:pPr>
        <w:rPr>
          <w:sz w:val="22"/>
          <w:szCs w:val="22"/>
        </w:rPr>
      </w:pPr>
    </w:p>
    <w:p w14:paraId="6C7A4108" w14:textId="77777777" w:rsidR="00BB00ED" w:rsidRPr="00BB00ED" w:rsidRDefault="00BB00ED" w:rsidP="00BB00ED">
      <w:pPr>
        <w:rPr>
          <w:sz w:val="22"/>
          <w:szCs w:val="22"/>
        </w:rPr>
      </w:pPr>
    </w:p>
    <w:p w14:paraId="32602B1C" w14:textId="77777777" w:rsidR="00062F2E" w:rsidRDefault="00062F2E" w:rsidP="00C72779">
      <w:pPr>
        <w:rPr>
          <w:sz w:val="22"/>
          <w:szCs w:val="22"/>
        </w:rPr>
      </w:pPr>
    </w:p>
    <w:p w14:paraId="1A52E33F" w14:textId="77777777" w:rsidR="00062F2E" w:rsidRDefault="00062F2E" w:rsidP="00C72779">
      <w:pPr>
        <w:rPr>
          <w:sz w:val="22"/>
          <w:szCs w:val="22"/>
        </w:rPr>
      </w:pPr>
    </w:p>
    <w:p w14:paraId="785F2B77" w14:textId="77777777" w:rsidR="00062F2E" w:rsidRDefault="00062F2E" w:rsidP="00C72779">
      <w:pPr>
        <w:rPr>
          <w:sz w:val="22"/>
          <w:szCs w:val="22"/>
        </w:rPr>
      </w:pPr>
    </w:p>
    <w:p w14:paraId="72A86D72" w14:textId="41E99019" w:rsidR="00062F2E" w:rsidRDefault="00062F2E" w:rsidP="00C72779">
      <w:pPr>
        <w:rPr>
          <w:sz w:val="22"/>
          <w:szCs w:val="22"/>
        </w:rPr>
      </w:pPr>
    </w:p>
    <w:p w14:paraId="3849DC1C" w14:textId="048DED86" w:rsidR="004D4C6A" w:rsidRDefault="004D4C6A" w:rsidP="00C72779">
      <w:pPr>
        <w:rPr>
          <w:sz w:val="22"/>
          <w:szCs w:val="22"/>
        </w:rPr>
      </w:pPr>
    </w:p>
    <w:p w14:paraId="53DDEEDE" w14:textId="0421958A" w:rsidR="004D4C6A" w:rsidRDefault="004D4C6A" w:rsidP="00C72779">
      <w:pPr>
        <w:rPr>
          <w:sz w:val="22"/>
          <w:szCs w:val="22"/>
        </w:rPr>
      </w:pPr>
    </w:p>
    <w:p w14:paraId="17728F46" w14:textId="20EF367D" w:rsidR="004D4C6A" w:rsidRDefault="004D4C6A" w:rsidP="00C72779">
      <w:pPr>
        <w:rPr>
          <w:sz w:val="22"/>
          <w:szCs w:val="22"/>
        </w:rPr>
      </w:pPr>
    </w:p>
    <w:p w14:paraId="140A2CE2" w14:textId="65689AEA" w:rsidR="004D4C6A" w:rsidRDefault="004D4C6A" w:rsidP="00C72779">
      <w:pPr>
        <w:rPr>
          <w:sz w:val="22"/>
          <w:szCs w:val="22"/>
        </w:rPr>
      </w:pPr>
    </w:p>
    <w:p w14:paraId="790BE16A" w14:textId="77777777" w:rsidR="004D4C6A" w:rsidRDefault="004D4C6A" w:rsidP="00C72779">
      <w:pPr>
        <w:rPr>
          <w:sz w:val="22"/>
          <w:szCs w:val="22"/>
        </w:rPr>
      </w:pPr>
    </w:p>
    <w:p w14:paraId="09CD7BC9" w14:textId="323E5678" w:rsidR="00CE426A" w:rsidRPr="004D4C6A" w:rsidRDefault="00852CFD" w:rsidP="004D4C6A">
      <w:pPr>
        <w:pStyle w:val="Ttulo2"/>
        <w:numPr>
          <w:ilvl w:val="1"/>
          <w:numId w:val="22"/>
        </w:numPr>
        <w:spacing w:line="240" w:lineRule="auto"/>
        <w:jc w:val="left"/>
        <w:rPr>
          <w:sz w:val="22"/>
          <w:szCs w:val="22"/>
        </w:rPr>
      </w:pPr>
      <w:bookmarkStart w:id="188" w:name="_Toc88677062"/>
      <w:r w:rsidRPr="31FF9146">
        <w:rPr>
          <w:sz w:val="22"/>
          <w:szCs w:val="22"/>
        </w:rPr>
        <w:lastRenderedPageBreak/>
        <w:t xml:space="preserve">OFICINA DE </w:t>
      </w:r>
      <w:r w:rsidR="00385108" w:rsidRPr="31FF9146">
        <w:rPr>
          <w:sz w:val="22"/>
          <w:szCs w:val="22"/>
        </w:rPr>
        <w:t>CONTROL INTERNO DISCIPLINARIO</w:t>
      </w:r>
      <w:r w:rsidR="00CE426A" w:rsidRPr="008179E9">
        <w:rPr>
          <w:rFonts w:cs="Arial"/>
          <w:noProof/>
          <w:lang w:val="es-CO" w:eastAsia="es-CO"/>
        </w:rPr>
        <mc:AlternateContent>
          <mc:Choice Requires="wps">
            <w:drawing>
              <wp:anchor distT="0" distB="0" distL="114300" distR="114300" simplePos="0" relativeHeight="251658252" behindDoc="0" locked="0" layoutInCell="1" allowOverlap="1" wp14:anchorId="0BC77A82" wp14:editId="077CB8BD">
                <wp:simplePos x="0" y="0"/>
                <wp:positionH relativeFrom="column">
                  <wp:posOffset>1451784</wp:posOffset>
                </wp:positionH>
                <wp:positionV relativeFrom="paragraph">
                  <wp:posOffset>42552</wp:posOffset>
                </wp:positionV>
                <wp:extent cx="2059913" cy="190919"/>
                <wp:effectExtent l="0" t="0" r="0" b="0"/>
                <wp:wrapNone/>
                <wp:docPr id="19" name="Rectángulo 19"/>
                <wp:cNvGraphicFramePr/>
                <a:graphic xmlns:a="http://schemas.openxmlformats.org/drawingml/2006/main">
                  <a:graphicData uri="http://schemas.microsoft.com/office/word/2010/wordprocessingShape">
                    <wps:wsp>
                      <wps:cNvSpPr/>
                      <wps:spPr>
                        <a:xfrm>
                          <a:off x="0" y="0"/>
                          <a:ext cx="2059913" cy="190919"/>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CD4C55" id="Rectángulo 19" o:spid="_x0000_s1026" style="position:absolute;margin-left:114.3pt;margin-top:3.35pt;width:162.2pt;height:15.05pt;z-index:2516582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" filled="f" stroked="f" strokeweight="2pt"/>
            </w:pict>
          </mc:Fallback>
        </mc:AlternateContent>
      </w:r>
      <w:bookmarkEnd w:id="188"/>
    </w:p>
    <w:p w14:paraId="4EE3781E" w14:textId="29E383D3" w:rsidR="004A69D7" w:rsidRPr="004A69D7" w:rsidRDefault="00CE426A" w:rsidP="00062F2E">
      <w:pPr>
        <w:pStyle w:val="Prrafodelista"/>
        <w:numPr>
          <w:ilvl w:val="2"/>
          <w:numId w:val="22"/>
        </w:numPr>
        <w:rPr>
          <w:rFonts w:eastAsia="Arial" w:cs="Arial"/>
          <w:b/>
          <w:sz w:val="22"/>
          <w:szCs w:val="22"/>
          <w:lang w:val="es"/>
        </w:rPr>
      </w:pPr>
      <w:r w:rsidRPr="1AD3BAB7">
        <w:rPr>
          <w:rFonts w:eastAsia="Arial" w:cs="Arial"/>
          <w:b/>
          <w:sz w:val="22"/>
          <w:szCs w:val="22"/>
          <w:lang w:val="es"/>
        </w:rPr>
        <w:t>GENERALIDADES</w:t>
      </w:r>
    </w:p>
    <w:p w14:paraId="06C1E23F" w14:textId="3D74AE17" w:rsidR="00CE426A" w:rsidRPr="008179E9" w:rsidRDefault="00CE426A" w:rsidP="00C72779">
      <w:pPr>
        <w:jc w:val="both"/>
      </w:pPr>
      <w:r w:rsidRPr="1AD3BAB7">
        <w:rPr>
          <w:rFonts w:eastAsia="Arial" w:cs="Arial"/>
          <w:sz w:val="22"/>
          <w:szCs w:val="22"/>
          <w:lang w:val="es"/>
        </w:rPr>
        <w:t xml:space="preserve"> </w:t>
      </w:r>
    </w:p>
    <w:p w14:paraId="6689AC16" w14:textId="655BD09D" w:rsidR="00CE426A" w:rsidRPr="008179E9" w:rsidRDefault="00CE426A" w:rsidP="00C72779">
      <w:pPr>
        <w:jc w:val="both"/>
      </w:pPr>
      <w:r w:rsidRPr="1AD3BAB7">
        <w:rPr>
          <w:rFonts w:eastAsia="Arial" w:cs="Arial"/>
          <w:sz w:val="22"/>
          <w:szCs w:val="22"/>
          <w:lang w:val="es"/>
        </w:rPr>
        <w:t>La Dirección General en atención los lineamientos de la circular conjunta 001 de 2002 del DAPF y la PGN; a la magnitud de la entidad, al volumen de procesos disciplinarios que se manejan y en aras de garantizar la independencia y autonomía en el cumplimiento de la función disciplinarias crea la Oficina de Control Interno Disciplinario-OCID mediante el artículo 15 de la  Resolución 846 de 2021 norma por medio de la cual se modificó la estructura de la entidad, la dependencia, conforme a la nueva estructura la dependencia queda adscrita a la Dirección General.</w:t>
      </w:r>
    </w:p>
    <w:p w14:paraId="47F2A208" w14:textId="4FC838A2" w:rsidR="00CE426A" w:rsidRPr="008179E9" w:rsidRDefault="1C5C5A7E" w:rsidP="1AD3BAB7">
      <w:pPr>
        <w:jc w:val="both"/>
      </w:pPr>
      <w:r w:rsidRPr="1AD3BAB7">
        <w:rPr>
          <w:rFonts w:eastAsia="Arial" w:cs="Arial"/>
          <w:sz w:val="22"/>
          <w:szCs w:val="22"/>
          <w:lang w:val="es"/>
        </w:rPr>
        <w:t xml:space="preserve"> </w:t>
      </w:r>
    </w:p>
    <w:p w14:paraId="5BEC24D7" w14:textId="0B80136B" w:rsidR="004A69D7" w:rsidRPr="004A69D7" w:rsidRDefault="00CE426A" w:rsidP="00062F2E">
      <w:pPr>
        <w:pStyle w:val="Prrafodelista"/>
        <w:numPr>
          <w:ilvl w:val="3"/>
          <w:numId w:val="22"/>
        </w:numPr>
        <w:rPr>
          <w:rFonts w:eastAsia="Arial" w:cs="Arial"/>
          <w:b/>
          <w:sz w:val="22"/>
          <w:szCs w:val="22"/>
          <w:lang w:val="es"/>
        </w:rPr>
      </w:pPr>
      <w:r w:rsidRPr="1AD3BAB7">
        <w:rPr>
          <w:rFonts w:eastAsia="Arial" w:cs="Arial"/>
          <w:b/>
          <w:sz w:val="22"/>
          <w:szCs w:val="22"/>
          <w:lang w:val="es"/>
        </w:rPr>
        <w:t>PRINCIPALES FUNCIONES</w:t>
      </w:r>
    </w:p>
    <w:p w14:paraId="766586E2" w14:textId="453BAA53" w:rsidR="00CE426A" w:rsidRPr="008179E9" w:rsidRDefault="1C5C5A7E" w:rsidP="1AD3BAB7">
      <w:pPr>
        <w:jc w:val="both"/>
      </w:pPr>
      <w:r w:rsidRPr="1AD3BAB7">
        <w:rPr>
          <w:rFonts w:eastAsia="Arial" w:cs="Arial"/>
          <w:sz w:val="22"/>
          <w:szCs w:val="22"/>
          <w:lang w:val="es"/>
        </w:rPr>
        <w:t xml:space="preserve"> </w:t>
      </w:r>
    </w:p>
    <w:p w14:paraId="028B320E" w14:textId="1796D15F" w:rsidR="00CE426A" w:rsidRPr="008179E9" w:rsidRDefault="00CE426A" w:rsidP="00C72779">
      <w:pPr>
        <w:jc w:val="both"/>
      </w:pPr>
      <w:r w:rsidRPr="1AD3BAB7">
        <w:rPr>
          <w:rFonts w:eastAsia="Arial" w:cs="Arial"/>
          <w:sz w:val="22"/>
          <w:szCs w:val="22"/>
          <w:lang w:val="es"/>
        </w:rPr>
        <w:t>El proceso de Gestión Disciplinaria tiene como funciones realizar las actuaciones disciplinarias relacionadas con sus funcionarios o exfuncionarios, determinando así la posible responsabilidad frente a la ocurrencia de conductas disciplinables, así como de realizar acciones pueden ser desarrolladas con el fin de lograr la toma de conciencia entre los funcionarios de la entidad de las posibles conductas disciplinarias.</w:t>
      </w:r>
    </w:p>
    <w:p w14:paraId="230FE2E8" w14:textId="3AAD9DAB" w:rsidR="00DD7E78" w:rsidRPr="00DD7E78" w:rsidRDefault="1C5C5A7E" w:rsidP="00DD7E78">
      <w:pPr>
        <w:jc w:val="both"/>
        <w:rPr>
          <w:rFonts w:eastAsia="Arial" w:cs="Arial"/>
          <w:sz w:val="22"/>
          <w:szCs w:val="22"/>
          <w:lang w:val="es"/>
        </w:rPr>
      </w:pPr>
      <w:r w:rsidRPr="1AD3BAB7">
        <w:rPr>
          <w:rFonts w:eastAsia="Arial" w:cs="Arial"/>
          <w:sz w:val="22"/>
          <w:szCs w:val="22"/>
          <w:lang w:val="es"/>
        </w:rPr>
        <w:t xml:space="preserve"> </w:t>
      </w:r>
    </w:p>
    <w:p w14:paraId="1E459A6E" w14:textId="77777777" w:rsidR="002029BC" w:rsidRPr="008179E9" w:rsidRDefault="002029BC" w:rsidP="1AD3BAB7">
      <w:pPr>
        <w:jc w:val="both"/>
      </w:pPr>
    </w:p>
    <w:p w14:paraId="775D06EF" w14:textId="27F48186" w:rsidR="00D21B4A" w:rsidRPr="00D21B4A" w:rsidRDefault="1C5C5A7E" w:rsidP="00062F2E">
      <w:pPr>
        <w:pStyle w:val="Prrafodelista"/>
        <w:numPr>
          <w:ilvl w:val="3"/>
          <w:numId w:val="22"/>
        </w:numPr>
        <w:rPr>
          <w:rFonts w:eastAsia="Arial" w:cs="Arial"/>
          <w:b/>
          <w:bCs/>
          <w:sz w:val="22"/>
          <w:szCs w:val="22"/>
          <w:lang w:val="es"/>
        </w:rPr>
      </w:pPr>
      <w:r w:rsidRPr="1AD3BAB7">
        <w:rPr>
          <w:rFonts w:eastAsia="Arial" w:cs="Arial"/>
          <w:b/>
          <w:bCs/>
          <w:sz w:val="22"/>
          <w:szCs w:val="22"/>
          <w:lang w:val="es"/>
        </w:rPr>
        <w:t>ESTRUCTURA FUNCIONAL DE LA OFICINA DE CONTROL INTERNO DISCIPLINARIO</w:t>
      </w:r>
    </w:p>
    <w:p w14:paraId="6E8EC1A6" w14:textId="09CD7B41" w:rsidR="00CE426A" w:rsidRPr="008179E9" w:rsidRDefault="1C5C5A7E" w:rsidP="1AD3BAB7">
      <w:pPr>
        <w:jc w:val="both"/>
      </w:pPr>
      <w:r w:rsidRPr="1AD3BAB7">
        <w:rPr>
          <w:rFonts w:eastAsia="Arial" w:cs="Arial"/>
          <w:b/>
          <w:bCs/>
          <w:sz w:val="22"/>
          <w:szCs w:val="22"/>
          <w:lang w:val="es"/>
        </w:rPr>
        <w:t xml:space="preserve"> </w:t>
      </w:r>
    </w:p>
    <w:p w14:paraId="7356F8CB" w14:textId="0DD74D0A" w:rsidR="00C44A7A" w:rsidRPr="00062F2E" w:rsidRDefault="1C5C5A7E" w:rsidP="00062F2E">
      <w:pPr>
        <w:pStyle w:val="Descripcin"/>
        <w:jc w:val="center"/>
        <w:rPr>
          <w:rFonts w:ascii="Arial" w:eastAsia="Arial" w:hAnsi="Arial" w:cs="Arial"/>
          <w:b/>
          <w:i w:val="0"/>
          <w:color w:val="000000" w:themeColor="text1"/>
          <w:sz w:val="16"/>
          <w:szCs w:val="16"/>
          <w:lang w:val="es"/>
        </w:rPr>
      </w:pPr>
      <w:bookmarkStart w:id="189" w:name="_Toc88677213"/>
      <w:r w:rsidRPr="00062F2E">
        <w:rPr>
          <w:rFonts w:ascii="Arial" w:hAnsi="Arial" w:cs="Arial"/>
          <w:b/>
          <w:i w:val="0"/>
          <w:color w:val="000000" w:themeColor="text1"/>
          <w:sz w:val="16"/>
          <w:szCs w:val="16"/>
        </w:rPr>
        <w:t xml:space="preserve">Ilustración </w:t>
      </w:r>
      <w:r w:rsidR="00062F2E" w:rsidRPr="00062F2E">
        <w:rPr>
          <w:rFonts w:ascii="Arial" w:hAnsi="Arial" w:cs="Arial"/>
          <w:b/>
          <w:bCs/>
          <w:i w:val="0"/>
          <w:iCs w:val="0"/>
          <w:color w:val="000000" w:themeColor="text1"/>
          <w:sz w:val="16"/>
          <w:szCs w:val="16"/>
        </w:rPr>
        <w:fldChar w:fldCharType="begin"/>
      </w:r>
      <w:r w:rsidR="00062F2E" w:rsidRPr="00062F2E">
        <w:rPr>
          <w:rFonts w:ascii="Arial" w:hAnsi="Arial" w:cs="Arial"/>
          <w:b/>
          <w:bCs/>
          <w:i w:val="0"/>
          <w:iCs w:val="0"/>
          <w:color w:val="000000" w:themeColor="text1"/>
          <w:sz w:val="16"/>
          <w:szCs w:val="16"/>
        </w:rPr>
        <w:instrText xml:space="preserve"> SEQ Ilustración \* ARABIC </w:instrText>
      </w:r>
      <w:r w:rsidR="00062F2E" w:rsidRPr="00062F2E">
        <w:rPr>
          <w:rFonts w:ascii="Arial" w:hAnsi="Arial" w:cs="Arial"/>
          <w:b/>
          <w:bCs/>
          <w:i w:val="0"/>
          <w:iCs w:val="0"/>
          <w:color w:val="000000" w:themeColor="text1"/>
          <w:sz w:val="16"/>
          <w:szCs w:val="16"/>
        </w:rPr>
        <w:fldChar w:fldCharType="separate"/>
      </w:r>
      <w:r w:rsidR="005D5B0E">
        <w:rPr>
          <w:rFonts w:ascii="Arial" w:hAnsi="Arial" w:cs="Arial"/>
          <w:b/>
          <w:bCs/>
          <w:i w:val="0"/>
          <w:iCs w:val="0"/>
          <w:noProof/>
          <w:color w:val="000000" w:themeColor="text1"/>
          <w:sz w:val="16"/>
          <w:szCs w:val="16"/>
        </w:rPr>
        <w:t>57</w:t>
      </w:r>
      <w:r w:rsidR="00062F2E" w:rsidRPr="00062F2E">
        <w:rPr>
          <w:rFonts w:ascii="Arial" w:hAnsi="Arial" w:cs="Arial"/>
          <w:b/>
          <w:bCs/>
          <w:i w:val="0"/>
          <w:iCs w:val="0"/>
          <w:color w:val="000000" w:themeColor="text1"/>
          <w:sz w:val="16"/>
          <w:szCs w:val="16"/>
        </w:rPr>
        <w:fldChar w:fldCharType="end"/>
      </w:r>
      <w:r w:rsidR="00062F2E" w:rsidRPr="00062F2E">
        <w:rPr>
          <w:rFonts w:ascii="Arial" w:hAnsi="Arial" w:cs="Arial"/>
          <w:b/>
          <w:bCs/>
          <w:i w:val="0"/>
          <w:iCs w:val="0"/>
          <w:color w:val="000000" w:themeColor="text1"/>
          <w:sz w:val="16"/>
          <w:szCs w:val="16"/>
        </w:rPr>
        <w:t>.</w:t>
      </w:r>
      <w:r w:rsidRPr="00062F2E">
        <w:rPr>
          <w:rFonts w:ascii="Arial" w:hAnsi="Arial" w:cs="Arial"/>
          <w:b/>
          <w:i w:val="0"/>
          <w:color w:val="000000" w:themeColor="text1"/>
          <w:sz w:val="16"/>
          <w:szCs w:val="16"/>
        </w:rPr>
        <w:t xml:space="preserve"> Estructura </w:t>
      </w:r>
      <w:r w:rsidR="00062F2E" w:rsidRPr="00062F2E">
        <w:rPr>
          <w:rFonts w:ascii="Arial" w:hAnsi="Arial" w:cs="Arial"/>
          <w:b/>
          <w:bCs/>
          <w:i w:val="0"/>
          <w:iCs w:val="0"/>
          <w:color w:val="000000" w:themeColor="text1"/>
          <w:sz w:val="16"/>
          <w:szCs w:val="16"/>
        </w:rPr>
        <w:t>Funcional</w:t>
      </w:r>
      <w:bookmarkEnd w:id="189"/>
    </w:p>
    <w:p w14:paraId="0FA22AE5" w14:textId="77777777" w:rsidR="00062F2E" w:rsidRPr="00062F2E" w:rsidRDefault="00062F2E" w:rsidP="00062F2E">
      <w:pPr>
        <w:rPr>
          <w:lang w:val="es" w:eastAsia="es-ES_tradnl"/>
        </w:rPr>
      </w:pPr>
    </w:p>
    <w:p w14:paraId="30C66AE6" w14:textId="390BE3FB" w:rsidR="00CE426A" w:rsidRPr="008179E9" w:rsidRDefault="00062F2E" w:rsidP="00062F2E">
      <w:pPr>
        <w:jc w:val="center"/>
      </w:pPr>
      <w:r>
        <w:rPr>
          <w:noProof/>
          <w:lang w:val="es-CO" w:eastAsia="es-CO"/>
        </w:rPr>
        <w:drawing>
          <wp:inline distT="0" distB="0" distL="0" distR="0" wp14:anchorId="1835E050" wp14:editId="65EB2584">
            <wp:extent cx="4572000" cy="3390900"/>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80488271"/>
                    <pic:cNvPicPr/>
                  </pic:nvPicPr>
                  <pic:blipFill>
                    <a:blip r:embed="rId180">
                      <a:extLst>
                        <a:ext uri="{28A0092B-C50C-407E-A947-70E740481C1C}">
                          <a14:useLocalDpi xmlns:a14="http://schemas.microsoft.com/office/drawing/2010/main" val="0"/>
                        </a:ext>
                      </a:extLst>
                    </a:blip>
                    <a:stretch>
                      <a:fillRect/>
                    </a:stretch>
                  </pic:blipFill>
                  <pic:spPr>
                    <a:xfrm>
                      <a:off x="0" y="0"/>
                      <a:ext cx="4572000" cy="3390900"/>
                    </a:xfrm>
                    <a:prstGeom prst="rect">
                      <a:avLst/>
                    </a:prstGeom>
                  </pic:spPr>
                </pic:pic>
              </a:graphicData>
            </a:graphic>
          </wp:inline>
        </w:drawing>
      </w:r>
    </w:p>
    <w:p w14:paraId="3CBE8EE1" w14:textId="1D8854B0" w:rsidR="00CE426A" w:rsidRPr="00062F2E" w:rsidRDefault="1C5C5A7E" w:rsidP="00C72779">
      <w:pPr>
        <w:jc w:val="center"/>
        <w:rPr>
          <w:b/>
        </w:rPr>
      </w:pPr>
      <w:r w:rsidRPr="00062F2E">
        <w:rPr>
          <w:rFonts w:eastAsia="Arial" w:cs="Arial"/>
          <w:b/>
          <w:sz w:val="16"/>
          <w:szCs w:val="16"/>
          <w:lang w:val="es"/>
        </w:rPr>
        <w:t>Fuente: Oficina de Control Interno Disciplinario</w:t>
      </w:r>
    </w:p>
    <w:p w14:paraId="759620F6" w14:textId="1C881A54" w:rsidR="00CE426A" w:rsidRDefault="1C5C5A7E" w:rsidP="1AD3BAB7">
      <w:pPr>
        <w:jc w:val="both"/>
        <w:rPr>
          <w:rFonts w:eastAsia="Arial" w:cs="Arial"/>
          <w:sz w:val="22"/>
          <w:szCs w:val="22"/>
          <w:lang w:val="es"/>
        </w:rPr>
      </w:pPr>
      <w:r w:rsidRPr="1AD3BAB7">
        <w:rPr>
          <w:rFonts w:eastAsia="Arial" w:cs="Arial"/>
          <w:sz w:val="22"/>
          <w:szCs w:val="22"/>
          <w:lang w:val="es"/>
        </w:rPr>
        <w:t xml:space="preserve"> </w:t>
      </w:r>
    </w:p>
    <w:p w14:paraId="2C66CF19" w14:textId="7F23CFF7" w:rsidR="004D4C6A" w:rsidRDefault="004D4C6A" w:rsidP="1AD3BAB7">
      <w:pPr>
        <w:jc w:val="both"/>
        <w:rPr>
          <w:rFonts w:eastAsia="Arial" w:cs="Arial"/>
          <w:sz w:val="22"/>
          <w:szCs w:val="22"/>
          <w:lang w:val="es"/>
        </w:rPr>
      </w:pPr>
    </w:p>
    <w:p w14:paraId="1BEE276D" w14:textId="77777777" w:rsidR="004D4C6A" w:rsidRPr="008179E9" w:rsidRDefault="004D4C6A" w:rsidP="1AD3BAB7">
      <w:pPr>
        <w:jc w:val="both"/>
      </w:pPr>
    </w:p>
    <w:p w14:paraId="3A3775ED" w14:textId="7CB3E334" w:rsidR="00F55570" w:rsidRPr="00A23B26" w:rsidRDefault="00A23B26" w:rsidP="1AD3BAB7">
      <w:pPr>
        <w:pStyle w:val="Prrafodelista"/>
        <w:numPr>
          <w:ilvl w:val="4"/>
          <w:numId w:val="22"/>
        </w:numPr>
        <w:rPr>
          <w:rFonts w:eastAsia="Arial" w:cs="Arial"/>
          <w:b/>
          <w:bCs/>
          <w:sz w:val="22"/>
          <w:szCs w:val="22"/>
          <w:lang w:val="es"/>
        </w:rPr>
      </w:pPr>
      <w:r w:rsidRPr="00A23B26">
        <w:rPr>
          <w:rFonts w:eastAsia="Arial" w:cs="Arial"/>
          <w:b/>
          <w:bCs/>
          <w:sz w:val="22"/>
          <w:szCs w:val="22"/>
          <w:lang w:val="es"/>
        </w:rPr>
        <w:lastRenderedPageBreak/>
        <w:t>EQUIPOS Y ROLES</w:t>
      </w:r>
    </w:p>
    <w:p w14:paraId="54F6C663" w14:textId="4D072C4C" w:rsidR="00062F2E" w:rsidRPr="004D4C6A" w:rsidRDefault="1C5C5A7E" w:rsidP="004D4C6A">
      <w:pPr>
        <w:pStyle w:val="Prrafodelista"/>
        <w:ind w:left="1440"/>
        <w:rPr>
          <w:rFonts w:eastAsia="Arial" w:cs="Arial"/>
          <w:sz w:val="22"/>
          <w:szCs w:val="22"/>
          <w:lang w:val="es"/>
        </w:rPr>
      </w:pPr>
      <w:r w:rsidRPr="1AD3BAB7">
        <w:rPr>
          <w:rFonts w:eastAsia="Arial" w:cs="Arial"/>
          <w:sz w:val="22"/>
          <w:szCs w:val="22"/>
          <w:lang w:val="es"/>
        </w:rPr>
        <w:t xml:space="preserve"> </w:t>
      </w:r>
    </w:p>
    <w:tbl>
      <w:tblPr>
        <w:tblStyle w:val="Tabladelista3-nfasis1"/>
        <w:tblW w:w="9620"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1780"/>
        <w:gridCol w:w="1920"/>
        <w:gridCol w:w="3340"/>
        <w:gridCol w:w="2580"/>
      </w:tblGrid>
      <w:tr w:rsidR="00AC5BC5" w:rsidRPr="000549E5" w14:paraId="7FDFDF62" w14:textId="77777777" w:rsidTr="00062F2E">
        <w:trPr>
          <w:cnfStyle w:val="100000000000" w:firstRow="1" w:lastRow="0" w:firstColumn="0" w:lastColumn="0" w:oddVBand="0" w:evenVBand="0" w:oddHBand="0" w:evenHBand="0" w:firstRowFirstColumn="0" w:firstRowLastColumn="0" w:lastRowFirstColumn="0" w:lastRowLastColumn="0"/>
          <w:trHeight w:val="615"/>
          <w:tblHeader/>
        </w:trPr>
        <w:tc>
          <w:tcPr>
            <w:cnfStyle w:val="001000000100" w:firstRow="0" w:lastRow="0" w:firstColumn="1" w:lastColumn="0" w:oddVBand="0" w:evenVBand="0" w:oddHBand="0" w:evenHBand="0" w:firstRowFirstColumn="1" w:firstRowLastColumn="0" w:lastRowFirstColumn="0" w:lastRowLastColumn="0"/>
            <w:tcW w:w="1780" w:type="dxa"/>
            <w:tcBorders>
              <w:bottom w:val="none" w:sz="0" w:space="0" w:color="auto"/>
              <w:right w:val="none" w:sz="0" w:space="0" w:color="auto"/>
            </w:tcBorders>
            <w:vAlign w:val="center"/>
            <w:hideMark/>
          </w:tcPr>
          <w:p w14:paraId="1FE3470D" w14:textId="4E94C2AA" w:rsidR="00AC5BC5" w:rsidRPr="00596AB1" w:rsidRDefault="1C5C5A7E" w:rsidP="00A6302C">
            <w:pPr>
              <w:suppressAutoHyphens w:val="0"/>
              <w:jc w:val="center"/>
              <w:rPr>
                <w:rFonts w:cs="Arial"/>
                <w:b w:val="0"/>
                <w:bCs w:val="0"/>
                <w:color w:val="FFFFFF"/>
                <w:sz w:val="20"/>
                <w:szCs w:val="20"/>
                <w:lang w:val="es-CO" w:eastAsia="es-CO"/>
              </w:rPr>
            </w:pPr>
            <w:r w:rsidRPr="1AD3BAB7">
              <w:rPr>
                <w:rFonts w:eastAsia="Arial" w:cs="Arial"/>
                <w:sz w:val="22"/>
                <w:szCs w:val="22"/>
                <w:lang w:val="es"/>
              </w:rPr>
              <w:t xml:space="preserve"> </w:t>
            </w:r>
            <w:r w:rsidR="00AC5BC5" w:rsidRPr="00596AB1">
              <w:rPr>
                <w:rFonts w:cs="Arial"/>
                <w:color w:val="FFFFFF"/>
                <w:sz w:val="20"/>
                <w:szCs w:val="20"/>
                <w:lang w:val="es-CO" w:eastAsia="es-CO"/>
              </w:rPr>
              <w:t>Cantidad</w:t>
            </w:r>
          </w:p>
        </w:tc>
        <w:tc>
          <w:tcPr>
            <w:tcW w:w="1920" w:type="dxa"/>
            <w:vAlign w:val="center"/>
            <w:hideMark/>
          </w:tcPr>
          <w:p w14:paraId="6D2990F7" w14:textId="77777777" w:rsidR="00AC5BC5" w:rsidRPr="00596AB1" w:rsidRDefault="00AC5BC5"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20"/>
                <w:szCs w:val="20"/>
                <w:lang w:val="es-CO" w:eastAsia="es-CO"/>
              </w:rPr>
            </w:pPr>
            <w:r w:rsidRPr="00596AB1">
              <w:rPr>
                <w:rFonts w:cs="Arial"/>
                <w:color w:val="FFFFFF"/>
                <w:sz w:val="20"/>
                <w:szCs w:val="20"/>
                <w:lang w:val="es-CO" w:eastAsia="es-CO"/>
              </w:rPr>
              <w:t>Funcionario y/o Contratista</w:t>
            </w:r>
          </w:p>
        </w:tc>
        <w:tc>
          <w:tcPr>
            <w:tcW w:w="3340" w:type="dxa"/>
            <w:vAlign w:val="center"/>
            <w:hideMark/>
          </w:tcPr>
          <w:p w14:paraId="6EAB4C5D" w14:textId="77777777" w:rsidR="00AC5BC5" w:rsidRPr="00596AB1" w:rsidRDefault="00AC5BC5"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20"/>
                <w:szCs w:val="20"/>
                <w:lang w:val="es-CO" w:eastAsia="es-CO"/>
              </w:rPr>
            </w:pPr>
            <w:r w:rsidRPr="00596AB1">
              <w:rPr>
                <w:rFonts w:cs="Arial"/>
                <w:color w:val="FFFFFF"/>
                <w:sz w:val="20"/>
                <w:szCs w:val="20"/>
                <w:lang w:val="es-CO" w:eastAsia="es-CO"/>
              </w:rPr>
              <w:t>Rol</w:t>
            </w:r>
          </w:p>
        </w:tc>
        <w:tc>
          <w:tcPr>
            <w:tcW w:w="2580" w:type="dxa"/>
            <w:vAlign w:val="center"/>
            <w:hideMark/>
          </w:tcPr>
          <w:p w14:paraId="3C9D76B5" w14:textId="77777777" w:rsidR="00AC5BC5" w:rsidRPr="00596AB1" w:rsidRDefault="00AC5BC5"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b w:val="0"/>
                <w:bCs w:val="0"/>
                <w:color w:val="FFFFFF"/>
                <w:sz w:val="20"/>
                <w:szCs w:val="20"/>
                <w:lang w:val="es-CO" w:eastAsia="es-CO"/>
              </w:rPr>
            </w:pPr>
            <w:r w:rsidRPr="00596AB1">
              <w:rPr>
                <w:rFonts w:cs="Arial"/>
                <w:color w:val="FFFFFF"/>
                <w:sz w:val="20"/>
                <w:szCs w:val="20"/>
                <w:lang w:val="es-CO" w:eastAsia="es-CO"/>
              </w:rPr>
              <w:t>Proceso</w:t>
            </w:r>
          </w:p>
        </w:tc>
      </w:tr>
      <w:tr w:rsidR="00AC5BC5" w:rsidRPr="000549E5" w14:paraId="335DFB66" w14:textId="77777777" w:rsidTr="00062F2E">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1780" w:type="dxa"/>
            <w:vMerge w:val="restart"/>
            <w:tcBorders>
              <w:top w:val="none" w:sz="0" w:space="0" w:color="auto"/>
              <w:bottom w:val="none" w:sz="0" w:space="0" w:color="auto"/>
              <w:right w:val="none" w:sz="0" w:space="0" w:color="auto"/>
            </w:tcBorders>
            <w:vAlign w:val="center"/>
            <w:hideMark/>
          </w:tcPr>
          <w:p w14:paraId="4A89A671" w14:textId="77777777" w:rsidR="00AC5BC5" w:rsidRPr="00062F2E" w:rsidRDefault="00AC5BC5" w:rsidP="00A6302C">
            <w:pPr>
              <w:suppressAutoHyphens w:val="0"/>
              <w:jc w:val="center"/>
              <w:rPr>
                <w:rFonts w:cs="Arial"/>
                <w:b w:val="0"/>
                <w:color w:val="000000" w:themeColor="text1"/>
                <w:sz w:val="20"/>
                <w:szCs w:val="20"/>
                <w:lang w:val="es-CO" w:eastAsia="es-CO"/>
              </w:rPr>
            </w:pPr>
            <w:r w:rsidRPr="00062F2E">
              <w:rPr>
                <w:rFonts w:cs="Arial"/>
                <w:color w:val="000000" w:themeColor="text1"/>
                <w:sz w:val="20"/>
                <w:szCs w:val="20"/>
                <w:lang w:val="es-CO" w:eastAsia="es-CO"/>
              </w:rPr>
              <w:t>1</w:t>
            </w:r>
          </w:p>
        </w:tc>
        <w:tc>
          <w:tcPr>
            <w:tcW w:w="1920" w:type="dxa"/>
            <w:vMerge w:val="restart"/>
            <w:tcBorders>
              <w:top w:val="none" w:sz="0" w:space="0" w:color="auto"/>
              <w:bottom w:val="none" w:sz="0" w:space="0" w:color="auto"/>
            </w:tcBorders>
            <w:vAlign w:val="center"/>
            <w:hideMark/>
          </w:tcPr>
          <w:p w14:paraId="1DC31000"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 xml:space="preserve">Jefe de Oficina </w:t>
            </w:r>
          </w:p>
        </w:tc>
        <w:tc>
          <w:tcPr>
            <w:tcW w:w="3340" w:type="dxa"/>
            <w:tcBorders>
              <w:top w:val="none" w:sz="0" w:space="0" w:color="auto"/>
              <w:bottom w:val="none" w:sz="0" w:space="0" w:color="auto"/>
            </w:tcBorders>
            <w:vAlign w:val="center"/>
            <w:hideMark/>
          </w:tcPr>
          <w:p w14:paraId="5F498665"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Jefe de Control Interno Disciplinario</w:t>
            </w:r>
          </w:p>
        </w:tc>
        <w:tc>
          <w:tcPr>
            <w:tcW w:w="2580" w:type="dxa"/>
            <w:vMerge w:val="restart"/>
            <w:tcBorders>
              <w:top w:val="none" w:sz="0" w:space="0" w:color="auto"/>
              <w:bottom w:val="none" w:sz="0" w:space="0" w:color="auto"/>
            </w:tcBorders>
            <w:vAlign w:val="center"/>
            <w:hideMark/>
          </w:tcPr>
          <w:p w14:paraId="22B5CBF3"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10EDF46B" w14:textId="77777777" w:rsidTr="00062F2E">
        <w:trPr>
          <w:trHeight w:val="1035"/>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378254E4"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vAlign w:val="center"/>
            <w:hideMark/>
          </w:tcPr>
          <w:p w14:paraId="1DFF8AB1"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6F78764C"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Ejerce potestad disciplinaria en 1ª instancia con las funciones previstas en el artículo 15 del Decreto 846 de 2021.</w:t>
            </w:r>
          </w:p>
        </w:tc>
        <w:tc>
          <w:tcPr>
            <w:tcW w:w="2580" w:type="dxa"/>
            <w:vMerge/>
            <w:vAlign w:val="center"/>
            <w:hideMark/>
          </w:tcPr>
          <w:p w14:paraId="7B5F452E"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37F013E1" w14:textId="77777777" w:rsidTr="00062F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780" w:type="dxa"/>
            <w:vMerge w:val="restart"/>
            <w:tcBorders>
              <w:top w:val="none" w:sz="0" w:space="0" w:color="auto"/>
              <w:bottom w:val="none" w:sz="0" w:space="0" w:color="auto"/>
              <w:right w:val="none" w:sz="0" w:space="0" w:color="auto"/>
            </w:tcBorders>
            <w:vAlign w:val="center"/>
            <w:hideMark/>
          </w:tcPr>
          <w:p w14:paraId="13C66658" w14:textId="77777777" w:rsidR="00AC5BC5" w:rsidRPr="00062F2E" w:rsidRDefault="00AC5BC5" w:rsidP="00A6302C">
            <w:pPr>
              <w:suppressAutoHyphens w:val="0"/>
              <w:jc w:val="center"/>
              <w:rPr>
                <w:rFonts w:cs="Arial"/>
                <w:b w:val="0"/>
                <w:color w:val="000000" w:themeColor="text1"/>
                <w:sz w:val="20"/>
                <w:szCs w:val="20"/>
                <w:lang w:val="es-CO" w:eastAsia="es-CO"/>
              </w:rPr>
            </w:pPr>
            <w:r w:rsidRPr="00062F2E">
              <w:rPr>
                <w:rFonts w:cs="Arial"/>
                <w:color w:val="000000" w:themeColor="text1"/>
                <w:sz w:val="20"/>
                <w:szCs w:val="20"/>
                <w:lang w:val="es-CO" w:eastAsia="es-CO"/>
              </w:rPr>
              <w:t>2</w:t>
            </w:r>
          </w:p>
        </w:tc>
        <w:tc>
          <w:tcPr>
            <w:tcW w:w="1920" w:type="dxa"/>
            <w:vMerge w:val="restart"/>
            <w:tcBorders>
              <w:top w:val="none" w:sz="0" w:space="0" w:color="auto"/>
              <w:bottom w:val="none" w:sz="0" w:space="0" w:color="auto"/>
            </w:tcBorders>
            <w:vAlign w:val="center"/>
            <w:hideMark/>
          </w:tcPr>
          <w:p w14:paraId="3D50FDA9"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 xml:space="preserve">Profesional Especializado </w:t>
            </w:r>
          </w:p>
        </w:tc>
        <w:tc>
          <w:tcPr>
            <w:tcW w:w="3340" w:type="dxa"/>
            <w:tcBorders>
              <w:top w:val="none" w:sz="0" w:space="0" w:color="auto"/>
              <w:bottom w:val="none" w:sz="0" w:space="0" w:color="auto"/>
            </w:tcBorders>
            <w:vAlign w:val="center"/>
            <w:hideMark/>
          </w:tcPr>
          <w:p w14:paraId="671FFF01"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Abogadas de Planta</w:t>
            </w:r>
          </w:p>
        </w:tc>
        <w:tc>
          <w:tcPr>
            <w:tcW w:w="2580" w:type="dxa"/>
            <w:vMerge w:val="restart"/>
            <w:tcBorders>
              <w:top w:val="none" w:sz="0" w:space="0" w:color="auto"/>
              <w:bottom w:val="none" w:sz="0" w:space="0" w:color="auto"/>
            </w:tcBorders>
            <w:vAlign w:val="center"/>
            <w:hideMark/>
          </w:tcPr>
          <w:p w14:paraId="5186B58F"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0B731E2B" w14:textId="77777777" w:rsidTr="00062F2E">
        <w:trPr>
          <w:trHeight w:val="1020"/>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10376BEB"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vAlign w:val="center"/>
            <w:hideMark/>
          </w:tcPr>
          <w:p w14:paraId="3933CD4B"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1357958F"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Adelantar, sustanciar y practicar las pruebas de los procesos disciplinarios que se adelanten en la Oficina</w:t>
            </w:r>
          </w:p>
        </w:tc>
        <w:tc>
          <w:tcPr>
            <w:tcW w:w="2580" w:type="dxa"/>
            <w:vMerge/>
            <w:vAlign w:val="center"/>
            <w:hideMark/>
          </w:tcPr>
          <w:p w14:paraId="2211443A"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6E0E1898" w14:textId="77777777" w:rsidTr="00062F2E">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1780" w:type="dxa"/>
            <w:vMerge/>
            <w:tcBorders>
              <w:top w:val="none" w:sz="0" w:space="0" w:color="auto"/>
              <w:bottom w:val="none" w:sz="0" w:space="0" w:color="auto"/>
              <w:right w:val="none" w:sz="0" w:space="0" w:color="auto"/>
            </w:tcBorders>
            <w:vAlign w:val="center"/>
            <w:hideMark/>
          </w:tcPr>
          <w:p w14:paraId="5A591AD5"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tcBorders>
              <w:top w:val="none" w:sz="0" w:space="0" w:color="auto"/>
              <w:bottom w:val="none" w:sz="0" w:space="0" w:color="auto"/>
            </w:tcBorders>
            <w:vAlign w:val="center"/>
            <w:hideMark/>
          </w:tcPr>
          <w:p w14:paraId="27673499"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c>
          <w:tcPr>
            <w:tcW w:w="3340" w:type="dxa"/>
            <w:tcBorders>
              <w:top w:val="none" w:sz="0" w:space="0" w:color="auto"/>
              <w:bottom w:val="none" w:sz="0" w:space="0" w:color="auto"/>
            </w:tcBorders>
            <w:vAlign w:val="center"/>
            <w:hideMark/>
          </w:tcPr>
          <w:p w14:paraId="3D59958B"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administrar funcionalmente el Sistema de Información Disciplinaria - SID</w:t>
            </w:r>
          </w:p>
        </w:tc>
        <w:tc>
          <w:tcPr>
            <w:tcW w:w="2580" w:type="dxa"/>
            <w:vMerge/>
            <w:tcBorders>
              <w:top w:val="none" w:sz="0" w:space="0" w:color="auto"/>
              <w:bottom w:val="none" w:sz="0" w:space="0" w:color="auto"/>
            </w:tcBorders>
            <w:vAlign w:val="center"/>
            <w:hideMark/>
          </w:tcPr>
          <w:p w14:paraId="30CAC5AC"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r>
      <w:tr w:rsidR="00AC5BC5" w:rsidRPr="000549E5" w14:paraId="72561375" w14:textId="77777777" w:rsidTr="00062F2E">
        <w:trPr>
          <w:trHeight w:val="315"/>
        </w:trPr>
        <w:tc>
          <w:tcPr>
            <w:cnfStyle w:val="001000000000" w:firstRow="0" w:lastRow="0" w:firstColumn="1" w:lastColumn="0" w:oddVBand="0" w:evenVBand="0" w:oddHBand="0" w:evenHBand="0" w:firstRowFirstColumn="0" w:firstRowLastColumn="0" w:lastRowFirstColumn="0" w:lastRowLastColumn="0"/>
            <w:tcW w:w="1780" w:type="dxa"/>
            <w:vMerge w:val="restart"/>
            <w:tcBorders>
              <w:right w:val="none" w:sz="0" w:space="0" w:color="auto"/>
            </w:tcBorders>
            <w:vAlign w:val="center"/>
            <w:hideMark/>
          </w:tcPr>
          <w:p w14:paraId="2DD27981" w14:textId="77777777" w:rsidR="00AC5BC5" w:rsidRPr="00062F2E" w:rsidRDefault="00AC5BC5" w:rsidP="00A6302C">
            <w:pPr>
              <w:suppressAutoHyphens w:val="0"/>
              <w:jc w:val="center"/>
              <w:rPr>
                <w:rFonts w:cs="Arial"/>
                <w:b w:val="0"/>
                <w:color w:val="000000" w:themeColor="text1"/>
                <w:sz w:val="20"/>
                <w:szCs w:val="20"/>
                <w:lang w:val="es-CO" w:eastAsia="es-CO"/>
              </w:rPr>
            </w:pPr>
            <w:r w:rsidRPr="00062F2E">
              <w:rPr>
                <w:rFonts w:cs="Arial"/>
                <w:color w:val="000000" w:themeColor="text1"/>
                <w:sz w:val="20"/>
                <w:szCs w:val="20"/>
                <w:lang w:val="es-CO" w:eastAsia="es-CO"/>
              </w:rPr>
              <w:t>2</w:t>
            </w:r>
          </w:p>
        </w:tc>
        <w:tc>
          <w:tcPr>
            <w:tcW w:w="1920" w:type="dxa"/>
            <w:vMerge w:val="restart"/>
            <w:vAlign w:val="center"/>
            <w:hideMark/>
          </w:tcPr>
          <w:p w14:paraId="7E8C0E1F" w14:textId="77777777" w:rsidR="00AC5BC5" w:rsidRPr="00596AB1" w:rsidRDefault="00AC5BC5"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Secretaria Ejecutiva</w:t>
            </w:r>
          </w:p>
        </w:tc>
        <w:tc>
          <w:tcPr>
            <w:tcW w:w="3340" w:type="dxa"/>
            <w:vAlign w:val="center"/>
            <w:hideMark/>
          </w:tcPr>
          <w:p w14:paraId="5E06A74F"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Secretaría</w:t>
            </w:r>
          </w:p>
        </w:tc>
        <w:tc>
          <w:tcPr>
            <w:tcW w:w="2580" w:type="dxa"/>
            <w:vMerge w:val="restart"/>
            <w:vAlign w:val="center"/>
            <w:hideMark/>
          </w:tcPr>
          <w:p w14:paraId="404D58D7" w14:textId="77777777" w:rsidR="00AC5BC5" w:rsidRPr="00596AB1" w:rsidRDefault="00AC5BC5"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771DAD33" w14:textId="77777777" w:rsidTr="00062F2E">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1780" w:type="dxa"/>
            <w:vMerge/>
            <w:tcBorders>
              <w:top w:val="none" w:sz="0" w:space="0" w:color="auto"/>
              <w:bottom w:val="none" w:sz="0" w:space="0" w:color="auto"/>
              <w:right w:val="none" w:sz="0" w:space="0" w:color="auto"/>
            </w:tcBorders>
            <w:vAlign w:val="center"/>
            <w:hideMark/>
          </w:tcPr>
          <w:p w14:paraId="6B356A29"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tcBorders>
              <w:top w:val="none" w:sz="0" w:space="0" w:color="auto"/>
              <w:bottom w:val="none" w:sz="0" w:space="0" w:color="auto"/>
            </w:tcBorders>
            <w:vAlign w:val="center"/>
            <w:hideMark/>
          </w:tcPr>
          <w:p w14:paraId="7B368E11"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c>
          <w:tcPr>
            <w:tcW w:w="3340" w:type="dxa"/>
            <w:tcBorders>
              <w:top w:val="none" w:sz="0" w:space="0" w:color="auto"/>
              <w:bottom w:val="none" w:sz="0" w:space="0" w:color="auto"/>
            </w:tcBorders>
            <w:vAlign w:val="center"/>
            <w:hideMark/>
          </w:tcPr>
          <w:p w14:paraId="76F52705"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Responsable del PRODISCI, Sistema de información de tramites disciplinarios de la Entidad (software saliente)</w:t>
            </w:r>
          </w:p>
        </w:tc>
        <w:tc>
          <w:tcPr>
            <w:tcW w:w="2580" w:type="dxa"/>
            <w:vMerge/>
            <w:tcBorders>
              <w:top w:val="none" w:sz="0" w:space="0" w:color="auto"/>
              <w:bottom w:val="none" w:sz="0" w:space="0" w:color="auto"/>
            </w:tcBorders>
            <w:vAlign w:val="center"/>
            <w:hideMark/>
          </w:tcPr>
          <w:p w14:paraId="35E6ECF8"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r>
      <w:tr w:rsidR="00AC5BC5" w:rsidRPr="000549E5" w14:paraId="6C6EDE28" w14:textId="77777777" w:rsidTr="00062F2E">
        <w:trPr>
          <w:trHeight w:val="780"/>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488A65D4"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vAlign w:val="center"/>
            <w:hideMark/>
          </w:tcPr>
          <w:p w14:paraId="007149DD"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152B6094"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Desarrollo secretarial de las decisiones disciplinarias proferidas por el despacho.</w:t>
            </w:r>
          </w:p>
        </w:tc>
        <w:tc>
          <w:tcPr>
            <w:tcW w:w="2580" w:type="dxa"/>
            <w:vMerge/>
            <w:vAlign w:val="center"/>
            <w:hideMark/>
          </w:tcPr>
          <w:p w14:paraId="3C24D792"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56A9B214" w14:textId="77777777" w:rsidTr="00062F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780" w:type="dxa"/>
            <w:vMerge w:val="restart"/>
            <w:tcBorders>
              <w:top w:val="none" w:sz="0" w:space="0" w:color="auto"/>
              <w:bottom w:val="none" w:sz="0" w:space="0" w:color="auto"/>
              <w:right w:val="none" w:sz="0" w:space="0" w:color="auto"/>
            </w:tcBorders>
            <w:vAlign w:val="center"/>
            <w:hideMark/>
          </w:tcPr>
          <w:p w14:paraId="744D8C14" w14:textId="77777777" w:rsidR="00AC5BC5" w:rsidRPr="00062F2E" w:rsidRDefault="00AC5BC5" w:rsidP="00A6302C">
            <w:pPr>
              <w:suppressAutoHyphens w:val="0"/>
              <w:jc w:val="center"/>
              <w:rPr>
                <w:rFonts w:cs="Arial"/>
                <w:b w:val="0"/>
                <w:color w:val="000000" w:themeColor="text1"/>
                <w:sz w:val="20"/>
                <w:szCs w:val="20"/>
                <w:lang w:val="es-CO" w:eastAsia="es-CO"/>
              </w:rPr>
            </w:pPr>
            <w:r w:rsidRPr="00062F2E">
              <w:rPr>
                <w:rFonts w:cs="Arial"/>
                <w:color w:val="000000" w:themeColor="text1"/>
                <w:sz w:val="20"/>
                <w:szCs w:val="20"/>
                <w:lang w:val="es-CO" w:eastAsia="es-CO"/>
              </w:rPr>
              <w:t>1</w:t>
            </w:r>
          </w:p>
        </w:tc>
        <w:tc>
          <w:tcPr>
            <w:tcW w:w="1920" w:type="dxa"/>
            <w:vMerge w:val="restart"/>
            <w:tcBorders>
              <w:top w:val="none" w:sz="0" w:space="0" w:color="auto"/>
              <w:bottom w:val="none" w:sz="0" w:space="0" w:color="auto"/>
            </w:tcBorders>
            <w:vAlign w:val="center"/>
            <w:hideMark/>
          </w:tcPr>
          <w:p w14:paraId="5E03DCAA"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 xml:space="preserve"> Ingeniera Catastral Contratista</w:t>
            </w:r>
          </w:p>
        </w:tc>
        <w:tc>
          <w:tcPr>
            <w:tcW w:w="3340" w:type="dxa"/>
            <w:tcBorders>
              <w:top w:val="none" w:sz="0" w:space="0" w:color="auto"/>
              <w:bottom w:val="none" w:sz="0" w:space="0" w:color="auto"/>
            </w:tcBorders>
            <w:vAlign w:val="center"/>
            <w:hideMark/>
          </w:tcPr>
          <w:p w14:paraId="55355A45"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Apoyo Técnico</w:t>
            </w:r>
          </w:p>
        </w:tc>
        <w:tc>
          <w:tcPr>
            <w:tcW w:w="2580" w:type="dxa"/>
            <w:vMerge w:val="restart"/>
            <w:tcBorders>
              <w:top w:val="none" w:sz="0" w:space="0" w:color="auto"/>
              <w:bottom w:val="none" w:sz="0" w:space="0" w:color="auto"/>
            </w:tcBorders>
            <w:vAlign w:val="center"/>
            <w:hideMark/>
          </w:tcPr>
          <w:p w14:paraId="7AD4F436"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7BDECBD1" w14:textId="77777777" w:rsidTr="00062F2E">
        <w:trPr>
          <w:trHeight w:val="2055"/>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472189D9" w14:textId="77777777" w:rsidR="00AC5BC5" w:rsidRPr="00062F2E" w:rsidRDefault="00AC5BC5" w:rsidP="00A6302C">
            <w:pPr>
              <w:suppressAutoHyphens w:val="0"/>
              <w:rPr>
                <w:rFonts w:cs="Arial"/>
                <w:b w:val="0"/>
                <w:color w:val="000000" w:themeColor="text1"/>
                <w:sz w:val="20"/>
                <w:szCs w:val="20"/>
                <w:lang w:val="es-CO" w:eastAsia="es-CO"/>
              </w:rPr>
            </w:pPr>
          </w:p>
        </w:tc>
        <w:tc>
          <w:tcPr>
            <w:tcW w:w="1920" w:type="dxa"/>
            <w:vMerge/>
            <w:vAlign w:val="center"/>
            <w:hideMark/>
          </w:tcPr>
          <w:p w14:paraId="6CB228D7"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09D5A63D"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presta el soporte técnico frente a los procesos disciplinarios que tengan como propósito investigar funciones misionales, es la encargada de conceptuar técnicamente por solicitud del jefe de la Oficina de Control Interno Disciplinario</w:t>
            </w:r>
          </w:p>
        </w:tc>
        <w:tc>
          <w:tcPr>
            <w:tcW w:w="2580" w:type="dxa"/>
            <w:vMerge/>
            <w:vAlign w:val="center"/>
            <w:hideMark/>
          </w:tcPr>
          <w:p w14:paraId="64571573"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62635400" w14:textId="77777777" w:rsidTr="00062F2E">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1780" w:type="dxa"/>
            <w:vMerge w:val="restart"/>
            <w:tcBorders>
              <w:top w:val="none" w:sz="0" w:space="0" w:color="auto"/>
              <w:bottom w:val="none" w:sz="0" w:space="0" w:color="auto"/>
              <w:right w:val="none" w:sz="0" w:space="0" w:color="auto"/>
            </w:tcBorders>
            <w:vAlign w:val="center"/>
            <w:hideMark/>
          </w:tcPr>
          <w:p w14:paraId="2D3E1879" w14:textId="77777777" w:rsidR="00AC5BC5" w:rsidRPr="00062F2E" w:rsidRDefault="00AC5BC5" w:rsidP="00A6302C">
            <w:pPr>
              <w:suppressAutoHyphens w:val="0"/>
              <w:jc w:val="center"/>
              <w:rPr>
                <w:rFonts w:cs="Arial"/>
                <w:b w:val="0"/>
                <w:color w:val="000000" w:themeColor="text1"/>
                <w:sz w:val="20"/>
                <w:szCs w:val="20"/>
                <w:lang w:val="es-CO" w:eastAsia="es-CO"/>
              </w:rPr>
            </w:pPr>
            <w:r w:rsidRPr="00062F2E">
              <w:rPr>
                <w:rFonts w:cs="Arial"/>
                <w:color w:val="000000" w:themeColor="text1"/>
                <w:sz w:val="20"/>
                <w:szCs w:val="20"/>
                <w:lang w:val="es-CO" w:eastAsia="es-CO"/>
              </w:rPr>
              <w:t>7</w:t>
            </w:r>
          </w:p>
        </w:tc>
        <w:tc>
          <w:tcPr>
            <w:tcW w:w="1920" w:type="dxa"/>
            <w:vMerge w:val="restart"/>
            <w:tcBorders>
              <w:top w:val="none" w:sz="0" w:space="0" w:color="auto"/>
              <w:bottom w:val="none" w:sz="0" w:space="0" w:color="auto"/>
            </w:tcBorders>
            <w:vAlign w:val="center"/>
            <w:hideMark/>
          </w:tcPr>
          <w:p w14:paraId="423DA410"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Abogados Contratistas</w:t>
            </w:r>
          </w:p>
        </w:tc>
        <w:tc>
          <w:tcPr>
            <w:tcW w:w="3340" w:type="dxa"/>
            <w:tcBorders>
              <w:top w:val="none" w:sz="0" w:space="0" w:color="auto"/>
              <w:bottom w:val="none" w:sz="0" w:space="0" w:color="auto"/>
            </w:tcBorders>
            <w:vAlign w:val="center"/>
            <w:hideMark/>
          </w:tcPr>
          <w:p w14:paraId="51CBC5F0"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Abogados Sustanciadores y de apoyo</w:t>
            </w:r>
          </w:p>
        </w:tc>
        <w:tc>
          <w:tcPr>
            <w:tcW w:w="2580" w:type="dxa"/>
            <w:vMerge w:val="restart"/>
            <w:tcBorders>
              <w:top w:val="none" w:sz="0" w:space="0" w:color="auto"/>
              <w:bottom w:val="none" w:sz="0" w:space="0" w:color="auto"/>
            </w:tcBorders>
            <w:vAlign w:val="center"/>
            <w:hideMark/>
          </w:tcPr>
          <w:p w14:paraId="11757702"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6044762D" w14:textId="77777777" w:rsidTr="00062F2E">
        <w:trPr>
          <w:trHeight w:val="1020"/>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179A80C2" w14:textId="77777777" w:rsidR="00AC5BC5" w:rsidRPr="00596AB1" w:rsidRDefault="00AC5BC5" w:rsidP="00A6302C">
            <w:pPr>
              <w:suppressAutoHyphens w:val="0"/>
              <w:rPr>
                <w:rFonts w:cs="Arial"/>
                <w:b w:val="0"/>
                <w:color w:val="FFFFFF"/>
                <w:sz w:val="20"/>
                <w:szCs w:val="20"/>
                <w:lang w:val="es-CO" w:eastAsia="es-CO"/>
              </w:rPr>
            </w:pPr>
          </w:p>
        </w:tc>
        <w:tc>
          <w:tcPr>
            <w:tcW w:w="1920" w:type="dxa"/>
            <w:vMerge/>
            <w:vAlign w:val="center"/>
            <w:hideMark/>
          </w:tcPr>
          <w:p w14:paraId="1D4A5684"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47E5B6BB"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Adelantar, sustanciar y practicar las pruebas de los procesos disciplinarios que se adelanten en la Oficina</w:t>
            </w:r>
          </w:p>
        </w:tc>
        <w:tc>
          <w:tcPr>
            <w:tcW w:w="2580" w:type="dxa"/>
            <w:vMerge/>
            <w:hideMark/>
          </w:tcPr>
          <w:p w14:paraId="52A0074A"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6ACD0432" w14:textId="77777777" w:rsidTr="00062F2E">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1780" w:type="dxa"/>
            <w:vMerge/>
            <w:tcBorders>
              <w:top w:val="none" w:sz="0" w:space="0" w:color="auto"/>
              <w:bottom w:val="none" w:sz="0" w:space="0" w:color="auto"/>
              <w:right w:val="none" w:sz="0" w:space="0" w:color="auto"/>
            </w:tcBorders>
            <w:vAlign w:val="center"/>
            <w:hideMark/>
          </w:tcPr>
          <w:p w14:paraId="3D768373" w14:textId="77777777" w:rsidR="00AC5BC5" w:rsidRPr="00596AB1" w:rsidRDefault="00AC5BC5" w:rsidP="00A6302C">
            <w:pPr>
              <w:suppressAutoHyphens w:val="0"/>
              <w:rPr>
                <w:rFonts w:cs="Arial"/>
                <w:b w:val="0"/>
                <w:color w:val="FFFFFF"/>
                <w:sz w:val="20"/>
                <w:szCs w:val="20"/>
                <w:lang w:val="es-CO" w:eastAsia="es-CO"/>
              </w:rPr>
            </w:pPr>
          </w:p>
        </w:tc>
        <w:tc>
          <w:tcPr>
            <w:tcW w:w="1920" w:type="dxa"/>
            <w:vMerge/>
            <w:tcBorders>
              <w:top w:val="none" w:sz="0" w:space="0" w:color="auto"/>
              <w:bottom w:val="none" w:sz="0" w:space="0" w:color="auto"/>
            </w:tcBorders>
            <w:vAlign w:val="center"/>
            <w:hideMark/>
          </w:tcPr>
          <w:p w14:paraId="069DAA39"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c>
          <w:tcPr>
            <w:tcW w:w="3340" w:type="dxa"/>
            <w:tcBorders>
              <w:top w:val="none" w:sz="0" w:space="0" w:color="auto"/>
              <w:bottom w:val="none" w:sz="0" w:space="0" w:color="auto"/>
            </w:tcBorders>
            <w:vAlign w:val="center"/>
            <w:hideMark/>
          </w:tcPr>
          <w:p w14:paraId="3B67DE74" w14:textId="77777777" w:rsidR="00AC5BC5"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xml:space="preserve">· Brindar apoyo al jefe en los diferentes requerimientos jurídicos y administrativos de la oficina </w:t>
            </w:r>
          </w:p>
          <w:p w14:paraId="6574C219" w14:textId="77777777" w:rsidR="00062F2E" w:rsidRDefault="00062F2E"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p>
          <w:p w14:paraId="6997FF35" w14:textId="1ACDD518"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p>
        </w:tc>
        <w:tc>
          <w:tcPr>
            <w:tcW w:w="2580" w:type="dxa"/>
            <w:vMerge/>
            <w:tcBorders>
              <w:top w:val="none" w:sz="0" w:space="0" w:color="auto"/>
              <w:bottom w:val="none" w:sz="0" w:space="0" w:color="auto"/>
            </w:tcBorders>
            <w:hideMark/>
          </w:tcPr>
          <w:p w14:paraId="07267E6E"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r>
      <w:tr w:rsidR="00AC5BC5" w:rsidRPr="000549E5" w14:paraId="3D773A77" w14:textId="77777777" w:rsidTr="00062F2E">
        <w:trPr>
          <w:trHeight w:val="315"/>
        </w:trPr>
        <w:tc>
          <w:tcPr>
            <w:cnfStyle w:val="001000000000" w:firstRow="0" w:lastRow="0" w:firstColumn="1" w:lastColumn="0" w:oddVBand="0" w:evenVBand="0" w:oddHBand="0" w:evenHBand="0" w:firstRowFirstColumn="0" w:firstRowLastColumn="0" w:lastRowFirstColumn="0" w:lastRowLastColumn="0"/>
            <w:tcW w:w="1780" w:type="dxa"/>
            <w:vMerge w:val="restart"/>
            <w:tcBorders>
              <w:right w:val="none" w:sz="0" w:space="0" w:color="auto"/>
            </w:tcBorders>
            <w:vAlign w:val="center"/>
            <w:hideMark/>
          </w:tcPr>
          <w:p w14:paraId="5626E1E2" w14:textId="77777777" w:rsidR="00AC5BC5" w:rsidRPr="00596AB1" w:rsidRDefault="00AC5BC5" w:rsidP="00A6302C">
            <w:pPr>
              <w:suppressAutoHyphens w:val="0"/>
              <w:jc w:val="center"/>
              <w:rPr>
                <w:rFonts w:cs="Arial"/>
                <w:b w:val="0"/>
                <w:color w:val="FFFFFF"/>
                <w:sz w:val="20"/>
                <w:szCs w:val="20"/>
                <w:lang w:val="es-CO" w:eastAsia="es-CO"/>
              </w:rPr>
            </w:pPr>
            <w:r w:rsidRPr="00596AB1">
              <w:rPr>
                <w:rFonts w:cs="Arial"/>
                <w:color w:val="FFFFFF"/>
                <w:sz w:val="20"/>
                <w:szCs w:val="20"/>
                <w:lang w:val="es-CO" w:eastAsia="es-CO"/>
              </w:rPr>
              <w:t>1</w:t>
            </w:r>
          </w:p>
        </w:tc>
        <w:tc>
          <w:tcPr>
            <w:tcW w:w="1920" w:type="dxa"/>
            <w:vMerge w:val="restart"/>
            <w:vAlign w:val="center"/>
            <w:hideMark/>
          </w:tcPr>
          <w:p w14:paraId="2CB46E59" w14:textId="77777777" w:rsidR="00AC5BC5" w:rsidRPr="00596AB1" w:rsidRDefault="00AC5BC5"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Auxiliar Administrativo</w:t>
            </w:r>
          </w:p>
        </w:tc>
        <w:tc>
          <w:tcPr>
            <w:tcW w:w="3340" w:type="dxa"/>
            <w:vAlign w:val="center"/>
            <w:hideMark/>
          </w:tcPr>
          <w:p w14:paraId="20FA1E9B"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Apoyo en archivo y secretaría</w:t>
            </w:r>
          </w:p>
        </w:tc>
        <w:tc>
          <w:tcPr>
            <w:tcW w:w="2580" w:type="dxa"/>
            <w:vMerge w:val="restart"/>
            <w:vAlign w:val="center"/>
            <w:hideMark/>
          </w:tcPr>
          <w:p w14:paraId="3674E4B8" w14:textId="77777777" w:rsidR="00AC5BC5" w:rsidRPr="00596AB1" w:rsidRDefault="00AC5BC5"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450DA9C8" w14:textId="77777777" w:rsidTr="00062F2E">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780" w:type="dxa"/>
            <w:vMerge/>
            <w:tcBorders>
              <w:top w:val="none" w:sz="0" w:space="0" w:color="auto"/>
              <w:bottom w:val="none" w:sz="0" w:space="0" w:color="auto"/>
              <w:right w:val="none" w:sz="0" w:space="0" w:color="auto"/>
            </w:tcBorders>
            <w:vAlign w:val="center"/>
            <w:hideMark/>
          </w:tcPr>
          <w:p w14:paraId="220AB5FB" w14:textId="77777777" w:rsidR="00AC5BC5" w:rsidRPr="00596AB1" w:rsidRDefault="00AC5BC5" w:rsidP="00A6302C">
            <w:pPr>
              <w:suppressAutoHyphens w:val="0"/>
              <w:rPr>
                <w:rFonts w:cs="Arial"/>
                <w:b w:val="0"/>
                <w:color w:val="FFFFFF"/>
                <w:sz w:val="20"/>
                <w:szCs w:val="20"/>
                <w:lang w:val="es-CO" w:eastAsia="es-CO"/>
              </w:rPr>
            </w:pPr>
          </w:p>
        </w:tc>
        <w:tc>
          <w:tcPr>
            <w:tcW w:w="1920" w:type="dxa"/>
            <w:vMerge/>
            <w:tcBorders>
              <w:top w:val="none" w:sz="0" w:space="0" w:color="auto"/>
              <w:bottom w:val="none" w:sz="0" w:space="0" w:color="auto"/>
            </w:tcBorders>
            <w:vAlign w:val="center"/>
            <w:hideMark/>
          </w:tcPr>
          <w:p w14:paraId="0FF4345B"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c>
          <w:tcPr>
            <w:tcW w:w="3340" w:type="dxa"/>
            <w:tcBorders>
              <w:top w:val="none" w:sz="0" w:space="0" w:color="auto"/>
              <w:bottom w:val="none" w:sz="0" w:space="0" w:color="auto"/>
            </w:tcBorders>
            <w:vAlign w:val="center"/>
            <w:hideMark/>
          </w:tcPr>
          <w:p w14:paraId="26893631"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responsable del archivo de la Oficina</w:t>
            </w:r>
          </w:p>
        </w:tc>
        <w:tc>
          <w:tcPr>
            <w:tcW w:w="2580" w:type="dxa"/>
            <w:vMerge/>
            <w:tcBorders>
              <w:top w:val="none" w:sz="0" w:space="0" w:color="auto"/>
              <w:bottom w:val="none" w:sz="0" w:space="0" w:color="auto"/>
            </w:tcBorders>
            <w:vAlign w:val="center"/>
            <w:hideMark/>
          </w:tcPr>
          <w:p w14:paraId="78F0B2F0" w14:textId="77777777" w:rsidR="00AC5BC5" w:rsidRPr="00596AB1"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p>
        </w:tc>
      </w:tr>
      <w:tr w:rsidR="00AC5BC5" w:rsidRPr="000549E5" w14:paraId="16D5EB7A" w14:textId="77777777" w:rsidTr="00062F2E">
        <w:trPr>
          <w:trHeight w:val="765"/>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38373C97" w14:textId="77777777" w:rsidR="00AC5BC5" w:rsidRPr="00596AB1" w:rsidRDefault="00AC5BC5" w:rsidP="00A6302C">
            <w:pPr>
              <w:suppressAutoHyphens w:val="0"/>
              <w:rPr>
                <w:rFonts w:cs="Arial"/>
                <w:b w:val="0"/>
                <w:color w:val="FFFFFF"/>
                <w:sz w:val="20"/>
                <w:szCs w:val="20"/>
                <w:lang w:val="es-CO" w:eastAsia="es-CO"/>
              </w:rPr>
            </w:pPr>
          </w:p>
        </w:tc>
        <w:tc>
          <w:tcPr>
            <w:tcW w:w="1920" w:type="dxa"/>
            <w:vMerge/>
            <w:vAlign w:val="center"/>
            <w:hideMark/>
          </w:tcPr>
          <w:p w14:paraId="3A1C4C04"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c>
          <w:tcPr>
            <w:tcW w:w="3340" w:type="dxa"/>
            <w:vAlign w:val="center"/>
            <w:hideMark/>
          </w:tcPr>
          <w:p w14:paraId="6A9D0327"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xml:space="preserve">· Desarrollo secretarial de las decisiones disciplinarias proferidas por el despacho. </w:t>
            </w:r>
          </w:p>
        </w:tc>
        <w:tc>
          <w:tcPr>
            <w:tcW w:w="2580" w:type="dxa"/>
            <w:vMerge/>
            <w:vAlign w:val="center"/>
            <w:hideMark/>
          </w:tcPr>
          <w:p w14:paraId="248ED6DF" w14:textId="77777777" w:rsidR="00AC5BC5" w:rsidRPr="00596AB1"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p>
        </w:tc>
      </w:tr>
      <w:tr w:rsidR="00AC5BC5" w:rsidRPr="000549E5" w14:paraId="1FFAEA56" w14:textId="77777777" w:rsidTr="00062F2E">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780" w:type="dxa"/>
            <w:vMerge w:val="restart"/>
            <w:tcBorders>
              <w:right w:val="none" w:sz="0" w:space="0" w:color="auto"/>
            </w:tcBorders>
            <w:vAlign w:val="center"/>
            <w:hideMark/>
          </w:tcPr>
          <w:p w14:paraId="7B023F57" w14:textId="77777777" w:rsidR="00AC5BC5" w:rsidRPr="00596AB1" w:rsidRDefault="00AC5BC5" w:rsidP="00A6302C">
            <w:pPr>
              <w:suppressAutoHyphens w:val="0"/>
              <w:jc w:val="center"/>
              <w:rPr>
                <w:rFonts w:cs="Arial"/>
                <w:b w:val="0"/>
                <w:color w:val="FFFFFF"/>
                <w:sz w:val="20"/>
                <w:szCs w:val="20"/>
                <w:lang w:val="es-CO" w:eastAsia="es-CO"/>
              </w:rPr>
            </w:pPr>
            <w:r w:rsidRPr="00062F2E">
              <w:rPr>
                <w:rFonts w:cs="Arial"/>
                <w:color w:val="000000" w:themeColor="text1"/>
                <w:sz w:val="20"/>
                <w:szCs w:val="20"/>
                <w:lang w:val="es-CO" w:eastAsia="es-CO"/>
              </w:rPr>
              <w:t>1</w:t>
            </w:r>
          </w:p>
        </w:tc>
        <w:tc>
          <w:tcPr>
            <w:tcW w:w="1920" w:type="dxa"/>
            <w:vMerge w:val="restart"/>
            <w:vAlign w:val="center"/>
            <w:hideMark/>
          </w:tcPr>
          <w:p w14:paraId="2044EF48"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 xml:space="preserve"> Tecnólogo Contratista</w:t>
            </w:r>
          </w:p>
        </w:tc>
        <w:tc>
          <w:tcPr>
            <w:tcW w:w="3340" w:type="dxa"/>
            <w:vAlign w:val="center"/>
            <w:hideMark/>
          </w:tcPr>
          <w:p w14:paraId="0F9C6E9B"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b/>
                <w:color w:val="000000"/>
                <w:sz w:val="20"/>
                <w:szCs w:val="20"/>
                <w:lang w:val="es-CO" w:eastAsia="es-CO"/>
              </w:rPr>
            </w:pPr>
            <w:r w:rsidRPr="00596AB1">
              <w:rPr>
                <w:rFonts w:cs="Arial"/>
                <w:b/>
                <w:color w:val="000000"/>
                <w:sz w:val="20"/>
                <w:szCs w:val="20"/>
                <w:lang w:val="es-CO" w:eastAsia="es-CO"/>
              </w:rPr>
              <w:t>Apoyo en archivo y secretaría</w:t>
            </w:r>
          </w:p>
        </w:tc>
        <w:tc>
          <w:tcPr>
            <w:tcW w:w="2580" w:type="dxa"/>
            <w:vMerge w:val="restart"/>
            <w:vAlign w:val="center"/>
            <w:hideMark/>
          </w:tcPr>
          <w:p w14:paraId="7F4BF4CA" w14:textId="77777777" w:rsidR="00AC5BC5" w:rsidRPr="00596AB1" w:rsidRDefault="00AC5BC5"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596AB1">
              <w:rPr>
                <w:rFonts w:cs="Arial"/>
                <w:color w:val="000000"/>
                <w:sz w:val="20"/>
                <w:szCs w:val="20"/>
                <w:lang w:val="es-CO" w:eastAsia="es-CO"/>
              </w:rPr>
              <w:t>Seguimiento y Evaluación</w:t>
            </w:r>
          </w:p>
        </w:tc>
      </w:tr>
      <w:tr w:rsidR="00AC5BC5" w:rsidRPr="000549E5" w14:paraId="70C3D14D" w14:textId="77777777" w:rsidTr="00062F2E">
        <w:trPr>
          <w:trHeight w:val="510"/>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77FCAFF1" w14:textId="77777777" w:rsidR="00AC5BC5" w:rsidRPr="008179E9" w:rsidRDefault="00AC5BC5" w:rsidP="00A6302C">
            <w:pPr>
              <w:suppressAutoHyphens w:val="0"/>
              <w:rPr>
                <w:rFonts w:cs="Arial"/>
                <w:b w:val="0"/>
                <w:color w:val="FFFFFF"/>
                <w:sz w:val="22"/>
                <w:szCs w:val="22"/>
                <w:lang w:val="es-CO" w:eastAsia="es-CO"/>
              </w:rPr>
            </w:pPr>
          </w:p>
        </w:tc>
        <w:tc>
          <w:tcPr>
            <w:tcW w:w="1920" w:type="dxa"/>
            <w:vMerge/>
            <w:vAlign w:val="center"/>
            <w:hideMark/>
          </w:tcPr>
          <w:p w14:paraId="33F6B46D" w14:textId="77777777" w:rsidR="00AC5BC5" w:rsidRPr="008179E9"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2"/>
                <w:szCs w:val="22"/>
                <w:lang w:val="es-CO" w:eastAsia="es-CO"/>
              </w:rPr>
            </w:pPr>
          </w:p>
        </w:tc>
        <w:tc>
          <w:tcPr>
            <w:tcW w:w="3340" w:type="dxa"/>
            <w:vAlign w:val="center"/>
            <w:hideMark/>
          </w:tcPr>
          <w:p w14:paraId="1A748773" w14:textId="77777777" w:rsidR="00AC5BC5" w:rsidRPr="00596AB1" w:rsidRDefault="00AC5BC5" w:rsidP="00A6302C">
            <w:pPr>
              <w:suppressAutoHyphens w:val="0"/>
              <w:jc w:val="both"/>
              <w:cnfStyle w:val="000000000000" w:firstRow="0"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responsable del archivo de la Oficina</w:t>
            </w:r>
          </w:p>
        </w:tc>
        <w:tc>
          <w:tcPr>
            <w:tcW w:w="2580" w:type="dxa"/>
            <w:vMerge/>
            <w:hideMark/>
          </w:tcPr>
          <w:p w14:paraId="037D160E" w14:textId="77777777" w:rsidR="00AC5BC5" w:rsidRPr="008179E9" w:rsidRDefault="00AC5BC5" w:rsidP="00A6302C">
            <w:pPr>
              <w:suppressAutoHyphens w:val="0"/>
              <w:cnfStyle w:val="000000000000" w:firstRow="0" w:lastRow="0" w:firstColumn="0" w:lastColumn="0" w:oddVBand="0" w:evenVBand="0" w:oddHBand="0" w:evenHBand="0" w:firstRowFirstColumn="0" w:firstRowLastColumn="0" w:lastRowFirstColumn="0" w:lastRowLastColumn="0"/>
              <w:rPr>
                <w:rFonts w:cs="Arial"/>
                <w:color w:val="000000"/>
                <w:sz w:val="22"/>
                <w:szCs w:val="22"/>
                <w:lang w:val="es-CO" w:eastAsia="es-CO"/>
              </w:rPr>
            </w:pPr>
          </w:p>
        </w:tc>
      </w:tr>
      <w:tr w:rsidR="00AC5BC5" w:rsidRPr="000549E5" w14:paraId="3D33C1E6" w14:textId="77777777" w:rsidTr="00062F2E">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1780" w:type="dxa"/>
            <w:vMerge/>
            <w:tcBorders>
              <w:right w:val="none" w:sz="0" w:space="0" w:color="auto"/>
            </w:tcBorders>
            <w:vAlign w:val="center"/>
            <w:hideMark/>
          </w:tcPr>
          <w:p w14:paraId="23417C59" w14:textId="77777777" w:rsidR="00AC5BC5" w:rsidRPr="008179E9" w:rsidRDefault="00AC5BC5" w:rsidP="00A6302C">
            <w:pPr>
              <w:suppressAutoHyphens w:val="0"/>
              <w:rPr>
                <w:rFonts w:cs="Arial"/>
                <w:b w:val="0"/>
                <w:color w:val="FFFFFF"/>
                <w:sz w:val="22"/>
                <w:szCs w:val="22"/>
                <w:lang w:val="es-CO" w:eastAsia="es-CO"/>
              </w:rPr>
            </w:pPr>
          </w:p>
        </w:tc>
        <w:tc>
          <w:tcPr>
            <w:tcW w:w="1920" w:type="dxa"/>
            <w:vMerge/>
            <w:vAlign w:val="center"/>
            <w:hideMark/>
          </w:tcPr>
          <w:p w14:paraId="224C2219" w14:textId="77777777" w:rsidR="00AC5BC5" w:rsidRPr="008179E9"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2"/>
                <w:szCs w:val="22"/>
                <w:lang w:val="es-CO" w:eastAsia="es-CO"/>
              </w:rPr>
            </w:pPr>
          </w:p>
        </w:tc>
        <w:tc>
          <w:tcPr>
            <w:tcW w:w="3340" w:type="dxa"/>
            <w:vAlign w:val="center"/>
            <w:hideMark/>
          </w:tcPr>
          <w:p w14:paraId="5DC4E2A9" w14:textId="77777777" w:rsidR="00AC5BC5" w:rsidRPr="00596AB1" w:rsidRDefault="00AC5BC5"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CO" w:eastAsia="es-CO"/>
              </w:rPr>
            </w:pPr>
            <w:r w:rsidRPr="00596AB1">
              <w:rPr>
                <w:rFonts w:cs="Arial"/>
                <w:sz w:val="20"/>
                <w:szCs w:val="20"/>
                <w:lang w:val="es-CO" w:eastAsia="es-CO"/>
              </w:rPr>
              <w:t xml:space="preserve">· Desarrollo secretarial de las decisiones disciplinarias proferidas por el despacho. </w:t>
            </w:r>
          </w:p>
        </w:tc>
        <w:tc>
          <w:tcPr>
            <w:tcW w:w="2580" w:type="dxa"/>
            <w:vMerge/>
            <w:hideMark/>
          </w:tcPr>
          <w:p w14:paraId="65385578" w14:textId="77777777" w:rsidR="00AC5BC5" w:rsidRPr="008179E9" w:rsidRDefault="00AC5BC5" w:rsidP="00A6302C">
            <w:pPr>
              <w:suppressAutoHyphens w:val="0"/>
              <w:cnfStyle w:val="000000100000" w:firstRow="0" w:lastRow="0" w:firstColumn="0" w:lastColumn="0" w:oddVBand="0" w:evenVBand="0" w:oddHBand="1" w:evenHBand="0" w:firstRowFirstColumn="0" w:firstRowLastColumn="0" w:lastRowFirstColumn="0" w:lastRowLastColumn="0"/>
              <w:rPr>
                <w:rFonts w:cs="Arial"/>
                <w:color w:val="000000"/>
                <w:sz w:val="22"/>
                <w:szCs w:val="22"/>
                <w:lang w:val="es-CO" w:eastAsia="es-CO"/>
              </w:rPr>
            </w:pPr>
          </w:p>
        </w:tc>
      </w:tr>
    </w:tbl>
    <w:p w14:paraId="7B3AF559" w14:textId="75CF56B3" w:rsidR="00AC5BC5" w:rsidRPr="008179E9" w:rsidRDefault="00AC5BC5" w:rsidP="1AD3BAB7">
      <w:pPr>
        <w:jc w:val="both"/>
      </w:pPr>
    </w:p>
    <w:p w14:paraId="22F68AC4" w14:textId="77777777" w:rsidR="00AC1E36" w:rsidRPr="000F520F" w:rsidRDefault="00AC1E36" w:rsidP="00AC1E36">
      <w:pPr>
        <w:jc w:val="center"/>
        <w:rPr>
          <w:rFonts w:eastAsia="Arial" w:cs="Arial"/>
          <w:b/>
          <w:bCs/>
          <w:sz w:val="16"/>
          <w:szCs w:val="16"/>
          <w:lang w:val="es-MX"/>
        </w:rPr>
      </w:pPr>
      <w:r w:rsidRPr="000F520F">
        <w:rPr>
          <w:rFonts w:eastAsia="Arial" w:cs="Arial"/>
          <w:b/>
          <w:bCs/>
          <w:sz w:val="16"/>
          <w:szCs w:val="16"/>
          <w:lang w:val="es-MX"/>
        </w:rPr>
        <w:t>Fuente: Oficina de Control Interno Disciplinario</w:t>
      </w:r>
    </w:p>
    <w:p w14:paraId="244A0BEA" w14:textId="2226217C" w:rsidR="00CE426A" w:rsidRPr="004D4C6A" w:rsidRDefault="00CE426A" w:rsidP="004D4C6A">
      <w:pPr>
        <w:rPr>
          <w:rFonts w:cs="Arial"/>
          <w:b/>
          <w:sz w:val="22"/>
          <w:szCs w:val="22"/>
        </w:rPr>
      </w:pPr>
    </w:p>
    <w:p w14:paraId="4DFC560D" w14:textId="77777777" w:rsidR="00D2767F" w:rsidRPr="001112DD" w:rsidRDefault="00D2767F" w:rsidP="00D2767F">
      <w:pPr>
        <w:jc w:val="center"/>
        <w:rPr>
          <w:rFonts w:eastAsia="Arial" w:cs="Arial"/>
          <w:sz w:val="22"/>
          <w:szCs w:val="22"/>
          <w:lang w:val="es-MX"/>
        </w:rPr>
      </w:pPr>
    </w:p>
    <w:p w14:paraId="076E9C2D" w14:textId="148F368F" w:rsidR="00062F2E" w:rsidRPr="00A23B26" w:rsidRDefault="00D2767F" w:rsidP="00A23B26">
      <w:pPr>
        <w:pStyle w:val="Prrafodelista"/>
        <w:numPr>
          <w:ilvl w:val="2"/>
          <w:numId w:val="22"/>
        </w:numPr>
        <w:rPr>
          <w:rFonts w:eastAsia="Arial" w:cs="Arial"/>
          <w:b/>
          <w:sz w:val="22"/>
          <w:szCs w:val="22"/>
        </w:rPr>
      </w:pPr>
      <w:r w:rsidRPr="00A23B26">
        <w:rPr>
          <w:rFonts w:eastAsia="Arial" w:cs="Arial"/>
          <w:b/>
          <w:sz w:val="22"/>
          <w:szCs w:val="22"/>
        </w:rPr>
        <w:t>PROCESOS A CARGO</w:t>
      </w:r>
    </w:p>
    <w:p w14:paraId="3C41F2D1" w14:textId="40998D79" w:rsidR="00D2767F" w:rsidRPr="004D4C6A" w:rsidRDefault="00D2767F" w:rsidP="004D4C6A">
      <w:pPr>
        <w:rPr>
          <w:rFonts w:cs="Arial"/>
          <w:b/>
          <w:sz w:val="22"/>
          <w:szCs w:val="22"/>
        </w:rPr>
      </w:pPr>
    </w:p>
    <w:p w14:paraId="06E29C69" w14:textId="5F03EFEF" w:rsidR="00CE426A" w:rsidRPr="004D4C6A" w:rsidRDefault="00CE426A" w:rsidP="00C72779">
      <w:pPr>
        <w:jc w:val="both"/>
        <w:rPr>
          <w:rFonts w:cs="Arial"/>
          <w:sz w:val="22"/>
          <w:szCs w:val="22"/>
        </w:rPr>
      </w:pPr>
      <w:r w:rsidRPr="008179E9">
        <w:rPr>
          <w:rFonts w:cs="Arial"/>
          <w:sz w:val="22"/>
          <w:szCs w:val="22"/>
        </w:rPr>
        <w:t>El proceso de Gestión Disciplinaria tiene como objetivo principal realizar las actividades dirigidas a prevenir la comisión de posibles faltas disciplinarias y adelantar los procesos disciplinarios ordinarios o verbales al interior del Instituto, acorde con lo establecido en la normativid</w:t>
      </w:r>
      <w:r w:rsidR="004D4C6A">
        <w:rPr>
          <w:rFonts w:cs="Arial"/>
          <w:sz w:val="22"/>
          <w:szCs w:val="22"/>
        </w:rPr>
        <w:t>ad vigente.</w:t>
      </w:r>
    </w:p>
    <w:p w14:paraId="3E97225D" w14:textId="77777777" w:rsidR="00CE426A" w:rsidRPr="001112DD" w:rsidRDefault="00CE426A" w:rsidP="00C72779">
      <w:pPr>
        <w:jc w:val="both"/>
        <w:rPr>
          <w:rFonts w:cs="Arial"/>
          <w:b/>
          <w:sz w:val="22"/>
          <w:szCs w:val="22"/>
        </w:rPr>
      </w:pPr>
    </w:p>
    <w:p w14:paraId="470E28CB" w14:textId="36913F08" w:rsidR="00741F97" w:rsidRPr="00A23B26" w:rsidRDefault="00CE426A" w:rsidP="00A23B26">
      <w:pPr>
        <w:pStyle w:val="Prrafodelista"/>
        <w:numPr>
          <w:ilvl w:val="2"/>
          <w:numId w:val="22"/>
        </w:numPr>
        <w:rPr>
          <w:rFonts w:eastAsia="Arial" w:cs="Arial"/>
          <w:b/>
          <w:sz w:val="22"/>
          <w:szCs w:val="22"/>
        </w:rPr>
      </w:pPr>
      <w:r w:rsidRPr="008179E9">
        <w:rPr>
          <w:rFonts w:cs="Arial"/>
          <w:b/>
          <w:sz w:val="22"/>
          <w:szCs w:val="22"/>
        </w:rPr>
        <w:t>RESULTADO DEL PROCESO Y LOGROS</w:t>
      </w:r>
    </w:p>
    <w:p w14:paraId="28686258" w14:textId="0A965208" w:rsidR="00062F2E" w:rsidRPr="00062F2E" w:rsidRDefault="00062F2E" w:rsidP="004D4C6A">
      <w:pPr>
        <w:pStyle w:val="Descripcin"/>
        <w:rPr>
          <w:rFonts w:ascii="Arial" w:eastAsia="Arial" w:hAnsi="Arial" w:cs="Arial"/>
          <w:b/>
          <w:bCs/>
          <w:i w:val="0"/>
          <w:iCs w:val="0"/>
          <w:color w:val="000000" w:themeColor="text1"/>
          <w:sz w:val="16"/>
          <w:szCs w:val="16"/>
        </w:rPr>
      </w:pPr>
    </w:p>
    <w:tbl>
      <w:tblPr>
        <w:tblStyle w:val="Tabladelista3-nfasis1"/>
        <w:tblW w:w="9351" w:type="dxa"/>
        <w:tblLook w:val="04A0" w:firstRow="1" w:lastRow="0" w:firstColumn="1" w:lastColumn="0" w:noHBand="0" w:noVBand="1"/>
      </w:tblPr>
      <w:tblGrid>
        <w:gridCol w:w="4673"/>
        <w:gridCol w:w="1985"/>
        <w:gridCol w:w="2693"/>
      </w:tblGrid>
      <w:tr w:rsidR="00D2767F" w:rsidRPr="00C823BA" w14:paraId="6648F377" w14:textId="77777777" w:rsidTr="00062F2E">
        <w:trPr>
          <w:cnfStyle w:val="100000000000" w:firstRow="1" w:lastRow="0" w:firstColumn="0" w:lastColumn="0" w:oddVBand="0" w:evenVBand="0" w:oddHBand="0" w:evenHBand="0" w:firstRowFirstColumn="0" w:firstRowLastColumn="0" w:lastRowFirstColumn="0" w:lastRowLastColumn="0"/>
          <w:trHeight w:val="600"/>
        </w:trPr>
        <w:tc>
          <w:tcPr>
            <w:cnfStyle w:val="001000000100" w:firstRow="0" w:lastRow="0" w:firstColumn="1" w:lastColumn="0" w:oddVBand="0" w:evenVBand="0" w:oddHBand="0" w:evenHBand="0" w:firstRowFirstColumn="1"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vAlign w:val="center"/>
            <w:hideMark/>
          </w:tcPr>
          <w:p w14:paraId="61EF588B" w14:textId="77777777" w:rsidR="00D2767F" w:rsidRPr="00C823BA" w:rsidRDefault="00D2767F" w:rsidP="00A6302C">
            <w:pPr>
              <w:suppressAutoHyphens w:val="0"/>
              <w:jc w:val="center"/>
              <w:rPr>
                <w:rFonts w:cs="Arial"/>
                <w:sz w:val="20"/>
                <w:szCs w:val="20"/>
                <w:lang w:val="es-CO" w:eastAsia="es-CO"/>
              </w:rPr>
            </w:pPr>
            <w:r w:rsidRPr="00596AB1">
              <w:rPr>
                <w:rFonts w:cs="Arial"/>
                <w:sz w:val="20"/>
                <w:szCs w:val="20"/>
                <w:lang w:eastAsia="es-ES"/>
              </w:rPr>
              <w:t>ETAPA</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hideMark/>
          </w:tcPr>
          <w:p w14:paraId="3624B76B" w14:textId="77777777" w:rsidR="00D2767F" w:rsidRPr="00C823BA" w:rsidRDefault="00D2767F"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eastAsia="es-ES"/>
              </w:rPr>
              <w:t>ESTADO INICIAL  (2019)</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hideMark/>
          </w:tcPr>
          <w:p w14:paraId="399D656E" w14:textId="77777777" w:rsidR="00D2767F" w:rsidRPr="00C823BA" w:rsidRDefault="00D2767F"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CO" w:eastAsia="es-CO"/>
              </w:rPr>
            </w:pPr>
            <w:r w:rsidRPr="00596AB1">
              <w:rPr>
                <w:rFonts w:cs="Arial"/>
                <w:sz w:val="20"/>
                <w:szCs w:val="20"/>
                <w:lang w:eastAsia="es-ES"/>
              </w:rPr>
              <w:t>ESTADO ACTUAL</w:t>
            </w:r>
            <w:r w:rsidRPr="00596AB1">
              <w:rPr>
                <w:rFonts w:cs="Arial"/>
                <w:sz w:val="20"/>
                <w:szCs w:val="20"/>
                <w:lang w:eastAsia="es-ES"/>
              </w:rPr>
              <w:br/>
              <w:t xml:space="preserve"> (A 4 DE NOV)</w:t>
            </w:r>
          </w:p>
        </w:tc>
      </w:tr>
      <w:tr w:rsidR="00D2767F" w:rsidRPr="00C823BA" w14:paraId="4DB649DC" w14:textId="77777777" w:rsidTr="00062F2E">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17B11983"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01-EN INDAGACIÓN PRELIMINAR</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002C850B"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291</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46F8B14A"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168</w:t>
            </w:r>
          </w:p>
        </w:tc>
      </w:tr>
      <w:tr w:rsidR="00D2767F" w:rsidRPr="00C823BA" w14:paraId="7B969270" w14:textId="77777777" w:rsidTr="00062F2E">
        <w:trPr>
          <w:trHeight w:val="281"/>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653C6D50"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02-APERTURA INVESTIGACIÓN</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A3A8195"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136</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118A2412"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174</w:t>
            </w:r>
          </w:p>
        </w:tc>
      </w:tr>
      <w:tr w:rsidR="00D2767F" w:rsidRPr="00C823BA" w14:paraId="2497CA43" w14:textId="77777777" w:rsidTr="00062F2E">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A7CD2F7" w14:textId="6331354A"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03-PRUEBAS - APERTURA DE INVESTIG</w:t>
            </w:r>
            <w:r w:rsidR="00A23B26">
              <w:rPr>
                <w:rFonts w:cs="Arial"/>
                <w:b w:val="0"/>
                <w:bCs w:val="0"/>
                <w:color w:val="000000"/>
                <w:sz w:val="20"/>
                <w:szCs w:val="20"/>
                <w:lang w:eastAsia="es-ES"/>
              </w:rPr>
              <w:t>ACION</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01B62660"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7</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43EADFC8"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6</w:t>
            </w:r>
          </w:p>
        </w:tc>
      </w:tr>
      <w:tr w:rsidR="00D2767F" w:rsidRPr="00C823BA" w14:paraId="00DB7107" w14:textId="77777777" w:rsidTr="00062F2E">
        <w:trPr>
          <w:trHeight w:val="275"/>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6E372535"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04-FORMULACIÓN CARGOS</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49B5D49"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11</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67569D3F"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5</w:t>
            </w:r>
          </w:p>
        </w:tc>
      </w:tr>
      <w:tr w:rsidR="00D2767F" w:rsidRPr="00C823BA" w14:paraId="77B71CFB" w14:textId="77777777" w:rsidTr="00062F2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7D8BC5AC"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05-PRUEBAS - FORMULACIÓN DE CARGO</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762B5729"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3</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7BBB90D"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3</w:t>
            </w:r>
          </w:p>
        </w:tc>
      </w:tr>
      <w:tr w:rsidR="00D2767F" w:rsidRPr="00C823BA" w14:paraId="63E42867" w14:textId="77777777" w:rsidTr="00062F2E">
        <w:trPr>
          <w:trHeight w:val="269"/>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6DFD3BA"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 xml:space="preserve">07- NOTIFICACION FALLO </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13CA5ADE"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550CB763"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w:t>
            </w:r>
          </w:p>
        </w:tc>
      </w:tr>
      <w:tr w:rsidR="00D2767F" w:rsidRPr="00C823BA" w14:paraId="37793712" w14:textId="77777777" w:rsidTr="00062F2E">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2EEF6A5"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08-EN ESTUDIO RECURSO DE REPOSIC.</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6479021D"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5</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1152FB23"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w:t>
            </w:r>
          </w:p>
        </w:tc>
      </w:tr>
      <w:tr w:rsidR="00D2767F" w:rsidRPr="00C823BA" w14:paraId="0CA8C674" w14:textId="77777777" w:rsidTr="00062F2E">
        <w:trPr>
          <w:trHeight w:val="277"/>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04280B6"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09-EN ESTUDIO RECURSO DE APELAC.</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250916B"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3</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7E7A4C3"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4</w:t>
            </w:r>
          </w:p>
        </w:tc>
      </w:tr>
      <w:tr w:rsidR="00D2767F" w:rsidRPr="00C823BA" w14:paraId="4B856969" w14:textId="77777777" w:rsidTr="00062F2E">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1D1FC20"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16-ALEGATOS DE CONCLUSION</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2FC22301"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45C5ACDD"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w:t>
            </w:r>
          </w:p>
        </w:tc>
      </w:tr>
      <w:tr w:rsidR="00D2767F" w:rsidRPr="00C823BA" w14:paraId="5A28AF0E" w14:textId="77777777" w:rsidTr="00062F2E">
        <w:trPr>
          <w:trHeight w:val="271"/>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829B3CA"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18-DECRETADA NULIDAD</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52E333A2"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15</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140B33A"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22</w:t>
            </w:r>
          </w:p>
        </w:tc>
      </w:tr>
      <w:tr w:rsidR="00D2767F" w:rsidRPr="00C823BA" w14:paraId="2A2F6F76" w14:textId="77777777" w:rsidTr="00062F2E">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65D09702"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19-CITACION A AUDIENCIA</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0E3E0949"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0</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CF6FC06"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w:t>
            </w:r>
          </w:p>
        </w:tc>
      </w:tr>
      <w:tr w:rsidR="00D2767F" w:rsidRPr="00C823BA" w14:paraId="52DB0F21" w14:textId="77777777" w:rsidTr="00062F2E">
        <w:trPr>
          <w:trHeight w:val="279"/>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78D3D050"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21-EJECUCION SANCION</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70EB9415"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5</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189CCFC2"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w:t>
            </w:r>
          </w:p>
        </w:tc>
      </w:tr>
      <w:tr w:rsidR="00D2767F" w:rsidRPr="00C823BA" w14:paraId="01BCBF21" w14:textId="77777777" w:rsidTr="00062F2E">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38E05408"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23-CIERRE DE INVESTIGACION</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11049817"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29</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84B7462"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40</w:t>
            </w:r>
          </w:p>
        </w:tc>
      </w:tr>
      <w:tr w:rsidR="00D2767F" w:rsidRPr="00C823BA" w14:paraId="16CBB28A" w14:textId="77777777" w:rsidTr="00062F2E">
        <w:trPr>
          <w:trHeight w:val="278"/>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0FCFB47"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24-PENDIENTE EJECUTORIA</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4440A5AB"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72</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7F20578D"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74</w:t>
            </w:r>
          </w:p>
        </w:tc>
      </w:tr>
      <w:tr w:rsidR="00D2767F" w:rsidRPr="00C823BA" w14:paraId="49F64242" w14:textId="77777777" w:rsidTr="00062F2E">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1F8D046B" w14:textId="77777777" w:rsidR="00D2767F" w:rsidRPr="00C823BA" w:rsidRDefault="00D2767F" w:rsidP="00A6302C">
            <w:pPr>
              <w:suppressAutoHyphens w:val="0"/>
              <w:jc w:val="both"/>
              <w:rPr>
                <w:rFonts w:cs="Arial"/>
                <w:b w:val="0"/>
                <w:bCs w:val="0"/>
                <w:color w:val="000000"/>
                <w:sz w:val="20"/>
                <w:szCs w:val="20"/>
                <w:lang w:val="es-CO" w:eastAsia="es-CO"/>
              </w:rPr>
            </w:pPr>
            <w:r w:rsidRPr="00C823BA">
              <w:rPr>
                <w:rFonts w:cs="Arial"/>
                <w:b w:val="0"/>
                <w:bCs w:val="0"/>
                <w:color w:val="000000"/>
                <w:sz w:val="20"/>
                <w:szCs w:val="20"/>
                <w:lang w:eastAsia="es-ES"/>
              </w:rPr>
              <w:t>25-PRORROGA APERTURA</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7FEF3DC1"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0</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182120DB" w14:textId="77777777" w:rsidR="00D2767F" w:rsidRPr="00C823BA" w:rsidRDefault="00D2767F" w:rsidP="00A6302C">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s-CO" w:eastAsia="es-CO"/>
              </w:rPr>
            </w:pPr>
            <w:r w:rsidRPr="00C823BA">
              <w:rPr>
                <w:rFonts w:cs="Arial"/>
                <w:color w:val="000000"/>
                <w:sz w:val="20"/>
                <w:szCs w:val="20"/>
                <w:lang w:eastAsia="es-ES"/>
              </w:rPr>
              <w:t>14</w:t>
            </w:r>
          </w:p>
        </w:tc>
      </w:tr>
      <w:tr w:rsidR="00D2767F" w:rsidRPr="00C823BA" w14:paraId="21D7441B" w14:textId="77777777" w:rsidTr="00062F2E">
        <w:trPr>
          <w:trHeight w:val="300"/>
        </w:trPr>
        <w:tc>
          <w:tcPr>
            <w:cnfStyle w:val="001000000000" w:firstRow="0" w:lastRow="0" w:firstColumn="1" w:lastColumn="0" w:oddVBand="0" w:evenVBand="0" w:oddHBand="0" w:evenHBand="0" w:firstRowFirstColumn="0" w:firstRowLastColumn="0" w:lastRowFirstColumn="0" w:lastRowLastColumn="0"/>
            <w:tcW w:w="4673"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0758A982" w14:textId="77777777" w:rsidR="00D2767F" w:rsidRPr="00C823BA" w:rsidRDefault="00D2767F" w:rsidP="00A6302C">
            <w:pPr>
              <w:suppressAutoHyphens w:val="0"/>
              <w:jc w:val="center"/>
              <w:rPr>
                <w:rFonts w:cs="Arial"/>
                <w:color w:val="000000"/>
                <w:sz w:val="20"/>
                <w:szCs w:val="20"/>
                <w:lang w:val="es-CO" w:eastAsia="es-CO"/>
              </w:rPr>
            </w:pPr>
            <w:r w:rsidRPr="00C823BA">
              <w:rPr>
                <w:rFonts w:cs="Arial"/>
                <w:color w:val="000000"/>
                <w:sz w:val="20"/>
                <w:szCs w:val="20"/>
                <w:lang w:eastAsia="es-ES"/>
              </w:rPr>
              <w:t>Total</w:t>
            </w:r>
          </w:p>
        </w:tc>
        <w:tc>
          <w:tcPr>
            <w:tcW w:w="1985"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6F6B974C"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20"/>
                <w:szCs w:val="20"/>
                <w:lang w:val="es-CO" w:eastAsia="es-CO"/>
              </w:rPr>
            </w:pPr>
            <w:r w:rsidRPr="00C823BA">
              <w:rPr>
                <w:rFonts w:cs="Arial"/>
                <w:b/>
                <w:bCs/>
                <w:color w:val="000000"/>
                <w:sz w:val="20"/>
                <w:szCs w:val="20"/>
                <w:lang w:eastAsia="es-ES"/>
              </w:rPr>
              <w:t>580</w:t>
            </w:r>
          </w:p>
        </w:tc>
        <w:tc>
          <w:tcPr>
            <w:tcW w:w="2693"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0D982BDC" w14:textId="77777777" w:rsidR="00D2767F" w:rsidRPr="00C823BA" w:rsidRDefault="00D2767F" w:rsidP="00A6302C">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20"/>
                <w:szCs w:val="20"/>
                <w:lang w:val="es-CO" w:eastAsia="es-CO"/>
              </w:rPr>
            </w:pPr>
            <w:r w:rsidRPr="00C823BA">
              <w:rPr>
                <w:rFonts w:cs="Arial"/>
                <w:b/>
                <w:bCs/>
                <w:color w:val="000000"/>
                <w:sz w:val="20"/>
                <w:szCs w:val="20"/>
                <w:lang w:eastAsia="es-ES"/>
              </w:rPr>
              <w:t>517</w:t>
            </w:r>
          </w:p>
        </w:tc>
      </w:tr>
    </w:tbl>
    <w:p w14:paraId="5A5C8797" w14:textId="77777777" w:rsidR="00D2767F" w:rsidRPr="000F520F" w:rsidRDefault="560B0C51" w:rsidP="00D2767F">
      <w:pPr>
        <w:jc w:val="center"/>
        <w:rPr>
          <w:rFonts w:eastAsia="Arial" w:cs="Arial"/>
          <w:b/>
          <w:bCs/>
          <w:sz w:val="16"/>
          <w:szCs w:val="16"/>
          <w:lang w:val="es-MX"/>
        </w:rPr>
      </w:pPr>
      <w:r w:rsidRPr="000F520F">
        <w:rPr>
          <w:rFonts w:eastAsia="Arial" w:cs="Arial"/>
          <w:b/>
          <w:sz w:val="16"/>
          <w:szCs w:val="16"/>
          <w:lang w:val="es-MX"/>
        </w:rPr>
        <w:t>Fuente: Oficina de Control Interno Disciplinario</w:t>
      </w:r>
    </w:p>
    <w:p w14:paraId="2ACA8625" w14:textId="77777777" w:rsidR="00D2767F" w:rsidRPr="000F520F" w:rsidRDefault="00D2767F" w:rsidP="00D2767F">
      <w:pPr>
        <w:jc w:val="both"/>
        <w:rPr>
          <w:rFonts w:cs="Arial"/>
          <w:b/>
          <w:bCs/>
          <w:color w:val="000000" w:themeColor="text1"/>
          <w:sz w:val="22"/>
          <w:szCs w:val="22"/>
          <w:lang w:eastAsia="es-ES"/>
        </w:rPr>
      </w:pPr>
    </w:p>
    <w:p w14:paraId="36890E90" w14:textId="77777777" w:rsidR="00D2767F" w:rsidRPr="008179E9" w:rsidRDefault="00D2767F" w:rsidP="00D2767F">
      <w:pPr>
        <w:jc w:val="both"/>
        <w:rPr>
          <w:rFonts w:eastAsia="Arial" w:cs="Arial"/>
          <w:b/>
          <w:sz w:val="22"/>
          <w:szCs w:val="22"/>
        </w:rPr>
      </w:pPr>
    </w:p>
    <w:p w14:paraId="43006AFA" w14:textId="77777777" w:rsidR="00D2767F" w:rsidRPr="008179E9" w:rsidRDefault="00D2767F" w:rsidP="00D2767F">
      <w:pPr>
        <w:jc w:val="both"/>
        <w:rPr>
          <w:rFonts w:cs="Arial"/>
          <w:sz w:val="22"/>
          <w:szCs w:val="22"/>
        </w:rPr>
      </w:pPr>
      <w:r w:rsidRPr="008179E9">
        <w:rPr>
          <w:rFonts w:cs="Arial"/>
          <w:sz w:val="22"/>
          <w:szCs w:val="22"/>
        </w:rPr>
        <w:lastRenderedPageBreak/>
        <w:t>Como se puede observar, se ha presentado una reducción del 10.8% en la carga total de procesos en curso en la oficina. Lo que conlleva y aclarar que de los 517 procesos disciplinarios en curso actualmente, 71 se encuentran en proceso de terminación y archivo definitivo, arrojando un total de 446 procesos activos con vocación de continuidad.</w:t>
      </w:r>
    </w:p>
    <w:p w14:paraId="0214C94C" w14:textId="77777777" w:rsidR="00D2767F" w:rsidRPr="008179E9" w:rsidRDefault="00D2767F" w:rsidP="00D2767F">
      <w:pPr>
        <w:jc w:val="both"/>
        <w:rPr>
          <w:rFonts w:cs="Arial"/>
          <w:sz w:val="22"/>
          <w:szCs w:val="22"/>
        </w:rPr>
      </w:pPr>
    </w:p>
    <w:p w14:paraId="727B1F3B" w14:textId="77777777" w:rsidR="00D2767F" w:rsidRPr="008179E9" w:rsidRDefault="00D2767F" w:rsidP="00D2767F">
      <w:pPr>
        <w:jc w:val="both"/>
        <w:rPr>
          <w:rFonts w:cs="Arial"/>
          <w:sz w:val="22"/>
          <w:szCs w:val="22"/>
          <w:lang w:val="es-CO"/>
        </w:rPr>
      </w:pPr>
      <w:r w:rsidRPr="008179E9">
        <w:rPr>
          <w:rFonts w:cs="Arial"/>
          <w:sz w:val="22"/>
          <w:szCs w:val="22"/>
        </w:rPr>
        <w:t xml:space="preserve">En respuesta a la pandemia de COVID-19, el proceso de Gestión Disciplinaria se adaptó rápidamente a las necesidades del Instituto, implementando a partir de marzo de 2020 la notificación por estados y edictos electrónicos en la página web de la entidad, lo que constituye un avance estratégico en la aplicación de los lineamientos de Gobierno en Línea, contribuyendo al mejoramiento de </w:t>
      </w:r>
      <w:r w:rsidRPr="008179E9">
        <w:rPr>
          <w:rFonts w:cs="Arial"/>
          <w:sz w:val="22"/>
          <w:szCs w:val="22"/>
          <w:lang w:val="es-CO"/>
        </w:rPr>
        <w:t>la eficiencia y transparencia de los procesos adelantados por la oficina y garantizando el derecho de defensa a los investigados.</w:t>
      </w:r>
    </w:p>
    <w:p w14:paraId="786A043B" w14:textId="77777777" w:rsidR="00D2767F" w:rsidRPr="008179E9" w:rsidRDefault="00D2767F" w:rsidP="00D2767F">
      <w:pPr>
        <w:jc w:val="both"/>
        <w:rPr>
          <w:rFonts w:cs="Arial"/>
          <w:sz w:val="22"/>
          <w:szCs w:val="22"/>
          <w:lang w:val="es-CO"/>
        </w:rPr>
      </w:pPr>
    </w:p>
    <w:p w14:paraId="16314EA3" w14:textId="77777777" w:rsidR="00D2767F" w:rsidRPr="008179E9" w:rsidRDefault="00D2767F" w:rsidP="00D2767F">
      <w:pPr>
        <w:jc w:val="both"/>
        <w:rPr>
          <w:rFonts w:cs="Arial"/>
          <w:sz w:val="22"/>
          <w:szCs w:val="22"/>
          <w:lang w:val="es-CO"/>
        </w:rPr>
      </w:pPr>
      <w:r w:rsidRPr="008179E9">
        <w:rPr>
          <w:rFonts w:cs="Arial"/>
          <w:sz w:val="22"/>
          <w:szCs w:val="22"/>
          <w:lang w:val="es-CO"/>
        </w:rPr>
        <w:t>Finalmente, se debe destacar la gestión administrativa, el impulso procesal, el cumplimiento y notificación de las decisiones proferidas por la oficina, tarea en la que se han realizado grandes esfuerzos en la presente vigencia, a continuación, se presenta una relación del número de trámites adelantados por el antiguo GIT – Control Disciplinario y la actual Oficina de Control Interno Disciplinario durante el presente año en la plataforma SIGAC:</w:t>
      </w:r>
    </w:p>
    <w:p w14:paraId="7CA278C9" w14:textId="77777777" w:rsidR="002D2261" w:rsidRPr="004D4C6A" w:rsidRDefault="002D2261" w:rsidP="004D4C6A">
      <w:pPr>
        <w:jc w:val="center"/>
        <w:rPr>
          <w:rFonts w:cs="Arial"/>
          <w:b/>
          <w:bCs/>
          <w:sz w:val="16"/>
          <w:szCs w:val="16"/>
        </w:rPr>
      </w:pPr>
    </w:p>
    <w:p w14:paraId="1D0EDE25" w14:textId="6222BF5E" w:rsidR="00062F2E" w:rsidRPr="004D4C6A" w:rsidRDefault="004D4C6A" w:rsidP="004D4C6A">
      <w:pPr>
        <w:pStyle w:val="Descripcin"/>
        <w:jc w:val="center"/>
        <w:rPr>
          <w:rFonts w:ascii="Arial" w:eastAsia="Times New Roman" w:hAnsi="Arial" w:cs="Arial"/>
          <w:b/>
          <w:bCs/>
          <w:i w:val="0"/>
          <w:iCs w:val="0"/>
          <w:color w:val="auto"/>
          <w:sz w:val="16"/>
          <w:szCs w:val="16"/>
          <w:lang w:val="es-ES" w:eastAsia="ar-SA"/>
        </w:rPr>
      </w:pPr>
      <w:bookmarkStart w:id="190" w:name="_Toc88677143"/>
      <w:r w:rsidRPr="004D4C6A">
        <w:rPr>
          <w:rFonts w:ascii="Arial" w:eastAsia="Times New Roman" w:hAnsi="Arial" w:cs="Arial"/>
          <w:b/>
          <w:bCs/>
          <w:i w:val="0"/>
          <w:iCs w:val="0"/>
          <w:color w:val="auto"/>
          <w:sz w:val="16"/>
          <w:szCs w:val="16"/>
          <w:lang w:val="es-ES" w:eastAsia="ar-SA"/>
        </w:rPr>
        <w:t xml:space="preserve">Tabla </w:t>
      </w:r>
      <w:r w:rsidRPr="004D4C6A">
        <w:rPr>
          <w:rFonts w:ascii="Arial" w:eastAsia="Times New Roman" w:hAnsi="Arial" w:cs="Arial"/>
          <w:b/>
          <w:bCs/>
          <w:i w:val="0"/>
          <w:iCs w:val="0"/>
          <w:color w:val="auto"/>
          <w:sz w:val="16"/>
          <w:szCs w:val="16"/>
          <w:lang w:val="es-ES" w:eastAsia="ar-SA"/>
        </w:rPr>
        <w:fldChar w:fldCharType="begin"/>
      </w:r>
      <w:r w:rsidRPr="004D4C6A">
        <w:rPr>
          <w:rFonts w:ascii="Arial" w:eastAsia="Times New Roman" w:hAnsi="Arial" w:cs="Arial"/>
          <w:b/>
          <w:bCs/>
          <w:i w:val="0"/>
          <w:iCs w:val="0"/>
          <w:color w:val="auto"/>
          <w:sz w:val="16"/>
          <w:szCs w:val="16"/>
          <w:lang w:val="es-ES" w:eastAsia="ar-SA"/>
        </w:rPr>
        <w:instrText xml:space="preserve"> SEQ Tabla \* ARABIC </w:instrText>
      </w:r>
      <w:r w:rsidRPr="004D4C6A">
        <w:rPr>
          <w:rFonts w:ascii="Arial" w:eastAsia="Times New Roman" w:hAnsi="Arial" w:cs="Arial"/>
          <w:b/>
          <w:bCs/>
          <w:i w:val="0"/>
          <w:iCs w:val="0"/>
          <w:color w:val="auto"/>
          <w:sz w:val="16"/>
          <w:szCs w:val="16"/>
          <w:lang w:val="es-ES" w:eastAsia="ar-SA"/>
        </w:rPr>
        <w:fldChar w:fldCharType="separate"/>
      </w:r>
      <w:r w:rsidRPr="004D4C6A">
        <w:rPr>
          <w:rFonts w:ascii="Arial" w:eastAsia="Times New Roman" w:hAnsi="Arial" w:cs="Arial"/>
          <w:b/>
          <w:bCs/>
          <w:i w:val="0"/>
          <w:iCs w:val="0"/>
          <w:color w:val="auto"/>
          <w:sz w:val="16"/>
          <w:szCs w:val="16"/>
          <w:lang w:val="es-ES" w:eastAsia="ar-SA"/>
        </w:rPr>
        <w:t>71</w:t>
      </w:r>
      <w:r w:rsidRPr="004D4C6A">
        <w:rPr>
          <w:rFonts w:ascii="Arial" w:eastAsia="Times New Roman" w:hAnsi="Arial" w:cs="Arial"/>
          <w:b/>
          <w:bCs/>
          <w:i w:val="0"/>
          <w:iCs w:val="0"/>
          <w:color w:val="auto"/>
          <w:sz w:val="16"/>
          <w:szCs w:val="16"/>
          <w:lang w:val="es-ES" w:eastAsia="ar-SA"/>
        </w:rPr>
        <w:fldChar w:fldCharType="end"/>
      </w:r>
      <w:r w:rsidRPr="004D4C6A">
        <w:rPr>
          <w:rFonts w:ascii="Arial" w:eastAsia="Times New Roman" w:hAnsi="Arial" w:cs="Arial"/>
          <w:b/>
          <w:bCs/>
          <w:i w:val="0"/>
          <w:iCs w:val="0"/>
          <w:color w:val="auto"/>
          <w:sz w:val="16"/>
          <w:szCs w:val="16"/>
          <w:lang w:val="es-ES" w:eastAsia="ar-SA"/>
        </w:rPr>
        <w:t>. Trámites adelantados 2021</w:t>
      </w:r>
      <w:bookmarkEnd w:id="190"/>
    </w:p>
    <w:tbl>
      <w:tblPr>
        <w:tblStyle w:val="Tabladelista3-nfasis1"/>
        <w:tblW w:w="949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1329"/>
        <w:gridCol w:w="702"/>
        <w:gridCol w:w="759"/>
        <w:gridCol w:w="747"/>
        <w:gridCol w:w="664"/>
        <w:gridCol w:w="705"/>
        <w:gridCol w:w="677"/>
        <w:gridCol w:w="730"/>
        <w:gridCol w:w="802"/>
        <w:gridCol w:w="788"/>
        <w:gridCol w:w="793"/>
        <w:gridCol w:w="797"/>
      </w:tblGrid>
      <w:tr w:rsidR="000144F8" w14:paraId="3D4223FB" w14:textId="77777777" w:rsidTr="00062F2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29" w:type="dxa"/>
          </w:tcPr>
          <w:p w14:paraId="2E555A7B" w14:textId="77777777" w:rsidR="00D2767F" w:rsidRPr="00596AB1" w:rsidRDefault="00D2767F" w:rsidP="00062F2E">
            <w:pPr>
              <w:jc w:val="center"/>
              <w:rPr>
                <w:rFonts w:cs="Arial"/>
                <w:b w:val="0"/>
                <w:bCs w:val="0"/>
                <w:sz w:val="20"/>
                <w:szCs w:val="20"/>
                <w:lang w:val="es-CO"/>
              </w:rPr>
            </w:pPr>
            <w:r w:rsidRPr="00596AB1">
              <w:rPr>
                <w:rFonts w:cs="Arial"/>
                <w:sz w:val="20"/>
                <w:szCs w:val="20"/>
                <w:lang w:val="es-CO"/>
              </w:rPr>
              <w:t>MES</w:t>
            </w:r>
          </w:p>
        </w:tc>
        <w:tc>
          <w:tcPr>
            <w:tcW w:w="702" w:type="dxa"/>
          </w:tcPr>
          <w:p w14:paraId="1B7CDC1B"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ENE</w:t>
            </w:r>
          </w:p>
        </w:tc>
        <w:tc>
          <w:tcPr>
            <w:tcW w:w="759" w:type="dxa"/>
          </w:tcPr>
          <w:p w14:paraId="2014ACDC"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FEB</w:t>
            </w:r>
          </w:p>
        </w:tc>
        <w:tc>
          <w:tcPr>
            <w:tcW w:w="747" w:type="dxa"/>
          </w:tcPr>
          <w:p w14:paraId="54383E7A"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MAR</w:t>
            </w:r>
          </w:p>
        </w:tc>
        <w:tc>
          <w:tcPr>
            <w:tcW w:w="664" w:type="dxa"/>
          </w:tcPr>
          <w:p w14:paraId="0CC19DE6"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ABR</w:t>
            </w:r>
          </w:p>
        </w:tc>
        <w:tc>
          <w:tcPr>
            <w:tcW w:w="705" w:type="dxa"/>
          </w:tcPr>
          <w:p w14:paraId="7AD33048"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MAY</w:t>
            </w:r>
          </w:p>
        </w:tc>
        <w:tc>
          <w:tcPr>
            <w:tcW w:w="677" w:type="dxa"/>
          </w:tcPr>
          <w:p w14:paraId="12F02F0C"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JUN</w:t>
            </w:r>
          </w:p>
        </w:tc>
        <w:tc>
          <w:tcPr>
            <w:tcW w:w="730" w:type="dxa"/>
          </w:tcPr>
          <w:p w14:paraId="2349A0A0"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JUL</w:t>
            </w:r>
          </w:p>
        </w:tc>
        <w:tc>
          <w:tcPr>
            <w:tcW w:w="802" w:type="dxa"/>
          </w:tcPr>
          <w:p w14:paraId="5AA3D59E"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AGO</w:t>
            </w:r>
          </w:p>
        </w:tc>
        <w:tc>
          <w:tcPr>
            <w:tcW w:w="788" w:type="dxa"/>
          </w:tcPr>
          <w:p w14:paraId="5A46F0C7"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SEP</w:t>
            </w:r>
          </w:p>
        </w:tc>
        <w:tc>
          <w:tcPr>
            <w:tcW w:w="793" w:type="dxa"/>
          </w:tcPr>
          <w:p w14:paraId="6E8FEF16"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OCT</w:t>
            </w:r>
          </w:p>
        </w:tc>
        <w:tc>
          <w:tcPr>
            <w:tcW w:w="797" w:type="dxa"/>
          </w:tcPr>
          <w:p w14:paraId="22D4154E" w14:textId="77777777" w:rsidR="00D2767F" w:rsidRPr="00596AB1" w:rsidRDefault="00D2767F" w:rsidP="00A6302C">
            <w:pPr>
              <w:jc w:val="both"/>
              <w:cnfStyle w:val="100000000000" w:firstRow="1" w:lastRow="0" w:firstColumn="0" w:lastColumn="0" w:oddVBand="0" w:evenVBand="0" w:oddHBand="0" w:evenHBand="0" w:firstRowFirstColumn="0" w:firstRowLastColumn="0" w:lastRowFirstColumn="0" w:lastRowLastColumn="0"/>
              <w:rPr>
                <w:rFonts w:cs="Arial"/>
                <w:b w:val="0"/>
                <w:bCs w:val="0"/>
                <w:sz w:val="20"/>
                <w:szCs w:val="20"/>
                <w:lang w:val="es-CO"/>
              </w:rPr>
            </w:pPr>
            <w:r w:rsidRPr="00596AB1">
              <w:rPr>
                <w:rFonts w:cs="Arial"/>
                <w:sz w:val="20"/>
                <w:szCs w:val="20"/>
                <w:lang w:val="es-CO"/>
              </w:rPr>
              <w:t>NOV</w:t>
            </w:r>
          </w:p>
        </w:tc>
      </w:tr>
      <w:tr w:rsidR="00D2767F" w14:paraId="6AA34F28" w14:textId="77777777" w:rsidTr="00062F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9" w:type="dxa"/>
            <w:tcBorders>
              <w:top w:val="none" w:sz="0" w:space="0" w:color="auto"/>
              <w:bottom w:val="none" w:sz="0" w:space="0" w:color="auto"/>
              <w:right w:val="none" w:sz="0" w:space="0" w:color="auto"/>
            </w:tcBorders>
            <w:vAlign w:val="center"/>
          </w:tcPr>
          <w:p w14:paraId="2D6B3B70" w14:textId="77777777" w:rsidR="00D2767F" w:rsidRPr="00596AB1" w:rsidRDefault="00D2767F" w:rsidP="00062F2E">
            <w:pPr>
              <w:jc w:val="center"/>
              <w:rPr>
                <w:rFonts w:cs="Arial"/>
                <w:b w:val="0"/>
                <w:bCs w:val="0"/>
                <w:sz w:val="20"/>
                <w:szCs w:val="20"/>
                <w:lang w:val="es-CO"/>
              </w:rPr>
            </w:pPr>
            <w:r w:rsidRPr="00596AB1">
              <w:rPr>
                <w:rFonts w:cs="Arial"/>
                <w:b w:val="0"/>
                <w:bCs w:val="0"/>
                <w:sz w:val="20"/>
                <w:szCs w:val="20"/>
                <w:lang w:val="es-CO"/>
              </w:rPr>
              <w:t>Trámites Adelantados</w:t>
            </w:r>
          </w:p>
        </w:tc>
        <w:tc>
          <w:tcPr>
            <w:tcW w:w="702" w:type="dxa"/>
            <w:tcBorders>
              <w:top w:val="none" w:sz="0" w:space="0" w:color="auto"/>
              <w:bottom w:val="none" w:sz="0" w:space="0" w:color="auto"/>
            </w:tcBorders>
            <w:vAlign w:val="center"/>
          </w:tcPr>
          <w:p w14:paraId="2FAC2804"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115</w:t>
            </w:r>
          </w:p>
        </w:tc>
        <w:tc>
          <w:tcPr>
            <w:tcW w:w="759" w:type="dxa"/>
            <w:tcBorders>
              <w:top w:val="none" w:sz="0" w:space="0" w:color="auto"/>
              <w:bottom w:val="none" w:sz="0" w:space="0" w:color="auto"/>
            </w:tcBorders>
            <w:vAlign w:val="center"/>
          </w:tcPr>
          <w:p w14:paraId="4A8FE2A5"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219</w:t>
            </w:r>
          </w:p>
        </w:tc>
        <w:tc>
          <w:tcPr>
            <w:tcW w:w="747" w:type="dxa"/>
            <w:tcBorders>
              <w:top w:val="none" w:sz="0" w:space="0" w:color="auto"/>
              <w:bottom w:val="none" w:sz="0" w:space="0" w:color="auto"/>
            </w:tcBorders>
            <w:vAlign w:val="center"/>
          </w:tcPr>
          <w:p w14:paraId="71558238"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151</w:t>
            </w:r>
          </w:p>
        </w:tc>
        <w:tc>
          <w:tcPr>
            <w:tcW w:w="664" w:type="dxa"/>
            <w:tcBorders>
              <w:top w:val="none" w:sz="0" w:space="0" w:color="auto"/>
              <w:bottom w:val="none" w:sz="0" w:space="0" w:color="auto"/>
            </w:tcBorders>
            <w:vAlign w:val="center"/>
          </w:tcPr>
          <w:p w14:paraId="36EB147E"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148</w:t>
            </w:r>
          </w:p>
        </w:tc>
        <w:tc>
          <w:tcPr>
            <w:tcW w:w="705" w:type="dxa"/>
            <w:tcBorders>
              <w:top w:val="none" w:sz="0" w:space="0" w:color="auto"/>
              <w:bottom w:val="none" w:sz="0" w:space="0" w:color="auto"/>
            </w:tcBorders>
            <w:vAlign w:val="center"/>
          </w:tcPr>
          <w:p w14:paraId="3FD5E8F9"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202</w:t>
            </w:r>
          </w:p>
        </w:tc>
        <w:tc>
          <w:tcPr>
            <w:tcW w:w="677" w:type="dxa"/>
            <w:tcBorders>
              <w:top w:val="none" w:sz="0" w:space="0" w:color="auto"/>
              <w:bottom w:val="none" w:sz="0" w:space="0" w:color="auto"/>
            </w:tcBorders>
            <w:vAlign w:val="center"/>
          </w:tcPr>
          <w:p w14:paraId="0F673AB4"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261</w:t>
            </w:r>
          </w:p>
        </w:tc>
        <w:tc>
          <w:tcPr>
            <w:tcW w:w="730" w:type="dxa"/>
            <w:tcBorders>
              <w:top w:val="none" w:sz="0" w:space="0" w:color="auto"/>
              <w:bottom w:val="none" w:sz="0" w:space="0" w:color="auto"/>
            </w:tcBorders>
            <w:vAlign w:val="center"/>
          </w:tcPr>
          <w:p w14:paraId="6E9F6C18"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195</w:t>
            </w:r>
          </w:p>
        </w:tc>
        <w:tc>
          <w:tcPr>
            <w:tcW w:w="802" w:type="dxa"/>
            <w:tcBorders>
              <w:top w:val="none" w:sz="0" w:space="0" w:color="auto"/>
              <w:bottom w:val="none" w:sz="0" w:space="0" w:color="auto"/>
            </w:tcBorders>
            <w:vAlign w:val="center"/>
          </w:tcPr>
          <w:p w14:paraId="09392D47"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285</w:t>
            </w:r>
          </w:p>
        </w:tc>
        <w:tc>
          <w:tcPr>
            <w:tcW w:w="788" w:type="dxa"/>
            <w:tcBorders>
              <w:top w:val="none" w:sz="0" w:space="0" w:color="auto"/>
              <w:bottom w:val="none" w:sz="0" w:space="0" w:color="auto"/>
            </w:tcBorders>
            <w:vAlign w:val="center"/>
          </w:tcPr>
          <w:p w14:paraId="70B017B3"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363</w:t>
            </w:r>
          </w:p>
        </w:tc>
        <w:tc>
          <w:tcPr>
            <w:tcW w:w="793" w:type="dxa"/>
            <w:tcBorders>
              <w:top w:val="none" w:sz="0" w:space="0" w:color="auto"/>
              <w:bottom w:val="none" w:sz="0" w:space="0" w:color="auto"/>
            </w:tcBorders>
            <w:vAlign w:val="center"/>
          </w:tcPr>
          <w:p w14:paraId="06DFD664"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295</w:t>
            </w:r>
          </w:p>
        </w:tc>
        <w:tc>
          <w:tcPr>
            <w:tcW w:w="797" w:type="dxa"/>
            <w:tcBorders>
              <w:top w:val="none" w:sz="0" w:space="0" w:color="auto"/>
              <w:bottom w:val="none" w:sz="0" w:space="0" w:color="auto"/>
            </w:tcBorders>
            <w:vAlign w:val="center"/>
          </w:tcPr>
          <w:p w14:paraId="602AF26E" w14:textId="77777777" w:rsidR="00D2767F" w:rsidRPr="00596AB1"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lang w:val="es-CO"/>
              </w:rPr>
            </w:pPr>
            <w:r w:rsidRPr="00596AB1">
              <w:rPr>
                <w:rFonts w:cs="Arial"/>
                <w:sz w:val="20"/>
                <w:szCs w:val="20"/>
                <w:lang w:val="es-CO"/>
              </w:rPr>
              <w:t>10</w:t>
            </w:r>
          </w:p>
        </w:tc>
      </w:tr>
    </w:tbl>
    <w:p w14:paraId="1620B2A3" w14:textId="77777777" w:rsidR="00D2767F" w:rsidRDefault="00D2767F" w:rsidP="00D2767F">
      <w:pPr>
        <w:ind w:left="567" w:firstLine="360"/>
        <w:jc w:val="center"/>
        <w:rPr>
          <w:b/>
          <w:bCs/>
        </w:rPr>
      </w:pPr>
      <w:r w:rsidRPr="31FF9146">
        <w:rPr>
          <w:rFonts w:cs="Arial"/>
          <w:b/>
          <w:bCs/>
          <w:sz w:val="16"/>
          <w:szCs w:val="16"/>
        </w:rPr>
        <w:t>Fuente: Oficina de Control Interno Disciplinario</w:t>
      </w:r>
    </w:p>
    <w:p w14:paraId="453356C8" w14:textId="14781244" w:rsidR="00D2767F" w:rsidRDefault="00D2767F" w:rsidP="00D2767F">
      <w:pPr>
        <w:jc w:val="both"/>
        <w:rPr>
          <w:rFonts w:cs="Arial"/>
          <w:b/>
          <w:sz w:val="22"/>
          <w:szCs w:val="22"/>
        </w:rPr>
      </w:pPr>
    </w:p>
    <w:p w14:paraId="39001CD2" w14:textId="6F8C6404" w:rsidR="00D2767F" w:rsidRDefault="00062F2E" w:rsidP="00D2767F">
      <w:pPr>
        <w:pStyle w:val="Prrafodelista"/>
        <w:numPr>
          <w:ilvl w:val="2"/>
          <w:numId w:val="22"/>
        </w:numPr>
        <w:rPr>
          <w:rFonts w:cs="Arial"/>
          <w:b/>
          <w:bCs/>
          <w:sz w:val="22"/>
          <w:szCs w:val="22"/>
        </w:rPr>
      </w:pPr>
      <w:r w:rsidRPr="00A23B26">
        <w:rPr>
          <w:rFonts w:cs="Arial"/>
          <w:b/>
          <w:bCs/>
          <w:sz w:val="22"/>
          <w:szCs w:val="22"/>
        </w:rPr>
        <w:t>ALIANZAS ESTRATÉGICAS</w:t>
      </w:r>
    </w:p>
    <w:p w14:paraId="77E5E470" w14:textId="77777777" w:rsidR="004D4C6A" w:rsidRPr="004D4C6A" w:rsidRDefault="004D4C6A" w:rsidP="004D4C6A">
      <w:pPr>
        <w:pStyle w:val="Lista"/>
      </w:pPr>
    </w:p>
    <w:p w14:paraId="545E75A9" w14:textId="77777777" w:rsidR="00D2767F" w:rsidRPr="008179E9" w:rsidRDefault="00D2767F" w:rsidP="00D2767F">
      <w:pPr>
        <w:jc w:val="both"/>
        <w:rPr>
          <w:rFonts w:cs="Arial"/>
          <w:sz w:val="22"/>
          <w:szCs w:val="22"/>
        </w:rPr>
      </w:pPr>
      <w:r w:rsidRPr="008179E9">
        <w:rPr>
          <w:rFonts w:cs="Arial"/>
          <w:sz w:val="22"/>
          <w:szCs w:val="22"/>
        </w:rPr>
        <w:t>En el marco de la implementación del Control Interno Disciplinario, el IGAC adelantó convenio interadministrativo con la Alcaldía Mayor de Bogotá – Secretaría Jurídica Distrital logrando la autorización para el uso del Sistema de Información Disciplinaria - SID con el fin de tener una herramienta tecnológica que permita el seguimiento procesal de los expedientes disciplinarios, buscando un mejor control de los procesos existentes en la entidad.</w:t>
      </w:r>
    </w:p>
    <w:p w14:paraId="46D4B846" w14:textId="77777777" w:rsidR="00D2767F" w:rsidRPr="008179E9" w:rsidRDefault="00D2767F" w:rsidP="00D2767F">
      <w:pPr>
        <w:jc w:val="both"/>
        <w:rPr>
          <w:rFonts w:cs="Arial"/>
          <w:sz w:val="22"/>
          <w:szCs w:val="22"/>
        </w:rPr>
      </w:pPr>
    </w:p>
    <w:p w14:paraId="69AE3423" w14:textId="77777777" w:rsidR="00D2767F" w:rsidRDefault="00D2767F" w:rsidP="00D2767F">
      <w:pPr>
        <w:jc w:val="both"/>
        <w:rPr>
          <w:rFonts w:cs="Arial"/>
          <w:sz w:val="22"/>
          <w:szCs w:val="22"/>
        </w:rPr>
      </w:pPr>
      <w:r w:rsidRPr="008179E9">
        <w:rPr>
          <w:rFonts w:cs="Arial"/>
          <w:sz w:val="22"/>
          <w:szCs w:val="22"/>
        </w:rPr>
        <w:t>El 24 de septiembre del año en curso se finalizó la instalación del sistema en los equipos y servidores del Instituto, actualmente se encuentra parametrizado de acuerdo con las necesidades de la oficina, se culminó el proceso de capacitación de los funcionarios y contratistas adscritos a la OCID, cambios que se verán reflejados en el nuevo procedimiento de Control Disciplinario asegurando la transferencia de conocimiento y el registro de este impórtate logro para el IGAC.</w:t>
      </w:r>
    </w:p>
    <w:p w14:paraId="5B131355" w14:textId="77777777" w:rsidR="00D2767F" w:rsidRPr="008179E9" w:rsidRDefault="00D2767F" w:rsidP="00D2767F">
      <w:pPr>
        <w:jc w:val="both"/>
        <w:rPr>
          <w:rFonts w:cs="Arial"/>
          <w:sz w:val="22"/>
          <w:szCs w:val="22"/>
        </w:rPr>
      </w:pPr>
    </w:p>
    <w:p w14:paraId="05D97DF2" w14:textId="77777777" w:rsidR="00D2767F" w:rsidRPr="008179E9" w:rsidRDefault="00D2767F" w:rsidP="00D2767F">
      <w:pPr>
        <w:jc w:val="both"/>
        <w:rPr>
          <w:rFonts w:cs="Arial"/>
          <w:sz w:val="22"/>
          <w:szCs w:val="22"/>
        </w:rPr>
      </w:pPr>
      <w:r w:rsidRPr="008179E9">
        <w:rPr>
          <w:rFonts w:cs="Arial"/>
          <w:sz w:val="22"/>
          <w:szCs w:val="22"/>
        </w:rPr>
        <w:t>Actualmente, se encuentra pendiente la incorporación de la información de los procesos disciplinarios activos y la digitalización de los expedientes, actividad que se realizará de forma progresiva y la cual se proyecta finalizar en el tercer trimestre de 2022</w:t>
      </w:r>
      <w:r w:rsidRPr="008179E9">
        <w:rPr>
          <w:rStyle w:val="Refdenotaalpie"/>
          <w:rFonts w:eastAsia="Calibri" w:cs="Arial"/>
          <w:sz w:val="22"/>
          <w:szCs w:val="22"/>
        </w:rPr>
        <w:footnoteReference w:id="6"/>
      </w:r>
      <w:r w:rsidRPr="008179E9">
        <w:rPr>
          <w:rFonts w:cs="Arial"/>
          <w:sz w:val="22"/>
          <w:szCs w:val="22"/>
        </w:rPr>
        <w:t>.</w:t>
      </w:r>
    </w:p>
    <w:p w14:paraId="03C16D22" w14:textId="77777777" w:rsidR="00D2767F" w:rsidRPr="0002737D" w:rsidRDefault="00D2767F" w:rsidP="00D2767F">
      <w:pPr>
        <w:jc w:val="both"/>
        <w:rPr>
          <w:rFonts w:cs="Arial"/>
          <w:sz w:val="22"/>
          <w:szCs w:val="22"/>
        </w:rPr>
      </w:pPr>
    </w:p>
    <w:p w14:paraId="2E845804" w14:textId="1751A262" w:rsidR="00D2767F" w:rsidRDefault="00D2767F" w:rsidP="00D2767F">
      <w:pPr>
        <w:jc w:val="both"/>
        <w:rPr>
          <w:rFonts w:cs="Arial"/>
          <w:sz w:val="22"/>
          <w:szCs w:val="22"/>
        </w:rPr>
      </w:pPr>
    </w:p>
    <w:p w14:paraId="31CF4565" w14:textId="77A60B94" w:rsidR="004D4C6A" w:rsidRDefault="004D4C6A" w:rsidP="00D2767F">
      <w:pPr>
        <w:jc w:val="both"/>
        <w:rPr>
          <w:rFonts w:cs="Arial"/>
          <w:sz w:val="22"/>
          <w:szCs w:val="22"/>
        </w:rPr>
      </w:pPr>
    </w:p>
    <w:p w14:paraId="38172F71" w14:textId="6C83D37F" w:rsidR="004D4C6A" w:rsidRDefault="004D4C6A" w:rsidP="00D2767F">
      <w:pPr>
        <w:jc w:val="both"/>
        <w:rPr>
          <w:rFonts w:cs="Arial"/>
          <w:sz w:val="22"/>
          <w:szCs w:val="22"/>
        </w:rPr>
      </w:pPr>
    </w:p>
    <w:p w14:paraId="5BBD520A" w14:textId="4D95B5F8" w:rsidR="004D4C6A" w:rsidRDefault="004D4C6A" w:rsidP="00D2767F">
      <w:pPr>
        <w:jc w:val="both"/>
        <w:rPr>
          <w:rFonts w:cs="Arial"/>
          <w:sz w:val="22"/>
          <w:szCs w:val="22"/>
        </w:rPr>
      </w:pPr>
    </w:p>
    <w:p w14:paraId="0372CEFA" w14:textId="77777777" w:rsidR="004D4C6A" w:rsidRPr="0002737D" w:rsidRDefault="004D4C6A" w:rsidP="00D2767F">
      <w:pPr>
        <w:jc w:val="both"/>
        <w:rPr>
          <w:rFonts w:cs="Arial"/>
          <w:sz w:val="22"/>
          <w:szCs w:val="22"/>
        </w:rPr>
      </w:pPr>
    </w:p>
    <w:p w14:paraId="06481B72" w14:textId="5FFA5877" w:rsidR="004D4C6A" w:rsidRDefault="00D2767F" w:rsidP="004D4C6A">
      <w:pPr>
        <w:pStyle w:val="Prrafodelista"/>
        <w:numPr>
          <w:ilvl w:val="2"/>
          <w:numId w:val="22"/>
        </w:numPr>
        <w:rPr>
          <w:rFonts w:cs="Arial"/>
          <w:b/>
          <w:sz w:val="22"/>
          <w:szCs w:val="22"/>
        </w:rPr>
      </w:pPr>
      <w:r w:rsidRPr="008179E9">
        <w:rPr>
          <w:rFonts w:cs="Arial"/>
          <w:b/>
          <w:sz w:val="22"/>
          <w:szCs w:val="22"/>
        </w:rPr>
        <w:lastRenderedPageBreak/>
        <w:t>ANTECEDENTES Y ESTADO ACTUAL DE LA OFICINA DE CONTROL INTERNO DISCIPLINARIO</w:t>
      </w:r>
    </w:p>
    <w:p w14:paraId="2220C7D1" w14:textId="77777777" w:rsidR="004D4C6A" w:rsidRPr="004D4C6A" w:rsidRDefault="004D4C6A" w:rsidP="004D4C6A">
      <w:pPr>
        <w:pStyle w:val="Lista"/>
      </w:pPr>
    </w:p>
    <w:tbl>
      <w:tblPr>
        <w:tblStyle w:val="Tabladelista3-nfasis1"/>
        <w:tblW w:w="9699" w:type="dxa"/>
        <w:tblLook w:val="04A0" w:firstRow="1" w:lastRow="0" w:firstColumn="1" w:lastColumn="0" w:noHBand="0" w:noVBand="1"/>
      </w:tblPr>
      <w:tblGrid>
        <w:gridCol w:w="2547"/>
        <w:gridCol w:w="3685"/>
        <w:gridCol w:w="3467"/>
      </w:tblGrid>
      <w:tr w:rsidR="00D2767F" w:rsidRPr="0001220E" w14:paraId="58078E53" w14:textId="77777777" w:rsidTr="00E43E1D">
        <w:trPr>
          <w:cnfStyle w:val="100000000000" w:firstRow="1" w:lastRow="0" w:firstColumn="0" w:lastColumn="0" w:oddVBand="0" w:evenVBand="0" w:oddHBand="0" w:evenHBand="0" w:firstRowFirstColumn="0" w:firstRowLastColumn="0" w:lastRowFirstColumn="0" w:lastRowLastColumn="0"/>
          <w:trHeight w:val="308"/>
        </w:trPr>
        <w:tc>
          <w:tcPr>
            <w:cnfStyle w:val="001000000100" w:firstRow="0" w:lastRow="0" w:firstColumn="1" w:lastColumn="0" w:oddVBand="0" w:evenVBand="0" w:oddHBand="0" w:evenHBand="0" w:firstRowFirstColumn="1" w:firstRowLastColumn="0" w:lastRowFirstColumn="0" w:lastRowLastColumn="0"/>
            <w:tcW w:w="2547" w:type="dxa"/>
            <w:tcBorders>
              <w:bottom w:val="single" w:sz="4" w:space="0" w:color="1F497D" w:themeColor="text2"/>
            </w:tcBorders>
          </w:tcPr>
          <w:p w14:paraId="27C24C45" w14:textId="77777777" w:rsidR="00D2767F" w:rsidRPr="00235518" w:rsidRDefault="00D2767F" w:rsidP="00A6302C">
            <w:pPr>
              <w:suppressAutoHyphens w:val="0"/>
              <w:jc w:val="center"/>
              <w:rPr>
                <w:rFonts w:cs="Arial"/>
                <w:sz w:val="20"/>
                <w:szCs w:val="20"/>
                <w:lang w:val="es-MX" w:eastAsia="en-US"/>
              </w:rPr>
            </w:pPr>
            <w:r w:rsidRPr="00235518">
              <w:rPr>
                <w:rFonts w:cs="Arial"/>
                <w:sz w:val="20"/>
                <w:szCs w:val="20"/>
                <w:lang w:val="es-MX" w:eastAsia="en-US"/>
              </w:rPr>
              <w:t>Ítem</w:t>
            </w:r>
          </w:p>
        </w:tc>
        <w:tc>
          <w:tcPr>
            <w:tcW w:w="3685" w:type="dxa"/>
            <w:tcBorders>
              <w:bottom w:val="single" w:sz="4" w:space="0" w:color="1F497D" w:themeColor="text2"/>
            </w:tcBorders>
          </w:tcPr>
          <w:p w14:paraId="63F4C689" w14:textId="77777777" w:rsidR="00D2767F" w:rsidRPr="00235518" w:rsidRDefault="00D2767F"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Estado Inicial</w:t>
            </w:r>
          </w:p>
        </w:tc>
        <w:tc>
          <w:tcPr>
            <w:tcW w:w="3467" w:type="dxa"/>
            <w:tcBorders>
              <w:bottom w:val="single" w:sz="4" w:space="0" w:color="1F497D" w:themeColor="text2"/>
            </w:tcBorders>
          </w:tcPr>
          <w:p w14:paraId="40715CF2" w14:textId="77777777" w:rsidR="00D2767F" w:rsidRPr="00235518" w:rsidRDefault="00D2767F" w:rsidP="00A6302C">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Estado Actual</w:t>
            </w:r>
          </w:p>
        </w:tc>
      </w:tr>
      <w:tr w:rsidR="00D2767F" w:rsidRPr="0001220E" w14:paraId="4BDBBDC6" w14:textId="77777777" w:rsidTr="00E43E1D">
        <w:trPr>
          <w:cnfStyle w:val="000000100000" w:firstRow="0" w:lastRow="0" w:firstColumn="0" w:lastColumn="0" w:oddVBand="0" w:evenVBand="0" w:oddHBand="1" w:evenHBand="0" w:firstRowFirstColumn="0" w:firstRowLastColumn="0" w:lastRowFirstColumn="0" w:lastRowLastColumn="0"/>
          <w:trHeight w:val="234"/>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34EBDAE6" w14:textId="77777777" w:rsidR="00D2767F" w:rsidRPr="00235518" w:rsidRDefault="00D2767F" w:rsidP="00A6302C">
            <w:pPr>
              <w:suppressAutoHyphens w:val="0"/>
              <w:jc w:val="both"/>
              <w:rPr>
                <w:rFonts w:cs="Arial"/>
                <w:sz w:val="20"/>
                <w:szCs w:val="20"/>
                <w:lang w:val="es-MX" w:eastAsia="en-US"/>
              </w:rPr>
            </w:pPr>
            <w:r w:rsidRPr="00235518">
              <w:rPr>
                <w:rFonts w:cs="Arial"/>
                <w:sz w:val="20"/>
                <w:szCs w:val="20"/>
                <w:lang w:val="es-MX" w:eastAsia="en-US"/>
              </w:rPr>
              <w:t>Información</w:t>
            </w:r>
          </w:p>
        </w:tc>
        <w:tc>
          <w:tcPr>
            <w:tcW w:w="3685"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57396DBD"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Los expedientes se encuentran en físico en original y copia, la información general y estadística de los procesos disciplinarios estaba contenida en el Sistema PRODISCI</w:t>
            </w:r>
          </w:p>
        </w:tc>
        <w:tc>
          <w:tcPr>
            <w:tcW w:w="346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5133D0BD"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En la actualidad se está realizando la migración de los expedientes al nuevo Sistema de Información Disciplinaria - SID, el cual permite contar con la información de manera digital, garantizando su disponibilidad, preservación e integridad</w:t>
            </w:r>
          </w:p>
        </w:tc>
      </w:tr>
      <w:tr w:rsidR="00D2767F" w:rsidRPr="0001220E" w14:paraId="383F0079" w14:textId="77777777" w:rsidTr="00E43E1D">
        <w:trPr>
          <w:trHeight w:val="252"/>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480C29F9" w14:textId="77777777" w:rsidR="00D2767F" w:rsidRPr="00235518" w:rsidRDefault="00D2767F" w:rsidP="00A6302C">
            <w:pPr>
              <w:suppressAutoHyphens w:val="0"/>
              <w:jc w:val="both"/>
              <w:rPr>
                <w:rFonts w:cs="Arial"/>
                <w:sz w:val="20"/>
                <w:szCs w:val="20"/>
                <w:lang w:val="es-MX" w:eastAsia="en-US"/>
              </w:rPr>
            </w:pPr>
            <w:r w:rsidRPr="00235518">
              <w:rPr>
                <w:rFonts w:cs="Arial"/>
                <w:sz w:val="20"/>
                <w:szCs w:val="20"/>
                <w:lang w:val="es-MX" w:eastAsia="en-US"/>
              </w:rPr>
              <w:t>Alcance del proceso</w:t>
            </w:r>
          </w:p>
        </w:tc>
        <w:tc>
          <w:tcPr>
            <w:tcW w:w="3685"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15B31585" w14:textId="77777777" w:rsidR="00D2767F" w:rsidRPr="00235518" w:rsidRDefault="00D2767F"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El proceso estaba a cargo del Grupo Interno de Trabajo de Control Disciplinario, que se encontraba adscrito a la Secretaría General y</w:t>
            </w:r>
            <w:r w:rsidRPr="00235518">
              <w:rPr>
                <w:rFonts w:cs="Arial"/>
                <w:sz w:val="20"/>
                <w:szCs w:val="20"/>
                <w:lang w:eastAsia="en-US"/>
              </w:rPr>
              <w:t xml:space="preserve"> cuya competencia </w:t>
            </w:r>
            <w:r w:rsidRPr="00235518">
              <w:rPr>
                <w:rFonts w:cs="Arial"/>
                <w:sz w:val="20"/>
                <w:szCs w:val="20"/>
                <w:lang w:val="es-MX" w:eastAsia="en-US"/>
              </w:rPr>
              <w:t>en primera instancia generaba dificultades debido a que una gran cantidad de áreas del Instituto dependían de ésta.</w:t>
            </w:r>
          </w:p>
        </w:tc>
        <w:tc>
          <w:tcPr>
            <w:tcW w:w="346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124D3D8D" w14:textId="77777777" w:rsidR="00D2767F" w:rsidRPr="00235518" w:rsidRDefault="00D2767F"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 xml:space="preserve">En atención los lineamientos de la circular conjunta 001 de 2002 del DAPF y la PGN; a la magnitud de la entidad, al volumen de procesos disciplinarios que se manejan y en aras de garantizar la independencia y autonomía en el cumplimiento de la función disciplinaria, se creó la Oficina de Control Interno Disciplinario, la cual está adscrita a Dirección General.  </w:t>
            </w:r>
          </w:p>
        </w:tc>
      </w:tr>
      <w:tr w:rsidR="00D2767F" w:rsidRPr="00235518" w14:paraId="141A0472" w14:textId="77777777" w:rsidTr="00E43E1D">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6401E8EA" w14:textId="77777777" w:rsidR="00D2767F" w:rsidRPr="00235518" w:rsidRDefault="00D2767F" w:rsidP="00A6302C">
            <w:pPr>
              <w:suppressAutoHyphens w:val="0"/>
              <w:jc w:val="both"/>
              <w:rPr>
                <w:rFonts w:cs="Arial"/>
                <w:sz w:val="20"/>
                <w:szCs w:val="20"/>
                <w:lang w:val="es-MX" w:eastAsia="en-US"/>
              </w:rPr>
            </w:pPr>
            <w:r w:rsidRPr="00235518">
              <w:rPr>
                <w:rFonts w:cs="Arial"/>
                <w:sz w:val="20"/>
                <w:szCs w:val="20"/>
                <w:lang w:val="es-MX" w:eastAsia="en-US"/>
              </w:rPr>
              <w:t>Seguimiento</w:t>
            </w:r>
          </w:p>
        </w:tc>
        <w:tc>
          <w:tcPr>
            <w:tcW w:w="3685"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3851335F"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235518">
              <w:rPr>
                <w:rFonts w:cs="Arial"/>
                <w:sz w:val="20"/>
                <w:szCs w:val="20"/>
                <w:lang w:eastAsia="en-US"/>
              </w:rPr>
              <w:t>El seguimiento se adelantaba de conformidad con el impulso y etapas procesales de las correspondientes investigaciones disciplinarias, además de lo anterior, la coordinadora del Grupo Interno de trabajo de Control Interno Disciplinario y la Secretar</w:t>
            </w:r>
            <w:r>
              <w:rPr>
                <w:rFonts w:cs="Arial"/>
                <w:sz w:val="20"/>
                <w:szCs w:val="20"/>
                <w:lang w:eastAsia="en-US"/>
              </w:rPr>
              <w:t>í</w:t>
            </w:r>
            <w:r w:rsidRPr="00235518">
              <w:rPr>
                <w:rFonts w:cs="Arial"/>
                <w:sz w:val="20"/>
                <w:szCs w:val="20"/>
                <w:lang w:eastAsia="en-US"/>
              </w:rPr>
              <w:t>a General adelantaban reuniones generales para evaluar el avance de los procesos disciplinarios activos en la Entidad.</w:t>
            </w:r>
          </w:p>
        </w:tc>
        <w:tc>
          <w:tcPr>
            <w:tcW w:w="346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1E2C9F9A"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El seguimiento a los expedientes se realiza de manera mensual sin perjuicio del seguimiento especial de los expedientes que están en etapas cruciales o en posible riesgo de vencimiento de términos o prescripción. Se realizan reuniones periódicas con los abogados sustanciadores, en las cuales se reciben reportes del estado de los procesos y se asignan tareas a adelantar, se deja constancia de estas en actas firmadas por los intervinientes.</w:t>
            </w:r>
          </w:p>
          <w:p w14:paraId="30F3937D"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p>
          <w:p w14:paraId="0B6DF343" w14:textId="77777777" w:rsidR="00D2767F" w:rsidRPr="00235518" w:rsidRDefault="00D2767F" w:rsidP="00A6302C">
            <w:pPr>
              <w:suppressAutoHyphens w:val="0"/>
              <w:contextualSpacing/>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Se está implementando el Sistema de Información Disciplinaria, lo que permitirá acceso a información detallada y actualizada de los procesos adelantados por la oficina, permitiendo generar reportes de acuerdo con los requerimientos del área.</w:t>
            </w:r>
          </w:p>
        </w:tc>
      </w:tr>
      <w:tr w:rsidR="00D2767F" w:rsidRPr="00235518" w14:paraId="020A97F7" w14:textId="77777777" w:rsidTr="00E43E1D">
        <w:trPr>
          <w:trHeight w:val="260"/>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4529383F" w14:textId="77777777" w:rsidR="00D2767F" w:rsidRPr="00235518" w:rsidRDefault="00D2767F" w:rsidP="00A6302C">
            <w:pPr>
              <w:suppressAutoHyphens w:val="0"/>
              <w:jc w:val="both"/>
              <w:rPr>
                <w:rFonts w:cs="Arial"/>
                <w:b w:val="0"/>
                <w:sz w:val="20"/>
                <w:szCs w:val="20"/>
                <w:lang w:val="es-MX" w:eastAsia="en-US"/>
              </w:rPr>
            </w:pPr>
            <w:r w:rsidRPr="00235518">
              <w:rPr>
                <w:rFonts w:cs="Arial"/>
                <w:sz w:val="20"/>
                <w:szCs w:val="20"/>
                <w:lang w:val="es-MX" w:eastAsia="en-US"/>
              </w:rPr>
              <w:t>Procedimientos</w:t>
            </w:r>
          </w:p>
        </w:tc>
        <w:tc>
          <w:tcPr>
            <w:tcW w:w="3685"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595F9084" w14:textId="77777777" w:rsidR="00D2767F" w:rsidRPr="00235518" w:rsidRDefault="00D2767F"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El procedimiento de Control Interno Disciplinario, con el que se registra por primera vez las actividades del GIT, dentro del marco del SGI.</w:t>
            </w:r>
          </w:p>
          <w:p w14:paraId="42380AAB" w14:textId="77777777" w:rsidR="00D2767F" w:rsidRPr="00235518" w:rsidRDefault="00D2767F"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Documentado en manual de procedimiento “Control Interno Disciplinario P22000-01/15. V1”</w:t>
            </w:r>
          </w:p>
        </w:tc>
        <w:tc>
          <w:tcPr>
            <w:tcW w:w="3467"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14:paraId="7AFE1F7A" w14:textId="77777777" w:rsidR="00D2767F" w:rsidRPr="00235518" w:rsidRDefault="00D2767F" w:rsidP="00A6302C">
            <w:pPr>
              <w:suppressAutoHyphens w:val="0"/>
              <w:contextualSpacing/>
              <w:jc w:val="both"/>
              <w:cnfStyle w:val="000000000000" w:firstRow="0" w:lastRow="0" w:firstColumn="0" w:lastColumn="0" w:oddVBand="0" w:evenVBand="0" w:oddHBand="0" w:evenHBand="0" w:firstRowFirstColumn="0" w:firstRowLastColumn="0" w:lastRowFirstColumn="0" w:lastRowLastColumn="0"/>
              <w:rPr>
                <w:rFonts w:cs="Arial"/>
                <w:sz w:val="20"/>
                <w:szCs w:val="20"/>
                <w:lang w:val="es-MX" w:eastAsia="en-US"/>
              </w:rPr>
            </w:pPr>
            <w:r w:rsidRPr="00235518">
              <w:rPr>
                <w:rFonts w:cs="Arial"/>
                <w:sz w:val="20"/>
                <w:szCs w:val="20"/>
                <w:lang w:val="es-MX" w:eastAsia="en-US"/>
              </w:rPr>
              <w:t>Con los avances en el Sistema de Información Disciplinaria, se estructuran las actividades del proceso mejorando los tiempos de respuesta de la Oficina y garantizando que los procedimientos ordinarios y verbales, se cumplan de acuerdo con los establecido en la normatividad vigente.</w:t>
            </w:r>
          </w:p>
        </w:tc>
      </w:tr>
    </w:tbl>
    <w:p w14:paraId="6B748FF5" w14:textId="77777777" w:rsidR="00D2767F" w:rsidRPr="00235518" w:rsidRDefault="00D2767F" w:rsidP="00D2767F">
      <w:pPr>
        <w:jc w:val="center"/>
        <w:rPr>
          <w:b/>
          <w:bCs/>
          <w:sz w:val="16"/>
          <w:szCs w:val="16"/>
        </w:rPr>
      </w:pPr>
      <w:r w:rsidRPr="00235518">
        <w:rPr>
          <w:b/>
          <w:bCs/>
          <w:sz w:val="16"/>
          <w:szCs w:val="16"/>
        </w:rPr>
        <w:lastRenderedPageBreak/>
        <w:t>Fuente: Oficina de Control Interno Disciplinario</w:t>
      </w:r>
    </w:p>
    <w:p w14:paraId="769727D8" w14:textId="547CFCF3" w:rsidR="00D2767F" w:rsidRPr="00235518" w:rsidRDefault="00D2767F" w:rsidP="00D2767F">
      <w:pPr>
        <w:jc w:val="both"/>
        <w:rPr>
          <w:rFonts w:cs="Arial"/>
          <w:b/>
          <w:sz w:val="20"/>
          <w:szCs w:val="20"/>
        </w:rPr>
      </w:pPr>
    </w:p>
    <w:p w14:paraId="2217358D" w14:textId="029BCDC0" w:rsidR="00A23B26" w:rsidRDefault="00D2767F" w:rsidP="00591623">
      <w:pPr>
        <w:pStyle w:val="Prrafodelista"/>
        <w:numPr>
          <w:ilvl w:val="2"/>
          <w:numId w:val="22"/>
        </w:numPr>
        <w:rPr>
          <w:b/>
          <w:sz w:val="22"/>
          <w:lang w:eastAsia="es-MX"/>
        </w:rPr>
      </w:pPr>
      <w:r w:rsidRPr="00553569">
        <w:rPr>
          <w:b/>
          <w:sz w:val="22"/>
          <w:lang w:eastAsia="es-MX"/>
        </w:rPr>
        <w:t>PROCEDIMIENTOS, INDICADORES Y RIESGOS ASOCIADOS A LA JEFATURA DE LA OFICINA DE CONTROL INTERNO DISCIPLINARIO</w:t>
      </w:r>
    </w:p>
    <w:p w14:paraId="2E30F30D" w14:textId="77777777" w:rsidR="00553569" w:rsidRPr="00553569" w:rsidRDefault="00553569" w:rsidP="00553569">
      <w:pPr>
        <w:pStyle w:val="Lista"/>
        <w:rPr>
          <w:lang w:eastAsia="es-MX"/>
        </w:rPr>
      </w:pPr>
    </w:p>
    <w:tbl>
      <w:tblPr>
        <w:tblStyle w:val="Tabladelista3-nfasis1"/>
        <w:tblW w:w="5000" w:type="pct"/>
        <w:tblLook w:val="04A0" w:firstRow="1" w:lastRow="0" w:firstColumn="1" w:lastColumn="0" w:noHBand="0" w:noVBand="1"/>
      </w:tblPr>
      <w:tblGrid>
        <w:gridCol w:w="2763"/>
        <w:gridCol w:w="1702"/>
        <w:gridCol w:w="2121"/>
        <w:gridCol w:w="1661"/>
        <w:gridCol w:w="1103"/>
      </w:tblGrid>
      <w:tr w:rsidR="00D2767F" w:rsidRPr="00235518" w14:paraId="6BE593A8" w14:textId="77777777" w:rsidTr="00A6302C">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478" w:type="pct"/>
          </w:tcPr>
          <w:p w14:paraId="143DF835" w14:textId="77777777" w:rsidR="00D2767F" w:rsidRPr="00235518" w:rsidRDefault="00D2767F" w:rsidP="00A6302C">
            <w:pPr>
              <w:jc w:val="center"/>
              <w:rPr>
                <w:rFonts w:cs="Arial"/>
                <w:b w:val="0"/>
                <w:sz w:val="20"/>
                <w:szCs w:val="20"/>
              </w:rPr>
            </w:pPr>
            <w:r w:rsidRPr="00235518">
              <w:rPr>
                <w:rFonts w:cs="Arial"/>
                <w:sz w:val="20"/>
                <w:szCs w:val="20"/>
              </w:rPr>
              <w:t>Proceso</w:t>
            </w:r>
          </w:p>
        </w:tc>
        <w:tc>
          <w:tcPr>
            <w:tcW w:w="910" w:type="pct"/>
          </w:tcPr>
          <w:p w14:paraId="2867B2D7" w14:textId="77777777" w:rsidR="00D2767F" w:rsidRPr="00235518" w:rsidRDefault="00D2767F"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235518">
              <w:rPr>
                <w:rFonts w:cs="Arial"/>
                <w:sz w:val="20"/>
                <w:szCs w:val="20"/>
              </w:rPr>
              <w:t>Subproceso</w:t>
            </w:r>
          </w:p>
        </w:tc>
        <w:tc>
          <w:tcPr>
            <w:tcW w:w="1134" w:type="pct"/>
          </w:tcPr>
          <w:p w14:paraId="2D44B4AE" w14:textId="77777777" w:rsidR="00D2767F" w:rsidRPr="00235518" w:rsidRDefault="00D2767F"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235518">
              <w:rPr>
                <w:rFonts w:cs="Arial"/>
                <w:sz w:val="20"/>
                <w:szCs w:val="20"/>
              </w:rPr>
              <w:t>Procedimientos</w:t>
            </w:r>
          </w:p>
        </w:tc>
        <w:tc>
          <w:tcPr>
            <w:tcW w:w="888" w:type="pct"/>
          </w:tcPr>
          <w:p w14:paraId="3FD43121" w14:textId="77777777" w:rsidR="00D2767F" w:rsidRPr="00235518" w:rsidRDefault="00D2767F"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235518">
              <w:rPr>
                <w:rFonts w:cs="Arial"/>
                <w:sz w:val="20"/>
                <w:szCs w:val="20"/>
              </w:rPr>
              <w:t>Indicadores</w:t>
            </w:r>
          </w:p>
        </w:tc>
        <w:tc>
          <w:tcPr>
            <w:tcW w:w="590" w:type="pct"/>
          </w:tcPr>
          <w:p w14:paraId="4A6DA87D" w14:textId="77777777" w:rsidR="00D2767F" w:rsidRPr="00235518" w:rsidRDefault="00D2767F" w:rsidP="00A6302C">
            <w:pPr>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235518">
              <w:rPr>
                <w:rFonts w:cs="Arial"/>
                <w:sz w:val="20"/>
                <w:szCs w:val="20"/>
              </w:rPr>
              <w:t>Riesgos</w:t>
            </w:r>
          </w:p>
        </w:tc>
      </w:tr>
      <w:tr w:rsidR="00D2767F" w:rsidRPr="00235518" w14:paraId="7D9776D5" w14:textId="77777777" w:rsidTr="00A6302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78" w:type="pct"/>
          </w:tcPr>
          <w:p w14:paraId="615E8279" w14:textId="77777777" w:rsidR="00D2767F" w:rsidRPr="00235518" w:rsidRDefault="00D2767F" w:rsidP="00A6302C">
            <w:pPr>
              <w:rPr>
                <w:rFonts w:cs="Arial"/>
                <w:sz w:val="20"/>
                <w:szCs w:val="20"/>
              </w:rPr>
            </w:pPr>
            <w:r w:rsidRPr="00235518">
              <w:rPr>
                <w:rFonts w:cs="Arial"/>
                <w:sz w:val="20"/>
                <w:szCs w:val="20"/>
              </w:rPr>
              <w:t>Gestión Disciplinaria</w:t>
            </w:r>
          </w:p>
        </w:tc>
        <w:tc>
          <w:tcPr>
            <w:tcW w:w="910" w:type="pct"/>
          </w:tcPr>
          <w:p w14:paraId="01C05246" w14:textId="77777777" w:rsidR="00D2767F" w:rsidRPr="00235518" w:rsidRDefault="00D2767F" w:rsidP="00A6302C">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235518">
              <w:rPr>
                <w:rFonts w:cs="Arial"/>
                <w:sz w:val="20"/>
                <w:szCs w:val="20"/>
              </w:rPr>
              <w:t>No Aplica</w:t>
            </w:r>
          </w:p>
        </w:tc>
        <w:tc>
          <w:tcPr>
            <w:tcW w:w="1134" w:type="pct"/>
          </w:tcPr>
          <w:p w14:paraId="4A20F3A3" w14:textId="77777777" w:rsidR="00D2767F" w:rsidRPr="00235518"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35518">
              <w:rPr>
                <w:rFonts w:cs="Arial"/>
                <w:sz w:val="20"/>
                <w:szCs w:val="20"/>
              </w:rPr>
              <w:t>1</w:t>
            </w:r>
          </w:p>
        </w:tc>
        <w:tc>
          <w:tcPr>
            <w:tcW w:w="888" w:type="pct"/>
          </w:tcPr>
          <w:p w14:paraId="6D2F947F" w14:textId="77777777" w:rsidR="00D2767F" w:rsidRPr="00235518"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35518">
              <w:rPr>
                <w:rFonts w:cs="Arial"/>
                <w:sz w:val="20"/>
                <w:szCs w:val="20"/>
              </w:rPr>
              <w:t>4</w:t>
            </w:r>
          </w:p>
        </w:tc>
        <w:tc>
          <w:tcPr>
            <w:tcW w:w="590" w:type="pct"/>
          </w:tcPr>
          <w:p w14:paraId="5560CCA3" w14:textId="77777777" w:rsidR="00D2767F" w:rsidRPr="00235518" w:rsidRDefault="00D2767F" w:rsidP="00A6302C">
            <w:pPr>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35518">
              <w:rPr>
                <w:rFonts w:cs="Arial"/>
                <w:sz w:val="20"/>
                <w:szCs w:val="20"/>
              </w:rPr>
              <w:t>2</w:t>
            </w:r>
          </w:p>
        </w:tc>
      </w:tr>
      <w:tr w:rsidR="00D2767F" w:rsidRPr="00235518" w14:paraId="60D290AB" w14:textId="77777777" w:rsidTr="00A6302C">
        <w:trPr>
          <w:trHeight w:val="20"/>
        </w:trPr>
        <w:tc>
          <w:tcPr>
            <w:cnfStyle w:val="001000000000" w:firstRow="0" w:lastRow="0" w:firstColumn="1" w:lastColumn="0" w:oddVBand="0" w:evenVBand="0" w:oddHBand="0" w:evenHBand="0" w:firstRowFirstColumn="0" w:firstRowLastColumn="0" w:lastRowFirstColumn="0" w:lastRowLastColumn="0"/>
            <w:tcW w:w="2388" w:type="pct"/>
            <w:gridSpan w:val="2"/>
          </w:tcPr>
          <w:p w14:paraId="36B6BF9E" w14:textId="77777777" w:rsidR="00D2767F" w:rsidRPr="00235518" w:rsidRDefault="00D2767F" w:rsidP="00A6302C">
            <w:pPr>
              <w:rPr>
                <w:rFonts w:cs="Arial"/>
                <w:b w:val="0"/>
                <w:sz w:val="20"/>
                <w:szCs w:val="20"/>
              </w:rPr>
            </w:pPr>
            <w:r w:rsidRPr="00235518">
              <w:rPr>
                <w:rFonts w:cs="Arial"/>
                <w:sz w:val="20"/>
                <w:szCs w:val="20"/>
              </w:rPr>
              <w:t>Total</w:t>
            </w:r>
          </w:p>
        </w:tc>
        <w:tc>
          <w:tcPr>
            <w:tcW w:w="1134" w:type="pct"/>
          </w:tcPr>
          <w:p w14:paraId="1BE1DC27" w14:textId="77777777" w:rsidR="00D2767F" w:rsidRPr="00235518" w:rsidRDefault="00D2767F" w:rsidP="00A6302C">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35518">
              <w:rPr>
                <w:rFonts w:cs="Arial"/>
                <w:b/>
                <w:sz w:val="20"/>
                <w:szCs w:val="20"/>
              </w:rPr>
              <w:t>1</w:t>
            </w:r>
          </w:p>
        </w:tc>
        <w:tc>
          <w:tcPr>
            <w:tcW w:w="888" w:type="pct"/>
          </w:tcPr>
          <w:p w14:paraId="42C79025" w14:textId="77777777" w:rsidR="00D2767F" w:rsidRPr="00235518" w:rsidRDefault="00D2767F" w:rsidP="00A6302C">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35518">
              <w:rPr>
                <w:rFonts w:cs="Arial"/>
                <w:b/>
                <w:sz w:val="20"/>
                <w:szCs w:val="20"/>
              </w:rPr>
              <w:t>4</w:t>
            </w:r>
          </w:p>
        </w:tc>
        <w:tc>
          <w:tcPr>
            <w:tcW w:w="590" w:type="pct"/>
          </w:tcPr>
          <w:p w14:paraId="7CF1BC52" w14:textId="77777777" w:rsidR="00D2767F" w:rsidRPr="00235518" w:rsidRDefault="00D2767F" w:rsidP="00A6302C">
            <w:pPr>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235518">
              <w:rPr>
                <w:rFonts w:cs="Arial"/>
                <w:b/>
                <w:sz w:val="20"/>
                <w:szCs w:val="20"/>
              </w:rPr>
              <w:t>2</w:t>
            </w:r>
          </w:p>
        </w:tc>
      </w:tr>
    </w:tbl>
    <w:p w14:paraId="0904EC22" w14:textId="77777777" w:rsidR="00D2767F" w:rsidRPr="00235518" w:rsidRDefault="00D2767F" w:rsidP="00D2767F">
      <w:pPr>
        <w:jc w:val="center"/>
        <w:rPr>
          <w:b/>
          <w:bCs/>
          <w:sz w:val="16"/>
          <w:szCs w:val="16"/>
        </w:rPr>
      </w:pPr>
      <w:r w:rsidRPr="00235518">
        <w:rPr>
          <w:b/>
          <w:bCs/>
          <w:sz w:val="16"/>
          <w:szCs w:val="16"/>
        </w:rPr>
        <w:t>Fuente: Oficina Asesora de Planeación</w:t>
      </w:r>
    </w:p>
    <w:p w14:paraId="5DA85B2A" w14:textId="032133BE" w:rsidR="00D2767F" w:rsidRDefault="00D2767F" w:rsidP="00D2767F">
      <w:pPr>
        <w:suppressAutoHyphens w:val="0"/>
        <w:jc w:val="both"/>
        <w:outlineLvl w:val="1"/>
        <w:rPr>
          <w:rFonts w:cs="Arial"/>
          <w:sz w:val="22"/>
          <w:szCs w:val="22"/>
          <w:lang w:val="es-MX"/>
        </w:rPr>
      </w:pPr>
    </w:p>
    <w:p w14:paraId="02BECACD" w14:textId="77777777" w:rsidR="00D2767F" w:rsidRPr="00591623" w:rsidRDefault="00D2767F" w:rsidP="00591623">
      <w:pPr>
        <w:rPr>
          <w:sz w:val="22"/>
          <w:szCs w:val="22"/>
          <w:lang w:val="es-MX" w:eastAsia="en-US"/>
        </w:rPr>
      </w:pPr>
      <w:r w:rsidRPr="00591623">
        <w:rPr>
          <w:sz w:val="22"/>
          <w:szCs w:val="22"/>
          <w:lang w:val="es-MX" w:eastAsia="en-US"/>
        </w:rPr>
        <w:t xml:space="preserve">Para mayor detalle de la información consultar en: </w:t>
      </w:r>
    </w:p>
    <w:p w14:paraId="6C76C315" w14:textId="77777777" w:rsidR="00D2767F" w:rsidRPr="00591623" w:rsidRDefault="00D2767F" w:rsidP="00591623">
      <w:pPr>
        <w:rPr>
          <w:sz w:val="22"/>
          <w:szCs w:val="22"/>
          <w:lang w:val="es-MX" w:eastAsia="en-US"/>
        </w:rPr>
      </w:pPr>
    </w:p>
    <w:p w14:paraId="2326E7B5" w14:textId="77777777" w:rsidR="00D2767F" w:rsidRPr="00591623" w:rsidRDefault="00D2767F" w:rsidP="00591623">
      <w:pPr>
        <w:pStyle w:val="Prrafodelista"/>
        <w:numPr>
          <w:ilvl w:val="0"/>
          <w:numId w:val="279"/>
        </w:numPr>
        <w:rPr>
          <w:sz w:val="22"/>
          <w:szCs w:val="22"/>
          <w:lang w:val="es-MX" w:eastAsia="en-US"/>
        </w:rPr>
      </w:pPr>
      <w:r w:rsidRPr="00591623">
        <w:rPr>
          <w:b/>
          <w:sz w:val="22"/>
          <w:szCs w:val="22"/>
          <w:lang w:val="es-MX" w:eastAsia="en-US"/>
        </w:rPr>
        <w:t>Procedimientos</w:t>
      </w:r>
      <w:r w:rsidRPr="00591623">
        <w:rPr>
          <w:sz w:val="22"/>
          <w:szCs w:val="22"/>
          <w:lang w:val="es-MX" w:eastAsia="en-US"/>
        </w:rPr>
        <w:t xml:space="preserve">: </w:t>
      </w:r>
      <w:hyperlink r:id="rId181" w:history="1">
        <w:r w:rsidRPr="00591623">
          <w:rPr>
            <w:rStyle w:val="Hipervnculo"/>
            <w:rFonts w:cs="Arial"/>
            <w:sz w:val="22"/>
            <w:szCs w:val="22"/>
            <w:lang w:val="es-MX" w:eastAsia="en-US"/>
          </w:rPr>
          <w:t>https://www.igac.gov.co/es/listado-maestro-de-documentos</w:t>
        </w:r>
      </w:hyperlink>
    </w:p>
    <w:p w14:paraId="2693C487" w14:textId="77777777" w:rsidR="00D2767F" w:rsidRPr="00591623" w:rsidRDefault="00D2767F" w:rsidP="00591623">
      <w:pPr>
        <w:pStyle w:val="Prrafodelista"/>
        <w:numPr>
          <w:ilvl w:val="0"/>
          <w:numId w:val="279"/>
        </w:numPr>
        <w:rPr>
          <w:sz w:val="22"/>
          <w:szCs w:val="22"/>
          <w:lang w:val="es-MX" w:eastAsia="en-US"/>
        </w:rPr>
      </w:pPr>
      <w:r w:rsidRPr="00591623">
        <w:rPr>
          <w:b/>
          <w:sz w:val="22"/>
          <w:szCs w:val="22"/>
          <w:lang w:val="es-MX" w:eastAsia="en-US"/>
        </w:rPr>
        <w:t>Indicadores:</w:t>
      </w:r>
      <w:r w:rsidRPr="00591623">
        <w:rPr>
          <w:sz w:val="22"/>
          <w:szCs w:val="22"/>
          <w:lang w:val="es-MX" w:eastAsia="en-US"/>
        </w:rPr>
        <w:t xml:space="preserve"> Plan Acción Anual 2021:  </w:t>
      </w:r>
      <w:hyperlink r:id="rId182" w:history="1">
        <w:r w:rsidRPr="00591623">
          <w:rPr>
            <w:rStyle w:val="Hipervnculo"/>
            <w:rFonts w:cs="Arial"/>
            <w:sz w:val="22"/>
            <w:szCs w:val="22"/>
            <w:lang w:val="es-MX" w:eastAsia="en-US"/>
          </w:rPr>
          <w:t>https://www.igac.gov.co/es/transparencia-y-acceso-a-la-informacion-publica/plan-de-accion-anual</w:t>
        </w:r>
      </w:hyperlink>
      <w:r w:rsidRPr="00591623">
        <w:rPr>
          <w:sz w:val="22"/>
          <w:szCs w:val="22"/>
          <w:lang w:val="es-MX" w:eastAsia="en-US"/>
        </w:rPr>
        <w:t xml:space="preserve"> y en Herramienta PLANIGAC </w:t>
      </w:r>
    </w:p>
    <w:p w14:paraId="0DE7243F" w14:textId="77777777" w:rsidR="00D2767F" w:rsidRPr="00591623" w:rsidRDefault="00D2767F" w:rsidP="00591623">
      <w:pPr>
        <w:pStyle w:val="Prrafodelista"/>
        <w:numPr>
          <w:ilvl w:val="0"/>
          <w:numId w:val="279"/>
        </w:numPr>
        <w:rPr>
          <w:sz w:val="22"/>
          <w:szCs w:val="22"/>
          <w:lang w:val="es-MX" w:eastAsia="en-US"/>
        </w:rPr>
      </w:pPr>
      <w:r w:rsidRPr="00591623">
        <w:rPr>
          <w:b/>
          <w:sz w:val="22"/>
          <w:szCs w:val="22"/>
          <w:lang w:val="es-MX" w:eastAsia="en-US"/>
        </w:rPr>
        <w:t>Riesgos:</w:t>
      </w:r>
      <w:r w:rsidRPr="00591623">
        <w:rPr>
          <w:sz w:val="22"/>
          <w:szCs w:val="22"/>
          <w:lang w:val="es-MX" w:eastAsia="en-US"/>
        </w:rPr>
        <w:t xml:space="preserve"> Matriz de Riesgos Institucional IGAC 2021: </w:t>
      </w:r>
      <w:hyperlink r:id="rId183" w:history="1">
        <w:r w:rsidRPr="00591623">
          <w:rPr>
            <w:rStyle w:val="Hipervnculo"/>
            <w:rFonts w:cs="Arial"/>
            <w:sz w:val="22"/>
            <w:szCs w:val="22"/>
            <w:lang w:val="es-MX" w:eastAsia="en-US"/>
          </w:rPr>
          <w:t>https://www.igac.gov.co/es/transparencia-y-acceso-a-la-informacion-publica/plan-anticorrupcion-y-de-atencion-al-ciudadano</w:t>
        </w:r>
      </w:hyperlink>
      <w:r w:rsidRPr="00591623">
        <w:rPr>
          <w:sz w:val="22"/>
          <w:szCs w:val="22"/>
          <w:lang w:val="es-MX" w:eastAsia="en-US"/>
        </w:rPr>
        <w:t xml:space="preserve"> y en Herramienta PLANIGAC.</w:t>
      </w:r>
    </w:p>
    <w:p w14:paraId="0FB8803B" w14:textId="044855E3" w:rsidR="00A23B26" w:rsidRPr="00A23B26" w:rsidRDefault="00A23B26" w:rsidP="00A23B26">
      <w:pPr>
        <w:pStyle w:val="Lista"/>
        <w:rPr>
          <w:lang w:eastAsia="es-MX"/>
        </w:rPr>
      </w:pPr>
    </w:p>
    <w:p w14:paraId="6D0748B2" w14:textId="72838A94" w:rsidR="00553569" w:rsidRPr="00553569" w:rsidRDefault="00D2767F" w:rsidP="00553569">
      <w:pPr>
        <w:pStyle w:val="Prrafodelista"/>
        <w:numPr>
          <w:ilvl w:val="2"/>
          <w:numId w:val="22"/>
        </w:numPr>
        <w:rPr>
          <w:b/>
          <w:lang w:eastAsia="es-MX"/>
        </w:rPr>
      </w:pPr>
      <w:r w:rsidRPr="00553569">
        <w:rPr>
          <w:b/>
          <w:lang w:eastAsia="es-MX"/>
        </w:rPr>
        <w:t>LISTADO DE INFORMES</w:t>
      </w:r>
    </w:p>
    <w:tbl>
      <w:tblPr>
        <w:tblStyle w:val="Tabladelista3-nfasis1"/>
        <w:tblpPr w:leftFromText="141" w:rightFromText="141" w:vertAnchor="text" w:horzAnchor="margin" w:tblpXSpec="center" w:tblpY="62"/>
        <w:tblW w:w="9918" w:type="dxa"/>
        <w:tblLook w:val="04A0" w:firstRow="1" w:lastRow="0" w:firstColumn="1" w:lastColumn="0" w:noHBand="0" w:noVBand="1"/>
      </w:tblPr>
      <w:tblGrid>
        <w:gridCol w:w="809"/>
        <w:gridCol w:w="4006"/>
        <w:gridCol w:w="2904"/>
        <w:gridCol w:w="2199"/>
      </w:tblGrid>
      <w:tr w:rsidR="00D2767F" w:rsidRPr="0001220E" w14:paraId="0DC9B19B" w14:textId="77777777" w:rsidTr="00A23B26">
        <w:trPr>
          <w:cnfStyle w:val="100000000000" w:firstRow="1" w:lastRow="0" w:firstColumn="0" w:lastColumn="0" w:oddVBand="0" w:evenVBand="0" w:oddHBand="0" w:evenHBand="0" w:firstRowFirstColumn="0" w:firstRowLastColumn="0" w:lastRowFirstColumn="0" w:lastRowLastColumn="0"/>
          <w:trHeight w:val="585"/>
        </w:trPr>
        <w:tc>
          <w:tcPr>
            <w:cnfStyle w:val="001000000100" w:firstRow="0" w:lastRow="0" w:firstColumn="1" w:lastColumn="0" w:oddVBand="0" w:evenVBand="0" w:oddHBand="0" w:evenHBand="0" w:firstRowFirstColumn="1" w:firstRowLastColumn="0" w:lastRowFirstColumn="0" w:lastRowLastColumn="0"/>
            <w:tcW w:w="809" w:type="dxa"/>
            <w:vMerge w:val="restart"/>
            <w:tcBorders>
              <w:right w:val="single" w:sz="4" w:space="0" w:color="1F497D" w:themeColor="text2"/>
            </w:tcBorders>
            <w:noWrap/>
            <w:textDirection w:val="btLr"/>
            <w:hideMark/>
          </w:tcPr>
          <w:p w14:paraId="4D67BAC9" w14:textId="77777777" w:rsidR="00D2767F" w:rsidRPr="00235518" w:rsidRDefault="00D2767F" w:rsidP="00A23B26">
            <w:pPr>
              <w:suppressAutoHyphens w:val="0"/>
              <w:jc w:val="center"/>
              <w:rPr>
                <w:rFonts w:cs="Arial"/>
                <w:sz w:val="20"/>
                <w:szCs w:val="20"/>
                <w:lang w:val="es-MX" w:eastAsia="es-MX"/>
              </w:rPr>
            </w:pPr>
            <w:r w:rsidRPr="00235518">
              <w:rPr>
                <w:rFonts w:cs="Arial"/>
                <w:sz w:val="20"/>
                <w:szCs w:val="20"/>
                <w:lang w:val="es-MX" w:eastAsia="es-MX"/>
              </w:rPr>
              <w:t>Internos</w:t>
            </w:r>
          </w:p>
        </w:tc>
        <w:tc>
          <w:tcPr>
            <w:tcW w:w="4006"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hideMark/>
          </w:tcPr>
          <w:p w14:paraId="1F75968D" w14:textId="77777777" w:rsidR="00D2767F" w:rsidRPr="00235518" w:rsidRDefault="00D2767F" w:rsidP="00A23B26">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Informe</w:t>
            </w:r>
          </w:p>
        </w:tc>
        <w:tc>
          <w:tcPr>
            <w:tcW w:w="2904"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hideMark/>
          </w:tcPr>
          <w:p w14:paraId="7D1D576A" w14:textId="77777777" w:rsidR="00D2767F" w:rsidRPr="00235518" w:rsidRDefault="00D2767F" w:rsidP="00A23B26">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Responsable</w:t>
            </w:r>
          </w:p>
        </w:tc>
        <w:tc>
          <w:tcPr>
            <w:tcW w:w="2199"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hideMark/>
          </w:tcPr>
          <w:p w14:paraId="69AF868D" w14:textId="77777777" w:rsidR="00D2767F" w:rsidRPr="00235518" w:rsidRDefault="00D2767F" w:rsidP="00A23B26">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Entrega y Publicación</w:t>
            </w:r>
          </w:p>
        </w:tc>
      </w:tr>
      <w:tr w:rsidR="00D2767F" w:rsidRPr="0001220E" w14:paraId="6F9F0426" w14:textId="77777777" w:rsidTr="00A23B26">
        <w:trPr>
          <w:cnfStyle w:val="000000100000" w:firstRow="0" w:lastRow="0" w:firstColumn="0" w:lastColumn="0" w:oddVBand="0" w:evenVBand="0" w:oddHBand="1"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809" w:type="dxa"/>
            <w:vMerge/>
            <w:tcBorders>
              <w:right w:val="single" w:sz="4" w:space="0" w:color="1F497D" w:themeColor="text2"/>
            </w:tcBorders>
            <w:hideMark/>
          </w:tcPr>
          <w:p w14:paraId="0DAF4DBF" w14:textId="77777777" w:rsidR="00D2767F" w:rsidRPr="00235518" w:rsidRDefault="00D2767F" w:rsidP="00A6302C">
            <w:pPr>
              <w:suppressAutoHyphens w:val="0"/>
              <w:jc w:val="both"/>
              <w:rPr>
                <w:rFonts w:cs="Arial"/>
                <w:sz w:val="20"/>
                <w:szCs w:val="20"/>
                <w:lang w:val="es-MX" w:eastAsia="es-MX"/>
              </w:rPr>
            </w:pPr>
          </w:p>
        </w:tc>
        <w:tc>
          <w:tcPr>
            <w:tcW w:w="4006" w:type="dxa"/>
            <w:tcBorders>
              <w:top w:val="single" w:sz="4" w:space="0" w:color="1F497D" w:themeColor="text2"/>
              <w:left w:val="single" w:sz="4" w:space="0" w:color="1F497D" w:themeColor="text2"/>
              <w:bottom w:val="single" w:sz="4" w:space="0" w:color="1F497D" w:themeColor="text2"/>
              <w:right w:val="single" w:sz="4" w:space="0" w:color="1F497D" w:themeColor="text2"/>
            </w:tcBorders>
            <w:hideMark/>
          </w:tcPr>
          <w:p w14:paraId="194641FA" w14:textId="77777777" w:rsidR="00D2767F" w:rsidRPr="00235518" w:rsidRDefault="00D2767F"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Informe de Cumplimiento a la Dirección General</w:t>
            </w:r>
          </w:p>
        </w:tc>
        <w:tc>
          <w:tcPr>
            <w:tcW w:w="2904"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375DC007" w14:textId="77777777" w:rsidR="00D2767F" w:rsidRPr="00235518" w:rsidRDefault="00D2767F"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Jefe de la Oficina de Control Interno Disciplinario</w:t>
            </w:r>
          </w:p>
        </w:tc>
        <w:tc>
          <w:tcPr>
            <w:tcW w:w="2199" w:type="dxa"/>
            <w:tcBorders>
              <w:top w:val="single" w:sz="4" w:space="0" w:color="1F497D" w:themeColor="text2"/>
              <w:left w:val="single" w:sz="4" w:space="0" w:color="1F497D" w:themeColor="text2"/>
              <w:bottom w:val="single" w:sz="4" w:space="0" w:color="1F497D" w:themeColor="text2"/>
              <w:right w:val="single" w:sz="4" w:space="0" w:color="1F497D" w:themeColor="text2"/>
            </w:tcBorders>
            <w:noWrap/>
            <w:hideMark/>
          </w:tcPr>
          <w:p w14:paraId="229CACD4" w14:textId="77777777" w:rsidR="00D2767F" w:rsidRPr="00235518" w:rsidRDefault="00D2767F" w:rsidP="00A6302C">
            <w:pPr>
              <w:suppressAutoHyphens w:val="0"/>
              <w:jc w:val="both"/>
              <w:cnfStyle w:val="000000100000" w:firstRow="0" w:lastRow="0" w:firstColumn="0" w:lastColumn="0" w:oddVBand="0" w:evenVBand="0" w:oddHBand="1" w:evenHBand="0" w:firstRowFirstColumn="0" w:firstRowLastColumn="0" w:lastRowFirstColumn="0" w:lastRowLastColumn="0"/>
              <w:rPr>
                <w:rFonts w:cs="Arial"/>
                <w:sz w:val="20"/>
                <w:szCs w:val="20"/>
                <w:lang w:val="es-MX" w:eastAsia="es-MX"/>
              </w:rPr>
            </w:pPr>
            <w:r w:rsidRPr="00235518">
              <w:rPr>
                <w:rFonts w:cs="Arial"/>
                <w:sz w:val="20"/>
                <w:szCs w:val="20"/>
                <w:lang w:val="es-MX" w:eastAsia="es-MX"/>
              </w:rPr>
              <w:t xml:space="preserve">Dirección General </w:t>
            </w:r>
          </w:p>
        </w:tc>
      </w:tr>
    </w:tbl>
    <w:p w14:paraId="426F1C6B" w14:textId="77777777" w:rsidR="00D2767F" w:rsidRDefault="00D2767F" w:rsidP="00D2767F">
      <w:pPr>
        <w:jc w:val="center"/>
        <w:rPr>
          <w:b/>
          <w:bCs/>
          <w:sz w:val="16"/>
          <w:szCs w:val="16"/>
        </w:rPr>
      </w:pPr>
      <w:r w:rsidRPr="00235518">
        <w:rPr>
          <w:b/>
          <w:bCs/>
          <w:sz w:val="16"/>
          <w:szCs w:val="16"/>
        </w:rPr>
        <w:t>Fuente: Oficina de Control Interno Disciplinario</w:t>
      </w:r>
    </w:p>
    <w:p w14:paraId="3BA1FD07" w14:textId="77777777" w:rsidR="00D2767F" w:rsidRDefault="00D2767F" w:rsidP="00D2767F">
      <w:pPr>
        <w:jc w:val="center"/>
        <w:rPr>
          <w:b/>
          <w:bCs/>
          <w:sz w:val="16"/>
          <w:szCs w:val="16"/>
        </w:rPr>
      </w:pPr>
    </w:p>
    <w:p w14:paraId="2BCED994" w14:textId="72DCBC12" w:rsidR="00D2767F" w:rsidRPr="008179E9" w:rsidRDefault="00D2767F" w:rsidP="00D2767F">
      <w:pPr>
        <w:jc w:val="both"/>
        <w:rPr>
          <w:rFonts w:cs="Arial"/>
          <w:b/>
          <w:sz w:val="22"/>
          <w:szCs w:val="22"/>
        </w:rPr>
      </w:pPr>
    </w:p>
    <w:p w14:paraId="397DC54D" w14:textId="61067DEC" w:rsidR="008D43DD" w:rsidRPr="008D43DD" w:rsidRDefault="00D2767F" w:rsidP="00A23B26">
      <w:pPr>
        <w:pStyle w:val="Prrafodelista"/>
        <w:numPr>
          <w:ilvl w:val="2"/>
          <w:numId w:val="22"/>
        </w:numPr>
        <w:rPr>
          <w:rFonts w:cs="Arial"/>
          <w:b/>
          <w:bCs/>
          <w:sz w:val="22"/>
          <w:szCs w:val="22"/>
        </w:rPr>
      </w:pPr>
      <w:r w:rsidRPr="0002737D">
        <w:rPr>
          <w:rFonts w:cs="Arial"/>
          <w:b/>
          <w:bCs/>
          <w:sz w:val="22"/>
          <w:szCs w:val="22"/>
        </w:rPr>
        <w:t>RECOMENDACIONES</w:t>
      </w:r>
    </w:p>
    <w:p w14:paraId="0C9F8D95" w14:textId="1927EE56" w:rsidR="00D2767F" w:rsidRPr="0002737D" w:rsidRDefault="00D2767F" w:rsidP="00D2767F">
      <w:pPr>
        <w:jc w:val="both"/>
        <w:rPr>
          <w:rFonts w:cs="Arial"/>
          <w:sz w:val="22"/>
          <w:szCs w:val="22"/>
        </w:rPr>
      </w:pPr>
    </w:p>
    <w:p w14:paraId="60073391"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Se presentó propuesta a la Oficina Asesora de Planeación para la modificación del actual procedimiento interno PC-CDI-01, separándolo en procedimiento verbal y ordinario de acuerdo con lo previsto en la ley 734 de 2002 y al nuevo Sistema de Información Disciplinaria SID.</w:t>
      </w:r>
    </w:p>
    <w:p w14:paraId="0F52227D"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Se recomienda la creación de nuevas plantillas y formatos relacionados con los nuevos procesos una vez sean aprobados por la OAP.</w:t>
      </w:r>
    </w:p>
    <w:p w14:paraId="5D01BC99"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Se articularán con el proceso de Gestión Documental las tablas de retención documental -TRD, con el fin de modificarlas y pasar a una tabla hibrida, consistente en la digitalización de los documentos físicos, esa última gestión tiene como propósito adoptar la política de “cero papel” y avanzar en el alistamiento de la información requerida para alimentar el nuevo Sistema de Información Disciplinaria - SID.</w:t>
      </w:r>
    </w:p>
    <w:p w14:paraId="26AD1359"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Conforme lo anterior, se continuará con la ejecución de la matriz de gestión de cambio, incorporando de manera progresiva al SID la información de la totalidad de los procesos adelantados por la Oficina de Control Disciplinario del IGAC.</w:t>
      </w:r>
    </w:p>
    <w:p w14:paraId="58CC0809"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Fortalecer gestiones encaminadas a la prevención de las conductas disciplinarias, a través de la publicación de temas de interés en materia disciplinaria, la incorporación de charlas y conferencias en el Plan Institucional de Capacitación.</w:t>
      </w:r>
    </w:p>
    <w:p w14:paraId="265D1EC8" w14:textId="7777777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 xml:space="preserve">Con motivo de la entrada en vigencia de las leyes 1952 de 2019 y 2094 de 2020, que reforman el proceso disciplinario, se hace necesaria la separación de funciones de las etapas de Instrucción y juzgamiento, que traería consigo la creación de cargos de jefe de oficina con el mismo nivel jerárquico para atender las funciones propias de cada etapa; </w:t>
      </w:r>
      <w:r w:rsidRPr="00996975">
        <w:rPr>
          <w:rFonts w:cs="Arial"/>
          <w:sz w:val="22"/>
          <w:szCs w:val="22"/>
        </w:rPr>
        <w:lastRenderedPageBreak/>
        <w:t>adicionalmente, se deberá estudiar la necesidad vincular nuevos funcionarios y contratistas o redistribuir los existentes entre las dos áreas de acuerdo a la carga laboral.</w:t>
      </w:r>
    </w:p>
    <w:p w14:paraId="5D72AC81" w14:textId="5FB8FE07" w:rsidR="00D2767F" w:rsidRPr="00996975" w:rsidRDefault="00D2767F" w:rsidP="000A20EE">
      <w:pPr>
        <w:pStyle w:val="Prrafodelista"/>
        <w:numPr>
          <w:ilvl w:val="0"/>
          <w:numId w:val="186"/>
        </w:numPr>
        <w:suppressAutoHyphens w:val="0"/>
        <w:spacing w:after="160"/>
        <w:contextualSpacing/>
        <w:rPr>
          <w:rFonts w:cs="Arial"/>
          <w:sz w:val="22"/>
          <w:szCs w:val="22"/>
        </w:rPr>
      </w:pPr>
      <w:r w:rsidRPr="00996975">
        <w:rPr>
          <w:rFonts w:cs="Arial"/>
          <w:sz w:val="22"/>
          <w:szCs w:val="22"/>
        </w:rPr>
        <w:t>Es pertinente señalar que, en razón al volumen de procesos disciplinarios, así como, al saneamiento procesal de un número impórtate de investigaciones, se retrotrajeron etapas procesales, situación que demanda realizar especial seguimiento de estos expedientes a fin de evitar un posible riesgo de prescripción.</w:t>
      </w:r>
    </w:p>
    <w:p w14:paraId="2CCB3DCC" w14:textId="5FB8FE07" w:rsidR="000144F8" w:rsidRPr="000144F8" w:rsidRDefault="000144F8" w:rsidP="000144F8">
      <w:pPr>
        <w:rPr>
          <w:rFonts w:cs="Arial"/>
          <w:b/>
          <w:sz w:val="22"/>
          <w:szCs w:val="22"/>
        </w:rPr>
      </w:pPr>
    </w:p>
    <w:p w14:paraId="22511028" w14:textId="77777777" w:rsidR="0072324A" w:rsidRDefault="0072324A" w:rsidP="24FD66FF">
      <w:pPr>
        <w:rPr>
          <w:rFonts w:cs="Arial"/>
          <w:b/>
          <w:bCs/>
          <w:sz w:val="22"/>
          <w:szCs w:val="22"/>
        </w:rPr>
      </w:pPr>
    </w:p>
    <w:p w14:paraId="2D4C6603" w14:textId="77777777" w:rsidR="002029BC" w:rsidRDefault="002029BC" w:rsidP="24FD66FF">
      <w:pPr>
        <w:rPr>
          <w:rFonts w:cs="Arial"/>
          <w:b/>
          <w:bCs/>
          <w:sz w:val="22"/>
          <w:szCs w:val="22"/>
        </w:rPr>
      </w:pPr>
    </w:p>
    <w:p w14:paraId="75E5A430" w14:textId="77777777" w:rsidR="002029BC" w:rsidRDefault="002029BC" w:rsidP="24FD66FF">
      <w:pPr>
        <w:rPr>
          <w:rFonts w:cs="Arial"/>
          <w:b/>
          <w:bCs/>
          <w:sz w:val="22"/>
          <w:szCs w:val="22"/>
        </w:rPr>
      </w:pPr>
    </w:p>
    <w:p w14:paraId="75CFA952" w14:textId="77777777" w:rsidR="0072324A" w:rsidRDefault="0072324A" w:rsidP="24FD66FF">
      <w:pPr>
        <w:rPr>
          <w:rFonts w:cs="Arial"/>
          <w:b/>
          <w:bCs/>
          <w:sz w:val="22"/>
          <w:szCs w:val="22"/>
        </w:rPr>
      </w:pPr>
    </w:p>
    <w:p w14:paraId="1A625F86" w14:textId="2BEF0D05" w:rsidR="0072324A" w:rsidRDefault="0072324A" w:rsidP="24FD66FF">
      <w:pPr>
        <w:rPr>
          <w:rFonts w:cs="Arial"/>
          <w:b/>
          <w:bCs/>
          <w:sz w:val="22"/>
          <w:szCs w:val="22"/>
        </w:rPr>
      </w:pPr>
    </w:p>
    <w:p w14:paraId="0CD34000" w14:textId="1F4B08E8" w:rsidR="00591623" w:rsidRDefault="00591623" w:rsidP="24FD66FF">
      <w:pPr>
        <w:rPr>
          <w:rFonts w:cs="Arial"/>
          <w:b/>
          <w:bCs/>
          <w:sz w:val="22"/>
          <w:szCs w:val="22"/>
        </w:rPr>
      </w:pPr>
    </w:p>
    <w:p w14:paraId="1CA17C02" w14:textId="7A1F1664" w:rsidR="00591623" w:rsidRDefault="00591623" w:rsidP="24FD66FF">
      <w:pPr>
        <w:rPr>
          <w:rFonts w:cs="Arial"/>
          <w:b/>
          <w:bCs/>
          <w:sz w:val="22"/>
          <w:szCs w:val="22"/>
        </w:rPr>
      </w:pPr>
    </w:p>
    <w:p w14:paraId="15AAE6FA" w14:textId="586BC6FB" w:rsidR="00591623" w:rsidRDefault="00591623" w:rsidP="24FD66FF">
      <w:pPr>
        <w:rPr>
          <w:rFonts w:cs="Arial"/>
          <w:b/>
          <w:bCs/>
          <w:sz w:val="22"/>
          <w:szCs w:val="22"/>
        </w:rPr>
      </w:pPr>
    </w:p>
    <w:p w14:paraId="39BD73EF" w14:textId="34156F1E" w:rsidR="00591623" w:rsidRDefault="00591623" w:rsidP="24FD66FF">
      <w:pPr>
        <w:rPr>
          <w:rFonts w:cs="Arial"/>
          <w:b/>
          <w:bCs/>
          <w:sz w:val="22"/>
          <w:szCs w:val="22"/>
        </w:rPr>
      </w:pPr>
    </w:p>
    <w:p w14:paraId="35549CD4" w14:textId="0A113D12" w:rsidR="00591623" w:rsidRDefault="00591623" w:rsidP="24FD66FF">
      <w:pPr>
        <w:rPr>
          <w:rFonts w:cs="Arial"/>
          <w:b/>
          <w:bCs/>
          <w:sz w:val="22"/>
          <w:szCs w:val="22"/>
        </w:rPr>
      </w:pPr>
    </w:p>
    <w:p w14:paraId="52609D07" w14:textId="5F74E5F0" w:rsidR="00591623" w:rsidRDefault="00591623" w:rsidP="24FD66FF">
      <w:pPr>
        <w:rPr>
          <w:rFonts w:cs="Arial"/>
          <w:b/>
          <w:bCs/>
          <w:sz w:val="22"/>
          <w:szCs w:val="22"/>
        </w:rPr>
      </w:pPr>
    </w:p>
    <w:p w14:paraId="22A62492" w14:textId="5AD5BC98" w:rsidR="00591623" w:rsidRDefault="00591623" w:rsidP="24FD66FF">
      <w:pPr>
        <w:rPr>
          <w:rFonts w:cs="Arial"/>
          <w:b/>
          <w:bCs/>
          <w:sz w:val="22"/>
          <w:szCs w:val="22"/>
        </w:rPr>
      </w:pPr>
    </w:p>
    <w:p w14:paraId="54B0FEF7" w14:textId="25322B37" w:rsidR="00591623" w:rsidRDefault="00591623" w:rsidP="24FD66FF">
      <w:pPr>
        <w:rPr>
          <w:rFonts w:cs="Arial"/>
          <w:b/>
          <w:bCs/>
          <w:sz w:val="22"/>
          <w:szCs w:val="22"/>
        </w:rPr>
      </w:pPr>
    </w:p>
    <w:p w14:paraId="10B09C86" w14:textId="6271755A" w:rsidR="00591623" w:rsidRDefault="00591623" w:rsidP="24FD66FF">
      <w:pPr>
        <w:rPr>
          <w:rFonts w:cs="Arial"/>
          <w:b/>
          <w:bCs/>
          <w:sz w:val="22"/>
          <w:szCs w:val="22"/>
        </w:rPr>
      </w:pPr>
    </w:p>
    <w:p w14:paraId="35AFF223" w14:textId="39E8E688" w:rsidR="00591623" w:rsidRDefault="00591623" w:rsidP="24FD66FF">
      <w:pPr>
        <w:rPr>
          <w:rFonts w:cs="Arial"/>
          <w:b/>
          <w:bCs/>
          <w:sz w:val="22"/>
          <w:szCs w:val="22"/>
        </w:rPr>
      </w:pPr>
    </w:p>
    <w:p w14:paraId="36E0C3A0" w14:textId="67BDB142" w:rsidR="00591623" w:rsidRDefault="00591623" w:rsidP="24FD66FF">
      <w:pPr>
        <w:rPr>
          <w:rFonts w:cs="Arial"/>
          <w:b/>
          <w:bCs/>
          <w:sz w:val="22"/>
          <w:szCs w:val="22"/>
        </w:rPr>
      </w:pPr>
    </w:p>
    <w:p w14:paraId="73460C89" w14:textId="615BE29F" w:rsidR="00591623" w:rsidRDefault="00591623" w:rsidP="24FD66FF">
      <w:pPr>
        <w:rPr>
          <w:rFonts w:cs="Arial"/>
          <w:b/>
          <w:bCs/>
          <w:sz w:val="22"/>
          <w:szCs w:val="22"/>
        </w:rPr>
      </w:pPr>
    </w:p>
    <w:p w14:paraId="1D11DB89" w14:textId="511FCE37" w:rsidR="00591623" w:rsidRDefault="00591623" w:rsidP="24FD66FF">
      <w:pPr>
        <w:rPr>
          <w:rFonts w:cs="Arial"/>
          <w:b/>
          <w:bCs/>
          <w:sz w:val="22"/>
          <w:szCs w:val="22"/>
        </w:rPr>
      </w:pPr>
    </w:p>
    <w:p w14:paraId="4C36FDB4" w14:textId="74AFC78A" w:rsidR="00591623" w:rsidRDefault="00591623" w:rsidP="24FD66FF">
      <w:pPr>
        <w:rPr>
          <w:rFonts w:cs="Arial"/>
          <w:b/>
          <w:bCs/>
          <w:sz w:val="22"/>
          <w:szCs w:val="22"/>
        </w:rPr>
      </w:pPr>
    </w:p>
    <w:p w14:paraId="16870195" w14:textId="54545BC3" w:rsidR="00591623" w:rsidRDefault="00591623" w:rsidP="24FD66FF">
      <w:pPr>
        <w:rPr>
          <w:rFonts w:cs="Arial"/>
          <w:b/>
          <w:bCs/>
          <w:sz w:val="22"/>
          <w:szCs w:val="22"/>
        </w:rPr>
      </w:pPr>
    </w:p>
    <w:p w14:paraId="43512F3E" w14:textId="1C8E2A7A" w:rsidR="00591623" w:rsidRDefault="00591623" w:rsidP="24FD66FF">
      <w:pPr>
        <w:rPr>
          <w:rFonts w:cs="Arial"/>
          <w:b/>
          <w:bCs/>
          <w:sz w:val="22"/>
          <w:szCs w:val="22"/>
        </w:rPr>
      </w:pPr>
    </w:p>
    <w:p w14:paraId="150052B4" w14:textId="487188B3" w:rsidR="00591623" w:rsidRDefault="00591623" w:rsidP="24FD66FF">
      <w:pPr>
        <w:rPr>
          <w:rFonts w:cs="Arial"/>
          <w:b/>
          <w:bCs/>
          <w:sz w:val="22"/>
          <w:szCs w:val="22"/>
        </w:rPr>
      </w:pPr>
    </w:p>
    <w:p w14:paraId="4696158A" w14:textId="06C53929" w:rsidR="00591623" w:rsidRDefault="00591623" w:rsidP="24FD66FF">
      <w:pPr>
        <w:rPr>
          <w:rFonts w:cs="Arial"/>
          <w:b/>
          <w:bCs/>
          <w:sz w:val="22"/>
          <w:szCs w:val="22"/>
        </w:rPr>
      </w:pPr>
    </w:p>
    <w:p w14:paraId="572E8E32" w14:textId="3011E5C3" w:rsidR="00591623" w:rsidRDefault="00591623" w:rsidP="24FD66FF">
      <w:pPr>
        <w:rPr>
          <w:rFonts w:cs="Arial"/>
          <w:b/>
          <w:bCs/>
          <w:sz w:val="22"/>
          <w:szCs w:val="22"/>
        </w:rPr>
      </w:pPr>
    </w:p>
    <w:p w14:paraId="39A83C43" w14:textId="061CA8B1" w:rsidR="00591623" w:rsidRDefault="00591623" w:rsidP="24FD66FF">
      <w:pPr>
        <w:rPr>
          <w:rFonts w:cs="Arial"/>
          <w:b/>
          <w:bCs/>
          <w:sz w:val="22"/>
          <w:szCs w:val="22"/>
        </w:rPr>
      </w:pPr>
    </w:p>
    <w:p w14:paraId="14803351" w14:textId="153D79ED" w:rsidR="00591623" w:rsidRDefault="00591623" w:rsidP="24FD66FF">
      <w:pPr>
        <w:rPr>
          <w:rFonts w:cs="Arial"/>
          <w:b/>
          <w:bCs/>
          <w:sz w:val="22"/>
          <w:szCs w:val="22"/>
        </w:rPr>
      </w:pPr>
    </w:p>
    <w:p w14:paraId="727B4838" w14:textId="7E8E8559" w:rsidR="00591623" w:rsidRDefault="00591623" w:rsidP="24FD66FF">
      <w:pPr>
        <w:rPr>
          <w:rFonts w:cs="Arial"/>
          <w:b/>
          <w:bCs/>
          <w:sz w:val="22"/>
          <w:szCs w:val="22"/>
        </w:rPr>
      </w:pPr>
    </w:p>
    <w:p w14:paraId="3C9EB506" w14:textId="2F936D3D" w:rsidR="00591623" w:rsidRDefault="00591623" w:rsidP="24FD66FF">
      <w:pPr>
        <w:rPr>
          <w:rFonts w:cs="Arial"/>
          <w:b/>
          <w:bCs/>
          <w:sz w:val="22"/>
          <w:szCs w:val="22"/>
        </w:rPr>
      </w:pPr>
    </w:p>
    <w:p w14:paraId="45D290A1" w14:textId="3A0357AA" w:rsidR="00591623" w:rsidRDefault="00591623" w:rsidP="24FD66FF">
      <w:pPr>
        <w:rPr>
          <w:rFonts w:cs="Arial"/>
          <w:b/>
          <w:bCs/>
          <w:sz w:val="22"/>
          <w:szCs w:val="22"/>
        </w:rPr>
      </w:pPr>
    </w:p>
    <w:p w14:paraId="2D46F32B" w14:textId="15EB8D5E" w:rsidR="00591623" w:rsidRDefault="00591623" w:rsidP="24FD66FF">
      <w:pPr>
        <w:rPr>
          <w:rFonts w:cs="Arial"/>
          <w:b/>
          <w:bCs/>
          <w:sz w:val="22"/>
          <w:szCs w:val="22"/>
        </w:rPr>
      </w:pPr>
    </w:p>
    <w:p w14:paraId="089B1356" w14:textId="404188F5" w:rsidR="00591623" w:rsidRDefault="00591623" w:rsidP="24FD66FF">
      <w:pPr>
        <w:rPr>
          <w:rFonts w:cs="Arial"/>
          <w:b/>
          <w:bCs/>
          <w:sz w:val="22"/>
          <w:szCs w:val="22"/>
        </w:rPr>
      </w:pPr>
    </w:p>
    <w:p w14:paraId="2D2FFA1E" w14:textId="249B25F2" w:rsidR="00591623" w:rsidRDefault="00591623" w:rsidP="24FD66FF">
      <w:pPr>
        <w:rPr>
          <w:rFonts w:cs="Arial"/>
          <w:b/>
          <w:bCs/>
          <w:sz w:val="22"/>
          <w:szCs w:val="22"/>
        </w:rPr>
      </w:pPr>
    </w:p>
    <w:p w14:paraId="6F0B6E9B" w14:textId="249F2B45" w:rsidR="00591623" w:rsidRDefault="00591623" w:rsidP="24FD66FF">
      <w:pPr>
        <w:rPr>
          <w:rFonts w:cs="Arial"/>
          <w:b/>
          <w:bCs/>
          <w:sz w:val="22"/>
          <w:szCs w:val="22"/>
        </w:rPr>
      </w:pPr>
    </w:p>
    <w:p w14:paraId="094BAC65" w14:textId="37214641" w:rsidR="00591623" w:rsidRDefault="00591623" w:rsidP="24FD66FF">
      <w:pPr>
        <w:rPr>
          <w:rFonts w:cs="Arial"/>
          <w:b/>
          <w:bCs/>
          <w:sz w:val="22"/>
          <w:szCs w:val="22"/>
        </w:rPr>
      </w:pPr>
    </w:p>
    <w:p w14:paraId="129101DC" w14:textId="60010B05" w:rsidR="00591623" w:rsidRDefault="00591623" w:rsidP="24FD66FF">
      <w:pPr>
        <w:rPr>
          <w:rFonts w:cs="Arial"/>
          <w:b/>
          <w:bCs/>
          <w:sz w:val="22"/>
          <w:szCs w:val="22"/>
        </w:rPr>
      </w:pPr>
    </w:p>
    <w:p w14:paraId="23109E34" w14:textId="4F91ED22" w:rsidR="00591623" w:rsidRDefault="00591623" w:rsidP="24FD66FF">
      <w:pPr>
        <w:rPr>
          <w:rFonts w:cs="Arial"/>
          <w:b/>
          <w:bCs/>
          <w:sz w:val="22"/>
          <w:szCs w:val="22"/>
        </w:rPr>
      </w:pPr>
    </w:p>
    <w:p w14:paraId="2C430CB1" w14:textId="234AA5E3" w:rsidR="00591623" w:rsidRDefault="00591623" w:rsidP="24FD66FF">
      <w:pPr>
        <w:rPr>
          <w:rFonts w:cs="Arial"/>
          <w:b/>
          <w:bCs/>
          <w:sz w:val="22"/>
          <w:szCs w:val="22"/>
        </w:rPr>
      </w:pPr>
    </w:p>
    <w:p w14:paraId="01CAC92A" w14:textId="5B93FF9C" w:rsidR="00591623" w:rsidRDefault="00591623" w:rsidP="24FD66FF">
      <w:pPr>
        <w:rPr>
          <w:rFonts w:cs="Arial"/>
          <w:b/>
          <w:bCs/>
          <w:sz w:val="22"/>
          <w:szCs w:val="22"/>
        </w:rPr>
      </w:pPr>
    </w:p>
    <w:p w14:paraId="57C1FC15" w14:textId="26E90B53" w:rsidR="00591623" w:rsidRDefault="00591623" w:rsidP="24FD66FF">
      <w:pPr>
        <w:rPr>
          <w:rFonts w:cs="Arial"/>
          <w:b/>
          <w:bCs/>
          <w:sz w:val="22"/>
          <w:szCs w:val="22"/>
        </w:rPr>
      </w:pPr>
    </w:p>
    <w:p w14:paraId="55643236" w14:textId="7FE73142" w:rsidR="00553569" w:rsidRDefault="00553569" w:rsidP="24FD66FF">
      <w:pPr>
        <w:rPr>
          <w:rFonts w:cs="Arial"/>
          <w:b/>
          <w:bCs/>
          <w:sz w:val="22"/>
          <w:szCs w:val="22"/>
        </w:rPr>
      </w:pPr>
    </w:p>
    <w:p w14:paraId="6359A38A" w14:textId="00E3DB00" w:rsidR="00553569" w:rsidRDefault="00553569" w:rsidP="24FD66FF">
      <w:pPr>
        <w:rPr>
          <w:rFonts w:cs="Arial"/>
          <w:b/>
          <w:bCs/>
          <w:sz w:val="22"/>
          <w:szCs w:val="22"/>
        </w:rPr>
      </w:pPr>
    </w:p>
    <w:p w14:paraId="405537C3" w14:textId="2049067D" w:rsidR="00553569" w:rsidRDefault="00553569" w:rsidP="24FD66FF">
      <w:pPr>
        <w:rPr>
          <w:rFonts w:cs="Arial"/>
          <w:b/>
          <w:bCs/>
          <w:sz w:val="22"/>
          <w:szCs w:val="22"/>
        </w:rPr>
      </w:pPr>
    </w:p>
    <w:p w14:paraId="0E5854B2" w14:textId="242BA5CE" w:rsidR="0072324A" w:rsidRDefault="0072324A" w:rsidP="24FD66FF">
      <w:pPr>
        <w:rPr>
          <w:rFonts w:cs="Arial"/>
          <w:b/>
          <w:bCs/>
          <w:sz w:val="22"/>
          <w:szCs w:val="22"/>
        </w:rPr>
      </w:pPr>
    </w:p>
    <w:p w14:paraId="02EB2E2C" w14:textId="66AAF134" w:rsidR="00553569" w:rsidRPr="00553569" w:rsidRDefault="005D698A" w:rsidP="00553569">
      <w:pPr>
        <w:pStyle w:val="Ttulo2"/>
        <w:numPr>
          <w:ilvl w:val="1"/>
          <w:numId w:val="22"/>
        </w:numPr>
        <w:jc w:val="both"/>
        <w:rPr>
          <w:sz w:val="22"/>
        </w:rPr>
      </w:pPr>
      <w:bookmarkStart w:id="191" w:name="_Toc88677063"/>
      <w:r w:rsidRPr="00553569">
        <w:rPr>
          <w:sz w:val="22"/>
        </w:rPr>
        <w:lastRenderedPageBreak/>
        <w:t>OFICINA ASESORA DE PLANEACIÓN</w:t>
      </w:r>
      <w:bookmarkEnd w:id="191"/>
      <w:r w:rsidRPr="00553569">
        <w:rPr>
          <w:sz w:val="22"/>
        </w:rPr>
        <w:t xml:space="preserve"> </w:t>
      </w:r>
    </w:p>
    <w:p w14:paraId="2D8A167F" w14:textId="5FB8FE07" w:rsidR="005D698A" w:rsidRPr="005428A3" w:rsidRDefault="005D698A" w:rsidP="000A20EE">
      <w:pPr>
        <w:pStyle w:val="Prrafodelista"/>
        <w:numPr>
          <w:ilvl w:val="2"/>
          <w:numId w:val="22"/>
        </w:numPr>
        <w:suppressAutoHyphens w:val="0"/>
        <w:spacing w:after="160"/>
        <w:contextualSpacing/>
        <w:rPr>
          <w:rFonts w:cs="Arial"/>
          <w:b/>
          <w:sz w:val="22"/>
          <w:szCs w:val="22"/>
        </w:rPr>
      </w:pPr>
      <w:r w:rsidRPr="005428A3">
        <w:rPr>
          <w:rFonts w:cs="Arial"/>
          <w:b/>
          <w:sz w:val="22"/>
          <w:szCs w:val="22"/>
        </w:rPr>
        <w:t xml:space="preserve">GENERALIDADES </w:t>
      </w:r>
    </w:p>
    <w:p w14:paraId="258DDB42" w14:textId="5FB8FE07" w:rsidR="005D698A" w:rsidRPr="00E04353" w:rsidRDefault="005D698A" w:rsidP="00C72779">
      <w:pPr>
        <w:suppressAutoHyphens w:val="0"/>
        <w:spacing w:after="160"/>
        <w:jc w:val="both"/>
        <w:rPr>
          <w:rFonts w:cs="Arial"/>
          <w:sz w:val="22"/>
          <w:szCs w:val="22"/>
          <w:lang w:val="es-MX" w:eastAsia="en-US"/>
        </w:rPr>
      </w:pPr>
      <w:r w:rsidRPr="00E04353">
        <w:rPr>
          <w:rFonts w:cs="Arial"/>
          <w:sz w:val="22"/>
          <w:szCs w:val="22"/>
          <w:lang w:val="es-MX" w:eastAsia="en-US"/>
        </w:rPr>
        <w:t>La Oficina As</w:t>
      </w:r>
      <w:r>
        <w:rPr>
          <w:rFonts w:cs="Arial"/>
          <w:sz w:val="22"/>
          <w:szCs w:val="22"/>
          <w:lang w:val="es-MX" w:eastAsia="en-US"/>
        </w:rPr>
        <w:t>esora de Planeación</w:t>
      </w:r>
      <w:r w:rsidRPr="599CC8C6">
        <w:rPr>
          <w:rFonts w:cs="Arial"/>
          <w:sz w:val="22"/>
          <w:szCs w:val="22"/>
          <w:lang w:val="es-MX" w:eastAsia="en-US"/>
        </w:rPr>
        <w:t xml:space="preserve"> - OAP</w:t>
      </w:r>
      <w:r w:rsidRPr="00E04353">
        <w:rPr>
          <w:rFonts w:cs="Arial"/>
          <w:sz w:val="22"/>
          <w:szCs w:val="22"/>
          <w:lang w:val="es-MX" w:eastAsia="en-US"/>
        </w:rPr>
        <w:t xml:space="preserve">, tiene a su cargo el proceso de </w:t>
      </w:r>
      <w:r>
        <w:rPr>
          <w:rFonts w:cs="Arial"/>
          <w:sz w:val="22"/>
          <w:szCs w:val="22"/>
          <w:lang w:val="es-MX" w:eastAsia="en-US"/>
        </w:rPr>
        <w:t>Direccionamiento Estratégico y Planeación con tres subprocesos: Gestión Estratégica, Gestión del Sistema de Gestión Integrado - SIG y Gestión de Riesgos</w:t>
      </w:r>
      <w:r w:rsidRPr="00E04353">
        <w:rPr>
          <w:rFonts w:cs="Arial"/>
          <w:sz w:val="22"/>
          <w:szCs w:val="22"/>
          <w:lang w:val="es-MX" w:eastAsia="en-US"/>
        </w:rPr>
        <w:t xml:space="preserve">, ubicado dentro del mapa de </w:t>
      </w:r>
      <w:r w:rsidRPr="599CC8C6">
        <w:rPr>
          <w:rFonts w:cs="Arial"/>
          <w:sz w:val="22"/>
          <w:szCs w:val="22"/>
          <w:lang w:val="es-MX" w:eastAsia="en-US"/>
        </w:rPr>
        <w:t>procesos</w:t>
      </w:r>
      <w:r w:rsidRPr="00E04353">
        <w:rPr>
          <w:rFonts w:cs="Arial"/>
          <w:sz w:val="22"/>
          <w:szCs w:val="22"/>
          <w:lang w:val="es-MX" w:eastAsia="en-US"/>
        </w:rPr>
        <w:t xml:space="preserve"> de la entidad en la naturaleza estratégica. Con este proceso se </w:t>
      </w:r>
      <w:r>
        <w:rPr>
          <w:rFonts w:cs="Arial"/>
          <w:sz w:val="22"/>
          <w:szCs w:val="22"/>
          <w:lang w:val="es-MX" w:eastAsia="en-US"/>
        </w:rPr>
        <w:t>busca definir</w:t>
      </w:r>
      <w:r w:rsidRPr="00FD64C0">
        <w:rPr>
          <w:rFonts w:cs="Arial"/>
          <w:sz w:val="22"/>
          <w:szCs w:val="22"/>
          <w:lang w:val="es-MX" w:eastAsia="en-US"/>
        </w:rPr>
        <w:t xml:space="preserve"> los lineamientos estratégicos y de operación de la entidad, así como realizar el seguimiento a los mismos y generar las alertas necesarias para el cumplimiento de las metas institucionales, sectoriales y de gobierno, bajo estándares de oportunidad y confiabilidad, que contr</w:t>
      </w:r>
      <w:r>
        <w:rPr>
          <w:rFonts w:cs="Arial"/>
          <w:sz w:val="22"/>
          <w:szCs w:val="22"/>
          <w:lang w:val="es-MX" w:eastAsia="en-US"/>
        </w:rPr>
        <w:t xml:space="preserve">ibuyan a la toma de decisiones, </w:t>
      </w:r>
      <w:r w:rsidRPr="00E04353">
        <w:rPr>
          <w:rFonts w:cs="Arial"/>
          <w:sz w:val="22"/>
          <w:szCs w:val="22"/>
          <w:lang w:val="es-MX" w:eastAsia="en-US"/>
        </w:rPr>
        <w:t xml:space="preserve">con el fin de garantizar el cumplimiento del propósito central, objetivo retador y objetivos estratégicos </w:t>
      </w:r>
      <w:r>
        <w:rPr>
          <w:rFonts w:cs="Arial"/>
          <w:sz w:val="22"/>
          <w:szCs w:val="22"/>
          <w:lang w:val="es-MX" w:eastAsia="en-US"/>
        </w:rPr>
        <w:t>del IGAC</w:t>
      </w:r>
      <w:r w:rsidRPr="00E04353">
        <w:rPr>
          <w:rFonts w:cs="Arial"/>
          <w:sz w:val="22"/>
          <w:szCs w:val="22"/>
          <w:lang w:val="es-MX" w:eastAsia="en-US"/>
        </w:rPr>
        <w:t>.</w:t>
      </w:r>
    </w:p>
    <w:p w14:paraId="4E2133A4" w14:textId="5FB8FE07" w:rsidR="005D698A" w:rsidRPr="00E04353" w:rsidRDefault="005D698A" w:rsidP="00C72779">
      <w:pPr>
        <w:suppressAutoHyphens w:val="0"/>
        <w:spacing w:after="160"/>
        <w:jc w:val="both"/>
        <w:rPr>
          <w:rFonts w:cs="Arial"/>
          <w:sz w:val="22"/>
          <w:szCs w:val="22"/>
          <w:lang w:val="es-MX" w:eastAsia="en-US"/>
        </w:rPr>
      </w:pPr>
      <w:r w:rsidRPr="00E04353">
        <w:rPr>
          <w:rFonts w:cs="Arial"/>
          <w:sz w:val="22"/>
          <w:szCs w:val="22"/>
          <w:lang w:val="es-MX" w:eastAsia="en-US"/>
        </w:rPr>
        <w:t xml:space="preserve">Como parte del ciclo PHVA (Planear, Hacer, Verificar y Actuar), este proceso desde el marco estratégico de la entidad, inicia con la definición y puesta </w:t>
      </w:r>
      <w:r>
        <w:rPr>
          <w:rFonts w:cs="Arial"/>
          <w:sz w:val="22"/>
          <w:szCs w:val="22"/>
          <w:lang w:val="es-MX" w:eastAsia="en-US"/>
        </w:rPr>
        <w:t>en marcha del Plan Nacional de Desarrollo</w:t>
      </w:r>
      <w:r w:rsidRPr="00E04353">
        <w:rPr>
          <w:rFonts w:cs="Arial"/>
          <w:sz w:val="22"/>
          <w:szCs w:val="22"/>
          <w:lang w:val="es-MX" w:eastAsia="en-US"/>
        </w:rPr>
        <w:t xml:space="preserve"> </w:t>
      </w:r>
      <w:r>
        <w:rPr>
          <w:rFonts w:cs="Arial"/>
          <w:sz w:val="22"/>
          <w:szCs w:val="22"/>
          <w:lang w:val="es-MX" w:eastAsia="en-US"/>
        </w:rPr>
        <w:t>2018-2022 “Pacto por Colombia, pacto por la Equidad”</w:t>
      </w:r>
      <w:r w:rsidRPr="00E04353">
        <w:rPr>
          <w:rFonts w:cs="Arial"/>
          <w:sz w:val="22"/>
          <w:szCs w:val="22"/>
          <w:lang w:val="es-MX" w:eastAsia="en-US"/>
        </w:rPr>
        <w:t>, realiza acompañamiento en la definición de la plataforma estratégica de la Entidad</w:t>
      </w:r>
      <w:r>
        <w:rPr>
          <w:rFonts w:cs="Arial"/>
          <w:sz w:val="22"/>
          <w:szCs w:val="22"/>
          <w:lang w:val="es-MX" w:eastAsia="en-US"/>
        </w:rPr>
        <w:t xml:space="preserve">, </w:t>
      </w:r>
      <w:r w:rsidRPr="00E04353">
        <w:rPr>
          <w:rFonts w:cs="Arial"/>
          <w:sz w:val="22"/>
          <w:szCs w:val="22"/>
          <w:lang w:val="es-MX" w:eastAsia="en-US"/>
        </w:rPr>
        <w:t xml:space="preserve">el seguimiento y </w:t>
      </w:r>
      <w:r>
        <w:rPr>
          <w:rFonts w:cs="Arial"/>
          <w:sz w:val="22"/>
          <w:szCs w:val="22"/>
          <w:lang w:val="es-MX" w:eastAsia="en-US"/>
        </w:rPr>
        <w:t xml:space="preserve">la </w:t>
      </w:r>
      <w:r w:rsidRPr="00E04353">
        <w:rPr>
          <w:rFonts w:cs="Arial"/>
          <w:sz w:val="22"/>
          <w:szCs w:val="22"/>
          <w:lang w:val="es-MX" w:eastAsia="en-US"/>
        </w:rPr>
        <w:t>evaluación del cumplimiento de dichas metas y retos planteados durante el cuatrienio</w:t>
      </w:r>
      <w:r>
        <w:rPr>
          <w:rFonts w:cs="Arial"/>
          <w:sz w:val="22"/>
          <w:szCs w:val="22"/>
          <w:lang w:val="es-MX" w:eastAsia="en-US"/>
        </w:rPr>
        <w:t>.</w:t>
      </w:r>
    </w:p>
    <w:p w14:paraId="6AC6EB0C" w14:textId="77777777" w:rsidR="005D698A" w:rsidRPr="00E04353" w:rsidRDefault="005D698A" w:rsidP="00C72779">
      <w:pPr>
        <w:shd w:val="clear" w:color="auto" w:fill="FFFFFF" w:themeFill="background1"/>
        <w:suppressAutoHyphens w:val="0"/>
        <w:jc w:val="both"/>
        <w:rPr>
          <w:rFonts w:cs="Arial"/>
          <w:sz w:val="22"/>
          <w:szCs w:val="22"/>
          <w:lang w:val="es-MX" w:eastAsia="en-US"/>
        </w:rPr>
      </w:pPr>
      <w:r w:rsidRPr="00E04353">
        <w:rPr>
          <w:rFonts w:cs="Arial"/>
          <w:sz w:val="22"/>
          <w:szCs w:val="22"/>
          <w:lang w:val="es-MX" w:eastAsia="en-US"/>
        </w:rPr>
        <w:t xml:space="preserve">A partir de este contexto, el proceso inicia </w:t>
      </w:r>
      <w:r w:rsidRPr="00FD64C0">
        <w:rPr>
          <w:rFonts w:cs="Arial"/>
          <w:sz w:val="22"/>
          <w:szCs w:val="22"/>
          <w:lang w:val="es-MX" w:eastAsia="en-US"/>
        </w:rPr>
        <w:t xml:space="preserve">con la definición de la plataforma estratégica, </w:t>
      </w:r>
      <w:r w:rsidRPr="599CC8C6">
        <w:rPr>
          <w:rFonts w:cs="Arial"/>
          <w:sz w:val="22"/>
          <w:szCs w:val="22"/>
          <w:lang w:val="es-MX" w:eastAsia="en-US"/>
        </w:rPr>
        <w:t>continúa</w:t>
      </w:r>
      <w:r w:rsidRPr="00FD64C0">
        <w:rPr>
          <w:rFonts w:cs="Arial"/>
          <w:sz w:val="22"/>
          <w:szCs w:val="22"/>
          <w:lang w:val="es-MX" w:eastAsia="en-US"/>
        </w:rPr>
        <w:t xml:space="preserve"> con la identificación de los riesgos, la planeación operativa, el seguimiento a la gestión institucional y finaliza con la fo</w:t>
      </w:r>
      <w:r>
        <w:rPr>
          <w:rFonts w:cs="Arial"/>
          <w:sz w:val="22"/>
          <w:szCs w:val="22"/>
          <w:lang w:val="es-MX" w:eastAsia="en-US"/>
        </w:rPr>
        <w:t>rmulación de acciones de mejora, todo esto</w:t>
      </w:r>
      <w:r w:rsidRPr="599CC8C6">
        <w:rPr>
          <w:rFonts w:cs="Arial"/>
          <w:sz w:val="22"/>
          <w:szCs w:val="22"/>
          <w:lang w:val="es-MX" w:eastAsia="en-US"/>
        </w:rPr>
        <w:t>,</w:t>
      </w:r>
      <w:r>
        <w:rPr>
          <w:rFonts w:cs="Arial"/>
          <w:sz w:val="22"/>
          <w:szCs w:val="22"/>
          <w:lang w:val="es-MX" w:eastAsia="en-US"/>
        </w:rPr>
        <w:t xml:space="preserve"> enmarcado</w:t>
      </w:r>
      <w:r w:rsidRPr="00E04353">
        <w:rPr>
          <w:rFonts w:cs="Arial"/>
          <w:sz w:val="22"/>
          <w:szCs w:val="22"/>
          <w:lang w:val="es-MX" w:eastAsia="en-US"/>
        </w:rPr>
        <w:t xml:space="preserve"> dentro de las estrategias plantea</w:t>
      </w:r>
      <w:r>
        <w:rPr>
          <w:rFonts w:cs="Arial"/>
          <w:sz w:val="22"/>
          <w:szCs w:val="22"/>
          <w:lang w:val="es-MX" w:eastAsia="en-US"/>
        </w:rPr>
        <w:t xml:space="preserve">das desde la Dirección General; </w:t>
      </w:r>
      <w:r w:rsidRPr="00E04353">
        <w:rPr>
          <w:rFonts w:cs="Arial"/>
          <w:sz w:val="22"/>
          <w:szCs w:val="22"/>
          <w:lang w:val="es-MX" w:eastAsia="en-US"/>
        </w:rPr>
        <w:t>este proceso a su vez hace uso de la</w:t>
      </w:r>
      <w:r>
        <w:rPr>
          <w:rFonts w:cs="Arial"/>
          <w:sz w:val="22"/>
          <w:szCs w:val="22"/>
          <w:lang w:val="es-MX" w:eastAsia="en-US"/>
        </w:rPr>
        <w:t xml:space="preserve"> información de manera</w:t>
      </w:r>
      <w:r w:rsidRPr="00E04353">
        <w:rPr>
          <w:rFonts w:cs="Arial"/>
          <w:sz w:val="22"/>
          <w:szCs w:val="22"/>
          <w:lang w:val="es-MX" w:eastAsia="en-US"/>
        </w:rPr>
        <w:t xml:space="preserve"> innovadora, que genere mayor impacto en la gestión que realiza la Entidad respecto a informes, rendición de cuentas, participación en Política Pública, ar</w:t>
      </w:r>
      <w:r>
        <w:rPr>
          <w:rFonts w:cs="Arial"/>
          <w:sz w:val="22"/>
          <w:szCs w:val="22"/>
          <w:lang w:val="es-MX" w:eastAsia="en-US"/>
        </w:rPr>
        <w:t>ticulación con el sector estadística, así como con otras entidades del orden nacional.</w:t>
      </w:r>
    </w:p>
    <w:p w14:paraId="6C342EB5" w14:textId="77777777" w:rsidR="005D698A" w:rsidRPr="00E04353" w:rsidRDefault="005D698A" w:rsidP="00C72779">
      <w:pPr>
        <w:shd w:val="clear" w:color="auto" w:fill="FFFFFF"/>
        <w:suppressAutoHyphens w:val="0"/>
        <w:jc w:val="both"/>
        <w:rPr>
          <w:rFonts w:cs="Arial"/>
          <w:sz w:val="22"/>
          <w:szCs w:val="22"/>
          <w:lang w:val="es-MX" w:eastAsia="en-US"/>
        </w:rPr>
      </w:pPr>
    </w:p>
    <w:p w14:paraId="28F0BFA1" w14:textId="77777777" w:rsidR="005D698A" w:rsidRPr="00E04353" w:rsidRDefault="005D698A" w:rsidP="00C72779">
      <w:pPr>
        <w:shd w:val="clear" w:color="auto" w:fill="FFFFFF"/>
        <w:suppressAutoHyphens w:val="0"/>
        <w:jc w:val="both"/>
        <w:rPr>
          <w:rFonts w:cs="Arial"/>
          <w:sz w:val="22"/>
          <w:szCs w:val="22"/>
          <w:lang w:val="es-MX" w:eastAsia="en-US"/>
        </w:rPr>
      </w:pPr>
      <w:r w:rsidRPr="00E04353">
        <w:rPr>
          <w:rFonts w:cs="Arial"/>
          <w:sz w:val="22"/>
          <w:szCs w:val="22"/>
          <w:lang w:val="es-MX" w:eastAsia="en-US"/>
        </w:rPr>
        <w:t xml:space="preserve">Al inicio de la administración se encontraron oportunidades de mejora en relación a temas como: </w:t>
      </w:r>
    </w:p>
    <w:p w14:paraId="36F4504A" w14:textId="77777777" w:rsidR="005D698A" w:rsidRPr="00E04353" w:rsidRDefault="005D698A" w:rsidP="00C72779">
      <w:pPr>
        <w:shd w:val="clear" w:color="auto" w:fill="FFFFFF"/>
        <w:suppressAutoHyphens w:val="0"/>
        <w:jc w:val="both"/>
        <w:rPr>
          <w:rFonts w:cs="Arial"/>
          <w:sz w:val="22"/>
          <w:szCs w:val="22"/>
          <w:lang w:val="es-MX" w:eastAsia="en-US"/>
        </w:rPr>
      </w:pPr>
    </w:p>
    <w:p w14:paraId="55B907B0" w14:textId="77777777" w:rsidR="005D698A" w:rsidRPr="00E04353" w:rsidRDefault="005D698A" w:rsidP="000A20EE">
      <w:pPr>
        <w:numPr>
          <w:ilvl w:val="0"/>
          <w:numId w:val="31"/>
        </w:numPr>
        <w:suppressAutoHyphens w:val="0"/>
        <w:spacing w:after="160"/>
        <w:contextualSpacing/>
        <w:jc w:val="both"/>
        <w:rPr>
          <w:rFonts w:cs="Arial"/>
          <w:sz w:val="22"/>
          <w:szCs w:val="22"/>
          <w:lang w:val="es-MX" w:eastAsia="en-US"/>
        </w:rPr>
      </w:pPr>
      <w:r w:rsidRPr="00E04353">
        <w:rPr>
          <w:rFonts w:cs="Arial"/>
          <w:b/>
          <w:sz w:val="22"/>
          <w:szCs w:val="22"/>
          <w:lang w:val="es-MX" w:eastAsia="en-US"/>
        </w:rPr>
        <w:t>Información:</w:t>
      </w:r>
      <w:r w:rsidRPr="00E04353">
        <w:rPr>
          <w:rFonts w:cs="Arial"/>
          <w:sz w:val="22"/>
          <w:szCs w:val="22"/>
          <w:lang w:val="es-MX" w:eastAsia="en-US"/>
        </w:rPr>
        <w:t xml:space="preserve"> encontrándose en diferentes fuentes de almacenamiento, lo que dificultaba la uniformidad, consistencia y confiabilidad de la misma.</w:t>
      </w:r>
    </w:p>
    <w:p w14:paraId="3668DEDA" w14:textId="77777777" w:rsidR="005D698A" w:rsidRPr="00E04353" w:rsidRDefault="005D698A" w:rsidP="000A20EE">
      <w:pPr>
        <w:numPr>
          <w:ilvl w:val="0"/>
          <w:numId w:val="31"/>
        </w:numPr>
        <w:suppressAutoHyphens w:val="0"/>
        <w:spacing w:after="160"/>
        <w:contextualSpacing/>
        <w:jc w:val="both"/>
        <w:rPr>
          <w:rFonts w:cs="Arial"/>
          <w:sz w:val="22"/>
          <w:szCs w:val="22"/>
          <w:lang w:val="es-MX" w:eastAsia="en-US"/>
        </w:rPr>
      </w:pPr>
      <w:r w:rsidRPr="00E04353">
        <w:rPr>
          <w:rFonts w:cs="Arial"/>
          <w:b/>
          <w:sz w:val="22"/>
          <w:szCs w:val="22"/>
          <w:lang w:val="es-MX" w:eastAsia="en-US"/>
        </w:rPr>
        <w:t xml:space="preserve">Alcance del proceso: </w:t>
      </w:r>
      <w:r w:rsidRPr="00E04353">
        <w:rPr>
          <w:rFonts w:cs="Arial"/>
          <w:sz w:val="22"/>
          <w:szCs w:val="22"/>
          <w:lang w:val="es-MX" w:eastAsia="en-US"/>
        </w:rPr>
        <w:t>realización de actividades con enfoque operativo y con poca orientación estratégica.</w:t>
      </w:r>
    </w:p>
    <w:p w14:paraId="703A2AF5" w14:textId="77777777" w:rsidR="005D698A" w:rsidRPr="00E04353" w:rsidRDefault="005D698A" w:rsidP="000A20EE">
      <w:pPr>
        <w:numPr>
          <w:ilvl w:val="0"/>
          <w:numId w:val="31"/>
        </w:numPr>
        <w:suppressAutoHyphens w:val="0"/>
        <w:spacing w:after="160"/>
        <w:contextualSpacing/>
        <w:jc w:val="both"/>
        <w:rPr>
          <w:rFonts w:cs="Arial"/>
          <w:sz w:val="22"/>
          <w:szCs w:val="22"/>
          <w:lang w:val="es-MX" w:eastAsia="en-US"/>
        </w:rPr>
      </w:pPr>
      <w:r w:rsidRPr="00E04353">
        <w:rPr>
          <w:rFonts w:cs="Arial"/>
          <w:b/>
          <w:sz w:val="22"/>
          <w:szCs w:val="22"/>
          <w:lang w:val="es-MX" w:eastAsia="en-US"/>
        </w:rPr>
        <w:t>Seguimientos:</w:t>
      </w:r>
      <w:r w:rsidRPr="00E04353">
        <w:rPr>
          <w:rFonts w:cs="Arial"/>
          <w:sz w:val="22"/>
          <w:szCs w:val="22"/>
          <w:lang w:val="es-MX" w:eastAsia="en-US"/>
        </w:rPr>
        <w:t xml:space="preserve"> multiplicidad de archivos para realizar los diferentes seguimientos a cargo de la oficina, generando riesgos en la manipulación de la información y dificultades en los tiempos de entrega</w:t>
      </w:r>
      <w:r w:rsidRPr="599CC8C6">
        <w:rPr>
          <w:rFonts w:cs="Arial"/>
          <w:sz w:val="22"/>
          <w:szCs w:val="22"/>
          <w:lang w:val="es-MX" w:eastAsia="en-US"/>
        </w:rPr>
        <w:t>.</w:t>
      </w:r>
    </w:p>
    <w:p w14:paraId="028EEA13" w14:textId="77777777" w:rsidR="005D698A" w:rsidRPr="00E04353" w:rsidRDefault="005D698A" w:rsidP="000A20EE">
      <w:pPr>
        <w:numPr>
          <w:ilvl w:val="0"/>
          <w:numId w:val="31"/>
        </w:numPr>
        <w:suppressAutoHyphens w:val="0"/>
        <w:spacing w:after="160"/>
        <w:contextualSpacing/>
        <w:jc w:val="both"/>
        <w:rPr>
          <w:rFonts w:cs="Arial"/>
          <w:sz w:val="22"/>
          <w:szCs w:val="22"/>
          <w:lang w:val="es-MX" w:eastAsia="en-US"/>
        </w:rPr>
      </w:pPr>
      <w:r w:rsidRPr="00E04353">
        <w:rPr>
          <w:rFonts w:cs="Arial"/>
          <w:b/>
          <w:sz w:val="22"/>
          <w:szCs w:val="22"/>
          <w:lang w:val="es-MX" w:eastAsia="en-US"/>
        </w:rPr>
        <w:t xml:space="preserve">Procedimientos: </w:t>
      </w:r>
      <w:r w:rsidRPr="00E04353">
        <w:rPr>
          <w:rFonts w:cs="Arial"/>
          <w:sz w:val="22"/>
          <w:szCs w:val="22"/>
          <w:lang w:val="es-MX" w:eastAsia="en-US"/>
        </w:rPr>
        <w:t>sin actualización reciente y poca claridad para la comprensión de las actividades a desarrollar.</w:t>
      </w:r>
    </w:p>
    <w:p w14:paraId="3FB69220" w14:textId="77777777" w:rsidR="005D698A" w:rsidRDefault="005D698A" w:rsidP="000A20EE">
      <w:pPr>
        <w:numPr>
          <w:ilvl w:val="0"/>
          <w:numId w:val="31"/>
        </w:numPr>
        <w:suppressAutoHyphens w:val="0"/>
        <w:spacing w:after="160"/>
        <w:contextualSpacing/>
        <w:jc w:val="both"/>
        <w:rPr>
          <w:rFonts w:cs="Arial"/>
          <w:sz w:val="22"/>
          <w:szCs w:val="22"/>
          <w:lang w:val="es-MX" w:eastAsia="en-US"/>
        </w:rPr>
      </w:pPr>
      <w:r w:rsidRPr="40B8FB21">
        <w:rPr>
          <w:rFonts w:cs="Arial"/>
          <w:b/>
          <w:bCs/>
          <w:sz w:val="22"/>
          <w:szCs w:val="22"/>
          <w:lang w:val="es-MX" w:eastAsia="en-US"/>
        </w:rPr>
        <w:t>Equipo humano:</w:t>
      </w:r>
      <w:r w:rsidRPr="40B8FB21">
        <w:rPr>
          <w:rFonts w:cs="Arial"/>
          <w:sz w:val="22"/>
          <w:szCs w:val="22"/>
          <w:lang w:val="es-MX" w:eastAsia="en-US"/>
        </w:rPr>
        <w:t xml:space="preserve"> insuficiente para el desarrollo de todas las actividades del proceso.</w:t>
      </w:r>
    </w:p>
    <w:p w14:paraId="5A10AA72" w14:textId="5FB8FE07" w:rsidR="005D698A" w:rsidRPr="00E04353" w:rsidRDefault="005D698A" w:rsidP="00C72779">
      <w:pPr>
        <w:suppressAutoHyphens w:val="0"/>
        <w:spacing w:after="160"/>
        <w:ind w:left="360"/>
        <w:contextualSpacing/>
        <w:jc w:val="both"/>
        <w:rPr>
          <w:rFonts w:cs="Arial"/>
          <w:sz w:val="22"/>
          <w:szCs w:val="22"/>
          <w:lang w:val="es-MX" w:eastAsia="en-US"/>
        </w:rPr>
      </w:pPr>
    </w:p>
    <w:p w14:paraId="676B7CD8" w14:textId="5FB8FE07" w:rsidR="00CB3D7A" w:rsidRPr="00391C17" w:rsidRDefault="005D698A" w:rsidP="00391C17">
      <w:pPr>
        <w:suppressAutoHyphens w:val="0"/>
        <w:spacing w:after="160"/>
        <w:jc w:val="both"/>
        <w:rPr>
          <w:rFonts w:cs="Arial"/>
          <w:sz w:val="22"/>
          <w:szCs w:val="22"/>
          <w:lang w:val="es-MX" w:eastAsia="en-US"/>
        </w:rPr>
      </w:pPr>
      <w:r w:rsidRPr="00E04353">
        <w:rPr>
          <w:rFonts w:cs="Arial"/>
          <w:sz w:val="22"/>
          <w:szCs w:val="22"/>
          <w:lang w:val="es-MX" w:eastAsia="en-US"/>
        </w:rPr>
        <w:t xml:space="preserve">Con estos puntos identificados, se realizó fortalecimiento </w:t>
      </w:r>
      <w:r>
        <w:rPr>
          <w:rFonts w:cs="Arial"/>
          <w:sz w:val="22"/>
          <w:szCs w:val="22"/>
          <w:lang w:val="es-MX" w:eastAsia="en-US"/>
        </w:rPr>
        <w:t xml:space="preserve">de la oficina a través de la consolidación </w:t>
      </w:r>
      <w:r w:rsidRPr="00E04353">
        <w:rPr>
          <w:rFonts w:cs="Arial"/>
          <w:sz w:val="22"/>
          <w:szCs w:val="22"/>
          <w:lang w:val="es-MX" w:eastAsia="en-US"/>
        </w:rPr>
        <w:t>de equipo</w:t>
      </w:r>
      <w:r>
        <w:rPr>
          <w:rFonts w:cs="Arial"/>
          <w:sz w:val="22"/>
          <w:szCs w:val="22"/>
          <w:lang w:val="es-MX" w:eastAsia="en-US"/>
        </w:rPr>
        <w:t>s</w:t>
      </w:r>
      <w:r w:rsidRPr="00E04353">
        <w:rPr>
          <w:rFonts w:cs="Arial"/>
          <w:sz w:val="22"/>
          <w:szCs w:val="22"/>
          <w:lang w:val="es-MX" w:eastAsia="en-US"/>
        </w:rPr>
        <w:t xml:space="preserve"> de trabajo</w:t>
      </w:r>
      <w:r>
        <w:rPr>
          <w:rFonts w:cs="Arial"/>
          <w:sz w:val="22"/>
          <w:szCs w:val="22"/>
          <w:lang w:val="es-MX" w:eastAsia="en-US"/>
        </w:rPr>
        <w:t xml:space="preserve"> especializados por medio de la creación y distribución de roles</w:t>
      </w:r>
      <w:r w:rsidRPr="00E04353">
        <w:rPr>
          <w:rFonts w:cs="Arial"/>
          <w:sz w:val="22"/>
          <w:szCs w:val="22"/>
          <w:lang w:val="es-MX" w:eastAsia="en-US"/>
        </w:rPr>
        <w:t>, para lograr el objetivo de hacer visible los procesos desde la mirada estratégica y generando en la entidad un mayor reconocimiento y credibilidad, facilitando la toma de decisiones en pro del cumplimiento de los objeti</w:t>
      </w:r>
      <w:r>
        <w:rPr>
          <w:rFonts w:cs="Arial"/>
          <w:sz w:val="22"/>
          <w:szCs w:val="22"/>
          <w:lang w:val="es-MX" w:eastAsia="en-US"/>
        </w:rPr>
        <w:t>vos estratégicos de la entidad.</w:t>
      </w:r>
    </w:p>
    <w:p w14:paraId="36229FC6" w14:textId="5FB8FE07" w:rsidR="005D698A" w:rsidRDefault="005D698A" w:rsidP="000A20EE">
      <w:pPr>
        <w:pStyle w:val="Prrafodelista"/>
        <w:numPr>
          <w:ilvl w:val="3"/>
          <w:numId w:val="22"/>
        </w:numPr>
        <w:suppressAutoHyphens w:val="0"/>
        <w:spacing w:after="160"/>
        <w:contextualSpacing/>
        <w:rPr>
          <w:rFonts w:cs="Arial"/>
          <w:b/>
          <w:bCs/>
        </w:rPr>
      </w:pPr>
      <w:r w:rsidRPr="001D1F26">
        <w:rPr>
          <w:rFonts w:cs="Arial"/>
          <w:b/>
          <w:bCs/>
        </w:rPr>
        <w:t>PRINCIPALES FUNCIONES (Decreto 846 de julio 2021</w:t>
      </w:r>
      <w:r>
        <w:rPr>
          <w:rFonts w:cs="Arial"/>
          <w:b/>
          <w:bCs/>
        </w:rPr>
        <w:t>)</w:t>
      </w:r>
    </w:p>
    <w:p w14:paraId="69584060" w14:textId="5FB8FE07" w:rsidR="005D698A" w:rsidRPr="006E05C4" w:rsidRDefault="005D698A" w:rsidP="00C72779">
      <w:pPr>
        <w:pStyle w:val="Prrafodelista"/>
        <w:ind w:left="400"/>
        <w:rPr>
          <w:rFonts w:cs="Arial"/>
          <w:b/>
          <w:bCs/>
        </w:rPr>
      </w:pPr>
    </w:p>
    <w:p w14:paraId="79AA8DB8" w14:textId="5FB8FE0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t xml:space="preserve">Administrar y promover el desarrollo, implementación y sostenibilidad del Modelo Integrado de Planeación </w:t>
      </w:r>
    </w:p>
    <w:p w14:paraId="1F0BCCCC"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lastRenderedPageBreak/>
        <w:t>Asesorar a la Dirección General y a las demás dependencias en la formulación, ejecución y evaluación de las políticas, planes, programas y proyectos orientados al cumplimiento de los objetivos institucionales.</w:t>
      </w:r>
    </w:p>
    <w:p w14:paraId="22BC78D1" w14:textId="77777777" w:rsidR="005D698A" w:rsidRDefault="005D698A" w:rsidP="000A20EE">
      <w:pPr>
        <w:pStyle w:val="Textocomentario"/>
        <w:numPr>
          <w:ilvl w:val="0"/>
          <w:numId w:val="51"/>
        </w:numPr>
        <w:suppressAutoHyphens w:val="0"/>
        <w:jc w:val="both"/>
        <w:rPr>
          <w:rFonts w:cs="Arial"/>
          <w:sz w:val="22"/>
          <w:szCs w:val="22"/>
          <w:lang w:eastAsia="es-ES"/>
        </w:rPr>
      </w:pPr>
      <w:r w:rsidRPr="001D1F26">
        <w:rPr>
          <w:rFonts w:cs="Arial"/>
          <w:sz w:val="22"/>
          <w:szCs w:val="22"/>
          <w:lang w:eastAsia="es-ES"/>
        </w:rPr>
        <w:t>Elaborar, en coordinación con las dependencias del Instituto y con sujeción al Plan Nacional de Desarrollo, los planes estratégicos y de acción, el Plan Operativo Anual y Plurianual de Inversiones.</w:t>
      </w:r>
      <w:r w:rsidRPr="001D1F26">
        <w:rPr>
          <w:rFonts w:cs="Arial"/>
          <w:sz w:val="22"/>
          <w:szCs w:val="22"/>
        </w:rPr>
        <w:t xml:space="preserve"> </w:t>
      </w:r>
    </w:p>
    <w:p w14:paraId="3373A113" w14:textId="77777777" w:rsidR="005D698A" w:rsidRPr="001D1F26" w:rsidRDefault="005D698A" w:rsidP="000A20EE">
      <w:pPr>
        <w:pStyle w:val="Textocomentario"/>
        <w:numPr>
          <w:ilvl w:val="0"/>
          <w:numId w:val="51"/>
        </w:numPr>
        <w:suppressAutoHyphens w:val="0"/>
        <w:jc w:val="both"/>
        <w:rPr>
          <w:rFonts w:cs="Arial"/>
          <w:sz w:val="22"/>
          <w:szCs w:val="22"/>
          <w:lang w:eastAsia="es-ES"/>
        </w:rPr>
      </w:pPr>
      <w:r w:rsidRPr="001D1F26">
        <w:rPr>
          <w:rFonts w:cs="Arial"/>
          <w:sz w:val="22"/>
          <w:szCs w:val="22"/>
          <w:lang w:eastAsia="es-ES"/>
        </w:rPr>
        <w:t>Desarrollar y validar los indicadores de la gestión institucional del Instituto y hacer seguimiento a través de los sistemas establecidos.</w:t>
      </w:r>
    </w:p>
    <w:p w14:paraId="75F723C0"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t>Realizar seguimiento a la ejecución presupuestal y viabilizar las modificaciones presupuestales del Instituto en materia de inversión, de conformidad con el Estatuto Orgánico del Presupuesto y las normas que lo reglamentan.</w:t>
      </w:r>
    </w:p>
    <w:p w14:paraId="25237264"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t>Estructurar, en coordinación con las demás dependencias del Instituto, los informes de gestión y la estrategia e informes de rendición de cuentas a la ciudadanía.</w:t>
      </w:r>
    </w:p>
    <w:p w14:paraId="5BE820B2"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t>Gestionar el conocimiento institucional a través de métodos y técnicas para el mejoramiento de los procesos del Instituto.</w:t>
      </w:r>
    </w:p>
    <w:p w14:paraId="733B399B"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ES"/>
        </w:rPr>
        <w:t>Gestionar, coordinar y administrar la gestión del riesgo en las diferentes dependencias y procesos del Instituto, con la periodicidad y la oportunidad requeridas.</w:t>
      </w:r>
    </w:p>
    <w:p w14:paraId="421DF38F" w14:textId="77777777" w:rsidR="005D698A" w:rsidRPr="001D1F26" w:rsidRDefault="005D698A" w:rsidP="000A20EE">
      <w:pPr>
        <w:numPr>
          <w:ilvl w:val="0"/>
          <w:numId w:val="51"/>
        </w:numPr>
        <w:suppressAutoHyphens w:val="0"/>
        <w:jc w:val="both"/>
        <w:rPr>
          <w:rFonts w:cs="Arial"/>
          <w:sz w:val="22"/>
          <w:szCs w:val="22"/>
          <w:lang w:eastAsia="es-ES"/>
        </w:rPr>
      </w:pPr>
      <w:r w:rsidRPr="001D1F26">
        <w:rPr>
          <w:rFonts w:cs="Arial"/>
          <w:sz w:val="22"/>
          <w:szCs w:val="22"/>
          <w:lang w:eastAsia="es-CO"/>
        </w:rPr>
        <w:t>Gestionar la sostenibilidad y mejora continua del Sistema de Gestión Integrado desde el cual se defina y consolide la gestión y operación de los procesos del Instituto que garantice el funcionamiento y mejora continua.</w:t>
      </w:r>
    </w:p>
    <w:p w14:paraId="12157F5B" w14:textId="77777777" w:rsidR="005D698A" w:rsidRPr="001D1F26" w:rsidRDefault="005D698A" w:rsidP="000A20EE">
      <w:pPr>
        <w:numPr>
          <w:ilvl w:val="0"/>
          <w:numId w:val="51"/>
        </w:numPr>
        <w:suppressAutoHyphens w:val="0"/>
        <w:jc w:val="both"/>
        <w:rPr>
          <w:rFonts w:cs="Arial"/>
          <w:sz w:val="22"/>
          <w:szCs w:val="22"/>
          <w:lang w:eastAsia="es-CO"/>
        </w:rPr>
      </w:pPr>
      <w:r w:rsidRPr="001D1F26">
        <w:rPr>
          <w:rFonts w:cs="Arial"/>
          <w:sz w:val="22"/>
          <w:szCs w:val="22"/>
          <w:lang w:eastAsia="es-CO"/>
        </w:rPr>
        <w:t>Liderar, coordinar, acompañar y evaluar los programas y proyectos de cooperación internacional presentadas por las dependencias del Instituto, atendiendo a los lineamientos impartidos por la Agencia Presidencial de Cooperación Internacional de Colombia – APC.</w:t>
      </w:r>
    </w:p>
    <w:p w14:paraId="7D8D171B" w14:textId="390EB652" w:rsidR="005D698A" w:rsidRDefault="005D698A" w:rsidP="00CB3D7A">
      <w:pPr>
        <w:rPr>
          <w:rFonts w:cs="Arial"/>
          <w:b/>
          <w:bCs/>
        </w:rPr>
      </w:pPr>
    </w:p>
    <w:p w14:paraId="04754887" w14:textId="226C0344" w:rsidR="00591623" w:rsidRDefault="00591623" w:rsidP="00CB3D7A">
      <w:pPr>
        <w:rPr>
          <w:rFonts w:cs="Arial"/>
          <w:b/>
          <w:bCs/>
        </w:rPr>
      </w:pPr>
    </w:p>
    <w:p w14:paraId="24C5FF3A" w14:textId="5ADD1E66" w:rsidR="00591623" w:rsidRDefault="00591623" w:rsidP="00CB3D7A">
      <w:pPr>
        <w:rPr>
          <w:rFonts w:cs="Arial"/>
          <w:b/>
          <w:bCs/>
        </w:rPr>
      </w:pPr>
    </w:p>
    <w:p w14:paraId="6FE41016" w14:textId="1B49FE73" w:rsidR="00591623" w:rsidRDefault="00591623" w:rsidP="00CB3D7A">
      <w:pPr>
        <w:rPr>
          <w:rFonts w:cs="Arial"/>
          <w:b/>
          <w:bCs/>
        </w:rPr>
      </w:pPr>
    </w:p>
    <w:p w14:paraId="00B34F55" w14:textId="79F72347" w:rsidR="00591623" w:rsidRDefault="00591623" w:rsidP="00CB3D7A">
      <w:pPr>
        <w:rPr>
          <w:rFonts w:cs="Arial"/>
          <w:b/>
          <w:bCs/>
        </w:rPr>
      </w:pPr>
    </w:p>
    <w:p w14:paraId="19114BDD" w14:textId="4798200C" w:rsidR="00591623" w:rsidRDefault="00591623" w:rsidP="00CB3D7A">
      <w:pPr>
        <w:rPr>
          <w:rFonts w:cs="Arial"/>
          <w:b/>
          <w:bCs/>
        </w:rPr>
      </w:pPr>
    </w:p>
    <w:p w14:paraId="32124021" w14:textId="01330EAE" w:rsidR="00591623" w:rsidRDefault="00591623" w:rsidP="00CB3D7A">
      <w:pPr>
        <w:rPr>
          <w:rFonts w:cs="Arial"/>
          <w:b/>
          <w:bCs/>
        </w:rPr>
      </w:pPr>
    </w:p>
    <w:p w14:paraId="1EC6D0C7" w14:textId="4C44122C" w:rsidR="00591623" w:rsidRDefault="00591623" w:rsidP="00CB3D7A">
      <w:pPr>
        <w:rPr>
          <w:rFonts w:cs="Arial"/>
          <w:b/>
          <w:bCs/>
        </w:rPr>
      </w:pPr>
    </w:p>
    <w:p w14:paraId="6A7A09F2" w14:textId="66DC76E8" w:rsidR="00591623" w:rsidRDefault="00591623" w:rsidP="00CB3D7A">
      <w:pPr>
        <w:rPr>
          <w:rFonts w:cs="Arial"/>
          <w:b/>
          <w:bCs/>
        </w:rPr>
      </w:pPr>
    </w:p>
    <w:p w14:paraId="32CA94FF" w14:textId="20C2D800" w:rsidR="00591623" w:rsidRDefault="00591623" w:rsidP="00CB3D7A">
      <w:pPr>
        <w:rPr>
          <w:rFonts w:cs="Arial"/>
          <w:b/>
          <w:bCs/>
        </w:rPr>
      </w:pPr>
    </w:p>
    <w:p w14:paraId="6DE537E9" w14:textId="0D9EE387" w:rsidR="00591623" w:rsidRDefault="00591623" w:rsidP="00CB3D7A">
      <w:pPr>
        <w:rPr>
          <w:rFonts w:cs="Arial"/>
          <w:b/>
          <w:bCs/>
        </w:rPr>
      </w:pPr>
    </w:p>
    <w:p w14:paraId="238B6B84" w14:textId="36A866A5" w:rsidR="00591623" w:rsidRDefault="00591623" w:rsidP="00CB3D7A">
      <w:pPr>
        <w:rPr>
          <w:rFonts w:cs="Arial"/>
          <w:b/>
          <w:bCs/>
        </w:rPr>
      </w:pPr>
    </w:p>
    <w:p w14:paraId="75768A8D" w14:textId="5FAE2F6B" w:rsidR="00591623" w:rsidRDefault="00591623" w:rsidP="00CB3D7A">
      <w:pPr>
        <w:rPr>
          <w:rFonts w:cs="Arial"/>
          <w:b/>
          <w:bCs/>
        </w:rPr>
      </w:pPr>
    </w:p>
    <w:p w14:paraId="385E00CD" w14:textId="095185A7" w:rsidR="00591623" w:rsidRDefault="00591623" w:rsidP="00CB3D7A">
      <w:pPr>
        <w:rPr>
          <w:rFonts w:cs="Arial"/>
          <w:b/>
          <w:bCs/>
        </w:rPr>
      </w:pPr>
    </w:p>
    <w:p w14:paraId="17810E98" w14:textId="4D19962A" w:rsidR="00591623" w:rsidRDefault="00591623" w:rsidP="00CB3D7A">
      <w:pPr>
        <w:rPr>
          <w:rFonts w:cs="Arial"/>
          <w:b/>
          <w:bCs/>
        </w:rPr>
      </w:pPr>
    </w:p>
    <w:p w14:paraId="69A2A4E5" w14:textId="1F9CC4A7" w:rsidR="00591623" w:rsidRDefault="00591623" w:rsidP="00CB3D7A">
      <w:pPr>
        <w:rPr>
          <w:rFonts w:cs="Arial"/>
          <w:b/>
          <w:bCs/>
        </w:rPr>
      </w:pPr>
    </w:p>
    <w:p w14:paraId="5C30FDE1" w14:textId="5E8877F4" w:rsidR="00591623" w:rsidRDefault="00591623" w:rsidP="00CB3D7A">
      <w:pPr>
        <w:rPr>
          <w:rFonts w:cs="Arial"/>
          <w:b/>
          <w:bCs/>
        </w:rPr>
      </w:pPr>
    </w:p>
    <w:p w14:paraId="346EB5F7" w14:textId="164794E8" w:rsidR="00591623" w:rsidRDefault="00591623" w:rsidP="00CB3D7A">
      <w:pPr>
        <w:rPr>
          <w:rFonts w:cs="Arial"/>
          <w:b/>
          <w:bCs/>
        </w:rPr>
      </w:pPr>
    </w:p>
    <w:p w14:paraId="53284965" w14:textId="4B947B9C" w:rsidR="00591623" w:rsidRDefault="00591623" w:rsidP="00CB3D7A">
      <w:pPr>
        <w:rPr>
          <w:rFonts w:cs="Arial"/>
          <w:b/>
          <w:bCs/>
        </w:rPr>
      </w:pPr>
    </w:p>
    <w:p w14:paraId="1A56FA4C" w14:textId="15CCFB4C" w:rsidR="00591623" w:rsidRDefault="00591623" w:rsidP="00CB3D7A">
      <w:pPr>
        <w:rPr>
          <w:rFonts w:cs="Arial"/>
          <w:b/>
          <w:bCs/>
        </w:rPr>
      </w:pPr>
    </w:p>
    <w:p w14:paraId="73D1433C" w14:textId="3E0D5094" w:rsidR="00591623" w:rsidRDefault="00591623" w:rsidP="00CB3D7A">
      <w:pPr>
        <w:rPr>
          <w:rFonts w:cs="Arial"/>
          <w:b/>
          <w:bCs/>
        </w:rPr>
      </w:pPr>
    </w:p>
    <w:p w14:paraId="1FD91A4E" w14:textId="66D2E253" w:rsidR="00591623" w:rsidRDefault="00591623" w:rsidP="00CB3D7A">
      <w:pPr>
        <w:rPr>
          <w:rFonts w:cs="Arial"/>
          <w:b/>
          <w:bCs/>
        </w:rPr>
      </w:pPr>
    </w:p>
    <w:p w14:paraId="434168A3" w14:textId="3F5810ED" w:rsidR="00591623" w:rsidRDefault="00591623" w:rsidP="00CB3D7A">
      <w:pPr>
        <w:rPr>
          <w:rFonts w:cs="Arial"/>
          <w:b/>
          <w:bCs/>
        </w:rPr>
      </w:pPr>
    </w:p>
    <w:p w14:paraId="308E3A87" w14:textId="5B680C22" w:rsidR="00591623" w:rsidRDefault="00591623" w:rsidP="00CB3D7A">
      <w:pPr>
        <w:rPr>
          <w:rFonts w:cs="Arial"/>
          <w:b/>
          <w:bCs/>
        </w:rPr>
      </w:pPr>
    </w:p>
    <w:p w14:paraId="739EF665" w14:textId="30DE6415" w:rsidR="00591623" w:rsidRPr="00CB3D7A" w:rsidRDefault="00591623" w:rsidP="00CB3D7A">
      <w:pPr>
        <w:rPr>
          <w:rFonts w:cs="Arial"/>
          <w:b/>
          <w:bCs/>
        </w:rPr>
      </w:pPr>
    </w:p>
    <w:p w14:paraId="66551374" w14:textId="7AEB7FCC" w:rsidR="005D698A" w:rsidRPr="005428A3" w:rsidRDefault="005D698A" w:rsidP="000A20EE">
      <w:pPr>
        <w:pStyle w:val="Prrafodelista"/>
        <w:numPr>
          <w:ilvl w:val="3"/>
          <w:numId w:val="22"/>
        </w:numPr>
        <w:suppressAutoHyphens w:val="0"/>
        <w:spacing w:after="160"/>
        <w:contextualSpacing/>
        <w:rPr>
          <w:rFonts w:cs="Arial"/>
          <w:b/>
          <w:sz w:val="22"/>
          <w:szCs w:val="22"/>
        </w:rPr>
      </w:pPr>
      <w:r w:rsidRPr="005428A3">
        <w:rPr>
          <w:rFonts w:cs="Arial"/>
          <w:b/>
          <w:sz w:val="22"/>
          <w:szCs w:val="22"/>
        </w:rPr>
        <w:t xml:space="preserve">ESTRUCTURA </w:t>
      </w:r>
      <w:r w:rsidR="001E62D7" w:rsidRPr="005428A3">
        <w:rPr>
          <w:rFonts w:cs="Arial"/>
          <w:b/>
          <w:sz w:val="22"/>
          <w:szCs w:val="22"/>
        </w:rPr>
        <w:t>FUNCIONA</w:t>
      </w:r>
      <w:r w:rsidR="00DB15A0" w:rsidRPr="005428A3">
        <w:rPr>
          <w:rFonts w:cs="Arial"/>
          <w:b/>
          <w:sz w:val="22"/>
          <w:szCs w:val="22"/>
        </w:rPr>
        <w:t>L</w:t>
      </w:r>
      <w:r w:rsidR="001E62D7" w:rsidRPr="005428A3">
        <w:rPr>
          <w:rFonts w:cs="Arial"/>
          <w:b/>
          <w:sz w:val="22"/>
          <w:szCs w:val="22"/>
        </w:rPr>
        <w:t xml:space="preserve"> DE LA</w:t>
      </w:r>
      <w:r w:rsidRPr="005428A3">
        <w:rPr>
          <w:rFonts w:cs="Arial"/>
          <w:b/>
          <w:sz w:val="22"/>
          <w:szCs w:val="22"/>
        </w:rPr>
        <w:t xml:space="preserve"> OFICINA ASESORA DE PLANEACIÓN – OAP</w:t>
      </w:r>
    </w:p>
    <w:p w14:paraId="2CC93187" w14:textId="344B4014" w:rsidR="00DB15A0" w:rsidRPr="00F3474A" w:rsidRDefault="00F3474A" w:rsidP="00F3474A">
      <w:pPr>
        <w:pStyle w:val="Descripcin"/>
        <w:jc w:val="center"/>
        <w:rPr>
          <w:rFonts w:ascii="Arial" w:hAnsi="Arial" w:cs="Arial"/>
          <w:b/>
          <w:i w:val="0"/>
          <w:color w:val="auto"/>
          <w:sz w:val="16"/>
        </w:rPr>
      </w:pPr>
      <w:bookmarkStart w:id="192" w:name="_Toc88677214"/>
      <w:r w:rsidRPr="00F3474A">
        <w:rPr>
          <w:rFonts w:ascii="Arial" w:hAnsi="Arial" w:cs="Arial"/>
          <w:b/>
          <w:i w:val="0"/>
          <w:color w:val="auto"/>
          <w:sz w:val="16"/>
        </w:rPr>
        <w:t xml:space="preserve">Ilustración </w:t>
      </w:r>
      <w:r w:rsidRPr="00F3474A">
        <w:rPr>
          <w:rFonts w:ascii="Arial" w:hAnsi="Arial" w:cs="Arial"/>
          <w:b/>
          <w:i w:val="0"/>
          <w:color w:val="auto"/>
          <w:sz w:val="16"/>
        </w:rPr>
        <w:fldChar w:fldCharType="begin"/>
      </w:r>
      <w:r w:rsidRPr="00F3474A">
        <w:rPr>
          <w:rFonts w:ascii="Arial" w:hAnsi="Arial" w:cs="Arial"/>
          <w:b/>
          <w:i w:val="0"/>
          <w:color w:val="auto"/>
          <w:sz w:val="16"/>
        </w:rPr>
        <w:instrText xml:space="preserve"> SEQ Ilustración \* ARABIC </w:instrText>
      </w:r>
      <w:r w:rsidRPr="00F3474A">
        <w:rPr>
          <w:rFonts w:ascii="Arial" w:hAnsi="Arial" w:cs="Arial"/>
          <w:b/>
          <w:i w:val="0"/>
          <w:color w:val="auto"/>
          <w:sz w:val="16"/>
        </w:rPr>
        <w:fldChar w:fldCharType="separate"/>
      </w:r>
      <w:r w:rsidR="005D5B0E">
        <w:rPr>
          <w:rFonts w:ascii="Arial" w:hAnsi="Arial" w:cs="Arial"/>
          <w:b/>
          <w:i w:val="0"/>
          <w:noProof/>
          <w:color w:val="auto"/>
          <w:sz w:val="16"/>
        </w:rPr>
        <w:t>58</w:t>
      </w:r>
      <w:r w:rsidRPr="00F3474A">
        <w:rPr>
          <w:rFonts w:ascii="Arial" w:hAnsi="Arial" w:cs="Arial"/>
          <w:b/>
          <w:i w:val="0"/>
          <w:color w:val="auto"/>
          <w:sz w:val="16"/>
        </w:rPr>
        <w:fldChar w:fldCharType="end"/>
      </w:r>
      <w:r w:rsidRPr="00F3474A">
        <w:rPr>
          <w:rFonts w:ascii="Arial" w:hAnsi="Arial" w:cs="Arial"/>
          <w:b/>
          <w:i w:val="0"/>
          <w:color w:val="auto"/>
          <w:sz w:val="16"/>
        </w:rPr>
        <w:t>. Estructura funcional</w:t>
      </w:r>
      <w:bookmarkEnd w:id="192"/>
    </w:p>
    <w:p w14:paraId="68D82BF8" w14:textId="77777777" w:rsidR="005D698A" w:rsidRPr="004B0DCF" w:rsidRDefault="005D698A" w:rsidP="00C72779">
      <w:pPr>
        <w:pStyle w:val="Prrafodelista"/>
        <w:ind w:left="400"/>
        <w:rPr>
          <w:rFonts w:ascii="Calibri" w:eastAsia="Calibri" w:hAnsi="Calibri" w:cs="Arial"/>
          <w:b/>
        </w:rPr>
      </w:pPr>
      <w:r>
        <w:rPr>
          <w:rFonts w:cs="Arial"/>
          <w:b/>
          <w:bCs/>
          <w:noProof/>
          <w:lang w:val="es-CO" w:eastAsia="es-CO"/>
        </w:rPr>
        <w:drawing>
          <wp:anchor distT="0" distB="0" distL="114300" distR="114300" simplePos="0" relativeHeight="251658251" behindDoc="0" locked="0" layoutInCell="1" allowOverlap="1" wp14:anchorId="4490EDF1" wp14:editId="4B1AC7FA">
            <wp:simplePos x="0" y="0"/>
            <wp:positionH relativeFrom="margin">
              <wp:posOffset>-609600</wp:posOffset>
            </wp:positionH>
            <wp:positionV relativeFrom="paragraph">
              <wp:posOffset>172085</wp:posOffset>
            </wp:positionV>
            <wp:extent cx="6337300" cy="3623945"/>
            <wp:effectExtent l="0" t="0" r="6350" b="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84" cstate="print">
                      <a:extLst>
                        <a:ext uri="{28A0092B-C50C-407E-A947-70E740481C1C}">
                          <a14:useLocalDpi xmlns:a14="http://schemas.microsoft.com/office/drawing/2010/main" val="0"/>
                        </a:ext>
                      </a:extLst>
                    </a:blip>
                    <a:srcRect l="14092"/>
                    <a:stretch/>
                  </pic:blipFill>
                  <pic:spPr bwMode="auto">
                    <a:xfrm>
                      <a:off x="0" y="0"/>
                      <a:ext cx="6337300" cy="36239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CO" w:eastAsia="es-CO"/>
        </w:rPr>
        <mc:AlternateContent>
          <mc:Choice Requires="wpg">
            <w:drawing>
              <wp:inline distT="0" distB="0" distL="114300" distR="114300" wp14:anchorId="6589BE12" wp14:editId="5D768C39">
                <wp:extent cx="1733550" cy="596900"/>
                <wp:effectExtent l="0" t="0" r="0" b="0"/>
                <wp:docPr id="555106705" name="Grupo 1"/>
                <wp:cNvGraphicFramePr/>
                <a:graphic xmlns:a="http://schemas.openxmlformats.org/drawingml/2006/main">
                  <a:graphicData uri="http://schemas.microsoft.com/office/word/2010/wordprocessingGroup">
                    <wpg:wgp>
                      <wpg:cNvGrpSpPr/>
                      <wpg:grpSpPr>
                        <a:xfrm>
                          <a:off x="0" y="0"/>
                          <a:ext cx="1733550" cy="596900"/>
                          <a:chOff x="0" y="0"/>
                          <a:chExt cx="1739900" cy="527050"/>
                        </a:xfrm>
                      </wpg:grpSpPr>
                      <wps:wsp>
                        <wps:cNvPr id="9" name="Conector recto 9"/>
                        <wps:cNvCnPr/>
                        <wps:spPr>
                          <a:xfrm>
                            <a:off x="6350" y="120650"/>
                            <a:ext cx="723900" cy="0"/>
                          </a:xfrm>
                          <a:prstGeom prst="line">
                            <a:avLst/>
                          </a:prstGeom>
                          <a:ln>
                            <a:solidFill>
                              <a:srgbClr val="FFC000"/>
                            </a:solidFill>
                          </a:ln>
                        </wps:spPr>
                        <wps:style>
                          <a:lnRef idx="1">
                            <a:schemeClr val="accent1"/>
                          </a:lnRef>
                          <a:fillRef idx="0">
                            <a:schemeClr val="accent1"/>
                          </a:fillRef>
                          <a:effectRef idx="0">
                            <a:schemeClr val="accent1"/>
                          </a:effectRef>
                          <a:fontRef idx="minor">
                            <a:schemeClr val="tx1"/>
                          </a:fontRef>
                        </wps:style>
                        <wps:bodyPr/>
                      </wps:wsp>
                      <wps:wsp>
                        <wps:cNvPr id="10" name="Conector recto 10"/>
                        <wps:cNvCnPr/>
                        <wps:spPr>
                          <a:xfrm>
                            <a:off x="0" y="285750"/>
                            <a:ext cx="723900"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 name="Conector recto 11"/>
                        <wps:cNvCnPr/>
                        <wps:spPr>
                          <a:xfrm>
                            <a:off x="12700" y="463550"/>
                            <a:ext cx="723900" cy="0"/>
                          </a:xfrm>
                          <a:prstGeom prst="line">
                            <a:avLst/>
                          </a:prstGeom>
                        </wps:spPr>
                        <wps:style>
                          <a:lnRef idx="1">
                            <a:schemeClr val="accent6"/>
                          </a:lnRef>
                          <a:fillRef idx="0">
                            <a:schemeClr val="accent6"/>
                          </a:fillRef>
                          <a:effectRef idx="0">
                            <a:schemeClr val="accent6"/>
                          </a:effectRef>
                          <a:fontRef idx="minor">
                            <a:schemeClr val="tx1"/>
                          </a:fontRef>
                        </wps:style>
                        <wps:bodyPr/>
                      </wps:wsp>
                      <wps:wsp>
                        <wps:cNvPr id="217" name="Cuadro de texto 2"/>
                        <wps:cNvSpPr txBox="1">
                          <a:spLocks noChangeArrowheads="1"/>
                        </wps:cNvSpPr>
                        <wps:spPr bwMode="auto">
                          <a:xfrm>
                            <a:off x="488950" y="0"/>
                            <a:ext cx="1123950" cy="204470"/>
                          </a:xfrm>
                          <a:prstGeom prst="rect">
                            <a:avLst/>
                          </a:prstGeom>
                          <a:solidFill>
                            <a:srgbClr val="FFFFFF"/>
                          </a:solidFill>
                          <a:ln w="9525">
                            <a:noFill/>
                            <a:miter lim="800000"/>
                            <a:headEnd/>
                            <a:tailEnd/>
                          </a:ln>
                        </wps:spPr>
                        <wps:txbx>
                          <w:txbxContent>
                            <w:p w14:paraId="3091554A" w14:textId="77777777" w:rsidR="000D4401" w:rsidRPr="004F6790" w:rsidRDefault="000D4401" w:rsidP="005D698A">
                              <w:pPr>
                                <w:rPr>
                                  <w:rFonts w:cs="Arial"/>
                                  <w:sz w:val="8"/>
                                  <w:lang w:val="es-CO"/>
                                </w:rPr>
                              </w:pPr>
                              <w:r w:rsidRPr="004F6790">
                                <w:rPr>
                                  <w:rFonts w:cs="Arial"/>
                                  <w:sz w:val="16"/>
                                  <w:lang w:val="es-CO"/>
                                </w:rPr>
                                <w:t>Libre Nombramiento</w:t>
                              </w:r>
                            </w:p>
                          </w:txbxContent>
                        </wps:txbx>
                        <wps:bodyPr rot="0" vert="horz" wrap="square" lIns="91440" tIns="45720" rIns="91440" bIns="45720" anchor="t" anchorCtr="0">
                          <a:noAutofit/>
                        </wps:bodyPr>
                      </wps:wsp>
                      <wps:wsp>
                        <wps:cNvPr id="12" name="Cuadro de texto 2"/>
                        <wps:cNvSpPr txBox="1">
                          <a:spLocks noChangeArrowheads="1"/>
                        </wps:cNvSpPr>
                        <wps:spPr bwMode="auto">
                          <a:xfrm>
                            <a:off x="488950" y="158750"/>
                            <a:ext cx="1238250" cy="196850"/>
                          </a:xfrm>
                          <a:prstGeom prst="rect">
                            <a:avLst/>
                          </a:prstGeom>
                          <a:solidFill>
                            <a:srgbClr val="FFFFFF"/>
                          </a:solidFill>
                          <a:ln w="9525">
                            <a:noFill/>
                            <a:miter lim="800000"/>
                            <a:headEnd/>
                            <a:tailEnd/>
                          </a:ln>
                        </wps:spPr>
                        <wps:txbx>
                          <w:txbxContent>
                            <w:p w14:paraId="594078EA" w14:textId="77777777" w:rsidR="000D4401" w:rsidRPr="004F6790" w:rsidRDefault="000D4401" w:rsidP="005D698A">
                              <w:pPr>
                                <w:rPr>
                                  <w:rFonts w:cs="Arial"/>
                                  <w:sz w:val="8"/>
                                  <w:lang w:val="es-CO"/>
                                </w:rPr>
                              </w:pPr>
                              <w:r>
                                <w:rPr>
                                  <w:rFonts w:cs="Arial"/>
                                  <w:sz w:val="16"/>
                                  <w:lang w:val="es-CO"/>
                                </w:rPr>
                                <w:t>Carrera Administrativa</w:t>
                              </w:r>
                            </w:p>
                          </w:txbxContent>
                        </wps:txbx>
                        <wps:bodyPr rot="0" vert="horz" wrap="square" lIns="91440" tIns="45720" rIns="91440" bIns="45720" anchor="t" anchorCtr="0">
                          <a:noAutofit/>
                        </wps:bodyPr>
                      </wps:wsp>
                      <wps:wsp>
                        <wps:cNvPr id="13" name="Cuadro de texto 2"/>
                        <wps:cNvSpPr txBox="1">
                          <a:spLocks noChangeArrowheads="1"/>
                        </wps:cNvSpPr>
                        <wps:spPr bwMode="auto">
                          <a:xfrm>
                            <a:off x="501650" y="330200"/>
                            <a:ext cx="1238250" cy="196850"/>
                          </a:xfrm>
                          <a:prstGeom prst="rect">
                            <a:avLst/>
                          </a:prstGeom>
                          <a:solidFill>
                            <a:srgbClr val="FFFFFF"/>
                          </a:solidFill>
                          <a:ln w="9525">
                            <a:noFill/>
                            <a:miter lim="800000"/>
                            <a:headEnd/>
                            <a:tailEnd/>
                          </a:ln>
                        </wps:spPr>
                        <wps:txbx>
                          <w:txbxContent>
                            <w:p w14:paraId="4BA75A97" w14:textId="77777777" w:rsidR="000D4401" w:rsidRPr="004F6790" w:rsidRDefault="000D4401" w:rsidP="005D698A">
                              <w:pPr>
                                <w:rPr>
                                  <w:rFonts w:cs="Arial"/>
                                  <w:sz w:val="8"/>
                                  <w:lang w:val="es-CO"/>
                                </w:rPr>
                              </w:pPr>
                              <w:r>
                                <w:rPr>
                                  <w:rFonts w:cs="Arial"/>
                                  <w:sz w:val="16"/>
                                  <w:lang w:val="es-CO"/>
                                </w:rPr>
                                <w:t>Contratistas</w:t>
                              </w:r>
                            </w:p>
                          </w:txbxContent>
                        </wps:txbx>
                        <wps:bodyPr rot="0" vert="horz" wrap="square" lIns="91440" tIns="45720" rIns="91440" bIns="45720" anchor="t" anchorCtr="0">
                          <a:noAutofit/>
                        </wps:bodyPr>
                      </wps:wsp>
                    </wpg:wgp>
                  </a:graphicData>
                </a:graphic>
              </wp:inline>
            </w:drawing>
          </mc:Choice>
          <mc:Fallback>
            <w:pict>
              <v:group w14:anchorId="6589BE12" id="Grupo 1" o:spid="_x0000_s1057" style="width:136.5pt;height:47pt;mso-position-horizontal-relative:char;mso-position-vertical-relative:line" coordsize="17399,5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">
                <v:line id="Conector recto 9" o:spid="_x0000_s1058" style="position:absolute;visibility:visible;mso-wrap-style:square" from="63,1206" to="7302,1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" strokecolor="#ffc000"/>
                <v:line id="Conector recto 10" o:spid="_x0000_s1059" style="position:absolute;visibility:visible;mso-wrap-style:square" from="0,2857" to="7239,28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" strokecolor="#4579b8 [3044]"/>
                <v:line id="Conector recto 11" o:spid="_x0000_s1060" style="position:absolute;visibility:visible;mso-wrap-style:square" from="127,4635" to="7366,46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" strokecolor="#f68c36 [3049]"/>
                <v:shape id="Cuadro de texto 2" o:spid="_x0000_s1061" type="#_x0000_t202" style="position:absolute;left:4889;width:11240;height:2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" stroked="f">
                  <v:textbox>
                    <w:txbxContent>
                      <w:p w14:paraId="3091554A" w14:textId="77777777" w:rsidR="000D4401" w:rsidRPr="004F6790" w:rsidRDefault="000D4401" w:rsidP="005D698A">
                        <w:pPr>
                          <w:rPr>
                            <w:rFonts w:cs="Arial"/>
                            <w:sz w:val="8"/>
                            <w:lang w:val="es-CO"/>
                          </w:rPr>
                        </w:pPr>
                        <w:r w:rsidRPr="004F6790">
                          <w:rPr>
                            <w:rFonts w:cs="Arial"/>
                            <w:sz w:val="16"/>
                            <w:lang w:val="es-CO"/>
                          </w:rPr>
                          <w:t>Libre Nombramiento</w:t>
                        </w:r>
                      </w:p>
                    </w:txbxContent>
                  </v:textbox>
                </v:shape>
                <v:shape id="Cuadro de texto 2" o:spid="_x0000_s1062" type="#_x0000_t202" style="position:absolute;left:4889;top:1587;width:12383;height:19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" stroked="f">
                  <v:textbox>
                    <w:txbxContent>
                      <w:p w14:paraId="594078EA" w14:textId="77777777" w:rsidR="000D4401" w:rsidRPr="004F6790" w:rsidRDefault="000D4401" w:rsidP="005D698A">
                        <w:pPr>
                          <w:rPr>
                            <w:rFonts w:cs="Arial"/>
                            <w:sz w:val="8"/>
                            <w:lang w:val="es-CO"/>
                          </w:rPr>
                        </w:pPr>
                        <w:r>
                          <w:rPr>
                            <w:rFonts w:cs="Arial"/>
                            <w:sz w:val="16"/>
                            <w:lang w:val="es-CO"/>
                          </w:rPr>
                          <w:t>Carrera Administrativa</w:t>
                        </w:r>
                      </w:p>
                    </w:txbxContent>
                  </v:textbox>
                </v:shape>
                <v:shape id="Cuadro de texto 2" o:spid="_x0000_s1063" type="#_x0000_t202" style="position:absolute;left:5016;top:3302;width:12383;height:19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" stroked="f">
                  <v:textbox>
                    <w:txbxContent>
                      <w:p w14:paraId="4BA75A97" w14:textId="77777777" w:rsidR="000D4401" w:rsidRPr="004F6790" w:rsidRDefault="000D4401" w:rsidP="005D698A">
                        <w:pPr>
                          <w:rPr>
                            <w:rFonts w:cs="Arial"/>
                            <w:sz w:val="8"/>
                            <w:lang w:val="es-CO"/>
                          </w:rPr>
                        </w:pPr>
                        <w:r>
                          <w:rPr>
                            <w:rFonts w:cs="Arial"/>
                            <w:sz w:val="16"/>
                            <w:lang w:val="es-CO"/>
                          </w:rPr>
                          <w:t>Contratistas</w:t>
                        </w:r>
                      </w:p>
                    </w:txbxContent>
                  </v:textbox>
                </v:shape>
                <w10:anchorlock/>
              </v:group>
            </w:pict>
          </mc:Fallback>
        </mc:AlternateContent>
      </w:r>
    </w:p>
    <w:p w14:paraId="38AA369A" w14:textId="64AB00E3" w:rsidR="00DB15A0" w:rsidRPr="00F3474A" w:rsidRDefault="00DB15A0" w:rsidP="00F3474A">
      <w:pPr>
        <w:jc w:val="center"/>
        <w:rPr>
          <w:rFonts w:cs="Arial"/>
          <w:b/>
          <w:sz w:val="16"/>
          <w:szCs w:val="16"/>
        </w:rPr>
      </w:pPr>
      <w:r w:rsidRPr="00DB15A0">
        <w:rPr>
          <w:rFonts w:cs="Arial"/>
          <w:b/>
          <w:bCs/>
          <w:sz w:val="16"/>
          <w:szCs w:val="16"/>
        </w:rPr>
        <w:t>Fuente: Oficina Asesora de Planeación</w:t>
      </w:r>
    </w:p>
    <w:p w14:paraId="65C9207A" w14:textId="77777777" w:rsidR="00DB15A0" w:rsidRDefault="00DB15A0" w:rsidP="00C72779">
      <w:pPr>
        <w:jc w:val="both"/>
        <w:rPr>
          <w:rFonts w:cs="Arial"/>
          <w:b/>
          <w:bCs/>
        </w:rPr>
      </w:pPr>
    </w:p>
    <w:p w14:paraId="6AA1F5D3" w14:textId="77777777" w:rsidR="005D698A" w:rsidRPr="005428A3" w:rsidRDefault="005D698A" w:rsidP="000A20EE">
      <w:pPr>
        <w:pStyle w:val="Prrafodelista"/>
        <w:numPr>
          <w:ilvl w:val="4"/>
          <w:numId w:val="22"/>
        </w:numPr>
        <w:suppressAutoHyphens w:val="0"/>
        <w:spacing w:after="160"/>
        <w:contextualSpacing/>
        <w:rPr>
          <w:rFonts w:cs="Arial"/>
          <w:b/>
          <w:sz w:val="22"/>
          <w:szCs w:val="22"/>
        </w:rPr>
      </w:pPr>
      <w:r w:rsidRPr="005428A3">
        <w:rPr>
          <w:rFonts w:cs="Arial"/>
          <w:b/>
          <w:sz w:val="22"/>
          <w:szCs w:val="22"/>
        </w:rPr>
        <w:t>EQUIPO Y ROLES</w:t>
      </w:r>
    </w:p>
    <w:p w14:paraId="4C32031F" w14:textId="77777777" w:rsidR="0009142C" w:rsidRPr="0009142C" w:rsidRDefault="0009142C" w:rsidP="0009142C">
      <w:pPr>
        <w:pStyle w:val="Prrafodelista"/>
        <w:suppressAutoHyphens w:val="0"/>
        <w:spacing w:after="160"/>
        <w:ind w:left="2024"/>
        <w:contextualSpacing/>
        <w:rPr>
          <w:rFonts w:cs="Arial"/>
          <w:lang w:val="es-MX"/>
        </w:rPr>
      </w:pPr>
    </w:p>
    <w:p w14:paraId="62609AD5" w14:textId="77777777" w:rsidR="005D698A" w:rsidRDefault="005D698A" w:rsidP="00C72779">
      <w:pPr>
        <w:autoSpaceDE w:val="0"/>
        <w:autoSpaceDN w:val="0"/>
        <w:adjustRightInd w:val="0"/>
        <w:jc w:val="both"/>
        <w:rPr>
          <w:rFonts w:cs="Arial"/>
          <w:sz w:val="22"/>
          <w:szCs w:val="22"/>
          <w:lang w:val="es-MX"/>
        </w:rPr>
      </w:pPr>
      <w:r w:rsidRPr="00432777">
        <w:rPr>
          <w:rFonts w:cs="Arial"/>
          <w:sz w:val="22"/>
          <w:szCs w:val="22"/>
          <w:lang w:val="es-MX"/>
        </w:rPr>
        <w:t>La Oficina Asesora de Planeación está integrad</w:t>
      </w:r>
      <w:r>
        <w:rPr>
          <w:rFonts w:cs="Arial"/>
          <w:sz w:val="22"/>
          <w:szCs w:val="22"/>
          <w:lang w:val="es-MX"/>
        </w:rPr>
        <w:t>a</w:t>
      </w:r>
      <w:r w:rsidRPr="00432777">
        <w:rPr>
          <w:rFonts w:cs="Arial"/>
          <w:sz w:val="22"/>
          <w:szCs w:val="22"/>
          <w:lang w:val="es-MX"/>
        </w:rPr>
        <w:t xml:space="preserve"> por 22 profesionales los cuales tienen a cargo los siguientes roles de acuerdo al subproceso que impactan:</w:t>
      </w:r>
    </w:p>
    <w:p w14:paraId="2F20CEE6" w14:textId="77777777" w:rsidR="005D698A" w:rsidRDefault="005D698A" w:rsidP="00C72779">
      <w:pPr>
        <w:autoSpaceDE w:val="0"/>
        <w:autoSpaceDN w:val="0"/>
        <w:adjustRightInd w:val="0"/>
        <w:jc w:val="both"/>
        <w:rPr>
          <w:rFonts w:cs="Arial"/>
          <w:sz w:val="22"/>
          <w:szCs w:val="22"/>
          <w:lang w:val="es-MX"/>
        </w:rPr>
      </w:pPr>
    </w:p>
    <w:p w14:paraId="77D95D2C" w14:textId="77777777" w:rsidR="0088341D" w:rsidRPr="0088341D" w:rsidRDefault="0088341D" w:rsidP="00C72779">
      <w:pPr>
        <w:autoSpaceDE w:val="0"/>
        <w:autoSpaceDN w:val="0"/>
        <w:adjustRightInd w:val="0"/>
        <w:jc w:val="both"/>
        <w:rPr>
          <w:rFonts w:cs="Arial"/>
          <w:b/>
          <w:bCs/>
          <w:sz w:val="16"/>
          <w:szCs w:val="16"/>
          <w:lang w:val="es-MX"/>
        </w:rPr>
      </w:pPr>
    </w:p>
    <w:tbl>
      <w:tblPr>
        <w:tblStyle w:val="Tabladecuadrcula4-nfasis1"/>
        <w:tblW w:w="10060" w:type="dxa"/>
        <w:jc w:val="center"/>
        <w:tblLayout w:type="fixed"/>
        <w:tblLook w:val="06A0" w:firstRow="1" w:lastRow="0" w:firstColumn="1" w:lastColumn="0" w:noHBand="1" w:noVBand="1"/>
      </w:tblPr>
      <w:tblGrid>
        <w:gridCol w:w="710"/>
        <w:gridCol w:w="1417"/>
        <w:gridCol w:w="6657"/>
        <w:gridCol w:w="1276"/>
      </w:tblGrid>
      <w:tr w:rsidR="005D698A" w:rsidRPr="009B2991" w14:paraId="237D4A49" w14:textId="77777777" w:rsidTr="31FF9146">
        <w:trPr>
          <w:cnfStyle w:val="100000000000" w:firstRow="1" w:lastRow="0" w:firstColumn="0" w:lastColumn="0" w:oddVBand="0" w:evenVBand="0" w:oddHBand="0" w:evenHBand="0" w:firstRowFirstColumn="0" w:firstRowLastColumn="0" w:lastRowFirstColumn="0" w:lastRowLastColumn="0"/>
          <w:trHeight w:val="375"/>
          <w:tblHeader/>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18AE0827" w14:textId="77777777" w:rsidR="005D698A" w:rsidRPr="00364CB5" w:rsidRDefault="005D698A" w:rsidP="00C72779">
            <w:pPr>
              <w:jc w:val="center"/>
              <w:rPr>
                <w:rFonts w:cs="Arial"/>
                <w:sz w:val="18"/>
                <w:szCs w:val="18"/>
              </w:rPr>
            </w:pPr>
            <w:r>
              <w:rPr>
                <w:rFonts w:cs="Arial"/>
                <w:sz w:val="18"/>
                <w:szCs w:val="18"/>
              </w:rPr>
              <w:t>Cant</w:t>
            </w:r>
          </w:p>
        </w:tc>
        <w:tc>
          <w:tcPr>
            <w:tcW w:w="1417" w:type="dxa"/>
            <w:vAlign w:val="center"/>
          </w:tcPr>
          <w:p w14:paraId="677B754A" w14:textId="77777777" w:rsidR="005D698A" w:rsidRPr="00364CB5" w:rsidRDefault="005D698A"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rPr>
            </w:pPr>
            <w:r w:rsidRPr="00364CB5">
              <w:rPr>
                <w:rFonts w:cs="Arial"/>
                <w:sz w:val="18"/>
                <w:szCs w:val="18"/>
              </w:rPr>
              <w:t>Funcionario o Contratista</w:t>
            </w:r>
          </w:p>
        </w:tc>
        <w:tc>
          <w:tcPr>
            <w:tcW w:w="6657" w:type="dxa"/>
            <w:vAlign w:val="center"/>
          </w:tcPr>
          <w:p w14:paraId="064F8FC6" w14:textId="77777777" w:rsidR="005D698A" w:rsidRPr="00364CB5" w:rsidRDefault="005D698A"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rPr>
            </w:pPr>
            <w:r w:rsidRPr="00364CB5">
              <w:rPr>
                <w:rFonts w:cs="Arial"/>
                <w:sz w:val="18"/>
                <w:szCs w:val="18"/>
              </w:rPr>
              <w:t>Rol</w:t>
            </w:r>
          </w:p>
        </w:tc>
        <w:tc>
          <w:tcPr>
            <w:tcW w:w="1276" w:type="dxa"/>
            <w:vAlign w:val="center"/>
          </w:tcPr>
          <w:p w14:paraId="354B4405" w14:textId="77777777" w:rsidR="005D698A" w:rsidRPr="00364CB5" w:rsidRDefault="005D698A" w:rsidP="00C72779">
            <w:pPr>
              <w:jc w:val="center"/>
              <w:cnfStyle w:val="100000000000" w:firstRow="1" w:lastRow="0" w:firstColumn="0" w:lastColumn="0" w:oddVBand="0" w:evenVBand="0" w:oddHBand="0" w:evenHBand="0" w:firstRowFirstColumn="0" w:firstRowLastColumn="0" w:lastRowFirstColumn="0" w:lastRowLastColumn="0"/>
              <w:rPr>
                <w:rFonts w:cs="Arial"/>
                <w:sz w:val="18"/>
                <w:szCs w:val="18"/>
              </w:rPr>
            </w:pPr>
            <w:r w:rsidRPr="00364CB5">
              <w:rPr>
                <w:rFonts w:cs="Arial"/>
                <w:sz w:val="18"/>
                <w:szCs w:val="18"/>
              </w:rPr>
              <w:t>Subproceso</w:t>
            </w:r>
          </w:p>
        </w:tc>
      </w:tr>
      <w:tr w:rsidR="005D698A" w:rsidRPr="009B2991" w14:paraId="079E0C3D" w14:textId="77777777" w:rsidTr="31FF9146">
        <w:trPr>
          <w:trHeight w:val="72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18979D87"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t>1</w:t>
            </w:r>
          </w:p>
        </w:tc>
        <w:tc>
          <w:tcPr>
            <w:tcW w:w="1417" w:type="dxa"/>
            <w:vAlign w:val="center"/>
          </w:tcPr>
          <w:p w14:paraId="0B82F0B4" w14:textId="77777777" w:rsidR="005D698A" w:rsidRPr="009B2991" w:rsidRDefault="005D698A" w:rsidP="00C72779">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Arial"/>
                <w:b/>
                <w:sz w:val="18"/>
                <w:szCs w:val="18"/>
                <w:lang w:val="es-MX"/>
              </w:rPr>
            </w:pPr>
            <w:r w:rsidRPr="009B2991">
              <w:rPr>
                <w:rFonts w:cs="Arial"/>
                <w:b/>
                <w:sz w:val="18"/>
                <w:szCs w:val="18"/>
                <w:lang w:val="es-MX"/>
              </w:rPr>
              <w:t>Profesional Especializado</w:t>
            </w:r>
          </w:p>
          <w:p w14:paraId="3958E6C2" w14:textId="77777777" w:rsidR="005D698A" w:rsidRPr="009B2991" w:rsidRDefault="005D698A" w:rsidP="00C72779">
            <w:pPr>
              <w:jc w:val="center"/>
              <w:cnfStyle w:val="000000000000" w:firstRow="0" w:lastRow="0" w:firstColumn="0" w:lastColumn="0" w:oddVBand="0" w:evenVBand="0" w:oddHBand="0" w:evenHBand="0" w:firstRowFirstColumn="0" w:firstRowLastColumn="0" w:lastRowFirstColumn="0" w:lastRowLastColumn="0"/>
              <w:rPr>
                <w:sz w:val="18"/>
                <w:szCs w:val="18"/>
              </w:rPr>
            </w:pPr>
          </w:p>
        </w:tc>
        <w:tc>
          <w:tcPr>
            <w:tcW w:w="6657" w:type="dxa"/>
            <w:vAlign w:val="center"/>
          </w:tcPr>
          <w:p w14:paraId="22997140" w14:textId="77777777" w:rsidR="005D698A" w:rsidRPr="009B2991" w:rsidRDefault="005D698A" w:rsidP="00C72779">
            <w:p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b/>
                <w:sz w:val="18"/>
                <w:szCs w:val="18"/>
                <w:lang w:val="es-MX"/>
              </w:rPr>
            </w:pPr>
            <w:r w:rsidRPr="009B2991">
              <w:rPr>
                <w:rFonts w:cs="Arial"/>
                <w:b/>
                <w:sz w:val="18"/>
                <w:szCs w:val="18"/>
                <w:lang w:val="es-MX"/>
              </w:rPr>
              <w:t>Profesional de Presupuesto</w:t>
            </w:r>
          </w:p>
          <w:p w14:paraId="739A76BE"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Expedición de viabilidades presupuestales de los proyectos de inversión.</w:t>
            </w:r>
          </w:p>
          <w:p w14:paraId="07CA56B4"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Revisión y seguimiento al Plan Operativo Anual de Inversión</w:t>
            </w:r>
          </w:p>
          <w:p w14:paraId="786CFEA5"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Apoyo en la formulación del anteproyecto de presupuesto.</w:t>
            </w:r>
          </w:p>
          <w:p w14:paraId="0871F62F"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Asesorías a los procesos a cargo en lo relacionado con el SGI</w:t>
            </w:r>
          </w:p>
          <w:p w14:paraId="16FE0E77"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Apoyo en realización de auditorías internas.</w:t>
            </w:r>
          </w:p>
          <w:p w14:paraId="2B7DB736" w14:textId="77777777" w:rsidR="005D698A" w:rsidRPr="009B2991" w:rsidRDefault="005D698A" w:rsidP="000A20EE">
            <w:pPr>
              <w:numPr>
                <w:ilvl w:val="1"/>
                <w:numId w:val="29"/>
              </w:numPr>
              <w:suppressAutoHyphens w:val="0"/>
              <w:autoSpaceDE w:val="0"/>
              <w:autoSpaceDN w:val="0"/>
              <w:adjustRightInd w:val="0"/>
              <w:spacing w:after="160"/>
              <w:contextualSpacing/>
              <w:jc w:val="both"/>
              <w:cnfStyle w:val="000000000000" w:firstRow="0" w:lastRow="0" w:firstColumn="0" w:lastColumn="0" w:oddVBand="0" w:evenVBand="0" w:oddHBand="0" w:evenHBand="0" w:firstRowFirstColumn="0" w:firstRowLastColumn="0" w:lastRowFirstColumn="0" w:lastRowLastColumn="0"/>
              <w:rPr>
                <w:rFonts w:cs="Arial"/>
                <w:sz w:val="18"/>
                <w:szCs w:val="18"/>
                <w:lang w:val="es-MX"/>
              </w:rPr>
            </w:pPr>
            <w:r w:rsidRPr="009B2991">
              <w:rPr>
                <w:rFonts w:cs="Arial"/>
                <w:sz w:val="18"/>
                <w:szCs w:val="18"/>
                <w:lang w:val="es-MX"/>
              </w:rPr>
              <w:t>Participación en el ejercicio de arquitectura de procesos.</w:t>
            </w:r>
          </w:p>
        </w:tc>
        <w:tc>
          <w:tcPr>
            <w:tcW w:w="1276" w:type="dxa"/>
            <w:vAlign w:val="center"/>
          </w:tcPr>
          <w:p w14:paraId="10EA4D24"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Estratégica</w:t>
            </w:r>
          </w:p>
        </w:tc>
      </w:tr>
      <w:tr w:rsidR="005D698A" w:rsidRPr="009B2991" w14:paraId="047DE268" w14:textId="77777777" w:rsidTr="31FF9146">
        <w:trPr>
          <w:trHeight w:val="416"/>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55482F70"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t>1</w:t>
            </w:r>
          </w:p>
        </w:tc>
        <w:tc>
          <w:tcPr>
            <w:tcW w:w="1417" w:type="dxa"/>
            <w:vAlign w:val="center"/>
          </w:tcPr>
          <w:p w14:paraId="4D50CD21" w14:textId="77777777" w:rsidR="005D698A" w:rsidRPr="009B50E2" w:rsidRDefault="005D698A" w:rsidP="00C72779">
            <w:pPr>
              <w:jc w:val="center"/>
              <w:cnfStyle w:val="000000000000" w:firstRow="0" w:lastRow="0" w:firstColumn="0" w:lastColumn="0" w:oddVBand="0" w:evenVBand="0" w:oddHBand="0" w:evenHBand="0" w:firstRowFirstColumn="0" w:firstRowLastColumn="0" w:lastRowFirstColumn="0" w:lastRowLastColumn="0"/>
              <w:rPr>
                <w:b/>
                <w:sz w:val="18"/>
                <w:szCs w:val="18"/>
              </w:rPr>
            </w:pPr>
            <w:r>
              <w:rPr>
                <w:rFonts w:cs="Arial"/>
                <w:b/>
                <w:color w:val="000000" w:themeColor="text1"/>
                <w:sz w:val="18"/>
                <w:szCs w:val="18"/>
              </w:rPr>
              <w:t xml:space="preserve">Contratista- Profesional </w:t>
            </w:r>
            <w:r w:rsidRPr="009B50E2">
              <w:rPr>
                <w:rFonts w:cs="Arial"/>
                <w:b/>
                <w:color w:val="000000" w:themeColor="text1"/>
                <w:sz w:val="18"/>
                <w:szCs w:val="18"/>
              </w:rPr>
              <w:t>Especializado</w:t>
            </w:r>
          </w:p>
        </w:tc>
        <w:tc>
          <w:tcPr>
            <w:tcW w:w="6657" w:type="dxa"/>
            <w:vAlign w:val="center"/>
          </w:tcPr>
          <w:p w14:paraId="2FDA44FA" w14:textId="77777777" w:rsidR="005D698A" w:rsidRPr="00364CB5" w:rsidRDefault="005D698A" w:rsidP="00C72779">
            <w:pPr>
              <w:pStyle w:val="paragraph"/>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lang w:val="es-ES" w:eastAsia="ar-SA"/>
              </w:rPr>
            </w:pPr>
            <w:r w:rsidRPr="00364CB5">
              <w:rPr>
                <w:rFonts w:cs="Arial"/>
                <w:b/>
                <w:color w:val="000000" w:themeColor="text1"/>
                <w:sz w:val="18"/>
                <w:szCs w:val="18"/>
                <w:lang w:val="es-ES" w:eastAsia="ar-SA"/>
              </w:rPr>
              <w:t>Profesional de Ingresos</w:t>
            </w:r>
          </w:p>
          <w:p w14:paraId="63950A6D" w14:textId="77777777" w:rsidR="005D698A" w:rsidRPr="00364CB5" w:rsidRDefault="005D698A" w:rsidP="000A20EE">
            <w:pPr>
              <w:pStyle w:val="paragraph"/>
              <w:numPr>
                <w:ilvl w:val="0"/>
                <w:numId w:val="33"/>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lang w:val="es-ES" w:eastAsia="ar-SA"/>
              </w:rPr>
            </w:pPr>
            <w:r w:rsidRPr="00364CB5">
              <w:rPr>
                <w:rFonts w:cs="Arial"/>
                <w:color w:val="000000" w:themeColor="text1"/>
                <w:sz w:val="18"/>
                <w:szCs w:val="18"/>
                <w:lang w:val="es-ES" w:eastAsia="ar-SA"/>
              </w:rPr>
              <w:t>Seguimiento al recaudo de los ingresos generados por ventas de contado, convenios y contratos en ejecución y que cuentan con saldo pendiente.</w:t>
            </w:r>
          </w:p>
          <w:p w14:paraId="67BDEF1B" w14:textId="77777777" w:rsidR="005D698A" w:rsidRPr="00364CB5" w:rsidRDefault="005D698A" w:rsidP="000A20EE">
            <w:pPr>
              <w:pStyle w:val="paragraph"/>
              <w:numPr>
                <w:ilvl w:val="0"/>
                <w:numId w:val="33"/>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lang w:val="es-ES" w:eastAsia="ar-SA"/>
              </w:rPr>
            </w:pPr>
            <w:r w:rsidRPr="00364CB5">
              <w:rPr>
                <w:rFonts w:cs="Arial"/>
                <w:color w:val="000000" w:themeColor="text1"/>
                <w:sz w:val="18"/>
                <w:szCs w:val="18"/>
                <w:lang w:val="es-ES" w:eastAsia="ar-SA"/>
              </w:rPr>
              <w:lastRenderedPageBreak/>
              <w:t>Consolidación de base de datos de los ingresos generados por ventas de contado, por convenios y contratos a nivel nacional.</w:t>
            </w:r>
          </w:p>
          <w:p w14:paraId="7C8AD425" w14:textId="77777777" w:rsidR="005D698A" w:rsidRPr="00364CB5" w:rsidRDefault="005D698A" w:rsidP="000A20EE">
            <w:pPr>
              <w:pStyle w:val="paragraph"/>
              <w:numPr>
                <w:ilvl w:val="0"/>
                <w:numId w:val="33"/>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lang w:val="es-ES" w:eastAsia="ar-SA"/>
              </w:rPr>
            </w:pPr>
            <w:r w:rsidRPr="00364CB5">
              <w:rPr>
                <w:rFonts w:cs="Arial"/>
                <w:color w:val="000000" w:themeColor="text1"/>
                <w:sz w:val="18"/>
                <w:szCs w:val="18"/>
                <w:lang w:val="es-ES" w:eastAsia="ar-SA"/>
              </w:rPr>
              <w:t>Elaboración de matriz de seguimiento del gasto por recursos propios y generación de alertas periódicas sobre el avance del gasto frente a los ingresos proyectados y recaudados.</w:t>
            </w:r>
          </w:p>
          <w:p w14:paraId="74F97A83" w14:textId="77777777" w:rsidR="005D698A" w:rsidRPr="00364CB5" w:rsidRDefault="005D698A" w:rsidP="000A20EE">
            <w:pPr>
              <w:pStyle w:val="paragraph"/>
              <w:numPr>
                <w:ilvl w:val="0"/>
                <w:numId w:val="33"/>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lang w:val="es-ES" w:eastAsia="ar-SA"/>
              </w:rPr>
            </w:pPr>
            <w:r w:rsidRPr="00364CB5">
              <w:rPr>
                <w:rFonts w:cs="Arial"/>
                <w:color w:val="000000" w:themeColor="text1"/>
                <w:sz w:val="18"/>
                <w:szCs w:val="18"/>
                <w:lang w:val="es-ES" w:eastAsia="ar-SA"/>
              </w:rPr>
              <w:t>Análisis financiero de los ingresos.</w:t>
            </w:r>
          </w:p>
          <w:p w14:paraId="21DDE329" w14:textId="77777777" w:rsidR="005D698A" w:rsidRPr="00364CB5" w:rsidRDefault="005D698A" w:rsidP="000A20EE">
            <w:pPr>
              <w:pStyle w:val="paragraph"/>
              <w:numPr>
                <w:ilvl w:val="0"/>
                <w:numId w:val="33"/>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lang w:val="es-ES" w:eastAsia="ar-SA"/>
              </w:rPr>
            </w:pPr>
            <w:r w:rsidRPr="00364CB5">
              <w:rPr>
                <w:rFonts w:cs="Arial"/>
                <w:color w:val="000000" w:themeColor="text1"/>
                <w:sz w:val="18"/>
                <w:szCs w:val="18"/>
                <w:lang w:val="es-ES" w:eastAsia="ar-SA"/>
              </w:rPr>
              <w:t>Registro de los ingresos generados por ventas de contado, convenios y contratos históricamente.</w:t>
            </w:r>
          </w:p>
        </w:tc>
        <w:tc>
          <w:tcPr>
            <w:tcW w:w="1276" w:type="dxa"/>
            <w:vAlign w:val="center"/>
          </w:tcPr>
          <w:p w14:paraId="58606134"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lastRenderedPageBreak/>
              <w:t>Gestión Estratégica</w:t>
            </w:r>
          </w:p>
        </w:tc>
      </w:tr>
      <w:tr w:rsidR="005D698A" w:rsidRPr="009B2991" w14:paraId="5C7EDC70" w14:textId="77777777" w:rsidTr="31FF9146">
        <w:trPr>
          <w:trHeight w:val="72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6C637370"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lastRenderedPageBreak/>
              <w:t>1</w:t>
            </w:r>
          </w:p>
        </w:tc>
        <w:tc>
          <w:tcPr>
            <w:tcW w:w="1417" w:type="dxa"/>
            <w:vAlign w:val="center"/>
          </w:tcPr>
          <w:p w14:paraId="3E5090B7" w14:textId="77777777" w:rsidR="005D698A" w:rsidRPr="009B2991" w:rsidRDefault="005D698A" w:rsidP="00C72779">
            <w:pPr>
              <w:jc w:val="center"/>
              <w:cnfStyle w:val="000000000000" w:firstRow="0" w:lastRow="0" w:firstColumn="0" w:lastColumn="0" w:oddVBand="0" w:evenVBand="0" w:oddHBand="0" w:evenHBand="0" w:firstRowFirstColumn="0" w:firstRowLastColumn="0" w:lastRowFirstColumn="0" w:lastRowLastColumn="0"/>
              <w:rPr>
                <w:sz w:val="18"/>
                <w:szCs w:val="18"/>
              </w:rPr>
            </w:pPr>
            <w:r>
              <w:rPr>
                <w:rFonts w:cs="Arial"/>
                <w:b/>
                <w:color w:val="000000" w:themeColor="text1"/>
                <w:sz w:val="18"/>
                <w:szCs w:val="18"/>
              </w:rPr>
              <w:t xml:space="preserve">Contratista- Profesional </w:t>
            </w:r>
            <w:r w:rsidRPr="009B50E2">
              <w:rPr>
                <w:rFonts w:cs="Arial"/>
                <w:b/>
                <w:color w:val="000000" w:themeColor="text1"/>
                <w:sz w:val="18"/>
                <w:szCs w:val="18"/>
              </w:rPr>
              <w:t>Especializado</w:t>
            </w:r>
          </w:p>
        </w:tc>
        <w:tc>
          <w:tcPr>
            <w:tcW w:w="6657" w:type="dxa"/>
            <w:vAlign w:val="center"/>
          </w:tcPr>
          <w:p w14:paraId="33CC8E3A" w14:textId="77777777" w:rsidR="005D698A" w:rsidRPr="00CE2D5C" w:rsidRDefault="005D698A" w:rsidP="00C72779">
            <w:pPr>
              <w:pStyle w:val="paragraph"/>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CE2D5C">
              <w:rPr>
                <w:rStyle w:val="normaltextrun"/>
                <w:rFonts w:cs="Arial"/>
                <w:b/>
                <w:bCs/>
                <w:sz w:val="18"/>
                <w:szCs w:val="22"/>
                <w:lang w:val="es-MX"/>
              </w:rPr>
              <w:t>Profesional de seguimiento</w:t>
            </w:r>
            <w:r w:rsidRPr="00CE2D5C">
              <w:rPr>
                <w:rStyle w:val="eop"/>
                <w:rFonts w:cs="Arial"/>
                <w:sz w:val="18"/>
                <w:szCs w:val="22"/>
              </w:rPr>
              <w:t> </w:t>
            </w:r>
          </w:p>
          <w:p w14:paraId="4979276E" w14:textId="77777777" w:rsidR="005D698A" w:rsidRPr="00CE2D5C" w:rsidRDefault="005D698A" w:rsidP="000A20EE">
            <w:pPr>
              <w:pStyle w:val="paragraph"/>
              <w:numPr>
                <w:ilvl w:val="0"/>
                <w:numId w:val="34"/>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CE2D5C">
              <w:rPr>
                <w:rStyle w:val="normaltextrun"/>
                <w:rFonts w:cs="Arial"/>
                <w:sz w:val="18"/>
                <w:szCs w:val="22"/>
                <w:lang w:val="es-MX"/>
              </w:rPr>
              <w:t>Apoyo en la elaboración de informes de gestión de la Entidad</w:t>
            </w:r>
            <w:r w:rsidRPr="00CE2D5C">
              <w:rPr>
                <w:rStyle w:val="eop"/>
                <w:rFonts w:cs="Arial"/>
                <w:sz w:val="18"/>
                <w:szCs w:val="22"/>
              </w:rPr>
              <w:t> </w:t>
            </w:r>
          </w:p>
          <w:p w14:paraId="47EA7111" w14:textId="77777777" w:rsidR="005D698A" w:rsidRPr="00CE2D5C" w:rsidRDefault="005D698A" w:rsidP="000A20EE">
            <w:pPr>
              <w:pStyle w:val="paragraph"/>
              <w:numPr>
                <w:ilvl w:val="0"/>
                <w:numId w:val="34"/>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CE2D5C">
              <w:rPr>
                <w:rStyle w:val="normaltextrun"/>
                <w:rFonts w:cs="Arial"/>
                <w:color w:val="000000"/>
                <w:sz w:val="18"/>
                <w:szCs w:val="22"/>
              </w:rPr>
              <w:t>Seguimiento permanente a las metas e indicadores que hacen parte del sistema de medición de la entidad.</w:t>
            </w:r>
            <w:r w:rsidRPr="00CE2D5C">
              <w:rPr>
                <w:rStyle w:val="eop"/>
                <w:rFonts w:cs="Arial"/>
                <w:color w:val="000000"/>
                <w:sz w:val="18"/>
                <w:szCs w:val="22"/>
              </w:rPr>
              <w:t> </w:t>
            </w:r>
          </w:p>
          <w:p w14:paraId="0800654F" w14:textId="77777777" w:rsidR="005D698A" w:rsidRPr="00CE2D5C" w:rsidRDefault="005D698A" w:rsidP="000A20EE">
            <w:pPr>
              <w:pStyle w:val="paragraph"/>
              <w:numPr>
                <w:ilvl w:val="0"/>
                <w:numId w:val="34"/>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CE2D5C">
              <w:rPr>
                <w:rStyle w:val="normaltextrun"/>
                <w:rFonts w:cs="Arial"/>
                <w:color w:val="000000"/>
                <w:sz w:val="18"/>
                <w:szCs w:val="22"/>
              </w:rPr>
              <w:t>Apoyo</w:t>
            </w:r>
            <w:r w:rsidRPr="00CE2D5C">
              <w:rPr>
                <w:rStyle w:val="normaltextrun"/>
                <w:rFonts w:cs="Arial"/>
                <w:sz w:val="18"/>
                <w:szCs w:val="22"/>
              </w:rPr>
              <w:t> a los procesos de la entidad en la formulación, actualización, seguimiento y reporte de los indicadores de gestión definidos por el Instituto.</w:t>
            </w:r>
            <w:r w:rsidRPr="00CE2D5C">
              <w:rPr>
                <w:rStyle w:val="eop"/>
                <w:rFonts w:cs="Arial"/>
                <w:sz w:val="18"/>
                <w:szCs w:val="22"/>
              </w:rPr>
              <w:t> </w:t>
            </w:r>
          </w:p>
          <w:p w14:paraId="123B29CB" w14:textId="77777777" w:rsidR="005D698A" w:rsidRPr="00CE2D5C" w:rsidRDefault="005D698A" w:rsidP="000A20EE">
            <w:pPr>
              <w:pStyle w:val="paragraph"/>
              <w:numPr>
                <w:ilvl w:val="0"/>
                <w:numId w:val="34"/>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CE2D5C">
              <w:rPr>
                <w:rStyle w:val="normaltextrun"/>
                <w:rFonts w:cs="Arial"/>
                <w:sz w:val="18"/>
                <w:szCs w:val="22"/>
                <w:lang w:val="es-MX"/>
              </w:rPr>
              <w:t>Elaboración de reportes del estado de los indicadores del Instituto.</w:t>
            </w:r>
            <w:r w:rsidRPr="00CE2D5C">
              <w:rPr>
                <w:rStyle w:val="eop"/>
                <w:rFonts w:cs="Arial"/>
                <w:sz w:val="18"/>
                <w:szCs w:val="22"/>
              </w:rPr>
              <w:t> </w:t>
            </w:r>
          </w:p>
          <w:p w14:paraId="02BF1D07" w14:textId="77777777" w:rsidR="005D698A" w:rsidRPr="00CE2D5C" w:rsidRDefault="005D698A" w:rsidP="000A20EE">
            <w:pPr>
              <w:pStyle w:val="paragraph"/>
              <w:numPr>
                <w:ilvl w:val="0"/>
                <w:numId w:val="34"/>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22"/>
                <w:szCs w:val="22"/>
              </w:rPr>
            </w:pPr>
            <w:r w:rsidRPr="00CE2D5C">
              <w:rPr>
                <w:rStyle w:val="normaltextrun"/>
                <w:rFonts w:cs="Arial"/>
                <w:sz w:val="18"/>
                <w:szCs w:val="22"/>
                <w:lang w:val="es-MX"/>
              </w:rPr>
              <w:t>Actualización de las fichas técnicas de los indicadores y elaboración de los reportes de seguimiento en los sistemas de información externos.</w:t>
            </w:r>
            <w:r w:rsidRPr="00CE2D5C">
              <w:rPr>
                <w:rStyle w:val="eop"/>
                <w:rFonts w:cs="Arial"/>
                <w:sz w:val="18"/>
                <w:szCs w:val="22"/>
              </w:rPr>
              <w:t> </w:t>
            </w:r>
          </w:p>
        </w:tc>
        <w:tc>
          <w:tcPr>
            <w:tcW w:w="1276" w:type="dxa"/>
            <w:vAlign w:val="center"/>
          </w:tcPr>
          <w:p w14:paraId="78C94592"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Estratégica</w:t>
            </w:r>
          </w:p>
        </w:tc>
      </w:tr>
      <w:tr w:rsidR="005D698A" w:rsidRPr="009B2991" w14:paraId="088955E9" w14:textId="77777777" w:rsidTr="31FF9146">
        <w:trPr>
          <w:trHeight w:val="96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09DBA2E9"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t>1</w:t>
            </w:r>
          </w:p>
        </w:tc>
        <w:tc>
          <w:tcPr>
            <w:tcW w:w="1417" w:type="dxa"/>
            <w:vAlign w:val="center"/>
          </w:tcPr>
          <w:p w14:paraId="4A057F8A" w14:textId="77777777" w:rsidR="005D698A" w:rsidRPr="009B2991" w:rsidRDefault="005D698A" w:rsidP="00C72779">
            <w:pPr>
              <w:jc w:val="center"/>
              <w:cnfStyle w:val="000000000000" w:firstRow="0" w:lastRow="0" w:firstColumn="0" w:lastColumn="0" w:oddVBand="0" w:evenVBand="0" w:oddHBand="0" w:evenHBand="0" w:firstRowFirstColumn="0" w:firstRowLastColumn="0" w:lastRowFirstColumn="0" w:lastRowLastColumn="0"/>
              <w:rPr>
                <w:sz w:val="18"/>
                <w:szCs w:val="18"/>
              </w:rPr>
            </w:pPr>
            <w:r>
              <w:rPr>
                <w:rFonts w:cs="Arial"/>
                <w:b/>
                <w:color w:val="000000" w:themeColor="text1"/>
                <w:sz w:val="18"/>
                <w:szCs w:val="18"/>
              </w:rPr>
              <w:t xml:space="preserve">Contratista- Profesional </w:t>
            </w:r>
            <w:r w:rsidRPr="009B50E2">
              <w:rPr>
                <w:rFonts w:cs="Arial"/>
                <w:b/>
                <w:color w:val="000000" w:themeColor="text1"/>
                <w:sz w:val="18"/>
                <w:szCs w:val="18"/>
              </w:rPr>
              <w:t>Especializado</w:t>
            </w:r>
          </w:p>
        </w:tc>
        <w:tc>
          <w:tcPr>
            <w:tcW w:w="6657" w:type="dxa"/>
            <w:vAlign w:val="center"/>
          </w:tcPr>
          <w:p w14:paraId="4FFAA221" w14:textId="77777777" w:rsidR="005D698A" w:rsidRPr="006F097D" w:rsidRDefault="005D698A" w:rsidP="00C7277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val="es-MX"/>
              </w:rPr>
            </w:pPr>
            <w:r w:rsidRPr="006F097D">
              <w:rPr>
                <w:rStyle w:val="normaltextrun"/>
                <w:rFonts w:cs="Arial"/>
                <w:b/>
                <w:bCs/>
                <w:sz w:val="18"/>
                <w:szCs w:val="22"/>
                <w:lang w:val="es-MX"/>
              </w:rPr>
              <w:t>Profesional Cooperación Internacional </w:t>
            </w:r>
            <w:r w:rsidRPr="006F097D">
              <w:rPr>
                <w:rStyle w:val="eop"/>
                <w:rFonts w:cs="Arial"/>
                <w:sz w:val="18"/>
                <w:szCs w:val="22"/>
              </w:rPr>
              <w:t> </w:t>
            </w:r>
          </w:p>
          <w:p w14:paraId="5D2AB363" w14:textId="77777777" w:rsidR="005D698A" w:rsidRPr="006F097D" w:rsidRDefault="005D698A" w:rsidP="000A20EE">
            <w:pPr>
              <w:pStyle w:val="paragraph"/>
              <w:numPr>
                <w:ilvl w:val="0"/>
                <w:numId w:val="35"/>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6F097D">
              <w:rPr>
                <w:rStyle w:val="normaltextrun"/>
                <w:rFonts w:cs="Arial"/>
                <w:sz w:val="18"/>
                <w:szCs w:val="22"/>
                <w:lang w:val="es-ES"/>
              </w:rPr>
              <w:t>Apoyo en la formulación de lineamientos de los procesos de cooperación internacional.</w:t>
            </w:r>
            <w:r w:rsidRPr="006F097D">
              <w:rPr>
                <w:rStyle w:val="eop"/>
                <w:rFonts w:cs="Arial"/>
                <w:sz w:val="18"/>
                <w:szCs w:val="22"/>
              </w:rPr>
              <w:t> </w:t>
            </w:r>
          </w:p>
          <w:p w14:paraId="4A30D047" w14:textId="77777777" w:rsidR="005D698A" w:rsidRPr="006F097D" w:rsidRDefault="005D698A" w:rsidP="000A20EE">
            <w:pPr>
              <w:pStyle w:val="paragraph"/>
              <w:numPr>
                <w:ilvl w:val="0"/>
                <w:numId w:val="35"/>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6F097D">
              <w:rPr>
                <w:rStyle w:val="normaltextrun"/>
                <w:rFonts w:cs="Arial"/>
                <w:sz w:val="18"/>
                <w:szCs w:val="22"/>
                <w:lang w:val="es-ES"/>
              </w:rPr>
              <w:t>Apoyo a las dependencias del instituto en la formulación y ejecución de proyectos y/o procesos de cooperación internacional.</w:t>
            </w:r>
            <w:r w:rsidRPr="006F097D">
              <w:rPr>
                <w:rStyle w:val="eop"/>
                <w:rFonts w:cs="Arial"/>
                <w:sz w:val="18"/>
                <w:szCs w:val="22"/>
              </w:rPr>
              <w:t> </w:t>
            </w:r>
          </w:p>
          <w:p w14:paraId="4DB32289" w14:textId="77777777" w:rsidR="005D698A" w:rsidRPr="006F097D" w:rsidRDefault="005D698A" w:rsidP="000A20EE">
            <w:pPr>
              <w:pStyle w:val="paragraph"/>
              <w:numPr>
                <w:ilvl w:val="0"/>
                <w:numId w:val="35"/>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6F097D">
              <w:rPr>
                <w:rStyle w:val="normaltextrun"/>
                <w:rFonts w:cs="Arial"/>
                <w:sz w:val="18"/>
                <w:szCs w:val="22"/>
                <w:lang w:val="es-ES"/>
              </w:rPr>
              <w:t>Elaboración y/o revisión de informes a entes internos y externos.</w:t>
            </w:r>
            <w:r w:rsidRPr="006F097D">
              <w:rPr>
                <w:rStyle w:val="eop"/>
                <w:rFonts w:cs="Arial"/>
                <w:sz w:val="18"/>
                <w:szCs w:val="22"/>
              </w:rPr>
              <w:t> </w:t>
            </w:r>
          </w:p>
          <w:p w14:paraId="6C40CD70" w14:textId="77777777" w:rsidR="005D698A" w:rsidRPr="006F097D" w:rsidRDefault="005D698A" w:rsidP="000A20EE">
            <w:pPr>
              <w:pStyle w:val="paragraph"/>
              <w:numPr>
                <w:ilvl w:val="0"/>
                <w:numId w:val="35"/>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6F097D">
              <w:rPr>
                <w:rStyle w:val="normaltextrun"/>
                <w:rFonts w:cs="Arial"/>
                <w:sz w:val="18"/>
                <w:szCs w:val="22"/>
                <w:lang w:val="es-ES"/>
              </w:rPr>
              <w:t>Apoyar la ejecución de auditorías de los procesos.</w:t>
            </w:r>
            <w:r w:rsidRPr="006F097D">
              <w:rPr>
                <w:rStyle w:val="eop"/>
                <w:rFonts w:cs="Arial"/>
                <w:sz w:val="18"/>
                <w:szCs w:val="22"/>
              </w:rPr>
              <w:t> </w:t>
            </w:r>
          </w:p>
          <w:p w14:paraId="0D164291" w14:textId="77777777" w:rsidR="005D698A" w:rsidRPr="00A87CC1" w:rsidRDefault="005D698A" w:rsidP="000A20EE">
            <w:pPr>
              <w:pStyle w:val="paragraph"/>
              <w:numPr>
                <w:ilvl w:val="0"/>
                <w:numId w:val="35"/>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22"/>
                <w:szCs w:val="22"/>
              </w:rPr>
            </w:pPr>
            <w:r w:rsidRPr="006F097D">
              <w:rPr>
                <w:rStyle w:val="normaltextrun"/>
                <w:rFonts w:cs="Arial"/>
                <w:sz w:val="18"/>
                <w:szCs w:val="22"/>
                <w:lang w:val="es-ES"/>
              </w:rPr>
              <w:t>Apoyo en la formulación y/o seguimiento a planes de la entidad</w:t>
            </w:r>
            <w:r>
              <w:rPr>
                <w:rStyle w:val="normaltextrun"/>
                <w:rFonts w:cs="Arial"/>
                <w:sz w:val="22"/>
                <w:szCs w:val="22"/>
                <w:lang w:val="es-ES"/>
              </w:rPr>
              <w:t>.</w:t>
            </w:r>
          </w:p>
        </w:tc>
        <w:tc>
          <w:tcPr>
            <w:tcW w:w="1276" w:type="dxa"/>
            <w:vAlign w:val="center"/>
          </w:tcPr>
          <w:p w14:paraId="2A047856"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Estratégica</w:t>
            </w:r>
          </w:p>
        </w:tc>
      </w:tr>
      <w:tr w:rsidR="005D698A" w:rsidRPr="009B2991" w14:paraId="2E275D34" w14:textId="77777777" w:rsidTr="31FF9146">
        <w:trPr>
          <w:trHeight w:val="416"/>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17B176E2" w14:textId="77777777" w:rsidR="005D698A" w:rsidRPr="009B2991" w:rsidRDefault="005D698A" w:rsidP="00C72779">
            <w:pPr>
              <w:jc w:val="center"/>
              <w:rPr>
                <w:rFonts w:cs="Arial"/>
                <w:color w:val="000000" w:themeColor="text1"/>
                <w:sz w:val="18"/>
                <w:szCs w:val="18"/>
              </w:rPr>
            </w:pPr>
            <w:r>
              <w:rPr>
                <w:rFonts w:cs="Arial"/>
                <w:color w:val="000000" w:themeColor="text1"/>
                <w:sz w:val="18"/>
                <w:szCs w:val="18"/>
              </w:rPr>
              <w:t>7</w:t>
            </w:r>
          </w:p>
        </w:tc>
        <w:tc>
          <w:tcPr>
            <w:tcW w:w="1417" w:type="dxa"/>
            <w:vAlign w:val="center"/>
          </w:tcPr>
          <w:p w14:paraId="0E2A682A" w14:textId="77777777" w:rsidR="005D698A" w:rsidRPr="00723687"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Pr>
                <w:rFonts w:cs="Arial"/>
                <w:b/>
                <w:color w:val="000000" w:themeColor="text1"/>
                <w:sz w:val="18"/>
                <w:szCs w:val="18"/>
              </w:rPr>
              <w:t xml:space="preserve">Contratistas- Profesional </w:t>
            </w:r>
            <w:r w:rsidRPr="009B50E2">
              <w:rPr>
                <w:rFonts w:cs="Arial"/>
                <w:b/>
                <w:color w:val="000000" w:themeColor="text1"/>
                <w:sz w:val="18"/>
                <w:szCs w:val="18"/>
              </w:rPr>
              <w:t>Especializado</w:t>
            </w:r>
          </w:p>
        </w:tc>
        <w:tc>
          <w:tcPr>
            <w:tcW w:w="6657" w:type="dxa"/>
            <w:vAlign w:val="center"/>
          </w:tcPr>
          <w:p w14:paraId="0BEABF3F" w14:textId="77777777" w:rsidR="005D698A" w:rsidRPr="004E7C28" w:rsidRDefault="005D698A" w:rsidP="00C72779">
            <w:pPr>
              <w:pStyle w:val="paragraph"/>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cs="Arial"/>
                <w:b/>
                <w:sz w:val="18"/>
                <w:szCs w:val="22"/>
              </w:rPr>
            </w:pPr>
            <w:r>
              <w:rPr>
                <w:rStyle w:val="normaltextrun"/>
                <w:rFonts w:cs="Arial"/>
                <w:b/>
                <w:sz w:val="18"/>
                <w:szCs w:val="22"/>
                <w:lang w:val="es-MX"/>
              </w:rPr>
              <w:t xml:space="preserve">Enlaces de Planeación </w:t>
            </w:r>
          </w:p>
          <w:p w14:paraId="47B778E7" w14:textId="77777777" w:rsidR="005D698A" w:rsidRPr="00C3509F"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cs="Arial"/>
                <w:sz w:val="18"/>
                <w:szCs w:val="22"/>
              </w:rPr>
            </w:pPr>
            <w:r>
              <w:rPr>
                <w:rStyle w:val="normaltextrun"/>
                <w:rFonts w:cs="Arial"/>
                <w:sz w:val="18"/>
                <w:szCs w:val="22"/>
              </w:rPr>
              <w:t>Facilitar la gestión relacionada a los temas relacionados de la OAP con las siguientes dependencias de la entidad: Dirección de Gestión Catastral, Dirección de Gestión Geográfica, Dirección de Investigación y Prospectiva, Dirección de Tecnologías de la Información, Oficina Asesora de Comunicaciones, Oficina de Control Interno Disciplinario, Oficina de Relacionamiento con el Ciudadano y Secretaria General.</w:t>
            </w:r>
          </w:p>
          <w:p w14:paraId="64A6056A"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Pr>
                <w:rStyle w:val="normaltextrun"/>
                <w:rFonts w:cs="Arial"/>
                <w:sz w:val="18"/>
                <w:szCs w:val="22"/>
                <w:lang w:val="es-MX"/>
              </w:rPr>
              <w:t xml:space="preserve">Actualizar y/o formular los </w:t>
            </w:r>
            <w:r w:rsidRPr="004E7C28">
              <w:rPr>
                <w:rStyle w:val="normaltextrun"/>
                <w:rFonts w:cs="Arial"/>
                <w:sz w:val="18"/>
                <w:szCs w:val="22"/>
                <w:lang w:val="es-MX"/>
              </w:rPr>
              <w:t xml:space="preserve">proyectos de inversión </w:t>
            </w:r>
          </w:p>
          <w:p w14:paraId="502AA8FF"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sz w:val="18"/>
                <w:szCs w:val="22"/>
                <w:lang w:val="es-MX"/>
              </w:rPr>
              <w:t>Apoyar la formulación y seguimiento al Plan Operativo Anual de Inversión</w:t>
            </w:r>
          </w:p>
          <w:p w14:paraId="0FA21149"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sz w:val="18"/>
                <w:szCs w:val="22"/>
                <w:lang w:val="es-MX"/>
              </w:rPr>
              <w:t>Apoyar la formulación, seguimiento, actualización y reporte del plan de acción anual, matriz de riesgos y plan anticorrupción y de atención al ciudadano, de los procesos de la Entidad    </w:t>
            </w:r>
            <w:r w:rsidRPr="004E7C28">
              <w:rPr>
                <w:rStyle w:val="eop"/>
                <w:rFonts w:cs="Arial"/>
                <w:sz w:val="18"/>
                <w:szCs w:val="22"/>
              </w:rPr>
              <w:t> </w:t>
            </w:r>
          </w:p>
          <w:p w14:paraId="577DDE68"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sz w:val="18"/>
                <w:szCs w:val="22"/>
                <w:lang w:val="es-MX"/>
              </w:rPr>
              <w:t>Realizar seguimiento y control permanente a la ejecución física, financiera y presupuestal de los proyectos de inversión de la Entidad.</w:t>
            </w:r>
            <w:r w:rsidRPr="004E7C28">
              <w:rPr>
                <w:rStyle w:val="eop"/>
                <w:rFonts w:cs="Arial"/>
                <w:sz w:val="18"/>
                <w:szCs w:val="22"/>
              </w:rPr>
              <w:t> </w:t>
            </w:r>
          </w:p>
          <w:p w14:paraId="12CA212A"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sz w:val="18"/>
                <w:szCs w:val="22"/>
                <w:lang w:val="es-MX"/>
              </w:rPr>
              <w:t>Asesorar a los procesos a cargo, en tér</w:t>
            </w:r>
            <w:r w:rsidRPr="004E7C28">
              <w:rPr>
                <w:rStyle w:val="normaltextrun"/>
                <w:rFonts w:cs="Arial"/>
                <w:color w:val="000000"/>
                <w:sz w:val="18"/>
                <w:szCs w:val="22"/>
                <w:lang w:val="es-MX"/>
              </w:rPr>
              <w:t>minos de calidad y oportunidad, en lo relacionado con actualización y/o formulación de metas, productos, indicadores y actividades de los proyectos inversión, así como del componente financiero.</w:t>
            </w:r>
            <w:r w:rsidRPr="004E7C28">
              <w:rPr>
                <w:rStyle w:val="eop"/>
                <w:rFonts w:cs="Arial"/>
                <w:color w:val="000000"/>
                <w:sz w:val="18"/>
                <w:szCs w:val="22"/>
              </w:rPr>
              <w:t> </w:t>
            </w:r>
          </w:p>
          <w:p w14:paraId="6F66F284" w14:textId="77777777" w:rsidR="005D698A" w:rsidRPr="004E7C28"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color w:val="000000"/>
                <w:sz w:val="18"/>
                <w:szCs w:val="22"/>
                <w:lang w:val="es-MX"/>
              </w:rPr>
              <w:t>Apoyar la realización y seguimiento de otros informes de avance institucionales resultados de los proyectos de inversión </w:t>
            </w:r>
            <w:r w:rsidRPr="004E7C28">
              <w:rPr>
                <w:rStyle w:val="eop"/>
                <w:rFonts w:cs="Arial"/>
                <w:color w:val="000000"/>
                <w:sz w:val="18"/>
                <w:szCs w:val="22"/>
              </w:rPr>
              <w:t> </w:t>
            </w:r>
          </w:p>
          <w:p w14:paraId="5B729CE0" w14:textId="77777777" w:rsidR="005D698A" w:rsidRPr="00745F5F" w:rsidRDefault="005D698A" w:rsidP="000A20EE">
            <w:pPr>
              <w:pStyle w:val="paragraph"/>
              <w:numPr>
                <w:ilvl w:val="0"/>
                <w:numId w:val="36"/>
              </w:numPr>
              <w:spacing w:before="0" w:beforeAutospacing="0" w:after="0" w:afterAutospacing="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rPr>
            </w:pPr>
            <w:r w:rsidRPr="004E7C28">
              <w:rPr>
                <w:rStyle w:val="normaltextrun"/>
                <w:rFonts w:cs="Arial"/>
                <w:color w:val="000000"/>
                <w:sz w:val="18"/>
                <w:szCs w:val="22"/>
                <w:lang w:val="es-MX"/>
              </w:rPr>
              <w:t>Acompañar metodológicamente a los procesos de la Entidad, en los compromisos intersectoriales desde la perspectiva de formulación de proyectos y el componente presupuestal.  </w:t>
            </w:r>
            <w:r w:rsidRPr="004E7C28">
              <w:rPr>
                <w:rStyle w:val="eop"/>
                <w:rFonts w:cs="Arial"/>
                <w:color w:val="000000"/>
                <w:sz w:val="18"/>
                <w:szCs w:val="22"/>
              </w:rPr>
              <w:t> </w:t>
            </w:r>
          </w:p>
        </w:tc>
        <w:tc>
          <w:tcPr>
            <w:tcW w:w="1276" w:type="dxa"/>
            <w:vAlign w:val="center"/>
          </w:tcPr>
          <w:p w14:paraId="56F91F01"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Estratégica</w:t>
            </w:r>
          </w:p>
        </w:tc>
      </w:tr>
      <w:tr w:rsidR="005D698A" w:rsidRPr="009B2991" w14:paraId="7FCA475A"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372F66B0"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t>1</w:t>
            </w:r>
          </w:p>
        </w:tc>
        <w:tc>
          <w:tcPr>
            <w:tcW w:w="1417" w:type="dxa"/>
            <w:vAlign w:val="center"/>
          </w:tcPr>
          <w:p w14:paraId="30833CC3" w14:textId="77777777" w:rsidR="005D698A" w:rsidRPr="00DC1EEF" w:rsidRDefault="005D698A" w:rsidP="00C72779">
            <w:pPr>
              <w:jc w:val="center"/>
              <w:cnfStyle w:val="000000000000" w:firstRow="0" w:lastRow="0" w:firstColumn="0" w:lastColumn="0" w:oddVBand="0" w:evenVBand="0" w:oddHBand="0" w:evenHBand="0" w:firstRowFirstColumn="0" w:firstRowLastColumn="0" w:lastRowFirstColumn="0" w:lastRowLastColumn="0"/>
              <w:rPr>
                <w:b/>
                <w:sz w:val="18"/>
                <w:szCs w:val="18"/>
              </w:rPr>
            </w:pPr>
            <w:r w:rsidRPr="00DC1EEF">
              <w:rPr>
                <w:rFonts w:cs="Arial"/>
                <w:b/>
                <w:color w:val="000000" w:themeColor="text1"/>
                <w:sz w:val="18"/>
                <w:szCs w:val="18"/>
              </w:rPr>
              <w:t>Contratista- Profesional Especializado</w:t>
            </w:r>
          </w:p>
        </w:tc>
        <w:tc>
          <w:tcPr>
            <w:tcW w:w="6657" w:type="dxa"/>
            <w:vAlign w:val="center"/>
          </w:tcPr>
          <w:p w14:paraId="35BEE1FA" w14:textId="77777777" w:rsidR="005D698A" w:rsidRPr="00DA3D92" w:rsidRDefault="005D698A" w:rsidP="00C7277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cs="Arial"/>
                <w:b/>
                <w:sz w:val="18"/>
                <w:lang w:val="es-MX"/>
              </w:rPr>
            </w:pPr>
            <w:r w:rsidRPr="00DA3D92">
              <w:rPr>
                <w:rFonts w:cs="Arial"/>
                <w:b/>
                <w:sz w:val="18"/>
                <w:lang w:val="es-MX"/>
              </w:rPr>
              <w:t>Profesional de Automatización</w:t>
            </w:r>
          </w:p>
          <w:p w14:paraId="76F00530"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 xml:space="preserve">Desarrollo de herramientas ofimáticas para el mejoramiento continua de la Entidad </w:t>
            </w:r>
          </w:p>
          <w:p w14:paraId="71040CAD"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Actualización de la herramienta “IGACDATA” para realizar el seguimiento del presupuesto de la entidad.</w:t>
            </w:r>
          </w:p>
          <w:p w14:paraId="43674DFF"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Actualización de informes de ejecución presupuestal y metas en el botón de transparencia de la página web de la entidad.</w:t>
            </w:r>
          </w:p>
          <w:p w14:paraId="6D2800EE"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Generación de nuevos desarrollos sobre la herramienta “IGACDATA” y “PLANIGAC”.</w:t>
            </w:r>
          </w:p>
          <w:p w14:paraId="32B8ADBD"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Actualización de las herramientas para dar inicio a cada vigencia.</w:t>
            </w:r>
          </w:p>
          <w:p w14:paraId="71EDE820"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lastRenderedPageBreak/>
              <w:t>Administración del botón de transparencia de la página web de la Entidad. </w:t>
            </w:r>
          </w:p>
          <w:p w14:paraId="4EEF03DE" w14:textId="77777777" w:rsidR="005D698A" w:rsidRPr="00DA3D92" w:rsidRDefault="005D698A" w:rsidP="000A20EE">
            <w:pPr>
              <w:pStyle w:val="Sinespaciado"/>
              <w:numPr>
                <w:ilvl w:val="0"/>
                <w:numId w:val="32"/>
              </w:numPr>
              <w:jc w:val="both"/>
              <w:cnfStyle w:val="000000000000" w:firstRow="0" w:lastRow="0" w:firstColumn="0" w:lastColumn="0" w:oddVBand="0" w:evenVBand="0" w:oddHBand="0" w:evenHBand="0" w:firstRowFirstColumn="0" w:firstRowLastColumn="0" w:lastRowFirstColumn="0" w:lastRowLastColumn="0"/>
              <w:rPr>
                <w:rFonts w:ascii="Arial" w:hAnsi="Arial" w:cs="Arial"/>
                <w:sz w:val="18"/>
                <w:lang w:val="es-MX"/>
              </w:rPr>
            </w:pPr>
            <w:r w:rsidRPr="00DA3D92">
              <w:rPr>
                <w:rFonts w:ascii="Arial" w:hAnsi="Arial" w:cs="Arial"/>
                <w:sz w:val="18"/>
                <w:lang w:val="es-MX"/>
              </w:rPr>
              <w:t>Apoyo en realización de auditorías internas.</w:t>
            </w:r>
          </w:p>
        </w:tc>
        <w:tc>
          <w:tcPr>
            <w:tcW w:w="1276" w:type="dxa"/>
            <w:vAlign w:val="center"/>
          </w:tcPr>
          <w:p w14:paraId="42743962"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lastRenderedPageBreak/>
              <w:t>Gestión Estratégica</w:t>
            </w:r>
          </w:p>
        </w:tc>
      </w:tr>
      <w:tr w:rsidR="005D698A" w:rsidRPr="009B2991" w14:paraId="0B2E8043"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0E205756" w14:textId="77777777" w:rsidR="005D698A" w:rsidRPr="009B2991" w:rsidRDefault="005D698A" w:rsidP="00C72779">
            <w:pPr>
              <w:jc w:val="center"/>
              <w:rPr>
                <w:rFonts w:cs="Arial"/>
                <w:color w:val="000000" w:themeColor="text1"/>
                <w:sz w:val="18"/>
                <w:szCs w:val="18"/>
              </w:rPr>
            </w:pPr>
            <w:r w:rsidRPr="009B2991">
              <w:rPr>
                <w:rFonts w:cs="Arial"/>
                <w:color w:val="000000" w:themeColor="text1"/>
                <w:sz w:val="18"/>
                <w:szCs w:val="18"/>
              </w:rPr>
              <w:lastRenderedPageBreak/>
              <w:t>1</w:t>
            </w:r>
          </w:p>
        </w:tc>
        <w:tc>
          <w:tcPr>
            <w:tcW w:w="1417" w:type="dxa"/>
            <w:vAlign w:val="center"/>
          </w:tcPr>
          <w:p w14:paraId="09C339AA" w14:textId="77777777" w:rsidR="005D698A" w:rsidRPr="00E31FFA" w:rsidRDefault="005D698A" w:rsidP="00C72779">
            <w:pPr>
              <w:jc w:val="center"/>
              <w:cnfStyle w:val="000000000000" w:firstRow="0" w:lastRow="0" w:firstColumn="0" w:lastColumn="0" w:oddVBand="0" w:evenVBand="0" w:oddHBand="0" w:evenHBand="0" w:firstRowFirstColumn="0" w:firstRowLastColumn="0" w:lastRowFirstColumn="0" w:lastRowLastColumn="0"/>
              <w:rPr>
                <w:b/>
                <w:sz w:val="18"/>
                <w:szCs w:val="18"/>
              </w:rPr>
            </w:pPr>
            <w:r w:rsidRPr="00E31FFA">
              <w:rPr>
                <w:rFonts w:cs="Arial"/>
                <w:b/>
                <w:color w:val="000000" w:themeColor="text1"/>
                <w:sz w:val="18"/>
                <w:szCs w:val="18"/>
              </w:rPr>
              <w:t>Contratista- Profesional Especializado</w:t>
            </w:r>
          </w:p>
        </w:tc>
        <w:tc>
          <w:tcPr>
            <w:tcW w:w="6657" w:type="dxa"/>
            <w:vAlign w:val="center"/>
          </w:tcPr>
          <w:p w14:paraId="2187E3CF" w14:textId="77777777" w:rsidR="005D698A" w:rsidRPr="005F0397" w:rsidRDefault="005D698A" w:rsidP="00C72779">
            <w:pPr>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22"/>
                <w:lang w:eastAsia="es-CO"/>
              </w:rPr>
            </w:pPr>
            <w:r w:rsidRPr="005F0397">
              <w:rPr>
                <w:rFonts w:cs="Arial"/>
                <w:b/>
                <w:bCs/>
                <w:sz w:val="18"/>
                <w:szCs w:val="22"/>
                <w:lang w:val="es-MX" w:eastAsia="es-CO"/>
              </w:rPr>
              <w:t>Profesional actualización documental</w:t>
            </w:r>
            <w:r w:rsidRPr="005F0397">
              <w:rPr>
                <w:rFonts w:cs="Arial"/>
                <w:sz w:val="18"/>
                <w:szCs w:val="22"/>
                <w:lang w:eastAsia="es-CO"/>
              </w:rPr>
              <w:t> </w:t>
            </w:r>
          </w:p>
          <w:p w14:paraId="753B46C0"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Realizar el control de la documentación del Sistema de Gestión integrado – SGI (Manuales, Procedimientos, Instructivos y formatos entre otros) y asesorar y acompañar a los diferentes procesos en la actualización.</w:t>
            </w:r>
            <w:r w:rsidRPr="005F0397">
              <w:rPr>
                <w:rFonts w:cs="Arial"/>
                <w:sz w:val="18"/>
                <w:szCs w:val="22"/>
                <w:lang w:eastAsia="es-CO"/>
              </w:rPr>
              <w:t> </w:t>
            </w:r>
          </w:p>
          <w:p w14:paraId="7E1629AF"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Mantener el Listado Maestro de Documentos al día de acuerdo a la estructura de procesos de la Entidad</w:t>
            </w:r>
            <w:r w:rsidRPr="005F0397">
              <w:rPr>
                <w:rFonts w:cs="Arial"/>
                <w:sz w:val="18"/>
                <w:szCs w:val="22"/>
                <w:lang w:eastAsia="es-CO"/>
              </w:rPr>
              <w:t> </w:t>
            </w:r>
          </w:p>
          <w:p w14:paraId="334A1B2E"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Publicar los documentos en el Listado Maestro de Documentos asegurando la información vigente del Instituto</w:t>
            </w:r>
            <w:r w:rsidRPr="005F0397">
              <w:rPr>
                <w:rFonts w:cs="Arial"/>
                <w:sz w:val="18"/>
                <w:szCs w:val="22"/>
                <w:lang w:eastAsia="es-CO"/>
              </w:rPr>
              <w:t> </w:t>
            </w:r>
          </w:p>
          <w:p w14:paraId="3D01903F"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Custodia de la documentación obsoleta digital del SGI con el fin de garantizar la disponibilidad de esta cuando se requiera.</w:t>
            </w:r>
            <w:r w:rsidRPr="005F0397">
              <w:rPr>
                <w:rFonts w:cs="Arial"/>
                <w:sz w:val="18"/>
                <w:szCs w:val="22"/>
                <w:lang w:eastAsia="es-CO"/>
              </w:rPr>
              <w:t> </w:t>
            </w:r>
          </w:p>
          <w:p w14:paraId="0007A73E"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Asesorías a los procesos a cargo en lo relacionado con el SGI</w:t>
            </w:r>
            <w:r w:rsidRPr="005F0397">
              <w:rPr>
                <w:rFonts w:cs="Arial"/>
                <w:sz w:val="18"/>
                <w:szCs w:val="22"/>
                <w:lang w:eastAsia="es-CO"/>
              </w:rPr>
              <w:t> </w:t>
            </w:r>
          </w:p>
          <w:p w14:paraId="40A7ADA5"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Seguimiento de indicadores de gestión y riesgos del proceso y territoriales a cargo.</w:t>
            </w:r>
            <w:r w:rsidRPr="005F0397">
              <w:rPr>
                <w:rFonts w:cs="Arial"/>
                <w:sz w:val="18"/>
                <w:szCs w:val="22"/>
                <w:lang w:eastAsia="es-CO"/>
              </w:rPr>
              <w:t> </w:t>
            </w:r>
          </w:p>
          <w:p w14:paraId="7BBD6EA7"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Apoyar la implementación de los documentos del SGI</w:t>
            </w:r>
            <w:r w:rsidRPr="005F0397">
              <w:rPr>
                <w:rFonts w:cs="Arial"/>
                <w:sz w:val="18"/>
                <w:szCs w:val="22"/>
                <w:lang w:eastAsia="es-CO"/>
              </w:rPr>
              <w:t> </w:t>
            </w:r>
          </w:p>
          <w:p w14:paraId="2D4AF0BC"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5F0397">
              <w:rPr>
                <w:rFonts w:cs="Arial"/>
                <w:sz w:val="18"/>
                <w:szCs w:val="22"/>
                <w:lang w:val="es-MX" w:eastAsia="es-CO"/>
              </w:rPr>
              <w:t>Apoyo al seguimiento de los planes de acción, indicadores y riesgos de los procesos de la entidad.</w:t>
            </w:r>
            <w:r w:rsidRPr="005F0397">
              <w:rPr>
                <w:rFonts w:cs="Arial"/>
                <w:sz w:val="18"/>
                <w:szCs w:val="22"/>
                <w:lang w:eastAsia="es-CO"/>
              </w:rPr>
              <w:t> </w:t>
            </w:r>
          </w:p>
          <w:p w14:paraId="2F021DB6" w14:textId="77777777" w:rsidR="005D698A" w:rsidRPr="005F0397"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sz w:val="18"/>
                <w:szCs w:val="22"/>
                <w:lang w:eastAsia="es-CO"/>
              </w:rPr>
            </w:pPr>
            <w:r w:rsidRPr="005F0397">
              <w:rPr>
                <w:rFonts w:cs="Arial"/>
                <w:sz w:val="18"/>
                <w:szCs w:val="22"/>
                <w:lang w:val="es-MX" w:eastAsia="es-CO"/>
              </w:rPr>
              <w:t>Apoyar la elaboración e integración de los planes de acción de acuerdo al decreto 612 de 2018.</w:t>
            </w:r>
            <w:r w:rsidRPr="005F0397">
              <w:rPr>
                <w:rFonts w:cs="Arial"/>
                <w:sz w:val="18"/>
                <w:szCs w:val="22"/>
                <w:lang w:eastAsia="es-CO"/>
              </w:rPr>
              <w:t> </w:t>
            </w:r>
          </w:p>
        </w:tc>
        <w:tc>
          <w:tcPr>
            <w:tcW w:w="1276" w:type="dxa"/>
            <w:vAlign w:val="center"/>
          </w:tcPr>
          <w:p w14:paraId="7F3A988B" w14:textId="77777777" w:rsidR="005D698A" w:rsidRPr="00125BDA" w:rsidRDefault="005D698A" w:rsidP="00C72779">
            <w:pPr>
              <w:autoSpaceDE w:val="0"/>
              <w:autoSpaceDN w:val="0"/>
              <w:adjustRightInd w:val="0"/>
              <w:ind w:left="360"/>
              <w:jc w:val="both"/>
              <w:cnfStyle w:val="000000000000" w:firstRow="0" w:lastRow="0" w:firstColumn="0" w:lastColumn="0" w:oddVBand="0" w:evenVBand="0" w:oddHBand="0" w:evenHBand="0" w:firstRowFirstColumn="0" w:firstRowLastColumn="0" w:lastRowFirstColumn="0" w:lastRowLastColumn="0"/>
              <w:rPr>
                <w:rFonts w:cs="Arial"/>
                <w:b/>
                <w:lang w:val="es-MX"/>
              </w:rPr>
            </w:pPr>
          </w:p>
          <w:p w14:paraId="05FB0D01"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bCs/>
                <w:sz w:val="18"/>
                <w:szCs w:val="22"/>
                <w:lang w:val="es-MX" w:eastAsia="es-CO"/>
              </w:rPr>
              <w:t>Gestión del SGI</w:t>
            </w:r>
          </w:p>
        </w:tc>
      </w:tr>
      <w:tr w:rsidR="005D698A" w:rsidRPr="009B2991" w14:paraId="76F23C3E"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11FB33DA" w14:textId="77777777" w:rsidR="005D698A" w:rsidRPr="009B2991" w:rsidRDefault="005D698A" w:rsidP="00C72779">
            <w:pPr>
              <w:jc w:val="center"/>
              <w:rPr>
                <w:rFonts w:cs="Arial"/>
                <w:color w:val="000000" w:themeColor="text1"/>
                <w:sz w:val="18"/>
                <w:szCs w:val="18"/>
              </w:rPr>
            </w:pPr>
            <w:r>
              <w:rPr>
                <w:rFonts w:cs="Arial"/>
                <w:color w:val="000000" w:themeColor="text1"/>
                <w:sz w:val="18"/>
                <w:szCs w:val="18"/>
              </w:rPr>
              <w:t>1</w:t>
            </w:r>
          </w:p>
        </w:tc>
        <w:tc>
          <w:tcPr>
            <w:tcW w:w="1417" w:type="dxa"/>
            <w:vAlign w:val="center"/>
          </w:tcPr>
          <w:p w14:paraId="6D00FDCC" w14:textId="77777777" w:rsidR="005D698A" w:rsidRPr="009B2991" w:rsidRDefault="005D698A" w:rsidP="00C72779">
            <w:pPr>
              <w:jc w:val="center"/>
              <w:cnfStyle w:val="000000000000" w:firstRow="0" w:lastRow="0" w:firstColumn="0" w:lastColumn="0" w:oddVBand="0" w:evenVBand="0" w:oddHBand="0" w:evenHBand="0" w:firstRowFirstColumn="0" w:firstRowLastColumn="0" w:lastRowFirstColumn="0" w:lastRowLastColumn="0"/>
              <w:rPr>
                <w:sz w:val="18"/>
                <w:szCs w:val="18"/>
              </w:rPr>
            </w:pPr>
            <w:r>
              <w:rPr>
                <w:rFonts w:cs="Arial"/>
                <w:b/>
                <w:color w:val="000000" w:themeColor="text1"/>
                <w:sz w:val="18"/>
                <w:szCs w:val="18"/>
              </w:rPr>
              <w:t>Profesional Especializado</w:t>
            </w:r>
          </w:p>
        </w:tc>
        <w:tc>
          <w:tcPr>
            <w:tcW w:w="6657" w:type="dxa"/>
            <w:vAlign w:val="center"/>
          </w:tcPr>
          <w:p w14:paraId="5A155F83" w14:textId="77777777" w:rsidR="005D698A" w:rsidRPr="00DF3964" w:rsidRDefault="005D698A" w:rsidP="00C72779">
            <w:pPr>
              <w:jc w:val="both"/>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22"/>
                <w:lang w:eastAsia="es-CO"/>
              </w:rPr>
            </w:pPr>
            <w:r w:rsidRPr="00DF3964">
              <w:rPr>
                <w:rFonts w:cs="Arial"/>
                <w:b/>
                <w:bCs/>
                <w:sz w:val="18"/>
                <w:szCs w:val="22"/>
                <w:lang w:val="es-MX" w:eastAsia="es-CO"/>
              </w:rPr>
              <w:t>Profesional Administrador SGI y Trámites</w:t>
            </w:r>
            <w:r w:rsidRPr="00DF3964">
              <w:rPr>
                <w:rFonts w:cs="Arial"/>
                <w:sz w:val="18"/>
                <w:szCs w:val="22"/>
                <w:lang w:eastAsia="es-CO"/>
              </w:rPr>
              <w:t> </w:t>
            </w:r>
            <w:r w:rsidRPr="00DF3964">
              <w:rPr>
                <w:rFonts w:cs="Arial"/>
                <w:color w:val="000000"/>
                <w:sz w:val="18"/>
                <w:szCs w:val="22"/>
                <w:lang w:eastAsia="es-CO"/>
              </w:rPr>
              <w:t> </w:t>
            </w:r>
          </w:p>
          <w:p w14:paraId="00FE0DB8"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Administración y gestión del Sistema Único de Información de Trámites – SUIT y a su vez del portal del estado colombiano en la actualización y publicación de los trámites institucionales.</w:t>
            </w:r>
            <w:r w:rsidRPr="00DF3964">
              <w:rPr>
                <w:rFonts w:cs="Arial"/>
                <w:sz w:val="18"/>
                <w:szCs w:val="22"/>
                <w:lang w:eastAsia="es-CO"/>
              </w:rPr>
              <w:t> </w:t>
            </w:r>
          </w:p>
          <w:p w14:paraId="2D60F940"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Gestionar la conformación y seguimiento de la Estrategia de racionalización de trámites como componente del Plan anticorrupción y de atención al Ciudadano.</w:t>
            </w:r>
            <w:r w:rsidRPr="00DF3964">
              <w:rPr>
                <w:rFonts w:cs="Arial"/>
                <w:sz w:val="18"/>
                <w:szCs w:val="22"/>
                <w:lang w:eastAsia="es-CO"/>
              </w:rPr>
              <w:t> </w:t>
            </w:r>
          </w:p>
          <w:p w14:paraId="7C46E8EF"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Promover la simplificación y mejora en los trámites institucionales.</w:t>
            </w:r>
            <w:r w:rsidRPr="00DF3964">
              <w:rPr>
                <w:rFonts w:cs="Arial"/>
                <w:sz w:val="18"/>
                <w:szCs w:val="22"/>
                <w:lang w:eastAsia="es-CO"/>
              </w:rPr>
              <w:t> </w:t>
            </w:r>
          </w:p>
          <w:p w14:paraId="4763189D"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Liderar la logística y participar en la realización de las auditorías internas y externas.</w:t>
            </w:r>
            <w:r w:rsidRPr="00DF3964">
              <w:rPr>
                <w:rFonts w:cs="Arial"/>
                <w:sz w:val="18"/>
                <w:szCs w:val="22"/>
                <w:lang w:eastAsia="es-CO"/>
              </w:rPr>
              <w:t> </w:t>
            </w:r>
          </w:p>
          <w:p w14:paraId="3FB423F7"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Acompañar las auditorías externas de acreditación al Laboratorio Nacional de Suelos – LNS y del SGI por parte de BVQI al IGAC.</w:t>
            </w:r>
            <w:r w:rsidRPr="00DF3964">
              <w:rPr>
                <w:rFonts w:cs="Arial"/>
                <w:sz w:val="18"/>
                <w:szCs w:val="22"/>
                <w:lang w:eastAsia="es-CO"/>
              </w:rPr>
              <w:t> </w:t>
            </w:r>
          </w:p>
          <w:p w14:paraId="7CD487E7"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val="es-MX" w:eastAsia="es-CO"/>
              </w:rPr>
              <w:t>Asesorías a los procesos y direcciones territoriales a cargo en lo relacionado con el SGI como: Seguimiento a las acciones correctivas y de mejora en la herramienta Planner, apoyo en el seguimiento a los riesgos y plan de acción en la herramienta PLANIGAC, realizar la revisión metodológica documental a los procesos a cargo.</w:t>
            </w:r>
            <w:r w:rsidRPr="00DF3964">
              <w:rPr>
                <w:rFonts w:cs="Arial"/>
                <w:sz w:val="18"/>
                <w:szCs w:val="22"/>
                <w:lang w:eastAsia="es-CO"/>
              </w:rPr>
              <w:t> </w:t>
            </w:r>
          </w:p>
          <w:p w14:paraId="006EAC92"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eastAsia="es-CO"/>
              </w:rPr>
              <w:t>Administrar las auditorías internas al SIG implementado. </w:t>
            </w:r>
          </w:p>
          <w:p w14:paraId="30DF1610"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eastAsia="es-CO"/>
              </w:rPr>
              <w:t>Acompañar la revisión de por la dirección del SIG. </w:t>
            </w:r>
          </w:p>
          <w:p w14:paraId="795E200E"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sz w:val="18"/>
                <w:szCs w:val="22"/>
                <w:lang w:eastAsia="es-CO"/>
              </w:rPr>
              <w:t>Administrar la planificación de los cambios a nivel Institucional </w:t>
            </w:r>
          </w:p>
          <w:p w14:paraId="2B009FED"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color w:val="000000"/>
                <w:sz w:val="18"/>
                <w:szCs w:val="22"/>
                <w:lang w:eastAsia="es-CO"/>
              </w:rPr>
              <w:t>Consolidar los informes de conformidad de los productos y servicios </w:t>
            </w:r>
          </w:p>
          <w:p w14:paraId="52041971" w14:textId="77777777" w:rsidR="005D698A" w:rsidRPr="00DF3964" w:rsidRDefault="005D698A" w:rsidP="000A20EE">
            <w:pPr>
              <w:numPr>
                <w:ilvl w:val="0"/>
                <w:numId w:val="37"/>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DF3964">
              <w:rPr>
                <w:rFonts w:cs="Arial"/>
                <w:color w:val="000000"/>
                <w:sz w:val="18"/>
                <w:szCs w:val="22"/>
                <w:lang w:eastAsia="es-CO"/>
              </w:rPr>
              <w:t>Acompañar en la revisión y ajuste de las políticas del MIPG y del SGI.</w:t>
            </w:r>
          </w:p>
        </w:tc>
        <w:tc>
          <w:tcPr>
            <w:tcW w:w="1276" w:type="dxa"/>
            <w:vAlign w:val="center"/>
          </w:tcPr>
          <w:p w14:paraId="0250F5CC"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del SGI</w:t>
            </w:r>
          </w:p>
        </w:tc>
      </w:tr>
      <w:tr w:rsidR="005D698A" w:rsidRPr="009B2991" w14:paraId="75AB6E5E"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45FE0C03" w14:textId="77777777" w:rsidR="005D698A" w:rsidRDefault="005D698A" w:rsidP="00C72779">
            <w:pPr>
              <w:jc w:val="center"/>
              <w:rPr>
                <w:rFonts w:cs="Arial"/>
                <w:color w:val="000000" w:themeColor="text1"/>
                <w:sz w:val="18"/>
                <w:szCs w:val="18"/>
              </w:rPr>
            </w:pPr>
            <w:r>
              <w:rPr>
                <w:rFonts w:cs="Arial"/>
                <w:color w:val="000000" w:themeColor="text1"/>
                <w:sz w:val="18"/>
                <w:szCs w:val="18"/>
              </w:rPr>
              <w:t>1</w:t>
            </w:r>
          </w:p>
        </w:tc>
        <w:tc>
          <w:tcPr>
            <w:tcW w:w="1417" w:type="dxa"/>
            <w:vAlign w:val="center"/>
          </w:tcPr>
          <w:p w14:paraId="3E1FB8D0" w14:textId="77777777" w:rsidR="005D698A" w:rsidRPr="0021411D"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21411D">
              <w:rPr>
                <w:rFonts w:cs="Arial"/>
                <w:b/>
                <w:color w:val="000000" w:themeColor="text1"/>
                <w:sz w:val="18"/>
                <w:szCs w:val="18"/>
              </w:rPr>
              <w:t xml:space="preserve">Contratista-Profesional Especializado </w:t>
            </w:r>
          </w:p>
        </w:tc>
        <w:tc>
          <w:tcPr>
            <w:tcW w:w="6657" w:type="dxa"/>
            <w:vAlign w:val="center"/>
          </w:tcPr>
          <w:p w14:paraId="6201E8B7" w14:textId="77777777" w:rsidR="005D698A" w:rsidRPr="0021411D" w:rsidRDefault="005D698A" w:rsidP="00C72779">
            <w:pPr>
              <w:jc w:val="both"/>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22"/>
                <w:lang w:eastAsia="es-CO"/>
              </w:rPr>
            </w:pPr>
            <w:r w:rsidRPr="0021411D">
              <w:rPr>
                <w:rFonts w:cs="Arial"/>
                <w:b/>
                <w:bCs/>
                <w:sz w:val="18"/>
                <w:szCs w:val="22"/>
                <w:lang w:eastAsia="es-CO"/>
              </w:rPr>
              <w:t>Profesional SGA</w:t>
            </w:r>
            <w:r w:rsidRPr="0021411D">
              <w:rPr>
                <w:rFonts w:cs="Arial"/>
                <w:sz w:val="18"/>
                <w:szCs w:val="22"/>
                <w:lang w:eastAsia="es-CO"/>
              </w:rPr>
              <w:t> </w:t>
            </w:r>
          </w:p>
          <w:p w14:paraId="7E49968F" w14:textId="77777777" w:rsidR="005D698A" w:rsidRPr="0021411D" w:rsidRDefault="005D698A" w:rsidP="000A20EE">
            <w:pPr>
              <w:numPr>
                <w:ilvl w:val="0"/>
                <w:numId w:val="38"/>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1411D">
              <w:rPr>
                <w:rFonts w:cs="Arial"/>
                <w:sz w:val="18"/>
                <w:szCs w:val="22"/>
                <w:lang w:eastAsia="es-CO"/>
              </w:rPr>
              <w:t>Alinear la Gestión Ambiental de la entidad respecto a la norma ISO 14001 de 2015. </w:t>
            </w:r>
          </w:p>
          <w:p w14:paraId="6821E33C" w14:textId="77777777" w:rsidR="005D698A" w:rsidRPr="0021411D" w:rsidRDefault="005D698A" w:rsidP="000A20EE">
            <w:pPr>
              <w:numPr>
                <w:ilvl w:val="0"/>
                <w:numId w:val="38"/>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1411D">
              <w:rPr>
                <w:rFonts w:cs="Arial"/>
                <w:sz w:val="18"/>
                <w:szCs w:val="22"/>
                <w:lang w:eastAsia="es-CO"/>
              </w:rPr>
              <w:t>Apoyar la formulación y seguimiento del plan de acción ambiental de acuerdo con las necesidades institucionales. </w:t>
            </w:r>
          </w:p>
          <w:p w14:paraId="7717553A" w14:textId="77777777" w:rsidR="005D698A" w:rsidRPr="0021411D" w:rsidRDefault="005D698A" w:rsidP="000A20EE">
            <w:pPr>
              <w:numPr>
                <w:ilvl w:val="0"/>
                <w:numId w:val="38"/>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1411D">
              <w:rPr>
                <w:rFonts w:cs="Arial"/>
                <w:sz w:val="18"/>
                <w:szCs w:val="22"/>
                <w:lang w:eastAsia="es-CO"/>
              </w:rPr>
              <w:t>Actualización de las matrices de identificación y valoración e impactos ambientales. </w:t>
            </w:r>
          </w:p>
          <w:p w14:paraId="552D8981" w14:textId="77777777" w:rsidR="005D698A" w:rsidRPr="0021411D" w:rsidRDefault="005D698A" w:rsidP="000A20EE">
            <w:pPr>
              <w:numPr>
                <w:ilvl w:val="0"/>
                <w:numId w:val="38"/>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1411D">
              <w:rPr>
                <w:rFonts w:cs="Arial"/>
                <w:sz w:val="18"/>
                <w:szCs w:val="22"/>
                <w:lang w:eastAsia="es-CO"/>
              </w:rPr>
              <w:t>Actualización y seguimiento de la normativa ambiental vigente. </w:t>
            </w:r>
          </w:p>
        </w:tc>
        <w:tc>
          <w:tcPr>
            <w:tcW w:w="1276" w:type="dxa"/>
            <w:vAlign w:val="center"/>
          </w:tcPr>
          <w:p w14:paraId="4F010862"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del SGI</w:t>
            </w:r>
          </w:p>
        </w:tc>
      </w:tr>
      <w:tr w:rsidR="005D698A" w:rsidRPr="009B2991" w14:paraId="532B09EF" w14:textId="77777777" w:rsidTr="31FF9146">
        <w:trPr>
          <w:trHeight w:val="841"/>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4CB5F306" w14:textId="77777777" w:rsidR="005D698A" w:rsidRDefault="005D698A" w:rsidP="00C72779">
            <w:pPr>
              <w:jc w:val="center"/>
              <w:rPr>
                <w:rFonts w:cs="Arial"/>
                <w:color w:val="000000" w:themeColor="text1"/>
                <w:sz w:val="18"/>
                <w:szCs w:val="18"/>
              </w:rPr>
            </w:pPr>
            <w:r>
              <w:rPr>
                <w:rFonts w:cs="Arial"/>
                <w:color w:val="000000" w:themeColor="text1"/>
                <w:sz w:val="18"/>
                <w:szCs w:val="18"/>
              </w:rPr>
              <w:lastRenderedPageBreak/>
              <w:t>2</w:t>
            </w:r>
          </w:p>
        </w:tc>
        <w:tc>
          <w:tcPr>
            <w:tcW w:w="1417" w:type="dxa"/>
            <w:vAlign w:val="center"/>
          </w:tcPr>
          <w:p w14:paraId="7B391627" w14:textId="77777777" w:rsidR="005D698A" w:rsidRPr="002F5AA9"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2F5AA9">
              <w:rPr>
                <w:rFonts w:cs="Arial"/>
                <w:b/>
                <w:color w:val="000000" w:themeColor="text1"/>
                <w:sz w:val="18"/>
                <w:szCs w:val="18"/>
              </w:rPr>
              <w:t>Profesional especializado y Profesional Universitario</w:t>
            </w:r>
          </w:p>
        </w:tc>
        <w:tc>
          <w:tcPr>
            <w:tcW w:w="6657" w:type="dxa"/>
            <w:vAlign w:val="center"/>
          </w:tcPr>
          <w:p w14:paraId="5813C25D" w14:textId="77777777" w:rsidR="005D698A" w:rsidRPr="00797A8B" w:rsidRDefault="005D698A" w:rsidP="00C72779">
            <w:pPr>
              <w:jc w:val="both"/>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22"/>
                <w:lang w:eastAsia="es-CO"/>
              </w:rPr>
            </w:pPr>
            <w:r w:rsidRPr="00797A8B">
              <w:rPr>
                <w:rFonts w:cs="Arial"/>
                <w:b/>
                <w:bCs/>
                <w:sz w:val="18"/>
                <w:szCs w:val="22"/>
                <w:lang w:eastAsia="es-CO"/>
              </w:rPr>
              <w:t>Profesionales Enlaces Asesores SGI</w:t>
            </w:r>
          </w:p>
          <w:p w14:paraId="09144EB8" w14:textId="77777777" w:rsidR="005D698A" w:rsidRPr="002F5AA9" w:rsidRDefault="005D698A" w:rsidP="000A20EE">
            <w:pPr>
              <w:numPr>
                <w:ilvl w:val="0"/>
                <w:numId w:val="39"/>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F5AA9">
              <w:rPr>
                <w:rFonts w:cs="Arial"/>
                <w:sz w:val="18"/>
                <w:szCs w:val="22"/>
                <w:lang w:val="es-MX" w:eastAsia="es-CO"/>
              </w:rPr>
              <w:t>Asesorar a los procesos en Sede Central y direcciones territoriales a cargo en lo relacionado con el SGI.</w:t>
            </w:r>
            <w:r w:rsidRPr="002F5AA9">
              <w:rPr>
                <w:rFonts w:cs="Arial"/>
                <w:sz w:val="18"/>
                <w:szCs w:val="22"/>
                <w:lang w:eastAsia="es-CO"/>
              </w:rPr>
              <w:t> </w:t>
            </w:r>
          </w:p>
          <w:p w14:paraId="6B1C8FA8" w14:textId="77777777" w:rsidR="005D698A" w:rsidRPr="002F5AA9" w:rsidRDefault="005D698A" w:rsidP="000A20EE">
            <w:pPr>
              <w:numPr>
                <w:ilvl w:val="0"/>
                <w:numId w:val="39"/>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F5AA9">
              <w:rPr>
                <w:rFonts w:cs="Arial"/>
                <w:sz w:val="18"/>
                <w:szCs w:val="22"/>
                <w:lang w:val="es-MX" w:eastAsia="es-CO"/>
              </w:rPr>
              <w:t>Seguimiento a las acciones correctivas y de mejora en la herramienta Planner en los procesos en Sede Central y Direcciones Territoriales a cargo.</w:t>
            </w:r>
            <w:r w:rsidRPr="002F5AA9">
              <w:rPr>
                <w:rFonts w:cs="Arial"/>
                <w:sz w:val="18"/>
                <w:szCs w:val="22"/>
                <w:lang w:eastAsia="es-CO"/>
              </w:rPr>
              <w:t> </w:t>
            </w:r>
          </w:p>
          <w:p w14:paraId="41BFFD51" w14:textId="77777777" w:rsidR="005D698A" w:rsidRPr="002F5AA9" w:rsidRDefault="005D698A" w:rsidP="000A20EE">
            <w:pPr>
              <w:numPr>
                <w:ilvl w:val="0"/>
                <w:numId w:val="39"/>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F5AA9">
              <w:rPr>
                <w:rFonts w:cs="Arial"/>
                <w:sz w:val="18"/>
                <w:szCs w:val="22"/>
                <w:lang w:val="es-MX" w:eastAsia="es-CO"/>
              </w:rPr>
              <w:t>Apoyo en el seguimiento a los riesgos y plan de acción en la herramienta PLANIGAC en los procesos de Sede Central y Direcciones Territoriales a cargo. </w:t>
            </w:r>
            <w:r w:rsidRPr="002F5AA9">
              <w:rPr>
                <w:rFonts w:cs="Arial"/>
                <w:sz w:val="18"/>
                <w:szCs w:val="22"/>
                <w:lang w:eastAsia="es-CO"/>
              </w:rPr>
              <w:t> </w:t>
            </w:r>
          </w:p>
          <w:p w14:paraId="7D65EBCE" w14:textId="77777777" w:rsidR="005D698A" w:rsidRPr="002F5AA9" w:rsidRDefault="005D698A" w:rsidP="000A20EE">
            <w:pPr>
              <w:numPr>
                <w:ilvl w:val="0"/>
                <w:numId w:val="39"/>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F5AA9">
              <w:rPr>
                <w:rFonts w:cs="Arial"/>
                <w:sz w:val="18"/>
                <w:szCs w:val="22"/>
                <w:lang w:val="es-MX" w:eastAsia="es-CO"/>
              </w:rPr>
              <w:t>Apoyar en la revisión metodológica documental a los procesos en Sede Central a cargo.</w:t>
            </w:r>
            <w:r w:rsidRPr="002F5AA9">
              <w:rPr>
                <w:rFonts w:cs="Arial"/>
                <w:sz w:val="18"/>
                <w:szCs w:val="22"/>
                <w:lang w:eastAsia="es-CO"/>
              </w:rPr>
              <w:t> </w:t>
            </w:r>
          </w:p>
          <w:p w14:paraId="4A1446CE" w14:textId="77777777" w:rsidR="005D698A" w:rsidRPr="002F5AA9" w:rsidRDefault="005D698A" w:rsidP="000A20EE">
            <w:pPr>
              <w:numPr>
                <w:ilvl w:val="0"/>
                <w:numId w:val="39"/>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2F5AA9">
              <w:rPr>
                <w:rFonts w:cs="Arial"/>
                <w:sz w:val="18"/>
                <w:szCs w:val="22"/>
                <w:lang w:val="es-MX" w:eastAsia="es-CO"/>
              </w:rPr>
              <w:t>Realizar auditorías de SGI en los procesos de Sede Central y Direcciones Territoriales</w:t>
            </w:r>
            <w:r w:rsidRPr="002F5AA9">
              <w:rPr>
                <w:rFonts w:cs="Arial"/>
                <w:sz w:val="18"/>
                <w:szCs w:val="22"/>
                <w:lang w:eastAsia="es-CO"/>
              </w:rPr>
              <w:t> </w:t>
            </w:r>
          </w:p>
        </w:tc>
        <w:tc>
          <w:tcPr>
            <w:tcW w:w="1276" w:type="dxa"/>
            <w:vAlign w:val="center"/>
          </w:tcPr>
          <w:p w14:paraId="06ED282D"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del SGI</w:t>
            </w:r>
          </w:p>
        </w:tc>
      </w:tr>
      <w:tr w:rsidR="005D698A" w:rsidRPr="009B2991" w14:paraId="49BF95D3"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3528E985" w14:textId="77777777" w:rsidR="005D698A" w:rsidRDefault="005D698A" w:rsidP="00C72779">
            <w:pPr>
              <w:jc w:val="center"/>
              <w:rPr>
                <w:rFonts w:cs="Arial"/>
                <w:color w:val="000000" w:themeColor="text1"/>
                <w:sz w:val="18"/>
                <w:szCs w:val="18"/>
              </w:rPr>
            </w:pPr>
            <w:r>
              <w:rPr>
                <w:rFonts w:cs="Arial"/>
                <w:color w:val="000000" w:themeColor="text1"/>
                <w:sz w:val="18"/>
                <w:szCs w:val="18"/>
              </w:rPr>
              <w:t>1</w:t>
            </w:r>
          </w:p>
        </w:tc>
        <w:tc>
          <w:tcPr>
            <w:tcW w:w="1417" w:type="dxa"/>
            <w:vAlign w:val="center"/>
          </w:tcPr>
          <w:p w14:paraId="7D936908" w14:textId="77777777" w:rsidR="005D698A" w:rsidRPr="002F5AA9"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2F5AA9">
              <w:rPr>
                <w:rFonts w:cs="Arial"/>
                <w:b/>
                <w:color w:val="000000" w:themeColor="text1"/>
                <w:sz w:val="18"/>
                <w:szCs w:val="18"/>
              </w:rPr>
              <w:t xml:space="preserve">Profesional Especializado </w:t>
            </w:r>
          </w:p>
        </w:tc>
        <w:tc>
          <w:tcPr>
            <w:tcW w:w="6657" w:type="dxa"/>
            <w:vAlign w:val="center"/>
          </w:tcPr>
          <w:p w14:paraId="1B315052" w14:textId="77777777" w:rsidR="005D698A" w:rsidRPr="003F081C" w:rsidRDefault="005D698A" w:rsidP="00C72779">
            <w:pPr>
              <w:jc w:val="both"/>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22"/>
                <w:szCs w:val="22"/>
                <w:lang w:eastAsia="es-CO"/>
              </w:rPr>
            </w:pPr>
            <w:r w:rsidRPr="003F081C">
              <w:rPr>
                <w:rFonts w:cs="Arial"/>
                <w:b/>
                <w:bCs/>
                <w:sz w:val="18"/>
                <w:szCs w:val="22"/>
                <w:lang w:eastAsia="es-CO"/>
              </w:rPr>
              <w:t>Profesional SNARIV y SISCONPES</w:t>
            </w:r>
            <w:r w:rsidRPr="003F081C">
              <w:rPr>
                <w:rFonts w:cs="Arial"/>
                <w:sz w:val="18"/>
                <w:szCs w:val="22"/>
                <w:lang w:eastAsia="es-CO"/>
              </w:rPr>
              <w:t> </w:t>
            </w:r>
          </w:p>
          <w:p w14:paraId="4DE3095E" w14:textId="77777777" w:rsidR="005D698A" w:rsidRPr="003F081C"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Asesoría y Acompañamiento en la formulación del Plan de Acción Anual de la Entidad en las Direcciones Misionales de acuerdo a las Directrices de la Unidad de Restitución de Tierras y al presupuesto asignado a cada actividad </w:t>
            </w:r>
          </w:p>
          <w:p w14:paraId="19EB421A" w14:textId="77777777" w:rsidR="005D698A" w:rsidRPr="003F081C"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Acompañamiento para el reporte de la ejecución de las actividades en la matriz del Plan de Acción Anual SNARIV de la Entidad </w:t>
            </w:r>
          </w:p>
          <w:p w14:paraId="7153A8F3" w14:textId="77777777" w:rsidR="005D698A" w:rsidRPr="003F081C"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Participar en las reuniones de la Unidad de Víctimas para realizar los ajustes y definir la calificación anual de la entidad en la contribución para el goce efectivo de los derechos de la población víctima. </w:t>
            </w:r>
          </w:p>
          <w:p w14:paraId="31855363" w14:textId="77777777" w:rsidR="005D698A" w:rsidRPr="003F081C" w:rsidRDefault="005D698A" w:rsidP="000A20EE">
            <w:pPr>
              <w:numPr>
                <w:ilvl w:val="0"/>
                <w:numId w:val="2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22"/>
                <w:szCs w:val="22"/>
                <w:lang w:eastAsia="es-CO"/>
              </w:rPr>
            </w:pPr>
            <w:r w:rsidRPr="003F081C">
              <w:rPr>
                <w:rFonts w:cs="Arial"/>
                <w:sz w:val="18"/>
                <w:szCs w:val="22"/>
                <w:lang w:eastAsia="es-CO"/>
              </w:rPr>
              <w:t>Realizar el seguimiento y la calificación y /o aprobación en la plataforma SISCONPES de los CONPES que la entidad tiene responsabilidad en actividades en cada uno de ellos y presentar informe cuando se requiera para reportar a la alta dirección. </w:t>
            </w:r>
          </w:p>
        </w:tc>
        <w:tc>
          <w:tcPr>
            <w:tcW w:w="1276" w:type="dxa"/>
            <w:vAlign w:val="center"/>
          </w:tcPr>
          <w:p w14:paraId="62DCC006"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del SGI</w:t>
            </w:r>
          </w:p>
        </w:tc>
      </w:tr>
      <w:tr w:rsidR="005D698A" w:rsidRPr="009B2991" w14:paraId="77FE9265" w14:textId="77777777" w:rsidTr="31FF9146">
        <w:trPr>
          <w:trHeight w:val="120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55E38BDA" w14:textId="77777777" w:rsidR="005D698A" w:rsidRDefault="005D698A" w:rsidP="00C72779">
            <w:pPr>
              <w:jc w:val="center"/>
              <w:rPr>
                <w:rFonts w:cs="Arial"/>
                <w:color w:val="000000" w:themeColor="text1"/>
                <w:sz w:val="18"/>
                <w:szCs w:val="18"/>
              </w:rPr>
            </w:pPr>
            <w:r>
              <w:rPr>
                <w:rFonts w:cs="Arial"/>
                <w:color w:val="000000" w:themeColor="text1"/>
                <w:sz w:val="18"/>
                <w:szCs w:val="18"/>
              </w:rPr>
              <w:t>1</w:t>
            </w:r>
          </w:p>
        </w:tc>
        <w:tc>
          <w:tcPr>
            <w:tcW w:w="1417" w:type="dxa"/>
            <w:vAlign w:val="center"/>
          </w:tcPr>
          <w:p w14:paraId="15791FFC" w14:textId="77777777" w:rsidR="005D698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color w:val="000000" w:themeColor="text1"/>
                <w:sz w:val="18"/>
                <w:szCs w:val="18"/>
              </w:rPr>
            </w:pPr>
            <w:r>
              <w:rPr>
                <w:rFonts w:cs="Arial"/>
                <w:b/>
                <w:color w:val="000000" w:themeColor="text1"/>
                <w:sz w:val="18"/>
                <w:szCs w:val="18"/>
              </w:rPr>
              <w:t xml:space="preserve">Contratista-Consultor especializado </w:t>
            </w:r>
          </w:p>
        </w:tc>
        <w:tc>
          <w:tcPr>
            <w:tcW w:w="6657" w:type="dxa"/>
            <w:vAlign w:val="center"/>
          </w:tcPr>
          <w:p w14:paraId="62CCCEB3" w14:textId="77777777" w:rsidR="005D698A" w:rsidRPr="003F081C" w:rsidRDefault="005D698A" w:rsidP="00C72779">
            <w:pPr>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22"/>
                <w:lang w:eastAsia="es-CO"/>
              </w:rPr>
            </w:pPr>
            <w:r w:rsidRPr="003F081C">
              <w:rPr>
                <w:rFonts w:cs="Arial"/>
                <w:b/>
                <w:bCs/>
                <w:sz w:val="18"/>
                <w:szCs w:val="22"/>
                <w:lang w:eastAsia="es-CO"/>
              </w:rPr>
              <w:t>Consultor Arquitectura de Procesos</w:t>
            </w:r>
            <w:r w:rsidRPr="003F081C">
              <w:rPr>
                <w:rFonts w:cs="Arial"/>
                <w:sz w:val="18"/>
                <w:szCs w:val="22"/>
                <w:lang w:eastAsia="es-CO"/>
              </w:rPr>
              <w:t> </w:t>
            </w:r>
          </w:p>
          <w:p w14:paraId="6622A628"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Asesorar y apoyar en la formulación, actualización y lineamientos en la metodología de la arquitectura de procesos. </w:t>
            </w:r>
          </w:p>
          <w:p w14:paraId="5A4D3368"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Asesorar y desarrollar estrategias encaminadas en la creación, actualización o mejora de los procesos, subprocesos y procedimientos de la entidad. </w:t>
            </w:r>
          </w:p>
          <w:p w14:paraId="5EBA05AE"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Hacer seguimiento y revisión de la actualización de los procesos, subprocesos y procedimientos de la entidad. </w:t>
            </w:r>
          </w:p>
          <w:p w14:paraId="2178C971"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Asesorar y apoyar a las dependencias en la creación de nuevas reglas de negocio alineadas con la estrategia y el modelo de operación de la entidad. </w:t>
            </w:r>
          </w:p>
          <w:p w14:paraId="31D4B6BD"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Asesorar y apoyar a las dependencias en la identificación de oportunidades de mejora del modelo de operación, actividades y flujo de la información. </w:t>
            </w:r>
          </w:p>
          <w:p w14:paraId="48733D76" w14:textId="77777777" w:rsidR="005D698A" w:rsidRPr="003F081C" w:rsidRDefault="005D698A" w:rsidP="000A20EE">
            <w:pPr>
              <w:numPr>
                <w:ilvl w:val="0"/>
                <w:numId w:val="21"/>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szCs w:val="22"/>
                <w:lang w:eastAsia="es-CO"/>
              </w:rPr>
            </w:pPr>
            <w:r w:rsidRPr="003F081C">
              <w:rPr>
                <w:rFonts w:cs="Arial"/>
                <w:sz w:val="18"/>
                <w:szCs w:val="22"/>
                <w:lang w:eastAsia="es-CO"/>
              </w:rPr>
              <w:t>Asesorar y apoyar a las dependencias en la revisión de los árboles de decisión, puntos de control, validación y automatización de los procesos teniendo en cuenta la normatividad vigente. </w:t>
            </w:r>
          </w:p>
        </w:tc>
        <w:tc>
          <w:tcPr>
            <w:tcW w:w="1276" w:type="dxa"/>
            <w:vAlign w:val="center"/>
          </w:tcPr>
          <w:p w14:paraId="0809B8AE"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t>Gestión del SGI</w:t>
            </w:r>
          </w:p>
        </w:tc>
      </w:tr>
      <w:tr w:rsidR="005D698A" w:rsidRPr="009B2991" w14:paraId="7723D38C" w14:textId="77777777" w:rsidTr="31FF9146">
        <w:trPr>
          <w:trHeight w:val="50"/>
          <w:jc w:val="center"/>
        </w:trPr>
        <w:tc>
          <w:tcPr>
            <w:cnfStyle w:val="001000000000" w:firstRow="0" w:lastRow="0" w:firstColumn="1" w:lastColumn="0" w:oddVBand="0" w:evenVBand="0" w:oddHBand="0" w:evenHBand="0" w:firstRowFirstColumn="0" w:firstRowLastColumn="0" w:lastRowFirstColumn="0" w:lastRowLastColumn="0"/>
            <w:tcW w:w="710" w:type="dxa"/>
            <w:vAlign w:val="center"/>
          </w:tcPr>
          <w:p w14:paraId="7C432CD1" w14:textId="77777777" w:rsidR="005D698A" w:rsidRDefault="005D698A" w:rsidP="00C72779">
            <w:pPr>
              <w:jc w:val="center"/>
              <w:rPr>
                <w:rFonts w:cs="Arial"/>
                <w:color w:val="000000" w:themeColor="text1"/>
                <w:sz w:val="18"/>
                <w:szCs w:val="18"/>
              </w:rPr>
            </w:pPr>
            <w:r>
              <w:rPr>
                <w:rFonts w:cs="Arial"/>
                <w:color w:val="000000" w:themeColor="text1"/>
                <w:sz w:val="18"/>
                <w:szCs w:val="18"/>
              </w:rPr>
              <w:t>1</w:t>
            </w:r>
          </w:p>
        </w:tc>
        <w:tc>
          <w:tcPr>
            <w:tcW w:w="1417" w:type="dxa"/>
            <w:vAlign w:val="center"/>
          </w:tcPr>
          <w:p w14:paraId="381B3F25" w14:textId="77777777" w:rsidR="005D698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Pr>
                <w:rFonts w:cs="Arial"/>
                <w:b/>
                <w:color w:val="000000" w:themeColor="text1"/>
                <w:sz w:val="18"/>
                <w:szCs w:val="18"/>
              </w:rPr>
              <w:t>Contratista-Profesional Especializado</w:t>
            </w:r>
          </w:p>
        </w:tc>
        <w:tc>
          <w:tcPr>
            <w:tcW w:w="6657" w:type="dxa"/>
            <w:vAlign w:val="center"/>
          </w:tcPr>
          <w:p w14:paraId="0852339B" w14:textId="77777777" w:rsidR="005D698A" w:rsidRPr="00A74245" w:rsidRDefault="005D698A" w:rsidP="00C72779">
            <w:pPr>
              <w:jc w:val="both"/>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lang w:eastAsia="es-CO"/>
              </w:rPr>
            </w:pPr>
            <w:r w:rsidRPr="00A74245">
              <w:rPr>
                <w:rFonts w:cs="Arial"/>
                <w:b/>
                <w:bCs/>
                <w:sz w:val="18"/>
                <w:lang w:eastAsia="es-CO"/>
              </w:rPr>
              <w:t>Profesional Riesgos y FURAG</w:t>
            </w:r>
            <w:r w:rsidRPr="00A74245">
              <w:rPr>
                <w:rFonts w:cs="Arial"/>
                <w:sz w:val="18"/>
                <w:lang w:eastAsia="es-CO"/>
              </w:rPr>
              <w:t> </w:t>
            </w:r>
          </w:p>
          <w:p w14:paraId="54926785"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Levantamiento de la matriz de riegos institucional desde cada uno de los procesos. </w:t>
            </w:r>
          </w:p>
          <w:p w14:paraId="0F9A4B96"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Parametrización PLANIGAC con la base de datos de riesgos. </w:t>
            </w:r>
          </w:p>
          <w:p w14:paraId="2D526D0B"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Generación de reporte con los resultados de la evaluación a la implementación de controles en riesgos con corte al trimestre. </w:t>
            </w:r>
          </w:p>
          <w:p w14:paraId="4E2E17A3"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Apoyo en el cargue de seguimiento y evidencias en el plan de acción de procesos y territoriales. </w:t>
            </w:r>
          </w:p>
          <w:p w14:paraId="594D9D7B"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Gestión del aplicativo Planner desde el rol de 'Administrador'.  </w:t>
            </w:r>
          </w:p>
          <w:p w14:paraId="119F6CA6"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Creación y modificación de actividades en Planner a partir de las solicitudes de usuarios. </w:t>
            </w:r>
          </w:p>
          <w:p w14:paraId="2C17E489"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Revisión periódica del estado de las acciones, su asignación y enrutamiento con los responsables de los procesos y Direcciones territoriales. </w:t>
            </w:r>
          </w:p>
          <w:p w14:paraId="2BA73982"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Reporte mensual del estado de las acciones en Planner y su cargue en el archivo en línea utilizado por la OAP. </w:t>
            </w:r>
          </w:p>
          <w:p w14:paraId="4955EC9E"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lastRenderedPageBreak/>
              <w:t>Apoyo en la elaboración de los autodiagnósticos de las políticas de MIPG. </w:t>
            </w:r>
          </w:p>
          <w:p w14:paraId="006352AD"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Coordinar el registro de respuestas y recolección de evidencias para diligenciar el FURAG 2021. </w:t>
            </w:r>
          </w:p>
          <w:p w14:paraId="7D677230" w14:textId="77777777" w:rsidR="005D698A"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Realizar sesiones de acompañamiento a los procesos responsables de las preguntas del FURAG para preparar las respuestas al formulario </w:t>
            </w:r>
          </w:p>
          <w:p w14:paraId="04949640" w14:textId="77777777" w:rsidR="005D698A" w:rsidRPr="00A74245" w:rsidRDefault="005D698A" w:rsidP="000A20EE">
            <w:pPr>
              <w:numPr>
                <w:ilvl w:val="0"/>
                <w:numId w:val="40"/>
              </w:numPr>
              <w:suppressAutoHyphens w:val="0"/>
              <w:jc w:val="both"/>
              <w:textAlignment w:val="baseline"/>
              <w:cnfStyle w:val="000000000000" w:firstRow="0" w:lastRow="0" w:firstColumn="0" w:lastColumn="0" w:oddVBand="0" w:evenVBand="0" w:oddHBand="0" w:evenHBand="0" w:firstRowFirstColumn="0" w:firstRowLastColumn="0" w:lastRowFirstColumn="0" w:lastRowLastColumn="0"/>
              <w:rPr>
                <w:rFonts w:cs="Arial"/>
                <w:sz w:val="18"/>
                <w:lang w:eastAsia="es-CO"/>
              </w:rPr>
            </w:pPr>
            <w:r w:rsidRPr="00A74245">
              <w:rPr>
                <w:rFonts w:cs="Arial"/>
                <w:sz w:val="18"/>
                <w:lang w:eastAsia="es-CO"/>
              </w:rPr>
              <w:t>Apoyo en la realización de auditorías internas </w:t>
            </w:r>
          </w:p>
        </w:tc>
        <w:tc>
          <w:tcPr>
            <w:tcW w:w="1276" w:type="dxa"/>
            <w:vAlign w:val="center"/>
          </w:tcPr>
          <w:p w14:paraId="5354CC06" w14:textId="77777777" w:rsidR="005D698A" w:rsidRPr="00125BDA" w:rsidRDefault="005D698A" w:rsidP="00C72779">
            <w:pPr>
              <w:jc w:val="center"/>
              <w:cnfStyle w:val="000000000000" w:firstRow="0" w:lastRow="0" w:firstColumn="0" w:lastColumn="0" w:oddVBand="0" w:evenVBand="0" w:oddHBand="0" w:evenHBand="0" w:firstRowFirstColumn="0" w:firstRowLastColumn="0" w:lastRowFirstColumn="0" w:lastRowLastColumn="0"/>
              <w:rPr>
                <w:rFonts w:cs="Arial"/>
                <w:b/>
                <w:color w:val="000000" w:themeColor="text1"/>
                <w:sz w:val="18"/>
                <w:szCs w:val="18"/>
              </w:rPr>
            </w:pPr>
            <w:r w:rsidRPr="00125BDA">
              <w:rPr>
                <w:rFonts w:cs="Arial"/>
                <w:b/>
                <w:color w:val="000000" w:themeColor="text1"/>
                <w:sz w:val="18"/>
                <w:szCs w:val="18"/>
              </w:rPr>
              <w:lastRenderedPageBreak/>
              <w:t>Gestión de Riesgos</w:t>
            </w:r>
          </w:p>
        </w:tc>
      </w:tr>
    </w:tbl>
    <w:p w14:paraId="2862F80E" w14:textId="5B532FE8" w:rsidR="31FF9146" w:rsidRPr="0088341D" w:rsidRDefault="0088341D" w:rsidP="0088341D">
      <w:pPr>
        <w:jc w:val="center"/>
        <w:rPr>
          <w:b/>
          <w:sz w:val="16"/>
          <w:szCs w:val="16"/>
        </w:rPr>
      </w:pPr>
      <w:r w:rsidRPr="0088341D">
        <w:rPr>
          <w:b/>
          <w:bCs/>
          <w:sz w:val="16"/>
          <w:szCs w:val="16"/>
        </w:rPr>
        <w:lastRenderedPageBreak/>
        <w:t>Fuente: Oficina Asesora de Planeación</w:t>
      </w:r>
    </w:p>
    <w:p w14:paraId="5DB11968" w14:textId="6C9E0242" w:rsidR="005D698A" w:rsidRPr="00307BC1" w:rsidRDefault="005D698A" w:rsidP="00C72779">
      <w:pPr>
        <w:jc w:val="both"/>
        <w:textAlignment w:val="baseline"/>
        <w:rPr>
          <w:rFonts w:ascii="Calibri" w:hAnsi="Calibri" w:cs="Calibri"/>
          <w:sz w:val="22"/>
          <w:szCs w:val="22"/>
          <w:lang w:eastAsia="es-CO"/>
        </w:rPr>
      </w:pPr>
      <w:r w:rsidRPr="00B524CB">
        <w:rPr>
          <w:rFonts w:ascii="Calibri" w:hAnsi="Calibri" w:cs="Calibri"/>
          <w:sz w:val="22"/>
          <w:szCs w:val="22"/>
          <w:lang w:eastAsia="es-CO"/>
        </w:rPr>
        <w:t> </w:t>
      </w:r>
    </w:p>
    <w:p w14:paraId="6E289AA6" w14:textId="77777777" w:rsidR="00307BC1" w:rsidRPr="00307BC1" w:rsidRDefault="005D698A" w:rsidP="00307BC1">
      <w:pPr>
        <w:pStyle w:val="Prrafodelista"/>
        <w:numPr>
          <w:ilvl w:val="2"/>
          <w:numId w:val="22"/>
        </w:numPr>
        <w:suppressAutoHyphens w:val="0"/>
        <w:rPr>
          <w:rFonts w:cs="Arial"/>
          <w:b/>
          <w:bCs/>
          <w:sz w:val="22"/>
          <w:szCs w:val="22"/>
          <w:lang w:eastAsia="es-CO"/>
        </w:rPr>
      </w:pPr>
      <w:r w:rsidRPr="00B524CB">
        <w:rPr>
          <w:rFonts w:cs="Arial"/>
          <w:b/>
          <w:bCs/>
          <w:sz w:val="22"/>
          <w:szCs w:val="22"/>
          <w:lang w:eastAsia="es-CO"/>
        </w:rPr>
        <w:t>PROCESOS A CARGO DE LA OAP</w:t>
      </w:r>
    </w:p>
    <w:p w14:paraId="26C1B36A" w14:textId="77777777" w:rsidR="005D698A" w:rsidRPr="00B524CB" w:rsidRDefault="005D698A" w:rsidP="00C72779">
      <w:pPr>
        <w:suppressAutoHyphens w:val="0"/>
        <w:ind w:left="360"/>
        <w:jc w:val="both"/>
        <w:textAlignment w:val="baseline"/>
        <w:rPr>
          <w:rFonts w:cs="Arial"/>
          <w:sz w:val="22"/>
          <w:szCs w:val="22"/>
          <w:lang w:eastAsia="es-CO"/>
        </w:rPr>
      </w:pPr>
    </w:p>
    <w:p w14:paraId="700CAC91" w14:textId="77777777" w:rsidR="005D698A" w:rsidRDefault="005D698A" w:rsidP="00C72779">
      <w:pPr>
        <w:shd w:val="clear" w:color="auto" w:fill="FFFFFF" w:themeFill="background1"/>
        <w:suppressAutoHyphens w:val="0"/>
        <w:jc w:val="both"/>
        <w:rPr>
          <w:rFonts w:cs="Arial"/>
          <w:sz w:val="22"/>
          <w:szCs w:val="22"/>
          <w:lang w:val="es-MX" w:eastAsia="es-CO"/>
        </w:rPr>
      </w:pPr>
      <w:r w:rsidRPr="00B524CB">
        <w:rPr>
          <w:rFonts w:cs="Arial"/>
          <w:sz w:val="22"/>
          <w:szCs w:val="22"/>
          <w:lang w:val="es-MX" w:eastAsia="es-CO"/>
        </w:rPr>
        <w:t>El proceso de Direccionamiento Estratégico y Planeación,</w:t>
      </w:r>
      <w:r>
        <w:rPr>
          <w:rFonts w:cs="Arial"/>
          <w:sz w:val="22"/>
          <w:szCs w:val="22"/>
          <w:lang w:val="es-MX" w:eastAsia="es-CO"/>
        </w:rPr>
        <w:t xml:space="preserve"> </w:t>
      </w:r>
      <w:r w:rsidRPr="00B524CB">
        <w:rPr>
          <w:rFonts w:cs="Arial"/>
          <w:sz w:val="22"/>
          <w:szCs w:val="22"/>
          <w:lang w:val="es-MX" w:eastAsia="es-CO"/>
        </w:rPr>
        <w:t>se divide en tres subprocesos: Gestión Estratégica, Gestión del SGI y Gestión del Riesgo.</w:t>
      </w:r>
      <w:r>
        <w:rPr>
          <w:rFonts w:cs="Arial"/>
          <w:sz w:val="22"/>
          <w:szCs w:val="22"/>
          <w:lang w:val="es-MX" w:eastAsia="es-CO"/>
        </w:rPr>
        <w:t xml:space="preserve"> </w:t>
      </w:r>
    </w:p>
    <w:p w14:paraId="31452652" w14:textId="77777777" w:rsidR="005D698A" w:rsidRDefault="005D698A" w:rsidP="00C72779">
      <w:pPr>
        <w:shd w:val="clear" w:color="auto" w:fill="FFFFFF" w:themeFill="background1"/>
        <w:suppressAutoHyphens w:val="0"/>
        <w:jc w:val="both"/>
        <w:rPr>
          <w:rFonts w:cs="Arial"/>
          <w:sz w:val="22"/>
          <w:szCs w:val="22"/>
          <w:lang w:val="es-MX" w:eastAsia="es-CO"/>
        </w:rPr>
      </w:pPr>
    </w:p>
    <w:p w14:paraId="44DBE424" w14:textId="77777777" w:rsidR="005D698A" w:rsidRDefault="005D698A" w:rsidP="00C72779">
      <w:pPr>
        <w:shd w:val="clear" w:color="auto" w:fill="FFFFFF" w:themeFill="background1"/>
        <w:suppressAutoHyphens w:val="0"/>
        <w:jc w:val="both"/>
        <w:rPr>
          <w:rFonts w:cs="Arial"/>
          <w:sz w:val="22"/>
          <w:szCs w:val="22"/>
          <w:lang w:val="es-MX" w:eastAsia="en-US"/>
        </w:rPr>
      </w:pPr>
      <w:r>
        <w:rPr>
          <w:rFonts w:cs="Arial"/>
          <w:sz w:val="22"/>
          <w:szCs w:val="22"/>
          <w:lang w:val="es-MX" w:eastAsia="es-CO"/>
        </w:rPr>
        <w:t>D</w:t>
      </w:r>
      <w:r>
        <w:rPr>
          <w:rFonts w:cs="Arial"/>
          <w:sz w:val="22"/>
          <w:szCs w:val="22"/>
          <w:lang w:val="es-MX" w:eastAsia="en-US"/>
        </w:rPr>
        <w:t xml:space="preserve">esde el subproceso de Gestión Estratégica, define </w:t>
      </w:r>
      <w:r w:rsidRPr="00953AA4">
        <w:rPr>
          <w:rFonts w:cs="Arial"/>
          <w:sz w:val="22"/>
          <w:szCs w:val="22"/>
          <w:lang w:val="es-MX" w:eastAsia="en-US"/>
        </w:rPr>
        <w:t>los lineamientos para la construcción y seguimiento de la plataforma estratégica, así como los planes, prog</w:t>
      </w:r>
      <w:r>
        <w:rPr>
          <w:rFonts w:cs="Arial"/>
          <w:sz w:val="22"/>
          <w:szCs w:val="22"/>
          <w:lang w:val="es-MX" w:eastAsia="en-US"/>
        </w:rPr>
        <w:t xml:space="preserve">ramas y proyectos de la Entidad, para de esta manera garantizar </w:t>
      </w:r>
      <w:r w:rsidRPr="00953AA4">
        <w:rPr>
          <w:rFonts w:cs="Arial"/>
          <w:sz w:val="22"/>
          <w:szCs w:val="22"/>
          <w:lang w:val="es-MX" w:eastAsia="en-US"/>
        </w:rPr>
        <w:t>la ejecución y seguimiento d</w:t>
      </w:r>
      <w:r>
        <w:rPr>
          <w:rFonts w:cs="Arial"/>
          <w:sz w:val="22"/>
          <w:szCs w:val="22"/>
          <w:lang w:val="es-MX" w:eastAsia="en-US"/>
        </w:rPr>
        <w:t xml:space="preserve">e </w:t>
      </w:r>
      <w:r w:rsidRPr="599CC8C6">
        <w:rPr>
          <w:rFonts w:cs="Arial"/>
          <w:sz w:val="22"/>
          <w:szCs w:val="22"/>
          <w:lang w:val="es-MX" w:eastAsia="en-US"/>
        </w:rPr>
        <w:t>éstos</w:t>
      </w:r>
      <w:r>
        <w:rPr>
          <w:rFonts w:cs="Arial"/>
          <w:sz w:val="22"/>
          <w:szCs w:val="22"/>
          <w:lang w:val="es-MX" w:eastAsia="en-US"/>
        </w:rPr>
        <w:t xml:space="preserve">, orientados hacia la </w:t>
      </w:r>
      <w:r w:rsidRPr="00953AA4">
        <w:rPr>
          <w:rFonts w:cs="Arial"/>
          <w:sz w:val="22"/>
          <w:szCs w:val="22"/>
          <w:lang w:val="es-MX" w:eastAsia="en-US"/>
        </w:rPr>
        <w:t xml:space="preserve">toma de </w:t>
      </w:r>
      <w:r>
        <w:rPr>
          <w:rFonts w:cs="Arial"/>
          <w:sz w:val="22"/>
          <w:szCs w:val="22"/>
          <w:lang w:val="es-MX" w:eastAsia="en-US"/>
        </w:rPr>
        <w:t xml:space="preserve">decisiones y </w:t>
      </w:r>
      <w:r w:rsidRPr="00953AA4">
        <w:rPr>
          <w:rFonts w:cs="Arial"/>
          <w:sz w:val="22"/>
          <w:szCs w:val="22"/>
          <w:lang w:val="es-MX" w:eastAsia="en-US"/>
        </w:rPr>
        <w:t>acciones de mejora.</w:t>
      </w:r>
      <w:r w:rsidRPr="00E04353">
        <w:rPr>
          <w:rFonts w:cs="Arial"/>
          <w:sz w:val="22"/>
          <w:szCs w:val="22"/>
          <w:lang w:val="es-MX" w:eastAsia="en-US"/>
        </w:rPr>
        <w:t xml:space="preserve"> </w:t>
      </w:r>
    </w:p>
    <w:p w14:paraId="42CC1670" w14:textId="77777777" w:rsidR="005D698A" w:rsidRDefault="005D698A" w:rsidP="00C72779">
      <w:pPr>
        <w:shd w:val="clear" w:color="auto" w:fill="FFFFFF"/>
        <w:suppressAutoHyphens w:val="0"/>
        <w:jc w:val="both"/>
        <w:rPr>
          <w:rFonts w:cs="Arial"/>
          <w:sz w:val="22"/>
          <w:szCs w:val="22"/>
          <w:lang w:val="es-MX" w:eastAsia="en-US"/>
        </w:rPr>
      </w:pPr>
    </w:p>
    <w:p w14:paraId="2A85ACF7" w14:textId="77777777" w:rsidR="005D698A" w:rsidRPr="00E04353" w:rsidRDefault="005D698A" w:rsidP="00C72779">
      <w:pPr>
        <w:shd w:val="clear" w:color="auto" w:fill="FFFFFF" w:themeFill="background1"/>
        <w:suppressAutoHyphens w:val="0"/>
        <w:jc w:val="both"/>
        <w:rPr>
          <w:rFonts w:cs="Arial"/>
          <w:sz w:val="22"/>
          <w:szCs w:val="22"/>
          <w:lang w:val="es-MX" w:eastAsia="en-US"/>
        </w:rPr>
      </w:pPr>
      <w:r>
        <w:rPr>
          <w:rFonts w:cs="Arial"/>
          <w:sz w:val="22"/>
          <w:szCs w:val="22"/>
          <w:lang w:val="es-MX" w:eastAsia="en-US"/>
        </w:rPr>
        <w:t>Desde la gestión de SGI, se busca g</w:t>
      </w:r>
      <w:r w:rsidRPr="00953AA4">
        <w:rPr>
          <w:rFonts w:cs="Arial"/>
          <w:sz w:val="22"/>
          <w:szCs w:val="22"/>
          <w:lang w:val="es-MX" w:eastAsia="en-US"/>
        </w:rPr>
        <w:t>arantizar la implementación, mantenimiento y mejora del Si</w:t>
      </w:r>
      <w:r>
        <w:rPr>
          <w:rFonts w:cs="Arial"/>
          <w:sz w:val="22"/>
          <w:szCs w:val="22"/>
          <w:lang w:val="es-MX" w:eastAsia="en-US"/>
        </w:rPr>
        <w:t>stema de Gestión Integrado</w:t>
      </w:r>
      <w:r w:rsidRPr="00953AA4">
        <w:rPr>
          <w:rFonts w:cs="Arial"/>
          <w:sz w:val="22"/>
          <w:szCs w:val="22"/>
          <w:lang w:val="es-MX" w:eastAsia="en-US"/>
        </w:rPr>
        <w:t xml:space="preserve"> de la Entidad, en el marco del Modelo Integrado d</w:t>
      </w:r>
      <w:r>
        <w:rPr>
          <w:rFonts w:cs="Arial"/>
          <w:sz w:val="22"/>
          <w:szCs w:val="22"/>
          <w:lang w:val="es-MX" w:eastAsia="en-US"/>
        </w:rPr>
        <w:t xml:space="preserve">e Planeación y Gestión – MIPG, por medio de </w:t>
      </w:r>
      <w:r w:rsidRPr="00953AA4">
        <w:rPr>
          <w:rFonts w:cs="Arial"/>
          <w:sz w:val="22"/>
          <w:szCs w:val="22"/>
          <w:lang w:val="es-MX" w:eastAsia="en-US"/>
        </w:rPr>
        <w:t>la definición de acciones orientadas a la planificación del SGI, su implementación</w:t>
      </w:r>
      <w:r w:rsidRPr="599CC8C6">
        <w:rPr>
          <w:rFonts w:cs="Arial"/>
          <w:sz w:val="22"/>
          <w:szCs w:val="22"/>
          <w:lang w:val="es-MX" w:eastAsia="en-US"/>
        </w:rPr>
        <w:t>,</w:t>
      </w:r>
      <w:r w:rsidRPr="00953AA4">
        <w:rPr>
          <w:rFonts w:cs="Arial"/>
          <w:sz w:val="22"/>
          <w:szCs w:val="22"/>
          <w:lang w:val="es-MX" w:eastAsia="en-US"/>
        </w:rPr>
        <w:t xml:space="preserve"> mantenimiento y adopción de acciones de mejora</w:t>
      </w:r>
      <w:r w:rsidRPr="599CC8C6">
        <w:rPr>
          <w:rFonts w:cs="Arial"/>
          <w:sz w:val="22"/>
          <w:szCs w:val="22"/>
          <w:lang w:val="es-MX" w:eastAsia="en-US"/>
        </w:rPr>
        <w:t>.</w:t>
      </w:r>
      <w:r w:rsidRPr="00953AA4">
        <w:rPr>
          <w:rFonts w:cs="Arial"/>
          <w:sz w:val="22"/>
          <w:szCs w:val="22"/>
          <w:lang w:val="es-MX" w:eastAsia="en-US"/>
        </w:rPr>
        <w:t xml:space="preserve"> Incluye los sistemas de gestión implementados y vigentes en la Entidad: ISO 9001, ISO 14001, ISO 45001, ISO 17025, ISO 27001 y demás que se adopten.</w:t>
      </w:r>
    </w:p>
    <w:p w14:paraId="6549573F" w14:textId="77777777" w:rsidR="005D698A" w:rsidRPr="00E04353" w:rsidRDefault="005D698A" w:rsidP="00C72779">
      <w:pPr>
        <w:shd w:val="clear" w:color="auto" w:fill="FFFFFF"/>
        <w:suppressAutoHyphens w:val="0"/>
        <w:jc w:val="both"/>
        <w:rPr>
          <w:rFonts w:cs="Arial"/>
          <w:sz w:val="22"/>
          <w:szCs w:val="22"/>
          <w:lang w:val="es-MX" w:eastAsia="en-US"/>
        </w:rPr>
      </w:pPr>
    </w:p>
    <w:p w14:paraId="49A4EBB8" w14:textId="77777777" w:rsidR="005D698A" w:rsidRDefault="005D698A" w:rsidP="00C72779">
      <w:pPr>
        <w:shd w:val="clear" w:color="auto" w:fill="FFFFFF" w:themeFill="background1"/>
        <w:suppressAutoHyphens w:val="0"/>
        <w:jc w:val="both"/>
        <w:rPr>
          <w:rFonts w:cs="Arial"/>
          <w:sz w:val="22"/>
          <w:szCs w:val="22"/>
          <w:lang w:val="es-MX" w:eastAsia="en-US"/>
        </w:rPr>
      </w:pPr>
      <w:r w:rsidRPr="40B8FB21">
        <w:rPr>
          <w:rFonts w:cs="Arial"/>
          <w:sz w:val="22"/>
          <w:szCs w:val="22"/>
          <w:lang w:val="es-MX" w:eastAsia="en-US"/>
        </w:rPr>
        <w:t xml:space="preserve">Como tercer subproceso a cargo de esta oficina, se encuentra la </w:t>
      </w:r>
      <w:r>
        <w:rPr>
          <w:rFonts w:cs="Arial"/>
          <w:sz w:val="22"/>
          <w:szCs w:val="22"/>
          <w:lang w:val="es-MX" w:eastAsia="en-US"/>
        </w:rPr>
        <w:t>G</w:t>
      </w:r>
      <w:r w:rsidRPr="40B8FB21">
        <w:rPr>
          <w:rFonts w:cs="Arial"/>
          <w:sz w:val="22"/>
          <w:szCs w:val="22"/>
          <w:lang w:val="es-MX" w:eastAsia="en-US"/>
        </w:rPr>
        <w:t xml:space="preserve">estión de </w:t>
      </w:r>
      <w:r>
        <w:rPr>
          <w:rFonts w:cs="Arial"/>
          <w:sz w:val="22"/>
          <w:szCs w:val="22"/>
          <w:lang w:val="es-MX" w:eastAsia="en-US"/>
        </w:rPr>
        <w:t>R</w:t>
      </w:r>
      <w:r w:rsidRPr="40B8FB21">
        <w:rPr>
          <w:rFonts w:cs="Arial"/>
          <w:sz w:val="22"/>
          <w:szCs w:val="22"/>
          <w:lang w:val="es-MX" w:eastAsia="en-US"/>
        </w:rPr>
        <w:t xml:space="preserve">iesgos, con </w:t>
      </w:r>
      <w:r w:rsidRPr="599CC8C6">
        <w:rPr>
          <w:rFonts w:cs="Arial"/>
          <w:sz w:val="22"/>
          <w:szCs w:val="22"/>
          <w:lang w:val="es-MX" w:eastAsia="en-US"/>
        </w:rPr>
        <w:t>la</w:t>
      </w:r>
      <w:r w:rsidRPr="40B8FB21">
        <w:rPr>
          <w:rFonts w:cs="Arial"/>
          <w:sz w:val="22"/>
          <w:szCs w:val="22"/>
          <w:lang w:val="es-MX" w:eastAsia="en-US"/>
        </w:rPr>
        <w:t xml:space="preserve"> cual se definen los lineamientos para la identificación, valoración y tratamiento de los riesgos institucionales, por medio de la implementación de los controles para prevenir su materialización.</w:t>
      </w:r>
    </w:p>
    <w:p w14:paraId="63AE552A" w14:textId="0D9B75AD" w:rsidR="005D698A" w:rsidRPr="00B524CB" w:rsidRDefault="005D698A" w:rsidP="00C72779">
      <w:pPr>
        <w:jc w:val="both"/>
        <w:textAlignment w:val="baseline"/>
        <w:rPr>
          <w:rFonts w:ascii="Segoe UI" w:hAnsi="Segoe UI" w:cs="Segoe UI"/>
          <w:sz w:val="22"/>
          <w:szCs w:val="22"/>
          <w:lang w:eastAsia="es-CO"/>
        </w:rPr>
      </w:pPr>
    </w:p>
    <w:p w14:paraId="32061875" w14:textId="77777777" w:rsidR="005D698A" w:rsidRPr="00B524CB" w:rsidRDefault="005D698A" w:rsidP="000A20EE">
      <w:pPr>
        <w:pStyle w:val="Prrafodelista"/>
        <w:numPr>
          <w:ilvl w:val="2"/>
          <w:numId w:val="22"/>
        </w:numPr>
        <w:suppressAutoHyphens w:val="0"/>
        <w:rPr>
          <w:rFonts w:cs="Arial"/>
          <w:sz w:val="22"/>
          <w:szCs w:val="22"/>
          <w:lang w:eastAsia="es-CO"/>
        </w:rPr>
      </w:pPr>
      <w:r w:rsidRPr="00B524CB">
        <w:rPr>
          <w:rFonts w:cs="Arial"/>
          <w:b/>
          <w:bCs/>
          <w:sz w:val="22"/>
          <w:szCs w:val="22"/>
          <w:lang w:eastAsia="es-CO"/>
        </w:rPr>
        <w:t>RESULTAD</w:t>
      </w:r>
      <w:r>
        <w:rPr>
          <w:rFonts w:cs="Arial"/>
          <w:b/>
          <w:bCs/>
          <w:sz w:val="22"/>
          <w:szCs w:val="22"/>
          <w:lang w:eastAsia="es-CO"/>
        </w:rPr>
        <w:t>O DEL PROCESO Y LOGROS</w:t>
      </w:r>
    </w:p>
    <w:p w14:paraId="2EE4FF12" w14:textId="77777777" w:rsidR="005D698A" w:rsidRPr="00B524CB" w:rsidRDefault="005D698A" w:rsidP="00C72779">
      <w:pPr>
        <w:suppressAutoHyphens w:val="0"/>
        <w:ind w:left="360"/>
        <w:jc w:val="both"/>
        <w:textAlignment w:val="baseline"/>
        <w:rPr>
          <w:rFonts w:cs="Arial"/>
          <w:sz w:val="22"/>
          <w:szCs w:val="22"/>
          <w:lang w:eastAsia="es-CO"/>
        </w:rPr>
      </w:pPr>
      <w:r w:rsidRPr="00B524CB">
        <w:rPr>
          <w:rFonts w:cs="Arial"/>
          <w:sz w:val="22"/>
          <w:szCs w:val="22"/>
          <w:lang w:eastAsia="es-CO"/>
        </w:rPr>
        <w:t> </w:t>
      </w:r>
    </w:p>
    <w:p w14:paraId="221A22B8" w14:textId="77777777" w:rsidR="005D698A" w:rsidRPr="00B524CB" w:rsidRDefault="005D698A" w:rsidP="00C72779">
      <w:pPr>
        <w:jc w:val="both"/>
        <w:textAlignment w:val="baseline"/>
        <w:rPr>
          <w:rFonts w:ascii="Segoe UI" w:hAnsi="Segoe UI" w:cs="Segoe UI"/>
          <w:sz w:val="22"/>
          <w:szCs w:val="22"/>
          <w:lang w:eastAsia="es-CO"/>
        </w:rPr>
      </w:pPr>
      <w:r w:rsidRPr="00B524CB">
        <w:rPr>
          <w:rFonts w:cs="Arial"/>
          <w:sz w:val="22"/>
          <w:szCs w:val="22"/>
          <w:lang w:val="es-MX" w:eastAsia="es-CO"/>
        </w:rPr>
        <w:t>Dentro del proceso en los temas relacionados con </w:t>
      </w:r>
      <w:r w:rsidRPr="00B524CB">
        <w:rPr>
          <w:rFonts w:cs="Arial"/>
          <w:b/>
          <w:bCs/>
          <w:sz w:val="22"/>
          <w:szCs w:val="22"/>
          <w:lang w:val="es-MX" w:eastAsia="es-CO"/>
        </w:rPr>
        <w:t>Gestión Estratégica</w:t>
      </w:r>
      <w:r w:rsidRPr="00B524CB">
        <w:rPr>
          <w:rFonts w:cs="Arial"/>
          <w:sz w:val="22"/>
          <w:szCs w:val="22"/>
          <w:lang w:val="es-MX" w:eastAsia="es-CO"/>
        </w:rPr>
        <w:t> se alcanzaron los siguientes logros:</w:t>
      </w:r>
      <w:r w:rsidRPr="00B524CB">
        <w:rPr>
          <w:rFonts w:cs="Arial"/>
          <w:sz w:val="22"/>
          <w:szCs w:val="22"/>
          <w:lang w:eastAsia="es-CO"/>
        </w:rPr>
        <w:t> </w:t>
      </w:r>
    </w:p>
    <w:p w14:paraId="5FB2A3C4" w14:textId="77777777" w:rsidR="005D698A" w:rsidRPr="00B524CB" w:rsidRDefault="005D698A" w:rsidP="00C72779">
      <w:pPr>
        <w:jc w:val="both"/>
        <w:textAlignment w:val="baseline"/>
        <w:rPr>
          <w:rFonts w:ascii="Segoe UI" w:hAnsi="Segoe UI" w:cs="Segoe UI"/>
          <w:sz w:val="22"/>
          <w:szCs w:val="22"/>
          <w:lang w:eastAsia="es-CO"/>
        </w:rPr>
      </w:pPr>
      <w:r w:rsidRPr="00B524CB">
        <w:rPr>
          <w:rFonts w:cs="Arial"/>
          <w:sz w:val="22"/>
          <w:szCs w:val="22"/>
          <w:lang w:eastAsia="es-CO"/>
        </w:rPr>
        <w:t> </w:t>
      </w:r>
    </w:p>
    <w:p w14:paraId="63417583" w14:textId="77777777" w:rsidR="005D698A" w:rsidRPr="00307BC1" w:rsidRDefault="005D698A" w:rsidP="000A20EE">
      <w:pPr>
        <w:pStyle w:val="Prrafodelista"/>
        <w:numPr>
          <w:ilvl w:val="0"/>
          <w:numId w:val="31"/>
        </w:numPr>
        <w:suppressAutoHyphens w:val="0"/>
        <w:overflowPunct/>
        <w:autoSpaceDE/>
        <w:spacing w:after="160"/>
        <w:contextualSpacing/>
        <w:rPr>
          <w:rFonts w:cs="Arial"/>
          <w:sz w:val="22"/>
          <w:lang w:eastAsia="es-CO"/>
        </w:rPr>
      </w:pPr>
      <w:r w:rsidRPr="00307BC1">
        <w:rPr>
          <w:rFonts w:cs="Arial"/>
          <w:b/>
          <w:bCs/>
          <w:sz w:val="22"/>
          <w:lang w:val="es-MX" w:eastAsia="es-CO"/>
        </w:rPr>
        <w:t>Consolidación del equipo y delegación de funciones: </w:t>
      </w:r>
      <w:r w:rsidRPr="00307BC1">
        <w:rPr>
          <w:rFonts w:cs="Arial"/>
          <w:sz w:val="22"/>
          <w:lang w:val="es-MX" w:eastAsia="es-CO"/>
        </w:rPr>
        <w:t>Se robustece el equipo de acuerdo a las necesidades del proceso, encaminadas de manera primordial en el seguimiento adecuado de los planes, generación de informes gerenciales y desarrollos tecnológicos en pro de tener una única fuente y repositorio de información.</w:t>
      </w:r>
      <w:r w:rsidRPr="00307BC1">
        <w:rPr>
          <w:rFonts w:cs="Arial"/>
          <w:b/>
          <w:bCs/>
          <w:sz w:val="22"/>
          <w:lang w:val="es-MX" w:eastAsia="es-CO"/>
        </w:rPr>
        <w:t>  </w:t>
      </w:r>
      <w:r w:rsidRPr="00307BC1">
        <w:rPr>
          <w:rFonts w:cs="Arial"/>
          <w:sz w:val="22"/>
          <w:lang w:eastAsia="es-CO"/>
        </w:rPr>
        <w:t> </w:t>
      </w:r>
    </w:p>
    <w:p w14:paraId="6145FE3A" w14:textId="77777777" w:rsidR="005D698A" w:rsidRPr="00307BC1" w:rsidRDefault="005D698A" w:rsidP="000A20EE">
      <w:pPr>
        <w:pStyle w:val="Prrafodelista"/>
        <w:numPr>
          <w:ilvl w:val="0"/>
          <w:numId w:val="31"/>
        </w:numPr>
        <w:suppressAutoHyphens w:val="0"/>
        <w:overflowPunct/>
        <w:autoSpaceDE/>
        <w:spacing w:after="160"/>
        <w:contextualSpacing/>
        <w:rPr>
          <w:rFonts w:ascii="Calibri" w:hAnsi="Calibri" w:cs="Calibri"/>
          <w:sz w:val="22"/>
          <w:lang w:eastAsia="es-CO"/>
        </w:rPr>
      </w:pPr>
      <w:r w:rsidRPr="00307BC1">
        <w:rPr>
          <w:rFonts w:cs="Arial"/>
          <w:b/>
          <w:bCs/>
          <w:sz w:val="22"/>
          <w:lang w:val="es-MX" w:eastAsia="es-CO"/>
        </w:rPr>
        <w:t>Creación de herramienta de gestión </w:t>
      </w:r>
      <w:r w:rsidRPr="00307BC1">
        <w:rPr>
          <w:rFonts w:cs="Arial"/>
          <w:b/>
          <w:bCs/>
          <w:i/>
          <w:iCs/>
          <w:sz w:val="22"/>
          <w:lang w:val="es-MX" w:eastAsia="es-CO"/>
        </w:rPr>
        <w:t>“IGACDATA”</w:t>
      </w:r>
      <w:r w:rsidRPr="00307BC1">
        <w:rPr>
          <w:rFonts w:cs="Arial"/>
          <w:b/>
          <w:bCs/>
          <w:sz w:val="22"/>
          <w:lang w:val="es-MX" w:eastAsia="es-CO"/>
        </w:rPr>
        <w:t>:  </w:t>
      </w:r>
      <w:r w:rsidRPr="00307BC1">
        <w:rPr>
          <w:rFonts w:cs="Arial"/>
          <w:sz w:val="22"/>
          <w:lang w:val="es-MX" w:eastAsia="es-CO"/>
        </w:rPr>
        <w:t>Se crea herramienta de seguimiento del presupuesto y metas asociadas al cumplimiento de los planes de acción por proceso de la Entidad, dado que  una de las principales actividades que se realizan desde el proceso tiene que ver con el apoyo en la formulación de los proyectos de inversión de la Entidad, así como su seguimiento y evaluación respecto al cumplimiento en metas y en el presupuesto, organización y presentación de cifras desde el aspecto cuantitativo y cualitativo, lográndose con la herramienta:</w:t>
      </w:r>
      <w:r w:rsidRPr="00307BC1">
        <w:rPr>
          <w:rFonts w:cs="Arial"/>
          <w:sz w:val="22"/>
          <w:lang w:eastAsia="es-CO"/>
        </w:rPr>
        <w:t> </w:t>
      </w:r>
    </w:p>
    <w:p w14:paraId="5536D687" w14:textId="77777777" w:rsidR="005D698A" w:rsidRDefault="005D698A" w:rsidP="00C72779">
      <w:pPr>
        <w:jc w:val="both"/>
        <w:textAlignment w:val="baseline"/>
        <w:rPr>
          <w:lang w:eastAsia="es-CO"/>
        </w:rPr>
      </w:pPr>
    </w:p>
    <w:p w14:paraId="78F5FB66" w14:textId="77777777" w:rsidR="00307BC1" w:rsidRDefault="00307BC1" w:rsidP="00C72779">
      <w:pPr>
        <w:jc w:val="both"/>
        <w:textAlignment w:val="baseline"/>
        <w:rPr>
          <w:lang w:eastAsia="es-CO"/>
        </w:rPr>
      </w:pPr>
    </w:p>
    <w:p w14:paraId="0CD4FFC0" w14:textId="77777777" w:rsidR="005D698A" w:rsidRDefault="005D698A" w:rsidP="000A20EE">
      <w:pPr>
        <w:numPr>
          <w:ilvl w:val="0"/>
          <w:numId w:val="41"/>
        </w:numPr>
        <w:suppressAutoHyphens w:val="0"/>
        <w:ind w:left="360" w:firstLine="0"/>
        <w:jc w:val="both"/>
        <w:textAlignment w:val="baseline"/>
        <w:rPr>
          <w:rFonts w:cs="Arial"/>
          <w:sz w:val="22"/>
          <w:szCs w:val="22"/>
          <w:lang w:eastAsia="es-CO"/>
        </w:rPr>
      </w:pPr>
      <w:r w:rsidRPr="00B524CB">
        <w:rPr>
          <w:rFonts w:cs="Arial"/>
          <w:sz w:val="22"/>
          <w:szCs w:val="22"/>
          <w:lang w:val="es-MX" w:eastAsia="es-CO"/>
        </w:rPr>
        <w:lastRenderedPageBreak/>
        <w:t>Menú inicial que permitiera visualizar y navegar entre los campos de acceso a la diferente información incorporada en la herramienta.</w:t>
      </w:r>
      <w:r w:rsidRPr="00B524CB">
        <w:rPr>
          <w:rFonts w:cs="Arial"/>
          <w:sz w:val="22"/>
          <w:szCs w:val="22"/>
          <w:lang w:eastAsia="es-CO"/>
        </w:rPr>
        <w:t> </w:t>
      </w:r>
    </w:p>
    <w:p w14:paraId="6DDEE28A" w14:textId="77777777" w:rsidR="00395FF2" w:rsidRDefault="00395FF2" w:rsidP="00395FF2">
      <w:pPr>
        <w:suppressAutoHyphens w:val="0"/>
        <w:jc w:val="both"/>
        <w:textAlignment w:val="baseline"/>
        <w:rPr>
          <w:rFonts w:cs="Arial"/>
          <w:sz w:val="22"/>
          <w:szCs w:val="22"/>
          <w:lang w:eastAsia="es-CO"/>
        </w:rPr>
      </w:pPr>
    </w:p>
    <w:p w14:paraId="60F71BA6" w14:textId="017D3CB4" w:rsidR="00395FF2" w:rsidRDefault="00395FF2" w:rsidP="00395FF2">
      <w:pPr>
        <w:suppressAutoHyphens w:val="0"/>
        <w:jc w:val="both"/>
        <w:textAlignment w:val="baseline"/>
        <w:rPr>
          <w:rFonts w:cs="Arial"/>
          <w:sz w:val="22"/>
          <w:szCs w:val="22"/>
          <w:lang w:eastAsia="es-CO"/>
        </w:rPr>
      </w:pPr>
    </w:p>
    <w:p w14:paraId="62640E70" w14:textId="77777777" w:rsidR="005D698A" w:rsidRPr="00B524CB" w:rsidRDefault="005D698A" w:rsidP="00C72779">
      <w:pPr>
        <w:suppressAutoHyphens w:val="0"/>
        <w:ind w:left="360"/>
        <w:jc w:val="both"/>
        <w:textAlignment w:val="baseline"/>
        <w:rPr>
          <w:rFonts w:cs="Arial"/>
          <w:sz w:val="22"/>
          <w:szCs w:val="22"/>
          <w:lang w:eastAsia="es-CO"/>
        </w:rPr>
      </w:pPr>
    </w:p>
    <w:p w14:paraId="338AC68A" w14:textId="77777777" w:rsidR="005D698A" w:rsidRDefault="005D698A" w:rsidP="00C72779">
      <w:pPr>
        <w:jc w:val="center"/>
      </w:pPr>
      <w:r>
        <w:rPr>
          <w:noProof/>
          <w:lang w:val="es-CO" w:eastAsia="es-CO"/>
        </w:rPr>
        <w:drawing>
          <wp:inline distT="0" distB="0" distL="0" distR="0" wp14:anchorId="6E92FB44" wp14:editId="27EE4EB6">
            <wp:extent cx="4572000" cy="2543175"/>
            <wp:effectExtent l="0" t="0" r="0" b="0"/>
            <wp:docPr id="1793703120" name="Imagen 1793703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93703120"/>
                    <pic:cNvPicPr/>
                  </pic:nvPicPr>
                  <pic:blipFill>
                    <a:blip r:embed="rId185">
                      <a:extLst>
                        <a:ext uri="{28A0092B-C50C-407E-A947-70E740481C1C}">
                          <a14:useLocalDpi xmlns:a14="http://schemas.microsoft.com/office/drawing/2010/main" val="0"/>
                        </a:ext>
                      </a:extLst>
                    </a:blip>
                    <a:stretch>
                      <a:fillRect/>
                    </a:stretch>
                  </pic:blipFill>
                  <pic:spPr>
                    <a:xfrm>
                      <a:off x="0" y="0"/>
                      <a:ext cx="4572000" cy="2543175"/>
                    </a:xfrm>
                    <a:prstGeom prst="rect">
                      <a:avLst/>
                    </a:prstGeom>
                  </pic:spPr>
                </pic:pic>
              </a:graphicData>
            </a:graphic>
          </wp:inline>
        </w:drawing>
      </w:r>
    </w:p>
    <w:p w14:paraId="6DEF6C87" w14:textId="77777777" w:rsidR="005D698A" w:rsidRPr="00FC6E9B" w:rsidRDefault="005D698A" w:rsidP="00C72779">
      <w:pPr>
        <w:jc w:val="center"/>
      </w:pPr>
    </w:p>
    <w:p w14:paraId="1523736D" w14:textId="77777777" w:rsidR="005D698A" w:rsidRDefault="005D698A" w:rsidP="000A20EE">
      <w:pPr>
        <w:pStyle w:val="Prrafodelista"/>
        <w:numPr>
          <w:ilvl w:val="0"/>
          <w:numId w:val="41"/>
        </w:numPr>
        <w:suppressAutoHyphens w:val="0"/>
        <w:overflowPunct/>
        <w:autoSpaceDE/>
        <w:spacing w:after="160"/>
        <w:contextualSpacing/>
        <w:textAlignment w:val="auto"/>
        <w:rPr>
          <w:rFonts w:eastAsia="Arial" w:cs="Arial"/>
          <w:b/>
          <w:bCs/>
          <w:lang w:val="es-MX"/>
        </w:rPr>
      </w:pPr>
      <w:r w:rsidRPr="40B8FB21">
        <w:rPr>
          <w:rFonts w:eastAsia="Arial" w:cs="Arial"/>
          <w:lang w:val="es-MX"/>
        </w:rPr>
        <w:t>Consultar en tiempo real la información referente a ejecución del presupuesto de la entidad.</w:t>
      </w:r>
    </w:p>
    <w:p w14:paraId="0C0FE428" w14:textId="77777777" w:rsidR="005D698A" w:rsidRDefault="005D698A" w:rsidP="00C72779">
      <w:pPr>
        <w:jc w:val="center"/>
      </w:pPr>
      <w:r>
        <w:rPr>
          <w:noProof/>
          <w:lang w:val="es-CO" w:eastAsia="es-CO"/>
        </w:rPr>
        <w:drawing>
          <wp:anchor distT="0" distB="0" distL="114300" distR="114300" simplePos="0" relativeHeight="251658249" behindDoc="0" locked="0" layoutInCell="1" allowOverlap="1" wp14:anchorId="79FCC0DB" wp14:editId="7C4E5416">
            <wp:simplePos x="0" y="0"/>
            <wp:positionH relativeFrom="column">
              <wp:posOffset>812800</wp:posOffset>
            </wp:positionH>
            <wp:positionV relativeFrom="paragraph">
              <wp:posOffset>157480</wp:posOffset>
            </wp:positionV>
            <wp:extent cx="4749165" cy="2848610"/>
            <wp:effectExtent l="0" t="0" r="0" b="8890"/>
            <wp:wrapSquare wrapText="bothSides"/>
            <wp:docPr id="142354086" name="Imagen 142354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2354086"/>
                    <pic:cNvPicPr/>
                  </pic:nvPicPr>
                  <pic:blipFill rotWithShape="1">
                    <a:blip r:embed="rId186">
                      <a:extLst>
                        <a:ext uri="{28A0092B-C50C-407E-A947-70E740481C1C}">
                          <a14:useLocalDpi xmlns:a14="http://schemas.microsoft.com/office/drawing/2010/main" val="0"/>
                        </a:ext>
                      </a:extLst>
                    </a:blip>
                    <a:srcRect b="723"/>
                    <a:stretch/>
                  </pic:blipFill>
                  <pic:spPr bwMode="auto">
                    <a:xfrm>
                      <a:off x="0" y="0"/>
                      <a:ext cx="4749165" cy="28486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B097EA" w14:textId="77777777" w:rsidR="005D698A" w:rsidRDefault="005D698A" w:rsidP="00C72779">
      <w:pPr>
        <w:jc w:val="center"/>
      </w:pPr>
    </w:p>
    <w:p w14:paraId="09C0CD7E" w14:textId="77777777" w:rsidR="005D698A" w:rsidRDefault="005D698A" w:rsidP="00C72779">
      <w:pPr>
        <w:jc w:val="center"/>
      </w:pPr>
    </w:p>
    <w:p w14:paraId="44981A50" w14:textId="77777777" w:rsidR="005D698A" w:rsidRDefault="005D698A" w:rsidP="00C72779">
      <w:pPr>
        <w:jc w:val="center"/>
      </w:pPr>
    </w:p>
    <w:p w14:paraId="1A364A1A" w14:textId="77777777" w:rsidR="005D698A" w:rsidRDefault="005D698A" w:rsidP="00C72779">
      <w:pPr>
        <w:jc w:val="center"/>
      </w:pPr>
    </w:p>
    <w:p w14:paraId="2FC59586" w14:textId="77777777" w:rsidR="005D698A" w:rsidRDefault="005D698A" w:rsidP="00C72779">
      <w:pPr>
        <w:jc w:val="center"/>
      </w:pPr>
    </w:p>
    <w:p w14:paraId="4A05F37F" w14:textId="77777777" w:rsidR="005D698A" w:rsidRDefault="005D698A" w:rsidP="00C72779">
      <w:pPr>
        <w:jc w:val="center"/>
      </w:pPr>
    </w:p>
    <w:p w14:paraId="615B235B" w14:textId="77777777" w:rsidR="005D698A" w:rsidRDefault="005D698A" w:rsidP="00C72779">
      <w:pPr>
        <w:jc w:val="center"/>
      </w:pPr>
    </w:p>
    <w:p w14:paraId="00683A32" w14:textId="77777777" w:rsidR="005D698A" w:rsidRDefault="005D698A" w:rsidP="00C72779">
      <w:pPr>
        <w:jc w:val="center"/>
      </w:pPr>
    </w:p>
    <w:p w14:paraId="398D455D" w14:textId="77777777" w:rsidR="005D698A" w:rsidRDefault="005D698A" w:rsidP="00C72779">
      <w:pPr>
        <w:jc w:val="center"/>
      </w:pPr>
    </w:p>
    <w:p w14:paraId="7BAAD946" w14:textId="77777777" w:rsidR="005D698A" w:rsidRDefault="005D698A" w:rsidP="00C72779">
      <w:pPr>
        <w:jc w:val="center"/>
      </w:pPr>
    </w:p>
    <w:p w14:paraId="645E4E82" w14:textId="77777777" w:rsidR="005D698A" w:rsidRDefault="005D698A" w:rsidP="00C72779">
      <w:pPr>
        <w:jc w:val="center"/>
      </w:pPr>
    </w:p>
    <w:p w14:paraId="10F6C9A4" w14:textId="77777777" w:rsidR="005D698A" w:rsidRDefault="005D698A" w:rsidP="00C72779">
      <w:pPr>
        <w:jc w:val="center"/>
      </w:pPr>
    </w:p>
    <w:p w14:paraId="66A24815" w14:textId="77777777" w:rsidR="005D698A" w:rsidRDefault="005D698A" w:rsidP="00C72779">
      <w:pPr>
        <w:jc w:val="center"/>
      </w:pPr>
    </w:p>
    <w:p w14:paraId="7AB42D9C" w14:textId="77777777" w:rsidR="005D698A" w:rsidRDefault="005D698A" w:rsidP="00C72779">
      <w:pPr>
        <w:jc w:val="center"/>
      </w:pPr>
    </w:p>
    <w:p w14:paraId="6D46ADA9" w14:textId="77777777" w:rsidR="005D698A" w:rsidRDefault="005D698A" w:rsidP="00C72779">
      <w:pPr>
        <w:jc w:val="center"/>
      </w:pPr>
    </w:p>
    <w:p w14:paraId="4B810D20" w14:textId="77777777" w:rsidR="005D698A" w:rsidRPr="00084D48" w:rsidRDefault="005D698A" w:rsidP="000A20EE">
      <w:pPr>
        <w:pStyle w:val="Prrafodelista"/>
        <w:numPr>
          <w:ilvl w:val="0"/>
          <w:numId w:val="41"/>
        </w:numPr>
        <w:suppressAutoHyphens w:val="0"/>
        <w:overflowPunct/>
        <w:autoSpaceDE/>
        <w:spacing w:after="160"/>
        <w:contextualSpacing/>
        <w:textAlignment w:val="auto"/>
        <w:rPr>
          <w:rFonts w:eastAsia="Arial" w:cs="Arial"/>
          <w:b/>
          <w:bCs/>
          <w:lang w:val="es-MX"/>
        </w:rPr>
      </w:pPr>
      <w:r>
        <w:rPr>
          <w:noProof/>
          <w:lang w:val="es-CO" w:eastAsia="es-CO"/>
        </w:rPr>
        <w:lastRenderedPageBreak/>
        <w:drawing>
          <wp:anchor distT="0" distB="0" distL="114300" distR="114300" simplePos="0" relativeHeight="251658250" behindDoc="0" locked="0" layoutInCell="1" allowOverlap="1" wp14:anchorId="6A8046B8" wp14:editId="63FCC421">
            <wp:simplePos x="0" y="0"/>
            <wp:positionH relativeFrom="margin">
              <wp:align>left</wp:align>
            </wp:positionH>
            <wp:positionV relativeFrom="paragraph">
              <wp:posOffset>279400</wp:posOffset>
            </wp:positionV>
            <wp:extent cx="6115050" cy="3019306"/>
            <wp:effectExtent l="0" t="0" r="0" b="0"/>
            <wp:wrapSquare wrapText="bothSides"/>
            <wp:docPr id="347217233" name="Imagen 347217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7217233"/>
                    <pic:cNvPicPr/>
                  </pic:nvPicPr>
                  <pic:blipFill>
                    <a:blip r:embed="rId187">
                      <a:extLst>
                        <a:ext uri="{28A0092B-C50C-407E-A947-70E740481C1C}">
                          <a14:useLocalDpi xmlns:a14="http://schemas.microsoft.com/office/drawing/2010/main" val="0"/>
                        </a:ext>
                      </a:extLst>
                    </a:blip>
                    <a:stretch>
                      <a:fillRect/>
                    </a:stretch>
                  </pic:blipFill>
                  <pic:spPr>
                    <a:xfrm>
                      <a:off x="0" y="0"/>
                      <a:ext cx="6115050" cy="3019306"/>
                    </a:xfrm>
                    <a:prstGeom prst="rect">
                      <a:avLst/>
                    </a:prstGeom>
                  </pic:spPr>
                </pic:pic>
              </a:graphicData>
            </a:graphic>
            <wp14:sizeRelH relativeFrom="page">
              <wp14:pctWidth>0</wp14:pctWidth>
            </wp14:sizeRelH>
            <wp14:sizeRelV relativeFrom="page">
              <wp14:pctHeight>0</wp14:pctHeight>
            </wp14:sizeRelV>
          </wp:anchor>
        </w:drawing>
      </w:r>
      <w:r w:rsidRPr="00084D48">
        <w:rPr>
          <w:rFonts w:eastAsia="Arial" w:cs="Arial"/>
          <w:lang w:val="es-MX"/>
        </w:rPr>
        <w:t>Creación de módulo de seguimiento a reservas presupuestales.</w:t>
      </w:r>
    </w:p>
    <w:p w14:paraId="30E171A6" w14:textId="77777777" w:rsidR="005D698A" w:rsidRPr="00307BC1" w:rsidRDefault="005D698A" w:rsidP="00C72779">
      <w:pPr>
        <w:jc w:val="both"/>
        <w:rPr>
          <w:rFonts w:eastAsia="Calibri"/>
          <w:sz w:val="28"/>
        </w:rPr>
      </w:pPr>
    </w:p>
    <w:p w14:paraId="53D1ABCB" w14:textId="77777777" w:rsidR="005D698A" w:rsidRPr="00307BC1" w:rsidRDefault="005D698A" w:rsidP="000A20EE">
      <w:pPr>
        <w:pStyle w:val="Prrafodelista"/>
        <w:numPr>
          <w:ilvl w:val="0"/>
          <w:numId w:val="41"/>
        </w:numPr>
        <w:suppressAutoHyphens w:val="0"/>
        <w:overflowPunct/>
        <w:autoSpaceDE/>
        <w:spacing w:after="160"/>
        <w:contextualSpacing/>
        <w:textAlignment w:val="auto"/>
        <w:rPr>
          <w:rFonts w:eastAsia="Arial" w:cs="Arial"/>
          <w:b/>
          <w:bCs/>
          <w:sz w:val="22"/>
          <w:lang w:val="es-MX"/>
        </w:rPr>
      </w:pPr>
      <w:r w:rsidRPr="00307BC1">
        <w:rPr>
          <w:rFonts w:eastAsia="Arial" w:cs="Arial"/>
          <w:sz w:val="22"/>
          <w:lang w:val="es-MX"/>
        </w:rPr>
        <w:t>Creación del módulo Ahorros Plan de Compras que permite llevar la trazabilidad del cumplimiento de la ejecución del plan a nivel del presupuesto ejecutado vs el programado.</w:t>
      </w:r>
    </w:p>
    <w:p w14:paraId="2DB87752" w14:textId="77777777" w:rsidR="005D698A" w:rsidRPr="00307BC1" w:rsidRDefault="005D698A" w:rsidP="000A20EE">
      <w:pPr>
        <w:pStyle w:val="Prrafodelista"/>
        <w:numPr>
          <w:ilvl w:val="0"/>
          <w:numId w:val="41"/>
        </w:numPr>
        <w:suppressAutoHyphens w:val="0"/>
        <w:overflowPunct/>
        <w:autoSpaceDE/>
        <w:spacing w:after="160"/>
        <w:contextualSpacing/>
        <w:textAlignment w:val="auto"/>
        <w:rPr>
          <w:b/>
          <w:bCs/>
          <w:color w:val="000000" w:themeColor="text1"/>
          <w:sz w:val="22"/>
          <w:lang w:val="es-MX"/>
        </w:rPr>
      </w:pPr>
      <w:r w:rsidRPr="00307BC1">
        <w:rPr>
          <w:rFonts w:eastAsia="Arial" w:cs="Arial"/>
          <w:sz w:val="22"/>
          <w:lang w:val="es-MX"/>
        </w:rPr>
        <w:t>Consolidar la información proveniente de diferentes fuentes de información, generando uniformidad y confiabilidad de la misma y así asegurando su trazabilidad.</w:t>
      </w:r>
    </w:p>
    <w:p w14:paraId="18C63FD6"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Implementación de PLANIGAC:</w:t>
      </w:r>
      <w:r w:rsidRPr="00B524CB">
        <w:rPr>
          <w:rFonts w:cs="Arial"/>
          <w:sz w:val="22"/>
          <w:szCs w:val="22"/>
          <w:lang w:val="es-MX" w:eastAsia="es-CO"/>
        </w:rPr>
        <w:t xml:space="preserve"> Con el objetivo de facilitar el reporte, análisis y acceso a la información de los planes de acción anual y de la gestión de riesgos de la Entidad, desde el proceso de </w:t>
      </w:r>
      <w:r>
        <w:rPr>
          <w:rFonts w:cs="Arial"/>
          <w:sz w:val="22"/>
          <w:szCs w:val="22"/>
          <w:lang w:val="es-MX" w:eastAsia="es-CO"/>
        </w:rPr>
        <w:t>D</w:t>
      </w:r>
      <w:r w:rsidRPr="00B524CB">
        <w:rPr>
          <w:rFonts w:cs="Arial"/>
          <w:sz w:val="22"/>
          <w:szCs w:val="22"/>
          <w:lang w:val="es-MX" w:eastAsia="es-CO"/>
        </w:rPr>
        <w:t xml:space="preserve">ireccionamiento </w:t>
      </w:r>
      <w:r>
        <w:rPr>
          <w:rFonts w:cs="Arial"/>
          <w:sz w:val="22"/>
          <w:szCs w:val="22"/>
          <w:lang w:val="es-MX" w:eastAsia="es-CO"/>
        </w:rPr>
        <w:t>E</w:t>
      </w:r>
      <w:r w:rsidRPr="00B524CB">
        <w:rPr>
          <w:rFonts w:cs="Arial"/>
          <w:sz w:val="22"/>
          <w:szCs w:val="22"/>
          <w:lang w:val="es-MX" w:eastAsia="es-CO"/>
        </w:rPr>
        <w:t>stratégico y planeación se desarrolló una herramienta que permite la automatización de reportes y facilita el acceso a la información, adicionalmente, se crearon dentro de la herramienta perfiles para el seguimiento y evaluación desde las Oficinas de control interno y Asesora de Planeación, como resultado de esto cada trimestre se genera a través de la herramienta el consolidado del avance de la Entidad y se presenta en Comité Institucional de Gestión y Desempeño.</w:t>
      </w:r>
      <w:r w:rsidRPr="00B524CB">
        <w:rPr>
          <w:rFonts w:cs="Arial"/>
          <w:sz w:val="22"/>
          <w:szCs w:val="22"/>
          <w:lang w:eastAsia="es-CO"/>
        </w:rPr>
        <w:t> </w:t>
      </w:r>
    </w:p>
    <w:p w14:paraId="088BAD51"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Implementación de PLANNER:</w:t>
      </w:r>
      <w:r w:rsidRPr="00B524CB">
        <w:rPr>
          <w:rFonts w:cs="Arial"/>
          <w:sz w:val="22"/>
          <w:szCs w:val="22"/>
          <w:lang w:val="es-MX" w:eastAsia="es-CO"/>
        </w:rPr>
        <w:t> Uno de los grandes cambios llevados a cabo en el marco del mejoramiento al</w:t>
      </w:r>
      <w:r>
        <w:rPr>
          <w:rFonts w:cs="Arial"/>
          <w:sz w:val="22"/>
          <w:szCs w:val="22"/>
          <w:lang w:val="es-MX" w:eastAsia="es-CO"/>
        </w:rPr>
        <w:t xml:space="preserve"> </w:t>
      </w:r>
      <w:r w:rsidRPr="00B524CB">
        <w:rPr>
          <w:rFonts w:cs="Arial"/>
          <w:sz w:val="22"/>
          <w:szCs w:val="22"/>
          <w:lang w:val="es-MX" w:eastAsia="es-CO"/>
        </w:rPr>
        <w:t>SGI, fue la implementación de Planner como un mecanismo para la gestión de acciones correctivas y de mejora de la entidad. Para lo anterior, se llevó a cabo un plan de migración de la información contenida en la anterior plataforma SOFIGAC.</w:t>
      </w:r>
      <w:r w:rsidRPr="00B524CB">
        <w:rPr>
          <w:rFonts w:cs="Arial"/>
          <w:sz w:val="22"/>
          <w:szCs w:val="22"/>
          <w:lang w:eastAsia="es-CO"/>
        </w:rPr>
        <w:t> </w:t>
      </w:r>
    </w:p>
    <w:p w14:paraId="7184B538"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Creación y</w:t>
      </w:r>
      <w:r w:rsidRPr="00B524CB">
        <w:rPr>
          <w:rFonts w:ascii="Calibri" w:hAnsi="Calibri" w:cs="Calibri"/>
          <w:sz w:val="22"/>
          <w:szCs w:val="22"/>
          <w:lang w:val="es-MX" w:eastAsia="es-CO"/>
        </w:rPr>
        <w:t> </w:t>
      </w:r>
      <w:r w:rsidRPr="00B524CB">
        <w:rPr>
          <w:rFonts w:cs="Arial"/>
          <w:b/>
          <w:bCs/>
          <w:sz w:val="22"/>
          <w:szCs w:val="22"/>
          <w:lang w:val="es-MX" w:eastAsia="es-CO"/>
        </w:rPr>
        <w:t>organización del Plan Operativo Anual de Inversiones - POAI </w:t>
      </w:r>
      <w:r w:rsidRPr="00B524CB">
        <w:rPr>
          <w:rFonts w:cs="Arial"/>
          <w:sz w:val="22"/>
          <w:szCs w:val="22"/>
          <w:lang w:val="es-MX" w:eastAsia="es-CO"/>
        </w:rPr>
        <w:t>adicionando en detalle toda la información presupuestal de los proyectos de inversión, productos y actividades dentro de los mismos, al igual que las metas asociadas a nivel de Plan Nacional de Desarrollo – PND y a nivel de proyectos.  </w:t>
      </w:r>
      <w:r w:rsidRPr="00B524CB">
        <w:rPr>
          <w:rFonts w:cs="Arial"/>
          <w:sz w:val="22"/>
          <w:szCs w:val="22"/>
          <w:lang w:eastAsia="es-CO"/>
        </w:rPr>
        <w:t> </w:t>
      </w:r>
    </w:p>
    <w:p w14:paraId="0B291969" w14:textId="77777777" w:rsidR="005D698A" w:rsidRPr="00B524CB" w:rsidRDefault="005D698A" w:rsidP="000A20EE">
      <w:pPr>
        <w:numPr>
          <w:ilvl w:val="0"/>
          <w:numId w:val="42"/>
        </w:numPr>
        <w:suppressAutoHyphens w:val="0"/>
        <w:jc w:val="both"/>
        <w:textAlignment w:val="baseline"/>
        <w:rPr>
          <w:rFonts w:ascii="MS Mincho" w:eastAsia="MS Mincho" w:hAnsi="Verdana" w:cs="Segoe UI"/>
          <w:sz w:val="22"/>
          <w:szCs w:val="22"/>
          <w:lang w:eastAsia="es-CO"/>
        </w:rPr>
      </w:pPr>
      <w:r w:rsidRPr="00B524CB">
        <w:rPr>
          <w:rFonts w:eastAsia="MS Mincho" w:cs="Arial"/>
          <w:b/>
          <w:bCs/>
          <w:sz w:val="22"/>
          <w:szCs w:val="22"/>
          <w:lang w:eastAsia="es-CO"/>
        </w:rPr>
        <w:t>Definición de lineamientos </w:t>
      </w:r>
      <w:r w:rsidRPr="00B524CB">
        <w:rPr>
          <w:rFonts w:eastAsia="MS Mincho" w:cs="Arial"/>
          <w:sz w:val="22"/>
          <w:szCs w:val="22"/>
          <w:lang w:eastAsia="es-CO"/>
        </w:rPr>
        <w:t>a las direcciones acerca de la forma como se deben realizar los reportes de metas PND, permitiendo realizar el seguimiento concienzudo durante cada vigencia, logrando así que se tenga acceso a información real y adaptada a todas las actividades misionales que se ejecutan.</w:t>
      </w:r>
      <w:r w:rsidRPr="00B524CB">
        <w:rPr>
          <w:rFonts w:ascii="Calibri" w:eastAsia="MS Mincho" w:hAnsi="Calibri" w:cs="Calibri"/>
          <w:sz w:val="22"/>
          <w:szCs w:val="22"/>
          <w:lang w:eastAsia="es-CO"/>
        </w:rPr>
        <w:t>  </w:t>
      </w:r>
    </w:p>
    <w:p w14:paraId="42C0928F"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Acompañamiento a la alta dirección</w:t>
      </w:r>
      <w:r w:rsidRPr="00B524CB">
        <w:rPr>
          <w:rFonts w:cs="Arial"/>
          <w:sz w:val="22"/>
          <w:szCs w:val="22"/>
          <w:lang w:val="es-MX" w:eastAsia="es-CO"/>
        </w:rPr>
        <w:t>, en la formulación y socialización de la nueva plataforma estratégica de la Entidad (Propósito Central, Objetivo Retador, Objetivos institucionales y estrategias).</w:t>
      </w:r>
      <w:r w:rsidRPr="00B524CB">
        <w:rPr>
          <w:rFonts w:cs="Arial"/>
          <w:sz w:val="22"/>
          <w:szCs w:val="22"/>
          <w:lang w:eastAsia="es-CO"/>
        </w:rPr>
        <w:t> </w:t>
      </w:r>
    </w:p>
    <w:p w14:paraId="70C34160"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lastRenderedPageBreak/>
        <w:t>Alineación de los diferentes indicadores, metas y compromisos</w:t>
      </w:r>
      <w:r w:rsidRPr="00B524CB">
        <w:rPr>
          <w:rFonts w:cs="Arial"/>
          <w:sz w:val="22"/>
          <w:szCs w:val="22"/>
          <w:lang w:val="es-MX" w:eastAsia="es-CO"/>
        </w:rPr>
        <w:t> que tiene a cargo el IGAC con el objetivo de facilitar el reporte de la información y el acceso a la misma, por medio del análisis de los mismos, identificando fuentes de información comunes y generación de herramientas de fácil uso y consulta.</w:t>
      </w:r>
      <w:r w:rsidRPr="00B524CB">
        <w:rPr>
          <w:rFonts w:cs="Arial"/>
          <w:sz w:val="22"/>
          <w:szCs w:val="22"/>
          <w:lang w:eastAsia="es-CO"/>
        </w:rPr>
        <w:t> </w:t>
      </w:r>
    </w:p>
    <w:p w14:paraId="0DB00061" w14:textId="77777777" w:rsidR="005D698A" w:rsidRPr="00B524CB" w:rsidRDefault="005D698A" w:rsidP="000A20EE">
      <w:pPr>
        <w:numPr>
          <w:ilvl w:val="0"/>
          <w:numId w:val="42"/>
        </w:numPr>
        <w:suppressAutoHyphens w:val="0"/>
        <w:jc w:val="both"/>
        <w:textAlignment w:val="baseline"/>
        <w:rPr>
          <w:rFonts w:ascii="Calibri" w:hAnsi="Calibri" w:cs="Calibri"/>
          <w:sz w:val="22"/>
          <w:szCs w:val="22"/>
          <w:lang w:eastAsia="es-CO"/>
        </w:rPr>
      </w:pPr>
      <w:r w:rsidRPr="00B524CB">
        <w:rPr>
          <w:rFonts w:cs="Arial"/>
          <w:b/>
          <w:bCs/>
          <w:sz w:val="22"/>
          <w:szCs w:val="22"/>
          <w:lang w:val="es-MX" w:eastAsia="es-CO"/>
        </w:rPr>
        <w:t>Construcción de tablero de mando</w:t>
      </w:r>
      <w:r w:rsidRPr="00B524CB">
        <w:rPr>
          <w:rFonts w:cs="Arial"/>
          <w:sz w:val="22"/>
          <w:szCs w:val="22"/>
          <w:lang w:val="es-MX" w:eastAsia="es-CO"/>
        </w:rPr>
        <w:t> con el fin de automatizar los reportes de avance de las estrategias, objetivos estratégicos e indicadores que hacen parte del marco estratégico del IGAC, para el periodo 2018-2022.</w:t>
      </w:r>
      <w:r w:rsidRPr="00B524CB">
        <w:rPr>
          <w:rFonts w:cs="Arial"/>
          <w:sz w:val="22"/>
          <w:szCs w:val="22"/>
          <w:lang w:eastAsia="es-CO"/>
        </w:rPr>
        <w:t> </w:t>
      </w:r>
    </w:p>
    <w:p w14:paraId="340B507F"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Asesoría y acompañamiento permanente</w:t>
      </w:r>
      <w:r w:rsidRPr="00B524CB">
        <w:rPr>
          <w:rFonts w:cs="Arial"/>
          <w:sz w:val="22"/>
          <w:szCs w:val="22"/>
          <w:lang w:val="es-MX" w:eastAsia="es-CO"/>
        </w:rPr>
        <w:t> a las áreas técnicas a cargo de los indicadores de actualización catastral, cartografía básica y caracterización geográfica, en el proceso de ajuste y actualización de los metadatos de estos indicadores. Así mismo, se llevaron a cabo las gestiones y acciones necesarias ante el DNP para adelantar el trámite establecido. Dichas gestiones dieron como resultado concepto favorable de los ajustes requeridos impactando en la reducción del rezago que se presentaba en términos de generación de cartografía básica, estudios de caracterización geográfica y actualización catastral de los diferentes municipios del país.</w:t>
      </w:r>
      <w:r w:rsidRPr="00B524CB">
        <w:rPr>
          <w:rFonts w:cs="Arial"/>
          <w:sz w:val="22"/>
          <w:szCs w:val="22"/>
          <w:lang w:eastAsia="es-CO"/>
        </w:rPr>
        <w:t> </w:t>
      </w:r>
    </w:p>
    <w:p w14:paraId="311BE803" w14:textId="77777777" w:rsidR="005D698A" w:rsidRPr="00B524CB" w:rsidRDefault="005D698A" w:rsidP="000A20EE">
      <w:pPr>
        <w:numPr>
          <w:ilvl w:val="0"/>
          <w:numId w:val="42"/>
        </w:numPr>
        <w:suppressAutoHyphens w:val="0"/>
        <w:jc w:val="both"/>
        <w:textAlignment w:val="baseline"/>
        <w:rPr>
          <w:rFonts w:ascii="Calibri" w:hAnsi="Calibri" w:cs="Calibri"/>
          <w:sz w:val="22"/>
          <w:szCs w:val="22"/>
          <w:lang w:eastAsia="es-CO"/>
        </w:rPr>
      </w:pPr>
      <w:r w:rsidRPr="00B524CB">
        <w:rPr>
          <w:rFonts w:cs="Arial"/>
          <w:b/>
          <w:bCs/>
          <w:sz w:val="22"/>
          <w:szCs w:val="22"/>
          <w:lang w:val="es-MX" w:eastAsia="es-CO"/>
        </w:rPr>
        <w:t>Adhesión del IGAC a Pacto Global Red Colombia, </w:t>
      </w:r>
      <w:r w:rsidRPr="00B524CB">
        <w:rPr>
          <w:rFonts w:cs="Arial"/>
          <w:sz w:val="22"/>
          <w:szCs w:val="22"/>
          <w:lang w:val="es-MX" w:eastAsia="es-CO"/>
        </w:rPr>
        <w:t>por medio de la cual se fomenta la participación del IGAC en las diferentes iniciativas y mesas de trabajo para compartir y recibir información sobre buenas prácticas de sostenibilidad realizadas a nivel global., así mismo para fortalecer el compromiso frente a la toma de conciencia en los diferentes temas de sostenibilidad ambiental, social y económica.</w:t>
      </w:r>
      <w:r w:rsidRPr="00B524CB">
        <w:rPr>
          <w:rFonts w:cs="Arial"/>
          <w:sz w:val="22"/>
          <w:szCs w:val="22"/>
          <w:lang w:eastAsia="es-CO"/>
        </w:rPr>
        <w:t> </w:t>
      </w:r>
    </w:p>
    <w:p w14:paraId="16A086B2"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Selección del IGAC con la buena práctica</w:t>
      </w:r>
      <w:r w:rsidRPr="00B524CB">
        <w:rPr>
          <w:rFonts w:cs="Arial"/>
          <w:sz w:val="22"/>
          <w:szCs w:val="22"/>
          <w:lang w:val="es-MX" w:eastAsia="es-CO"/>
        </w:rPr>
        <w:t> “Catastro Multipropósito para el Desarrollo Territorial” dentro de la revista Buenas Prácticas de Derechos Humanos y Empresas de organizaciones adheridas en Colombia y América Latina.</w:t>
      </w:r>
      <w:r w:rsidRPr="00B524CB">
        <w:rPr>
          <w:rFonts w:cs="Arial"/>
          <w:sz w:val="22"/>
          <w:szCs w:val="22"/>
          <w:lang w:eastAsia="es-CO"/>
        </w:rPr>
        <w:t> </w:t>
      </w:r>
    </w:p>
    <w:p w14:paraId="275C18B5"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Selección de IGAC como ganador</w:t>
      </w:r>
      <w:r w:rsidRPr="00B524CB">
        <w:rPr>
          <w:rFonts w:cs="Arial"/>
          <w:sz w:val="22"/>
          <w:szCs w:val="22"/>
          <w:lang w:val="es-MX" w:eastAsia="es-CO"/>
        </w:rPr>
        <w:t> dentro de la categoría del ODS 11 recibiendo reconocimiento en la excelente gestión presentada por nuestra iniciativa 'Colombia en Mapas', con la cual se postuló a las Buenas Prácticas de Desarrollo Sostenible, organizado por Pacto Global Colombia y la Cámara de Comercio de Bogotá.</w:t>
      </w:r>
      <w:r w:rsidRPr="00B524CB">
        <w:rPr>
          <w:rFonts w:cs="Arial"/>
          <w:sz w:val="22"/>
          <w:szCs w:val="22"/>
          <w:lang w:eastAsia="es-CO"/>
        </w:rPr>
        <w:t> </w:t>
      </w:r>
    </w:p>
    <w:p w14:paraId="132C9A85" w14:textId="77777777" w:rsidR="005D698A" w:rsidRPr="00B524CB" w:rsidRDefault="005D698A" w:rsidP="000A20EE">
      <w:pPr>
        <w:numPr>
          <w:ilvl w:val="0"/>
          <w:numId w:val="42"/>
        </w:numPr>
        <w:suppressAutoHyphens w:val="0"/>
        <w:jc w:val="both"/>
        <w:textAlignment w:val="baseline"/>
        <w:rPr>
          <w:rFonts w:ascii="Calibri" w:hAnsi="Calibri" w:cs="Calibri"/>
          <w:sz w:val="22"/>
          <w:szCs w:val="22"/>
          <w:lang w:eastAsia="es-CO"/>
        </w:rPr>
      </w:pPr>
      <w:r w:rsidRPr="00B524CB">
        <w:rPr>
          <w:rFonts w:cs="Arial"/>
          <w:b/>
          <w:bCs/>
          <w:sz w:val="22"/>
          <w:szCs w:val="22"/>
          <w:lang w:val="es-MX" w:eastAsia="es-CO"/>
        </w:rPr>
        <w:t>Posicionamiento de la Oficina Asesora de Planeación </w:t>
      </w:r>
      <w:r w:rsidRPr="00B524CB">
        <w:rPr>
          <w:rFonts w:cs="Arial"/>
          <w:sz w:val="22"/>
          <w:szCs w:val="22"/>
          <w:lang w:val="es-MX" w:eastAsia="es-CO"/>
        </w:rPr>
        <w:t>por la gestión, seguimiento y cumplimiento de las funciones institucionales por medio del acompañamiento constante a la alta dirección de la Entidad, brindando alertas tempranas y asesorías.</w:t>
      </w:r>
      <w:r w:rsidRPr="00B524CB">
        <w:rPr>
          <w:rFonts w:cs="Arial"/>
          <w:sz w:val="22"/>
          <w:szCs w:val="22"/>
          <w:lang w:eastAsia="es-CO"/>
        </w:rPr>
        <w:t> </w:t>
      </w:r>
    </w:p>
    <w:p w14:paraId="31308DB9" w14:textId="77777777" w:rsidR="005D698A" w:rsidRPr="00B524CB" w:rsidRDefault="005D698A" w:rsidP="000A20EE">
      <w:pPr>
        <w:numPr>
          <w:ilvl w:val="0"/>
          <w:numId w:val="42"/>
        </w:numPr>
        <w:suppressAutoHyphens w:val="0"/>
        <w:jc w:val="both"/>
        <w:textAlignment w:val="baseline"/>
        <w:rPr>
          <w:rFonts w:ascii="MS Mincho" w:eastAsia="MS Mincho" w:hAnsi="Verdana" w:cs="Segoe UI"/>
          <w:sz w:val="22"/>
          <w:szCs w:val="22"/>
          <w:lang w:eastAsia="es-CO"/>
        </w:rPr>
      </w:pPr>
      <w:r w:rsidRPr="00B524CB">
        <w:rPr>
          <w:rFonts w:eastAsia="MS Mincho" w:cs="Arial"/>
          <w:b/>
          <w:bCs/>
          <w:sz w:val="22"/>
          <w:szCs w:val="22"/>
          <w:lang w:val="es-MX" w:eastAsia="es-CO"/>
        </w:rPr>
        <w:t>Elaboración, presentación y publicación de informes semestrales de rendición de cuentas del Acuerdo de Paz, </w:t>
      </w:r>
      <w:r w:rsidRPr="00B524CB">
        <w:rPr>
          <w:rFonts w:eastAsia="MS Mincho" w:cs="Arial"/>
          <w:sz w:val="22"/>
          <w:szCs w:val="22"/>
          <w:lang w:val="es-MX" w:eastAsia="es-CO"/>
        </w:rPr>
        <w:t>como contribución al ejercicio permanente de rendición de cuentas de la entidad con énfasis en los avances obtenidos por el Instituto en el cumplimiento de los compromisos definidos en el Acuerdo de Paz y en su Plan Marco de Implementación.</w:t>
      </w:r>
      <w:r w:rsidRPr="00B524CB">
        <w:rPr>
          <w:rFonts w:eastAsia="MS Mincho" w:cs="Arial"/>
          <w:sz w:val="22"/>
          <w:szCs w:val="22"/>
          <w:lang w:eastAsia="es-CO"/>
        </w:rPr>
        <w:t> </w:t>
      </w:r>
    </w:p>
    <w:p w14:paraId="2EB9CEE5"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Elaboración, presentación y publicación de los informes de gestión </w:t>
      </w:r>
      <w:r w:rsidRPr="00B524CB">
        <w:rPr>
          <w:rFonts w:cs="Arial"/>
          <w:sz w:val="22"/>
          <w:szCs w:val="22"/>
          <w:lang w:val="es-MX" w:eastAsia="es-CO"/>
        </w:rPr>
        <w:t>sobre los avances obtenidos por el IGAC en al marco de los compromisos con las comunidades negras y pueblos indígenas, como contribución al ejercicio permanente de rendición de cuentas y transparencia en la información pública.</w:t>
      </w:r>
      <w:r w:rsidRPr="00B524CB">
        <w:rPr>
          <w:rFonts w:cs="Arial"/>
          <w:sz w:val="22"/>
          <w:szCs w:val="22"/>
          <w:lang w:eastAsia="es-CO"/>
        </w:rPr>
        <w:t> </w:t>
      </w:r>
    </w:p>
    <w:p w14:paraId="2942F51E"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eastAsia="es-CO"/>
        </w:rPr>
        <w:t>Representación y participación activa y permanente</w:t>
      </w:r>
      <w:r w:rsidRPr="00B524CB">
        <w:rPr>
          <w:rFonts w:cs="Arial"/>
          <w:sz w:val="22"/>
          <w:szCs w:val="22"/>
          <w:lang w:eastAsia="es-CO"/>
        </w:rPr>
        <w:t> en las mesas de trabajo e informes requeridos por la Consejería Presidencial para la Estabilización y Consolidación respecto a los avances de los compromisos y metas a cargo del IGAC estipuladas en el capítulo étnico del PMI del Acuerdo de paz, formulación y seguimiento permanente a los planes de acción generados en el marco de dichas mesas.  </w:t>
      </w:r>
    </w:p>
    <w:p w14:paraId="08C25625" w14:textId="77777777" w:rsidR="005D698A" w:rsidRDefault="005D698A" w:rsidP="00C72779">
      <w:pPr>
        <w:ind w:left="283"/>
        <w:jc w:val="both"/>
        <w:textAlignment w:val="baseline"/>
        <w:rPr>
          <w:rFonts w:cs="Arial"/>
          <w:lang w:val="es-MX" w:eastAsia="es-CO"/>
        </w:rPr>
      </w:pPr>
    </w:p>
    <w:p w14:paraId="226F7F8B" w14:textId="77777777" w:rsidR="005D698A" w:rsidRPr="008C6241" w:rsidRDefault="005D698A" w:rsidP="00C72779">
      <w:pPr>
        <w:ind w:left="283"/>
        <w:jc w:val="both"/>
        <w:textAlignment w:val="baseline"/>
        <w:rPr>
          <w:rFonts w:ascii="Segoe UI" w:hAnsi="Segoe UI" w:cs="Segoe UI"/>
          <w:sz w:val="22"/>
          <w:lang w:eastAsia="es-CO"/>
        </w:rPr>
      </w:pPr>
      <w:r w:rsidRPr="008C6241">
        <w:rPr>
          <w:rFonts w:cs="Arial"/>
          <w:sz w:val="22"/>
          <w:lang w:val="es-MX" w:eastAsia="es-CO"/>
        </w:rPr>
        <w:t>Dentro del proceso, e</w:t>
      </w:r>
      <w:r>
        <w:rPr>
          <w:rFonts w:cs="Arial"/>
          <w:sz w:val="22"/>
          <w:lang w:val="es-MX" w:eastAsia="es-CO"/>
        </w:rPr>
        <w:t xml:space="preserve">n los temas relacionados con la </w:t>
      </w:r>
      <w:r w:rsidRPr="008C6241">
        <w:rPr>
          <w:rFonts w:cs="Arial"/>
          <w:b/>
          <w:bCs/>
          <w:sz w:val="22"/>
          <w:lang w:val="es-MX" w:eastAsia="es-CO"/>
        </w:rPr>
        <w:t>Gestión</w:t>
      </w:r>
      <w:r>
        <w:rPr>
          <w:rFonts w:cs="Arial"/>
          <w:b/>
          <w:bCs/>
          <w:sz w:val="22"/>
          <w:lang w:val="es-MX" w:eastAsia="es-CO"/>
        </w:rPr>
        <w:t xml:space="preserve"> del S</w:t>
      </w:r>
      <w:r w:rsidRPr="008C6241">
        <w:rPr>
          <w:rFonts w:cs="Arial"/>
          <w:b/>
          <w:bCs/>
          <w:sz w:val="22"/>
          <w:lang w:val="es-MX" w:eastAsia="es-CO"/>
        </w:rPr>
        <w:t>GI</w:t>
      </w:r>
      <w:r w:rsidRPr="008C6241">
        <w:rPr>
          <w:rFonts w:cs="Arial"/>
          <w:sz w:val="22"/>
          <w:lang w:val="es-MX" w:eastAsia="es-CO"/>
        </w:rPr>
        <w:t> se alcanzaron los siguientes logros:</w:t>
      </w:r>
      <w:r w:rsidRPr="008C6241">
        <w:rPr>
          <w:rFonts w:cs="Arial"/>
          <w:sz w:val="22"/>
          <w:lang w:eastAsia="es-CO"/>
        </w:rPr>
        <w:t> </w:t>
      </w:r>
    </w:p>
    <w:p w14:paraId="2A7CB085" w14:textId="77777777" w:rsidR="005D698A" w:rsidRPr="00B524CB" w:rsidRDefault="005D698A" w:rsidP="00C72779">
      <w:pPr>
        <w:ind w:firstLine="60"/>
        <w:jc w:val="both"/>
        <w:textAlignment w:val="baseline"/>
        <w:rPr>
          <w:rFonts w:ascii="Segoe UI" w:hAnsi="Segoe UI" w:cs="Segoe UI"/>
          <w:sz w:val="22"/>
          <w:szCs w:val="22"/>
          <w:lang w:eastAsia="es-CO"/>
        </w:rPr>
      </w:pPr>
    </w:p>
    <w:p w14:paraId="0C8C9A90" w14:textId="77777777" w:rsidR="005D698A" w:rsidRPr="009654A3"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Arquitectura de procesos:</w:t>
      </w:r>
      <w:r w:rsidRPr="00B524CB">
        <w:rPr>
          <w:rFonts w:cs="Arial"/>
          <w:sz w:val="22"/>
          <w:szCs w:val="22"/>
          <w:lang w:val="es-MX" w:eastAsia="es-CO"/>
        </w:rPr>
        <w:t> </w:t>
      </w:r>
      <w:r w:rsidRPr="00B524CB">
        <w:rPr>
          <w:rFonts w:cs="Arial"/>
          <w:sz w:val="22"/>
          <w:szCs w:val="22"/>
          <w:lang w:eastAsia="es-CO"/>
        </w:rPr>
        <w:t xml:space="preserve">La Dirección General junto con la Oficina Asesora de Planeación ha venido trabajando en el replanteamiento del modelo de operación que </w:t>
      </w:r>
      <w:r w:rsidRPr="009654A3">
        <w:rPr>
          <w:rFonts w:cs="Arial"/>
          <w:sz w:val="22"/>
          <w:szCs w:val="22"/>
          <w:lang w:eastAsia="es-CO"/>
        </w:rPr>
        <w:lastRenderedPageBreak/>
        <w:t>ajuste los procesos misionales, estratégicos, de apoyo y evaluación, que permitan alcanzar las metas propuestas por el Gobierno Nacional, en el marco del Plan Nacional de Desarrollo “Pacto por Colombia, Pacto por la Equidad” y de las Políticas Públicas contenidas en los documentos CONPES. </w:t>
      </w:r>
    </w:p>
    <w:p w14:paraId="09123B4A" w14:textId="77777777" w:rsidR="005D698A" w:rsidRPr="009654A3" w:rsidRDefault="005D698A" w:rsidP="00C72779">
      <w:pPr>
        <w:suppressAutoHyphens w:val="0"/>
        <w:ind w:left="643"/>
        <w:jc w:val="both"/>
        <w:textAlignment w:val="baseline"/>
        <w:rPr>
          <w:rFonts w:cs="Arial"/>
          <w:b/>
          <w:bCs/>
          <w:sz w:val="22"/>
          <w:szCs w:val="22"/>
          <w:lang w:val="es-MX" w:eastAsia="es-CO"/>
        </w:rPr>
      </w:pPr>
    </w:p>
    <w:p w14:paraId="1B794978" w14:textId="77777777" w:rsidR="005D698A" w:rsidRPr="009654A3" w:rsidRDefault="005D698A" w:rsidP="00C72779">
      <w:pPr>
        <w:suppressAutoHyphens w:val="0"/>
        <w:ind w:left="643"/>
        <w:jc w:val="both"/>
        <w:textAlignment w:val="baseline"/>
        <w:rPr>
          <w:rFonts w:cs="Arial"/>
          <w:sz w:val="22"/>
          <w:szCs w:val="22"/>
          <w:lang w:eastAsia="es-CO"/>
        </w:rPr>
      </w:pPr>
      <w:r w:rsidRPr="009654A3">
        <w:rPr>
          <w:rFonts w:cs="Arial"/>
          <w:sz w:val="22"/>
          <w:szCs w:val="22"/>
          <w:lang w:eastAsia="es-CO"/>
        </w:rPr>
        <w:t>Las actividades de este modelo de operaciones son realizadas en un 90% de forma manual, presentándose en algunas ocasiones demoras, reprocesos, mayor incidencia de errores, que incrementan los costos operacionales e impactan en la entrega oportuna y de calidad de los servicios de la Entidad. En la búsqueda de este mejoramiento, durante se realizó un análisis inicial de los comportamientos y variables asociadas a los procesos, sub procesos y procedimientos del IGAC​, se realizó el modelamiento de los mismos y se evidenciaron las oportunidades de mejora a través de la arquitectura del Modelo “as is” y “to be”.  </w:t>
      </w:r>
    </w:p>
    <w:p w14:paraId="1704544B" w14:textId="77777777" w:rsidR="005D698A" w:rsidRPr="009654A3" w:rsidRDefault="005D698A" w:rsidP="00C72779">
      <w:pPr>
        <w:suppressAutoHyphens w:val="0"/>
        <w:ind w:left="643"/>
        <w:jc w:val="both"/>
        <w:textAlignment w:val="baseline"/>
        <w:rPr>
          <w:rFonts w:cs="Arial"/>
          <w:sz w:val="22"/>
          <w:szCs w:val="22"/>
          <w:lang w:eastAsia="es-CO"/>
        </w:rPr>
      </w:pPr>
    </w:p>
    <w:p w14:paraId="1C22709A" w14:textId="77777777" w:rsidR="005D698A" w:rsidRPr="009654A3" w:rsidRDefault="005D698A" w:rsidP="00C72779">
      <w:pPr>
        <w:suppressAutoHyphens w:val="0"/>
        <w:ind w:left="643"/>
        <w:jc w:val="both"/>
        <w:textAlignment w:val="baseline"/>
        <w:rPr>
          <w:rFonts w:cs="Arial"/>
          <w:sz w:val="22"/>
          <w:szCs w:val="22"/>
          <w:lang w:eastAsia="es-CO"/>
        </w:rPr>
      </w:pPr>
      <w:r w:rsidRPr="009654A3">
        <w:rPr>
          <w:rFonts w:cs="Arial"/>
          <w:sz w:val="22"/>
          <w:szCs w:val="22"/>
          <w:lang w:eastAsia="es-CO"/>
        </w:rPr>
        <w:t>Los procesos analizados a diciembre 31 de 2020 fueron:  </w:t>
      </w:r>
    </w:p>
    <w:p w14:paraId="704695FD"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Direccionamiento estratégico y Planeación  </w:t>
      </w:r>
    </w:p>
    <w:p w14:paraId="5EF50724"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Gestión Informática y de Soporte </w:t>
      </w:r>
    </w:p>
    <w:p w14:paraId="791FD035"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Gestión Documental </w:t>
      </w:r>
    </w:p>
    <w:p w14:paraId="5483832E"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Servicios Administrativos </w:t>
      </w:r>
    </w:p>
    <w:p w14:paraId="544C545A"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Gestión Financiera </w:t>
      </w:r>
    </w:p>
    <w:p w14:paraId="0F4CD5F8" w14:textId="77777777" w:rsidR="005D698A" w:rsidRPr="009654A3" w:rsidRDefault="005D698A" w:rsidP="000A20EE">
      <w:pPr>
        <w:numPr>
          <w:ilvl w:val="0"/>
          <w:numId w:val="43"/>
        </w:numPr>
        <w:suppressAutoHyphens w:val="0"/>
        <w:jc w:val="both"/>
        <w:textAlignment w:val="baseline"/>
        <w:rPr>
          <w:rFonts w:cs="Arial"/>
          <w:sz w:val="22"/>
          <w:szCs w:val="22"/>
          <w:lang w:eastAsia="es-CO"/>
        </w:rPr>
      </w:pPr>
      <w:r w:rsidRPr="009654A3">
        <w:rPr>
          <w:rFonts w:cs="Arial"/>
          <w:sz w:val="22"/>
          <w:szCs w:val="22"/>
          <w:lang w:eastAsia="es-CO"/>
        </w:rPr>
        <w:t>Gestión Jurídica </w:t>
      </w:r>
    </w:p>
    <w:p w14:paraId="11B93355" w14:textId="77777777" w:rsidR="005D698A" w:rsidRDefault="005D698A" w:rsidP="00C72779">
      <w:pPr>
        <w:suppressAutoHyphens w:val="0"/>
        <w:ind w:left="643"/>
        <w:jc w:val="both"/>
        <w:textAlignment w:val="baseline"/>
        <w:rPr>
          <w:rFonts w:cs="Arial"/>
          <w:sz w:val="22"/>
          <w:szCs w:val="22"/>
          <w:lang w:eastAsia="es-CO"/>
        </w:rPr>
      </w:pPr>
    </w:p>
    <w:p w14:paraId="08F30C1D" w14:textId="77777777" w:rsidR="005D698A" w:rsidRPr="009654A3" w:rsidRDefault="005D698A" w:rsidP="00C72779">
      <w:pPr>
        <w:suppressAutoHyphens w:val="0"/>
        <w:ind w:left="643"/>
        <w:jc w:val="both"/>
        <w:textAlignment w:val="baseline"/>
        <w:rPr>
          <w:rFonts w:cs="Arial"/>
          <w:sz w:val="20"/>
          <w:szCs w:val="22"/>
          <w:lang w:eastAsia="es-CO"/>
        </w:rPr>
      </w:pPr>
      <w:r w:rsidRPr="009654A3">
        <w:rPr>
          <w:rFonts w:cs="Arial"/>
          <w:sz w:val="22"/>
          <w:lang w:eastAsia="es-CO"/>
        </w:rPr>
        <w:t>Teniendo en cuenta el proceso de modernización y la nueva estructura del IGAC, se ha venido trabajando en la actualización de todas las caracterizaciones de los procesos y subprocesos que conforman el nuevo modelo de operación con la misma metodología BPMN. </w:t>
      </w:r>
    </w:p>
    <w:p w14:paraId="6F246BE8" w14:textId="77777777" w:rsidR="005D698A" w:rsidRPr="009654A3" w:rsidRDefault="005D698A" w:rsidP="00C72779">
      <w:pPr>
        <w:suppressAutoHyphens w:val="0"/>
        <w:ind w:left="643"/>
        <w:jc w:val="both"/>
        <w:textAlignment w:val="baseline"/>
        <w:rPr>
          <w:rFonts w:cs="Arial"/>
          <w:sz w:val="20"/>
          <w:szCs w:val="22"/>
          <w:lang w:eastAsia="es-CO"/>
        </w:rPr>
      </w:pPr>
    </w:p>
    <w:p w14:paraId="634C8609" w14:textId="77777777" w:rsidR="005D698A" w:rsidRPr="009654A3" w:rsidRDefault="005D698A" w:rsidP="00C72779">
      <w:pPr>
        <w:suppressAutoHyphens w:val="0"/>
        <w:ind w:left="643"/>
        <w:jc w:val="both"/>
        <w:textAlignment w:val="baseline"/>
        <w:rPr>
          <w:rFonts w:cs="Arial"/>
          <w:sz w:val="20"/>
          <w:szCs w:val="22"/>
          <w:lang w:eastAsia="es-CO"/>
        </w:rPr>
      </w:pPr>
      <w:r w:rsidRPr="009654A3">
        <w:rPr>
          <w:rFonts w:cs="Arial"/>
          <w:sz w:val="22"/>
          <w:lang w:eastAsia="es-CO"/>
        </w:rPr>
        <w:t>A la fecha ya se encuentran actualizados y validados y publicados por parte de los líderes y publicados en la página web de la entidad los siguientes procesos: </w:t>
      </w:r>
    </w:p>
    <w:p w14:paraId="09BEF0B3" w14:textId="77777777" w:rsidR="005D698A" w:rsidRPr="00B524CB" w:rsidRDefault="005D698A" w:rsidP="00C72779">
      <w:pPr>
        <w:ind w:left="720" w:right="165" w:firstLine="60"/>
        <w:jc w:val="both"/>
        <w:textAlignment w:val="baseline"/>
        <w:rPr>
          <w:rFonts w:ascii="Segoe UI" w:hAnsi="Segoe UI" w:cs="Segoe UI"/>
          <w:sz w:val="22"/>
          <w:szCs w:val="22"/>
          <w:lang w:eastAsia="es-CO"/>
        </w:rPr>
      </w:pPr>
    </w:p>
    <w:p w14:paraId="7D24A5F1"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Jurídica </w:t>
      </w:r>
    </w:p>
    <w:p w14:paraId="01FF011F"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Disciplinaria </w:t>
      </w:r>
    </w:p>
    <w:p w14:paraId="2EDAAB66"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de Comunicaciones </w:t>
      </w:r>
    </w:p>
    <w:p w14:paraId="15EE372F"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Seguimiento y Evaluación </w:t>
      </w:r>
    </w:p>
    <w:p w14:paraId="6EC7C95B"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Contractual </w:t>
      </w:r>
    </w:p>
    <w:p w14:paraId="0184AC9C"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Direccionamiento Estratégico y Planeación </w:t>
      </w:r>
    </w:p>
    <w:p w14:paraId="59DE9C96"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Comercial </w:t>
      </w:r>
    </w:p>
    <w:p w14:paraId="4C29FE02"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Financiera </w:t>
      </w:r>
    </w:p>
    <w:p w14:paraId="02027E07"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Administrativa </w:t>
      </w:r>
    </w:p>
    <w:p w14:paraId="34A98A37" w14:textId="77777777" w:rsidR="005D698A" w:rsidRPr="00B524CB"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de Servicio al Ciudadano  </w:t>
      </w:r>
    </w:p>
    <w:p w14:paraId="6728383F" w14:textId="77777777" w:rsidR="005D698A" w:rsidRDefault="005D698A" w:rsidP="000A20EE">
      <w:pPr>
        <w:numPr>
          <w:ilvl w:val="0"/>
          <w:numId w:val="44"/>
        </w:numPr>
        <w:suppressAutoHyphens w:val="0"/>
        <w:jc w:val="both"/>
        <w:textAlignment w:val="baseline"/>
        <w:rPr>
          <w:rFonts w:cs="Arial"/>
          <w:sz w:val="22"/>
          <w:szCs w:val="22"/>
          <w:lang w:eastAsia="es-CO"/>
        </w:rPr>
      </w:pPr>
      <w:r w:rsidRPr="00B524CB">
        <w:rPr>
          <w:rFonts w:cs="Arial"/>
          <w:sz w:val="22"/>
          <w:szCs w:val="22"/>
          <w:lang w:eastAsia="es-CO"/>
        </w:rPr>
        <w:t>Gestión de Regulación y Habilitación </w:t>
      </w:r>
    </w:p>
    <w:p w14:paraId="0D02B8AF" w14:textId="77777777" w:rsidR="005D698A" w:rsidRDefault="005D698A" w:rsidP="00C72779">
      <w:pPr>
        <w:suppressAutoHyphens w:val="0"/>
        <w:ind w:left="709"/>
        <w:jc w:val="both"/>
        <w:textAlignment w:val="baseline"/>
        <w:rPr>
          <w:rFonts w:cs="Arial"/>
          <w:sz w:val="22"/>
          <w:szCs w:val="22"/>
          <w:lang w:eastAsia="es-CO"/>
        </w:rPr>
      </w:pPr>
    </w:p>
    <w:p w14:paraId="3C73C55A" w14:textId="77777777" w:rsidR="005D698A" w:rsidRPr="009654A3" w:rsidRDefault="005D698A" w:rsidP="00C72779">
      <w:pPr>
        <w:suppressAutoHyphens w:val="0"/>
        <w:ind w:left="709"/>
        <w:jc w:val="both"/>
        <w:textAlignment w:val="baseline"/>
        <w:rPr>
          <w:rFonts w:cs="Arial"/>
          <w:sz w:val="20"/>
          <w:szCs w:val="22"/>
          <w:lang w:eastAsia="es-CO"/>
        </w:rPr>
      </w:pPr>
      <w:r w:rsidRPr="009654A3">
        <w:rPr>
          <w:rFonts w:cs="Arial"/>
          <w:sz w:val="22"/>
          <w:lang w:eastAsia="es-CO"/>
        </w:rPr>
        <w:t>A la fecha, se ha venido adelantando las sesiones de conocimiento del proceso actual de conservación catastral y modelamiento bajo la metodología BPMN, se identificaron puntos de intercambio de información con fuentes externas y a alto nivel se diseña modelo de arquitectura que soporte dicho proceso.  </w:t>
      </w:r>
    </w:p>
    <w:p w14:paraId="4066D4E1" w14:textId="77777777" w:rsidR="005D698A" w:rsidRPr="00B524CB" w:rsidRDefault="005D698A" w:rsidP="00C72779">
      <w:pPr>
        <w:ind w:firstLine="60"/>
        <w:jc w:val="both"/>
        <w:textAlignment w:val="baseline"/>
        <w:rPr>
          <w:rFonts w:ascii="Segoe UI" w:hAnsi="Segoe UI" w:cs="Segoe UI"/>
          <w:sz w:val="22"/>
          <w:szCs w:val="22"/>
          <w:lang w:eastAsia="es-CO"/>
        </w:rPr>
      </w:pPr>
    </w:p>
    <w:p w14:paraId="440184A5" w14:textId="77777777" w:rsidR="005D698A" w:rsidRPr="00B524CB" w:rsidRDefault="005D698A" w:rsidP="000A20EE">
      <w:pPr>
        <w:numPr>
          <w:ilvl w:val="0"/>
          <w:numId w:val="42"/>
        </w:numPr>
        <w:suppressAutoHyphens w:val="0"/>
        <w:jc w:val="both"/>
        <w:textAlignment w:val="baseline"/>
        <w:rPr>
          <w:rFonts w:cs="Arial"/>
          <w:sz w:val="22"/>
          <w:szCs w:val="22"/>
          <w:lang w:eastAsia="es-CO"/>
        </w:rPr>
      </w:pPr>
      <w:r w:rsidRPr="00B524CB">
        <w:rPr>
          <w:rFonts w:cs="Arial"/>
          <w:b/>
          <w:bCs/>
          <w:sz w:val="22"/>
          <w:szCs w:val="22"/>
          <w:lang w:val="es-MX" w:eastAsia="es-CO"/>
        </w:rPr>
        <w:t>Consolidación del equipo y delegación de roles:</w:t>
      </w:r>
      <w:r w:rsidRPr="00B524CB">
        <w:rPr>
          <w:rFonts w:cs="Arial"/>
          <w:sz w:val="22"/>
          <w:szCs w:val="22"/>
          <w:lang w:val="es-MX" w:eastAsia="es-CO"/>
        </w:rPr>
        <w:t xml:space="preserve"> Se robustece el equipo de acuerdo con las necesidades del proceso, encaminadas de manera primordial en el </w:t>
      </w:r>
      <w:r w:rsidRPr="00B524CB">
        <w:rPr>
          <w:rFonts w:cs="Arial"/>
          <w:sz w:val="22"/>
          <w:szCs w:val="22"/>
          <w:lang w:val="es-MX" w:eastAsia="es-CO"/>
        </w:rPr>
        <w:lastRenderedPageBreak/>
        <w:t>seguimiento adecuado de los planes, generación de informes gerenciales y desarrollos tecnológicos en pro de tener una única fuente y repositorio de información.</w:t>
      </w:r>
      <w:r w:rsidRPr="00B524CB">
        <w:rPr>
          <w:rFonts w:cs="Arial"/>
          <w:sz w:val="22"/>
          <w:szCs w:val="22"/>
          <w:lang w:eastAsia="es-CO"/>
        </w:rPr>
        <w:t> </w:t>
      </w:r>
    </w:p>
    <w:p w14:paraId="094A7DAB" w14:textId="77777777" w:rsidR="005D698A" w:rsidRPr="00B524CB" w:rsidRDefault="005D698A" w:rsidP="000A20EE">
      <w:pPr>
        <w:numPr>
          <w:ilvl w:val="0"/>
          <w:numId w:val="42"/>
        </w:numPr>
        <w:suppressAutoHyphens w:val="0"/>
        <w:jc w:val="both"/>
        <w:textAlignment w:val="baseline"/>
        <w:rPr>
          <w:rFonts w:ascii="MS Mincho" w:eastAsia="MS Mincho" w:hAnsi="Verdana" w:cs="Segoe UI"/>
          <w:sz w:val="22"/>
          <w:szCs w:val="22"/>
          <w:lang w:eastAsia="es-CO"/>
        </w:rPr>
      </w:pPr>
      <w:r w:rsidRPr="00B524CB">
        <w:rPr>
          <w:rFonts w:eastAsia="MS Mincho" w:cs="Arial"/>
          <w:b/>
          <w:bCs/>
          <w:sz w:val="22"/>
          <w:szCs w:val="22"/>
          <w:lang w:val="es-MX" w:eastAsia="es-CO"/>
        </w:rPr>
        <w:t>Revisión, ajuste y actualización</w:t>
      </w:r>
      <w:r w:rsidRPr="00B524CB">
        <w:rPr>
          <w:rFonts w:eastAsia="MS Mincho" w:cs="Arial"/>
          <w:sz w:val="22"/>
          <w:szCs w:val="22"/>
          <w:lang w:val="es-MX" w:eastAsia="es-CO"/>
        </w:rPr>
        <w:t> </w:t>
      </w:r>
      <w:r w:rsidRPr="00B524CB">
        <w:rPr>
          <w:rFonts w:eastAsia="MS Mincho" w:cs="Arial"/>
          <w:b/>
          <w:bCs/>
          <w:sz w:val="22"/>
          <w:szCs w:val="22"/>
          <w:lang w:val="es-MX" w:eastAsia="es-CO"/>
        </w:rPr>
        <w:t>de las caracterizaciones</w:t>
      </w:r>
      <w:r w:rsidRPr="00B524CB">
        <w:rPr>
          <w:rFonts w:eastAsia="MS Mincho" w:cs="Arial"/>
          <w:sz w:val="22"/>
          <w:szCs w:val="22"/>
          <w:lang w:val="es-MX" w:eastAsia="es-CO"/>
        </w:rPr>
        <w:t> de acuerdo con el nuevo mapa de procesos, revaluando las actividades a nivel general y puntualizándolas a nivel de cada uno de los subprocesos. Se cambió la estructura y el diseño de las caracterizaciones permitiendo una consulta más amigable y entendimiento de las mismas.</w:t>
      </w:r>
      <w:r w:rsidRPr="00B524CB">
        <w:rPr>
          <w:rFonts w:eastAsia="MS Mincho" w:cs="Arial"/>
          <w:sz w:val="22"/>
          <w:szCs w:val="22"/>
          <w:lang w:eastAsia="es-CO"/>
        </w:rPr>
        <w:t> </w:t>
      </w:r>
    </w:p>
    <w:p w14:paraId="09C3C6CA" w14:textId="77777777" w:rsidR="005D698A" w:rsidRPr="00DD2B74" w:rsidRDefault="005D698A" w:rsidP="000A20EE">
      <w:pPr>
        <w:pStyle w:val="Sinespaciado"/>
        <w:numPr>
          <w:ilvl w:val="0"/>
          <w:numId w:val="42"/>
        </w:numPr>
        <w:jc w:val="both"/>
        <w:rPr>
          <w:rFonts w:ascii="Arial" w:hAnsi="Arial" w:cs="Arial"/>
        </w:rPr>
      </w:pPr>
      <w:r w:rsidRPr="00DD2B74">
        <w:rPr>
          <w:rFonts w:ascii="Arial" w:hAnsi="Arial" w:cs="Arial"/>
          <w:b/>
          <w:bCs/>
          <w:lang w:val="es-MX" w:eastAsia="es-CO"/>
        </w:rPr>
        <w:t>Documentación del SGI:</w:t>
      </w:r>
      <w:r w:rsidRPr="00DD2B74">
        <w:rPr>
          <w:rFonts w:ascii="Arial" w:hAnsi="Arial" w:cs="Arial"/>
          <w:lang w:val="es-MX" w:eastAsia="es-CO"/>
        </w:rPr>
        <w:t xml:space="preserve"> Documentación de procesos y subprocesos con suficiente </w:t>
      </w:r>
      <w:r w:rsidRPr="00DD2B74">
        <w:rPr>
          <w:rFonts w:ascii="Arial" w:hAnsi="Arial" w:cs="Arial"/>
        </w:rPr>
        <w:t>claridad que permite que cualquier persona de la entidad o de afuera entienda qué se hace, cómo se hace, qué se necesita para hacerlo y la posibilidad de innovar tanto en los procesos como en los productos y servicios de la entidad, teniendo en cuenta los cambios que se van produciendo en los requerimientos, las necesidades de los grupos de valor que se buscan satisfacer y las condiciones del Instituto</w:t>
      </w:r>
      <w:r w:rsidRPr="00DD2B74">
        <w:rPr>
          <w:rFonts w:ascii="Arial" w:eastAsia="MS Mincho" w:hAnsi="Arial" w:cs="Arial"/>
        </w:rPr>
        <w:t>.</w:t>
      </w:r>
    </w:p>
    <w:p w14:paraId="36ADF9AB" w14:textId="77777777" w:rsidR="005D698A" w:rsidRPr="00D37FC4" w:rsidRDefault="005D698A" w:rsidP="00C72779">
      <w:pPr>
        <w:ind w:left="720"/>
        <w:jc w:val="both"/>
        <w:textAlignment w:val="baseline"/>
        <w:rPr>
          <w:rFonts w:ascii="Segoe UI" w:hAnsi="Segoe UI" w:cs="Segoe UI"/>
          <w:b/>
          <w:sz w:val="18"/>
          <w:szCs w:val="18"/>
          <w:lang w:eastAsia="es-CO"/>
        </w:rPr>
      </w:pPr>
    </w:p>
    <w:p w14:paraId="47DD8FDB" w14:textId="3D994DBB" w:rsidR="00D3424F" w:rsidRPr="00591623" w:rsidRDefault="00D37FC4" w:rsidP="00D37FC4">
      <w:pPr>
        <w:pStyle w:val="Descripcin"/>
        <w:jc w:val="center"/>
        <w:rPr>
          <w:rFonts w:ascii="Arial" w:hAnsi="Arial" w:cs="Arial"/>
          <w:b/>
          <w:bCs/>
          <w:i w:val="0"/>
          <w:color w:val="auto"/>
          <w:sz w:val="14"/>
          <w:szCs w:val="16"/>
          <w:lang w:eastAsia="es-CO"/>
        </w:rPr>
      </w:pPr>
      <w:bookmarkStart w:id="193" w:name="_Toc88677144"/>
      <w:r w:rsidRPr="00591623">
        <w:rPr>
          <w:rFonts w:ascii="Arial" w:hAnsi="Arial" w:cs="Arial"/>
          <w:b/>
          <w:i w:val="0"/>
          <w:color w:val="auto"/>
          <w:sz w:val="16"/>
        </w:rPr>
        <w:t xml:space="preserve">Tabla </w:t>
      </w:r>
      <w:r w:rsidRPr="00591623">
        <w:rPr>
          <w:rFonts w:ascii="Arial" w:hAnsi="Arial" w:cs="Arial"/>
          <w:b/>
          <w:i w:val="0"/>
          <w:color w:val="auto"/>
          <w:sz w:val="16"/>
        </w:rPr>
        <w:fldChar w:fldCharType="begin"/>
      </w:r>
      <w:r w:rsidRPr="00591623">
        <w:rPr>
          <w:rFonts w:ascii="Arial" w:hAnsi="Arial" w:cs="Arial"/>
          <w:b/>
          <w:i w:val="0"/>
          <w:color w:val="auto"/>
          <w:sz w:val="16"/>
        </w:rPr>
        <w:instrText xml:space="preserve"> SEQ Tabla \* ARABIC </w:instrText>
      </w:r>
      <w:r w:rsidRPr="00591623">
        <w:rPr>
          <w:rFonts w:ascii="Arial" w:hAnsi="Arial" w:cs="Arial"/>
          <w:b/>
          <w:i w:val="0"/>
          <w:color w:val="auto"/>
          <w:sz w:val="16"/>
        </w:rPr>
        <w:fldChar w:fldCharType="separate"/>
      </w:r>
      <w:r w:rsidR="004D4C6A" w:rsidRPr="00591623">
        <w:rPr>
          <w:rFonts w:ascii="Arial" w:hAnsi="Arial" w:cs="Arial"/>
          <w:b/>
          <w:i w:val="0"/>
          <w:noProof/>
          <w:color w:val="auto"/>
          <w:sz w:val="16"/>
        </w:rPr>
        <w:t>75</w:t>
      </w:r>
      <w:r w:rsidRPr="00591623">
        <w:rPr>
          <w:rFonts w:ascii="Arial" w:hAnsi="Arial" w:cs="Arial"/>
          <w:b/>
          <w:i w:val="0"/>
          <w:color w:val="auto"/>
          <w:sz w:val="16"/>
        </w:rPr>
        <w:fldChar w:fldCharType="end"/>
      </w:r>
      <w:r w:rsidRPr="00591623">
        <w:rPr>
          <w:rFonts w:ascii="Arial" w:hAnsi="Arial" w:cs="Arial"/>
          <w:b/>
          <w:i w:val="0"/>
          <w:color w:val="auto"/>
          <w:sz w:val="16"/>
        </w:rPr>
        <w:t>. Estado documentación IGAC</w:t>
      </w:r>
      <w:bookmarkEnd w:id="193"/>
    </w:p>
    <w:tbl>
      <w:tblPr>
        <w:tblW w:w="8497"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25"/>
        <w:gridCol w:w="1037"/>
        <w:gridCol w:w="709"/>
        <w:gridCol w:w="1251"/>
        <w:gridCol w:w="875"/>
      </w:tblGrid>
      <w:tr w:rsidR="005D698A" w:rsidRPr="002019F0" w14:paraId="3C05BA80" w14:textId="77777777" w:rsidTr="000153ED">
        <w:trPr>
          <w:trHeight w:val="450"/>
          <w:jc w:val="center"/>
        </w:trPr>
        <w:tc>
          <w:tcPr>
            <w:tcW w:w="4625" w:type="dxa"/>
            <w:tcBorders>
              <w:top w:val="single" w:sz="6" w:space="0" w:color="4F81BD"/>
              <w:left w:val="single" w:sz="6" w:space="0" w:color="4F81BD"/>
              <w:bottom w:val="single" w:sz="6" w:space="0" w:color="4F81BD"/>
              <w:right w:val="nil"/>
            </w:tcBorders>
            <w:shd w:val="clear" w:color="auto" w:fill="4F81BD"/>
            <w:vAlign w:val="center"/>
            <w:hideMark/>
          </w:tcPr>
          <w:p w14:paraId="4B4FD722" w14:textId="77777777" w:rsidR="005D698A" w:rsidRPr="002019F0" w:rsidRDefault="005D698A" w:rsidP="00C72779">
            <w:pPr>
              <w:jc w:val="center"/>
              <w:textAlignment w:val="baseline"/>
              <w:rPr>
                <w:b/>
                <w:bCs/>
                <w:color w:val="FFFFFF"/>
                <w:lang w:eastAsia="es-CO"/>
              </w:rPr>
            </w:pPr>
            <w:r w:rsidRPr="002019F0">
              <w:rPr>
                <w:rFonts w:cs="Arial"/>
                <w:b/>
                <w:bCs/>
                <w:color w:val="FFFFFF"/>
                <w:sz w:val="16"/>
                <w:szCs w:val="16"/>
                <w:lang w:eastAsia="es-CO"/>
              </w:rPr>
              <w:t>P</w:t>
            </w:r>
            <w:r>
              <w:rPr>
                <w:rFonts w:cs="Arial"/>
                <w:b/>
                <w:bCs/>
                <w:color w:val="FFFFFF"/>
                <w:sz w:val="16"/>
                <w:szCs w:val="16"/>
                <w:lang w:eastAsia="es-CO"/>
              </w:rPr>
              <w:t>roceso</w:t>
            </w:r>
            <w:r w:rsidRPr="002019F0">
              <w:rPr>
                <w:rFonts w:cs="Arial"/>
                <w:b/>
                <w:bCs/>
                <w:color w:val="FFFFFF"/>
                <w:sz w:val="16"/>
                <w:szCs w:val="16"/>
                <w:lang w:eastAsia="es-CO"/>
              </w:rPr>
              <w:t> </w:t>
            </w:r>
          </w:p>
        </w:tc>
        <w:tc>
          <w:tcPr>
            <w:tcW w:w="1037" w:type="dxa"/>
            <w:tcBorders>
              <w:top w:val="single" w:sz="6" w:space="0" w:color="4F81BD"/>
              <w:left w:val="nil"/>
              <w:bottom w:val="single" w:sz="6" w:space="0" w:color="4F81BD"/>
              <w:right w:val="nil"/>
            </w:tcBorders>
            <w:shd w:val="clear" w:color="auto" w:fill="4F81BD"/>
            <w:vAlign w:val="center"/>
            <w:hideMark/>
          </w:tcPr>
          <w:p w14:paraId="50FD0E2A" w14:textId="77777777" w:rsidR="005D698A" w:rsidRPr="002019F0" w:rsidRDefault="005D698A" w:rsidP="00C72779">
            <w:pPr>
              <w:jc w:val="center"/>
              <w:textAlignment w:val="baseline"/>
              <w:rPr>
                <w:b/>
                <w:bCs/>
                <w:color w:val="FFFFFF"/>
                <w:lang w:eastAsia="es-CO"/>
              </w:rPr>
            </w:pPr>
            <w:r w:rsidRPr="002019F0">
              <w:rPr>
                <w:rFonts w:cs="Arial"/>
                <w:b/>
                <w:bCs/>
                <w:color w:val="FFFFFF"/>
                <w:sz w:val="16"/>
                <w:szCs w:val="16"/>
                <w:lang w:eastAsia="es-CO"/>
              </w:rPr>
              <w:t>Actualizados </w:t>
            </w:r>
          </w:p>
        </w:tc>
        <w:tc>
          <w:tcPr>
            <w:tcW w:w="709" w:type="dxa"/>
            <w:tcBorders>
              <w:top w:val="single" w:sz="6" w:space="0" w:color="4F81BD"/>
              <w:left w:val="nil"/>
              <w:bottom w:val="single" w:sz="6" w:space="0" w:color="4F81BD"/>
              <w:right w:val="nil"/>
            </w:tcBorders>
            <w:shd w:val="clear" w:color="auto" w:fill="4F81BD"/>
            <w:vAlign w:val="center"/>
            <w:hideMark/>
          </w:tcPr>
          <w:p w14:paraId="171540CB" w14:textId="77777777" w:rsidR="005D698A" w:rsidRPr="002019F0" w:rsidRDefault="005D698A" w:rsidP="00C72779">
            <w:pPr>
              <w:jc w:val="center"/>
              <w:textAlignment w:val="baseline"/>
              <w:rPr>
                <w:b/>
                <w:bCs/>
                <w:color w:val="FFFFFF"/>
                <w:lang w:eastAsia="es-CO"/>
              </w:rPr>
            </w:pPr>
            <w:r w:rsidRPr="002019F0">
              <w:rPr>
                <w:rFonts w:cs="Arial"/>
                <w:b/>
                <w:bCs/>
                <w:color w:val="FFFFFF"/>
                <w:sz w:val="16"/>
                <w:szCs w:val="16"/>
                <w:lang w:eastAsia="es-CO"/>
              </w:rPr>
              <w:t>% </w:t>
            </w:r>
          </w:p>
        </w:tc>
        <w:tc>
          <w:tcPr>
            <w:tcW w:w="1251" w:type="dxa"/>
            <w:tcBorders>
              <w:top w:val="single" w:sz="6" w:space="0" w:color="4F81BD"/>
              <w:left w:val="nil"/>
              <w:bottom w:val="single" w:sz="6" w:space="0" w:color="4F81BD"/>
              <w:right w:val="nil"/>
            </w:tcBorders>
            <w:shd w:val="clear" w:color="auto" w:fill="4F81BD"/>
            <w:vAlign w:val="center"/>
            <w:hideMark/>
          </w:tcPr>
          <w:p w14:paraId="256375ED" w14:textId="77777777" w:rsidR="005D698A" w:rsidRPr="002019F0" w:rsidRDefault="005D698A" w:rsidP="00C72779">
            <w:pPr>
              <w:jc w:val="center"/>
              <w:textAlignment w:val="baseline"/>
              <w:rPr>
                <w:b/>
                <w:bCs/>
                <w:color w:val="FFFFFF"/>
                <w:lang w:eastAsia="es-CO"/>
              </w:rPr>
            </w:pPr>
            <w:r w:rsidRPr="002019F0">
              <w:rPr>
                <w:rFonts w:cs="Arial"/>
                <w:b/>
                <w:bCs/>
                <w:color w:val="FFFFFF"/>
                <w:sz w:val="16"/>
                <w:szCs w:val="16"/>
                <w:lang w:eastAsia="es-CO"/>
              </w:rPr>
              <w:t>Desactualizado </w:t>
            </w:r>
          </w:p>
        </w:tc>
        <w:tc>
          <w:tcPr>
            <w:tcW w:w="875" w:type="dxa"/>
            <w:tcBorders>
              <w:top w:val="single" w:sz="6" w:space="0" w:color="4F81BD"/>
              <w:left w:val="nil"/>
              <w:bottom w:val="single" w:sz="6" w:space="0" w:color="4F81BD"/>
              <w:right w:val="single" w:sz="6" w:space="0" w:color="4F81BD"/>
            </w:tcBorders>
            <w:shd w:val="clear" w:color="auto" w:fill="4F81BD"/>
            <w:vAlign w:val="center"/>
            <w:hideMark/>
          </w:tcPr>
          <w:p w14:paraId="73AFD831" w14:textId="20F5847C" w:rsidR="005D698A" w:rsidRPr="002019F0" w:rsidRDefault="005D698A" w:rsidP="00C72779">
            <w:pPr>
              <w:jc w:val="center"/>
              <w:textAlignment w:val="baseline"/>
              <w:rPr>
                <w:b/>
                <w:bCs/>
                <w:color w:val="FFFFFF"/>
                <w:lang w:eastAsia="es-CO"/>
              </w:rPr>
            </w:pPr>
            <w:r w:rsidRPr="002019F0">
              <w:rPr>
                <w:rFonts w:cs="Arial"/>
                <w:b/>
                <w:bCs/>
                <w:color w:val="FFFFFF"/>
                <w:sz w:val="16"/>
                <w:szCs w:val="16"/>
                <w:lang w:eastAsia="es-CO"/>
              </w:rPr>
              <w:t>% </w:t>
            </w:r>
          </w:p>
        </w:tc>
      </w:tr>
      <w:tr w:rsidR="005D698A" w:rsidRPr="002019F0" w14:paraId="21A6BC04"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2D08D27"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Jurídica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5C3E40A"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22 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710296D"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81%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212139D"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5 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A873FC9"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19% </w:t>
            </w:r>
          </w:p>
        </w:tc>
      </w:tr>
      <w:tr w:rsidR="005D698A" w:rsidRPr="002019F0" w14:paraId="3B9A3F16"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487AF8F" w14:textId="77777777" w:rsidR="005D698A" w:rsidRPr="002019F0" w:rsidRDefault="005D698A" w:rsidP="00C72779">
            <w:pPr>
              <w:jc w:val="both"/>
              <w:textAlignment w:val="baseline"/>
              <w:rPr>
                <w:b/>
                <w:bCs/>
                <w:lang w:eastAsia="es-CO"/>
              </w:rPr>
            </w:pPr>
            <w:r w:rsidRPr="002019F0">
              <w:rPr>
                <w:rFonts w:cs="Arial"/>
                <w:b/>
                <w:bCs/>
                <w:color w:val="000000"/>
                <w:sz w:val="16"/>
                <w:szCs w:val="16"/>
                <w:lang w:eastAsia="es-CO"/>
              </w:rPr>
              <w:t>D</w:t>
            </w:r>
            <w:r>
              <w:rPr>
                <w:rFonts w:cs="Arial"/>
                <w:b/>
                <w:bCs/>
                <w:color w:val="000000"/>
                <w:sz w:val="16"/>
                <w:szCs w:val="16"/>
                <w:lang w:eastAsia="es-CO"/>
              </w:rPr>
              <w:t>ireccionamiento Estratégico y Planeación</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466CD14"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57 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6D640B8"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78%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47DC57C"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16 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80DFC71"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22% </w:t>
            </w:r>
          </w:p>
        </w:tc>
      </w:tr>
      <w:tr w:rsidR="005D698A" w:rsidRPr="002019F0" w14:paraId="48317DBB"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7730623"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Contractual</w:t>
            </w:r>
            <w:r w:rsidRPr="002019F0">
              <w:rPr>
                <w:rFonts w:cs="Arial"/>
                <w:b/>
                <w:bCs/>
                <w:color w:val="000000"/>
                <w:sz w:val="16"/>
                <w:szCs w:val="16"/>
                <w:lang w:eastAsia="es-CO"/>
              </w:rPr>
              <w:t> </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2BF29B6"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AAFD90C"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65%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726887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6 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C4E0563"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35% </w:t>
            </w:r>
          </w:p>
        </w:tc>
      </w:tr>
      <w:tr w:rsidR="005D698A" w:rsidRPr="002019F0" w14:paraId="4E033608"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DB155D0" w14:textId="77777777" w:rsidR="005D698A" w:rsidRDefault="005D698A" w:rsidP="00C72779">
            <w:pPr>
              <w:jc w:val="both"/>
              <w:textAlignment w:val="baseline"/>
              <w:rPr>
                <w:rFonts w:cs="Arial"/>
                <w:b/>
                <w:bCs/>
                <w:color w:val="000000"/>
                <w:sz w:val="16"/>
                <w:szCs w:val="16"/>
                <w:lang w:eastAsia="es-CO"/>
              </w:rPr>
            </w:pPr>
            <w:r w:rsidRPr="002019F0">
              <w:rPr>
                <w:rFonts w:cs="Arial"/>
                <w:b/>
                <w:bCs/>
                <w:color w:val="000000"/>
                <w:sz w:val="16"/>
                <w:szCs w:val="16"/>
                <w:lang w:eastAsia="es-CO"/>
              </w:rPr>
              <w:t>G</w:t>
            </w:r>
            <w:r>
              <w:rPr>
                <w:rFonts w:cs="Arial"/>
                <w:b/>
                <w:bCs/>
                <w:color w:val="000000"/>
                <w:sz w:val="16"/>
                <w:szCs w:val="16"/>
                <w:lang w:eastAsia="es-CO"/>
              </w:rPr>
              <w:t>estión de Regulación y Habilitación</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735CF1A"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3 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656D750"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21%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C8EDAC0"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11 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F6AC48D"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79% </w:t>
            </w:r>
          </w:p>
        </w:tc>
      </w:tr>
      <w:tr w:rsidR="005D698A" w:rsidRPr="002019F0" w14:paraId="3F18799E"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C3C9E74" w14:textId="77777777" w:rsidR="005D698A" w:rsidRPr="002019F0" w:rsidRDefault="005D698A" w:rsidP="00C72779">
            <w:pPr>
              <w:jc w:val="both"/>
              <w:textAlignment w:val="baseline"/>
              <w:rPr>
                <w:b/>
                <w:bCs/>
                <w:lang w:eastAsia="es-CO"/>
              </w:rPr>
            </w:pPr>
            <w:r>
              <w:rPr>
                <w:rFonts w:cs="Arial"/>
                <w:b/>
                <w:bCs/>
                <w:color w:val="000000"/>
                <w:sz w:val="16"/>
                <w:szCs w:val="16"/>
                <w:lang w:eastAsia="es-CO"/>
              </w:rPr>
              <w:t>Gestión de Comunicaciones</w:t>
            </w:r>
            <w:r w:rsidRPr="002019F0">
              <w:rPr>
                <w:rFonts w:cs="Arial"/>
                <w:b/>
                <w:bCs/>
                <w:color w:val="000000"/>
                <w:sz w:val="16"/>
                <w:szCs w:val="16"/>
                <w:lang w:eastAsia="es-CO"/>
              </w:rPr>
              <w:t> </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C97C844"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5EAC9EC"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20%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B5127E4"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4 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37448C5"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80% </w:t>
            </w:r>
          </w:p>
        </w:tc>
      </w:tr>
      <w:tr w:rsidR="005D698A" w:rsidRPr="002019F0" w14:paraId="055AA4FC"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8FE8A40"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Comercial</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80A89A6"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2 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74F7B52"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14%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F3AE6B6"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12 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1B19981"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86% </w:t>
            </w:r>
          </w:p>
        </w:tc>
      </w:tr>
      <w:tr w:rsidR="005D698A" w:rsidRPr="002019F0" w14:paraId="445658A9"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1781717"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Disciplinaria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71A820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EFB3AFB"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14%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7129EE8"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6 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066D71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86% </w:t>
            </w:r>
          </w:p>
        </w:tc>
      </w:tr>
      <w:tr w:rsidR="005D698A" w:rsidRPr="002019F0" w14:paraId="3B5C1E2A"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F9413ED"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Seguimiento y Evaluación</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ECD3E58"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2DD883E"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14%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7C076EF"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6 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D9F8273"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86% </w:t>
            </w:r>
          </w:p>
        </w:tc>
      </w:tr>
      <w:tr w:rsidR="005D698A" w:rsidRPr="002019F0" w14:paraId="6C1DC8BB"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7FE076D"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Catastral</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76FB61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3A973DD"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6CEA12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81 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009340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90% </w:t>
            </w:r>
          </w:p>
        </w:tc>
      </w:tr>
      <w:tr w:rsidR="005D698A" w:rsidRPr="002019F0" w14:paraId="184CE86C"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DAAA61E"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de Talento Humano</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6B3B43A"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3 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715DB0D"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4%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C817496"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82 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0D6289CB"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96% </w:t>
            </w:r>
          </w:p>
        </w:tc>
      </w:tr>
      <w:tr w:rsidR="005D698A" w:rsidRPr="002019F0" w14:paraId="6EEAAA76"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97D2923"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Financiera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19FFC82"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61A6C411"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4%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5BCACE5"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24 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4241BC89"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96% </w:t>
            </w:r>
          </w:p>
        </w:tc>
      </w:tr>
      <w:tr w:rsidR="005D698A" w:rsidRPr="002019F0" w14:paraId="7E7135FD"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B9A50C7" w14:textId="77777777" w:rsidR="005D698A" w:rsidRPr="002019F0" w:rsidRDefault="005D698A" w:rsidP="00C72779">
            <w:pPr>
              <w:jc w:val="both"/>
              <w:textAlignment w:val="baseline"/>
              <w:rPr>
                <w:rFonts w:cs="Arial"/>
                <w:b/>
                <w:bCs/>
                <w:color w:val="000000"/>
                <w:sz w:val="16"/>
                <w:szCs w:val="16"/>
                <w:lang w:eastAsia="es-CO"/>
              </w:rPr>
            </w:pPr>
            <w:r w:rsidRPr="002019F0">
              <w:rPr>
                <w:rFonts w:cs="Arial"/>
                <w:b/>
                <w:bCs/>
                <w:color w:val="000000"/>
                <w:sz w:val="16"/>
                <w:szCs w:val="16"/>
                <w:lang w:eastAsia="es-CO"/>
              </w:rPr>
              <w:t>G</w:t>
            </w:r>
            <w:r>
              <w:rPr>
                <w:rFonts w:cs="Arial"/>
                <w:b/>
                <w:bCs/>
                <w:color w:val="000000"/>
                <w:sz w:val="16"/>
                <w:szCs w:val="16"/>
                <w:lang w:eastAsia="es-CO"/>
              </w:rPr>
              <w:t>estión de Información Geográfica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A19A8F4"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10 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5735722"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2%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4E27990"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440 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1F5E445C"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98% </w:t>
            </w:r>
          </w:p>
        </w:tc>
      </w:tr>
      <w:tr w:rsidR="005D698A" w:rsidRPr="002019F0" w14:paraId="476B3BBB"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5831306E" w14:textId="77777777" w:rsidR="005D698A" w:rsidRPr="002019F0" w:rsidRDefault="005D698A" w:rsidP="00C72779">
            <w:pPr>
              <w:jc w:val="both"/>
              <w:textAlignment w:val="baseline"/>
              <w:rPr>
                <w:rFonts w:cs="Arial"/>
                <w:b/>
                <w:bCs/>
                <w:color w:val="000000"/>
                <w:sz w:val="16"/>
                <w:szCs w:val="16"/>
                <w:lang w:eastAsia="es-CO"/>
              </w:rPr>
            </w:pPr>
            <w:r>
              <w:rPr>
                <w:rFonts w:cs="Arial"/>
                <w:b/>
                <w:bCs/>
                <w:color w:val="000000"/>
                <w:sz w:val="16"/>
                <w:szCs w:val="16"/>
                <w:lang w:eastAsia="es-CO"/>
              </w:rPr>
              <w:t>Gestión Administrativa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21BE02C" w14:textId="77777777" w:rsidR="005D698A" w:rsidRPr="002019F0" w:rsidRDefault="005D698A" w:rsidP="00C72779">
            <w:pPr>
              <w:jc w:val="center"/>
              <w:textAlignment w:val="baseline"/>
              <w:rPr>
                <w:rFonts w:cs="Arial"/>
                <w:color w:val="000000"/>
                <w:sz w:val="16"/>
                <w:szCs w:val="16"/>
                <w:lang w:eastAsia="es-CO"/>
              </w:rPr>
            </w:pPr>
            <w:r w:rsidRPr="004F2EFD">
              <w:rPr>
                <w:rFonts w:cs="Arial"/>
                <w:color w:val="000000"/>
                <w:sz w:val="16"/>
                <w:szCs w:val="16"/>
                <w:lang w:eastAsia="es-CO"/>
              </w:rPr>
              <w:t>1 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tcPr>
          <w:p w14:paraId="3273ED9F" w14:textId="77777777" w:rsidR="005D698A" w:rsidRPr="002019F0" w:rsidRDefault="005D698A" w:rsidP="00C72779">
            <w:pPr>
              <w:jc w:val="center"/>
              <w:textAlignment w:val="baseline"/>
              <w:rPr>
                <w:rFonts w:cs="Arial"/>
                <w:color w:val="000000"/>
                <w:sz w:val="16"/>
                <w:szCs w:val="16"/>
                <w:lang w:eastAsia="es-CO"/>
              </w:rPr>
            </w:pPr>
            <w:r w:rsidRPr="004F2EFD">
              <w:rPr>
                <w:rFonts w:cs="Arial"/>
                <w:color w:val="000000"/>
                <w:sz w:val="16"/>
                <w:szCs w:val="16"/>
                <w:lang w:eastAsia="es-CO"/>
              </w:rPr>
              <w:t>2%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tcPr>
          <w:p w14:paraId="246FCD7F"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48 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tcPr>
          <w:p w14:paraId="702B47B7" w14:textId="77777777" w:rsidR="005D698A" w:rsidRPr="002019F0" w:rsidRDefault="005D698A" w:rsidP="00C72779">
            <w:pPr>
              <w:jc w:val="center"/>
              <w:textAlignment w:val="baseline"/>
              <w:rPr>
                <w:rFonts w:cs="Arial"/>
                <w:color w:val="000000"/>
                <w:sz w:val="16"/>
                <w:szCs w:val="16"/>
                <w:lang w:eastAsia="es-CO"/>
              </w:rPr>
            </w:pPr>
            <w:r w:rsidRPr="002019F0">
              <w:rPr>
                <w:rFonts w:cs="Arial"/>
                <w:color w:val="000000"/>
                <w:sz w:val="16"/>
                <w:szCs w:val="16"/>
                <w:lang w:eastAsia="es-CO"/>
              </w:rPr>
              <w:t>98% </w:t>
            </w:r>
          </w:p>
        </w:tc>
      </w:tr>
      <w:tr w:rsidR="005D698A" w:rsidRPr="002019F0" w14:paraId="633B7395"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7DF3F56" w14:textId="77777777" w:rsidR="005D698A" w:rsidRPr="002019F0" w:rsidRDefault="005D698A" w:rsidP="00C72779">
            <w:pPr>
              <w:jc w:val="both"/>
              <w:textAlignment w:val="baseline"/>
              <w:rPr>
                <w:b/>
                <w:bCs/>
                <w:lang w:eastAsia="es-CO"/>
              </w:rPr>
            </w:pPr>
            <w:r w:rsidRPr="002019F0">
              <w:rPr>
                <w:rFonts w:cs="Arial"/>
                <w:b/>
                <w:bCs/>
                <w:color w:val="000000"/>
                <w:sz w:val="16"/>
                <w:szCs w:val="16"/>
                <w:lang w:eastAsia="es-CO"/>
              </w:rPr>
              <w:t>G</w:t>
            </w:r>
            <w:r>
              <w:rPr>
                <w:rFonts w:cs="Arial"/>
                <w:b/>
                <w:bCs/>
                <w:color w:val="000000"/>
                <w:sz w:val="16"/>
                <w:szCs w:val="16"/>
                <w:lang w:eastAsia="es-CO"/>
              </w:rPr>
              <w:t>estión de Servicio al Ciudadano</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A8DAE3E"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0 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8625EDC"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0DDEBB3"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19 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CA7FA55"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100% </w:t>
            </w:r>
          </w:p>
        </w:tc>
      </w:tr>
      <w:tr w:rsidR="005D698A" w:rsidRPr="002019F0" w14:paraId="66ACF8D5"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ACDF9C3" w14:textId="77777777" w:rsidR="005D698A" w:rsidRPr="002019F0" w:rsidRDefault="005D698A" w:rsidP="00C72779">
            <w:pPr>
              <w:jc w:val="both"/>
              <w:textAlignment w:val="baseline"/>
              <w:rPr>
                <w:b/>
                <w:bCs/>
                <w:lang w:eastAsia="es-CO"/>
              </w:rPr>
            </w:pPr>
            <w:r w:rsidRPr="002019F0">
              <w:rPr>
                <w:rFonts w:cs="Arial"/>
                <w:b/>
                <w:bCs/>
                <w:color w:val="000000"/>
                <w:sz w:val="16"/>
                <w:szCs w:val="16"/>
                <w:lang w:eastAsia="es-CO"/>
              </w:rPr>
              <w:t>I</w:t>
            </w:r>
            <w:r>
              <w:rPr>
                <w:rFonts w:cs="Arial"/>
                <w:b/>
                <w:bCs/>
                <w:color w:val="000000"/>
                <w:sz w:val="16"/>
                <w:szCs w:val="16"/>
                <w:lang w:eastAsia="es-CO"/>
              </w:rPr>
              <w:t>nnovación y Gestión del Conocimiento Aplicado</w:t>
            </w:r>
            <w:r w:rsidRPr="002019F0">
              <w:rPr>
                <w:rFonts w:cs="Arial"/>
                <w:b/>
                <w:bCs/>
                <w:color w:val="000000"/>
                <w:sz w:val="16"/>
                <w:szCs w:val="16"/>
                <w:lang w:eastAsia="es-CO"/>
              </w:rPr>
              <w:t> </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AF3977D"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0 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E0774BE"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F169129"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2 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FCBC0B7"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100% </w:t>
            </w:r>
          </w:p>
        </w:tc>
      </w:tr>
      <w:tr w:rsidR="005D698A" w:rsidRPr="002019F0" w14:paraId="5DDE2A73"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4D2E0BE" w14:textId="77777777" w:rsidR="005D698A" w:rsidRPr="002019F0" w:rsidRDefault="005D698A" w:rsidP="00C72779">
            <w:pPr>
              <w:jc w:val="both"/>
              <w:textAlignment w:val="baseline"/>
              <w:rPr>
                <w:b/>
                <w:bCs/>
                <w:lang w:eastAsia="es-CO"/>
              </w:rPr>
            </w:pPr>
            <w:r>
              <w:rPr>
                <w:rFonts w:cs="Arial"/>
                <w:b/>
                <w:bCs/>
                <w:color w:val="000000"/>
                <w:sz w:val="16"/>
                <w:szCs w:val="16"/>
                <w:lang w:eastAsia="es-CO"/>
              </w:rPr>
              <w:t>Gestión Documental</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90498EF" w14:textId="77777777" w:rsidR="005D698A" w:rsidRPr="004F2EFD" w:rsidRDefault="005D698A" w:rsidP="00C72779">
            <w:pPr>
              <w:jc w:val="center"/>
              <w:textAlignment w:val="baseline"/>
              <w:rPr>
                <w:lang w:eastAsia="es-CO"/>
              </w:rPr>
            </w:pPr>
            <w:r w:rsidRPr="004F2EFD">
              <w:rPr>
                <w:rFonts w:cs="Arial"/>
                <w:color w:val="000000"/>
                <w:sz w:val="16"/>
                <w:szCs w:val="16"/>
                <w:lang w:eastAsia="es-CO"/>
              </w:rPr>
              <w:t>0 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06C06B4" w14:textId="77777777" w:rsidR="005D698A" w:rsidRPr="004F2EFD" w:rsidRDefault="005D698A" w:rsidP="00C72779">
            <w:pPr>
              <w:jc w:val="center"/>
              <w:textAlignment w:val="baseline"/>
              <w:rPr>
                <w:lang w:eastAsia="es-CO"/>
              </w:rPr>
            </w:pPr>
            <w:r w:rsidRPr="004F2EFD">
              <w:rPr>
                <w:rFonts w:cs="Arial"/>
                <w:color w:val="000000"/>
                <w:sz w:val="16"/>
                <w:szCs w:val="16"/>
                <w:lang w:eastAsia="es-CO"/>
              </w:rPr>
              <w:t>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0B4A073A"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36 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203FBC3"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100% </w:t>
            </w:r>
          </w:p>
        </w:tc>
      </w:tr>
      <w:tr w:rsidR="005D698A" w:rsidRPr="002019F0" w14:paraId="04B6F624"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F0F69FA" w14:textId="77777777" w:rsidR="005D698A" w:rsidRPr="002019F0" w:rsidRDefault="005D698A" w:rsidP="00C72779">
            <w:pPr>
              <w:jc w:val="both"/>
              <w:textAlignment w:val="baseline"/>
              <w:rPr>
                <w:b/>
                <w:bCs/>
                <w:lang w:eastAsia="es-CO"/>
              </w:rPr>
            </w:pPr>
            <w:r w:rsidRPr="002019F0">
              <w:rPr>
                <w:rFonts w:cs="Arial"/>
                <w:b/>
                <w:bCs/>
                <w:color w:val="000000"/>
                <w:sz w:val="16"/>
                <w:szCs w:val="16"/>
                <w:lang w:eastAsia="es-CO"/>
              </w:rPr>
              <w:t>G</w:t>
            </w:r>
            <w:r>
              <w:rPr>
                <w:rFonts w:cs="Arial"/>
                <w:b/>
                <w:bCs/>
                <w:color w:val="000000"/>
                <w:sz w:val="16"/>
                <w:szCs w:val="16"/>
                <w:lang w:eastAsia="es-CO"/>
              </w:rPr>
              <w:t>estión de Sistemas de Información e Infraestructura</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D615A62" w14:textId="77777777" w:rsidR="005D698A" w:rsidRPr="004F2EFD" w:rsidRDefault="005D698A" w:rsidP="00C72779">
            <w:pPr>
              <w:jc w:val="center"/>
              <w:textAlignment w:val="baseline"/>
              <w:rPr>
                <w:lang w:eastAsia="es-CO"/>
              </w:rPr>
            </w:pPr>
            <w:r w:rsidRPr="004F2EFD">
              <w:rPr>
                <w:rFonts w:cs="Arial"/>
                <w:color w:val="000000"/>
                <w:sz w:val="16"/>
                <w:szCs w:val="16"/>
                <w:lang w:eastAsia="es-CO"/>
              </w:rPr>
              <w:t>0 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AD55525" w14:textId="77777777" w:rsidR="005D698A" w:rsidRPr="004F2EFD" w:rsidRDefault="005D698A" w:rsidP="00C72779">
            <w:pPr>
              <w:jc w:val="center"/>
              <w:textAlignment w:val="baseline"/>
              <w:rPr>
                <w:lang w:eastAsia="es-CO"/>
              </w:rPr>
            </w:pPr>
            <w:r w:rsidRPr="004F2EFD">
              <w:rPr>
                <w:rFonts w:cs="Arial"/>
                <w:color w:val="000000"/>
                <w:sz w:val="16"/>
                <w:szCs w:val="16"/>
                <w:lang w:eastAsia="es-CO"/>
              </w:rPr>
              <w:t>0%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05302385"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37 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2CF45D6" w14:textId="77777777" w:rsidR="005D698A" w:rsidRPr="002019F0" w:rsidRDefault="005D698A" w:rsidP="00C72779">
            <w:pPr>
              <w:jc w:val="center"/>
              <w:textAlignment w:val="baseline"/>
              <w:rPr>
                <w:lang w:eastAsia="es-CO"/>
              </w:rPr>
            </w:pPr>
            <w:r w:rsidRPr="002019F0">
              <w:rPr>
                <w:rFonts w:cs="Arial"/>
                <w:color w:val="000000"/>
                <w:sz w:val="16"/>
                <w:szCs w:val="16"/>
                <w:lang w:eastAsia="es-CO"/>
              </w:rPr>
              <w:t>100% </w:t>
            </w:r>
          </w:p>
        </w:tc>
      </w:tr>
      <w:tr w:rsidR="005D698A" w:rsidRPr="002019F0" w14:paraId="5CF0CF7A" w14:textId="77777777" w:rsidTr="000153ED">
        <w:trPr>
          <w:trHeight w:val="300"/>
          <w:jc w:val="center"/>
        </w:trPr>
        <w:tc>
          <w:tcPr>
            <w:tcW w:w="462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A0D7CEB" w14:textId="77777777" w:rsidR="005D698A" w:rsidRPr="002019F0" w:rsidRDefault="005D698A" w:rsidP="00C72779">
            <w:pPr>
              <w:jc w:val="center"/>
              <w:textAlignment w:val="baseline"/>
              <w:rPr>
                <w:b/>
                <w:bCs/>
                <w:lang w:eastAsia="es-CO"/>
              </w:rPr>
            </w:pPr>
            <w:r w:rsidRPr="002019F0">
              <w:rPr>
                <w:rFonts w:cs="Arial"/>
                <w:b/>
                <w:bCs/>
                <w:color w:val="000000"/>
                <w:sz w:val="16"/>
                <w:szCs w:val="16"/>
                <w:lang w:eastAsia="es-CO"/>
              </w:rPr>
              <w:t>TOTAL </w:t>
            </w:r>
          </w:p>
        </w:tc>
        <w:tc>
          <w:tcPr>
            <w:tcW w:w="1037"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27E4C43" w14:textId="77777777" w:rsidR="005D698A" w:rsidRPr="002019F0" w:rsidRDefault="005D698A" w:rsidP="00C72779">
            <w:pPr>
              <w:jc w:val="center"/>
              <w:textAlignment w:val="baseline"/>
              <w:rPr>
                <w:lang w:eastAsia="es-CO"/>
              </w:rPr>
            </w:pPr>
            <w:r w:rsidRPr="002019F0">
              <w:rPr>
                <w:rFonts w:cs="Arial"/>
                <w:b/>
                <w:bCs/>
                <w:color w:val="000000"/>
                <w:sz w:val="16"/>
                <w:szCs w:val="16"/>
                <w:lang w:eastAsia="es-CO"/>
              </w:rPr>
              <w:t>122</w:t>
            </w:r>
            <w:r w:rsidRPr="002019F0">
              <w:rPr>
                <w:rFonts w:cs="Arial"/>
                <w:color w:val="000000"/>
                <w:sz w:val="16"/>
                <w:szCs w:val="16"/>
                <w:lang w:eastAsia="es-CO"/>
              </w:rPr>
              <w:t> </w:t>
            </w:r>
          </w:p>
        </w:tc>
        <w:tc>
          <w:tcPr>
            <w:tcW w:w="709"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240A125" w14:textId="77777777" w:rsidR="005D698A" w:rsidRPr="002019F0" w:rsidRDefault="005D698A" w:rsidP="00C72779">
            <w:pPr>
              <w:jc w:val="center"/>
              <w:textAlignment w:val="baseline"/>
              <w:rPr>
                <w:lang w:eastAsia="es-CO"/>
              </w:rPr>
            </w:pPr>
            <w:r w:rsidRPr="002019F0">
              <w:rPr>
                <w:rFonts w:cs="Arial"/>
                <w:b/>
                <w:bCs/>
                <w:color w:val="000000"/>
                <w:sz w:val="16"/>
                <w:szCs w:val="16"/>
                <w:lang w:eastAsia="es-CO"/>
              </w:rPr>
              <w:t>13%</w:t>
            </w:r>
            <w:r w:rsidRPr="002019F0">
              <w:rPr>
                <w:rFonts w:cs="Arial"/>
                <w:color w:val="000000"/>
                <w:sz w:val="16"/>
                <w:szCs w:val="16"/>
                <w:lang w:eastAsia="es-CO"/>
              </w:rPr>
              <w:t> </w:t>
            </w:r>
          </w:p>
        </w:tc>
        <w:tc>
          <w:tcPr>
            <w:tcW w:w="1251"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472FD8E" w14:textId="77777777" w:rsidR="005D698A" w:rsidRPr="002019F0" w:rsidRDefault="005D698A" w:rsidP="00C72779">
            <w:pPr>
              <w:jc w:val="center"/>
              <w:textAlignment w:val="baseline"/>
              <w:rPr>
                <w:lang w:eastAsia="es-CO"/>
              </w:rPr>
            </w:pPr>
            <w:r w:rsidRPr="002019F0">
              <w:rPr>
                <w:rFonts w:cs="Arial"/>
                <w:b/>
                <w:bCs/>
                <w:color w:val="000000"/>
                <w:sz w:val="16"/>
                <w:szCs w:val="16"/>
                <w:lang w:eastAsia="es-CO"/>
              </w:rPr>
              <w:t>835</w:t>
            </w:r>
            <w:r w:rsidRPr="002019F0">
              <w:rPr>
                <w:rFonts w:cs="Arial"/>
                <w:color w:val="000000"/>
                <w:sz w:val="16"/>
                <w:szCs w:val="16"/>
                <w:lang w:eastAsia="es-CO"/>
              </w:rPr>
              <w:t> </w:t>
            </w:r>
          </w:p>
        </w:tc>
        <w:tc>
          <w:tcPr>
            <w:tcW w:w="87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A7606D4" w14:textId="77777777" w:rsidR="005D698A" w:rsidRPr="002019F0" w:rsidRDefault="005D698A" w:rsidP="00C72779">
            <w:pPr>
              <w:jc w:val="center"/>
              <w:textAlignment w:val="baseline"/>
              <w:rPr>
                <w:lang w:eastAsia="es-CO"/>
              </w:rPr>
            </w:pPr>
            <w:r w:rsidRPr="002019F0">
              <w:rPr>
                <w:rFonts w:cs="Arial"/>
                <w:b/>
                <w:bCs/>
                <w:color w:val="000000"/>
                <w:sz w:val="16"/>
                <w:szCs w:val="16"/>
                <w:lang w:eastAsia="es-CO"/>
              </w:rPr>
              <w:t>87%</w:t>
            </w:r>
            <w:r w:rsidRPr="002019F0">
              <w:rPr>
                <w:rFonts w:cs="Arial"/>
                <w:color w:val="000000"/>
                <w:sz w:val="16"/>
                <w:szCs w:val="16"/>
                <w:lang w:eastAsia="es-CO"/>
              </w:rPr>
              <w:t> </w:t>
            </w:r>
          </w:p>
        </w:tc>
      </w:tr>
    </w:tbl>
    <w:p w14:paraId="1D545AB5" w14:textId="65F4C548" w:rsidR="005D698A" w:rsidRPr="006A7568" w:rsidRDefault="006A7568" w:rsidP="00C72779">
      <w:pPr>
        <w:jc w:val="center"/>
        <w:textAlignment w:val="baseline"/>
        <w:rPr>
          <w:rFonts w:cs="Arial"/>
          <w:b/>
          <w:sz w:val="16"/>
          <w:szCs w:val="16"/>
          <w:lang w:eastAsia="es-CO"/>
        </w:rPr>
      </w:pPr>
      <w:r w:rsidRPr="006A7568">
        <w:rPr>
          <w:rFonts w:cs="Arial"/>
          <w:b/>
          <w:bCs/>
          <w:sz w:val="16"/>
          <w:szCs w:val="16"/>
          <w:lang w:eastAsia="es-CO"/>
        </w:rPr>
        <w:t>Fuente: Oficina Asesora de Planeación</w:t>
      </w:r>
    </w:p>
    <w:p w14:paraId="56DC4AF9" w14:textId="77777777" w:rsidR="005D698A" w:rsidRDefault="005D698A" w:rsidP="00D37FC4">
      <w:pPr>
        <w:textAlignment w:val="baseline"/>
        <w:rPr>
          <w:rFonts w:ascii="Segoe UI" w:hAnsi="Segoe UI" w:cs="Segoe UI"/>
          <w:sz w:val="18"/>
          <w:szCs w:val="18"/>
          <w:lang w:eastAsia="es-CO"/>
        </w:rPr>
      </w:pPr>
    </w:p>
    <w:p w14:paraId="7EA4A250" w14:textId="77777777" w:rsidR="005D698A" w:rsidRPr="004F2EFD" w:rsidRDefault="005D698A" w:rsidP="000A20EE">
      <w:pPr>
        <w:pStyle w:val="Prrafodelista"/>
        <w:numPr>
          <w:ilvl w:val="0"/>
          <w:numId w:val="46"/>
        </w:numPr>
        <w:suppressAutoHyphens w:val="0"/>
        <w:overflowPunct/>
        <w:autoSpaceDE/>
        <w:spacing w:after="160"/>
        <w:contextualSpacing/>
        <w:rPr>
          <w:rFonts w:cs="Arial"/>
          <w:sz w:val="22"/>
          <w:szCs w:val="28"/>
          <w:lang w:eastAsia="es-CO"/>
        </w:rPr>
      </w:pPr>
      <w:r w:rsidRPr="004F2EFD">
        <w:rPr>
          <w:rFonts w:cs="Arial"/>
          <w:b/>
          <w:sz w:val="22"/>
          <w:szCs w:val="22"/>
          <w:lang w:val="es-MX" w:eastAsia="es-CO"/>
        </w:rPr>
        <w:t>Nuevo Listado Maestro de Documentos</w:t>
      </w:r>
      <w:r w:rsidRPr="004F2EFD">
        <w:rPr>
          <w:rFonts w:cs="Arial"/>
          <w:sz w:val="22"/>
          <w:szCs w:val="22"/>
          <w:lang w:val="es-MX" w:eastAsia="es-CO"/>
        </w:rPr>
        <w:t> para consultar la información de forma amigable y accesible y siguiendo la gestión por procesos que se adelanta en el Instituto.</w:t>
      </w:r>
      <w:r w:rsidRPr="004F2EFD">
        <w:rPr>
          <w:rFonts w:cs="Arial"/>
          <w:sz w:val="22"/>
          <w:szCs w:val="22"/>
          <w:lang w:eastAsia="es-CO"/>
        </w:rPr>
        <w:t> </w:t>
      </w:r>
    </w:p>
    <w:p w14:paraId="0CF3CAD5" w14:textId="77777777" w:rsidR="005D698A" w:rsidRDefault="005D698A" w:rsidP="00C72779">
      <w:pPr>
        <w:jc w:val="both"/>
        <w:rPr>
          <w:rFonts w:ascii="Calibri" w:eastAsia="Calibri" w:hAnsi="Calibri"/>
          <w:sz w:val="28"/>
          <w:szCs w:val="28"/>
          <w:lang w:val="es-MX" w:eastAsia="en-US"/>
        </w:rPr>
      </w:pPr>
    </w:p>
    <w:p w14:paraId="3AA4141F" w14:textId="77777777" w:rsidR="00771509" w:rsidRDefault="00771509" w:rsidP="00C72779">
      <w:pPr>
        <w:jc w:val="both"/>
        <w:rPr>
          <w:rFonts w:ascii="Calibri" w:eastAsia="Calibri" w:hAnsi="Calibri"/>
          <w:sz w:val="28"/>
          <w:szCs w:val="28"/>
          <w:lang w:val="es-MX" w:eastAsia="en-US"/>
        </w:rPr>
      </w:pPr>
    </w:p>
    <w:p w14:paraId="249B1A13" w14:textId="77777777" w:rsidR="00771509" w:rsidRDefault="00771509" w:rsidP="00C72779">
      <w:pPr>
        <w:jc w:val="both"/>
        <w:rPr>
          <w:rFonts w:ascii="Calibri" w:eastAsia="Calibri" w:hAnsi="Calibri"/>
          <w:sz w:val="28"/>
          <w:szCs w:val="28"/>
          <w:lang w:val="es-MX" w:eastAsia="en-US"/>
        </w:rPr>
      </w:pPr>
    </w:p>
    <w:p w14:paraId="6673EA89" w14:textId="77777777" w:rsidR="00771509" w:rsidRDefault="00771509" w:rsidP="00C72779">
      <w:pPr>
        <w:jc w:val="both"/>
        <w:rPr>
          <w:rFonts w:ascii="Calibri" w:eastAsia="Calibri" w:hAnsi="Calibri"/>
          <w:sz w:val="28"/>
          <w:szCs w:val="28"/>
          <w:lang w:val="es-MX" w:eastAsia="en-US"/>
        </w:rPr>
      </w:pPr>
    </w:p>
    <w:p w14:paraId="07C50E73" w14:textId="77777777" w:rsidR="00771509" w:rsidRDefault="00771509" w:rsidP="00C72779">
      <w:pPr>
        <w:jc w:val="both"/>
        <w:rPr>
          <w:rFonts w:ascii="Calibri" w:eastAsia="Calibri" w:hAnsi="Calibri"/>
          <w:sz w:val="28"/>
          <w:szCs w:val="28"/>
          <w:lang w:val="es-MX" w:eastAsia="en-US"/>
        </w:rPr>
      </w:pPr>
    </w:p>
    <w:p w14:paraId="096DE9D1" w14:textId="26A704F7" w:rsidR="00771509" w:rsidRPr="00D37FC4" w:rsidRDefault="00D37FC4" w:rsidP="00D37FC4">
      <w:pPr>
        <w:pStyle w:val="Descripcin"/>
        <w:jc w:val="center"/>
        <w:rPr>
          <w:rFonts w:ascii="Arial" w:hAnsi="Arial" w:cs="Arial"/>
          <w:b/>
          <w:bCs/>
          <w:i w:val="0"/>
          <w:color w:val="auto"/>
          <w:sz w:val="14"/>
          <w:szCs w:val="16"/>
          <w:lang w:val="es-MX" w:eastAsia="en-US"/>
        </w:rPr>
      </w:pPr>
      <w:bookmarkStart w:id="194" w:name="_Toc88677215"/>
      <w:r w:rsidRPr="00D37FC4">
        <w:rPr>
          <w:rFonts w:ascii="Arial" w:hAnsi="Arial" w:cs="Arial"/>
          <w:b/>
          <w:i w:val="0"/>
          <w:color w:val="auto"/>
          <w:sz w:val="16"/>
        </w:rPr>
        <w:lastRenderedPageBreak/>
        <w:t xml:space="preserve">Ilustración </w:t>
      </w:r>
      <w:r w:rsidRPr="00D37FC4">
        <w:rPr>
          <w:rFonts w:ascii="Arial" w:hAnsi="Arial" w:cs="Arial"/>
          <w:b/>
          <w:i w:val="0"/>
          <w:color w:val="auto"/>
          <w:sz w:val="16"/>
        </w:rPr>
        <w:fldChar w:fldCharType="begin"/>
      </w:r>
      <w:r w:rsidRPr="00D37FC4">
        <w:rPr>
          <w:rFonts w:ascii="Arial" w:hAnsi="Arial" w:cs="Arial"/>
          <w:b/>
          <w:i w:val="0"/>
          <w:color w:val="auto"/>
          <w:sz w:val="16"/>
        </w:rPr>
        <w:instrText xml:space="preserve"> SEQ Ilustración \* ARABIC </w:instrText>
      </w:r>
      <w:r w:rsidRPr="00D37FC4">
        <w:rPr>
          <w:rFonts w:ascii="Arial" w:hAnsi="Arial" w:cs="Arial"/>
          <w:b/>
          <w:i w:val="0"/>
          <w:color w:val="auto"/>
          <w:sz w:val="16"/>
        </w:rPr>
        <w:fldChar w:fldCharType="separate"/>
      </w:r>
      <w:r w:rsidR="005D5B0E">
        <w:rPr>
          <w:rFonts w:ascii="Arial" w:hAnsi="Arial" w:cs="Arial"/>
          <w:b/>
          <w:i w:val="0"/>
          <w:noProof/>
          <w:color w:val="auto"/>
          <w:sz w:val="16"/>
        </w:rPr>
        <w:t>59</w:t>
      </w:r>
      <w:r w:rsidRPr="00D37FC4">
        <w:rPr>
          <w:rFonts w:ascii="Arial" w:hAnsi="Arial" w:cs="Arial"/>
          <w:b/>
          <w:i w:val="0"/>
          <w:color w:val="auto"/>
          <w:sz w:val="16"/>
        </w:rPr>
        <w:fldChar w:fldCharType="end"/>
      </w:r>
      <w:r w:rsidRPr="00D37FC4">
        <w:rPr>
          <w:rFonts w:ascii="Arial" w:hAnsi="Arial" w:cs="Arial"/>
          <w:b/>
          <w:i w:val="0"/>
          <w:color w:val="auto"/>
          <w:sz w:val="16"/>
        </w:rPr>
        <w:t>. Nuevo Listado Maestro de Documentos</w:t>
      </w:r>
      <w:bookmarkEnd w:id="194"/>
    </w:p>
    <w:p w14:paraId="7FB8F2EA" w14:textId="77777777" w:rsidR="005D698A" w:rsidRDefault="005D698A" w:rsidP="00C72779">
      <w:pPr>
        <w:jc w:val="center"/>
        <w:rPr>
          <w:rFonts w:ascii="Calibri" w:eastAsia="Calibri" w:hAnsi="Calibri"/>
          <w:lang w:val="es-MX" w:eastAsia="en-US"/>
        </w:rPr>
      </w:pPr>
      <w:r>
        <w:rPr>
          <w:noProof/>
          <w:lang w:val="es-CO" w:eastAsia="es-CO"/>
        </w:rPr>
        <w:drawing>
          <wp:inline distT="0" distB="0" distL="0" distR="0" wp14:anchorId="06E12AA0" wp14:editId="72FD14CE">
            <wp:extent cx="4572000" cy="2914650"/>
            <wp:effectExtent l="0" t="0" r="0" b="0"/>
            <wp:docPr id="195012536" name="Imagen 195012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5012536"/>
                    <pic:cNvPicPr/>
                  </pic:nvPicPr>
                  <pic:blipFill>
                    <a:blip r:embed="rId188">
                      <a:extLst>
                        <a:ext uri="{28A0092B-C50C-407E-A947-70E740481C1C}">
                          <a14:useLocalDpi xmlns:a14="http://schemas.microsoft.com/office/drawing/2010/main" val="0"/>
                        </a:ext>
                      </a:extLst>
                    </a:blip>
                    <a:stretch>
                      <a:fillRect/>
                    </a:stretch>
                  </pic:blipFill>
                  <pic:spPr>
                    <a:xfrm>
                      <a:off x="0" y="0"/>
                      <a:ext cx="4572000" cy="2914650"/>
                    </a:xfrm>
                    <a:prstGeom prst="rect">
                      <a:avLst/>
                    </a:prstGeom>
                  </pic:spPr>
                </pic:pic>
              </a:graphicData>
            </a:graphic>
          </wp:inline>
        </w:drawing>
      </w:r>
    </w:p>
    <w:p w14:paraId="754BFB48" w14:textId="6A4F43B1" w:rsidR="005D698A" w:rsidRPr="00771509" w:rsidRDefault="00771509" w:rsidP="00771509">
      <w:pPr>
        <w:jc w:val="center"/>
        <w:rPr>
          <w:rFonts w:eastAsia="Calibri" w:cs="Arial"/>
          <w:b/>
          <w:sz w:val="16"/>
          <w:szCs w:val="16"/>
          <w:lang w:val="es-MX"/>
        </w:rPr>
      </w:pPr>
      <w:r w:rsidRPr="00771509">
        <w:rPr>
          <w:rFonts w:eastAsia="Calibri" w:cs="Arial"/>
          <w:b/>
          <w:bCs/>
          <w:sz w:val="16"/>
          <w:szCs w:val="16"/>
          <w:lang w:val="es-MX"/>
        </w:rPr>
        <w:t>Fuente:  Oficina Asesora de Planeación</w:t>
      </w:r>
    </w:p>
    <w:p w14:paraId="054EAF44" w14:textId="77777777" w:rsidR="00771509" w:rsidRDefault="00771509" w:rsidP="00C72779">
      <w:pPr>
        <w:jc w:val="both"/>
        <w:rPr>
          <w:rFonts w:ascii="Calibri" w:eastAsia="Calibri" w:hAnsi="Calibri"/>
          <w:lang w:val="es-MX"/>
        </w:rPr>
      </w:pPr>
    </w:p>
    <w:p w14:paraId="7EF3F828" w14:textId="77777777" w:rsidR="005D698A" w:rsidRPr="009106B8" w:rsidRDefault="005D698A" w:rsidP="000A20EE">
      <w:pPr>
        <w:pStyle w:val="Sinespaciado"/>
        <w:numPr>
          <w:ilvl w:val="0"/>
          <w:numId w:val="45"/>
        </w:numPr>
        <w:jc w:val="both"/>
        <w:rPr>
          <w:rFonts w:ascii="Arial" w:eastAsia="Arial" w:hAnsi="Arial" w:cs="Arial"/>
          <w:lang w:val="es-MX"/>
        </w:rPr>
      </w:pPr>
      <w:r w:rsidRPr="00DD2B74">
        <w:rPr>
          <w:rFonts w:ascii="Arial" w:eastAsia="Arial" w:hAnsi="Arial" w:cs="Arial"/>
          <w:b/>
          <w:bCs/>
          <w:lang w:val="es-MX"/>
        </w:rPr>
        <w:t>Auditorías internas de calidad:</w:t>
      </w:r>
      <w:r w:rsidRPr="00DD2B74">
        <w:rPr>
          <w:rFonts w:ascii="Arial" w:eastAsia="Arial" w:hAnsi="Arial" w:cs="Arial"/>
          <w:lang w:val="es-MX"/>
        </w:rPr>
        <w:t xml:space="preserve"> El IGAC adelantó el primer ciclo de auditorías internas al Sistema de Gestión Integrado. El objetivo de dicho proceso fue verificar la conformidad, mantenimiento y mejora del SGI con base en las Normas ISO 9001:2015 - Sistema de Gestión de Calidad, ISO 14001:2015 - Sistema de Gestión Ambiental, ISO 45001:2018 - Sistema de Gestión en Seguridad y Salud en el Trabajo y Decreto 1072 de 2015,  ISO IEC 27001:2013 - Sistema de Gestión de Seguridad de la Información, Gestión Documental - Lineamientos del sistema de gestión documental, ISO IEC 17025:2017- Requisitos generales para la competencia de los Laboratorios de Ensayo y Calibración y el Sistema de Control Interno - Ley 87 de 1993. El liderazgo de las Auditorías internas a cargo de la OAP, dinamiza los sistemas de gestión implementados permitiendo la identificación de oportunidades de mejora y fortaleciendo la Dimensión de “Evaluación de resultados” a través de la consolidación de la política de: </w:t>
      </w:r>
      <w:r w:rsidRPr="00DD2B74">
        <w:rPr>
          <w:rFonts w:ascii="Arial" w:eastAsia="Arial" w:hAnsi="Arial" w:cs="Arial"/>
          <w:color w:val="333333"/>
          <w:lang w:val="es-MX"/>
        </w:rPr>
        <w:t>Seguimiento y evaluación del desempeño institucional establecida en el Modelo Integrado de Planeación y Gestión - MIPG.</w:t>
      </w:r>
      <w:r w:rsidRPr="00DD2B74">
        <w:rPr>
          <w:rFonts w:ascii="Arial" w:eastAsia="Arial" w:hAnsi="Arial" w:cs="Arial"/>
          <w:lang w:val="es-MX"/>
        </w:rPr>
        <w:t xml:space="preserve"> Se conformó un equipo auditor con las competencias necesarias para la evaluación de los diferentes sistemas implementados. Fueron seleccionados 9 procesos y 5 direcciones territoriales para auditar.</w:t>
      </w:r>
    </w:p>
    <w:p w14:paraId="08E72CDC" w14:textId="77777777" w:rsidR="004F2EFD" w:rsidRPr="00DD2B74" w:rsidRDefault="004F2EFD" w:rsidP="004F2EFD">
      <w:pPr>
        <w:pStyle w:val="Sinespaciado"/>
        <w:ind w:left="643"/>
        <w:jc w:val="both"/>
        <w:rPr>
          <w:rFonts w:ascii="Arial" w:eastAsiaTheme="minorEastAsia" w:hAnsi="Arial" w:cs="Arial"/>
          <w:b/>
          <w:bCs/>
          <w:lang w:val="es-MX"/>
        </w:rPr>
      </w:pPr>
    </w:p>
    <w:p w14:paraId="7084123C" w14:textId="77777777" w:rsidR="005D698A" w:rsidRPr="00DD2B74" w:rsidRDefault="005D698A" w:rsidP="000A20EE">
      <w:pPr>
        <w:pStyle w:val="Sinespaciado"/>
        <w:numPr>
          <w:ilvl w:val="0"/>
          <w:numId w:val="45"/>
        </w:numPr>
        <w:jc w:val="both"/>
        <w:rPr>
          <w:rFonts w:ascii="Arial" w:eastAsia="Arial" w:hAnsi="Arial" w:cs="Arial"/>
          <w:b/>
          <w:bCs/>
          <w:lang w:val="es-MX"/>
        </w:rPr>
      </w:pPr>
      <w:r w:rsidRPr="00DD2B74">
        <w:rPr>
          <w:rFonts w:ascii="Arial" w:eastAsia="Arial" w:hAnsi="Arial" w:cs="Arial"/>
          <w:b/>
          <w:lang w:val="es-MX"/>
        </w:rPr>
        <w:t>A</w:t>
      </w:r>
      <w:r w:rsidRPr="00DD2B74">
        <w:rPr>
          <w:rFonts w:ascii="Arial" w:eastAsia="Arial" w:hAnsi="Arial" w:cs="Arial"/>
          <w:b/>
          <w:bCs/>
          <w:lang w:val="es-MX"/>
        </w:rPr>
        <w:t xml:space="preserve">poyo en la formulación de un nuevo mapa de procesos: </w:t>
      </w:r>
      <w:r w:rsidRPr="00DD2B74">
        <w:rPr>
          <w:rFonts w:ascii="Arial" w:eastAsia="Arial" w:hAnsi="Arial" w:cs="Arial"/>
          <w:lang w:val="es-MX"/>
        </w:rPr>
        <w:t xml:space="preserve">La importancia de elaborar un mapa de procesos es que, a través de éste, podemos clasificar los procesos de la entidad de acuerdo con su naturaleza y la orientación que se requiere para el Instituto. </w:t>
      </w:r>
    </w:p>
    <w:p w14:paraId="15BC83CE" w14:textId="77777777" w:rsidR="005D698A" w:rsidRDefault="005D698A" w:rsidP="00D37FC4">
      <w:pPr>
        <w:pStyle w:val="Sinespaciado"/>
        <w:ind w:left="643"/>
        <w:jc w:val="center"/>
        <w:rPr>
          <w:rFonts w:ascii="Arial" w:eastAsia="Arial" w:hAnsi="Arial" w:cs="Arial"/>
          <w:lang w:val="es-MX" w:eastAsia="en-US"/>
        </w:rPr>
      </w:pPr>
    </w:p>
    <w:p w14:paraId="7C1940FC" w14:textId="77777777" w:rsidR="005D698A" w:rsidRPr="00DD2B74" w:rsidRDefault="005D698A" w:rsidP="00C72779">
      <w:pPr>
        <w:pStyle w:val="Sinespaciado"/>
        <w:ind w:left="643"/>
        <w:jc w:val="both"/>
        <w:rPr>
          <w:rFonts w:ascii="Arial" w:eastAsia="Arial" w:hAnsi="Arial" w:cs="Arial"/>
          <w:lang w:val="es-MX" w:eastAsia="en-US"/>
        </w:rPr>
      </w:pPr>
      <w:r w:rsidRPr="00DD2B74">
        <w:rPr>
          <w:rFonts w:ascii="Arial" w:eastAsia="Arial" w:hAnsi="Arial" w:cs="Arial"/>
          <w:lang w:val="es-MX" w:eastAsia="en-US"/>
        </w:rPr>
        <w:t>El proceso de Direccionamiento Estratégico y Planeación trabajó en una propuesta para la elaboración del mapa de procesos, primero conociendo en qué consisten los procesos, cuál es su orientación y cómo se relaciona con los demás procesos de la entidad, partiendo del mapa de procesos anterior:</w:t>
      </w:r>
    </w:p>
    <w:p w14:paraId="6FDF0ADD" w14:textId="77777777" w:rsidR="005D698A" w:rsidRDefault="005D698A" w:rsidP="00C72779">
      <w:pPr>
        <w:ind w:left="708"/>
        <w:jc w:val="both"/>
        <w:rPr>
          <w:rFonts w:asciiTheme="minorHAnsi" w:eastAsiaTheme="minorEastAsia" w:hAnsiTheme="minorHAnsi" w:cstheme="minorBidi"/>
          <w:lang w:val="es-MX" w:eastAsia="en-US"/>
        </w:rPr>
      </w:pPr>
    </w:p>
    <w:p w14:paraId="2E245FE0" w14:textId="77777777" w:rsidR="00D37FC4" w:rsidRDefault="00D37FC4" w:rsidP="00C72779">
      <w:pPr>
        <w:ind w:left="708"/>
        <w:jc w:val="both"/>
        <w:rPr>
          <w:rFonts w:asciiTheme="minorHAnsi" w:eastAsiaTheme="minorEastAsia" w:hAnsiTheme="minorHAnsi" w:cstheme="minorBidi"/>
          <w:lang w:val="es-MX" w:eastAsia="en-US"/>
        </w:rPr>
      </w:pPr>
    </w:p>
    <w:p w14:paraId="71DB1EA7" w14:textId="77777777" w:rsidR="00D37FC4" w:rsidRDefault="00D37FC4" w:rsidP="00C72779">
      <w:pPr>
        <w:ind w:left="708"/>
        <w:jc w:val="both"/>
        <w:rPr>
          <w:rFonts w:asciiTheme="minorHAnsi" w:eastAsiaTheme="minorEastAsia" w:hAnsiTheme="minorHAnsi" w:cstheme="minorBidi"/>
          <w:lang w:val="es-MX" w:eastAsia="en-US"/>
        </w:rPr>
      </w:pPr>
    </w:p>
    <w:p w14:paraId="60728E5E" w14:textId="77777777" w:rsidR="00CF1343" w:rsidRPr="00D37FC4" w:rsidRDefault="00CF1343" w:rsidP="00D37FC4">
      <w:pPr>
        <w:ind w:left="708"/>
        <w:jc w:val="center"/>
        <w:rPr>
          <w:rFonts w:eastAsiaTheme="minorEastAsia" w:cs="Arial"/>
          <w:b/>
          <w:sz w:val="22"/>
          <w:lang w:val="es-MX" w:eastAsia="en-US"/>
        </w:rPr>
      </w:pPr>
    </w:p>
    <w:p w14:paraId="1DCCD3F7" w14:textId="1ED6E68B" w:rsidR="00CF1343" w:rsidRPr="00D37FC4" w:rsidRDefault="00D37FC4" w:rsidP="00D37FC4">
      <w:pPr>
        <w:pStyle w:val="Descripcin"/>
        <w:jc w:val="center"/>
        <w:rPr>
          <w:rFonts w:ascii="Arial" w:eastAsiaTheme="minorEastAsia" w:hAnsi="Arial" w:cs="Arial"/>
          <w:b/>
          <w:bCs/>
          <w:i w:val="0"/>
          <w:color w:val="auto"/>
          <w:sz w:val="14"/>
          <w:szCs w:val="16"/>
          <w:lang w:val="es-MX" w:eastAsia="en-US"/>
        </w:rPr>
      </w:pPr>
      <w:bookmarkStart w:id="195" w:name="_Toc88677216"/>
      <w:r w:rsidRPr="00D37FC4">
        <w:rPr>
          <w:rFonts w:ascii="Arial" w:hAnsi="Arial" w:cs="Arial"/>
          <w:b/>
          <w:i w:val="0"/>
          <w:color w:val="auto"/>
          <w:sz w:val="16"/>
        </w:rPr>
        <w:lastRenderedPageBreak/>
        <w:t xml:space="preserve">Ilustración </w:t>
      </w:r>
      <w:r w:rsidRPr="00D37FC4">
        <w:rPr>
          <w:rFonts w:ascii="Arial" w:hAnsi="Arial" w:cs="Arial"/>
          <w:b/>
          <w:i w:val="0"/>
          <w:color w:val="auto"/>
          <w:sz w:val="16"/>
        </w:rPr>
        <w:fldChar w:fldCharType="begin"/>
      </w:r>
      <w:r w:rsidRPr="00D37FC4">
        <w:rPr>
          <w:rFonts w:ascii="Arial" w:hAnsi="Arial" w:cs="Arial"/>
          <w:b/>
          <w:i w:val="0"/>
          <w:color w:val="auto"/>
          <w:sz w:val="16"/>
        </w:rPr>
        <w:instrText xml:space="preserve"> SEQ Ilustración \* ARABIC </w:instrText>
      </w:r>
      <w:r w:rsidRPr="00D37FC4">
        <w:rPr>
          <w:rFonts w:ascii="Arial" w:hAnsi="Arial" w:cs="Arial"/>
          <w:b/>
          <w:i w:val="0"/>
          <w:color w:val="auto"/>
          <w:sz w:val="16"/>
        </w:rPr>
        <w:fldChar w:fldCharType="separate"/>
      </w:r>
      <w:r w:rsidR="005D5B0E">
        <w:rPr>
          <w:rFonts w:ascii="Arial" w:hAnsi="Arial" w:cs="Arial"/>
          <w:b/>
          <w:i w:val="0"/>
          <w:noProof/>
          <w:color w:val="auto"/>
          <w:sz w:val="16"/>
        </w:rPr>
        <w:t>60</w:t>
      </w:r>
      <w:r w:rsidRPr="00D37FC4">
        <w:rPr>
          <w:rFonts w:ascii="Arial" w:hAnsi="Arial" w:cs="Arial"/>
          <w:b/>
          <w:i w:val="0"/>
          <w:color w:val="auto"/>
          <w:sz w:val="16"/>
        </w:rPr>
        <w:fldChar w:fldCharType="end"/>
      </w:r>
      <w:r w:rsidRPr="00D37FC4">
        <w:rPr>
          <w:rFonts w:ascii="Arial" w:hAnsi="Arial" w:cs="Arial"/>
          <w:b/>
          <w:i w:val="0"/>
          <w:color w:val="auto"/>
          <w:sz w:val="16"/>
        </w:rPr>
        <w:t>. Mapa de procesos anterior</w:t>
      </w:r>
      <w:bookmarkEnd w:id="195"/>
    </w:p>
    <w:p w14:paraId="5AB0C249" w14:textId="77777777" w:rsidR="005D698A" w:rsidRDefault="005D698A" w:rsidP="00C72779">
      <w:pPr>
        <w:ind w:left="708"/>
        <w:jc w:val="center"/>
        <w:rPr>
          <w:rFonts w:eastAsia="Arial" w:cs="Arial"/>
          <w:sz w:val="22"/>
          <w:szCs w:val="22"/>
          <w:lang w:val="es-MX" w:eastAsia="en-US"/>
        </w:rPr>
      </w:pPr>
      <w:r w:rsidRPr="00DD2B74">
        <w:rPr>
          <w:noProof/>
          <w:sz w:val="22"/>
          <w:szCs w:val="22"/>
          <w:lang w:val="es-CO" w:eastAsia="es-CO"/>
        </w:rPr>
        <w:drawing>
          <wp:inline distT="0" distB="0" distL="0" distR="0" wp14:anchorId="64ED5637" wp14:editId="72141579">
            <wp:extent cx="4572000" cy="2362200"/>
            <wp:effectExtent l="0" t="0" r="0" b="0"/>
            <wp:docPr id="1407552988" name="Imagen 1407552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07552988"/>
                    <pic:cNvPicPr/>
                  </pic:nvPicPr>
                  <pic:blipFill>
                    <a:blip r:embed="rId189" cstate="print">
                      <a:extLst>
                        <a:ext uri="{28A0092B-C50C-407E-A947-70E740481C1C}">
                          <a14:useLocalDpi xmlns:a14="http://schemas.microsoft.com/office/drawing/2010/main" val="0"/>
                        </a:ext>
                      </a:extLst>
                    </a:blip>
                    <a:stretch>
                      <a:fillRect/>
                    </a:stretch>
                  </pic:blipFill>
                  <pic:spPr>
                    <a:xfrm>
                      <a:off x="0" y="0"/>
                      <a:ext cx="4572000" cy="2362200"/>
                    </a:xfrm>
                    <a:prstGeom prst="rect">
                      <a:avLst/>
                    </a:prstGeom>
                  </pic:spPr>
                </pic:pic>
              </a:graphicData>
            </a:graphic>
          </wp:inline>
        </w:drawing>
      </w:r>
    </w:p>
    <w:p w14:paraId="4A1A4A0E" w14:textId="41CC83E0" w:rsidR="005D698A" w:rsidRDefault="00CF1343" w:rsidP="00C72779">
      <w:pPr>
        <w:ind w:left="708"/>
        <w:jc w:val="center"/>
        <w:rPr>
          <w:rFonts w:eastAsia="Arial" w:cs="Arial"/>
          <w:b/>
          <w:sz w:val="16"/>
          <w:szCs w:val="16"/>
          <w:lang w:val="es-MX" w:eastAsia="en-US"/>
        </w:rPr>
      </w:pPr>
      <w:r w:rsidRPr="00CF1343">
        <w:rPr>
          <w:rFonts w:eastAsia="Arial" w:cs="Arial"/>
          <w:b/>
          <w:bCs/>
          <w:sz w:val="16"/>
          <w:szCs w:val="16"/>
          <w:lang w:val="es-MX" w:eastAsia="en-US"/>
        </w:rPr>
        <w:t>Fuente: Oficina Asesora de Planeación</w:t>
      </w:r>
    </w:p>
    <w:p w14:paraId="3FE4A342" w14:textId="77777777" w:rsidR="00CF1343" w:rsidRPr="00CF1343" w:rsidRDefault="00CF1343" w:rsidP="00C72779">
      <w:pPr>
        <w:ind w:left="708"/>
        <w:jc w:val="center"/>
        <w:rPr>
          <w:rFonts w:eastAsia="Arial" w:cs="Arial"/>
          <w:b/>
          <w:bCs/>
          <w:sz w:val="16"/>
          <w:szCs w:val="16"/>
          <w:lang w:val="es-MX" w:eastAsia="en-US"/>
        </w:rPr>
      </w:pPr>
    </w:p>
    <w:p w14:paraId="6D97C543" w14:textId="77777777" w:rsidR="005D698A" w:rsidRDefault="005D698A" w:rsidP="00C72779">
      <w:pPr>
        <w:jc w:val="both"/>
        <w:rPr>
          <w:rFonts w:eastAsia="Arial" w:cs="Arial"/>
          <w:sz w:val="22"/>
          <w:szCs w:val="22"/>
          <w:lang w:val="es-MX" w:eastAsia="en-US"/>
        </w:rPr>
      </w:pPr>
      <w:r>
        <w:rPr>
          <w:rFonts w:eastAsia="Arial" w:cs="Arial"/>
          <w:sz w:val="22"/>
          <w:szCs w:val="22"/>
          <w:lang w:val="es-MX" w:eastAsia="en-US"/>
        </w:rPr>
        <w:t>La</w:t>
      </w:r>
      <w:r w:rsidRPr="00DD2B74">
        <w:rPr>
          <w:rFonts w:eastAsia="Arial" w:cs="Arial"/>
          <w:sz w:val="22"/>
          <w:szCs w:val="22"/>
          <w:lang w:val="es-MX" w:eastAsia="en-US"/>
        </w:rPr>
        <w:t xml:space="preserve"> elaboración del nuevo mapa y todo lo necesario para llegar a él, se realizó teniendo en cuenta el entorno institucional tanto interno como externo. Por esta razón, fue fundamental identificar los elementos claves que afectaban la operación de la entidad a diferentes niveles. A través de la mejora continua y de los procesos de evaluación se orientó el diseño de procesos y subprocesos para su rediseño, enmarcando esta labor con los requerimientos de calidad que necesita el Instituto. </w:t>
      </w:r>
    </w:p>
    <w:p w14:paraId="727794CC" w14:textId="77777777" w:rsidR="005D698A" w:rsidRDefault="005D698A" w:rsidP="00C72779">
      <w:pPr>
        <w:jc w:val="both"/>
        <w:rPr>
          <w:rFonts w:eastAsia="Arial" w:cs="Arial"/>
          <w:sz w:val="22"/>
          <w:szCs w:val="22"/>
          <w:lang w:val="es-MX" w:eastAsia="en-US"/>
        </w:rPr>
      </w:pPr>
    </w:p>
    <w:p w14:paraId="709440E1" w14:textId="77777777" w:rsidR="005D698A" w:rsidRDefault="005D698A" w:rsidP="00C72779">
      <w:pPr>
        <w:jc w:val="both"/>
        <w:rPr>
          <w:rFonts w:eastAsia="Arial" w:cs="Arial"/>
          <w:sz w:val="22"/>
          <w:szCs w:val="22"/>
          <w:lang w:val="es-MX" w:eastAsia="en-US"/>
        </w:rPr>
      </w:pPr>
      <w:r w:rsidRPr="00DD2B74">
        <w:rPr>
          <w:rFonts w:eastAsia="Arial" w:cs="Arial"/>
          <w:sz w:val="22"/>
          <w:szCs w:val="22"/>
          <w:lang w:val="es-MX" w:eastAsia="en-US"/>
        </w:rPr>
        <w:t>Finalmente, el nuevo mapa de procesos permite identificar cuál es el propósito de cada uno dentro de la estructura de operación de la entidad, teniendo en cuenta el lenguaje de interrelación, logramos definir la estructura de la forma en que opera el IGAC actualmente.</w:t>
      </w:r>
    </w:p>
    <w:p w14:paraId="0289F1CD" w14:textId="77777777" w:rsidR="00D37FC4" w:rsidRPr="00DD2B74" w:rsidRDefault="00D37FC4" w:rsidP="00C72779">
      <w:pPr>
        <w:jc w:val="both"/>
        <w:rPr>
          <w:rFonts w:asciiTheme="minorHAnsi" w:eastAsiaTheme="minorEastAsia" w:hAnsiTheme="minorHAnsi" w:cstheme="minorBidi"/>
          <w:sz w:val="22"/>
          <w:szCs w:val="22"/>
          <w:lang w:val="es-MX" w:eastAsia="en-US"/>
        </w:rPr>
      </w:pPr>
    </w:p>
    <w:p w14:paraId="2470A8A4" w14:textId="5B6A7FB4" w:rsidR="00D37FC4" w:rsidRPr="00D37FC4" w:rsidRDefault="00D37FC4" w:rsidP="00D37FC4">
      <w:pPr>
        <w:pStyle w:val="Descripcin"/>
        <w:jc w:val="center"/>
        <w:rPr>
          <w:rFonts w:ascii="Arial" w:eastAsia="Arial" w:hAnsi="Arial" w:cs="Arial"/>
          <w:b/>
          <w:i w:val="0"/>
          <w:color w:val="auto"/>
          <w:sz w:val="16"/>
          <w:szCs w:val="16"/>
          <w:lang w:val="es-MX" w:eastAsia="en-US"/>
        </w:rPr>
      </w:pPr>
      <w:bookmarkStart w:id="196" w:name="_Toc88677217"/>
      <w:r w:rsidRPr="00D37FC4">
        <w:rPr>
          <w:rFonts w:ascii="Arial" w:hAnsi="Arial" w:cs="Arial"/>
          <w:b/>
          <w:i w:val="0"/>
          <w:color w:val="auto"/>
          <w:sz w:val="16"/>
          <w:szCs w:val="16"/>
        </w:rPr>
        <w:t xml:space="preserve">Ilustración </w:t>
      </w:r>
      <w:r w:rsidRPr="00D37FC4">
        <w:rPr>
          <w:rFonts w:ascii="Arial" w:hAnsi="Arial" w:cs="Arial"/>
          <w:b/>
          <w:i w:val="0"/>
          <w:color w:val="auto"/>
          <w:sz w:val="16"/>
          <w:szCs w:val="16"/>
        </w:rPr>
        <w:fldChar w:fldCharType="begin"/>
      </w:r>
      <w:r w:rsidRPr="00D37FC4">
        <w:rPr>
          <w:rFonts w:ascii="Arial" w:hAnsi="Arial" w:cs="Arial"/>
          <w:b/>
          <w:i w:val="0"/>
          <w:color w:val="auto"/>
          <w:sz w:val="16"/>
          <w:szCs w:val="16"/>
        </w:rPr>
        <w:instrText xml:space="preserve"> SEQ Ilustración \* ARABIC </w:instrText>
      </w:r>
      <w:r w:rsidRPr="00D37FC4">
        <w:rPr>
          <w:rFonts w:ascii="Arial" w:hAnsi="Arial" w:cs="Arial"/>
          <w:b/>
          <w:i w:val="0"/>
          <w:color w:val="auto"/>
          <w:sz w:val="16"/>
          <w:szCs w:val="16"/>
        </w:rPr>
        <w:fldChar w:fldCharType="separate"/>
      </w:r>
      <w:r w:rsidR="005D5B0E">
        <w:rPr>
          <w:rFonts w:ascii="Arial" w:hAnsi="Arial" w:cs="Arial"/>
          <w:b/>
          <w:i w:val="0"/>
          <w:noProof/>
          <w:color w:val="auto"/>
          <w:sz w:val="16"/>
          <w:szCs w:val="16"/>
        </w:rPr>
        <w:t>61</w:t>
      </w:r>
      <w:r w:rsidRPr="00D37FC4">
        <w:rPr>
          <w:rFonts w:ascii="Arial" w:hAnsi="Arial" w:cs="Arial"/>
          <w:b/>
          <w:i w:val="0"/>
          <w:color w:val="auto"/>
          <w:sz w:val="16"/>
          <w:szCs w:val="16"/>
        </w:rPr>
        <w:fldChar w:fldCharType="end"/>
      </w:r>
      <w:r w:rsidRPr="00D37FC4">
        <w:rPr>
          <w:rFonts w:ascii="Arial" w:hAnsi="Arial" w:cs="Arial"/>
          <w:b/>
          <w:i w:val="0"/>
          <w:color w:val="auto"/>
          <w:sz w:val="16"/>
          <w:szCs w:val="16"/>
        </w:rPr>
        <w:t>. Nuevo mapa de procesos</w:t>
      </w:r>
      <w:bookmarkEnd w:id="196"/>
    </w:p>
    <w:p w14:paraId="010DF4E8" w14:textId="77777777" w:rsidR="005D698A" w:rsidRDefault="005D698A" w:rsidP="00C72779">
      <w:pPr>
        <w:jc w:val="center"/>
        <w:rPr>
          <w:rFonts w:ascii="Calibri" w:eastAsia="Calibri" w:hAnsi="Calibri"/>
          <w:b/>
          <w:bCs/>
          <w:lang w:val="es-MX"/>
        </w:rPr>
      </w:pPr>
      <w:r>
        <w:rPr>
          <w:noProof/>
          <w:lang w:val="es-CO" w:eastAsia="es-CO"/>
        </w:rPr>
        <w:drawing>
          <wp:inline distT="0" distB="0" distL="0" distR="0" wp14:anchorId="36778F8B" wp14:editId="6DE95A5F">
            <wp:extent cx="4876800" cy="3058159"/>
            <wp:effectExtent l="0" t="0" r="0" b="9525"/>
            <wp:docPr id="1702089425" name="Imagen 1702089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02089425"/>
                    <pic:cNvPicPr/>
                  </pic:nvPicPr>
                  <pic:blipFill>
                    <a:blip r:embed="rId190">
                      <a:extLst>
                        <a:ext uri="{28A0092B-C50C-407E-A947-70E740481C1C}">
                          <a14:useLocalDpi xmlns:a14="http://schemas.microsoft.com/office/drawing/2010/main" val="0"/>
                        </a:ext>
                      </a:extLst>
                    </a:blip>
                    <a:stretch>
                      <a:fillRect/>
                    </a:stretch>
                  </pic:blipFill>
                  <pic:spPr>
                    <a:xfrm>
                      <a:off x="0" y="0"/>
                      <a:ext cx="4882654" cy="3061830"/>
                    </a:xfrm>
                    <a:prstGeom prst="rect">
                      <a:avLst/>
                    </a:prstGeom>
                  </pic:spPr>
                </pic:pic>
              </a:graphicData>
            </a:graphic>
          </wp:inline>
        </w:drawing>
      </w:r>
    </w:p>
    <w:p w14:paraId="34DBCDDD" w14:textId="40C17D49" w:rsidR="00CF1343" w:rsidRPr="00D37FC4" w:rsidRDefault="00CF1343" w:rsidP="00C72779">
      <w:pPr>
        <w:jc w:val="center"/>
        <w:rPr>
          <w:rFonts w:eastAsia="Calibri" w:cs="Arial"/>
          <w:b/>
          <w:bCs/>
          <w:sz w:val="16"/>
          <w:szCs w:val="16"/>
          <w:lang w:val="es-MX"/>
        </w:rPr>
      </w:pPr>
      <w:r w:rsidRPr="00D37FC4">
        <w:rPr>
          <w:rFonts w:eastAsia="Calibri" w:cs="Arial"/>
          <w:b/>
          <w:bCs/>
          <w:sz w:val="16"/>
          <w:szCs w:val="16"/>
          <w:lang w:val="es-MX"/>
        </w:rPr>
        <w:t>Fuente: Oficina Asesora de Planeación</w:t>
      </w:r>
    </w:p>
    <w:p w14:paraId="6BD8A5A8" w14:textId="77777777" w:rsidR="00CF1343" w:rsidRDefault="00CF1343" w:rsidP="00C72779">
      <w:pPr>
        <w:jc w:val="center"/>
        <w:rPr>
          <w:rFonts w:ascii="Calibri" w:eastAsia="Calibri" w:hAnsi="Calibri"/>
          <w:b/>
          <w:bCs/>
          <w:sz w:val="16"/>
          <w:szCs w:val="16"/>
          <w:lang w:val="es-MX"/>
        </w:rPr>
      </w:pPr>
    </w:p>
    <w:p w14:paraId="340B2B92" w14:textId="77777777" w:rsidR="005D698A" w:rsidRDefault="005D698A" w:rsidP="00C72779">
      <w:pPr>
        <w:jc w:val="both"/>
        <w:rPr>
          <w:rFonts w:ascii="Calibri" w:eastAsia="Calibri" w:hAnsi="Calibri"/>
          <w:b/>
          <w:bCs/>
          <w:lang w:val="es-MX"/>
        </w:rPr>
      </w:pPr>
    </w:p>
    <w:p w14:paraId="2B934435" w14:textId="77777777" w:rsidR="005D698A" w:rsidRPr="00D37FC4" w:rsidRDefault="005D698A" w:rsidP="000A20EE">
      <w:pPr>
        <w:pStyle w:val="Prrafodelista"/>
        <w:numPr>
          <w:ilvl w:val="0"/>
          <w:numId w:val="27"/>
        </w:numPr>
        <w:suppressAutoHyphens w:val="0"/>
        <w:overflowPunct/>
        <w:autoSpaceDE/>
        <w:spacing w:after="160"/>
        <w:contextualSpacing/>
        <w:textAlignment w:val="auto"/>
        <w:rPr>
          <w:b/>
          <w:bCs/>
          <w:sz w:val="22"/>
          <w:lang w:val="es-MX"/>
        </w:rPr>
      </w:pPr>
      <w:r w:rsidRPr="00D37FC4">
        <w:rPr>
          <w:rFonts w:eastAsia="Arial" w:cs="Arial"/>
          <w:b/>
          <w:bCs/>
          <w:sz w:val="22"/>
          <w:lang w:val="es-MX"/>
        </w:rPr>
        <w:t xml:space="preserve">Alineación de la Plataforma estratégica a los lineamientos y directrices de la Política del SGI:  </w:t>
      </w:r>
      <w:r w:rsidRPr="00D37FC4">
        <w:rPr>
          <w:rFonts w:eastAsia="Arial" w:cs="Arial"/>
          <w:sz w:val="22"/>
          <w:lang w:val="es-MX"/>
        </w:rPr>
        <w:t>Teniendo en cuenta las directrices de la política del SGI se definieron los objetivos, los cuales se alinearon con los objetivos estratégicos institucionales, asociados a las estrategias para lograrlo y se estableció el plan de medición.</w:t>
      </w:r>
    </w:p>
    <w:p w14:paraId="4BAC6BD6" w14:textId="77777777" w:rsidR="005D698A" w:rsidRPr="00D37FC4" w:rsidRDefault="005D698A" w:rsidP="000A20EE">
      <w:pPr>
        <w:pStyle w:val="Prrafodelista"/>
        <w:numPr>
          <w:ilvl w:val="0"/>
          <w:numId w:val="27"/>
        </w:numPr>
        <w:suppressAutoHyphens w:val="0"/>
        <w:overflowPunct/>
        <w:autoSpaceDE/>
        <w:spacing w:after="160"/>
        <w:contextualSpacing/>
        <w:textAlignment w:val="auto"/>
        <w:rPr>
          <w:rFonts w:ascii="Ariasl" w:eastAsia="Ariasl" w:hAnsi="Ariasl" w:cs="Ariasl"/>
          <w:b/>
          <w:bCs/>
          <w:sz w:val="22"/>
          <w:lang w:val="es-MX"/>
        </w:rPr>
      </w:pPr>
      <w:r w:rsidRPr="00D37FC4">
        <w:rPr>
          <w:rFonts w:eastAsia="Arial" w:cs="Arial"/>
          <w:b/>
          <w:bCs/>
          <w:sz w:val="22"/>
          <w:lang w:val="es-MX"/>
        </w:rPr>
        <w:t>Incremento del Índice de Desempeño Instituciona</w:t>
      </w:r>
      <w:r w:rsidRPr="00D37FC4">
        <w:rPr>
          <w:rFonts w:eastAsia="Arial" w:cs="Arial"/>
          <w:sz w:val="22"/>
          <w:lang w:val="es-MX"/>
        </w:rPr>
        <w:t>l (IDI) para la medición de la implementación de Modelo Integrado de Planeación y Gestión - MIPG pasando de 77,7 en 2019 a 84,1 en 2020.</w:t>
      </w:r>
    </w:p>
    <w:p w14:paraId="30B1CEA1" w14:textId="77777777" w:rsidR="005D698A" w:rsidRDefault="005D698A" w:rsidP="00C72779">
      <w:pPr>
        <w:jc w:val="both"/>
        <w:rPr>
          <w:rFonts w:eastAsia="Arial" w:cs="Arial"/>
          <w:sz w:val="22"/>
          <w:szCs w:val="22"/>
          <w:lang w:val="es-MX"/>
        </w:rPr>
      </w:pPr>
      <w:r w:rsidRPr="40B8FB21">
        <w:rPr>
          <w:rFonts w:eastAsia="Arial" w:cs="Arial"/>
          <w:sz w:val="22"/>
          <w:szCs w:val="22"/>
          <w:lang w:val="es-MX"/>
        </w:rPr>
        <w:t xml:space="preserve">Dentro del proceso, en los temas relacionados con el </w:t>
      </w:r>
      <w:r w:rsidRPr="00DD2B74">
        <w:rPr>
          <w:rFonts w:eastAsia="Arial" w:cs="Arial"/>
          <w:b/>
          <w:sz w:val="22"/>
          <w:szCs w:val="22"/>
          <w:lang w:val="es-MX"/>
        </w:rPr>
        <w:t>Sistema de Gestión Ambiental</w:t>
      </w:r>
      <w:r w:rsidRPr="40B8FB21">
        <w:rPr>
          <w:rFonts w:eastAsia="Arial" w:cs="Arial"/>
          <w:sz w:val="22"/>
          <w:szCs w:val="22"/>
          <w:lang w:val="es-MX"/>
        </w:rPr>
        <w:t xml:space="preserve"> se alcanzaron los siguientes logros:</w:t>
      </w:r>
    </w:p>
    <w:p w14:paraId="3050C0D2" w14:textId="77777777" w:rsidR="005D698A" w:rsidRDefault="005D698A" w:rsidP="00C72779">
      <w:pPr>
        <w:jc w:val="both"/>
        <w:rPr>
          <w:rFonts w:eastAsia="Arial" w:cs="Arial"/>
          <w:sz w:val="22"/>
          <w:szCs w:val="22"/>
          <w:lang w:val="es-MX"/>
        </w:rPr>
      </w:pPr>
    </w:p>
    <w:p w14:paraId="2501F2F6" w14:textId="77777777" w:rsidR="005D698A" w:rsidRDefault="005D698A" w:rsidP="00C72779">
      <w:pPr>
        <w:jc w:val="both"/>
        <w:rPr>
          <w:rFonts w:eastAsia="Arial" w:cs="Arial"/>
          <w:sz w:val="22"/>
          <w:szCs w:val="22"/>
          <w:lang w:val="es-MX"/>
        </w:rPr>
      </w:pPr>
      <w:r w:rsidRPr="40B8FB21">
        <w:rPr>
          <w:rFonts w:eastAsia="Arial" w:cs="Arial"/>
          <w:sz w:val="22"/>
          <w:szCs w:val="22"/>
          <w:lang w:val="es-MX"/>
        </w:rPr>
        <w:t xml:space="preserve">En el IGAC estamos comprometidos con la protección del medio ambiente, la prevención de la contaminación, manejo adecuado de los recursos naturales, mitigación de los impactos ambientales negativos y promoción de los impactos ambientales positivos generados en el desempeño de los procesos, actividades, productos o servicios desde una perspectiva de Ciclo de Vida. </w:t>
      </w:r>
    </w:p>
    <w:p w14:paraId="56D28375" w14:textId="77777777" w:rsidR="005D698A" w:rsidRDefault="005D698A" w:rsidP="00C72779">
      <w:pPr>
        <w:jc w:val="both"/>
        <w:rPr>
          <w:rFonts w:eastAsia="Arial" w:cs="Arial"/>
          <w:sz w:val="22"/>
          <w:szCs w:val="22"/>
          <w:lang w:val="es-MX"/>
        </w:rPr>
      </w:pPr>
      <w:r w:rsidRPr="40B8FB21">
        <w:rPr>
          <w:rFonts w:eastAsia="Arial" w:cs="Arial"/>
          <w:sz w:val="22"/>
          <w:szCs w:val="22"/>
          <w:lang w:val="es-MX"/>
        </w:rPr>
        <w:t xml:space="preserve"> </w:t>
      </w:r>
    </w:p>
    <w:p w14:paraId="650A1344" w14:textId="77777777" w:rsidR="005D698A" w:rsidRDefault="005D698A" w:rsidP="00C72779">
      <w:pPr>
        <w:jc w:val="both"/>
        <w:rPr>
          <w:rFonts w:eastAsia="Arial" w:cs="Arial"/>
          <w:sz w:val="22"/>
          <w:szCs w:val="22"/>
          <w:lang w:val="es-MX"/>
        </w:rPr>
      </w:pPr>
      <w:r w:rsidRPr="49A90498">
        <w:rPr>
          <w:rFonts w:eastAsia="Arial" w:cs="Arial"/>
          <w:sz w:val="22"/>
          <w:szCs w:val="22"/>
          <w:lang w:val="es-MX"/>
        </w:rPr>
        <w:t>No obstante, la principal acción que contribuye efectivamente en este propósito es la implementación de buenas prácticas ambientales por parte de todos servidores públicos del Instituto, fortaleciendo una cultura de respeto por el medio ambiente que trascienda a nuestras familias, la ciudad y a una sostenibilidad ambiental para nuestras futuras generaciones.</w:t>
      </w:r>
    </w:p>
    <w:p w14:paraId="4E9209E5" w14:textId="77777777" w:rsidR="005D698A" w:rsidRDefault="005D698A" w:rsidP="00C72779">
      <w:pPr>
        <w:jc w:val="both"/>
        <w:rPr>
          <w:rFonts w:eastAsia="Arial" w:cs="Arial"/>
          <w:sz w:val="22"/>
          <w:szCs w:val="22"/>
          <w:lang w:val="es-MX"/>
        </w:rPr>
      </w:pPr>
      <w:r w:rsidRPr="40B8FB21">
        <w:rPr>
          <w:rFonts w:eastAsia="Arial" w:cs="Arial"/>
          <w:sz w:val="22"/>
          <w:szCs w:val="22"/>
          <w:lang w:val="es-MX"/>
        </w:rPr>
        <w:t xml:space="preserve"> </w:t>
      </w:r>
    </w:p>
    <w:p w14:paraId="53926923" w14:textId="77777777" w:rsidR="005D698A" w:rsidRDefault="005D698A" w:rsidP="00C72779">
      <w:pPr>
        <w:jc w:val="both"/>
      </w:pPr>
      <w:r w:rsidRPr="49A90498">
        <w:rPr>
          <w:rFonts w:eastAsia="Arial" w:cs="Arial"/>
          <w:sz w:val="22"/>
          <w:szCs w:val="22"/>
          <w:lang w:val="es-MX"/>
        </w:rPr>
        <w:t>En tal sentido, el IGAC ha implementado el Sistema de Gestión Ambiental bajo la NTC-ISO 14001:2015, el cual se articula y complementa con los demás sistemas de gestión implementados en la entidad.</w:t>
      </w:r>
      <w:r w:rsidRPr="49A90498">
        <w:rPr>
          <w:rFonts w:eastAsia="Arial" w:cs="Arial"/>
          <w:color w:val="353535"/>
          <w:sz w:val="28"/>
          <w:szCs w:val="28"/>
          <w:lang w:val="es-MX"/>
        </w:rPr>
        <w:t xml:space="preserve"> </w:t>
      </w:r>
    </w:p>
    <w:p w14:paraId="32D8407A" w14:textId="77777777" w:rsidR="005D698A" w:rsidRDefault="005D698A" w:rsidP="00C72779">
      <w:pPr>
        <w:jc w:val="both"/>
        <w:rPr>
          <w:rFonts w:eastAsia="Arial" w:cs="Arial"/>
          <w:color w:val="353535"/>
          <w:lang w:val="es-MX"/>
        </w:rPr>
      </w:pPr>
    </w:p>
    <w:p w14:paraId="6414304B" w14:textId="55E1B498" w:rsidR="00281313" w:rsidRPr="00281313" w:rsidRDefault="00281313" w:rsidP="00281313">
      <w:pPr>
        <w:pStyle w:val="Descripcin"/>
        <w:jc w:val="center"/>
        <w:rPr>
          <w:rFonts w:ascii="Arial" w:eastAsia="Arial" w:hAnsi="Arial" w:cs="Arial"/>
          <w:b/>
          <w:i w:val="0"/>
          <w:color w:val="auto"/>
          <w:sz w:val="16"/>
          <w:lang w:val="es-MX"/>
        </w:rPr>
      </w:pPr>
      <w:bookmarkStart w:id="197" w:name="_Toc88677218"/>
      <w:r w:rsidRPr="00281313">
        <w:rPr>
          <w:rFonts w:ascii="Arial" w:hAnsi="Arial" w:cs="Arial"/>
          <w:b/>
          <w:i w:val="0"/>
          <w:color w:val="auto"/>
          <w:sz w:val="16"/>
        </w:rPr>
        <w:t xml:space="preserve">Ilustración </w:t>
      </w:r>
      <w:r w:rsidRPr="00281313">
        <w:rPr>
          <w:rFonts w:ascii="Arial" w:hAnsi="Arial" w:cs="Arial"/>
          <w:b/>
          <w:i w:val="0"/>
          <w:color w:val="auto"/>
          <w:sz w:val="16"/>
        </w:rPr>
        <w:fldChar w:fldCharType="begin"/>
      </w:r>
      <w:r w:rsidRPr="00281313">
        <w:rPr>
          <w:rFonts w:ascii="Arial" w:hAnsi="Arial" w:cs="Arial"/>
          <w:b/>
          <w:i w:val="0"/>
          <w:color w:val="auto"/>
          <w:sz w:val="16"/>
        </w:rPr>
        <w:instrText xml:space="preserve"> SEQ Ilustración \* ARABIC </w:instrText>
      </w:r>
      <w:r w:rsidRPr="00281313">
        <w:rPr>
          <w:rFonts w:ascii="Arial" w:hAnsi="Arial" w:cs="Arial"/>
          <w:b/>
          <w:i w:val="0"/>
          <w:color w:val="auto"/>
          <w:sz w:val="16"/>
        </w:rPr>
        <w:fldChar w:fldCharType="separate"/>
      </w:r>
      <w:r w:rsidR="005D5B0E">
        <w:rPr>
          <w:rFonts w:ascii="Arial" w:hAnsi="Arial" w:cs="Arial"/>
          <w:b/>
          <w:i w:val="0"/>
          <w:noProof/>
          <w:color w:val="auto"/>
          <w:sz w:val="16"/>
        </w:rPr>
        <w:t>62</w:t>
      </w:r>
      <w:r w:rsidRPr="00281313">
        <w:rPr>
          <w:rFonts w:ascii="Arial" w:hAnsi="Arial" w:cs="Arial"/>
          <w:b/>
          <w:i w:val="0"/>
          <w:color w:val="auto"/>
          <w:sz w:val="16"/>
        </w:rPr>
        <w:fldChar w:fldCharType="end"/>
      </w:r>
      <w:r w:rsidRPr="00281313">
        <w:rPr>
          <w:rFonts w:ascii="Arial" w:hAnsi="Arial" w:cs="Arial"/>
          <w:b/>
          <w:i w:val="0"/>
          <w:color w:val="auto"/>
          <w:sz w:val="16"/>
        </w:rPr>
        <w:t>. Sistema de Gestión Ambiental</w:t>
      </w:r>
      <w:bookmarkEnd w:id="197"/>
    </w:p>
    <w:p w14:paraId="2D2E5D37" w14:textId="77777777" w:rsidR="005D698A" w:rsidRDefault="005D698A" w:rsidP="00C72779">
      <w:pPr>
        <w:jc w:val="center"/>
        <w:rPr>
          <w:lang w:val="es"/>
        </w:rPr>
      </w:pPr>
      <w:r>
        <w:rPr>
          <w:noProof/>
          <w:lang w:val="es-CO" w:eastAsia="es-CO"/>
        </w:rPr>
        <w:drawing>
          <wp:inline distT="0" distB="0" distL="0" distR="0" wp14:anchorId="30D87154" wp14:editId="24355355">
            <wp:extent cx="4572000" cy="2571750"/>
            <wp:effectExtent l="0" t="0" r="0" b="0"/>
            <wp:docPr id="1403378511" name="Imagen 1403378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03378511"/>
                    <pic:cNvPicPr/>
                  </pic:nvPicPr>
                  <pic:blipFill>
                    <a:blip r:embed="rId191">
                      <a:extLst>
                        <a:ext uri="{28A0092B-C50C-407E-A947-70E740481C1C}">
                          <a14:useLocalDpi xmlns:a14="http://schemas.microsoft.com/office/drawing/2010/main" val="0"/>
                        </a:ext>
                      </a:extLst>
                    </a:blip>
                    <a:stretch>
                      <a:fillRect/>
                    </a:stretch>
                  </pic:blipFill>
                  <pic:spPr>
                    <a:xfrm>
                      <a:off x="0" y="0"/>
                      <a:ext cx="4572000" cy="2571750"/>
                    </a:xfrm>
                    <a:prstGeom prst="rect">
                      <a:avLst/>
                    </a:prstGeom>
                  </pic:spPr>
                </pic:pic>
              </a:graphicData>
            </a:graphic>
          </wp:inline>
        </w:drawing>
      </w:r>
    </w:p>
    <w:p w14:paraId="66BAD91A" w14:textId="75332074" w:rsidR="005D698A" w:rsidRPr="005E3E8C" w:rsidRDefault="005E3E8C" w:rsidP="005E3E8C">
      <w:pPr>
        <w:jc w:val="center"/>
        <w:rPr>
          <w:rFonts w:eastAsia="Arial" w:cs="Arial"/>
          <w:b/>
          <w:sz w:val="16"/>
          <w:szCs w:val="16"/>
          <w:lang w:val="es-MX" w:eastAsia="en-US"/>
        </w:rPr>
      </w:pPr>
      <w:r w:rsidRPr="005E3E8C">
        <w:rPr>
          <w:rFonts w:eastAsia="Arial" w:cs="Arial"/>
          <w:b/>
          <w:bCs/>
          <w:sz w:val="16"/>
          <w:szCs w:val="16"/>
          <w:lang w:val="es-MX" w:eastAsia="en-US"/>
        </w:rPr>
        <w:t>Fuente: Oficina Asesora de Planeación</w:t>
      </w:r>
    </w:p>
    <w:p w14:paraId="29279748" w14:textId="77777777" w:rsidR="005D698A" w:rsidRDefault="005D698A" w:rsidP="00C72779">
      <w:pPr>
        <w:jc w:val="both"/>
        <w:rPr>
          <w:rFonts w:eastAsia="Arial" w:cs="Arial"/>
          <w:lang w:val="es-MX" w:eastAsia="en-US"/>
        </w:rPr>
      </w:pPr>
    </w:p>
    <w:p w14:paraId="6EE38104" w14:textId="77777777" w:rsidR="005D698A" w:rsidRDefault="005D698A" w:rsidP="00C72779">
      <w:pPr>
        <w:jc w:val="both"/>
        <w:rPr>
          <w:rFonts w:eastAsia="Arial" w:cs="Arial"/>
          <w:lang w:val="es-MX" w:eastAsia="en-US"/>
        </w:rPr>
      </w:pPr>
    </w:p>
    <w:p w14:paraId="28D96AD2" w14:textId="77777777" w:rsidR="005D698A" w:rsidRDefault="005D698A" w:rsidP="00C72779">
      <w:pPr>
        <w:jc w:val="both"/>
        <w:rPr>
          <w:rFonts w:eastAsia="Arial" w:cs="Arial"/>
          <w:lang w:val="es-MX" w:eastAsia="en-US"/>
        </w:rPr>
      </w:pPr>
    </w:p>
    <w:p w14:paraId="37E3B136" w14:textId="77777777" w:rsidR="005D698A" w:rsidRDefault="005D698A" w:rsidP="00C72779">
      <w:pPr>
        <w:jc w:val="both"/>
        <w:rPr>
          <w:rFonts w:eastAsia="Arial" w:cs="Arial"/>
          <w:lang w:val="es-MX" w:eastAsia="en-US"/>
        </w:rPr>
      </w:pPr>
    </w:p>
    <w:p w14:paraId="351243ED" w14:textId="77777777" w:rsidR="005D698A" w:rsidRDefault="005D698A" w:rsidP="00C72779">
      <w:pPr>
        <w:jc w:val="both"/>
        <w:rPr>
          <w:rFonts w:eastAsia="Arial" w:cs="Arial"/>
          <w:lang w:val="es-MX" w:eastAsia="en-US"/>
        </w:rPr>
      </w:pPr>
    </w:p>
    <w:p w14:paraId="18C4B6BD" w14:textId="77777777" w:rsidR="005D698A" w:rsidRDefault="005D698A" w:rsidP="00C72779">
      <w:pPr>
        <w:jc w:val="both"/>
        <w:rPr>
          <w:rFonts w:eastAsia="Arial" w:cs="Arial"/>
          <w:lang w:val="es-MX" w:eastAsia="en-US"/>
        </w:rPr>
      </w:pPr>
    </w:p>
    <w:p w14:paraId="4DA329C1" w14:textId="77777777" w:rsidR="005D698A" w:rsidRDefault="005D698A" w:rsidP="00C72779">
      <w:pPr>
        <w:jc w:val="both"/>
        <w:rPr>
          <w:rFonts w:eastAsia="Arial" w:cs="Arial"/>
          <w:sz w:val="22"/>
          <w:szCs w:val="22"/>
          <w:lang w:val="es-MX"/>
        </w:rPr>
      </w:pPr>
      <w:r w:rsidRPr="40B8FB21">
        <w:rPr>
          <w:rFonts w:eastAsia="Arial" w:cs="Arial"/>
          <w:sz w:val="22"/>
          <w:szCs w:val="22"/>
          <w:lang w:val="es-MX"/>
        </w:rPr>
        <w:t>Durante el desarrollo de la implementación del SGA, se resaltan los siguientes resultados:</w:t>
      </w:r>
    </w:p>
    <w:p w14:paraId="0785BAB1" w14:textId="77777777" w:rsidR="005D698A" w:rsidRDefault="005D698A" w:rsidP="00C72779">
      <w:pPr>
        <w:jc w:val="both"/>
        <w:rPr>
          <w:rFonts w:eastAsia="Arial" w:cs="Arial"/>
          <w:lang w:val="es-MX"/>
        </w:rPr>
      </w:pPr>
    </w:p>
    <w:p w14:paraId="3057C928" w14:textId="161387D2" w:rsidR="005D698A" w:rsidRPr="00281313" w:rsidRDefault="00281313" w:rsidP="00281313">
      <w:pPr>
        <w:pStyle w:val="Descripcin"/>
        <w:jc w:val="center"/>
        <w:rPr>
          <w:rFonts w:ascii="Arial" w:eastAsia="Arial" w:hAnsi="Arial" w:cs="Arial"/>
          <w:b/>
          <w:i w:val="0"/>
          <w:color w:val="auto"/>
          <w:sz w:val="14"/>
          <w:szCs w:val="16"/>
          <w:lang w:val="es-MX"/>
        </w:rPr>
      </w:pPr>
      <w:bookmarkStart w:id="198" w:name="_Toc88677145"/>
      <w:r w:rsidRPr="00281313">
        <w:rPr>
          <w:rFonts w:ascii="Arial" w:hAnsi="Arial" w:cs="Arial"/>
          <w:b/>
          <w:i w:val="0"/>
          <w:color w:val="auto"/>
          <w:sz w:val="16"/>
        </w:rPr>
        <w:t xml:space="preserve">Tabla </w:t>
      </w:r>
      <w:r w:rsidRPr="00281313">
        <w:rPr>
          <w:rFonts w:ascii="Arial" w:hAnsi="Arial" w:cs="Arial"/>
          <w:b/>
          <w:i w:val="0"/>
          <w:color w:val="auto"/>
          <w:sz w:val="16"/>
        </w:rPr>
        <w:fldChar w:fldCharType="begin"/>
      </w:r>
      <w:r w:rsidRPr="00281313">
        <w:rPr>
          <w:rFonts w:ascii="Arial" w:hAnsi="Arial" w:cs="Arial"/>
          <w:b/>
          <w:i w:val="0"/>
          <w:color w:val="auto"/>
          <w:sz w:val="16"/>
        </w:rPr>
        <w:instrText xml:space="preserve"> SEQ Tabla \* ARABIC </w:instrText>
      </w:r>
      <w:r w:rsidRPr="00281313">
        <w:rPr>
          <w:rFonts w:ascii="Arial" w:hAnsi="Arial" w:cs="Arial"/>
          <w:b/>
          <w:i w:val="0"/>
          <w:color w:val="auto"/>
          <w:sz w:val="16"/>
        </w:rPr>
        <w:fldChar w:fldCharType="separate"/>
      </w:r>
      <w:r w:rsidR="004D4C6A">
        <w:rPr>
          <w:rFonts w:ascii="Arial" w:hAnsi="Arial" w:cs="Arial"/>
          <w:b/>
          <w:i w:val="0"/>
          <w:noProof/>
          <w:color w:val="auto"/>
          <w:sz w:val="16"/>
        </w:rPr>
        <w:t>76</w:t>
      </w:r>
      <w:r w:rsidRPr="00281313">
        <w:rPr>
          <w:rFonts w:ascii="Arial" w:hAnsi="Arial" w:cs="Arial"/>
          <w:b/>
          <w:i w:val="0"/>
          <w:color w:val="auto"/>
          <w:sz w:val="16"/>
        </w:rPr>
        <w:fldChar w:fldCharType="end"/>
      </w:r>
      <w:r w:rsidRPr="00281313">
        <w:rPr>
          <w:rFonts w:ascii="Arial" w:hAnsi="Arial" w:cs="Arial"/>
          <w:b/>
          <w:i w:val="0"/>
          <w:color w:val="auto"/>
          <w:sz w:val="16"/>
        </w:rPr>
        <w:t>. Cumplimiento actividades del plan trabajo ambiental</w:t>
      </w:r>
      <w:bookmarkEnd w:id="198"/>
    </w:p>
    <w:tbl>
      <w:tblPr>
        <w:tblW w:w="0" w:type="auto"/>
        <w:tblLayout w:type="fixed"/>
        <w:tblLook w:val="0420" w:firstRow="1" w:lastRow="0" w:firstColumn="0" w:lastColumn="0" w:noHBand="0" w:noVBand="1"/>
      </w:tblPr>
      <w:tblGrid>
        <w:gridCol w:w="3130"/>
        <w:gridCol w:w="2799"/>
        <w:gridCol w:w="3431"/>
      </w:tblGrid>
      <w:tr w:rsidR="005D698A" w14:paraId="07614B54" w14:textId="77777777" w:rsidTr="000153ED">
        <w:trPr>
          <w:trHeight w:val="465"/>
        </w:trPr>
        <w:tc>
          <w:tcPr>
            <w:tcW w:w="313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5B9BD5"/>
          </w:tcPr>
          <w:p w14:paraId="32CCC77E" w14:textId="77777777" w:rsidR="005D698A" w:rsidRDefault="005D698A" w:rsidP="00C72779">
            <w:pPr>
              <w:jc w:val="center"/>
              <w:rPr>
                <w:rFonts w:eastAsia="Arial" w:cs="Arial"/>
                <w:b/>
                <w:bCs/>
                <w:sz w:val="22"/>
                <w:szCs w:val="22"/>
              </w:rPr>
            </w:pPr>
            <w:r w:rsidRPr="718F1C0D">
              <w:rPr>
                <w:rFonts w:eastAsia="Arial" w:cs="Arial"/>
                <w:b/>
                <w:bCs/>
                <w:sz w:val="22"/>
                <w:szCs w:val="22"/>
              </w:rPr>
              <w:t>2019</w:t>
            </w:r>
          </w:p>
        </w:tc>
        <w:tc>
          <w:tcPr>
            <w:tcW w:w="2799"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5B9BD5"/>
          </w:tcPr>
          <w:p w14:paraId="750DFCF2" w14:textId="77777777" w:rsidR="005D698A" w:rsidRDefault="005D698A" w:rsidP="00C72779">
            <w:pPr>
              <w:jc w:val="center"/>
              <w:rPr>
                <w:rFonts w:eastAsia="Arial" w:cs="Arial"/>
                <w:b/>
                <w:bCs/>
                <w:sz w:val="22"/>
                <w:szCs w:val="22"/>
              </w:rPr>
            </w:pPr>
            <w:r w:rsidRPr="718F1C0D">
              <w:rPr>
                <w:rFonts w:eastAsia="Arial" w:cs="Arial"/>
                <w:b/>
                <w:bCs/>
                <w:sz w:val="22"/>
                <w:szCs w:val="22"/>
              </w:rPr>
              <w:t>2020</w:t>
            </w:r>
          </w:p>
        </w:tc>
        <w:tc>
          <w:tcPr>
            <w:tcW w:w="3431"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5B9BD5"/>
          </w:tcPr>
          <w:p w14:paraId="34ADB764" w14:textId="77777777" w:rsidR="005D698A" w:rsidRDefault="005D698A" w:rsidP="00C72779">
            <w:pPr>
              <w:jc w:val="center"/>
              <w:rPr>
                <w:rFonts w:eastAsia="Arial" w:cs="Arial"/>
                <w:b/>
                <w:bCs/>
                <w:sz w:val="22"/>
                <w:szCs w:val="22"/>
              </w:rPr>
            </w:pPr>
            <w:r w:rsidRPr="718F1C0D">
              <w:rPr>
                <w:rFonts w:eastAsia="Arial" w:cs="Arial"/>
                <w:b/>
                <w:bCs/>
                <w:sz w:val="22"/>
                <w:szCs w:val="22"/>
              </w:rPr>
              <w:t>2021</w:t>
            </w:r>
          </w:p>
        </w:tc>
      </w:tr>
      <w:tr w:rsidR="005D698A" w14:paraId="0C4E4106" w14:textId="77777777" w:rsidTr="000153ED">
        <w:trPr>
          <w:trHeight w:val="465"/>
        </w:trPr>
        <w:tc>
          <w:tcPr>
            <w:tcW w:w="313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2DEEF"/>
          </w:tcPr>
          <w:p w14:paraId="3A937A62" w14:textId="77777777" w:rsidR="005D698A" w:rsidRDefault="005D698A" w:rsidP="00C72779">
            <w:pPr>
              <w:jc w:val="center"/>
              <w:rPr>
                <w:rFonts w:eastAsia="Arial" w:cs="Arial"/>
                <w:sz w:val="22"/>
                <w:szCs w:val="22"/>
              </w:rPr>
            </w:pPr>
            <w:r>
              <w:rPr>
                <w:rFonts w:eastAsia="Arial" w:cs="Arial"/>
                <w:sz w:val="22"/>
                <w:szCs w:val="22"/>
              </w:rPr>
              <w:t>100</w:t>
            </w:r>
            <w:r w:rsidRPr="718F1C0D">
              <w:rPr>
                <w:rFonts w:eastAsia="Arial" w:cs="Arial"/>
                <w:sz w:val="22"/>
                <w:szCs w:val="22"/>
              </w:rPr>
              <w:t>% de las actividades planteadas en el Plan de Acción.</w:t>
            </w:r>
          </w:p>
        </w:tc>
        <w:tc>
          <w:tcPr>
            <w:tcW w:w="2799"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2DEEF"/>
          </w:tcPr>
          <w:p w14:paraId="46CAC32A" w14:textId="77777777" w:rsidR="005D698A" w:rsidRDefault="005D698A" w:rsidP="00C72779">
            <w:pPr>
              <w:jc w:val="center"/>
              <w:rPr>
                <w:rFonts w:eastAsia="Arial" w:cs="Arial"/>
                <w:sz w:val="22"/>
                <w:szCs w:val="22"/>
              </w:rPr>
            </w:pPr>
            <w:r>
              <w:rPr>
                <w:rFonts w:eastAsia="Arial" w:cs="Arial"/>
                <w:sz w:val="22"/>
                <w:szCs w:val="22"/>
              </w:rPr>
              <w:t>94</w:t>
            </w:r>
            <w:r w:rsidRPr="718F1C0D">
              <w:rPr>
                <w:rFonts w:eastAsia="Arial" w:cs="Arial"/>
                <w:sz w:val="22"/>
                <w:szCs w:val="22"/>
              </w:rPr>
              <w:t>% de las actividades planteadas en el Plan de Acción.</w:t>
            </w:r>
          </w:p>
        </w:tc>
        <w:tc>
          <w:tcPr>
            <w:tcW w:w="3431"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2DEEF"/>
          </w:tcPr>
          <w:p w14:paraId="6BADF99F" w14:textId="77777777" w:rsidR="005D698A" w:rsidRDefault="005D698A" w:rsidP="00C72779">
            <w:pPr>
              <w:jc w:val="center"/>
              <w:rPr>
                <w:rFonts w:eastAsia="Arial" w:cs="Arial"/>
                <w:sz w:val="22"/>
                <w:szCs w:val="22"/>
              </w:rPr>
            </w:pPr>
            <w:r>
              <w:rPr>
                <w:rFonts w:eastAsia="Arial" w:cs="Arial"/>
                <w:sz w:val="22"/>
                <w:szCs w:val="22"/>
              </w:rPr>
              <w:t>85%</w:t>
            </w:r>
            <w:r w:rsidRPr="718F1C0D">
              <w:rPr>
                <w:rFonts w:eastAsia="Arial" w:cs="Arial"/>
                <w:sz w:val="22"/>
                <w:szCs w:val="22"/>
              </w:rPr>
              <w:t xml:space="preserve"> (parcial) de las actividades establecidas dentro del Plan de Acción</w:t>
            </w:r>
          </w:p>
        </w:tc>
      </w:tr>
      <w:tr w:rsidR="005D698A" w14:paraId="32AC6471" w14:textId="77777777" w:rsidTr="000153ED">
        <w:trPr>
          <w:trHeight w:val="465"/>
        </w:trPr>
        <w:tc>
          <w:tcPr>
            <w:tcW w:w="31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AEFF7"/>
          </w:tcPr>
          <w:p w14:paraId="31214B30" w14:textId="77777777" w:rsidR="005D698A" w:rsidRDefault="005D698A" w:rsidP="00C72779">
            <w:pPr>
              <w:jc w:val="center"/>
              <w:rPr>
                <w:rFonts w:eastAsia="Arial" w:cs="Arial"/>
                <w:sz w:val="22"/>
                <w:szCs w:val="22"/>
              </w:rPr>
            </w:pPr>
            <w:r>
              <w:rPr>
                <w:rFonts w:eastAsia="Arial" w:cs="Arial"/>
                <w:sz w:val="22"/>
                <w:szCs w:val="22"/>
              </w:rPr>
              <w:t>25</w:t>
            </w:r>
            <w:r w:rsidRPr="718F1C0D">
              <w:rPr>
                <w:rFonts w:eastAsia="Arial" w:cs="Arial"/>
                <w:sz w:val="22"/>
                <w:szCs w:val="22"/>
              </w:rPr>
              <w:t xml:space="preserve"> Actividades</w:t>
            </w:r>
          </w:p>
        </w:tc>
        <w:tc>
          <w:tcPr>
            <w:tcW w:w="279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AEFF7"/>
          </w:tcPr>
          <w:p w14:paraId="654E3944" w14:textId="77777777" w:rsidR="005D698A" w:rsidRDefault="005D698A" w:rsidP="00C72779">
            <w:pPr>
              <w:jc w:val="center"/>
              <w:rPr>
                <w:rFonts w:eastAsia="Arial" w:cs="Arial"/>
                <w:sz w:val="22"/>
                <w:szCs w:val="22"/>
              </w:rPr>
            </w:pPr>
            <w:r>
              <w:rPr>
                <w:rFonts w:eastAsia="Arial" w:cs="Arial"/>
                <w:sz w:val="22"/>
                <w:szCs w:val="22"/>
              </w:rPr>
              <w:t>29</w:t>
            </w:r>
            <w:r w:rsidRPr="718F1C0D">
              <w:rPr>
                <w:rFonts w:eastAsia="Arial" w:cs="Arial"/>
                <w:sz w:val="22"/>
                <w:szCs w:val="22"/>
              </w:rPr>
              <w:t xml:space="preserve"> Actividades</w:t>
            </w:r>
          </w:p>
        </w:tc>
        <w:tc>
          <w:tcPr>
            <w:tcW w:w="34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AEFF7"/>
          </w:tcPr>
          <w:p w14:paraId="04F7D4D3" w14:textId="77777777" w:rsidR="005D698A" w:rsidRDefault="005D698A" w:rsidP="00C72779">
            <w:pPr>
              <w:jc w:val="center"/>
              <w:rPr>
                <w:rFonts w:eastAsia="Arial" w:cs="Arial"/>
                <w:sz w:val="22"/>
                <w:szCs w:val="22"/>
              </w:rPr>
            </w:pPr>
            <w:r>
              <w:rPr>
                <w:rFonts w:eastAsia="Arial" w:cs="Arial"/>
                <w:sz w:val="22"/>
                <w:szCs w:val="22"/>
              </w:rPr>
              <w:t xml:space="preserve">29 </w:t>
            </w:r>
            <w:r w:rsidRPr="718F1C0D">
              <w:rPr>
                <w:rFonts w:eastAsia="Arial" w:cs="Arial"/>
                <w:sz w:val="22"/>
                <w:szCs w:val="22"/>
              </w:rPr>
              <w:t>Actividades</w:t>
            </w:r>
          </w:p>
        </w:tc>
      </w:tr>
    </w:tbl>
    <w:p w14:paraId="1A9608F6" w14:textId="18D5466A" w:rsidR="005D698A" w:rsidRPr="00964DF4" w:rsidRDefault="00964DF4" w:rsidP="00964DF4">
      <w:pPr>
        <w:jc w:val="center"/>
        <w:rPr>
          <w:rFonts w:eastAsia="Arial" w:cs="Arial"/>
          <w:b/>
          <w:sz w:val="16"/>
          <w:szCs w:val="16"/>
          <w:lang w:val="es-MX"/>
        </w:rPr>
      </w:pPr>
      <w:r w:rsidRPr="00964DF4">
        <w:rPr>
          <w:rFonts w:eastAsia="Arial" w:cs="Arial"/>
          <w:b/>
          <w:bCs/>
          <w:sz w:val="16"/>
          <w:szCs w:val="16"/>
          <w:lang w:val="es-MX"/>
        </w:rPr>
        <w:t>Fuente: Oficina Asesora de Planeación</w:t>
      </w:r>
    </w:p>
    <w:p w14:paraId="5FD1F7DB" w14:textId="77777777" w:rsidR="00964DF4" w:rsidRPr="00964DF4" w:rsidRDefault="00964DF4" w:rsidP="00964DF4">
      <w:pPr>
        <w:pStyle w:val="Lista"/>
        <w:rPr>
          <w:lang w:val="es-MX"/>
        </w:rPr>
      </w:pPr>
    </w:p>
    <w:p w14:paraId="75F788F8" w14:textId="631909E9" w:rsidR="00281313" w:rsidRDefault="00280C30" w:rsidP="00281313">
      <w:pPr>
        <w:pStyle w:val="Prrafodelista"/>
        <w:numPr>
          <w:ilvl w:val="0"/>
          <w:numId w:val="47"/>
        </w:numPr>
        <w:suppressAutoHyphens w:val="0"/>
        <w:overflowPunct/>
        <w:autoSpaceDE/>
        <w:spacing w:after="160"/>
        <w:contextualSpacing/>
        <w:textAlignment w:val="auto"/>
        <w:rPr>
          <w:rFonts w:eastAsia="Arial" w:cs="Arial"/>
          <w:sz w:val="22"/>
          <w:szCs w:val="22"/>
          <w:lang w:val="es-MX"/>
        </w:rPr>
      </w:pPr>
      <w:r w:rsidRPr="00AE2F33">
        <w:rPr>
          <w:noProof/>
          <w:sz w:val="22"/>
          <w:szCs w:val="22"/>
          <w:lang w:val="es-CO" w:eastAsia="es-CO"/>
        </w:rPr>
        <w:drawing>
          <wp:anchor distT="0" distB="0" distL="114300" distR="114300" simplePos="0" relativeHeight="251658256" behindDoc="1" locked="0" layoutInCell="1" allowOverlap="1" wp14:anchorId="29E950B0" wp14:editId="65FE9C2C">
            <wp:simplePos x="0" y="0"/>
            <wp:positionH relativeFrom="column">
              <wp:posOffset>2628900</wp:posOffset>
            </wp:positionH>
            <wp:positionV relativeFrom="paragraph">
              <wp:posOffset>52705</wp:posOffset>
            </wp:positionV>
            <wp:extent cx="3295650" cy="1790700"/>
            <wp:effectExtent l="0" t="0" r="0" b="0"/>
            <wp:wrapTight wrapText="bothSides">
              <wp:wrapPolygon edited="0">
                <wp:start x="0" y="0"/>
                <wp:lineTo x="0" y="21370"/>
                <wp:lineTo x="21475" y="21370"/>
                <wp:lineTo x="21475" y="0"/>
                <wp:lineTo x="0" y="0"/>
              </wp:wrapPolygon>
            </wp:wrapTight>
            <wp:docPr id="2" name="Gráfico 2">
              <a:extLst xmlns:a="http://schemas.openxmlformats.org/drawingml/2006/main">
                <a:ext uri="{FF2B5EF4-FFF2-40B4-BE49-F238E27FC236}">
                  <a16:creationId xmlns:a16="http://schemas.microsoft.com/office/drawing/2014/main" id="{5A7217D7-2F2C-41B9-93DA-FA9CDEBBFF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2"/>
              </a:graphicData>
            </a:graphic>
            <wp14:sizeRelH relativeFrom="page">
              <wp14:pctWidth>0</wp14:pctWidth>
            </wp14:sizeRelH>
            <wp14:sizeRelV relativeFrom="page">
              <wp14:pctHeight>0</wp14:pctHeight>
            </wp14:sizeRelV>
          </wp:anchor>
        </w:drawing>
      </w:r>
      <w:r w:rsidR="005D698A" w:rsidRPr="00AE2F33">
        <w:rPr>
          <w:rFonts w:eastAsia="Arial" w:cs="Arial"/>
          <w:b/>
          <w:sz w:val="22"/>
          <w:szCs w:val="22"/>
          <w:lang w:val="es-MX"/>
        </w:rPr>
        <w:t xml:space="preserve">Uso eficiente del agua: </w:t>
      </w:r>
      <w:r w:rsidR="005D698A" w:rsidRPr="00AE2F33">
        <w:rPr>
          <w:rFonts w:eastAsia="Arial" w:cs="Arial"/>
          <w:sz w:val="22"/>
          <w:szCs w:val="22"/>
        </w:rPr>
        <w:t>Este programa busca garantizar el uso eficiente del recurso hídrico a través de estrategias que permitan un consumo racional, el control sobre las pérdidas y desperdicios, la generación de nuevos sistemas de reutilización y adquisición de nuevas tecnologías y así conservar los ecosistemas reguladores y el ciclo hídrico</w:t>
      </w:r>
      <w:r w:rsidR="005D698A" w:rsidRPr="00AE2F33">
        <w:rPr>
          <w:rFonts w:eastAsia="Arial" w:cs="Arial"/>
          <w:b/>
          <w:sz w:val="22"/>
          <w:szCs w:val="22"/>
        </w:rPr>
        <w:t xml:space="preserve">. </w:t>
      </w:r>
      <w:r w:rsidR="005D698A" w:rsidRPr="00AE2F33">
        <w:rPr>
          <w:rFonts w:eastAsia="Arial" w:cs="Arial"/>
          <w:sz w:val="22"/>
          <w:szCs w:val="22"/>
          <w:lang w:val="es-MX"/>
        </w:rPr>
        <w:t>A partir del año 2020 se puede observar la disminución del consumo de agua en las diferentes sedes el IGAC, debido a la emergencia sanitaria que se presenta en el país y a la implementación de las estrategias de ahorro.</w:t>
      </w:r>
    </w:p>
    <w:p w14:paraId="2706B223" w14:textId="75246325" w:rsidR="00281313" w:rsidRPr="00281313" w:rsidRDefault="00281313" w:rsidP="00281313">
      <w:pPr>
        <w:pStyle w:val="Sinespaciado"/>
      </w:pPr>
    </w:p>
    <w:p w14:paraId="1A276AEE" w14:textId="3C308654" w:rsidR="00615E08" w:rsidRPr="00615E08" w:rsidRDefault="005D698A" w:rsidP="000A20EE">
      <w:pPr>
        <w:pStyle w:val="Prrafodelista"/>
        <w:numPr>
          <w:ilvl w:val="0"/>
          <w:numId w:val="47"/>
        </w:numPr>
        <w:suppressAutoHyphens w:val="0"/>
        <w:overflowPunct/>
        <w:autoSpaceDE/>
        <w:spacing w:after="160"/>
        <w:contextualSpacing/>
        <w:textAlignment w:val="auto"/>
        <w:rPr>
          <w:rFonts w:eastAsia="Arial" w:cs="Arial"/>
          <w:b/>
          <w:bCs/>
          <w:sz w:val="22"/>
          <w:szCs w:val="22"/>
        </w:rPr>
      </w:pPr>
      <w:r w:rsidRPr="007A6915">
        <w:rPr>
          <w:noProof/>
          <w:sz w:val="22"/>
          <w:szCs w:val="22"/>
          <w:lang w:val="es-CO" w:eastAsia="es-CO"/>
        </w:rPr>
        <w:drawing>
          <wp:anchor distT="0" distB="0" distL="114300" distR="114300" simplePos="0" relativeHeight="251658255" behindDoc="1" locked="0" layoutInCell="1" allowOverlap="1" wp14:anchorId="1F2C567D" wp14:editId="7844B45E">
            <wp:simplePos x="0" y="0"/>
            <wp:positionH relativeFrom="margin">
              <wp:posOffset>2590800</wp:posOffset>
            </wp:positionH>
            <wp:positionV relativeFrom="paragraph">
              <wp:posOffset>60325</wp:posOffset>
            </wp:positionV>
            <wp:extent cx="3384550" cy="1905000"/>
            <wp:effectExtent l="0" t="0" r="6350" b="0"/>
            <wp:wrapTight wrapText="bothSides">
              <wp:wrapPolygon edited="0">
                <wp:start x="0" y="0"/>
                <wp:lineTo x="0" y="21384"/>
                <wp:lineTo x="21519" y="21384"/>
                <wp:lineTo x="21519" y="0"/>
                <wp:lineTo x="0" y="0"/>
              </wp:wrapPolygon>
            </wp:wrapTight>
            <wp:docPr id="4" name="Gráfico 4">
              <a:extLst xmlns:a="http://schemas.openxmlformats.org/drawingml/2006/main">
                <a:ext uri="{FF2B5EF4-FFF2-40B4-BE49-F238E27FC236}">
                  <a16:creationId xmlns:a16="http://schemas.microsoft.com/office/drawing/2014/main" id="{67671AFF-1840-4A72-B657-4AFD6B64CBA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3"/>
              </a:graphicData>
            </a:graphic>
            <wp14:sizeRelH relativeFrom="page">
              <wp14:pctWidth>0</wp14:pctWidth>
            </wp14:sizeRelH>
            <wp14:sizeRelV relativeFrom="page">
              <wp14:pctHeight>0</wp14:pctHeight>
            </wp14:sizeRelV>
          </wp:anchor>
        </w:drawing>
      </w:r>
      <w:r w:rsidRPr="007A6915">
        <w:rPr>
          <w:rFonts w:eastAsia="Arial" w:cs="Arial"/>
          <w:b/>
          <w:sz w:val="22"/>
          <w:szCs w:val="22"/>
          <w:lang w:val="es-MX"/>
        </w:rPr>
        <w:t>Uso eficiente de la energía</w:t>
      </w:r>
      <w:r w:rsidRPr="007A6915">
        <w:rPr>
          <w:rFonts w:eastAsia="Arial" w:cs="Arial"/>
          <w:sz w:val="22"/>
          <w:szCs w:val="22"/>
          <w:lang w:val="es-MX"/>
        </w:rPr>
        <w:t xml:space="preserve">:  Buscar garantiza el uso eficiente de la energía eléctrica y los combustibles, a través de estrategias que permitan racionalizar el consumo, controlar las pérdidas y desperdicios, promover la conversión tecnológica, el aprovechamiento de energías alternativas y sensibilizar frente a la generación de gases de efecto invernadero. </w:t>
      </w:r>
      <w:r w:rsidRPr="007A6915">
        <w:rPr>
          <w:rFonts w:eastAsia="Arial" w:cs="Arial"/>
          <w:sz w:val="22"/>
          <w:szCs w:val="22"/>
        </w:rPr>
        <w:t xml:space="preserve">De igual </w:t>
      </w:r>
      <w:r w:rsidR="009A3034">
        <w:rPr>
          <w:rFonts w:eastAsia="Arial" w:cs="Arial"/>
          <w:sz w:val="22"/>
          <w:szCs w:val="22"/>
        </w:rPr>
        <w:t xml:space="preserve">                     </w:t>
      </w:r>
    </w:p>
    <w:p w14:paraId="45E1D8D6" w14:textId="4DA04FEF" w:rsidR="005D698A" w:rsidRPr="007A6915" w:rsidRDefault="005D698A" w:rsidP="000A20EE">
      <w:pPr>
        <w:pStyle w:val="Prrafodelista"/>
        <w:numPr>
          <w:ilvl w:val="0"/>
          <w:numId w:val="47"/>
        </w:numPr>
        <w:suppressAutoHyphens w:val="0"/>
        <w:overflowPunct/>
        <w:autoSpaceDE/>
        <w:spacing w:after="160"/>
        <w:contextualSpacing/>
        <w:textAlignment w:val="auto"/>
        <w:rPr>
          <w:rFonts w:eastAsia="Arial" w:cs="Arial"/>
          <w:b/>
          <w:sz w:val="22"/>
          <w:szCs w:val="22"/>
        </w:rPr>
      </w:pPr>
      <w:r w:rsidRPr="007A6915">
        <w:rPr>
          <w:rFonts w:eastAsia="Arial" w:cs="Arial"/>
          <w:sz w:val="22"/>
          <w:szCs w:val="22"/>
        </w:rPr>
        <w:t>forma en la gráfica se puede observar la disminución del consumo de energía eléctrica en las diferentes sedes del Instituto, debido a que los funcionarios se encuentran realizando sus actividades fuera de las instalaciones.</w:t>
      </w:r>
    </w:p>
    <w:p w14:paraId="04485EB7" w14:textId="77777777" w:rsidR="005D698A" w:rsidRPr="007A6915" w:rsidRDefault="005D698A" w:rsidP="00C72779">
      <w:pPr>
        <w:jc w:val="both"/>
        <w:rPr>
          <w:rFonts w:eastAsia="Arial" w:cs="Arial"/>
          <w:b/>
          <w:sz w:val="28"/>
          <w:szCs w:val="28"/>
        </w:rPr>
      </w:pPr>
    </w:p>
    <w:p w14:paraId="67664534" w14:textId="77777777" w:rsidR="005D698A" w:rsidRDefault="005D698A" w:rsidP="00C72779">
      <w:pPr>
        <w:jc w:val="both"/>
        <w:rPr>
          <w:rFonts w:eastAsia="Arial" w:cs="Arial"/>
          <w:b/>
          <w:bCs/>
        </w:rPr>
      </w:pPr>
    </w:p>
    <w:p w14:paraId="5979DAF8" w14:textId="77777777" w:rsidR="005D698A" w:rsidRPr="00A43FA0" w:rsidRDefault="005D698A" w:rsidP="00C72779">
      <w:pPr>
        <w:jc w:val="both"/>
        <w:rPr>
          <w:rFonts w:eastAsia="Arial" w:cs="Arial"/>
          <w:b/>
          <w:bCs/>
        </w:rPr>
      </w:pPr>
    </w:p>
    <w:p w14:paraId="32D23855" w14:textId="77777777" w:rsidR="005D698A" w:rsidRPr="007A6915" w:rsidRDefault="005D698A" w:rsidP="000A20EE">
      <w:pPr>
        <w:pStyle w:val="Prrafodelista"/>
        <w:numPr>
          <w:ilvl w:val="0"/>
          <w:numId w:val="47"/>
        </w:numPr>
        <w:suppressAutoHyphens w:val="0"/>
        <w:overflowPunct/>
        <w:autoSpaceDE/>
        <w:spacing w:after="160"/>
        <w:contextualSpacing/>
        <w:textAlignment w:val="auto"/>
        <w:rPr>
          <w:rFonts w:eastAsia="Arial" w:cs="Arial"/>
          <w:b/>
          <w:sz w:val="22"/>
          <w:szCs w:val="22"/>
        </w:rPr>
      </w:pPr>
      <w:r w:rsidRPr="007A6915">
        <w:rPr>
          <w:rFonts w:eastAsia="Arial" w:cs="Arial"/>
          <w:b/>
          <w:sz w:val="22"/>
          <w:szCs w:val="22"/>
          <w:lang w:val="es-MX"/>
        </w:rPr>
        <w:lastRenderedPageBreak/>
        <w:t xml:space="preserve">Gestión Integral de Residuos: </w:t>
      </w:r>
      <w:r w:rsidRPr="007A6915">
        <w:rPr>
          <w:rFonts w:eastAsia="Arial" w:cs="Arial"/>
          <w:sz w:val="22"/>
          <w:szCs w:val="22"/>
          <w:lang w:val="es-MX"/>
        </w:rPr>
        <w:t>Busca garantizar el manejo integral de los residuos aprovechables, no aprovechables, peligrosos, emisiones atmosféricas y vertimientos, conforme a la normativa vigente, incluyendo componentes de prevención, migración y aprovechamiento.</w:t>
      </w:r>
    </w:p>
    <w:p w14:paraId="45C7DF5C" w14:textId="77777777" w:rsidR="005D698A" w:rsidRPr="007A6915" w:rsidRDefault="005D698A" w:rsidP="000A20EE">
      <w:pPr>
        <w:pStyle w:val="Prrafodelista"/>
        <w:numPr>
          <w:ilvl w:val="0"/>
          <w:numId w:val="47"/>
        </w:numPr>
        <w:suppressAutoHyphens w:val="0"/>
        <w:overflowPunct/>
        <w:autoSpaceDE/>
        <w:spacing w:after="160"/>
        <w:contextualSpacing/>
        <w:textAlignment w:val="auto"/>
        <w:rPr>
          <w:rFonts w:eastAsia="Arial" w:cs="Arial"/>
          <w:b/>
          <w:sz w:val="22"/>
          <w:szCs w:val="22"/>
        </w:rPr>
      </w:pPr>
      <w:r w:rsidRPr="007A6915">
        <w:rPr>
          <w:rFonts w:eastAsia="Arial" w:cs="Arial"/>
          <w:b/>
          <w:sz w:val="22"/>
          <w:szCs w:val="22"/>
          <w:lang w:val="es-MX"/>
        </w:rPr>
        <w:t xml:space="preserve">Consumo Sostenible: </w:t>
      </w:r>
      <w:r w:rsidRPr="007A6915">
        <w:rPr>
          <w:rFonts w:eastAsia="Arial" w:cs="Arial"/>
          <w:sz w:val="22"/>
          <w:szCs w:val="22"/>
          <w:lang w:val="es-MX"/>
        </w:rPr>
        <w:t>Este programa busca establecer acciones de uso y consumo responsable de materiales, fortaleciendo la cadena de suministro y generando valor agregado en la entidad, con la adquisición de bienes, productos o servicios que minimicen los impactos ambientales más significativos en el marco del ciclo de vida de los productos.</w:t>
      </w:r>
    </w:p>
    <w:p w14:paraId="1FD09508" w14:textId="77777777" w:rsidR="005D698A" w:rsidRDefault="005D698A" w:rsidP="000A20EE">
      <w:pPr>
        <w:pStyle w:val="Prrafodelista"/>
        <w:numPr>
          <w:ilvl w:val="0"/>
          <w:numId w:val="47"/>
        </w:numPr>
        <w:suppressAutoHyphens w:val="0"/>
        <w:overflowPunct/>
        <w:autoSpaceDE/>
        <w:spacing w:after="160"/>
        <w:contextualSpacing/>
        <w:textAlignment w:val="auto"/>
        <w:rPr>
          <w:rFonts w:eastAsia="Arial" w:cs="Arial"/>
          <w:sz w:val="22"/>
          <w:szCs w:val="22"/>
          <w:lang w:val="es-MX"/>
        </w:rPr>
      </w:pPr>
      <w:r w:rsidRPr="007A6915">
        <w:rPr>
          <w:rFonts w:eastAsia="Arial" w:cs="Arial"/>
          <w:b/>
          <w:sz w:val="22"/>
          <w:szCs w:val="22"/>
          <w:lang w:val="es-MX"/>
        </w:rPr>
        <w:t xml:space="preserve">Implementación de buenas prácticas: </w:t>
      </w:r>
      <w:r w:rsidRPr="007A6915">
        <w:rPr>
          <w:rFonts w:eastAsia="Arial" w:cs="Arial"/>
          <w:sz w:val="22"/>
          <w:szCs w:val="22"/>
          <w:lang w:val="es-MX"/>
        </w:rPr>
        <w:t>Apoya la adopción de una cultura ambiental, articulación con las políticas, planes con características innovadoras que generan valor agregado a la entidad y sean reconocidas como experiencias exitosas por actores claves en el marco de la sostenibilidad, mediante líneas de trabajo como: movilidad urbana sostenible, mejoramiento de las condiciones ambientales internas y adaptación al cambio climático.</w:t>
      </w:r>
    </w:p>
    <w:p w14:paraId="179B763B" w14:textId="3E5652B9" w:rsidR="00DF764C" w:rsidRPr="00DD2082" w:rsidRDefault="00DD2082" w:rsidP="00DD2082">
      <w:pPr>
        <w:pStyle w:val="Descripcin"/>
        <w:jc w:val="center"/>
        <w:rPr>
          <w:rFonts w:ascii="Arial" w:eastAsia="Arial" w:hAnsi="Arial" w:cs="Arial"/>
          <w:b/>
          <w:i w:val="0"/>
          <w:color w:val="auto"/>
          <w:sz w:val="16"/>
          <w:lang w:val="es-MX"/>
        </w:rPr>
      </w:pPr>
      <w:bookmarkStart w:id="199" w:name="_Toc88677146"/>
      <w:r w:rsidRPr="00DD2082">
        <w:rPr>
          <w:rFonts w:ascii="Arial" w:hAnsi="Arial" w:cs="Arial"/>
          <w:b/>
          <w:i w:val="0"/>
          <w:color w:val="auto"/>
          <w:sz w:val="16"/>
        </w:rPr>
        <w:t xml:space="preserve">Tabla </w:t>
      </w:r>
      <w:r w:rsidRPr="00DD2082">
        <w:rPr>
          <w:rFonts w:ascii="Arial" w:hAnsi="Arial" w:cs="Arial"/>
          <w:b/>
          <w:i w:val="0"/>
          <w:color w:val="auto"/>
          <w:sz w:val="16"/>
        </w:rPr>
        <w:fldChar w:fldCharType="begin"/>
      </w:r>
      <w:r w:rsidRPr="00DD2082">
        <w:rPr>
          <w:rFonts w:ascii="Arial" w:hAnsi="Arial" w:cs="Arial"/>
          <w:b/>
          <w:i w:val="0"/>
          <w:color w:val="auto"/>
          <w:sz w:val="16"/>
        </w:rPr>
        <w:instrText xml:space="preserve"> SEQ Tabla \* ARABIC </w:instrText>
      </w:r>
      <w:r w:rsidRPr="00DD2082">
        <w:rPr>
          <w:rFonts w:ascii="Arial" w:hAnsi="Arial" w:cs="Arial"/>
          <w:b/>
          <w:i w:val="0"/>
          <w:color w:val="auto"/>
          <w:sz w:val="16"/>
        </w:rPr>
        <w:fldChar w:fldCharType="separate"/>
      </w:r>
      <w:r w:rsidR="004D4C6A">
        <w:rPr>
          <w:rFonts w:ascii="Arial" w:hAnsi="Arial" w:cs="Arial"/>
          <w:b/>
          <w:i w:val="0"/>
          <w:noProof/>
          <w:color w:val="auto"/>
          <w:sz w:val="16"/>
        </w:rPr>
        <w:t>77</w:t>
      </w:r>
      <w:r w:rsidRPr="00DD2082">
        <w:rPr>
          <w:rFonts w:ascii="Arial" w:hAnsi="Arial" w:cs="Arial"/>
          <w:b/>
          <w:i w:val="0"/>
          <w:color w:val="auto"/>
          <w:sz w:val="16"/>
        </w:rPr>
        <w:fldChar w:fldCharType="end"/>
      </w:r>
      <w:r w:rsidRPr="00DD2082">
        <w:rPr>
          <w:rFonts w:ascii="Arial" w:hAnsi="Arial" w:cs="Arial"/>
          <w:b/>
          <w:i w:val="0"/>
          <w:color w:val="auto"/>
          <w:sz w:val="16"/>
        </w:rPr>
        <w:t>. Actividades gestión ambiental</w:t>
      </w:r>
      <w:bookmarkEnd w:id="199"/>
    </w:p>
    <w:tbl>
      <w:tblPr>
        <w:tblStyle w:val="Tabladecuadrcula4-nfasis1"/>
        <w:tblW w:w="0" w:type="auto"/>
        <w:tblLayout w:type="fixed"/>
        <w:tblLook w:val="04A0" w:firstRow="1" w:lastRow="0" w:firstColumn="1" w:lastColumn="0" w:noHBand="0" w:noVBand="1"/>
      </w:tblPr>
      <w:tblGrid>
        <w:gridCol w:w="3903"/>
        <w:gridCol w:w="5457"/>
      </w:tblGrid>
      <w:tr w:rsidR="005D698A" w:rsidRPr="00180828" w14:paraId="2DCDC446" w14:textId="77777777" w:rsidTr="000153E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903" w:type="dxa"/>
          </w:tcPr>
          <w:p w14:paraId="1FF207C2" w14:textId="77777777" w:rsidR="005D698A" w:rsidRPr="00180828" w:rsidRDefault="005D698A" w:rsidP="00C72779">
            <w:pPr>
              <w:jc w:val="center"/>
              <w:rPr>
                <w:rFonts w:cs="Arial"/>
                <w:sz w:val="22"/>
                <w:szCs w:val="22"/>
              </w:rPr>
            </w:pPr>
            <w:r w:rsidRPr="00180828">
              <w:rPr>
                <w:rFonts w:eastAsia="Calibri" w:cs="Arial"/>
                <w:bCs w:val="0"/>
                <w:sz w:val="22"/>
                <w:szCs w:val="22"/>
                <w:lang w:val="es-MX"/>
              </w:rPr>
              <w:t>Actividad</w:t>
            </w:r>
          </w:p>
        </w:tc>
        <w:tc>
          <w:tcPr>
            <w:tcW w:w="5457" w:type="dxa"/>
          </w:tcPr>
          <w:p w14:paraId="23206BA1" w14:textId="77777777" w:rsidR="005D698A" w:rsidRPr="00180828" w:rsidRDefault="005D698A" w:rsidP="00C72779">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180828">
              <w:rPr>
                <w:rFonts w:eastAsia="Calibri" w:cs="Arial"/>
                <w:bCs w:val="0"/>
                <w:sz w:val="22"/>
                <w:szCs w:val="22"/>
                <w:lang w:val="es-MX"/>
              </w:rPr>
              <w:t>Descripción</w:t>
            </w:r>
          </w:p>
        </w:tc>
      </w:tr>
      <w:tr w:rsidR="005D698A" w:rsidRPr="00180828" w14:paraId="6E9851B7" w14:textId="77777777" w:rsidTr="000153ED">
        <w:trPr>
          <w:cnfStyle w:val="000000100000" w:firstRow="0" w:lastRow="0" w:firstColumn="0" w:lastColumn="0" w:oddVBand="0" w:evenVBand="0" w:oddHBand="1" w:evenHBand="0" w:firstRowFirstColumn="0" w:firstRowLastColumn="0" w:lastRowFirstColumn="0" w:lastRowLastColumn="0"/>
          <w:trHeight w:val="2610"/>
        </w:trPr>
        <w:tc>
          <w:tcPr>
            <w:cnfStyle w:val="001000000000" w:firstRow="0" w:lastRow="0" w:firstColumn="1" w:lastColumn="0" w:oddVBand="0" w:evenVBand="0" w:oddHBand="0" w:evenHBand="0" w:firstRowFirstColumn="0" w:firstRowLastColumn="0" w:lastRowFirstColumn="0" w:lastRowLastColumn="0"/>
            <w:tcW w:w="3903" w:type="dxa"/>
          </w:tcPr>
          <w:p w14:paraId="49EF8187" w14:textId="77777777" w:rsidR="005D698A" w:rsidRPr="00180828" w:rsidRDefault="005D698A" w:rsidP="00C72779">
            <w:pPr>
              <w:tabs>
                <w:tab w:val="left" w:pos="945"/>
              </w:tabs>
              <w:jc w:val="center"/>
              <w:rPr>
                <w:rFonts w:cs="Arial"/>
                <w:sz w:val="22"/>
                <w:szCs w:val="22"/>
              </w:rPr>
            </w:pPr>
            <w:r w:rsidRPr="00180828">
              <w:rPr>
                <w:rFonts w:cs="Arial"/>
                <w:noProof/>
                <w:sz w:val="22"/>
                <w:szCs w:val="22"/>
                <w:lang w:val="es-CO" w:eastAsia="es-CO"/>
              </w:rPr>
              <w:drawing>
                <wp:anchor distT="0" distB="0" distL="114300" distR="114300" simplePos="0" relativeHeight="251658247" behindDoc="0" locked="0" layoutInCell="1" allowOverlap="1" wp14:anchorId="03DB9CDC" wp14:editId="7EC86E22">
                  <wp:simplePos x="0" y="0"/>
                  <wp:positionH relativeFrom="column">
                    <wp:posOffset>131445</wp:posOffset>
                  </wp:positionH>
                  <wp:positionV relativeFrom="paragraph">
                    <wp:posOffset>241300</wp:posOffset>
                  </wp:positionV>
                  <wp:extent cx="1941195" cy="1271270"/>
                  <wp:effectExtent l="0" t="0" r="1905" b="508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4" cstate="print">
                            <a:extLst>
                              <a:ext uri="{28A0092B-C50C-407E-A947-70E740481C1C}">
                                <a14:useLocalDpi xmlns:a14="http://schemas.microsoft.com/office/drawing/2010/main" val="0"/>
                              </a:ext>
                            </a:extLst>
                          </a:blip>
                          <a:stretch>
                            <a:fillRect/>
                          </a:stretch>
                        </pic:blipFill>
                        <pic:spPr>
                          <a:xfrm>
                            <a:off x="0" y="0"/>
                            <a:ext cx="1941195" cy="1271270"/>
                          </a:xfrm>
                          <a:prstGeom prst="rect">
                            <a:avLst/>
                          </a:prstGeom>
                        </pic:spPr>
                      </pic:pic>
                    </a:graphicData>
                  </a:graphic>
                  <wp14:sizeRelH relativeFrom="page">
                    <wp14:pctWidth>0</wp14:pctWidth>
                  </wp14:sizeRelH>
                  <wp14:sizeRelV relativeFrom="page">
                    <wp14:pctHeight>0</wp14:pctHeight>
                  </wp14:sizeRelV>
                </wp:anchor>
              </w:drawing>
            </w:r>
            <w:r w:rsidRPr="00180828">
              <w:rPr>
                <w:rFonts w:eastAsia="Calibri" w:cs="Arial"/>
                <w:bCs w:val="0"/>
                <w:sz w:val="22"/>
                <w:szCs w:val="22"/>
              </w:rPr>
              <w:t>Semana ambiental</w:t>
            </w:r>
          </w:p>
          <w:p w14:paraId="0448F88E" w14:textId="77777777" w:rsidR="005D698A" w:rsidRDefault="005D698A" w:rsidP="00C72779">
            <w:pPr>
              <w:tabs>
                <w:tab w:val="left" w:pos="945"/>
              </w:tabs>
              <w:rPr>
                <w:rFonts w:eastAsia="Calibri" w:cs="Arial"/>
                <w:b w:val="0"/>
                <w:bCs w:val="0"/>
                <w:sz w:val="22"/>
                <w:szCs w:val="22"/>
              </w:rPr>
            </w:pPr>
          </w:p>
          <w:p w14:paraId="7E741143" w14:textId="77777777" w:rsidR="005D698A" w:rsidRPr="00180828" w:rsidRDefault="005D698A" w:rsidP="00C72779">
            <w:pPr>
              <w:tabs>
                <w:tab w:val="left" w:pos="945"/>
              </w:tabs>
              <w:rPr>
                <w:rFonts w:eastAsia="Calibri" w:cs="Arial"/>
                <w:b w:val="0"/>
                <w:bCs w:val="0"/>
                <w:sz w:val="22"/>
                <w:szCs w:val="22"/>
              </w:rPr>
            </w:pPr>
          </w:p>
          <w:p w14:paraId="45C72197" w14:textId="77777777" w:rsidR="005D698A" w:rsidRPr="00180828" w:rsidRDefault="005D698A" w:rsidP="00C72779">
            <w:pPr>
              <w:tabs>
                <w:tab w:val="left" w:pos="945"/>
              </w:tabs>
              <w:jc w:val="center"/>
              <w:rPr>
                <w:rFonts w:eastAsia="Calibri" w:cs="Arial"/>
                <w:bCs w:val="0"/>
                <w:sz w:val="22"/>
                <w:szCs w:val="22"/>
              </w:rPr>
            </w:pPr>
            <w:r w:rsidRPr="00180828">
              <w:rPr>
                <w:rFonts w:cs="Arial"/>
                <w:noProof/>
                <w:sz w:val="22"/>
                <w:szCs w:val="22"/>
                <w:lang w:val="es-CO" w:eastAsia="es-CO"/>
              </w:rPr>
              <w:drawing>
                <wp:anchor distT="0" distB="0" distL="114300" distR="114300" simplePos="0" relativeHeight="251658246" behindDoc="1" locked="0" layoutInCell="1" allowOverlap="1" wp14:anchorId="4E221E91" wp14:editId="6A361572">
                  <wp:simplePos x="0" y="0"/>
                  <wp:positionH relativeFrom="column">
                    <wp:posOffset>363855</wp:posOffset>
                  </wp:positionH>
                  <wp:positionV relativeFrom="paragraph">
                    <wp:posOffset>421640</wp:posOffset>
                  </wp:positionV>
                  <wp:extent cx="1485900" cy="1403350"/>
                  <wp:effectExtent l="0" t="0" r="0" b="6350"/>
                  <wp:wrapTight wrapText="bothSides">
                    <wp:wrapPolygon edited="0">
                      <wp:start x="0" y="0"/>
                      <wp:lineTo x="0" y="21405"/>
                      <wp:lineTo x="21323" y="21405"/>
                      <wp:lineTo x="21323" y="0"/>
                      <wp:lineTo x="0" y="0"/>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1485900" cy="1403350"/>
                          </a:xfrm>
                          <a:prstGeom prst="rect">
                            <a:avLst/>
                          </a:prstGeom>
                        </pic:spPr>
                      </pic:pic>
                    </a:graphicData>
                  </a:graphic>
                  <wp14:sizeRelH relativeFrom="page">
                    <wp14:pctWidth>0</wp14:pctWidth>
                  </wp14:sizeRelH>
                  <wp14:sizeRelV relativeFrom="page">
                    <wp14:pctHeight>0</wp14:pctHeight>
                  </wp14:sizeRelV>
                </wp:anchor>
              </w:drawing>
            </w:r>
            <w:r w:rsidRPr="00180828">
              <w:rPr>
                <w:rFonts w:eastAsia="Calibri" w:cs="Arial"/>
                <w:bCs w:val="0"/>
                <w:sz w:val="22"/>
                <w:szCs w:val="22"/>
              </w:rPr>
              <w:t>Concurso “Yo contribuyo al planeta desde mi hogar”</w:t>
            </w:r>
          </w:p>
          <w:p w14:paraId="03606737" w14:textId="77777777" w:rsidR="005D698A" w:rsidRPr="00180828" w:rsidRDefault="005D698A" w:rsidP="00C72779">
            <w:pPr>
              <w:tabs>
                <w:tab w:val="left" w:pos="945"/>
              </w:tabs>
              <w:jc w:val="center"/>
              <w:rPr>
                <w:rFonts w:eastAsia="Calibri" w:cs="Arial"/>
                <w:bCs w:val="0"/>
                <w:sz w:val="22"/>
                <w:szCs w:val="22"/>
              </w:rPr>
            </w:pPr>
            <w:r w:rsidRPr="00180828">
              <w:rPr>
                <w:rFonts w:cs="Arial"/>
                <w:noProof/>
                <w:sz w:val="22"/>
                <w:szCs w:val="22"/>
                <w:lang w:val="es-CO" w:eastAsia="es-CO"/>
              </w:rPr>
              <w:drawing>
                <wp:anchor distT="0" distB="0" distL="114300" distR="114300" simplePos="0" relativeHeight="251658248" behindDoc="0" locked="0" layoutInCell="1" allowOverlap="1" wp14:anchorId="049EEFD5" wp14:editId="37E1A36F">
                  <wp:simplePos x="0" y="0"/>
                  <wp:positionH relativeFrom="column">
                    <wp:posOffset>264795</wp:posOffset>
                  </wp:positionH>
                  <wp:positionV relativeFrom="paragraph">
                    <wp:posOffset>2011680</wp:posOffset>
                  </wp:positionV>
                  <wp:extent cx="1860520" cy="1098550"/>
                  <wp:effectExtent l="0" t="0" r="6985" b="635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cstate="print">
                            <a:extLst>
                              <a:ext uri="{28A0092B-C50C-407E-A947-70E740481C1C}">
                                <a14:useLocalDpi xmlns:a14="http://schemas.microsoft.com/office/drawing/2010/main" val="0"/>
                              </a:ext>
                            </a:extLst>
                          </a:blip>
                          <a:stretch>
                            <a:fillRect/>
                          </a:stretch>
                        </pic:blipFill>
                        <pic:spPr>
                          <a:xfrm>
                            <a:off x="0" y="0"/>
                            <a:ext cx="1860520" cy="1098550"/>
                          </a:xfrm>
                          <a:prstGeom prst="rect">
                            <a:avLst/>
                          </a:prstGeom>
                        </pic:spPr>
                      </pic:pic>
                    </a:graphicData>
                  </a:graphic>
                  <wp14:sizeRelH relativeFrom="page">
                    <wp14:pctWidth>0</wp14:pctWidth>
                  </wp14:sizeRelH>
                  <wp14:sizeRelV relativeFrom="page">
                    <wp14:pctHeight>0</wp14:pctHeight>
                  </wp14:sizeRelV>
                </wp:anchor>
              </w:drawing>
            </w:r>
            <w:r w:rsidRPr="00180828">
              <w:rPr>
                <w:rFonts w:eastAsia="Calibri" w:cs="Arial"/>
                <w:bCs w:val="0"/>
                <w:sz w:val="22"/>
                <w:szCs w:val="22"/>
              </w:rPr>
              <w:t>Campañas comunicativas sobre el consumo de agua y energía</w:t>
            </w:r>
          </w:p>
          <w:p w14:paraId="246455CA" w14:textId="77777777" w:rsidR="005D698A" w:rsidRPr="00180828" w:rsidRDefault="005D698A" w:rsidP="00C72779">
            <w:pPr>
              <w:tabs>
                <w:tab w:val="left" w:pos="945"/>
              </w:tabs>
              <w:rPr>
                <w:rFonts w:eastAsia="Calibri" w:cs="Arial"/>
                <w:b w:val="0"/>
                <w:bCs w:val="0"/>
                <w:sz w:val="22"/>
                <w:szCs w:val="22"/>
              </w:rPr>
            </w:pPr>
          </w:p>
          <w:p w14:paraId="383BF1B0" w14:textId="77777777" w:rsidR="005D698A" w:rsidRDefault="005D698A" w:rsidP="00C72779">
            <w:pPr>
              <w:tabs>
                <w:tab w:val="left" w:pos="945"/>
              </w:tabs>
              <w:jc w:val="center"/>
              <w:rPr>
                <w:rFonts w:eastAsia="Calibri" w:cs="Arial"/>
                <w:bCs w:val="0"/>
                <w:sz w:val="22"/>
                <w:szCs w:val="22"/>
              </w:rPr>
            </w:pPr>
            <w:r w:rsidRPr="00180828">
              <w:rPr>
                <w:rFonts w:eastAsia="Calibri" w:cs="Arial"/>
                <w:bCs w:val="0"/>
                <w:sz w:val="22"/>
                <w:szCs w:val="22"/>
              </w:rPr>
              <w:t xml:space="preserve">Inclusión de Asociaciones de recicladores </w:t>
            </w:r>
          </w:p>
          <w:p w14:paraId="6EB3B577" w14:textId="77777777" w:rsidR="005D698A" w:rsidRPr="00180828" w:rsidRDefault="005D698A" w:rsidP="00C72779">
            <w:pPr>
              <w:tabs>
                <w:tab w:val="left" w:pos="945"/>
              </w:tabs>
              <w:jc w:val="center"/>
              <w:rPr>
                <w:rFonts w:eastAsia="Calibri" w:cs="Arial"/>
                <w:bCs w:val="0"/>
                <w:sz w:val="22"/>
                <w:szCs w:val="22"/>
              </w:rPr>
            </w:pPr>
          </w:p>
          <w:p w14:paraId="7F458FD6" w14:textId="77777777" w:rsidR="005D698A" w:rsidRPr="00180828" w:rsidRDefault="005D698A" w:rsidP="00C72779">
            <w:pPr>
              <w:tabs>
                <w:tab w:val="left" w:pos="945"/>
              </w:tabs>
              <w:jc w:val="center"/>
              <w:rPr>
                <w:rFonts w:eastAsia="Calibri" w:cs="Arial"/>
                <w:b w:val="0"/>
                <w:bCs w:val="0"/>
                <w:sz w:val="22"/>
                <w:szCs w:val="22"/>
              </w:rPr>
            </w:pPr>
            <w:r w:rsidRPr="00180828">
              <w:rPr>
                <w:rFonts w:cs="Arial"/>
                <w:noProof/>
                <w:sz w:val="22"/>
                <w:szCs w:val="22"/>
                <w:lang w:val="es-CO" w:eastAsia="es-CO"/>
              </w:rPr>
              <w:drawing>
                <wp:inline distT="0" distB="0" distL="0" distR="0" wp14:anchorId="63839FAD" wp14:editId="4B9192D4">
                  <wp:extent cx="1784350" cy="1298941"/>
                  <wp:effectExtent l="0" t="0" r="635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7"/>
                          <a:stretch>
                            <a:fillRect/>
                          </a:stretch>
                        </pic:blipFill>
                        <pic:spPr>
                          <a:xfrm>
                            <a:off x="0" y="0"/>
                            <a:ext cx="1794088" cy="1306030"/>
                          </a:xfrm>
                          <a:prstGeom prst="rect">
                            <a:avLst/>
                          </a:prstGeom>
                        </pic:spPr>
                      </pic:pic>
                    </a:graphicData>
                  </a:graphic>
                </wp:inline>
              </w:drawing>
            </w:r>
          </w:p>
          <w:p w14:paraId="2AABFD74" w14:textId="77777777" w:rsidR="005D698A" w:rsidRPr="00180828" w:rsidRDefault="005D698A" w:rsidP="00C72779">
            <w:pPr>
              <w:tabs>
                <w:tab w:val="left" w:pos="945"/>
              </w:tabs>
              <w:jc w:val="center"/>
              <w:rPr>
                <w:rFonts w:eastAsia="Calibri" w:cs="Arial"/>
                <w:b w:val="0"/>
                <w:bCs w:val="0"/>
                <w:sz w:val="22"/>
                <w:szCs w:val="22"/>
              </w:rPr>
            </w:pPr>
          </w:p>
          <w:p w14:paraId="23271698" w14:textId="77777777" w:rsidR="005D698A" w:rsidRPr="00180828" w:rsidRDefault="005D698A" w:rsidP="00C72779">
            <w:pPr>
              <w:tabs>
                <w:tab w:val="left" w:pos="945"/>
              </w:tabs>
              <w:jc w:val="center"/>
              <w:rPr>
                <w:rFonts w:eastAsia="Calibri" w:cs="Arial"/>
                <w:bCs w:val="0"/>
                <w:sz w:val="22"/>
                <w:szCs w:val="22"/>
              </w:rPr>
            </w:pPr>
            <w:r w:rsidRPr="00180828">
              <w:rPr>
                <w:rFonts w:eastAsia="Calibri" w:cs="Arial"/>
                <w:bCs w:val="0"/>
                <w:sz w:val="22"/>
                <w:szCs w:val="22"/>
              </w:rPr>
              <w:t>Manejo integral de residuos dentro del IGAC.</w:t>
            </w:r>
          </w:p>
          <w:p w14:paraId="2D9A9BB0" w14:textId="77777777" w:rsidR="005D698A" w:rsidRPr="00180828" w:rsidRDefault="005D698A" w:rsidP="00C72779">
            <w:pPr>
              <w:tabs>
                <w:tab w:val="left" w:pos="945"/>
              </w:tabs>
              <w:jc w:val="center"/>
              <w:rPr>
                <w:rFonts w:eastAsia="Calibri" w:cs="Arial"/>
                <w:b w:val="0"/>
                <w:bCs w:val="0"/>
                <w:sz w:val="22"/>
                <w:szCs w:val="22"/>
              </w:rPr>
            </w:pPr>
          </w:p>
          <w:p w14:paraId="1F5379F1" w14:textId="77777777" w:rsidR="005D698A" w:rsidRPr="00180828" w:rsidRDefault="005D698A" w:rsidP="00C72779">
            <w:pPr>
              <w:tabs>
                <w:tab w:val="left" w:pos="945"/>
              </w:tabs>
              <w:jc w:val="center"/>
              <w:rPr>
                <w:rFonts w:eastAsia="Calibri" w:cs="Arial"/>
                <w:b w:val="0"/>
                <w:bCs w:val="0"/>
                <w:sz w:val="22"/>
                <w:szCs w:val="22"/>
              </w:rPr>
            </w:pPr>
            <w:r w:rsidRPr="00180828">
              <w:rPr>
                <w:rFonts w:cs="Arial"/>
                <w:noProof/>
                <w:sz w:val="22"/>
                <w:szCs w:val="22"/>
                <w:lang w:val="es-CO" w:eastAsia="es-CO"/>
              </w:rPr>
              <w:drawing>
                <wp:inline distT="0" distB="0" distL="0" distR="0" wp14:anchorId="2ABAA6D5" wp14:editId="559F0EB9">
                  <wp:extent cx="1917700" cy="1820437"/>
                  <wp:effectExtent l="0" t="0" r="6350" b="889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8"/>
                          <a:stretch>
                            <a:fillRect/>
                          </a:stretch>
                        </pic:blipFill>
                        <pic:spPr>
                          <a:xfrm>
                            <a:off x="0" y="0"/>
                            <a:ext cx="1917832" cy="1820562"/>
                          </a:xfrm>
                          <a:prstGeom prst="rect">
                            <a:avLst/>
                          </a:prstGeom>
                        </pic:spPr>
                      </pic:pic>
                    </a:graphicData>
                  </a:graphic>
                </wp:inline>
              </w:drawing>
            </w:r>
          </w:p>
        </w:tc>
        <w:tc>
          <w:tcPr>
            <w:tcW w:w="5457" w:type="dxa"/>
            <w:vAlign w:val="center"/>
          </w:tcPr>
          <w:p w14:paraId="6079E592"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3F68F5C5"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Durante la semana ambiental 2021 se desarrollaron diferentes actividades junto con entidades del orden nacional y distrital, buscando así un mayor impacto.</w:t>
            </w:r>
          </w:p>
          <w:p w14:paraId="38A95757"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Dentro de las actividades se destacan:</w:t>
            </w:r>
          </w:p>
          <w:p w14:paraId="5388771A"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Huertas urbanas</w:t>
            </w:r>
          </w:p>
          <w:p w14:paraId="354DF9C3"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Gestión de residuos</w:t>
            </w:r>
          </w:p>
          <w:p w14:paraId="0B73751A"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 xml:space="preserve">Taller de meditación </w:t>
            </w:r>
          </w:p>
          <w:p w14:paraId="67600FF4"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Agricultura urbana</w:t>
            </w:r>
          </w:p>
          <w:p w14:paraId="6B50F59B"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Hábitos saludables</w:t>
            </w:r>
          </w:p>
          <w:p w14:paraId="1BEB1FB7" w14:textId="77777777" w:rsidR="005D698A" w:rsidRPr="00180828" w:rsidRDefault="005D698A" w:rsidP="000A20EE">
            <w:pPr>
              <w:pStyle w:val="Prrafodelista"/>
              <w:numPr>
                <w:ilvl w:val="0"/>
                <w:numId w:val="30"/>
              </w:numPr>
              <w:suppressAutoHyphens w:val="0"/>
              <w:overflowPunct/>
              <w:autoSpaceDE/>
              <w:spacing w:after="160"/>
              <w:contextualSpacing/>
              <w:textAlignment w:val="auto"/>
              <w:cnfStyle w:val="000000100000" w:firstRow="0" w:lastRow="0" w:firstColumn="0" w:lastColumn="0" w:oddVBand="0" w:evenVBand="0" w:oddHBand="1" w:evenHBand="0" w:firstRowFirstColumn="0" w:firstRowLastColumn="0" w:lastRowFirstColumn="0" w:lastRowLastColumn="0"/>
              <w:rPr>
                <w:rFonts w:eastAsia="Calibri" w:cs="Arial"/>
              </w:rPr>
            </w:pPr>
            <w:r w:rsidRPr="00180828">
              <w:rPr>
                <w:rFonts w:eastAsia="Calibri" w:cs="Arial"/>
              </w:rPr>
              <w:t>Presentación paca Biodigestora</w:t>
            </w:r>
          </w:p>
          <w:p w14:paraId="262C723E"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1227884C"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11A481EF"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A partir de la situación que no</w:t>
            </w:r>
            <w:r>
              <w:rPr>
                <w:rFonts w:eastAsia="Calibri" w:cs="Arial"/>
                <w:sz w:val="22"/>
                <w:szCs w:val="22"/>
              </w:rPr>
              <w:t>s</w:t>
            </w:r>
            <w:r w:rsidRPr="00180828">
              <w:rPr>
                <w:rFonts w:eastAsia="Calibri" w:cs="Arial"/>
                <w:sz w:val="22"/>
                <w:szCs w:val="22"/>
              </w:rPr>
              <w:t xml:space="preserve"> encontrábamos surgió una idea, de incentivar a los funcionarios que nos mostraran mediante un video muy corto, cuáles eran sus hábitos o acciones que realizaban desde su hogar y contribuían con el medio ambiente. </w:t>
            </w:r>
          </w:p>
          <w:p w14:paraId="6F197BBF"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Se le otorgo un kit de Jardinería a la ganadora, la cual presento su huerta ecológica implementada con sus vecinos dentro del conjunto residencial.</w:t>
            </w:r>
          </w:p>
          <w:p w14:paraId="3FAD4AFE"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7622CECF"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3064C18D"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24621CDC"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62F9E735"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Mediante el correo institucional se han enviado campañas de sensibilización respecto al consumo de agua y energía, tanto en el hogar como en el puesto de trabajo. Cuestionando a los funcionarios respecto a sus hábitos diarios.</w:t>
            </w:r>
          </w:p>
          <w:p w14:paraId="2827BA71"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172840E4"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7E4E3B5F"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1A48B5D5"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72746BD7"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775A1189"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555FAD7A"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528F1323"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 xml:space="preserve">Para la vigencia 2021 se suscribió un acuerdo de corresponsabilidad con la Asociación de recicladores Crecer sin fronteras, beneficiando a familias en estado de vulnerabilidad de la ciudad de Bogotá, entregándoles de manera gratuita los residuos con potencial reciclable generados en la entidad. </w:t>
            </w:r>
          </w:p>
          <w:p w14:paraId="55DDFC2E"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40206214"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355F6C4A"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28CA1040"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6ADE3805"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6A1810AC"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3844963D" w14:textId="77777777" w:rsidR="005D698A"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p>
          <w:p w14:paraId="3A447063" w14:textId="77777777" w:rsidR="005D698A" w:rsidRPr="00180828" w:rsidRDefault="005D698A" w:rsidP="00C72779">
            <w:pPr>
              <w:jc w:val="both"/>
              <w:cnfStyle w:val="000000100000" w:firstRow="0" w:lastRow="0" w:firstColumn="0" w:lastColumn="0" w:oddVBand="0" w:evenVBand="0" w:oddHBand="1" w:evenHBand="0" w:firstRowFirstColumn="0" w:firstRowLastColumn="0" w:lastRowFirstColumn="0" w:lastRowLastColumn="0"/>
              <w:rPr>
                <w:rFonts w:eastAsia="Calibri" w:cs="Arial"/>
                <w:sz w:val="22"/>
                <w:szCs w:val="22"/>
              </w:rPr>
            </w:pPr>
            <w:r w:rsidRPr="00180828">
              <w:rPr>
                <w:rFonts w:eastAsia="Calibri" w:cs="Arial"/>
                <w:sz w:val="22"/>
                <w:szCs w:val="22"/>
              </w:rPr>
              <w:t>Se realizan capacitaciones con todo el personal de servicios generales y mantenimiento para el manejo adecuado de residuos peligrosos y sus respectivo acopio en las instalaciones.</w:t>
            </w:r>
          </w:p>
        </w:tc>
      </w:tr>
    </w:tbl>
    <w:p w14:paraId="6483CBD2" w14:textId="2F54C064" w:rsidR="005D698A" w:rsidRPr="00DF764C" w:rsidRDefault="00DF764C" w:rsidP="00DF764C">
      <w:pPr>
        <w:tabs>
          <w:tab w:val="left" w:pos="4140"/>
        </w:tabs>
        <w:jc w:val="center"/>
        <w:rPr>
          <w:rFonts w:eastAsia="Calibri" w:cs="Arial"/>
          <w:b/>
          <w:sz w:val="16"/>
          <w:szCs w:val="16"/>
        </w:rPr>
      </w:pPr>
      <w:r w:rsidRPr="00DF764C">
        <w:rPr>
          <w:rFonts w:eastAsia="Calibri" w:cs="Arial"/>
          <w:b/>
          <w:bCs/>
          <w:sz w:val="16"/>
          <w:szCs w:val="16"/>
        </w:rPr>
        <w:lastRenderedPageBreak/>
        <w:t>Fuente: Oficina Asesora de Planeación</w:t>
      </w:r>
    </w:p>
    <w:p w14:paraId="5B6E0167" w14:textId="77777777" w:rsidR="00DF764C" w:rsidRDefault="00DF764C" w:rsidP="00C72779">
      <w:pPr>
        <w:jc w:val="both"/>
        <w:textAlignment w:val="baseline"/>
        <w:rPr>
          <w:rFonts w:cs="Arial"/>
          <w:sz w:val="22"/>
          <w:szCs w:val="22"/>
          <w:lang w:eastAsia="es-CO"/>
        </w:rPr>
      </w:pPr>
    </w:p>
    <w:p w14:paraId="2F2F1853" w14:textId="45AB65D2" w:rsidR="005D698A" w:rsidRPr="005C307C" w:rsidRDefault="005D698A" w:rsidP="00C72779">
      <w:pPr>
        <w:jc w:val="both"/>
        <w:textAlignment w:val="baseline"/>
        <w:rPr>
          <w:rFonts w:ascii="Segoe UI" w:hAnsi="Segoe UI" w:cs="Segoe UI"/>
          <w:sz w:val="22"/>
          <w:szCs w:val="22"/>
          <w:lang w:eastAsia="es-CO"/>
        </w:rPr>
      </w:pPr>
      <w:r w:rsidRPr="005C307C">
        <w:rPr>
          <w:rFonts w:cs="Arial"/>
          <w:sz w:val="22"/>
          <w:szCs w:val="22"/>
          <w:lang w:eastAsia="es-CO"/>
        </w:rPr>
        <w:t>En cuanto a la </w:t>
      </w:r>
      <w:r w:rsidRPr="005C307C">
        <w:rPr>
          <w:rFonts w:cs="Arial"/>
          <w:b/>
          <w:bCs/>
          <w:sz w:val="22"/>
          <w:szCs w:val="22"/>
          <w:lang w:eastAsia="es-CO"/>
        </w:rPr>
        <w:t>Gestión de Riesgos</w:t>
      </w:r>
      <w:r w:rsidRPr="005C307C">
        <w:rPr>
          <w:rFonts w:cs="Arial"/>
          <w:sz w:val="22"/>
          <w:szCs w:val="22"/>
          <w:lang w:eastAsia="es-CO"/>
        </w:rPr>
        <w:t>, se han presentado los siguientes logros: </w:t>
      </w:r>
    </w:p>
    <w:p w14:paraId="3CC4E43F" w14:textId="77777777" w:rsidR="005D698A" w:rsidRPr="005C307C" w:rsidRDefault="005D698A" w:rsidP="00C72779">
      <w:pPr>
        <w:jc w:val="both"/>
        <w:textAlignment w:val="baseline"/>
        <w:rPr>
          <w:rFonts w:ascii="Segoe UI" w:hAnsi="Segoe UI" w:cs="Segoe UI"/>
          <w:sz w:val="22"/>
          <w:szCs w:val="22"/>
          <w:lang w:eastAsia="es-CO"/>
        </w:rPr>
      </w:pPr>
      <w:r w:rsidRPr="005C307C">
        <w:rPr>
          <w:rFonts w:ascii="Calibri" w:hAnsi="Calibri" w:cs="Calibri"/>
          <w:sz w:val="22"/>
          <w:szCs w:val="22"/>
          <w:lang w:eastAsia="es-CO"/>
        </w:rPr>
        <w:t> </w:t>
      </w:r>
    </w:p>
    <w:p w14:paraId="68751249" w14:textId="77777777" w:rsidR="005D698A" w:rsidRPr="00DF764C" w:rsidRDefault="005D698A" w:rsidP="000A20EE">
      <w:pPr>
        <w:pStyle w:val="Prrafodelista"/>
        <w:numPr>
          <w:ilvl w:val="0"/>
          <w:numId w:val="48"/>
        </w:numPr>
        <w:suppressAutoHyphens w:val="0"/>
        <w:overflowPunct/>
        <w:autoSpaceDE/>
        <w:spacing w:after="160"/>
        <w:contextualSpacing/>
        <w:rPr>
          <w:rFonts w:ascii="Calibri" w:hAnsi="Calibri" w:cs="Calibri"/>
          <w:sz w:val="22"/>
          <w:szCs w:val="22"/>
          <w:lang w:eastAsia="es-CO"/>
        </w:rPr>
      </w:pPr>
      <w:r w:rsidRPr="00DF764C">
        <w:rPr>
          <w:rFonts w:cs="Arial"/>
          <w:b/>
          <w:sz w:val="22"/>
          <w:szCs w:val="22"/>
          <w:lang w:val="es-MX" w:eastAsia="es-CO"/>
        </w:rPr>
        <w:t>Identificación, valoración y tratamiento de los riesgos:</w:t>
      </w:r>
      <w:r w:rsidRPr="00DF764C">
        <w:rPr>
          <w:rFonts w:cs="Arial"/>
          <w:sz w:val="22"/>
          <w:szCs w:val="22"/>
          <w:lang w:val="es-MX" w:eastAsia="es-CO"/>
        </w:rPr>
        <w:t> </w:t>
      </w:r>
      <w:r w:rsidRPr="00DF764C">
        <w:rPr>
          <w:rFonts w:cs="Arial"/>
          <w:sz w:val="22"/>
          <w:szCs w:val="22"/>
          <w:lang w:eastAsia="es-CO"/>
        </w:rPr>
        <w:t>Se estableció la metodología para administrar los riesgos que están bajo el control de la organización, teniendo en cuenta el contexto estratégico en el que opera la entidad, la caracterización de cada proceso que contempla su objetivo y alcance y el análisis frente a los factores internos y externos que pueden generar riesgos que afecten el cumplimiento de los objetivos. La metodología en mención contempla los siguientes pasos: análisis de los objetivos estratégicos y de proceso, identificación de los puntos de riesgo, identificación de las áreas de impacto, identificación de los factores de riesgo, se indica su descripción y la clasificación.  </w:t>
      </w:r>
    </w:p>
    <w:p w14:paraId="6E4B6CB5" w14:textId="77777777" w:rsidR="005D698A" w:rsidRPr="00DF764C" w:rsidRDefault="005D698A" w:rsidP="00C72779">
      <w:pPr>
        <w:pStyle w:val="Prrafodelista"/>
        <w:ind w:left="643"/>
        <w:rPr>
          <w:rFonts w:cs="Arial"/>
          <w:sz w:val="22"/>
          <w:szCs w:val="22"/>
          <w:lang w:eastAsia="es-CO"/>
        </w:rPr>
      </w:pPr>
    </w:p>
    <w:p w14:paraId="5E965510" w14:textId="77777777" w:rsidR="005D698A" w:rsidRPr="00DF764C" w:rsidRDefault="005D698A" w:rsidP="00C72779">
      <w:pPr>
        <w:pStyle w:val="Prrafodelista"/>
        <w:ind w:left="643"/>
        <w:rPr>
          <w:rFonts w:ascii="Calibri" w:hAnsi="Calibri" w:cs="Calibri"/>
          <w:sz w:val="22"/>
          <w:szCs w:val="22"/>
          <w:lang w:eastAsia="es-CO"/>
        </w:rPr>
      </w:pPr>
      <w:r w:rsidRPr="00DF764C">
        <w:rPr>
          <w:rFonts w:cs="Arial"/>
          <w:sz w:val="22"/>
          <w:szCs w:val="22"/>
          <w:lang w:eastAsia="es-CO"/>
        </w:rPr>
        <w:t>La metodología establece de igual manera las etapas para la valoración, la cual comprende los siguientes pasos: el análisis del riesgo de acuerdo con los criterios establecidos en la Guía vigente para administración de los riesgos del Departamento Administrativo de la Función Pública - DAFP, las estrategias para el tratamiento, la herramienta de apoyo y el monitoreo y revisión a través de las diferentes líneas de defensa (primera Línea, segunda línea y tercera línea). </w:t>
      </w:r>
    </w:p>
    <w:p w14:paraId="484A23A6" w14:textId="77777777" w:rsidR="005D698A" w:rsidRPr="005C307C" w:rsidRDefault="005D698A" w:rsidP="00C72779">
      <w:pPr>
        <w:ind w:left="720"/>
        <w:jc w:val="both"/>
        <w:textAlignment w:val="baseline"/>
        <w:rPr>
          <w:rFonts w:ascii="Segoe UI" w:hAnsi="Segoe UI" w:cs="Segoe UI"/>
          <w:sz w:val="22"/>
          <w:szCs w:val="22"/>
          <w:lang w:eastAsia="es-CO"/>
        </w:rPr>
      </w:pPr>
      <w:r w:rsidRPr="005C307C">
        <w:rPr>
          <w:rFonts w:cs="Arial"/>
          <w:sz w:val="22"/>
          <w:szCs w:val="22"/>
          <w:lang w:eastAsia="es-CO"/>
        </w:rPr>
        <w:t> </w:t>
      </w:r>
    </w:p>
    <w:p w14:paraId="5F46732A" w14:textId="77777777" w:rsidR="005D698A" w:rsidRPr="005C307C" w:rsidRDefault="005D698A" w:rsidP="00C72779">
      <w:pPr>
        <w:ind w:left="720"/>
        <w:jc w:val="both"/>
        <w:textAlignment w:val="baseline"/>
        <w:rPr>
          <w:rFonts w:ascii="Segoe UI" w:hAnsi="Segoe UI" w:cs="Segoe UI"/>
          <w:sz w:val="22"/>
          <w:szCs w:val="22"/>
          <w:lang w:eastAsia="es-CO"/>
        </w:rPr>
      </w:pPr>
      <w:r w:rsidRPr="005C307C">
        <w:rPr>
          <w:rFonts w:cs="Arial"/>
          <w:sz w:val="22"/>
          <w:szCs w:val="22"/>
          <w:lang w:eastAsia="es-CO"/>
        </w:rPr>
        <w:lastRenderedPageBreak/>
        <w:t>El seguimiento a la gestión de riesgos se hace a través del aplicativo PLANIGAC en el cual se evidencia el cumplimiento de las actividades de control para sede central y direcciones territoriales y las evidencias, hacen parte de un DRIVE compartido en correos institucionales de la Oficina Asesora de Planeación. </w:t>
      </w:r>
    </w:p>
    <w:p w14:paraId="2CBD069F" w14:textId="77777777" w:rsidR="005D698A" w:rsidRDefault="005D698A" w:rsidP="00C72779">
      <w:pPr>
        <w:jc w:val="both"/>
        <w:textAlignment w:val="baseline"/>
        <w:rPr>
          <w:rFonts w:cs="Arial"/>
          <w:b/>
          <w:bCs/>
          <w:sz w:val="22"/>
          <w:szCs w:val="22"/>
          <w:lang w:eastAsia="es-CO"/>
        </w:rPr>
      </w:pPr>
    </w:p>
    <w:p w14:paraId="6AB3DEF8" w14:textId="77777777" w:rsidR="005D698A" w:rsidRPr="005C307C" w:rsidRDefault="005D698A" w:rsidP="00C72779">
      <w:pPr>
        <w:jc w:val="both"/>
        <w:textAlignment w:val="baseline"/>
        <w:rPr>
          <w:rFonts w:ascii="Segoe UI" w:hAnsi="Segoe UI" w:cs="Segoe UI"/>
          <w:sz w:val="22"/>
          <w:szCs w:val="22"/>
          <w:lang w:eastAsia="es-CO"/>
        </w:rPr>
      </w:pPr>
      <w:r w:rsidRPr="005C307C">
        <w:rPr>
          <w:rFonts w:cs="Arial"/>
          <w:b/>
          <w:bCs/>
          <w:sz w:val="22"/>
          <w:szCs w:val="22"/>
          <w:lang w:eastAsia="es-CO"/>
        </w:rPr>
        <w:t>OTROS LOGROS: </w:t>
      </w:r>
      <w:r w:rsidRPr="005C307C">
        <w:rPr>
          <w:rFonts w:cs="Arial"/>
          <w:sz w:val="22"/>
          <w:szCs w:val="22"/>
          <w:lang w:eastAsia="es-CO"/>
        </w:rPr>
        <w:t> </w:t>
      </w:r>
    </w:p>
    <w:p w14:paraId="117DCECD" w14:textId="77777777" w:rsidR="005D698A" w:rsidRPr="005C307C" w:rsidRDefault="005D698A" w:rsidP="00C72779">
      <w:pPr>
        <w:jc w:val="both"/>
        <w:textAlignment w:val="baseline"/>
        <w:rPr>
          <w:rFonts w:ascii="Segoe UI" w:hAnsi="Segoe UI" w:cs="Segoe UI"/>
          <w:sz w:val="22"/>
          <w:szCs w:val="22"/>
          <w:lang w:eastAsia="es-CO"/>
        </w:rPr>
      </w:pPr>
      <w:r w:rsidRPr="005C307C">
        <w:rPr>
          <w:rFonts w:cs="Arial"/>
          <w:sz w:val="22"/>
          <w:szCs w:val="22"/>
          <w:lang w:eastAsia="es-CO"/>
        </w:rPr>
        <w:t> </w:t>
      </w:r>
    </w:p>
    <w:p w14:paraId="227347DF" w14:textId="77777777" w:rsidR="005D698A" w:rsidRPr="006B68DF" w:rsidRDefault="005D698A" w:rsidP="000A20EE">
      <w:pPr>
        <w:numPr>
          <w:ilvl w:val="0"/>
          <w:numId w:val="48"/>
        </w:numPr>
        <w:suppressAutoHyphens w:val="0"/>
        <w:jc w:val="both"/>
        <w:textAlignment w:val="baseline"/>
        <w:rPr>
          <w:rFonts w:cs="Arial"/>
          <w:sz w:val="22"/>
          <w:szCs w:val="22"/>
          <w:lang w:eastAsia="es-CO"/>
        </w:rPr>
      </w:pPr>
      <w:r w:rsidRPr="005C307C">
        <w:rPr>
          <w:rFonts w:cs="Arial"/>
          <w:sz w:val="22"/>
          <w:szCs w:val="22"/>
          <w:lang w:val="es-MX" w:eastAsia="es-CO"/>
        </w:rPr>
        <w:t>La OAP se hizo cargo de la </w:t>
      </w:r>
      <w:r w:rsidRPr="005C307C">
        <w:rPr>
          <w:rFonts w:cs="Arial"/>
          <w:b/>
          <w:bCs/>
          <w:sz w:val="22"/>
          <w:szCs w:val="22"/>
          <w:lang w:val="es-MX" w:eastAsia="es-CO"/>
        </w:rPr>
        <w:t>administración del botón de transparencia</w:t>
      </w:r>
      <w:r w:rsidRPr="005C307C">
        <w:rPr>
          <w:rFonts w:cs="Arial"/>
          <w:sz w:val="22"/>
          <w:szCs w:val="22"/>
          <w:lang w:val="es-MX" w:eastAsia="es-CO"/>
        </w:rPr>
        <w:t xml:space="preserve"> y dio cumplimiento a lo establecido por la </w:t>
      </w:r>
      <w:r>
        <w:rPr>
          <w:rFonts w:cs="Arial"/>
          <w:sz w:val="22"/>
          <w:szCs w:val="22"/>
          <w:lang w:val="es-MX" w:eastAsia="es-CO"/>
        </w:rPr>
        <w:t>L</w:t>
      </w:r>
      <w:r w:rsidRPr="005C307C">
        <w:rPr>
          <w:rFonts w:cs="Arial"/>
          <w:sz w:val="22"/>
          <w:szCs w:val="22"/>
          <w:lang w:val="es-MX" w:eastAsia="es-CO"/>
        </w:rPr>
        <w:t xml:space="preserve">ey </w:t>
      </w:r>
      <w:r>
        <w:rPr>
          <w:rFonts w:cs="Arial"/>
          <w:sz w:val="22"/>
          <w:szCs w:val="22"/>
          <w:lang w:val="es-MX" w:eastAsia="es-CO"/>
        </w:rPr>
        <w:t xml:space="preserve">1712 de 2014 en un 100% en transparencia activa y pasiva de acuerdo a la medición del año 2020 del Índice de Transparencia Activa-ITA que realiza la Procuraduría General de la Nación. </w:t>
      </w:r>
      <w:r w:rsidRPr="005C307C">
        <w:rPr>
          <w:rFonts w:cs="Arial"/>
          <w:sz w:val="22"/>
          <w:szCs w:val="22"/>
          <w:lang w:eastAsia="es-CO"/>
        </w:rPr>
        <w:t> </w:t>
      </w:r>
    </w:p>
    <w:p w14:paraId="3B98EEBC" w14:textId="77777777" w:rsidR="005D698A" w:rsidRPr="005C307C" w:rsidRDefault="005D698A" w:rsidP="000A20EE">
      <w:pPr>
        <w:numPr>
          <w:ilvl w:val="0"/>
          <w:numId w:val="48"/>
        </w:numPr>
        <w:suppressAutoHyphens w:val="0"/>
        <w:jc w:val="both"/>
        <w:textAlignment w:val="baseline"/>
        <w:rPr>
          <w:rFonts w:ascii="Calibri" w:hAnsi="Calibri" w:cs="Calibri"/>
          <w:sz w:val="22"/>
          <w:szCs w:val="22"/>
          <w:lang w:eastAsia="es-CO"/>
        </w:rPr>
      </w:pPr>
      <w:r w:rsidRPr="005C307C">
        <w:rPr>
          <w:rFonts w:cs="Arial"/>
          <w:b/>
          <w:bCs/>
          <w:sz w:val="22"/>
          <w:szCs w:val="22"/>
          <w:lang w:val="es-MX" w:eastAsia="es-CO"/>
        </w:rPr>
        <w:t>Certificación Nacional SNARIV:</w:t>
      </w:r>
      <w:r w:rsidRPr="005C307C">
        <w:rPr>
          <w:rFonts w:cs="Arial"/>
          <w:sz w:val="22"/>
          <w:szCs w:val="22"/>
          <w:lang w:val="es-MX" w:eastAsia="es-CO"/>
        </w:rPr>
        <w:t> </w:t>
      </w:r>
      <w:r w:rsidRPr="005C307C">
        <w:rPr>
          <w:rFonts w:cs="Arial"/>
          <w:color w:val="000000"/>
          <w:sz w:val="22"/>
          <w:szCs w:val="22"/>
          <w:lang w:val="es-MX" w:eastAsia="es-CO"/>
        </w:rPr>
        <w:t>El IGAG obtuvo el 100% en el cumplimiento e implementación de los Planes de Acción Institucional de la vigencia 2020</w:t>
      </w:r>
      <w:r w:rsidRPr="005C307C">
        <w:rPr>
          <w:rFonts w:cs="Arial"/>
          <w:sz w:val="22"/>
          <w:szCs w:val="22"/>
          <w:lang w:val="es-MX" w:eastAsia="es-CO"/>
        </w:rPr>
        <w:t> </w:t>
      </w:r>
      <w:r w:rsidRPr="005C307C">
        <w:rPr>
          <w:rFonts w:cs="Arial"/>
          <w:color w:val="000000"/>
          <w:sz w:val="22"/>
          <w:szCs w:val="22"/>
          <w:lang w:val="es-MX" w:eastAsia="es-CO"/>
        </w:rPr>
        <w:t>ubicándose en la categoría de CUMPLIMIENTO (</w:t>
      </w:r>
      <w:r w:rsidRPr="005C307C">
        <w:rPr>
          <w:rFonts w:cs="Arial"/>
          <w:sz w:val="22"/>
          <w:szCs w:val="22"/>
          <w:lang w:val="es-MX" w:eastAsia="es-CO"/>
        </w:rPr>
        <w:t>nivel muy alto de contribución en el goce efectivo de los derechos a la verdad, justicia y reparación integral a las víctimas en el marco de los criterios definidos en la metodología para el proceso de certificación.)</w:t>
      </w:r>
      <w:r w:rsidRPr="005C307C">
        <w:rPr>
          <w:rFonts w:cs="Arial"/>
          <w:color w:val="000000"/>
          <w:sz w:val="22"/>
          <w:szCs w:val="22"/>
          <w:lang w:val="es-MX" w:eastAsia="es-CO"/>
        </w:rPr>
        <w:t> en la “</w:t>
      </w:r>
      <w:r w:rsidRPr="005C307C">
        <w:rPr>
          <w:rFonts w:cs="Arial"/>
          <w:i/>
          <w:iCs/>
          <w:color w:val="000000"/>
          <w:sz w:val="22"/>
          <w:szCs w:val="22"/>
          <w:lang w:val="es-MX" w:eastAsia="es-CO"/>
        </w:rPr>
        <w:t>Certificación de la Contribución de las Entidades del orden nacional del Sistema Nacional de Atención y Reparación Integral a Víctimas al Goce Efectivo de Derechos de las Víctimas del Conflicto Armado</w:t>
      </w:r>
      <w:r w:rsidRPr="005C307C">
        <w:rPr>
          <w:rFonts w:cs="Arial"/>
          <w:color w:val="000000"/>
          <w:sz w:val="22"/>
          <w:szCs w:val="22"/>
          <w:lang w:val="es-MX" w:eastAsia="es-CO"/>
        </w:rPr>
        <w:t>”.</w:t>
      </w:r>
      <w:r w:rsidRPr="005C307C">
        <w:rPr>
          <w:rFonts w:cs="Arial"/>
          <w:color w:val="000000"/>
          <w:sz w:val="22"/>
          <w:szCs w:val="22"/>
          <w:lang w:eastAsia="es-CO"/>
        </w:rPr>
        <w:t> </w:t>
      </w:r>
    </w:p>
    <w:p w14:paraId="750B6907" w14:textId="77777777" w:rsidR="005D698A" w:rsidRPr="005C307C" w:rsidRDefault="005D698A" w:rsidP="000A20EE">
      <w:pPr>
        <w:numPr>
          <w:ilvl w:val="0"/>
          <w:numId w:val="48"/>
        </w:numPr>
        <w:suppressAutoHyphens w:val="0"/>
        <w:jc w:val="both"/>
        <w:textAlignment w:val="baseline"/>
        <w:rPr>
          <w:rFonts w:cs="Arial"/>
          <w:sz w:val="22"/>
          <w:szCs w:val="22"/>
          <w:lang w:eastAsia="es-CO"/>
        </w:rPr>
      </w:pPr>
      <w:r w:rsidRPr="005C307C">
        <w:rPr>
          <w:rFonts w:cs="Arial"/>
          <w:b/>
          <w:bCs/>
          <w:sz w:val="22"/>
          <w:szCs w:val="22"/>
          <w:lang w:val="es-MX" w:eastAsia="es-CO"/>
        </w:rPr>
        <w:t>Gestión de administración de trámites</w:t>
      </w:r>
      <w:r w:rsidRPr="005C307C">
        <w:rPr>
          <w:rFonts w:cs="Arial"/>
          <w:sz w:val="22"/>
          <w:szCs w:val="22"/>
          <w:lang w:val="es-MX" w:eastAsia="es-CO"/>
        </w:rPr>
        <w:t>: La OAP realiza la administración y gestión de los trámites y Otros Procedimientos Administrativos (OPAS) en el Sistema único de información de trámites - SUIT lo que a su vez es publicado en el portal del estado colombiano y consultado por los usuarios y clientes de la entidad. Durante esta vigencia se han </w:t>
      </w:r>
      <w:r w:rsidRPr="005C307C">
        <w:rPr>
          <w:rFonts w:cs="Arial"/>
          <w:sz w:val="22"/>
          <w:szCs w:val="22"/>
          <w:lang w:eastAsia="es-CO"/>
        </w:rPr>
        <w:t>realizado mesas de trabajo con los procesos misionales para hacer seguimiento a las temáticas, así como simplificar y racionalizar los trámites de la entidad. Dentro de los principales ajustes, se eliminó del SUIT la Certificación de Localización Municipal de Pozos de Petróleo por no ser competencia del IGAC y se actualizaron los formularios que son diligenciables por los usuarios. En el mes de octubre, se presentaron al Departamento Administrativo de la Función Pública - DAFP, las propuestas para actualizar las Resoluciones de requisitos de los trámites catastrales con el acompañamiento de la Oficina Asesora Jurídica.  </w:t>
      </w:r>
    </w:p>
    <w:p w14:paraId="51C91D5D" w14:textId="77777777" w:rsidR="005D698A" w:rsidRPr="005C307C" w:rsidRDefault="005D698A" w:rsidP="000A20EE">
      <w:pPr>
        <w:numPr>
          <w:ilvl w:val="0"/>
          <w:numId w:val="48"/>
        </w:numPr>
        <w:suppressAutoHyphens w:val="0"/>
        <w:jc w:val="both"/>
        <w:textAlignment w:val="baseline"/>
        <w:rPr>
          <w:rFonts w:cs="Arial"/>
          <w:sz w:val="22"/>
          <w:szCs w:val="22"/>
          <w:lang w:eastAsia="es-CO"/>
        </w:rPr>
      </w:pPr>
      <w:r w:rsidRPr="005C307C">
        <w:rPr>
          <w:rFonts w:cs="Arial"/>
          <w:b/>
          <w:bCs/>
          <w:sz w:val="22"/>
          <w:szCs w:val="22"/>
          <w:lang w:eastAsia="es-CO"/>
        </w:rPr>
        <w:t>Estrategia de racionalización de trámites: </w:t>
      </w:r>
      <w:r w:rsidRPr="005C307C">
        <w:rPr>
          <w:rFonts w:cs="Arial"/>
          <w:sz w:val="22"/>
          <w:szCs w:val="22"/>
          <w:lang w:eastAsia="es-CO"/>
        </w:rPr>
        <w:t>La OAP lidera la implementación y seguimiento de la Estrategia como un componente del Plan Anticorrupción y de atención al ciudadano. Para esta vigencia, de acuerdo con la estrategia, se racionalizó la OPA "Certificación sobre el kilometraje de los ductos que atraviesen las jurisdicciones municipales" pasando de 3 meses a 45 días calendario, la expedición de la certificación. Se incluyeron acciones de racionalización relacionadas con la implementación la ventanilla integrada virtual del IGAC (VIVI) para la solicitud de 9 trámites y servicios catastrales. Se incluye el trámite de Análisis de las Propiedades Físicas Químicas, Biológicas o Mineralógicas de los Suelos, Tejido Vegetal y Aguas para Riego, para racionalizarlo por aumento de canales con el servicio de 4-72, evitando el desplazamiento de los usuarios a nivel nacional y, por último, el Certificado Punto Señalizado por el Usuario sobre Cartografía IGAC se configura, como consulta de información pública. </w:t>
      </w:r>
    </w:p>
    <w:p w14:paraId="2B786150" w14:textId="77777777" w:rsidR="005D698A" w:rsidRPr="005C307C" w:rsidRDefault="005D698A" w:rsidP="000A20EE">
      <w:pPr>
        <w:numPr>
          <w:ilvl w:val="0"/>
          <w:numId w:val="48"/>
        </w:numPr>
        <w:suppressAutoHyphens w:val="0"/>
        <w:jc w:val="both"/>
        <w:textAlignment w:val="baseline"/>
        <w:rPr>
          <w:rFonts w:cs="Arial"/>
          <w:sz w:val="22"/>
          <w:szCs w:val="22"/>
          <w:lang w:eastAsia="es-CO"/>
        </w:rPr>
      </w:pPr>
      <w:r w:rsidRPr="005C307C">
        <w:rPr>
          <w:rFonts w:cs="Arial"/>
          <w:b/>
          <w:bCs/>
          <w:sz w:val="22"/>
          <w:szCs w:val="22"/>
          <w:lang w:eastAsia="es-CO"/>
        </w:rPr>
        <w:t>CONPES SAT (Sistema de administración del territorio): </w:t>
      </w:r>
      <w:r w:rsidRPr="005C307C">
        <w:rPr>
          <w:rFonts w:cs="Arial"/>
          <w:sz w:val="22"/>
          <w:szCs w:val="22"/>
          <w:lang w:eastAsia="es-CO"/>
        </w:rPr>
        <w:t>Como parte de la gestión de la Administración de los trámites y con el fin de dar cumplimiento a este CONPES, la Subdirección de Catastro, informó al DAFP que los dos trámites a priorizar son Englobe o desenglobe de dos o más predios y Revisión de avalúo catastral de un predio. Se trabaja en la racionalización y simplificación de éstos y en general de los trámites especialmente catastrales. </w:t>
      </w:r>
    </w:p>
    <w:p w14:paraId="300D5DC2" w14:textId="3426EE99" w:rsidR="003433F0" w:rsidRDefault="005D698A" w:rsidP="003433F0">
      <w:pPr>
        <w:numPr>
          <w:ilvl w:val="0"/>
          <w:numId w:val="48"/>
        </w:numPr>
        <w:suppressAutoHyphens w:val="0"/>
        <w:jc w:val="both"/>
        <w:textAlignment w:val="baseline"/>
        <w:rPr>
          <w:rFonts w:cs="Arial"/>
          <w:sz w:val="22"/>
          <w:szCs w:val="22"/>
          <w:lang w:eastAsia="es-CO"/>
        </w:rPr>
      </w:pPr>
      <w:r w:rsidRPr="005C307C">
        <w:rPr>
          <w:rFonts w:cs="Arial"/>
          <w:b/>
          <w:bCs/>
          <w:sz w:val="22"/>
          <w:szCs w:val="22"/>
          <w:lang w:eastAsia="es-CO"/>
        </w:rPr>
        <w:lastRenderedPageBreak/>
        <w:t>PLAN ANTICORRUPCIÓN Y DE ATENCIÓN AL CIUDADANO 2021: </w:t>
      </w:r>
      <w:r w:rsidRPr="005C307C">
        <w:rPr>
          <w:rFonts w:cs="Arial"/>
          <w:sz w:val="22"/>
          <w:szCs w:val="22"/>
          <w:lang w:eastAsia="es-CO"/>
        </w:rPr>
        <w:t>Se realiza el seguimiento trimestral de las actividades a cargo de cada responsable, estas se encuentran inmersas en los subcomponentes y los 5 componentes del plan de acuerdo a la normatividad vigente ley 1474 de 2011, de igual forma se actualiza la estructura del plan de acuerdo a la reestructuración y modernización del instituto</w:t>
      </w:r>
      <w:r w:rsidRPr="005C307C">
        <w:rPr>
          <w:rFonts w:cs="Arial"/>
          <w:b/>
          <w:bCs/>
          <w:sz w:val="22"/>
          <w:szCs w:val="22"/>
          <w:lang w:eastAsia="es-CO"/>
        </w:rPr>
        <w:t>.</w:t>
      </w:r>
      <w:r w:rsidRPr="005C307C">
        <w:rPr>
          <w:rFonts w:cs="Arial"/>
          <w:sz w:val="22"/>
          <w:szCs w:val="22"/>
          <w:lang w:eastAsia="es-CO"/>
        </w:rPr>
        <w:t> </w:t>
      </w:r>
    </w:p>
    <w:p w14:paraId="42BE37F6" w14:textId="77777777" w:rsidR="00DD2082" w:rsidRPr="00DD2082" w:rsidRDefault="00DD2082" w:rsidP="00DD2082">
      <w:pPr>
        <w:suppressAutoHyphens w:val="0"/>
        <w:ind w:left="643"/>
        <w:jc w:val="both"/>
        <w:textAlignment w:val="baseline"/>
        <w:rPr>
          <w:rFonts w:cs="Arial"/>
          <w:sz w:val="22"/>
          <w:szCs w:val="22"/>
          <w:lang w:eastAsia="es-CO"/>
        </w:rPr>
      </w:pPr>
    </w:p>
    <w:p w14:paraId="50614077" w14:textId="77777777" w:rsidR="005D698A" w:rsidRPr="003433F0" w:rsidRDefault="005D698A" w:rsidP="000A20EE">
      <w:pPr>
        <w:pStyle w:val="Prrafodelista"/>
        <w:numPr>
          <w:ilvl w:val="2"/>
          <w:numId w:val="22"/>
        </w:numPr>
        <w:rPr>
          <w:rFonts w:cs="Arial"/>
          <w:b/>
          <w:sz w:val="22"/>
          <w:szCs w:val="22"/>
          <w:lang w:eastAsia="es-CO"/>
        </w:rPr>
      </w:pPr>
      <w:r>
        <w:rPr>
          <w:rFonts w:cs="Arial"/>
          <w:b/>
          <w:bCs/>
          <w:sz w:val="22"/>
          <w:szCs w:val="22"/>
          <w:lang w:eastAsia="es-CO"/>
        </w:rPr>
        <w:t>ANTECEDENTES Y ESTADO ACTUAL DE LA DEPENDENCIA</w:t>
      </w:r>
    </w:p>
    <w:p w14:paraId="51DE18CD" w14:textId="3A0D7745" w:rsidR="0048190C" w:rsidRPr="0048190C" w:rsidRDefault="0048190C" w:rsidP="0048190C">
      <w:pPr>
        <w:suppressAutoHyphens w:val="0"/>
        <w:jc w:val="both"/>
        <w:textAlignment w:val="baseline"/>
        <w:rPr>
          <w:rFonts w:cs="Arial"/>
          <w:sz w:val="16"/>
          <w:szCs w:val="16"/>
          <w:lang w:eastAsia="es-CO"/>
        </w:rPr>
      </w:pPr>
    </w:p>
    <w:tbl>
      <w:tblPr>
        <w:tblW w:w="9344"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835"/>
        <w:gridCol w:w="3686"/>
        <w:gridCol w:w="3823"/>
      </w:tblGrid>
      <w:tr w:rsidR="005D698A" w:rsidRPr="000D2979" w14:paraId="0B2DAB6D" w14:textId="77777777" w:rsidTr="000153ED">
        <w:trPr>
          <w:trHeight w:val="315"/>
        </w:trPr>
        <w:tc>
          <w:tcPr>
            <w:tcW w:w="1835" w:type="dxa"/>
            <w:tcBorders>
              <w:top w:val="single" w:sz="6" w:space="0" w:color="4F81BD"/>
              <w:left w:val="single" w:sz="6" w:space="0" w:color="4F81BD"/>
              <w:bottom w:val="single" w:sz="6" w:space="0" w:color="4F81BD"/>
              <w:right w:val="nil"/>
            </w:tcBorders>
            <w:shd w:val="clear" w:color="auto" w:fill="4F81BD"/>
            <w:vAlign w:val="center"/>
            <w:hideMark/>
          </w:tcPr>
          <w:p w14:paraId="2F792CCB" w14:textId="77777777" w:rsidR="005D698A" w:rsidRPr="000D2979" w:rsidRDefault="005D698A" w:rsidP="00C72779">
            <w:pPr>
              <w:jc w:val="center"/>
              <w:textAlignment w:val="baseline"/>
              <w:rPr>
                <w:b/>
                <w:bCs/>
                <w:color w:val="FFFFFF"/>
                <w:sz w:val="20"/>
                <w:szCs w:val="20"/>
                <w:lang w:eastAsia="es-CO"/>
              </w:rPr>
            </w:pPr>
            <w:r w:rsidRPr="000D2979">
              <w:rPr>
                <w:rFonts w:cs="Arial"/>
                <w:b/>
                <w:bCs/>
                <w:color w:val="FFFFFF"/>
                <w:sz w:val="20"/>
                <w:szCs w:val="20"/>
                <w:lang w:val="es-MX" w:eastAsia="es-CO"/>
              </w:rPr>
              <w:t>Ítem</w:t>
            </w:r>
          </w:p>
        </w:tc>
        <w:tc>
          <w:tcPr>
            <w:tcW w:w="3686" w:type="dxa"/>
            <w:tcBorders>
              <w:top w:val="single" w:sz="6" w:space="0" w:color="4F81BD"/>
              <w:left w:val="nil"/>
              <w:bottom w:val="single" w:sz="6" w:space="0" w:color="4F81BD"/>
              <w:right w:val="nil"/>
            </w:tcBorders>
            <w:shd w:val="clear" w:color="auto" w:fill="4F81BD"/>
            <w:vAlign w:val="center"/>
            <w:hideMark/>
          </w:tcPr>
          <w:p w14:paraId="56B83825" w14:textId="77777777" w:rsidR="005D698A" w:rsidRPr="000D2979" w:rsidRDefault="005D698A" w:rsidP="00C72779">
            <w:pPr>
              <w:jc w:val="center"/>
              <w:textAlignment w:val="baseline"/>
              <w:rPr>
                <w:b/>
                <w:bCs/>
                <w:color w:val="FFFFFF"/>
                <w:sz w:val="20"/>
                <w:szCs w:val="20"/>
                <w:lang w:eastAsia="es-CO"/>
              </w:rPr>
            </w:pPr>
            <w:r w:rsidRPr="000D2979">
              <w:rPr>
                <w:rFonts w:cs="Arial"/>
                <w:b/>
                <w:bCs/>
                <w:color w:val="FFFFFF"/>
                <w:sz w:val="20"/>
                <w:szCs w:val="20"/>
                <w:lang w:val="es-MX" w:eastAsia="es-CO"/>
              </w:rPr>
              <w:t>Antecedentes</w:t>
            </w:r>
          </w:p>
        </w:tc>
        <w:tc>
          <w:tcPr>
            <w:tcW w:w="3823" w:type="dxa"/>
            <w:tcBorders>
              <w:top w:val="single" w:sz="6" w:space="0" w:color="4F81BD"/>
              <w:left w:val="nil"/>
              <w:bottom w:val="single" w:sz="6" w:space="0" w:color="4F81BD"/>
              <w:right w:val="single" w:sz="6" w:space="0" w:color="4F81BD"/>
            </w:tcBorders>
            <w:shd w:val="clear" w:color="auto" w:fill="4F81BD"/>
            <w:vAlign w:val="center"/>
            <w:hideMark/>
          </w:tcPr>
          <w:p w14:paraId="744EB975" w14:textId="77777777" w:rsidR="005D698A" w:rsidRPr="000D2979" w:rsidRDefault="005D698A" w:rsidP="00C72779">
            <w:pPr>
              <w:jc w:val="center"/>
              <w:textAlignment w:val="baseline"/>
              <w:rPr>
                <w:b/>
                <w:bCs/>
                <w:color w:val="FFFFFF"/>
                <w:sz w:val="20"/>
                <w:szCs w:val="20"/>
                <w:lang w:eastAsia="es-CO"/>
              </w:rPr>
            </w:pPr>
            <w:r w:rsidRPr="000D2979">
              <w:rPr>
                <w:rFonts w:cs="Arial"/>
                <w:b/>
                <w:bCs/>
                <w:color w:val="FFFFFF"/>
                <w:sz w:val="20"/>
                <w:szCs w:val="20"/>
                <w:lang w:val="es-MX" w:eastAsia="es-CO"/>
              </w:rPr>
              <w:t>Estado Actual</w:t>
            </w:r>
          </w:p>
        </w:tc>
      </w:tr>
      <w:tr w:rsidR="005D698A" w:rsidRPr="000D2979" w14:paraId="1BF1C5C8" w14:textId="77777777" w:rsidTr="000153ED">
        <w:trPr>
          <w:trHeight w:val="3675"/>
        </w:trPr>
        <w:tc>
          <w:tcPr>
            <w:tcW w:w="1835"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72163A0E" w14:textId="77777777" w:rsidR="005D698A" w:rsidRPr="000D2979" w:rsidRDefault="005D698A" w:rsidP="00C72779">
            <w:pPr>
              <w:jc w:val="center"/>
              <w:textAlignment w:val="baseline"/>
              <w:rPr>
                <w:b/>
                <w:bCs/>
                <w:sz w:val="20"/>
                <w:szCs w:val="20"/>
                <w:lang w:eastAsia="es-CO"/>
              </w:rPr>
            </w:pPr>
            <w:r w:rsidRPr="000D2979">
              <w:rPr>
                <w:rFonts w:cs="Arial"/>
                <w:b/>
                <w:bCs/>
                <w:sz w:val="20"/>
                <w:szCs w:val="20"/>
                <w:lang w:val="es-MX" w:eastAsia="es-CO"/>
              </w:rPr>
              <w:t>Información</w:t>
            </w:r>
          </w:p>
        </w:tc>
        <w:tc>
          <w:tcPr>
            <w:tcW w:w="3686"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59BE1389"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Se encontraba en diferentes fuentes de almacenamiento</w:t>
            </w:r>
          </w:p>
          <w:p w14:paraId="6C0050B3"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Falta de uniformidad, consistencia y confiabilidad en la información.</w:t>
            </w:r>
          </w:p>
          <w:p w14:paraId="6324CC60"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Dificultad en el momento de realizar consultas para la realización de informes, dar respuestas a las demás áreas y/o entidades.</w:t>
            </w:r>
          </w:p>
          <w:p w14:paraId="15C167B4"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Dificultad en el momento de reportar información de los proyectos de inversión en los sistemas designados por el Departamento de Planeación Nacional</w:t>
            </w:r>
          </w:p>
        </w:tc>
        <w:tc>
          <w:tcPr>
            <w:tcW w:w="3823"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37B41C4A"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Consolidada en una única fuente de información.</w:t>
            </w:r>
          </w:p>
          <w:p w14:paraId="13AE09B1"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eastAsia="es-CO"/>
              </w:rPr>
              <w:t>Creación de herramientas de gestión</w:t>
            </w:r>
          </w:p>
          <w:p w14:paraId="16B697BB"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eastAsia="es-CO"/>
              </w:rPr>
              <w:t>Generar informes gerenciales y estratégicos (accesibles, dinámicos y efectivos).</w:t>
            </w:r>
          </w:p>
          <w:p w14:paraId="75E79EE5"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eastAsia="es-CO"/>
              </w:rPr>
              <w:t>Mayor uniformidad y confiabilidad de la información.</w:t>
            </w:r>
          </w:p>
          <w:p w14:paraId="51C7BFB6"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eastAsia="es-CO"/>
              </w:rPr>
              <w:t>Aseguramiento de la trazabilidad de la información.</w:t>
            </w:r>
          </w:p>
          <w:p w14:paraId="77128128"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eastAsia="es-CO"/>
              </w:rPr>
              <w:t>Facilidad y oportunidad en el registro de información en los de información.</w:t>
            </w:r>
          </w:p>
        </w:tc>
      </w:tr>
      <w:tr w:rsidR="005D698A" w:rsidRPr="000D2979" w14:paraId="4ECECDAB" w14:textId="77777777" w:rsidTr="000153ED">
        <w:trPr>
          <w:trHeight w:val="1215"/>
        </w:trPr>
        <w:tc>
          <w:tcPr>
            <w:tcW w:w="183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53D5303" w14:textId="77777777" w:rsidR="005D698A" w:rsidRPr="000D2979" w:rsidRDefault="005D698A" w:rsidP="00C72779">
            <w:pPr>
              <w:jc w:val="center"/>
              <w:textAlignment w:val="baseline"/>
              <w:rPr>
                <w:b/>
                <w:bCs/>
                <w:sz w:val="20"/>
                <w:szCs w:val="20"/>
                <w:lang w:eastAsia="es-CO"/>
              </w:rPr>
            </w:pPr>
          </w:p>
          <w:p w14:paraId="3CA66D43" w14:textId="77777777" w:rsidR="005D698A" w:rsidRPr="000D2979" w:rsidRDefault="005D698A" w:rsidP="00C72779">
            <w:pPr>
              <w:jc w:val="center"/>
              <w:textAlignment w:val="baseline"/>
              <w:rPr>
                <w:b/>
                <w:bCs/>
                <w:sz w:val="20"/>
                <w:szCs w:val="20"/>
                <w:lang w:eastAsia="es-CO"/>
              </w:rPr>
            </w:pPr>
            <w:r w:rsidRPr="000D2979">
              <w:rPr>
                <w:rFonts w:cs="Arial"/>
                <w:b/>
                <w:bCs/>
                <w:sz w:val="20"/>
                <w:szCs w:val="20"/>
                <w:lang w:val="es-MX" w:eastAsia="es-CO"/>
              </w:rPr>
              <w:t>Alcance del proceso</w:t>
            </w:r>
          </w:p>
        </w:tc>
        <w:tc>
          <w:tcPr>
            <w:tcW w:w="3686"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57BA6EA4"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Dificultad en la definición de los roles del área.</w:t>
            </w:r>
          </w:p>
          <w:p w14:paraId="26337879"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Realización de actividades sin orientación estratégica, enfoque más operativo.</w:t>
            </w:r>
          </w:p>
        </w:tc>
        <w:tc>
          <w:tcPr>
            <w:tcW w:w="3823"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FA18D34"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Claridad en los roles y responsabilidades del equipo, para el logro de los objetivos</w:t>
            </w:r>
          </w:p>
          <w:p w14:paraId="13B2D62A"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Definición y consolidación estratégica de los procesos de la oficina.</w:t>
            </w:r>
          </w:p>
        </w:tc>
      </w:tr>
      <w:tr w:rsidR="005D698A" w:rsidRPr="000D2979" w14:paraId="01B039CD" w14:textId="77777777" w:rsidTr="000153ED">
        <w:trPr>
          <w:trHeight w:val="930"/>
        </w:trPr>
        <w:tc>
          <w:tcPr>
            <w:tcW w:w="1835"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6EB4ECBD" w14:textId="77777777" w:rsidR="005D698A" w:rsidRPr="000D2979" w:rsidRDefault="005D698A" w:rsidP="00C72779">
            <w:pPr>
              <w:jc w:val="center"/>
              <w:textAlignment w:val="baseline"/>
              <w:rPr>
                <w:b/>
                <w:bCs/>
                <w:sz w:val="20"/>
                <w:szCs w:val="20"/>
                <w:lang w:eastAsia="es-CO"/>
              </w:rPr>
            </w:pPr>
          </w:p>
          <w:p w14:paraId="2DEB03C6" w14:textId="77777777" w:rsidR="005D698A" w:rsidRPr="000D2979" w:rsidRDefault="005D698A" w:rsidP="00C72779">
            <w:pPr>
              <w:jc w:val="center"/>
              <w:textAlignment w:val="baseline"/>
              <w:rPr>
                <w:b/>
                <w:bCs/>
                <w:sz w:val="20"/>
                <w:szCs w:val="20"/>
                <w:lang w:eastAsia="es-CO"/>
              </w:rPr>
            </w:pPr>
            <w:r w:rsidRPr="000D2979">
              <w:rPr>
                <w:rFonts w:cs="Arial"/>
                <w:b/>
                <w:bCs/>
                <w:sz w:val="20"/>
                <w:szCs w:val="20"/>
                <w:lang w:val="es-MX" w:eastAsia="es-CO"/>
              </w:rPr>
              <w:t>Seguimiento</w:t>
            </w:r>
          </w:p>
        </w:tc>
        <w:tc>
          <w:tcPr>
            <w:tcW w:w="3686"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2BFC992C"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Diferentes archivos para realizar seguimiento con altos riegos de errores humanos.</w:t>
            </w:r>
          </w:p>
        </w:tc>
        <w:tc>
          <w:tcPr>
            <w:tcW w:w="3823"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148D0973"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Definición de las herramientas para el desarrollo de seguimientos presupuestales y de mejoramiento continuo.</w:t>
            </w:r>
          </w:p>
        </w:tc>
      </w:tr>
      <w:tr w:rsidR="005D698A" w:rsidRPr="000D2979" w14:paraId="0C6EC855" w14:textId="77777777" w:rsidTr="000153ED">
        <w:trPr>
          <w:trHeight w:val="1530"/>
        </w:trPr>
        <w:tc>
          <w:tcPr>
            <w:tcW w:w="1835"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0A629B7" w14:textId="77777777" w:rsidR="005D698A" w:rsidRPr="000D2979" w:rsidRDefault="005D698A" w:rsidP="00C72779">
            <w:pPr>
              <w:jc w:val="center"/>
              <w:textAlignment w:val="baseline"/>
              <w:rPr>
                <w:b/>
                <w:bCs/>
                <w:sz w:val="20"/>
                <w:szCs w:val="20"/>
                <w:lang w:eastAsia="es-CO"/>
              </w:rPr>
            </w:pPr>
          </w:p>
          <w:p w14:paraId="619B2CD2" w14:textId="77777777" w:rsidR="005D698A" w:rsidRPr="000D2979" w:rsidRDefault="005D698A" w:rsidP="00C72779">
            <w:pPr>
              <w:jc w:val="center"/>
              <w:textAlignment w:val="baseline"/>
              <w:rPr>
                <w:b/>
                <w:bCs/>
                <w:sz w:val="20"/>
                <w:szCs w:val="20"/>
                <w:lang w:eastAsia="es-CO"/>
              </w:rPr>
            </w:pPr>
            <w:r w:rsidRPr="000D2979">
              <w:rPr>
                <w:rFonts w:cs="Arial"/>
                <w:b/>
                <w:bCs/>
                <w:sz w:val="20"/>
                <w:szCs w:val="20"/>
                <w:lang w:val="es-MX" w:eastAsia="es-CO"/>
              </w:rPr>
              <w:t>Procedimientos</w:t>
            </w:r>
          </w:p>
        </w:tc>
        <w:tc>
          <w:tcPr>
            <w:tcW w:w="3686"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19134EE1" w14:textId="77777777" w:rsidR="005D698A" w:rsidRPr="000D2979" w:rsidRDefault="005D698A" w:rsidP="000A20EE">
            <w:pPr>
              <w:pStyle w:val="Prrafodelista"/>
              <w:numPr>
                <w:ilvl w:val="0"/>
                <w:numId w:val="49"/>
              </w:numPr>
              <w:suppressAutoHyphens w:val="0"/>
              <w:overflowPunct/>
              <w:autoSpaceDE/>
              <w:spacing w:after="160"/>
              <w:contextualSpacing/>
              <w:jc w:val="left"/>
              <w:rPr>
                <w:rFonts w:cs="Arial"/>
                <w:lang w:eastAsia="es-CO"/>
              </w:rPr>
            </w:pPr>
            <w:r w:rsidRPr="000D2979">
              <w:rPr>
                <w:rFonts w:cs="Arial"/>
                <w:lang w:val="es-MX" w:eastAsia="es-CO"/>
              </w:rPr>
              <w:t>Los procedimientos del proceso sin actualización reciente.</w:t>
            </w:r>
          </w:p>
          <w:p w14:paraId="14C5D85F" w14:textId="77777777" w:rsidR="005D698A" w:rsidRPr="000D2979" w:rsidRDefault="005D698A" w:rsidP="000A20EE">
            <w:pPr>
              <w:pStyle w:val="Prrafodelista"/>
              <w:numPr>
                <w:ilvl w:val="0"/>
                <w:numId w:val="49"/>
              </w:numPr>
              <w:suppressAutoHyphens w:val="0"/>
              <w:overflowPunct/>
              <w:autoSpaceDE/>
              <w:spacing w:after="160"/>
              <w:contextualSpacing/>
              <w:jc w:val="left"/>
              <w:rPr>
                <w:rFonts w:cs="Arial"/>
                <w:lang w:eastAsia="es-CO"/>
              </w:rPr>
            </w:pPr>
            <w:r w:rsidRPr="000D2979">
              <w:rPr>
                <w:rFonts w:cs="Arial"/>
                <w:lang w:val="es-MX" w:eastAsia="es-CO"/>
              </w:rPr>
              <w:t>Poca claridad y sin información importante para la comprensión de las actividades a desarrollar.</w:t>
            </w:r>
          </w:p>
        </w:tc>
        <w:tc>
          <w:tcPr>
            <w:tcW w:w="3823" w:type="dxa"/>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050A64B2" w14:textId="77777777" w:rsidR="005D698A" w:rsidRPr="000D2979" w:rsidRDefault="005D698A" w:rsidP="000A20EE">
            <w:pPr>
              <w:pStyle w:val="Prrafodelista"/>
              <w:numPr>
                <w:ilvl w:val="0"/>
                <w:numId w:val="49"/>
              </w:numPr>
              <w:suppressAutoHyphens w:val="0"/>
              <w:overflowPunct/>
              <w:autoSpaceDE/>
              <w:spacing w:after="160"/>
              <w:contextualSpacing/>
              <w:jc w:val="left"/>
              <w:rPr>
                <w:rFonts w:cs="Arial"/>
                <w:lang w:eastAsia="es-CO"/>
              </w:rPr>
            </w:pPr>
            <w:r w:rsidRPr="000D2979">
              <w:rPr>
                <w:rFonts w:cs="Arial"/>
                <w:lang w:val="es-MX" w:eastAsia="es-CO"/>
              </w:rPr>
              <w:t>Procedimientos actualizados y alineados a la realidad de la oficina y de la entidad</w:t>
            </w:r>
          </w:p>
          <w:p w14:paraId="7AC5AC45" w14:textId="77777777" w:rsidR="005D698A" w:rsidRPr="000D2979" w:rsidRDefault="005D698A" w:rsidP="000A20EE">
            <w:pPr>
              <w:pStyle w:val="Prrafodelista"/>
              <w:numPr>
                <w:ilvl w:val="0"/>
                <w:numId w:val="49"/>
              </w:numPr>
              <w:suppressAutoHyphens w:val="0"/>
              <w:overflowPunct/>
              <w:autoSpaceDE/>
              <w:spacing w:after="160"/>
              <w:contextualSpacing/>
              <w:jc w:val="left"/>
              <w:rPr>
                <w:rFonts w:cs="Arial"/>
                <w:lang w:eastAsia="es-CO"/>
              </w:rPr>
            </w:pPr>
            <w:r w:rsidRPr="000D2979">
              <w:rPr>
                <w:rFonts w:cs="Arial"/>
                <w:lang w:val="es-MX" w:eastAsia="es-CO"/>
              </w:rPr>
              <w:t>Claridad de las actividades a desarrollar por parte de la oficina</w:t>
            </w:r>
          </w:p>
        </w:tc>
      </w:tr>
      <w:tr w:rsidR="005D698A" w:rsidRPr="000D2979" w14:paraId="1C81095D" w14:textId="77777777" w:rsidTr="000153ED">
        <w:trPr>
          <w:trHeight w:val="585"/>
        </w:trPr>
        <w:tc>
          <w:tcPr>
            <w:tcW w:w="1835"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110822B3" w14:textId="77777777" w:rsidR="005D698A" w:rsidRPr="000D2979" w:rsidRDefault="005D698A" w:rsidP="00C72779">
            <w:pPr>
              <w:jc w:val="center"/>
              <w:textAlignment w:val="baseline"/>
              <w:rPr>
                <w:b/>
                <w:bCs/>
                <w:sz w:val="20"/>
                <w:szCs w:val="20"/>
                <w:lang w:eastAsia="es-CO"/>
              </w:rPr>
            </w:pPr>
            <w:r w:rsidRPr="000D2979">
              <w:rPr>
                <w:rFonts w:cs="Arial"/>
                <w:b/>
                <w:bCs/>
                <w:sz w:val="20"/>
                <w:szCs w:val="20"/>
                <w:lang w:val="es-MX" w:eastAsia="es-CO"/>
              </w:rPr>
              <w:t>Equipo Humano</w:t>
            </w:r>
          </w:p>
        </w:tc>
        <w:tc>
          <w:tcPr>
            <w:tcW w:w="3686"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0027DAE3"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Pocas personas encargadas de varias actividades del proceso.</w:t>
            </w:r>
          </w:p>
        </w:tc>
        <w:tc>
          <w:tcPr>
            <w:tcW w:w="3823" w:type="dxa"/>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1404F03D" w14:textId="77777777" w:rsidR="005D698A" w:rsidRPr="000D2979" w:rsidRDefault="005D698A" w:rsidP="000A20EE">
            <w:pPr>
              <w:numPr>
                <w:ilvl w:val="0"/>
                <w:numId w:val="49"/>
              </w:numPr>
              <w:suppressAutoHyphens w:val="0"/>
              <w:textAlignment w:val="baseline"/>
              <w:rPr>
                <w:rFonts w:cs="Arial"/>
                <w:sz w:val="20"/>
                <w:szCs w:val="20"/>
                <w:lang w:eastAsia="es-CO"/>
              </w:rPr>
            </w:pPr>
            <w:r w:rsidRPr="000D2979">
              <w:rPr>
                <w:rFonts w:cs="Arial"/>
                <w:sz w:val="20"/>
                <w:szCs w:val="20"/>
                <w:lang w:val="es-MX" w:eastAsia="es-CO"/>
              </w:rPr>
              <w:t>Equipo consolidado, multidisciplinar y con claridad en sus roles y alcance.</w:t>
            </w:r>
          </w:p>
        </w:tc>
      </w:tr>
    </w:tbl>
    <w:p w14:paraId="716E4DDE" w14:textId="5F77A583" w:rsidR="005D698A" w:rsidRDefault="0048190C" w:rsidP="00DD2082">
      <w:pPr>
        <w:jc w:val="center"/>
        <w:textAlignment w:val="baseline"/>
        <w:rPr>
          <w:rFonts w:cs="Arial"/>
          <w:b/>
          <w:sz w:val="22"/>
          <w:szCs w:val="22"/>
          <w:lang w:eastAsia="es-CO"/>
        </w:rPr>
      </w:pPr>
      <w:r w:rsidRPr="0048190C">
        <w:rPr>
          <w:rFonts w:cs="Arial"/>
          <w:b/>
          <w:bCs/>
          <w:sz w:val="16"/>
          <w:szCs w:val="16"/>
          <w:lang w:eastAsia="es-CO"/>
        </w:rPr>
        <w:t>Fuente: Oficina Asesora de Planeación</w:t>
      </w:r>
    </w:p>
    <w:p w14:paraId="5040B406" w14:textId="77777777" w:rsidR="00DD2082" w:rsidRDefault="00DD2082" w:rsidP="00DD2082">
      <w:pPr>
        <w:jc w:val="center"/>
        <w:textAlignment w:val="baseline"/>
        <w:rPr>
          <w:rFonts w:cs="Arial"/>
          <w:b/>
          <w:sz w:val="22"/>
          <w:szCs w:val="22"/>
          <w:lang w:eastAsia="es-CO"/>
        </w:rPr>
      </w:pPr>
    </w:p>
    <w:p w14:paraId="56176D3F" w14:textId="77777777" w:rsidR="00DD2082" w:rsidRDefault="00DD2082" w:rsidP="00DD2082">
      <w:pPr>
        <w:jc w:val="center"/>
        <w:textAlignment w:val="baseline"/>
        <w:rPr>
          <w:rFonts w:cs="Arial"/>
          <w:b/>
          <w:sz w:val="22"/>
          <w:szCs w:val="22"/>
          <w:lang w:eastAsia="es-CO"/>
        </w:rPr>
      </w:pPr>
    </w:p>
    <w:p w14:paraId="72799CF1" w14:textId="77777777" w:rsidR="00DD2082" w:rsidRDefault="00DD2082" w:rsidP="00DD2082">
      <w:pPr>
        <w:jc w:val="center"/>
        <w:textAlignment w:val="baseline"/>
        <w:rPr>
          <w:rFonts w:cs="Arial"/>
          <w:b/>
          <w:sz w:val="22"/>
          <w:szCs w:val="22"/>
          <w:lang w:eastAsia="es-CO"/>
        </w:rPr>
      </w:pPr>
    </w:p>
    <w:p w14:paraId="109A47CD" w14:textId="77777777" w:rsidR="00DD2082" w:rsidRDefault="00DD2082" w:rsidP="00DD2082">
      <w:pPr>
        <w:jc w:val="center"/>
        <w:textAlignment w:val="baseline"/>
        <w:rPr>
          <w:rFonts w:cs="Arial"/>
          <w:b/>
          <w:sz w:val="22"/>
          <w:szCs w:val="22"/>
          <w:lang w:eastAsia="es-CO"/>
        </w:rPr>
      </w:pPr>
    </w:p>
    <w:p w14:paraId="4D703408" w14:textId="77777777" w:rsidR="00DD2082" w:rsidRDefault="00DD2082" w:rsidP="00DD2082">
      <w:pPr>
        <w:jc w:val="center"/>
        <w:textAlignment w:val="baseline"/>
        <w:rPr>
          <w:rFonts w:cs="Arial"/>
          <w:b/>
          <w:sz w:val="22"/>
          <w:szCs w:val="22"/>
          <w:lang w:eastAsia="es-CO"/>
        </w:rPr>
      </w:pPr>
    </w:p>
    <w:p w14:paraId="28370D2D" w14:textId="77777777" w:rsidR="00DD2082" w:rsidRPr="00DD2082" w:rsidRDefault="00DD2082" w:rsidP="00DD2082">
      <w:pPr>
        <w:jc w:val="center"/>
        <w:textAlignment w:val="baseline"/>
        <w:rPr>
          <w:rFonts w:cs="Arial"/>
          <w:b/>
          <w:sz w:val="22"/>
          <w:szCs w:val="22"/>
          <w:lang w:eastAsia="es-CO"/>
        </w:rPr>
      </w:pPr>
    </w:p>
    <w:p w14:paraId="2FAE226E" w14:textId="77777777" w:rsidR="005D698A" w:rsidRDefault="005D698A" w:rsidP="00C72779">
      <w:pPr>
        <w:jc w:val="both"/>
        <w:textAlignment w:val="baseline"/>
        <w:rPr>
          <w:rFonts w:cs="Arial"/>
          <w:sz w:val="22"/>
          <w:szCs w:val="22"/>
          <w:lang w:eastAsia="es-CO"/>
        </w:rPr>
      </w:pPr>
    </w:p>
    <w:p w14:paraId="2F05CCB3" w14:textId="72C80C71" w:rsidR="0048190C" w:rsidRDefault="005D698A" w:rsidP="00C72779">
      <w:pPr>
        <w:pStyle w:val="Prrafodelista"/>
        <w:numPr>
          <w:ilvl w:val="2"/>
          <w:numId w:val="22"/>
        </w:numPr>
        <w:suppressAutoHyphens w:val="0"/>
        <w:rPr>
          <w:rFonts w:cs="Arial"/>
          <w:sz w:val="22"/>
          <w:szCs w:val="22"/>
          <w:lang w:eastAsia="es-CO"/>
        </w:rPr>
      </w:pPr>
      <w:r w:rsidRPr="005C307C">
        <w:rPr>
          <w:rFonts w:cs="Arial"/>
          <w:b/>
          <w:bCs/>
          <w:sz w:val="22"/>
          <w:szCs w:val="22"/>
          <w:lang w:eastAsia="es-CO"/>
        </w:rPr>
        <w:lastRenderedPageBreak/>
        <w:t>PROCEDIMIENTOS, INDICADORES Y RIESGOS ASOCIADOS AL PROCESO Y SUBPROCESOS DE LA OAP</w:t>
      </w:r>
      <w:r w:rsidRPr="005C307C">
        <w:rPr>
          <w:rFonts w:cs="Arial"/>
          <w:sz w:val="22"/>
          <w:szCs w:val="22"/>
          <w:lang w:eastAsia="es-CO"/>
        </w:rPr>
        <w:t> </w:t>
      </w:r>
    </w:p>
    <w:p w14:paraId="74FEBAD9" w14:textId="77777777" w:rsidR="00DD2082" w:rsidRPr="00DD2082" w:rsidRDefault="00DD2082" w:rsidP="00DD2082">
      <w:pPr>
        <w:pStyle w:val="Lista"/>
        <w:rPr>
          <w:lang w:eastAsia="es-CO"/>
        </w:rPr>
      </w:pPr>
    </w:p>
    <w:tbl>
      <w:tblPr>
        <w:tblW w:w="9344"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11"/>
        <w:gridCol w:w="2200"/>
        <w:gridCol w:w="1712"/>
        <w:gridCol w:w="1296"/>
        <w:gridCol w:w="1025"/>
      </w:tblGrid>
      <w:tr w:rsidR="005D698A" w:rsidRPr="005C307C" w14:paraId="77B3237A" w14:textId="77777777" w:rsidTr="000153ED">
        <w:trPr>
          <w:trHeight w:val="300"/>
          <w:jc w:val="center"/>
        </w:trPr>
        <w:tc>
          <w:tcPr>
            <w:tcW w:w="3111" w:type="dxa"/>
            <w:tcBorders>
              <w:top w:val="single" w:sz="6" w:space="0" w:color="4F81BD"/>
              <w:left w:val="single" w:sz="6" w:space="0" w:color="4F81BD"/>
              <w:bottom w:val="single" w:sz="6" w:space="0" w:color="4F81BD"/>
              <w:right w:val="nil"/>
            </w:tcBorders>
            <w:shd w:val="clear" w:color="auto" w:fill="4F81BD"/>
            <w:hideMark/>
          </w:tcPr>
          <w:p w14:paraId="5FB07F6F" w14:textId="77777777" w:rsidR="005D698A" w:rsidRPr="005C307C" w:rsidRDefault="005D698A" w:rsidP="00C72779">
            <w:pPr>
              <w:jc w:val="center"/>
              <w:textAlignment w:val="baseline"/>
              <w:rPr>
                <w:b/>
                <w:bCs/>
                <w:color w:val="FFFFFF"/>
                <w:sz w:val="22"/>
                <w:szCs w:val="22"/>
                <w:lang w:eastAsia="es-CO"/>
              </w:rPr>
            </w:pPr>
            <w:r w:rsidRPr="005C307C">
              <w:rPr>
                <w:rFonts w:cs="Arial"/>
                <w:b/>
                <w:bCs/>
                <w:color w:val="FFFFFF"/>
                <w:sz w:val="22"/>
                <w:szCs w:val="22"/>
                <w:lang w:eastAsia="es-CO"/>
              </w:rPr>
              <w:t>Proceso </w:t>
            </w:r>
          </w:p>
        </w:tc>
        <w:tc>
          <w:tcPr>
            <w:tcW w:w="2200" w:type="dxa"/>
            <w:tcBorders>
              <w:top w:val="single" w:sz="6" w:space="0" w:color="4F81BD"/>
              <w:left w:val="nil"/>
              <w:bottom w:val="single" w:sz="6" w:space="0" w:color="4F81BD"/>
              <w:right w:val="nil"/>
            </w:tcBorders>
            <w:shd w:val="clear" w:color="auto" w:fill="4F81BD"/>
            <w:hideMark/>
          </w:tcPr>
          <w:p w14:paraId="1115BCEA" w14:textId="77777777" w:rsidR="005D698A" w:rsidRPr="005C307C" w:rsidRDefault="005D698A" w:rsidP="00C72779">
            <w:pPr>
              <w:jc w:val="center"/>
              <w:textAlignment w:val="baseline"/>
              <w:rPr>
                <w:b/>
                <w:bCs/>
                <w:color w:val="FFFFFF"/>
                <w:sz w:val="22"/>
                <w:szCs w:val="22"/>
                <w:lang w:eastAsia="es-CO"/>
              </w:rPr>
            </w:pPr>
            <w:r w:rsidRPr="005C307C">
              <w:rPr>
                <w:rFonts w:cs="Arial"/>
                <w:b/>
                <w:bCs/>
                <w:color w:val="FFFFFF"/>
                <w:sz w:val="22"/>
                <w:szCs w:val="22"/>
                <w:lang w:eastAsia="es-CO"/>
              </w:rPr>
              <w:t>Subproceso </w:t>
            </w:r>
          </w:p>
        </w:tc>
        <w:tc>
          <w:tcPr>
            <w:tcW w:w="1712" w:type="dxa"/>
            <w:tcBorders>
              <w:top w:val="single" w:sz="6" w:space="0" w:color="4F81BD"/>
              <w:left w:val="nil"/>
              <w:bottom w:val="single" w:sz="6" w:space="0" w:color="4F81BD"/>
              <w:right w:val="nil"/>
            </w:tcBorders>
            <w:shd w:val="clear" w:color="auto" w:fill="4F81BD"/>
            <w:hideMark/>
          </w:tcPr>
          <w:p w14:paraId="09FD0C97" w14:textId="77777777" w:rsidR="005D698A" w:rsidRPr="005C307C" w:rsidRDefault="005D698A" w:rsidP="00C72779">
            <w:pPr>
              <w:jc w:val="center"/>
              <w:textAlignment w:val="baseline"/>
              <w:rPr>
                <w:b/>
                <w:bCs/>
                <w:color w:val="FFFFFF"/>
                <w:sz w:val="22"/>
                <w:szCs w:val="22"/>
                <w:lang w:eastAsia="es-CO"/>
              </w:rPr>
            </w:pPr>
            <w:r w:rsidRPr="005C307C">
              <w:rPr>
                <w:rFonts w:cs="Arial"/>
                <w:b/>
                <w:bCs/>
                <w:color w:val="FFFFFF"/>
                <w:sz w:val="22"/>
                <w:szCs w:val="22"/>
                <w:lang w:eastAsia="es-CO"/>
              </w:rPr>
              <w:t>Procedimientos </w:t>
            </w:r>
          </w:p>
        </w:tc>
        <w:tc>
          <w:tcPr>
            <w:tcW w:w="1296" w:type="dxa"/>
            <w:tcBorders>
              <w:top w:val="single" w:sz="6" w:space="0" w:color="4F81BD"/>
              <w:left w:val="nil"/>
              <w:bottom w:val="single" w:sz="6" w:space="0" w:color="4F81BD"/>
              <w:right w:val="nil"/>
            </w:tcBorders>
            <w:shd w:val="clear" w:color="auto" w:fill="4F81BD"/>
            <w:hideMark/>
          </w:tcPr>
          <w:p w14:paraId="4BD8BD71" w14:textId="77777777" w:rsidR="005D698A" w:rsidRPr="005C307C" w:rsidRDefault="005D698A" w:rsidP="00C72779">
            <w:pPr>
              <w:jc w:val="center"/>
              <w:textAlignment w:val="baseline"/>
              <w:rPr>
                <w:b/>
                <w:bCs/>
                <w:color w:val="FFFFFF"/>
                <w:sz w:val="22"/>
                <w:szCs w:val="22"/>
                <w:lang w:eastAsia="es-CO"/>
              </w:rPr>
            </w:pPr>
            <w:r w:rsidRPr="005C307C">
              <w:rPr>
                <w:rFonts w:cs="Arial"/>
                <w:b/>
                <w:bCs/>
                <w:color w:val="FFFFFF"/>
                <w:sz w:val="22"/>
                <w:szCs w:val="22"/>
                <w:lang w:eastAsia="es-CO"/>
              </w:rPr>
              <w:t>Indicadores </w:t>
            </w:r>
          </w:p>
        </w:tc>
        <w:tc>
          <w:tcPr>
            <w:tcW w:w="1025" w:type="dxa"/>
            <w:tcBorders>
              <w:top w:val="single" w:sz="6" w:space="0" w:color="4F81BD"/>
              <w:left w:val="nil"/>
              <w:bottom w:val="single" w:sz="6" w:space="0" w:color="4F81BD"/>
              <w:right w:val="single" w:sz="6" w:space="0" w:color="4F81BD"/>
            </w:tcBorders>
            <w:shd w:val="clear" w:color="auto" w:fill="4F81BD"/>
            <w:hideMark/>
          </w:tcPr>
          <w:p w14:paraId="54E887EB" w14:textId="77777777" w:rsidR="005D698A" w:rsidRPr="005C307C" w:rsidRDefault="005D698A" w:rsidP="00C72779">
            <w:pPr>
              <w:jc w:val="center"/>
              <w:textAlignment w:val="baseline"/>
              <w:rPr>
                <w:b/>
                <w:bCs/>
                <w:color w:val="FFFFFF"/>
                <w:sz w:val="22"/>
                <w:szCs w:val="22"/>
                <w:lang w:eastAsia="es-CO"/>
              </w:rPr>
            </w:pPr>
            <w:r w:rsidRPr="005C307C">
              <w:rPr>
                <w:rFonts w:cs="Arial"/>
                <w:b/>
                <w:bCs/>
                <w:color w:val="FFFFFF"/>
                <w:sz w:val="22"/>
                <w:szCs w:val="22"/>
                <w:lang w:eastAsia="es-CO"/>
              </w:rPr>
              <w:t>Riesgos </w:t>
            </w:r>
          </w:p>
        </w:tc>
      </w:tr>
      <w:tr w:rsidR="005D698A" w:rsidRPr="005C307C" w14:paraId="195523A8" w14:textId="77777777" w:rsidTr="000153ED">
        <w:trPr>
          <w:trHeight w:val="300"/>
          <w:jc w:val="center"/>
        </w:trPr>
        <w:tc>
          <w:tcPr>
            <w:tcW w:w="3111" w:type="dxa"/>
            <w:vMerge w:val="restar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2E64E8BF" w14:textId="77777777" w:rsidR="005D698A" w:rsidRPr="005C307C" w:rsidRDefault="005D698A" w:rsidP="00C72779">
            <w:pPr>
              <w:jc w:val="center"/>
              <w:textAlignment w:val="baseline"/>
              <w:rPr>
                <w:b/>
                <w:bCs/>
                <w:sz w:val="22"/>
                <w:szCs w:val="22"/>
                <w:lang w:eastAsia="es-CO"/>
              </w:rPr>
            </w:pPr>
            <w:r w:rsidRPr="005C307C">
              <w:rPr>
                <w:rFonts w:cs="Arial"/>
                <w:b/>
                <w:bCs/>
                <w:sz w:val="22"/>
                <w:szCs w:val="22"/>
                <w:lang w:eastAsia="es-CO"/>
              </w:rPr>
              <w:t>Direccionamiento Estratégico y Planeación</w:t>
            </w:r>
          </w:p>
        </w:tc>
        <w:tc>
          <w:tcPr>
            <w:tcW w:w="2200" w:type="dxa"/>
            <w:tcBorders>
              <w:top w:val="single" w:sz="6" w:space="0" w:color="95B3D7"/>
              <w:left w:val="single" w:sz="6" w:space="0" w:color="95B3D7"/>
              <w:bottom w:val="single" w:sz="6" w:space="0" w:color="95B3D7"/>
              <w:right w:val="single" w:sz="6" w:space="0" w:color="95B3D7"/>
            </w:tcBorders>
            <w:shd w:val="clear" w:color="auto" w:fill="DBE5F1"/>
            <w:hideMark/>
          </w:tcPr>
          <w:p w14:paraId="7041B0BD" w14:textId="77777777" w:rsidR="005D698A" w:rsidRPr="005C307C" w:rsidRDefault="005D698A" w:rsidP="00C72779">
            <w:pPr>
              <w:textAlignment w:val="baseline"/>
              <w:rPr>
                <w:sz w:val="22"/>
                <w:szCs w:val="22"/>
                <w:lang w:eastAsia="es-CO"/>
              </w:rPr>
            </w:pPr>
            <w:r w:rsidRPr="005C307C">
              <w:rPr>
                <w:rFonts w:cs="Arial"/>
                <w:sz w:val="22"/>
                <w:szCs w:val="22"/>
                <w:lang w:eastAsia="es-CO"/>
              </w:rPr>
              <w:t>Gestión de Riesgos </w:t>
            </w:r>
          </w:p>
        </w:tc>
        <w:tc>
          <w:tcPr>
            <w:tcW w:w="1712" w:type="dxa"/>
            <w:tcBorders>
              <w:top w:val="single" w:sz="6" w:space="0" w:color="95B3D7"/>
              <w:left w:val="single" w:sz="6" w:space="0" w:color="95B3D7"/>
              <w:bottom w:val="single" w:sz="6" w:space="0" w:color="95B3D7"/>
              <w:right w:val="single" w:sz="6" w:space="0" w:color="95B3D7"/>
            </w:tcBorders>
            <w:shd w:val="clear" w:color="auto" w:fill="DBE5F1"/>
            <w:hideMark/>
          </w:tcPr>
          <w:p w14:paraId="23263C32"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1</w:t>
            </w:r>
          </w:p>
        </w:tc>
        <w:tc>
          <w:tcPr>
            <w:tcW w:w="1296" w:type="dxa"/>
            <w:tcBorders>
              <w:top w:val="single" w:sz="6" w:space="0" w:color="95B3D7"/>
              <w:left w:val="single" w:sz="6" w:space="0" w:color="95B3D7"/>
              <w:bottom w:val="single" w:sz="6" w:space="0" w:color="95B3D7"/>
              <w:right w:val="single" w:sz="6" w:space="0" w:color="95B3D7"/>
            </w:tcBorders>
            <w:shd w:val="clear" w:color="auto" w:fill="DBE5F1"/>
            <w:hideMark/>
          </w:tcPr>
          <w:p w14:paraId="0CE0159F"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1</w:t>
            </w:r>
          </w:p>
        </w:tc>
        <w:tc>
          <w:tcPr>
            <w:tcW w:w="1025" w:type="dxa"/>
            <w:tcBorders>
              <w:top w:val="single" w:sz="6" w:space="0" w:color="95B3D7"/>
              <w:left w:val="single" w:sz="6" w:space="0" w:color="95B3D7"/>
              <w:bottom w:val="single" w:sz="6" w:space="0" w:color="95B3D7"/>
              <w:right w:val="single" w:sz="6" w:space="0" w:color="95B3D7"/>
            </w:tcBorders>
            <w:shd w:val="clear" w:color="auto" w:fill="DBE5F1"/>
            <w:hideMark/>
          </w:tcPr>
          <w:p w14:paraId="0BAA24DF"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0</w:t>
            </w:r>
          </w:p>
        </w:tc>
      </w:tr>
      <w:tr w:rsidR="005D698A" w:rsidRPr="005C307C" w14:paraId="74A1A1F6" w14:textId="77777777" w:rsidTr="000153ED">
        <w:trPr>
          <w:trHeight w:val="300"/>
          <w:jc w:val="center"/>
        </w:trPr>
        <w:tc>
          <w:tcPr>
            <w:tcW w:w="3111" w:type="dxa"/>
            <w:vMerge/>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24590B0" w14:textId="77777777" w:rsidR="005D698A" w:rsidRPr="005C307C" w:rsidRDefault="005D698A" w:rsidP="00C72779">
            <w:pPr>
              <w:rPr>
                <w:b/>
                <w:bCs/>
                <w:sz w:val="22"/>
                <w:szCs w:val="22"/>
                <w:lang w:eastAsia="es-CO"/>
              </w:rPr>
            </w:pPr>
          </w:p>
        </w:tc>
        <w:tc>
          <w:tcPr>
            <w:tcW w:w="2200" w:type="dxa"/>
            <w:tcBorders>
              <w:top w:val="single" w:sz="6" w:space="0" w:color="95B3D7"/>
              <w:left w:val="single" w:sz="6" w:space="0" w:color="95B3D7"/>
              <w:bottom w:val="single" w:sz="6" w:space="0" w:color="95B3D7"/>
              <w:right w:val="single" w:sz="6" w:space="0" w:color="95B3D7"/>
            </w:tcBorders>
            <w:shd w:val="clear" w:color="auto" w:fill="auto"/>
            <w:hideMark/>
          </w:tcPr>
          <w:p w14:paraId="71CC93AA" w14:textId="77777777" w:rsidR="005D698A" w:rsidRPr="005C307C" w:rsidRDefault="005D698A" w:rsidP="00C72779">
            <w:pPr>
              <w:textAlignment w:val="baseline"/>
              <w:rPr>
                <w:sz w:val="22"/>
                <w:szCs w:val="22"/>
                <w:lang w:eastAsia="es-CO"/>
              </w:rPr>
            </w:pPr>
            <w:r w:rsidRPr="005C307C">
              <w:rPr>
                <w:rFonts w:cs="Arial"/>
                <w:sz w:val="22"/>
                <w:szCs w:val="22"/>
                <w:lang w:eastAsia="es-CO"/>
              </w:rPr>
              <w:t>Gestión del SGI </w:t>
            </w:r>
          </w:p>
        </w:tc>
        <w:tc>
          <w:tcPr>
            <w:tcW w:w="1712" w:type="dxa"/>
            <w:tcBorders>
              <w:top w:val="single" w:sz="6" w:space="0" w:color="95B3D7"/>
              <w:left w:val="single" w:sz="6" w:space="0" w:color="95B3D7"/>
              <w:bottom w:val="single" w:sz="6" w:space="0" w:color="95B3D7"/>
              <w:right w:val="single" w:sz="6" w:space="0" w:color="95B3D7"/>
            </w:tcBorders>
            <w:shd w:val="clear" w:color="auto" w:fill="auto"/>
            <w:hideMark/>
          </w:tcPr>
          <w:p w14:paraId="5049D7F8"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12</w:t>
            </w:r>
          </w:p>
        </w:tc>
        <w:tc>
          <w:tcPr>
            <w:tcW w:w="1296" w:type="dxa"/>
            <w:tcBorders>
              <w:top w:val="single" w:sz="6" w:space="0" w:color="95B3D7"/>
              <w:left w:val="single" w:sz="6" w:space="0" w:color="95B3D7"/>
              <w:bottom w:val="single" w:sz="6" w:space="0" w:color="95B3D7"/>
              <w:right w:val="single" w:sz="6" w:space="0" w:color="95B3D7"/>
            </w:tcBorders>
            <w:shd w:val="clear" w:color="auto" w:fill="auto"/>
            <w:hideMark/>
          </w:tcPr>
          <w:p w14:paraId="3BEF1EA2"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3</w:t>
            </w:r>
          </w:p>
        </w:tc>
        <w:tc>
          <w:tcPr>
            <w:tcW w:w="1025" w:type="dxa"/>
            <w:tcBorders>
              <w:top w:val="single" w:sz="6" w:space="0" w:color="95B3D7"/>
              <w:left w:val="single" w:sz="6" w:space="0" w:color="95B3D7"/>
              <w:bottom w:val="single" w:sz="6" w:space="0" w:color="95B3D7"/>
              <w:right w:val="single" w:sz="6" w:space="0" w:color="95B3D7"/>
            </w:tcBorders>
            <w:shd w:val="clear" w:color="auto" w:fill="auto"/>
            <w:hideMark/>
          </w:tcPr>
          <w:p w14:paraId="5F770903"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2</w:t>
            </w:r>
          </w:p>
        </w:tc>
      </w:tr>
      <w:tr w:rsidR="005D698A" w:rsidRPr="005C307C" w14:paraId="357699BF" w14:textId="77777777" w:rsidTr="000153ED">
        <w:trPr>
          <w:trHeight w:val="300"/>
          <w:jc w:val="center"/>
        </w:trPr>
        <w:tc>
          <w:tcPr>
            <w:tcW w:w="3111" w:type="dxa"/>
            <w:vMerge/>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7CF4D74" w14:textId="77777777" w:rsidR="005D698A" w:rsidRPr="005C307C" w:rsidRDefault="005D698A" w:rsidP="00C72779">
            <w:pPr>
              <w:rPr>
                <w:b/>
                <w:bCs/>
                <w:sz w:val="22"/>
                <w:szCs w:val="22"/>
                <w:lang w:eastAsia="es-CO"/>
              </w:rPr>
            </w:pPr>
          </w:p>
        </w:tc>
        <w:tc>
          <w:tcPr>
            <w:tcW w:w="2200" w:type="dxa"/>
            <w:tcBorders>
              <w:top w:val="single" w:sz="6" w:space="0" w:color="95B3D7"/>
              <w:left w:val="single" w:sz="6" w:space="0" w:color="95B3D7"/>
              <w:bottom w:val="single" w:sz="6" w:space="0" w:color="95B3D7"/>
              <w:right w:val="single" w:sz="6" w:space="0" w:color="95B3D7"/>
            </w:tcBorders>
            <w:shd w:val="clear" w:color="auto" w:fill="DBE5F1"/>
            <w:hideMark/>
          </w:tcPr>
          <w:p w14:paraId="66DB5B57" w14:textId="77777777" w:rsidR="005D698A" w:rsidRPr="005C307C" w:rsidRDefault="005D698A" w:rsidP="00C72779">
            <w:pPr>
              <w:textAlignment w:val="baseline"/>
              <w:rPr>
                <w:sz w:val="22"/>
                <w:szCs w:val="22"/>
                <w:lang w:eastAsia="es-CO"/>
              </w:rPr>
            </w:pPr>
            <w:r w:rsidRPr="005C307C">
              <w:rPr>
                <w:rFonts w:cs="Arial"/>
                <w:sz w:val="22"/>
                <w:szCs w:val="22"/>
                <w:lang w:eastAsia="es-CO"/>
              </w:rPr>
              <w:t>Gestión Estratégica </w:t>
            </w:r>
          </w:p>
        </w:tc>
        <w:tc>
          <w:tcPr>
            <w:tcW w:w="1712" w:type="dxa"/>
            <w:tcBorders>
              <w:top w:val="single" w:sz="6" w:space="0" w:color="95B3D7"/>
              <w:left w:val="single" w:sz="6" w:space="0" w:color="95B3D7"/>
              <w:bottom w:val="single" w:sz="6" w:space="0" w:color="95B3D7"/>
              <w:right w:val="single" w:sz="6" w:space="0" w:color="95B3D7"/>
            </w:tcBorders>
            <w:shd w:val="clear" w:color="auto" w:fill="DBE5F1"/>
            <w:hideMark/>
          </w:tcPr>
          <w:p w14:paraId="084C10B8"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4</w:t>
            </w:r>
          </w:p>
        </w:tc>
        <w:tc>
          <w:tcPr>
            <w:tcW w:w="1296" w:type="dxa"/>
            <w:tcBorders>
              <w:top w:val="single" w:sz="6" w:space="0" w:color="95B3D7"/>
              <w:left w:val="single" w:sz="6" w:space="0" w:color="95B3D7"/>
              <w:bottom w:val="single" w:sz="6" w:space="0" w:color="95B3D7"/>
              <w:right w:val="single" w:sz="6" w:space="0" w:color="95B3D7"/>
            </w:tcBorders>
            <w:shd w:val="clear" w:color="auto" w:fill="DBE5F1"/>
            <w:hideMark/>
          </w:tcPr>
          <w:p w14:paraId="692A1CD6"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4</w:t>
            </w:r>
          </w:p>
        </w:tc>
        <w:tc>
          <w:tcPr>
            <w:tcW w:w="1025" w:type="dxa"/>
            <w:tcBorders>
              <w:top w:val="single" w:sz="6" w:space="0" w:color="95B3D7"/>
              <w:left w:val="single" w:sz="6" w:space="0" w:color="95B3D7"/>
              <w:bottom w:val="single" w:sz="6" w:space="0" w:color="95B3D7"/>
              <w:right w:val="single" w:sz="6" w:space="0" w:color="95B3D7"/>
            </w:tcBorders>
            <w:shd w:val="clear" w:color="auto" w:fill="DBE5F1"/>
            <w:hideMark/>
          </w:tcPr>
          <w:p w14:paraId="0FA12E36" w14:textId="77777777" w:rsidR="005D698A" w:rsidRPr="005C307C" w:rsidRDefault="005D698A" w:rsidP="00C72779">
            <w:pPr>
              <w:jc w:val="center"/>
              <w:textAlignment w:val="baseline"/>
              <w:rPr>
                <w:sz w:val="22"/>
                <w:szCs w:val="22"/>
                <w:lang w:eastAsia="es-CO"/>
              </w:rPr>
            </w:pPr>
            <w:r w:rsidRPr="005C307C">
              <w:rPr>
                <w:rFonts w:cs="Arial"/>
                <w:sz w:val="22"/>
                <w:szCs w:val="22"/>
                <w:lang w:eastAsia="es-CO"/>
              </w:rPr>
              <w:t>3</w:t>
            </w:r>
          </w:p>
        </w:tc>
      </w:tr>
      <w:tr w:rsidR="005D698A" w:rsidRPr="005C307C" w14:paraId="449B1471" w14:textId="77777777" w:rsidTr="000153ED">
        <w:trPr>
          <w:trHeight w:val="300"/>
          <w:jc w:val="center"/>
        </w:trPr>
        <w:tc>
          <w:tcPr>
            <w:tcW w:w="5311" w:type="dxa"/>
            <w:gridSpan w:val="2"/>
            <w:tcBorders>
              <w:top w:val="single" w:sz="6" w:space="0" w:color="95B3D7"/>
              <w:left w:val="single" w:sz="6" w:space="0" w:color="95B3D7"/>
              <w:bottom w:val="single" w:sz="6" w:space="0" w:color="95B3D7"/>
              <w:right w:val="single" w:sz="6" w:space="0" w:color="95B3D7"/>
            </w:tcBorders>
            <w:shd w:val="clear" w:color="auto" w:fill="auto"/>
            <w:hideMark/>
          </w:tcPr>
          <w:p w14:paraId="21F4FCD8" w14:textId="77777777" w:rsidR="005D698A" w:rsidRPr="005C307C" w:rsidRDefault="005D698A" w:rsidP="00C72779">
            <w:pPr>
              <w:jc w:val="center"/>
              <w:textAlignment w:val="baseline"/>
              <w:rPr>
                <w:b/>
                <w:bCs/>
                <w:sz w:val="22"/>
                <w:szCs w:val="22"/>
                <w:lang w:eastAsia="es-CO"/>
              </w:rPr>
            </w:pPr>
            <w:r w:rsidRPr="005C307C">
              <w:rPr>
                <w:rFonts w:cs="Arial"/>
                <w:b/>
                <w:bCs/>
                <w:sz w:val="22"/>
                <w:szCs w:val="22"/>
                <w:lang w:eastAsia="es-CO"/>
              </w:rPr>
              <w:t>Total</w:t>
            </w:r>
          </w:p>
        </w:tc>
        <w:tc>
          <w:tcPr>
            <w:tcW w:w="1712" w:type="dxa"/>
            <w:tcBorders>
              <w:top w:val="single" w:sz="6" w:space="0" w:color="95B3D7"/>
              <w:left w:val="single" w:sz="6" w:space="0" w:color="95B3D7"/>
              <w:bottom w:val="single" w:sz="6" w:space="0" w:color="95B3D7"/>
              <w:right w:val="single" w:sz="6" w:space="0" w:color="95B3D7"/>
            </w:tcBorders>
            <w:shd w:val="clear" w:color="auto" w:fill="auto"/>
            <w:hideMark/>
          </w:tcPr>
          <w:p w14:paraId="4E94B6BF" w14:textId="77777777" w:rsidR="005D698A" w:rsidRPr="005C307C" w:rsidRDefault="005D698A" w:rsidP="00C72779">
            <w:pPr>
              <w:jc w:val="center"/>
              <w:textAlignment w:val="baseline"/>
              <w:rPr>
                <w:sz w:val="22"/>
                <w:szCs w:val="22"/>
                <w:lang w:eastAsia="es-CO"/>
              </w:rPr>
            </w:pPr>
            <w:r w:rsidRPr="005C307C">
              <w:rPr>
                <w:rFonts w:cs="Arial"/>
                <w:b/>
                <w:bCs/>
                <w:sz w:val="22"/>
                <w:szCs w:val="22"/>
                <w:lang w:eastAsia="es-CO"/>
              </w:rPr>
              <w:t>17</w:t>
            </w:r>
          </w:p>
        </w:tc>
        <w:tc>
          <w:tcPr>
            <w:tcW w:w="1296" w:type="dxa"/>
            <w:tcBorders>
              <w:top w:val="single" w:sz="6" w:space="0" w:color="95B3D7"/>
              <w:left w:val="single" w:sz="6" w:space="0" w:color="95B3D7"/>
              <w:bottom w:val="single" w:sz="6" w:space="0" w:color="95B3D7"/>
              <w:right w:val="single" w:sz="6" w:space="0" w:color="95B3D7"/>
            </w:tcBorders>
            <w:shd w:val="clear" w:color="auto" w:fill="auto"/>
            <w:hideMark/>
          </w:tcPr>
          <w:p w14:paraId="3A3393C8" w14:textId="77777777" w:rsidR="005D698A" w:rsidRPr="005C307C" w:rsidRDefault="005D698A" w:rsidP="00C72779">
            <w:pPr>
              <w:jc w:val="center"/>
              <w:textAlignment w:val="baseline"/>
              <w:rPr>
                <w:sz w:val="22"/>
                <w:szCs w:val="22"/>
                <w:lang w:eastAsia="es-CO"/>
              </w:rPr>
            </w:pPr>
            <w:r w:rsidRPr="005C307C">
              <w:rPr>
                <w:rFonts w:cs="Arial"/>
                <w:b/>
                <w:bCs/>
                <w:sz w:val="22"/>
                <w:szCs w:val="22"/>
                <w:lang w:eastAsia="es-CO"/>
              </w:rPr>
              <w:t>8</w:t>
            </w:r>
          </w:p>
        </w:tc>
        <w:tc>
          <w:tcPr>
            <w:tcW w:w="1025" w:type="dxa"/>
            <w:tcBorders>
              <w:top w:val="single" w:sz="6" w:space="0" w:color="95B3D7"/>
              <w:left w:val="single" w:sz="6" w:space="0" w:color="95B3D7"/>
              <w:bottom w:val="single" w:sz="6" w:space="0" w:color="95B3D7"/>
              <w:right w:val="single" w:sz="6" w:space="0" w:color="95B3D7"/>
            </w:tcBorders>
            <w:shd w:val="clear" w:color="auto" w:fill="auto"/>
            <w:hideMark/>
          </w:tcPr>
          <w:p w14:paraId="67B923B0" w14:textId="77777777" w:rsidR="005D698A" w:rsidRPr="005C307C" w:rsidRDefault="005D698A" w:rsidP="00C72779">
            <w:pPr>
              <w:jc w:val="center"/>
              <w:textAlignment w:val="baseline"/>
              <w:rPr>
                <w:sz w:val="22"/>
                <w:szCs w:val="22"/>
                <w:lang w:eastAsia="es-CO"/>
              </w:rPr>
            </w:pPr>
            <w:r w:rsidRPr="005C307C">
              <w:rPr>
                <w:rFonts w:cs="Arial"/>
                <w:b/>
                <w:bCs/>
                <w:sz w:val="22"/>
                <w:szCs w:val="22"/>
                <w:lang w:eastAsia="es-CO"/>
              </w:rPr>
              <w:t>5</w:t>
            </w:r>
          </w:p>
        </w:tc>
      </w:tr>
    </w:tbl>
    <w:p w14:paraId="0C6C1669" w14:textId="11564EDE" w:rsidR="005D698A" w:rsidRPr="0048190C" w:rsidRDefault="0048190C" w:rsidP="0048190C">
      <w:pPr>
        <w:jc w:val="center"/>
        <w:textAlignment w:val="baseline"/>
        <w:rPr>
          <w:rFonts w:cs="Arial"/>
          <w:b/>
          <w:sz w:val="16"/>
          <w:szCs w:val="16"/>
          <w:lang w:eastAsia="es-CO"/>
        </w:rPr>
      </w:pPr>
      <w:r w:rsidRPr="0048190C">
        <w:rPr>
          <w:rFonts w:cs="Arial"/>
          <w:b/>
          <w:bCs/>
          <w:sz w:val="16"/>
          <w:szCs w:val="16"/>
          <w:lang w:eastAsia="es-CO"/>
        </w:rPr>
        <w:t>Fuente: Oficina Asesora de Planeación</w:t>
      </w:r>
    </w:p>
    <w:p w14:paraId="67E86D18" w14:textId="77777777" w:rsidR="0048190C" w:rsidRDefault="0048190C" w:rsidP="00C72779">
      <w:pPr>
        <w:jc w:val="both"/>
        <w:textAlignment w:val="baseline"/>
        <w:rPr>
          <w:rFonts w:cs="Arial"/>
          <w:color w:val="000000"/>
          <w:sz w:val="22"/>
          <w:szCs w:val="22"/>
          <w:lang w:eastAsia="es-CO"/>
        </w:rPr>
      </w:pPr>
    </w:p>
    <w:p w14:paraId="29A46814" w14:textId="7C33BD0C" w:rsidR="005D698A" w:rsidRPr="005C307C" w:rsidRDefault="005D698A" w:rsidP="00C72779">
      <w:pPr>
        <w:jc w:val="both"/>
        <w:textAlignment w:val="baseline"/>
        <w:rPr>
          <w:rFonts w:ascii="Segoe UI" w:hAnsi="Segoe UI" w:cs="Segoe UI"/>
          <w:sz w:val="22"/>
          <w:szCs w:val="22"/>
          <w:lang w:eastAsia="es-CO"/>
        </w:rPr>
      </w:pPr>
      <w:r w:rsidRPr="005C307C">
        <w:rPr>
          <w:rFonts w:cs="Arial"/>
          <w:color w:val="000000"/>
          <w:sz w:val="22"/>
          <w:szCs w:val="22"/>
          <w:lang w:eastAsia="es-CO"/>
        </w:rPr>
        <w:t>Para mayor detalle de la información consultar en: </w:t>
      </w:r>
    </w:p>
    <w:p w14:paraId="23398801" w14:textId="77777777" w:rsidR="005D698A" w:rsidRPr="005C307C" w:rsidRDefault="005D698A" w:rsidP="00C72779">
      <w:pPr>
        <w:jc w:val="both"/>
        <w:textAlignment w:val="baseline"/>
        <w:rPr>
          <w:rFonts w:ascii="Segoe UI" w:hAnsi="Segoe UI" w:cs="Segoe UI"/>
          <w:sz w:val="22"/>
          <w:szCs w:val="22"/>
          <w:lang w:eastAsia="es-CO"/>
        </w:rPr>
      </w:pPr>
      <w:r w:rsidRPr="005C307C">
        <w:rPr>
          <w:rFonts w:cs="Arial"/>
          <w:color w:val="000000"/>
          <w:sz w:val="22"/>
          <w:szCs w:val="22"/>
          <w:lang w:eastAsia="es-CO"/>
        </w:rPr>
        <w:t> </w:t>
      </w:r>
    </w:p>
    <w:p w14:paraId="712365CD" w14:textId="77777777" w:rsidR="005D698A" w:rsidRPr="00DD2082" w:rsidRDefault="005D698A" w:rsidP="00DD2082">
      <w:pPr>
        <w:pStyle w:val="Prrafodelista"/>
        <w:numPr>
          <w:ilvl w:val="0"/>
          <w:numId w:val="275"/>
        </w:numPr>
        <w:rPr>
          <w:rFonts w:ascii="Segoe UI" w:hAnsi="Segoe UI" w:cs="Segoe UI"/>
          <w:sz w:val="22"/>
          <w:szCs w:val="22"/>
          <w:lang w:eastAsia="es-CO"/>
        </w:rPr>
      </w:pPr>
      <w:r w:rsidRPr="00DD2082">
        <w:rPr>
          <w:rFonts w:cs="Arial"/>
          <w:b/>
          <w:bCs/>
          <w:color w:val="000000"/>
          <w:sz w:val="22"/>
          <w:szCs w:val="22"/>
          <w:lang w:eastAsia="es-CO"/>
        </w:rPr>
        <w:t>Procedimientos</w:t>
      </w:r>
      <w:r w:rsidRPr="00DD2082">
        <w:rPr>
          <w:rFonts w:cs="Arial"/>
          <w:color w:val="000000"/>
          <w:sz w:val="22"/>
          <w:szCs w:val="22"/>
          <w:lang w:eastAsia="es-CO"/>
        </w:rPr>
        <w:t>: </w:t>
      </w:r>
      <w:hyperlink r:id="rId199" w:tgtFrame="_blank" w:history="1">
        <w:r w:rsidRPr="00DD2082">
          <w:rPr>
            <w:rFonts w:cs="Arial"/>
            <w:color w:val="0000FF"/>
            <w:sz w:val="22"/>
            <w:szCs w:val="22"/>
            <w:u w:val="single"/>
            <w:lang w:eastAsia="es-CO"/>
          </w:rPr>
          <w:t>https://www.igac.gov.co/es/listado-maestro-de-documentos</w:t>
        </w:r>
      </w:hyperlink>
      <w:r w:rsidRPr="00DD2082">
        <w:rPr>
          <w:rFonts w:cs="Arial"/>
          <w:color w:val="000000"/>
          <w:sz w:val="22"/>
          <w:szCs w:val="22"/>
          <w:lang w:eastAsia="es-CO"/>
        </w:rPr>
        <w:t> </w:t>
      </w:r>
    </w:p>
    <w:p w14:paraId="760568B3" w14:textId="77777777" w:rsidR="005D698A" w:rsidRPr="00DD2082" w:rsidRDefault="005D698A" w:rsidP="00DD2082">
      <w:pPr>
        <w:pStyle w:val="Prrafodelista"/>
        <w:numPr>
          <w:ilvl w:val="0"/>
          <w:numId w:val="275"/>
        </w:numPr>
        <w:rPr>
          <w:rFonts w:ascii="Segoe UI" w:hAnsi="Segoe UI" w:cs="Segoe UI"/>
          <w:sz w:val="22"/>
          <w:szCs w:val="22"/>
          <w:lang w:eastAsia="es-CO"/>
        </w:rPr>
      </w:pPr>
      <w:r w:rsidRPr="00DD2082">
        <w:rPr>
          <w:rFonts w:cs="Arial"/>
          <w:b/>
          <w:bCs/>
          <w:color w:val="000000"/>
          <w:sz w:val="22"/>
          <w:szCs w:val="22"/>
          <w:lang w:eastAsia="es-CO"/>
        </w:rPr>
        <w:t>Indicadores</w:t>
      </w:r>
      <w:r w:rsidRPr="00DD2082">
        <w:rPr>
          <w:rFonts w:cs="Arial"/>
          <w:color w:val="000000"/>
          <w:sz w:val="22"/>
          <w:szCs w:val="22"/>
          <w:lang w:eastAsia="es-CO"/>
        </w:rPr>
        <w:t>: Plan Acción Anual 2021: </w:t>
      </w:r>
      <w:r w:rsidRPr="00DD2082">
        <w:rPr>
          <w:color w:val="000000"/>
          <w:sz w:val="22"/>
          <w:szCs w:val="22"/>
          <w:lang w:eastAsia="es-CO"/>
        </w:rPr>
        <w:t> </w:t>
      </w:r>
      <w:hyperlink r:id="rId200" w:tgtFrame="_blank" w:history="1">
        <w:r w:rsidRPr="00DD2082">
          <w:rPr>
            <w:rFonts w:cs="Arial"/>
            <w:color w:val="0000FF"/>
            <w:sz w:val="22"/>
            <w:szCs w:val="22"/>
            <w:u w:val="single"/>
            <w:lang w:eastAsia="es-CO"/>
          </w:rPr>
          <w:t>https://www.igac.gov.co/es/transparencia-y-acceso-a-la-informacion-publica/plan-de-accion-anual</w:t>
        </w:r>
      </w:hyperlink>
      <w:r w:rsidRPr="00DD2082">
        <w:rPr>
          <w:rFonts w:cs="Arial"/>
          <w:color w:val="000000"/>
          <w:sz w:val="22"/>
          <w:szCs w:val="22"/>
          <w:lang w:eastAsia="es-CO"/>
        </w:rPr>
        <w:t> y en Herramienta Planigac </w:t>
      </w:r>
    </w:p>
    <w:p w14:paraId="488E855A" w14:textId="77777777" w:rsidR="005D698A" w:rsidRPr="00DD2082" w:rsidRDefault="005D698A" w:rsidP="00DD2082">
      <w:pPr>
        <w:pStyle w:val="Prrafodelista"/>
        <w:numPr>
          <w:ilvl w:val="0"/>
          <w:numId w:val="275"/>
        </w:numPr>
        <w:rPr>
          <w:rFonts w:cs="Arial"/>
          <w:color w:val="000000"/>
          <w:sz w:val="22"/>
          <w:szCs w:val="22"/>
          <w:lang w:eastAsia="es-CO"/>
        </w:rPr>
      </w:pPr>
      <w:r w:rsidRPr="00DD2082">
        <w:rPr>
          <w:rFonts w:cs="Arial"/>
          <w:b/>
          <w:bCs/>
          <w:color w:val="000000"/>
          <w:sz w:val="22"/>
          <w:szCs w:val="22"/>
          <w:lang w:eastAsia="es-CO"/>
        </w:rPr>
        <w:t>Riesgos</w:t>
      </w:r>
      <w:r w:rsidRPr="00DD2082">
        <w:rPr>
          <w:rFonts w:cs="Arial"/>
          <w:color w:val="000000"/>
          <w:sz w:val="22"/>
          <w:szCs w:val="22"/>
          <w:lang w:eastAsia="es-CO"/>
        </w:rPr>
        <w:t>: Matriz de Riesgos Institucional IGAC 2021: </w:t>
      </w:r>
      <w:hyperlink r:id="rId201" w:tgtFrame="_blank" w:history="1">
        <w:r w:rsidRPr="00DD2082">
          <w:rPr>
            <w:rFonts w:cs="Arial"/>
            <w:color w:val="0000FF"/>
            <w:sz w:val="22"/>
            <w:szCs w:val="22"/>
            <w:u w:val="single"/>
            <w:lang w:eastAsia="es-CO"/>
          </w:rPr>
          <w:t>https://www.igac.gov.co/es/transparencia-y-acceso-a-la-informacion-publica/plan-anticorrupcion-y-de-atencion-al-ciudadano</w:t>
        </w:r>
      </w:hyperlink>
      <w:r w:rsidRPr="00DD2082">
        <w:rPr>
          <w:rFonts w:cs="Arial"/>
          <w:color w:val="000000"/>
          <w:sz w:val="22"/>
          <w:szCs w:val="22"/>
          <w:lang w:eastAsia="es-CO"/>
        </w:rPr>
        <w:t xml:space="preserve">                        </w:t>
      </w:r>
    </w:p>
    <w:p w14:paraId="1E9E9DF2" w14:textId="77777777" w:rsidR="005D698A" w:rsidRPr="00DD2082" w:rsidRDefault="005D698A" w:rsidP="00DD2082">
      <w:pPr>
        <w:pStyle w:val="Prrafodelista"/>
        <w:numPr>
          <w:ilvl w:val="0"/>
          <w:numId w:val="275"/>
        </w:numPr>
        <w:rPr>
          <w:rFonts w:cs="Arial"/>
          <w:color w:val="000000"/>
          <w:sz w:val="22"/>
          <w:szCs w:val="22"/>
          <w:lang w:eastAsia="es-CO"/>
        </w:rPr>
      </w:pPr>
      <w:r w:rsidRPr="00DD2082">
        <w:rPr>
          <w:rFonts w:cs="Arial"/>
          <w:color w:val="000000"/>
          <w:sz w:val="22"/>
          <w:szCs w:val="22"/>
          <w:lang w:eastAsia="es-CO"/>
        </w:rPr>
        <w:t>y en Herramienta Planigac. </w:t>
      </w:r>
    </w:p>
    <w:p w14:paraId="461E14FF" w14:textId="77777777" w:rsidR="005D698A" w:rsidRPr="005C307C" w:rsidRDefault="005D698A" w:rsidP="00C72779">
      <w:pPr>
        <w:jc w:val="both"/>
        <w:textAlignment w:val="baseline"/>
        <w:rPr>
          <w:rFonts w:ascii="Segoe UI" w:hAnsi="Segoe UI" w:cs="Segoe UI"/>
          <w:sz w:val="22"/>
          <w:szCs w:val="22"/>
          <w:lang w:eastAsia="es-CO"/>
        </w:rPr>
      </w:pPr>
      <w:r w:rsidRPr="005C307C">
        <w:rPr>
          <w:rFonts w:ascii="Calibri" w:hAnsi="Calibri" w:cs="Calibri"/>
          <w:sz w:val="22"/>
          <w:szCs w:val="22"/>
          <w:lang w:eastAsia="es-CO"/>
        </w:rPr>
        <w:t> </w:t>
      </w:r>
    </w:p>
    <w:p w14:paraId="0B184A70" w14:textId="77777777" w:rsidR="005D698A" w:rsidRPr="00836777" w:rsidRDefault="005D698A" w:rsidP="000A20EE">
      <w:pPr>
        <w:pStyle w:val="Prrafodelista"/>
        <w:numPr>
          <w:ilvl w:val="2"/>
          <w:numId w:val="22"/>
        </w:numPr>
        <w:suppressAutoHyphens w:val="0"/>
        <w:rPr>
          <w:rFonts w:ascii="Calibri" w:hAnsi="Calibri" w:cs="Calibri"/>
          <w:sz w:val="22"/>
          <w:szCs w:val="22"/>
          <w:lang w:eastAsia="es-CO"/>
        </w:rPr>
      </w:pPr>
      <w:r w:rsidRPr="005C307C">
        <w:rPr>
          <w:rFonts w:cs="Arial"/>
          <w:b/>
          <w:bCs/>
          <w:sz w:val="22"/>
          <w:szCs w:val="22"/>
          <w:lang w:eastAsia="es-CO"/>
        </w:rPr>
        <w:t>POLÍTICAS ASOCIADAS AL PROCESO Y SUBPROCESOS DE LA OAP</w:t>
      </w:r>
      <w:r w:rsidRPr="005C307C">
        <w:rPr>
          <w:rFonts w:cs="Arial"/>
          <w:sz w:val="22"/>
          <w:szCs w:val="22"/>
          <w:lang w:eastAsia="es-CO"/>
        </w:rPr>
        <w:t> </w:t>
      </w:r>
    </w:p>
    <w:p w14:paraId="659344EE" w14:textId="77777777" w:rsidR="0048190C" w:rsidRPr="0048190C" w:rsidRDefault="0048190C" w:rsidP="00DD2082">
      <w:pPr>
        <w:suppressAutoHyphens w:val="0"/>
        <w:textAlignment w:val="baseline"/>
        <w:rPr>
          <w:rFonts w:cs="Arial"/>
          <w:sz w:val="16"/>
          <w:szCs w:val="16"/>
          <w:lang w:eastAsia="es-CO"/>
        </w:rPr>
      </w:pPr>
    </w:p>
    <w:tbl>
      <w:tblPr>
        <w:tblW w:w="5154"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44"/>
        <w:gridCol w:w="3545"/>
        <w:gridCol w:w="3543"/>
      </w:tblGrid>
      <w:tr w:rsidR="005D698A" w:rsidRPr="005C307C" w14:paraId="0050BC7E" w14:textId="77777777" w:rsidTr="000153ED">
        <w:trPr>
          <w:tblHeader/>
        </w:trPr>
        <w:tc>
          <w:tcPr>
            <w:tcW w:w="1321" w:type="pct"/>
            <w:tcBorders>
              <w:top w:val="single" w:sz="6" w:space="0" w:color="4F81BD"/>
              <w:left w:val="single" w:sz="6" w:space="0" w:color="4F81BD"/>
              <w:bottom w:val="single" w:sz="6" w:space="0" w:color="4F81BD"/>
              <w:right w:val="nil"/>
            </w:tcBorders>
            <w:shd w:val="clear" w:color="auto" w:fill="4F81BD"/>
            <w:vAlign w:val="center"/>
            <w:hideMark/>
          </w:tcPr>
          <w:p w14:paraId="32778551" w14:textId="77777777" w:rsidR="005D698A" w:rsidRPr="0048190C" w:rsidRDefault="005D698A" w:rsidP="00C72779">
            <w:pPr>
              <w:jc w:val="center"/>
              <w:textAlignment w:val="baseline"/>
              <w:rPr>
                <w:b/>
                <w:color w:val="FFFFFF"/>
                <w:sz w:val="18"/>
                <w:szCs w:val="18"/>
                <w:lang w:eastAsia="es-CO"/>
              </w:rPr>
            </w:pPr>
            <w:r w:rsidRPr="0048190C">
              <w:rPr>
                <w:rFonts w:cs="Arial"/>
                <w:b/>
                <w:color w:val="FFFFFF"/>
                <w:sz w:val="18"/>
                <w:szCs w:val="18"/>
                <w:lang w:val="es-MX" w:eastAsia="es-CO"/>
              </w:rPr>
              <w:t>Política</w:t>
            </w:r>
          </w:p>
        </w:tc>
        <w:tc>
          <w:tcPr>
            <w:tcW w:w="1840" w:type="pct"/>
            <w:tcBorders>
              <w:top w:val="single" w:sz="6" w:space="0" w:color="4F81BD"/>
              <w:left w:val="nil"/>
              <w:bottom w:val="single" w:sz="6" w:space="0" w:color="4F81BD"/>
              <w:right w:val="nil"/>
            </w:tcBorders>
            <w:shd w:val="clear" w:color="auto" w:fill="4F81BD"/>
            <w:vAlign w:val="center"/>
            <w:hideMark/>
          </w:tcPr>
          <w:p w14:paraId="2E4236D0" w14:textId="77777777" w:rsidR="005D698A" w:rsidRPr="0048190C" w:rsidRDefault="005D698A" w:rsidP="00C72779">
            <w:pPr>
              <w:jc w:val="center"/>
              <w:textAlignment w:val="baseline"/>
              <w:rPr>
                <w:b/>
                <w:color w:val="FFFFFF"/>
                <w:sz w:val="18"/>
                <w:szCs w:val="18"/>
                <w:lang w:eastAsia="es-CO"/>
              </w:rPr>
            </w:pPr>
            <w:r w:rsidRPr="0048190C">
              <w:rPr>
                <w:rFonts w:cs="Arial"/>
                <w:b/>
                <w:color w:val="FFFFFF"/>
                <w:sz w:val="18"/>
                <w:szCs w:val="18"/>
                <w:lang w:val="es-MX" w:eastAsia="es-CO"/>
              </w:rPr>
              <w:t>Objetivo</w:t>
            </w:r>
          </w:p>
        </w:tc>
        <w:tc>
          <w:tcPr>
            <w:tcW w:w="1839" w:type="pct"/>
            <w:tcBorders>
              <w:top w:val="single" w:sz="6" w:space="0" w:color="4F81BD"/>
              <w:left w:val="nil"/>
              <w:bottom w:val="single" w:sz="6" w:space="0" w:color="4F81BD"/>
              <w:right w:val="single" w:sz="6" w:space="0" w:color="4F81BD"/>
            </w:tcBorders>
            <w:shd w:val="clear" w:color="auto" w:fill="4F81BD"/>
            <w:vAlign w:val="center"/>
            <w:hideMark/>
          </w:tcPr>
          <w:p w14:paraId="3D3DA0DB" w14:textId="77777777" w:rsidR="005D698A" w:rsidRPr="0048190C" w:rsidRDefault="005D698A" w:rsidP="00C72779">
            <w:pPr>
              <w:jc w:val="center"/>
              <w:textAlignment w:val="baseline"/>
              <w:rPr>
                <w:b/>
                <w:color w:val="FFFFFF"/>
                <w:sz w:val="18"/>
                <w:szCs w:val="18"/>
                <w:lang w:eastAsia="es-CO"/>
              </w:rPr>
            </w:pPr>
            <w:r w:rsidRPr="0048190C">
              <w:rPr>
                <w:rFonts w:cs="Arial"/>
                <w:b/>
                <w:color w:val="FFFFFF"/>
                <w:sz w:val="18"/>
                <w:szCs w:val="18"/>
                <w:lang w:val="es-MX" w:eastAsia="es-CO"/>
              </w:rPr>
              <w:t>Alcance</w:t>
            </w:r>
          </w:p>
        </w:tc>
      </w:tr>
      <w:tr w:rsidR="005D698A" w:rsidRPr="005C307C" w14:paraId="19128D7A"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345BD377"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PL-DEP-01 -Administración del Riesgo</w:t>
            </w:r>
          </w:p>
        </w:tc>
        <w:tc>
          <w:tcPr>
            <w:tcW w:w="1840"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41CC3DB8" w14:textId="77777777" w:rsidR="005D698A" w:rsidRPr="0048190C" w:rsidRDefault="005D698A" w:rsidP="00C72779">
            <w:pPr>
              <w:jc w:val="both"/>
              <w:textAlignment w:val="baseline"/>
              <w:rPr>
                <w:rFonts w:cs="Arial"/>
                <w:sz w:val="18"/>
                <w:szCs w:val="18"/>
                <w:lang w:eastAsia="es-CO"/>
              </w:rPr>
            </w:pPr>
            <w:r w:rsidRPr="0048190C">
              <w:rPr>
                <w:rFonts w:cs="Arial"/>
                <w:sz w:val="18"/>
                <w:szCs w:val="18"/>
                <w:lang w:eastAsia="es-CO"/>
              </w:rPr>
              <w:t>Fomentar la cultura de la prevención del riesgo en todos los niveles de la Institución.</w:t>
            </w:r>
          </w:p>
          <w:p w14:paraId="53689AA1" w14:textId="77777777" w:rsidR="005D698A" w:rsidRPr="0048190C" w:rsidRDefault="005D698A" w:rsidP="00C72779">
            <w:pPr>
              <w:jc w:val="both"/>
              <w:textAlignment w:val="baseline"/>
              <w:rPr>
                <w:rFonts w:cs="Arial"/>
                <w:sz w:val="18"/>
                <w:szCs w:val="18"/>
                <w:lang w:eastAsia="es-CO"/>
              </w:rPr>
            </w:pPr>
          </w:p>
          <w:p w14:paraId="6F00E3B5"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Mantener los controles que permitan el adecuado aprovechamiento de los recursos destinados a planes, programas, y proyectos, siempre bajo las mejores condiciones de eficacia, eficiencia, y efectividad.</w:t>
            </w:r>
          </w:p>
        </w:tc>
        <w:tc>
          <w:tcPr>
            <w:tcW w:w="1839"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102C9310"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La administración de riesgos debe ser extensible y aplicable a todos los procesos y Direcciones Territoriales del IGAC. En el caso de los riesgos de seguridad digital, éstos se gestionan de acuerdo con los criterios diferenciales descritos en el Plan de Seguridad y Privacidad de la Información establecida.</w:t>
            </w:r>
          </w:p>
        </w:tc>
      </w:tr>
      <w:tr w:rsidR="005D698A" w:rsidRPr="005C307C" w14:paraId="5A937AEF"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7CA51CA"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PL-DEP-02 - Planeación Institucional</w:t>
            </w:r>
          </w:p>
        </w:tc>
        <w:tc>
          <w:tcPr>
            <w:tcW w:w="1840"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7B0B5BC" w14:textId="77777777" w:rsidR="005D698A" w:rsidRPr="0048190C" w:rsidRDefault="005D698A" w:rsidP="00C72779">
            <w:pPr>
              <w:jc w:val="both"/>
              <w:textAlignment w:val="baseline"/>
              <w:rPr>
                <w:sz w:val="18"/>
                <w:szCs w:val="18"/>
                <w:lang w:eastAsia="es-CO"/>
              </w:rPr>
            </w:pPr>
            <w:r w:rsidRPr="0048190C">
              <w:rPr>
                <w:rFonts w:cs="Arial"/>
                <w:color w:val="000000"/>
                <w:sz w:val="18"/>
                <w:szCs w:val="18"/>
                <w:lang w:eastAsia="es-CO"/>
              </w:rPr>
              <w:t>Definir los lineamientos generales para la planeación institucional del el Instituto Geográfico Agustín Codazzi -IGAC con el fin de fortalecer los mecanismos y las actividades relacionadas con la ejecución, evaluación y seguimiento de los procesos</w:t>
            </w:r>
          </w:p>
          <w:p w14:paraId="4138B0CF" w14:textId="77777777" w:rsidR="005D698A" w:rsidRPr="0048190C" w:rsidRDefault="005D698A" w:rsidP="00C72779">
            <w:pPr>
              <w:jc w:val="both"/>
              <w:textAlignment w:val="baseline"/>
              <w:rPr>
                <w:sz w:val="18"/>
                <w:szCs w:val="18"/>
                <w:lang w:eastAsia="es-CO"/>
              </w:rPr>
            </w:pPr>
          </w:p>
        </w:tc>
        <w:tc>
          <w:tcPr>
            <w:tcW w:w="1839"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6E3C1ED"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Esta política aplica a todas actividades de la planificación institucional de la entidad necesarias para el cumplimiento de las metas estratégicas establecidas en el Plan Nacional de Desarrollo, Inicia con la formulación de los planes institucionales (Plan Estratégico Institucional - PEI, Plan de Acción Anual - PAA) y culmina con el seguimiento y evaluación de estos.</w:t>
            </w:r>
          </w:p>
        </w:tc>
      </w:tr>
      <w:tr w:rsidR="005D698A" w:rsidRPr="005C307C" w14:paraId="054D0532"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66E01ADB"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PL-DEP-03 - Fortalecimiento Institucional y Simplificación de Procesos</w:t>
            </w:r>
          </w:p>
        </w:tc>
        <w:tc>
          <w:tcPr>
            <w:tcW w:w="1840"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3E734350" w14:textId="77777777" w:rsidR="005D698A" w:rsidRPr="0048190C" w:rsidRDefault="005D698A" w:rsidP="00C72779">
            <w:pPr>
              <w:jc w:val="both"/>
              <w:textAlignment w:val="baseline"/>
              <w:rPr>
                <w:sz w:val="18"/>
                <w:szCs w:val="18"/>
                <w:lang w:eastAsia="es-CO"/>
              </w:rPr>
            </w:pPr>
            <w:r w:rsidRPr="0048190C">
              <w:rPr>
                <w:rFonts w:cs="Arial"/>
                <w:sz w:val="18"/>
                <w:szCs w:val="18"/>
                <w:lang w:val="es-MX" w:eastAsia="es-CO"/>
              </w:rPr>
              <w:t>Dar los lineamientos para fortalecer las capacidades institucionales mediante la alineación entre la plataforma estratégica, el Sistema de Gestión Integrado SGI, el modelo de operación por procesos, la estructura y la planta de personal, de manera que contribuyan a la generación de mayor valor público en los servicios prestados por el IGAC</w:t>
            </w:r>
          </w:p>
          <w:p w14:paraId="66EA2249" w14:textId="77777777" w:rsidR="005D698A" w:rsidRPr="0048190C" w:rsidRDefault="005D698A" w:rsidP="00C72779">
            <w:pPr>
              <w:jc w:val="both"/>
              <w:textAlignment w:val="baseline"/>
              <w:rPr>
                <w:sz w:val="18"/>
                <w:szCs w:val="18"/>
                <w:lang w:eastAsia="es-CO"/>
              </w:rPr>
            </w:pPr>
          </w:p>
        </w:tc>
        <w:tc>
          <w:tcPr>
            <w:tcW w:w="1839"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3F323CA3"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Esta Política aplica a todos los procesos establecidos en la Entidad en el marco del Modelo Integrado de Planeación y Gestión MIPG, iniciando con el diagnóstico de la situación actual de la entidad, el planteamiento de ajustes y/o rediseño de la arquitectura institucional, velando por el mejoramiento continuo de los procesos a través del Modelo de gestión de calidad del IGAC.</w:t>
            </w:r>
          </w:p>
        </w:tc>
      </w:tr>
      <w:tr w:rsidR="005D698A" w:rsidRPr="005C307C" w14:paraId="0F528747"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76CD09AE"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PL-DEP-04 - Seguimiento y Evaluación del Desempeño Institucional</w:t>
            </w:r>
          </w:p>
        </w:tc>
        <w:tc>
          <w:tcPr>
            <w:tcW w:w="1840"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32F95318" w14:textId="77777777" w:rsidR="005D698A" w:rsidRPr="0048190C" w:rsidRDefault="005D698A" w:rsidP="00C72779">
            <w:pPr>
              <w:jc w:val="both"/>
              <w:textAlignment w:val="baseline"/>
              <w:rPr>
                <w:sz w:val="18"/>
                <w:szCs w:val="18"/>
                <w:lang w:eastAsia="es-CO"/>
              </w:rPr>
            </w:pPr>
            <w:r w:rsidRPr="0048190C">
              <w:rPr>
                <w:rFonts w:cs="Arial"/>
                <w:color w:val="000000"/>
                <w:sz w:val="18"/>
                <w:szCs w:val="18"/>
                <w:lang w:val="es-MX" w:eastAsia="es-CO"/>
              </w:rPr>
              <w:t>Establecer los lineamientos para</w:t>
            </w:r>
            <w:r w:rsidRPr="0048190C">
              <w:rPr>
                <w:rFonts w:cs="Arial"/>
                <w:sz w:val="18"/>
                <w:szCs w:val="18"/>
                <w:lang w:val="es-MX" w:eastAsia="es-CO"/>
              </w:rPr>
              <w:t xml:space="preserve"> el seguimiento a la gestión y el desempeño Institucional, con el fin de conocer permanentemente los avances en la consecución de los resultados, metas </w:t>
            </w:r>
            <w:r w:rsidRPr="0048190C">
              <w:rPr>
                <w:rFonts w:cs="Arial"/>
                <w:sz w:val="18"/>
                <w:szCs w:val="18"/>
                <w:lang w:val="es-MX" w:eastAsia="es-CO"/>
              </w:rPr>
              <w:lastRenderedPageBreak/>
              <w:t>previstas, dentro de los tiempos planeados, con los recursos disponibles y los efectos deseados acorde a las expectativas de los grupos de valor y grupos de interés</w:t>
            </w:r>
          </w:p>
        </w:tc>
        <w:tc>
          <w:tcPr>
            <w:tcW w:w="1839"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21F5955D"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lastRenderedPageBreak/>
              <w:t>Aplica para toda la estructura administrativas y operativa del IGAC.</w:t>
            </w:r>
          </w:p>
          <w:p w14:paraId="656FDBDD" w14:textId="77777777" w:rsidR="005D698A" w:rsidRPr="0048190C" w:rsidRDefault="005D698A" w:rsidP="00C72779">
            <w:pPr>
              <w:jc w:val="both"/>
              <w:textAlignment w:val="baseline"/>
              <w:rPr>
                <w:sz w:val="18"/>
                <w:szCs w:val="18"/>
                <w:lang w:eastAsia="es-CO"/>
              </w:rPr>
            </w:pPr>
          </w:p>
        </w:tc>
      </w:tr>
      <w:tr w:rsidR="005D698A" w:rsidRPr="005C307C" w14:paraId="1ED17D56"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6C1C6809"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lastRenderedPageBreak/>
              <w:t>PL-DEP-05 - Transparencia, Acceso a la Información Pública y Lucha Contra la Corrupción</w:t>
            </w:r>
          </w:p>
        </w:tc>
        <w:tc>
          <w:tcPr>
            <w:tcW w:w="1840"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18D018C8" w14:textId="77777777" w:rsidR="005D698A" w:rsidRPr="0048190C" w:rsidRDefault="005D698A" w:rsidP="00C72779">
            <w:pPr>
              <w:jc w:val="both"/>
              <w:textAlignment w:val="baseline"/>
              <w:rPr>
                <w:sz w:val="18"/>
                <w:szCs w:val="18"/>
                <w:lang w:eastAsia="es-CO"/>
              </w:rPr>
            </w:pPr>
            <w:r w:rsidRPr="0048190C">
              <w:rPr>
                <w:rFonts w:cs="Arial"/>
                <w:color w:val="000000"/>
                <w:sz w:val="18"/>
                <w:szCs w:val="18"/>
                <w:lang w:eastAsia="es-CO"/>
              </w:rPr>
              <w:t>Definir los lineamientos generales de la transparencia, acceso a la información pública lucha contra la corrupción en el IGAC con el fin asegurar que el desarrollo de todas las actividades de la entidad se realiza de manera transparente, así como la calidad y veracidad de la información que presenta</w:t>
            </w:r>
            <w:r w:rsidRPr="0048190C">
              <w:rPr>
                <w:sz w:val="18"/>
                <w:szCs w:val="18"/>
                <w:lang w:eastAsia="es-CO"/>
              </w:rPr>
              <w:t>.</w:t>
            </w:r>
          </w:p>
        </w:tc>
        <w:tc>
          <w:tcPr>
            <w:tcW w:w="1839"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02537FB6"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Dirigida a todos los servidores del IGAC quienes continuamente se involucran en las diferentes acciones, servicios, actividades, procesos y procedimientos que se llevan a cabo en todos los niveles de la Entidad</w:t>
            </w:r>
          </w:p>
          <w:p w14:paraId="58570E6E" w14:textId="77777777" w:rsidR="005D698A" w:rsidRPr="0048190C" w:rsidRDefault="005D698A" w:rsidP="00C72779">
            <w:pPr>
              <w:jc w:val="both"/>
              <w:textAlignment w:val="baseline"/>
              <w:rPr>
                <w:sz w:val="18"/>
                <w:szCs w:val="18"/>
                <w:lang w:eastAsia="es-CO"/>
              </w:rPr>
            </w:pPr>
          </w:p>
        </w:tc>
      </w:tr>
      <w:tr w:rsidR="005D698A" w:rsidRPr="005C307C" w14:paraId="2318BC2E"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5C221E2"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PL-DEP-06 - Gestión de la Información Estadística</w:t>
            </w:r>
          </w:p>
        </w:tc>
        <w:tc>
          <w:tcPr>
            <w:tcW w:w="1840"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639ACC8B"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Generar  y disponer la información estadística, así como la de sus registros administrativos, de acuerdo con los lineamientos establecidos por el líder de Política, para mejorar la efectividad de la gestión y planeación basada en evidencias; garantizando una continua disponibilidad de información de calidad a lo largo del ciclo de la política pública; fomentando el diálogo social con la ciudadanía y los grupos de interés, en el marco de la construcción participativa de las soluciones sociales, y generando una herramienta de control político y social que permita la transparencia de las actuaciones del Estado</w:t>
            </w:r>
          </w:p>
        </w:tc>
        <w:tc>
          <w:tcPr>
            <w:tcW w:w="1839"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4A5CA7C"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Aplica para todos los procesos que dentro de la entidad generen información de tipo estadístico consolidada en base de datos y la   documentación que la soportan.</w:t>
            </w:r>
          </w:p>
          <w:p w14:paraId="2755D6A8" w14:textId="77777777" w:rsidR="005D698A" w:rsidRPr="0048190C" w:rsidRDefault="005D698A" w:rsidP="00C72779">
            <w:pPr>
              <w:jc w:val="both"/>
              <w:textAlignment w:val="baseline"/>
              <w:rPr>
                <w:sz w:val="18"/>
                <w:szCs w:val="18"/>
                <w:lang w:eastAsia="es-CO"/>
              </w:rPr>
            </w:pPr>
          </w:p>
        </w:tc>
      </w:tr>
      <w:tr w:rsidR="005D698A" w:rsidRPr="005C307C" w14:paraId="2C19AA4F"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06F7FFB0" w14:textId="77777777" w:rsidR="005D698A" w:rsidRPr="0048190C" w:rsidRDefault="005D698A" w:rsidP="00C72779">
            <w:pPr>
              <w:jc w:val="center"/>
              <w:textAlignment w:val="baseline"/>
              <w:rPr>
                <w:b/>
                <w:sz w:val="18"/>
                <w:szCs w:val="18"/>
                <w:lang w:eastAsia="es-CO"/>
              </w:rPr>
            </w:pPr>
            <w:r w:rsidRPr="0048190C">
              <w:rPr>
                <w:rFonts w:cs="Arial"/>
                <w:b/>
                <w:sz w:val="18"/>
                <w:szCs w:val="18"/>
                <w:lang w:val="es-MX" w:eastAsia="es-CO"/>
              </w:rPr>
              <w:t>PL-DEP-07 - Gestión del Conocimiento y la Innovación</w:t>
            </w:r>
          </w:p>
        </w:tc>
        <w:tc>
          <w:tcPr>
            <w:tcW w:w="1840"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7318C7A5"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Establecer los lineamientos para fortalecer y aumentar la cultura y el aprendizaje de la entidad buscando consolidar todos los mecanismos y herramientas con las que cuenta el IGAC en términos de ideación, experimentación, innovación e investigación y reflejando dicha gestión en la calidad y oportunidad del servicio prestado al ciudadano y la atención a las necesidades y expectativas de las demás partes interesadas.</w:t>
            </w:r>
          </w:p>
          <w:p w14:paraId="18AFF470" w14:textId="77777777" w:rsidR="005D698A" w:rsidRPr="0048190C" w:rsidRDefault="005D698A" w:rsidP="00C72779">
            <w:pPr>
              <w:jc w:val="both"/>
              <w:textAlignment w:val="baseline"/>
              <w:rPr>
                <w:sz w:val="18"/>
                <w:szCs w:val="18"/>
                <w:lang w:eastAsia="es-CO"/>
              </w:rPr>
            </w:pPr>
          </w:p>
        </w:tc>
        <w:tc>
          <w:tcPr>
            <w:tcW w:w="1839" w:type="pct"/>
            <w:tcBorders>
              <w:top w:val="single" w:sz="6" w:space="0" w:color="95B3D7"/>
              <w:left w:val="single" w:sz="6" w:space="0" w:color="95B3D7"/>
              <w:bottom w:val="single" w:sz="6" w:space="0" w:color="95B3D7"/>
              <w:right w:val="single" w:sz="6" w:space="0" w:color="95B3D7"/>
            </w:tcBorders>
            <w:shd w:val="clear" w:color="auto" w:fill="DBE5F1"/>
            <w:vAlign w:val="center"/>
            <w:hideMark/>
          </w:tcPr>
          <w:p w14:paraId="31412AF4"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Aplicable a todos los procesos del SGI establecido en la Entidad  iniciando con la consolidación de las herramientas  para el uso y apropiación, la generación y producción del conocimiento, a través de  Investigar, idear, innovar y experimentar para la mejora en la gestión y en la implementación de los productos y servicios, generando  así la cultura de difundir y compartir por medio de distintas actividades el conocimiento de la entidad y de sus colaboradores, hasta la consolidación de la analítica institucional que permite profundizar en los análisis de la información y los datos que genera la entidad para fortalecer el conocimiento de su desempeño y de su propósito central.</w:t>
            </w:r>
          </w:p>
        </w:tc>
      </w:tr>
      <w:tr w:rsidR="005D698A" w:rsidRPr="005C307C" w14:paraId="0A57366C" w14:textId="77777777" w:rsidTr="000153ED">
        <w:tc>
          <w:tcPr>
            <w:tcW w:w="1321"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04B4153C" w14:textId="77777777" w:rsidR="005D698A" w:rsidRDefault="005D698A" w:rsidP="00C72779">
            <w:pPr>
              <w:jc w:val="center"/>
              <w:textAlignment w:val="baseline"/>
              <w:rPr>
                <w:rFonts w:cs="Arial"/>
                <w:b/>
                <w:bCs/>
                <w:sz w:val="18"/>
                <w:szCs w:val="18"/>
                <w:lang w:val="es-MX" w:eastAsia="es-CO"/>
              </w:rPr>
            </w:pPr>
            <w:r w:rsidRPr="0048190C">
              <w:rPr>
                <w:rFonts w:cs="Arial"/>
                <w:b/>
                <w:sz w:val="18"/>
                <w:szCs w:val="18"/>
                <w:lang w:val="es-MX" w:eastAsia="es-CO"/>
              </w:rPr>
              <w:t>PL-DEP-08 - Sistema de Gestión Integrado</w:t>
            </w:r>
          </w:p>
          <w:p w14:paraId="7AB0F2C3" w14:textId="77777777" w:rsidR="003433F0" w:rsidRPr="003433F0" w:rsidRDefault="003433F0" w:rsidP="003433F0">
            <w:pPr>
              <w:rPr>
                <w:sz w:val="18"/>
                <w:szCs w:val="18"/>
                <w:lang w:eastAsia="es-CO"/>
              </w:rPr>
            </w:pPr>
          </w:p>
          <w:p w14:paraId="41DDE10E" w14:textId="77777777" w:rsidR="003433F0" w:rsidRPr="003433F0" w:rsidRDefault="003433F0" w:rsidP="003433F0">
            <w:pPr>
              <w:rPr>
                <w:sz w:val="18"/>
                <w:szCs w:val="18"/>
                <w:lang w:eastAsia="es-CO"/>
              </w:rPr>
            </w:pPr>
          </w:p>
          <w:p w14:paraId="09FD09E1" w14:textId="77777777" w:rsidR="003433F0" w:rsidRPr="003433F0" w:rsidRDefault="003433F0" w:rsidP="003433F0">
            <w:pPr>
              <w:rPr>
                <w:sz w:val="18"/>
                <w:szCs w:val="18"/>
                <w:lang w:eastAsia="es-CO"/>
              </w:rPr>
            </w:pPr>
          </w:p>
          <w:p w14:paraId="3FF95F10" w14:textId="77777777" w:rsidR="003433F0" w:rsidRDefault="003433F0" w:rsidP="003433F0">
            <w:pPr>
              <w:rPr>
                <w:rFonts w:cs="Arial"/>
                <w:b/>
                <w:bCs/>
                <w:sz w:val="18"/>
                <w:szCs w:val="18"/>
                <w:lang w:val="es-MX" w:eastAsia="es-CO"/>
              </w:rPr>
            </w:pPr>
          </w:p>
          <w:p w14:paraId="697F97C5" w14:textId="77777777" w:rsidR="003433F0" w:rsidRPr="003433F0" w:rsidRDefault="003433F0" w:rsidP="003433F0">
            <w:pPr>
              <w:rPr>
                <w:sz w:val="18"/>
                <w:szCs w:val="18"/>
                <w:lang w:eastAsia="es-CO"/>
              </w:rPr>
            </w:pPr>
          </w:p>
          <w:p w14:paraId="77235858" w14:textId="77777777" w:rsidR="003433F0" w:rsidRPr="003433F0" w:rsidRDefault="003433F0" w:rsidP="003433F0">
            <w:pPr>
              <w:rPr>
                <w:sz w:val="18"/>
                <w:szCs w:val="18"/>
                <w:lang w:eastAsia="es-CO"/>
              </w:rPr>
            </w:pPr>
          </w:p>
          <w:p w14:paraId="1E7DD39E" w14:textId="77777777" w:rsidR="003433F0" w:rsidRDefault="003433F0" w:rsidP="003433F0">
            <w:pPr>
              <w:rPr>
                <w:rFonts w:cs="Arial"/>
                <w:b/>
                <w:bCs/>
                <w:sz w:val="18"/>
                <w:szCs w:val="18"/>
                <w:lang w:val="es-MX" w:eastAsia="es-CO"/>
              </w:rPr>
            </w:pPr>
          </w:p>
          <w:p w14:paraId="2205B93A" w14:textId="77777777" w:rsidR="003433F0" w:rsidRDefault="003433F0" w:rsidP="003433F0">
            <w:pPr>
              <w:rPr>
                <w:rFonts w:cs="Arial"/>
                <w:b/>
                <w:bCs/>
                <w:sz w:val="18"/>
                <w:szCs w:val="18"/>
                <w:lang w:val="es-MX" w:eastAsia="es-CO"/>
              </w:rPr>
            </w:pPr>
          </w:p>
          <w:p w14:paraId="6FA7601A" w14:textId="5C2C13F0" w:rsidR="005D698A" w:rsidRPr="003433F0" w:rsidRDefault="005D698A" w:rsidP="003433F0">
            <w:pPr>
              <w:rPr>
                <w:sz w:val="18"/>
                <w:szCs w:val="18"/>
                <w:lang w:eastAsia="es-CO"/>
              </w:rPr>
            </w:pPr>
          </w:p>
        </w:tc>
        <w:tc>
          <w:tcPr>
            <w:tcW w:w="1840"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031EC99F"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Establecer lineamientos para el cumplimiento de los objetivos institucionales, de los procesos, del desempeño institucional, la mejora continua y el cumplimiento legal de la prestación de los bienes y servicios, de los sistemas de gestión y control adoptados por el Instituto y el fortalecimiento de la gestión, orientado al servicio al ciudadano y a las partes interesadas o grupos de interés.</w:t>
            </w:r>
          </w:p>
        </w:tc>
        <w:tc>
          <w:tcPr>
            <w:tcW w:w="1839" w:type="pct"/>
            <w:tcBorders>
              <w:top w:val="single" w:sz="6" w:space="0" w:color="95B3D7"/>
              <w:left w:val="single" w:sz="6" w:space="0" w:color="95B3D7"/>
              <w:bottom w:val="single" w:sz="6" w:space="0" w:color="95B3D7"/>
              <w:right w:val="single" w:sz="6" w:space="0" w:color="95B3D7"/>
            </w:tcBorders>
            <w:shd w:val="clear" w:color="auto" w:fill="auto"/>
            <w:vAlign w:val="center"/>
            <w:hideMark/>
          </w:tcPr>
          <w:p w14:paraId="4F299C1F" w14:textId="77777777" w:rsidR="005D698A" w:rsidRPr="0048190C" w:rsidRDefault="005D698A" w:rsidP="00C72779">
            <w:pPr>
              <w:jc w:val="both"/>
              <w:textAlignment w:val="baseline"/>
              <w:rPr>
                <w:sz w:val="18"/>
                <w:szCs w:val="18"/>
                <w:lang w:eastAsia="es-CO"/>
              </w:rPr>
            </w:pPr>
            <w:r w:rsidRPr="0048190C">
              <w:rPr>
                <w:rFonts w:cs="Arial"/>
                <w:sz w:val="18"/>
                <w:szCs w:val="18"/>
                <w:lang w:eastAsia="es-CO"/>
              </w:rPr>
              <w:t>Aplicable a todas las sedes, los procesos, actividades, servicios, unidades móviles y demás escenarios donde se desarrollen las actividades del Instituto, incluyendo al personal vinculado de forma directa e indirecta, así como a los visitantes y entes de control que en razón del cumplimiento de sus funciones compartan, utilicen recolecten procesen, intercambien o consulten información institucional.</w:t>
            </w:r>
          </w:p>
        </w:tc>
      </w:tr>
    </w:tbl>
    <w:p w14:paraId="4ECF7997" w14:textId="4BD953FF" w:rsidR="005D698A" w:rsidRPr="003433F0" w:rsidRDefault="003433F0" w:rsidP="003433F0">
      <w:pPr>
        <w:jc w:val="center"/>
        <w:textAlignment w:val="baseline"/>
        <w:rPr>
          <w:rFonts w:cs="Arial"/>
          <w:b/>
          <w:sz w:val="20"/>
          <w:szCs w:val="20"/>
          <w:lang w:eastAsia="es-CO"/>
        </w:rPr>
      </w:pPr>
      <w:r w:rsidRPr="003433F0">
        <w:rPr>
          <w:rFonts w:cs="Arial"/>
          <w:b/>
          <w:bCs/>
          <w:sz w:val="16"/>
          <w:szCs w:val="16"/>
          <w:lang w:eastAsia="es-CO"/>
        </w:rPr>
        <w:t>Fuente: Oficina Asesora de Planeación</w:t>
      </w:r>
    </w:p>
    <w:p w14:paraId="08788414" w14:textId="77777777" w:rsidR="005D698A" w:rsidRDefault="005D698A" w:rsidP="00C72779">
      <w:pPr>
        <w:jc w:val="both"/>
        <w:textAlignment w:val="baseline"/>
        <w:rPr>
          <w:rFonts w:cs="Arial"/>
          <w:sz w:val="20"/>
          <w:szCs w:val="20"/>
          <w:lang w:eastAsia="es-CO"/>
        </w:rPr>
      </w:pPr>
      <w:r w:rsidRPr="0048190C">
        <w:rPr>
          <w:rFonts w:cs="Arial"/>
          <w:sz w:val="20"/>
          <w:szCs w:val="20"/>
          <w:lang w:eastAsia="es-CO"/>
        </w:rPr>
        <w:t> </w:t>
      </w:r>
    </w:p>
    <w:p w14:paraId="227AB4AC" w14:textId="77777777" w:rsidR="00DD2082" w:rsidRDefault="00DD2082" w:rsidP="00C72779">
      <w:pPr>
        <w:jc w:val="both"/>
        <w:textAlignment w:val="baseline"/>
        <w:rPr>
          <w:rFonts w:cs="Arial"/>
          <w:sz w:val="20"/>
          <w:szCs w:val="20"/>
          <w:lang w:eastAsia="es-CO"/>
        </w:rPr>
      </w:pPr>
    </w:p>
    <w:p w14:paraId="34F5FC8F" w14:textId="77777777" w:rsidR="00DD2082" w:rsidRDefault="00DD2082" w:rsidP="00C72779">
      <w:pPr>
        <w:jc w:val="both"/>
        <w:textAlignment w:val="baseline"/>
        <w:rPr>
          <w:rFonts w:cs="Arial"/>
          <w:sz w:val="20"/>
          <w:szCs w:val="20"/>
          <w:lang w:eastAsia="es-CO"/>
        </w:rPr>
      </w:pPr>
    </w:p>
    <w:p w14:paraId="65B919E7" w14:textId="77777777" w:rsidR="000C6EE0" w:rsidRDefault="000C6EE0" w:rsidP="00C72779">
      <w:pPr>
        <w:jc w:val="both"/>
        <w:textAlignment w:val="baseline"/>
        <w:rPr>
          <w:rFonts w:ascii="Segoe UI" w:hAnsi="Segoe UI" w:cs="Segoe UI"/>
          <w:sz w:val="20"/>
          <w:szCs w:val="20"/>
          <w:lang w:eastAsia="es-CO"/>
        </w:rPr>
      </w:pPr>
    </w:p>
    <w:p w14:paraId="580B2262" w14:textId="77777777" w:rsidR="00DD2082" w:rsidRDefault="00DD2082" w:rsidP="00C72779">
      <w:pPr>
        <w:jc w:val="both"/>
        <w:textAlignment w:val="baseline"/>
        <w:rPr>
          <w:rFonts w:ascii="Segoe UI" w:hAnsi="Segoe UI" w:cs="Segoe UI"/>
          <w:sz w:val="20"/>
          <w:szCs w:val="20"/>
          <w:lang w:eastAsia="es-CO"/>
        </w:rPr>
      </w:pPr>
    </w:p>
    <w:p w14:paraId="67341952" w14:textId="77777777" w:rsidR="00DD2082" w:rsidRPr="0048190C" w:rsidRDefault="00DD2082" w:rsidP="00C72779">
      <w:pPr>
        <w:jc w:val="both"/>
        <w:textAlignment w:val="baseline"/>
        <w:rPr>
          <w:rFonts w:ascii="Segoe UI" w:hAnsi="Segoe UI" w:cs="Segoe UI"/>
          <w:sz w:val="20"/>
          <w:szCs w:val="20"/>
          <w:lang w:eastAsia="es-CO"/>
        </w:rPr>
      </w:pPr>
    </w:p>
    <w:p w14:paraId="5870B7F7" w14:textId="0A7A3BA5" w:rsidR="003433F0" w:rsidRPr="00DD2082" w:rsidRDefault="005D698A" w:rsidP="00DD2082">
      <w:pPr>
        <w:pStyle w:val="Prrafodelista"/>
        <w:numPr>
          <w:ilvl w:val="2"/>
          <w:numId w:val="22"/>
        </w:numPr>
        <w:suppressAutoHyphens w:val="0"/>
        <w:rPr>
          <w:rFonts w:cs="Arial"/>
          <w:sz w:val="22"/>
          <w:szCs w:val="22"/>
          <w:lang w:eastAsia="es-CO"/>
        </w:rPr>
      </w:pPr>
      <w:r>
        <w:rPr>
          <w:rFonts w:cs="Arial"/>
          <w:b/>
          <w:bCs/>
          <w:sz w:val="22"/>
          <w:szCs w:val="22"/>
          <w:lang w:eastAsia="es-CO"/>
        </w:rPr>
        <w:t>LISTADO DE INFORMES</w:t>
      </w:r>
      <w:r w:rsidRPr="005C307C">
        <w:rPr>
          <w:rFonts w:cs="Arial"/>
          <w:sz w:val="22"/>
          <w:szCs w:val="22"/>
          <w:lang w:eastAsia="es-CO"/>
        </w:rPr>
        <w:t> </w:t>
      </w:r>
    </w:p>
    <w:p w14:paraId="04272B8D" w14:textId="762248C1" w:rsidR="003433F0" w:rsidRPr="003433F0" w:rsidRDefault="003433F0" w:rsidP="003433F0">
      <w:pPr>
        <w:suppressAutoHyphens w:val="0"/>
        <w:ind w:left="360"/>
        <w:jc w:val="both"/>
        <w:textAlignment w:val="baseline"/>
        <w:rPr>
          <w:rFonts w:cs="Arial"/>
          <w:b/>
          <w:bCs/>
          <w:sz w:val="16"/>
          <w:szCs w:val="16"/>
          <w:lang w:eastAsia="es-CO"/>
        </w:rPr>
      </w:pPr>
    </w:p>
    <w:tbl>
      <w:tblPr>
        <w:tblW w:w="9344"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30"/>
        <w:gridCol w:w="2764"/>
        <w:gridCol w:w="1843"/>
        <w:gridCol w:w="4107"/>
      </w:tblGrid>
      <w:tr w:rsidR="005D698A" w:rsidRPr="005919D9" w14:paraId="53AA3C3D" w14:textId="77777777" w:rsidTr="000153ED">
        <w:trPr>
          <w:trHeight w:val="450"/>
          <w:tblHeader/>
          <w:jc w:val="center"/>
        </w:trPr>
        <w:tc>
          <w:tcPr>
            <w:tcW w:w="630" w:type="dxa"/>
            <w:vMerge w:val="restart"/>
            <w:tcBorders>
              <w:top w:val="single" w:sz="6" w:space="0" w:color="FFFFFF"/>
              <w:left w:val="single" w:sz="6" w:space="0" w:color="FFFFFF"/>
              <w:bottom w:val="single" w:sz="6" w:space="0" w:color="FFFFFF"/>
              <w:right w:val="nil"/>
            </w:tcBorders>
            <w:shd w:val="clear" w:color="auto" w:fill="4F81BD"/>
            <w:textDirection w:val="btLr"/>
            <w:vAlign w:val="center"/>
            <w:hideMark/>
          </w:tcPr>
          <w:p w14:paraId="0095B13C" w14:textId="77777777" w:rsidR="005D698A" w:rsidRPr="006533C2" w:rsidRDefault="005D698A" w:rsidP="00C72779">
            <w:pPr>
              <w:suppressAutoHyphens w:val="0"/>
              <w:ind w:left="113" w:right="113"/>
              <w:jc w:val="center"/>
              <w:textAlignment w:val="baseline"/>
              <w:rPr>
                <w:rFonts w:cs="Arial"/>
                <w:b/>
                <w:bCs/>
                <w:color w:val="FFFFFF"/>
                <w:sz w:val="20"/>
                <w:szCs w:val="20"/>
                <w:lang w:val="es-CO" w:eastAsia="es-CO"/>
              </w:rPr>
            </w:pPr>
            <w:r w:rsidRPr="006533C2">
              <w:rPr>
                <w:rFonts w:cs="Arial"/>
                <w:b/>
                <w:bCs/>
                <w:color w:val="FFFFFF"/>
                <w:sz w:val="20"/>
                <w:szCs w:val="20"/>
                <w:lang w:val="es-MX" w:eastAsia="es-CO"/>
              </w:rPr>
              <w:t>Internos</w:t>
            </w:r>
          </w:p>
        </w:tc>
        <w:tc>
          <w:tcPr>
            <w:tcW w:w="2764" w:type="dxa"/>
            <w:tcBorders>
              <w:top w:val="single" w:sz="6" w:space="0" w:color="FFFFFF"/>
              <w:left w:val="nil"/>
              <w:bottom w:val="single" w:sz="6" w:space="0" w:color="FFFFFF"/>
              <w:right w:val="nil"/>
            </w:tcBorders>
            <w:shd w:val="clear" w:color="auto" w:fill="4F81BD"/>
            <w:vAlign w:val="center"/>
            <w:hideMark/>
          </w:tcPr>
          <w:p w14:paraId="09BCF163" w14:textId="77777777" w:rsidR="005D698A" w:rsidRPr="003433F0" w:rsidRDefault="005D698A" w:rsidP="00C72779">
            <w:pPr>
              <w:suppressAutoHyphens w:val="0"/>
              <w:jc w:val="center"/>
              <w:textAlignment w:val="baseline"/>
              <w:rPr>
                <w:rFonts w:cs="Arial"/>
                <w:b/>
                <w:color w:val="FFFFFF"/>
                <w:sz w:val="18"/>
                <w:szCs w:val="18"/>
                <w:lang w:val="es-CO" w:eastAsia="es-CO"/>
              </w:rPr>
            </w:pPr>
            <w:r w:rsidRPr="003433F0">
              <w:rPr>
                <w:rFonts w:cs="Arial"/>
                <w:b/>
                <w:color w:val="FFFFFF"/>
                <w:sz w:val="18"/>
                <w:szCs w:val="18"/>
                <w:lang w:val="es-MX" w:eastAsia="es-CO"/>
              </w:rPr>
              <w:t>Informe</w:t>
            </w:r>
          </w:p>
        </w:tc>
        <w:tc>
          <w:tcPr>
            <w:tcW w:w="1843" w:type="dxa"/>
            <w:tcBorders>
              <w:top w:val="single" w:sz="6" w:space="0" w:color="FFFFFF"/>
              <w:left w:val="nil"/>
              <w:bottom w:val="single" w:sz="6" w:space="0" w:color="FFFFFF"/>
              <w:right w:val="nil"/>
            </w:tcBorders>
            <w:shd w:val="clear" w:color="auto" w:fill="4F81BD"/>
            <w:vAlign w:val="center"/>
            <w:hideMark/>
          </w:tcPr>
          <w:p w14:paraId="30852B59" w14:textId="77777777" w:rsidR="005D698A" w:rsidRPr="003433F0" w:rsidRDefault="005D698A" w:rsidP="00C72779">
            <w:pPr>
              <w:suppressAutoHyphens w:val="0"/>
              <w:jc w:val="center"/>
              <w:textAlignment w:val="baseline"/>
              <w:rPr>
                <w:rFonts w:cs="Arial"/>
                <w:b/>
                <w:color w:val="FFFFFF"/>
                <w:sz w:val="18"/>
                <w:szCs w:val="18"/>
                <w:lang w:val="es-CO" w:eastAsia="es-CO"/>
              </w:rPr>
            </w:pPr>
            <w:r w:rsidRPr="003433F0">
              <w:rPr>
                <w:rFonts w:cs="Arial"/>
                <w:b/>
                <w:color w:val="FFFFFF"/>
                <w:sz w:val="18"/>
                <w:szCs w:val="18"/>
                <w:lang w:val="es-MX" w:eastAsia="es-CO"/>
              </w:rPr>
              <w:t>Responsable</w:t>
            </w:r>
          </w:p>
        </w:tc>
        <w:tc>
          <w:tcPr>
            <w:tcW w:w="4107" w:type="dxa"/>
            <w:tcBorders>
              <w:top w:val="single" w:sz="6" w:space="0" w:color="FFFFFF"/>
              <w:left w:val="nil"/>
              <w:bottom w:val="single" w:sz="6" w:space="0" w:color="FFFFFF"/>
              <w:right w:val="single" w:sz="6" w:space="0" w:color="FFFFFF"/>
            </w:tcBorders>
            <w:shd w:val="clear" w:color="auto" w:fill="4F81BD"/>
            <w:vAlign w:val="center"/>
            <w:hideMark/>
          </w:tcPr>
          <w:p w14:paraId="7FDCC623" w14:textId="77777777" w:rsidR="005D698A" w:rsidRPr="003433F0" w:rsidRDefault="005D698A" w:rsidP="00C72779">
            <w:pPr>
              <w:suppressAutoHyphens w:val="0"/>
              <w:jc w:val="center"/>
              <w:textAlignment w:val="baseline"/>
              <w:rPr>
                <w:rFonts w:cs="Arial"/>
                <w:b/>
                <w:color w:val="FFFFFF"/>
                <w:sz w:val="18"/>
                <w:szCs w:val="18"/>
                <w:lang w:val="es-CO" w:eastAsia="es-CO"/>
              </w:rPr>
            </w:pPr>
            <w:r w:rsidRPr="003433F0">
              <w:rPr>
                <w:rFonts w:cs="Arial"/>
                <w:b/>
                <w:color w:val="FFFFFF"/>
                <w:sz w:val="18"/>
                <w:szCs w:val="18"/>
                <w:lang w:val="es-MX" w:eastAsia="es-CO"/>
              </w:rPr>
              <w:t>Entrega y publicación</w:t>
            </w:r>
          </w:p>
        </w:tc>
      </w:tr>
      <w:tr w:rsidR="005D698A" w:rsidRPr="005919D9" w14:paraId="1067B457"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44D5DAA2"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5B3156F6"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Informe de gestión anual</w:t>
            </w:r>
          </w:p>
        </w:tc>
        <w:tc>
          <w:tcPr>
            <w:tcW w:w="1843"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0EE1FA9B"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Todas las dependencias del IGAC</w:t>
            </w:r>
          </w:p>
          <w:p w14:paraId="0E57BA9E" w14:textId="77777777" w:rsidR="005D698A" w:rsidRPr="003433F0" w:rsidRDefault="005D698A" w:rsidP="00C72779">
            <w:pPr>
              <w:suppressAutoHyphens w:val="0"/>
              <w:jc w:val="center"/>
              <w:textAlignment w:val="baseline"/>
              <w:rPr>
                <w:rFonts w:cs="Arial"/>
                <w:sz w:val="18"/>
                <w:szCs w:val="18"/>
                <w:lang w:val="es-CO" w:eastAsia="es-CO"/>
              </w:rPr>
            </w:pPr>
          </w:p>
        </w:tc>
        <w:tc>
          <w:tcPr>
            <w:tcW w:w="4107"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569EFC9D"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Antes del 31 de enero de cada vigencia</w:t>
            </w:r>
          </w:p>
          <w:p w14:paraId="2C4DFC3C" w14:textId="77777777" w:rsidR="005D698A" w:rsidRPr="003433F0" w:rsidRDefault="00A6302C" w:rsidP="00C72779">
            <w:pPr>
              <w:suppressAutoHyphens w:val="0"/>
              <w:jc w:val="center"/>
              <w:textAlignment w:val="baseline"/>
              <w:rPr>
                <w:rFonts w:cs="Arial"/>
                <w:sz w:val="18"/>
                <w:szCs w:val="18"/>
                <w:lang w:val="es-CO" w:eastAsia="es-CO"/>
              </w:rPr>
            </w:pPr>
            <w:hyperlink r:id="rId202" w:tgtFrame="_blank" w:history="1">
              <w:r w:rsidR="005D698A" w:rsidRPr="003433F0">
                <w:rPr>
                  <w:rFonts w:cs="Arial"/>
                  <w:color w:val="0000FF"/>
                  <w:sz w:val="18"/>
                  <w:szCs w:val="18"/>
                  <w:u w:val="single"/>
                  <w:lang w:val="es-MX" w:eastAsia="es-CO"/>
                </w:rPr>
                <w:t>https://www.igac.gov.co/es/transparencia-y-acceso-a-la-informacion-publica/informes-de-gestion-y-empalme</w:t>
              </w:r>
            </w:hyperlink>
          </w:p>
          <w:p w14:paraId="46D26489" w14:textId="77777777" w:rsidR="005D698A" w:rsidRPr="003433F0" w:rsidRDefault="005D698A" w:rsidP="00C72779">
            <w:pPr>
              <w:suppressAutoHyphens w:val="0"/>
              <w:jc w:val="center"/>
              <w:textAlignment w:val="baseline"/>
              <w:rPr>
                <w:rFonts w:cs="Arial"/>
                <w:sz w:val="18"/>
                <w:szCs w:val="18"/>
                <w:lang w:val="es-CO" w:eastAsia="es-CO"/>
              </w:rPr>
            </w:pPr>
          </w:p>
        </w:tc>
      </w:tr>
      <w:tr w:rsidR="005D698A" w:rsidRPr="005919D9" w14:paraId="73FB408E"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757E158A"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010D4839"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Reporte de avance Plan de Acción proceso PDE</w:t>
            </w:r>
          </w:p>
        </w:tc>
        <w:tc>
          <w:tcPr>
            <w:tcW w:w="1843"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75985432"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6FE309C8"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Trimestral (enero, abril, julio, octubre)</w:t>
            </w:r>
          </w:p>
        </w:tc>
      </w:tr>
      <w:tr w:rsidR="005D698A" w:rsidRPr="005919D9" w14:paraId="5E3859E1"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08E86E04"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57D14E9E"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Reporte de avance indicadores PEI proceso PDE</w:t>
            </w:r>
          </w:p>
        </w:tc>
        <w:tc>
          <w:tcPr>
            <w:tcW w:w="1843"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13C1E1F6"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100656B0"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Semestral (enero y julio)</w:t>
            </w:r>
          </w:p>
        </w:tc>
      </w:tr>
      <w:tr w:rsidR="005D698A" w:rsidRPr="005919D9" w14:paraId="2878B491"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32DCF291"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615278BE"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Reporte de avance metas e indicadores del Plan Anticorrupción y de Atención al Ciudadano proceso PDE</w:t>
            </w:r>
          </w:p>
        </w:tc>
        <w:tc>
          <w:tcPr>
            <w:tcW w:w="1843"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33EF0996"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744F7CEE"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Trimestral (enero, abril, julio, octubre)</w:t>
            </w:r>
          </w:p>
        </w:tc>
      </w:tr>
      <w:tr w:rsidR="005D698A" w:rsidRPr="005919D9" w14:paraId="683F6E60"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39B3ED20"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469CC548"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Reporte de avance metas e indicadores del Plan Nacional de Desarrollo</w:t>
            </w:r>
          </w:p>
        </w:tc>
        <w:tc>
          <w:tcPr>
            <w:tcW w:w="1843"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07494123"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2054975C"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Trimestral (enero, abril, julio, octubre)</w:t>
            </w:r>
          </w:p>
        </w:tc>
      </w:tr>
      <w:tr w:rsidR="005D698A" w:rsidRPr="005919D9" w14:paraId="60B7A4F1"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647A3D6D"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409375A9"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Reporte de avance metas e indicadores del Plan Marco de Implementación – Acuerdo de Paz</w:t>
            </w:r>
          </w:p>
        </w:tc>
        <w:tc>
          <w:tcPr>
            <w:tcW w:w="1843"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74159FEB"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DBE5F1"/>
            <w:vAlign w:val="center"/>
            <w:hideMark/>
          </w:tcPr>
          <w:p w14:paraId="7CA4FE2B"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Trimestral (enero, abril, julio, octubre)</w:t>
            </w:r>
          </w:p>
        </w:tc>
      </w:tr>
      <w:tr w:rsidR="005D698A" w:rsidRPr="005919D9" w14:paraId="1AF8F976" w14:textId="77777777" w:rsidTr="000153ED">
        <w:trPr>
          <w:trHeight w:val="390"/>
          <w:jc w:val="center"/>
        </w:trPr>
        <w:tc>
          <w:tcPr>
            <w:tcW w:w="0" w:type="auto"/>
            <w:vMerge/>
            <w:tcBorders>
              <w:top w:val="single" w:sz="6" w:space="0" w:color="FFFFFF"/>
              <w:left w:val="single" w:sz="6" w:space="0" w:color="FFFFFF"/>
              <w:bottom w:val="single" w:sz="6" w:space="0" w:color="FFFFFF"/>
              <w:right w:val="nil"/>
            </w:tcBorders>
            <w:shd w:val="clear" w:color="auto" w:fill="auto"/>
            <w:vAlign w:val="center"/>
            <w:hideMark/>
          </w:tcPr>
          <w:p w14:paraId="003F8BFE" w14:textId="77777777" w:rsidR="005D698A" w:rsidRPr="006533C2" w:rsidRDefault="005D698A" w:rsidP="00C72779">
            <w:pPr>
              <w:suppressAutoHyphens w:val="0"/>
              <w:jc w:val="center"/>
              <w:rPr>
                <w:rFonts w:cs="Arial"/>
                <w:b/>
                <w:bCs/>
                <w:color w:val="FFFFFF"/>
                <w:sz w:val="20"/>
                <w:szCs w:val="20"/>
                <w:lang w:val="es-CO" w:eastAsia="es-CO"/>
              </w:rPr>
            </w:pPr>
          </w:p>
        </w:tc>
        <w:tc>
          <w:tcPr>
            <w:tcW w:w="2764"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20EA4BF8"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Informes de ejecución presupuestal</w:t>
            </w:r>
          </w:p>
        </w:tc>
        <w:tc>
          <w:tcPr>
            <w:tcW w:w="1843"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57712184"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Oficina Asesora de Planeación</w:t>
            </w:r>
          </w:p>
        </w:tc>
        <w:tc>
          <w:tcPr>
            <w:tcW w:w="4107" w:type="dxa"/>
            <w:tcBorders>
              <w:top w:val="single" w:sz="6" w:space="0" w:color="FFFFFF"/>
              <w:left w:val="single" w:sz="6" w:space="0" w:color="FFFFFF"/>
              <w:bottom w:val="single" w:sz="6" w:space="0" w:color="FFFFFF"/>
              <w:right w:val="single" w:sz="6" w:space="0" w:color="FFFFFF"/>
            </w:tcBorders>
            <w:shd w:val="clear" w:color="auto" w:fill="B8CCE4"/>
            <w:vAlign w:val="center"/>
            <w:hideMark/>
          </w:tcPr>
          <w:p w14:paraId="2A1FA490" w14:textId="77777777" w:rsidR="005D698A" w:rsidRPr="003433F0" w:rsidRDefault="005D698A" w:rsidP="00C72779">
            <w:pPr>
              <w:suppressAutoHyphens w:val="0"/>
              <w:jc w:val="center"/>
              <w:textAlignment w:val="baseline"/>
              <w:rPr>
                <w:rFonts w:cs="Arial"/>
                <w:sz w:val="18"/>
                <w:szCs w:val="18"/>
                <w:lang w:val="es-CO" w:eastAsia="es-CO"/>
              </w:rPr>
            </w:pPr>
            <w:r w:rsidRPr="003433F0">
              <w:rPr>
                <w:rFonts w:cs="Arial"/>
                <w:sz w:val="18"/>
                <w:szCs w:val="18"/>
                <w:lang w:val="es-MX" w:eastAsia="es-CO"/>
              </w:rPr>
              <w:t>Mensual</w:t>
            </w:r>
          </w:p>
        </w:tc>
      </w:tr>
    </w:tbl>
    <w:p w14:paraId="5C86F2D7" w14:textId="77777777" w:rsidR="005D698A" w:rsidRDefault="005D698A" w:rsidP="00C72779">
      <w:pPr>
        <w:jc w:val="both"/>
        <w:textAlignment w:val="baseline"/>
        <w:rPr>
          <w:rFonts w:cs="Arial"/>
          <w:sz w:val="22"/>
          <w:szCs w:val="22"/>
          <w:lang w:eastAsia="es-CO"/>
        </w:rPr>
      </w:pPr>
    </w:p>
    <w:tbl>
      <w:tblPr>
        <w:tblStyle w:val="Tabladecuadrcula5oscura-nfasis1"/>
        <w:tblW w:w="9344" w:type="dxa"/>
        <w:tblLayout w:type="fixed"/>
        <w:tblLook w:val="04A0" w:firstRow="1" w:lastRow="0" w:firstColumn="1" w:lastColumn="0" w:noHBand="0" w:noVBand="1"/>
      </w:tblPr>
      <w:tblGrid>
        <w:gridCol w:w="559"/>
        <w:gridCol w:w="2835"/>
        <w:gridCol w:w="2980"/>
        <w:gridCol w:w="2970"/>
      </w:tblGrid>
      <w:tr w:rsidR="005D698A" w:rsidRPr="003D3A97" w14:paraId="0CBFF325" w14:textId="77777777" w:rsidTr="000153ED">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559" w:type="dxa"/>
            <w:vMerge w:val="restart"/>
            <w:textDirection w:val="btLr"/>
            <w:vAlign w:val="center"/>
            <w:hideMark/>
          </w:tcPr>
          <w:p w14:paraId="401F0D2E" w14:textId="77777777" w:rsidR="005D698A" w:rsidRPr="005919D9" w:rsidRDefault="005D698A" w:rsidP="00C72779">
            <w:pPr>
              <w:suppressAutoHyphens w:val="0"/>
              <w:ind w:left="113" w:right="113"/>
              <w:jc w:val="center"/>
              <w:textAlignment w:val="baseline"/>
              <w:rPr>
                <w:rFonts w:cs="Arial"/>
                <w:color w:val="FFFFFF"/>
                <w:sz w:val="20"/>
                <w:szCs w:val="20"/>
                <w:lang w:val="es-CO" w:eastAsia="es-CO"/>
              </w:rPr>
            </w:pPr>
            <w:r>
              <w:rPr>
                <w:rFonts w:cs="Arial"/>
                <w:color w:val="FFFFFF"/>
                <w:sz w:val="20"/>
                <w:szCs w:val="20"/>
                <w:lang w:val="es-MX" w:eastAsia="es-CO"/>
              </w:rPr>
              <w:t>Externos</w:t>
            </w:r>
          </w:p>
        </w:tc>
        <w:tc>
          <w:tcPr>
            <w:tcW w:w="2835" w:type="dxa"/>
            <w:vAlign w:val="center"/>
            <w:hideMark/>
          </w:tcPr>
          <w:p w14:paraId="024966D8" w14:textId="77777777" w:rsidR="005D698A" w:rsidRPr="003433F0" w:rsidRDefault="005D698A" w:rsidP="00C72779">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3433F0">
              <w:rPr>
                <w:rFonts w:cs="Arial"/>
                <w:color w:val="FFFFFF"/>
                <w:sz w:val="18"/>
                <w:szCs w:val="18"/>
                <w:lang w:val="es-MX" w:eastAsia="es-CO"/>
              </w:rPr>
              <w:t>Informe</w:t>
            </w:r>
          </w:p>
        </w:tc>
        <w:tc>
          <w:tcPr>
            <w:tcW w:w="2980" w:type="dxa"/>
            <w:vAlign w:val="center"/>
            <w:hideMark/>
          </w:tcPr>
          <w:p w14:paraId="54FB2ABC" w14:textId="77777777" w:rsidR="005D698A" w:rsidRPr="003433F0" w:rsidRDefault="005D698A" w:rsidP="00C72779">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3433F0">
              <w:rPr>
                <w:rFonts w:cs="Arial"/>
                <w:color w:val="FFFFFF"/>
                <w:sz w:val="18"/>
                <w:szCs w:val="18"/>
                <w:lang w:val="es-MX" w:eastAsia="es-CO"/>
              </w:rPr>
              <w:t>Responsable</w:t>
            </w:r>
          </w:p>
        </w:tc>
        <w:tc>
          <w:tcPr>
            <w:tcW w:w="2970" w:type="dxa"/>
            <w:vAlign w:val="center"/>
            <w:hideMark/>
          </w:tcPr>
          <w:p w14:paraId="42A345F7" w14:textId="77777777" w:rsidR="005D698A" w:rsidRPr="003433F0" w:rsidRDefault="005D698A" w:rsidP="00C72779">
            <w:pPr>
              <w:suppressAutoHyphens w:val="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3433F0">
              <w:rPr>
                <w:rFonts w:cs="Arial"/>
                <w:color w:val="FFFFFF"/>
                <w:sz w:val="18"/>
                <w:szCs w:val="18"/>
                <w:lang w:val="es-MX" w:eastAsia="es-CO"/>
              </w:rPr>
              <w:t>Entrega y Publicación</w:t>
            </w:r>
          </w:p>
        </w:tc>
      </w:tr>
      <w:tr w:rsidR="005D698A" w:rsidRPr="003D3A97" w14:paraId="2E0A01B1" w14:textId="77777777" w:rsidTr="000153ED">
        <w:trPr>
          <w:cnfStyle w:val="000000100000" w:firstRow="0" w:lastRow="0" w:firstColumn="0" w:lastColumn="0" w:oddVBand="0" w:evenVBand="0" w:oddHBand="1" w:evenHBand="0" w:firstRowFirstColumn="0" w:firstRowLastColumn="0" w:lastRowFirstColumn="0" w:lastRowLastColumn="0"/>
          <w:trHeight w:val="1546"/>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3ADF80D3"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2B5DE2D7"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Informe sectorial al Congreso de la República</w:t>
            </w:r>
          </w:p>
        </w:tc>
        <w:tc>
          <w:tcPr>
            <w:tcW w:w="2980" w:type="dxa"/>
            <w:vAlign w:val="center"/>
            <w:hideMark/>
          </w:tcPr>
          <w:p w14:paraId="4BD410D2"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Todas las dependencias del IGAC</w:t>
            </w:r>
          </w:p>
        </w:tc>
        <w:tc>
          <w:tcPr>
            <w:tcW w:w="2970" w:type="dxa"/>
            <w:vAlign w:val="center"/>
            <w:hideMark/>
          </w:tcPr>
          <w:p w14:paraId="21962367"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DANE cabeza de sector</w:t>
            </w:r>
          </w:p>
          <w:p w14:paraId="17D8FB77"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Publicación en el mes de agosto</w:t>
            </w:r>
          </w:p>
          <w:p w14:paraId="7A33BDEC" w14:textId="77777777" w:rsidR="005D698A" w:rsidRPr="003433F0" w:rsidRDefault="00A6302C"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hyperlink r:id="rId203" w:tgtFrame="_blank" w:history="1">
              <w:r w:rsidR="005D698A" w:rsidRPr="003433F0">
                <w:rPr>
                  <w:rFonts w:cs="Arial"/>
                  <w:color w:val="0000FF"/>
                  <w:sz w:val="18"/>
                  <w:szCs w:val="18"/>
                  <w:u w:val="single"/>
                  <w:lang w:val="es-MX" w:eastAsia="es-CO"/>
                </w:rPr>
                <w:t>https://igac.gov.co/sites/igac.gov.co/files/informe_congreso_sector_estadistica_2020-2021.pdf</w:t>
              </w:r>
            </w:hyperlink>
          </w:p>
        </w:tc>
      </w:tr>
      <w:tr w:rsidR="005D698A" w:rsidRPr="003D3A97" w14:paraId="4BDA6DC7"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50EFBFFD"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18A51AD7"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Reporte de avance indicadores PMI-Acuerdo de paz</w:t>
            </w:r>
          </w:p>
        </w:tc>
        <w:tc>
          <w:tcPr>
            <w:tcW w:w="2980" w:type="dxa"/>
            <w:vAlign w:val="center"/>
            <w:hideMark/>
          </w:tcPr>
          <w:p w14:paraId="110359FD"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Oficina Asesora de Planeación en coordinación con la Dirección de Gestión Catastral y la Dirección de Tecnologías de la Información y Comunicaciones</w:t>
            </w:r>
          </w:p>
        </w:tc>
        <w:tc>
          <w:tcPr>
            <w:tcW w:w="2970" w:type="dxa"/>
            <w:vAlign w:val="center"/>
            <w:hideMark/>
          </w:tcPr>
          <w:p w14:paraId="489FF502"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DSEPP-DNP-SIIPO</w:t>
            </w:r>
          </w:p>
          <w:p w14:paraId="3B872D1C"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Trimestral (enero, abril, julio, octubre)</w:t>
            </w:r>
          </w:p>
        </w:tc>
      </w:tr>
      <w:tr w:rsidR="005D698A" w:rsidRPr="003D3A97" w14:paraId="7A8320B4"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15B246A2"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734C786F"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Sistema de Rendición Electrónica de la Cuenta e Informes -SIRECI – Informe Anual</w:t>
            </w:r>
          </w:p>
        </w:tc>
        <w:tc>
          <w:tcPr>
            <w:tcW w:w="2980" w:type="dxa"/>
            <w:vAlign w:val="center"/>
            <w:hideMark/>
          </w:tcPr>
          <w:p w14:paraId="57B53462"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Oficina Asesora de Planeación</w:t>
            </w:r>
          </w:p>
        </w:tc>
        <w:tc>
          <w:tcPr>
            <w:tcW w:w="2970" w:type="dxa"/>
            <w:vAlign w:val="center"/>
            <w:hideMark/>
          </w:tcPr>
          <w:p w14:paraId="5DA76965"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Contraloría General de la República (febrero)</w:t>
            </w:r>
          </w:p>
        </w:tc>
      </w:tr>
      <w:tr w:rsidR="005D698A" w:rsidRPr="003D3A97" w14:paraId="36446433"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138A9181"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45FCBBEF"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Sistema de Rendición Electrónica de la Cuenta e Informes -SIRECI – posconflicto</w:t>
            </w:r>
          </w:p>
        </w:tc>
        <w:tc>
          <w:tcPr>
            <w:tcW w:w="2980" w:type="dxa"/>
            <w:vAlign w:val="center"/>
            <w:hideMark/>
          </w:tcPr>
          <w:p w14:paraId="0BC290E6"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Oficina Asesora de Planeación  en coordinación con la Dirección de Gestión Catastral, la Dirección de Tecnologías de la Información y Comunicaciones y la subdirección de Agrología</w:t>
            </w:r>
          </w:p>
        </w:tc>
        <w:tc>
          <w:tcPr>
            <w:tcW w:w="2970" w:type="dxa"/>
            <w:vAlign w:val="center"/>
            <w:hideMark/>
          </w:tcPr>
          <w:p w14:paraId="423D8F90"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Contraloría General de la República</w:t>
            </w:r>
          </w:p>
          <w:p w14:paraId="4EB95024"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Semestral</w:t>
            </w:r>
          </w:p>
        </w:tc>
      </w:tr>
      <w:tr w:rsidR="005D698A" w:rsidRPr="003D3A97" w14:paraId="4B062943"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78C4BA50"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2E2C7B56"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Informe de gestión grupos étnicos</w:t>
            </w:r>
          </w:p>
        </w:tc>
        <w:tc>
          <w:tcPr>
            <w:tcW w:w="2980" w:type="dxa"/>
            <w:vAlign w:val="center"/>
            <w:hideMark/>
          </w:tcPr>
          <w:p w14:paraId="7B8457D9"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 xml:space="preserve">Oficina Asesora de Planeación en coordinación con la Dirección de Gestión Catastral, Dirección de Gestión de Información Geográfica, Dirección de Tecnologías de la Información y </w:t>
            </w:r>
            <w:r w:rsidRPr="003433F0">
              <w:rPr>
                <w:rFonts w:cs="Arial"/>
                <w:sz w:val="18"/>
                <w:szCs w:val="18"/>
                <w:lang w:val="es-MX" w:eastAsia="es-CO"/>
              </w:rPr>
              <w:lastRenderedPageBreak/>
              <w:t>Comunicaciones, Dirección de Investigación y Prospectiva</w:t>
            </w:r>
          </w:p>
        </w:tc>
        <w:tc>
          <w:tcPr>
            <w:tcW w:w="2970" w:type="dxa"/>
            <w:vAlign w:val="center"/>
            <w:hideMark/>
          </w:tcPr>
          <w:p w14:paraId="1F2B1639"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lastRenderedPageBreak/>
              <w:t>DNP, comunidades étnicas</w:t>
            </w:r>
          </w:p>
          <w:p w14:paraId="53003BE2"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Antes del 30 de abril de cada vigencia</w:t>
            </w:r>
          </w:p>
        </w:tc>
      </w:tr>
      <w:tr w:rsidR="005D698A" w:rsidRPr="003D3A97" w14:paraId="2DC8EA92"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hideMark/>
          </w:tcPr>
          <w:p w14:paraId="4669D937" w14:textId="77777777" w:rsidR="005D698A" w:rsidRPr="005919D9" w:rsidRDefault="005D698A" w:rsidP="00C72779">
            <w:pPr>
              <w:suppressAutoHyphens w:val="0"/>
              <w:jc w:val="center"/>
              <w:rPr>
                <w:rFonts w:cs="Arial"/>
                <w:color w:val="FFFFFF"/>
                <w:sz w:val="20"/>
                <w:szCs w:val="20"/>
                <w:lang w:val="es-CO" w:eastAsia="es-CO"/>
              </w:rPr>
            </w:pPr>
          </w:p>
        </w:tc>
        <w:tc>
          <w:tcPr>
            <w:tcW w:w="2835" w:type="dxa"/>
            <w:vAlign w:val="center"/>
            <w:hideMark/>
          </w:tcPr>
          <w:p w14:paraId="65BEDFB4"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Informe avance indicadores capítulo étnico -PMI -Acuerdo de Paz</w:t>
            </w:r>
          </w:p>
        </w:tc>
        <w:tc>
          <w:tcPr>
            <w:tcW w:w="2980" w:type="dxa"/>
            <w:vAlign w:val="center"/>
            <w:hideMark/>
          </w:tcPr>
          <w:p w14:paraId="6698FC97"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Oficina Asesora de Planeación en coordinación con la Dirección de Gestión Catastral y la Dirección de Tecnologías de la Información y Comunicaciones</w:t>
            </w:r>
          </w:p>
        </w:tc>
        <w:tc>
          <w:tcPr>
            <w:tcW w:w="2970" w:type="dxa"/>
            <w:vAlign w:val="center"/>
            <w:hideMark/>
          </w:tcPr>
          <w:p w14:paraId="161F24E5"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Consejería Presidencial para la Estabilización y Consolidación</w:t>
            </w:r>
          </w:p>
          <w:p w14:paraId="43D71838"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Semestral (junio, diciembre)</w:t>
            </w:r>
          </w:p>
        </w:tc>
      </w:tr>
      <w:tr w:rsidR="005D698A" w:rsidRPr="003D3A97" w14:paraId="2F9A54C9"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0FDBAECB"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79CD6DB8"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Informe de rendición de cuentas sobre los compromisos del Acuerdo de Paz</w:t>
            </w:r>
          </w:p>
        </w:tc>
        <w:tc>
          <w:tcPr>
            <w:tcW w:w="2980" w:type="dxa"/>
            <w:vAlign w:val="center"/>
          </w:tcPr>
          <w:p w14:paraId="58F73317"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 en coordinación con la Dirección de Gestión Catastral, Dirección de Gestión de Información Geográfica, Dirección de Tecnologías de la Información y Comunicaciones, Dirección de Investigación y Prospectiva</w:t>
            </w:r>
          </w:p>
        </w:tc>
        <w:tc>
          <w:tcPr>
            <w:tcW w:w="2970" w:type="dxa"/>
            <w:vAlign w:val="center"/>
          </w:tcPr>
          <w:p w14:paraId="1E6FCDF4"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DAFP, Consejería Presidencial para la Estabilización y Consolidación</w:t>
            </w:r>
          </w:p>
          <w:p w14:paraId="423CBFE4"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Semestral (enero, julio)</w:t>
            </w:r>
          </w:p>
        </w:tc>
      </w:tr>
      <w:tr w:rsidR="005D698A" w:rsidRPr="003D3A97" w14:paraId="3D8BF106"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4EB37D62"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56DDF4B0"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Reporte de avance indicadores Plan Nacional de Gestión del Riesgo de Desastres</w:t>
            </w:r>
          </w:p>
        </w:tc>
        <w:tc>
          <w:tcPr>
            <w:tcW w:w="2980" w:type="dxa"/>
            <w:vAlign w:val="center"/>
          </w:tcPr>
          <w:p w14:paraId="1C00E6D8"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 en coordinación con la Dirección de Gestión Catastral, Dirección de Gestión de Información Geográfica</w:t>
            </w:r>
          </w:p>
        </w:tc>
        <w:tc>
          <w:tcPr>
            <w:tcW w:w="2970" w:type="dxa"/>
            <w:vAlign w:val="center"/>
          </w:tcPr>
          <w:p w14:paraId="69A4BD50"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DANE, UNGRD</w:t>
            </w:r>
          </w:p>
          <w:p w14:paraId="6FFFA5E3"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Semestral (mayo, noviembre)</w:t>
            </w:r>
          </w:p>
        </w:tc>
      </w:tr>
      <w:tr w:rsidR="005D698A" w:rsidRPr="003D3A97" w14:paraId="454FAF46"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3CAA3AE3"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69A1E9C8"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Reporte de avance metas e indicadores proyectos de inversión</w:t>
            </w:r>
          </w:p>
        </w:tc>
        <w:tc>
          <w:tcPr>
            <w:tcW w:w="2980" w:type="dxa"/>
            <w:vAlign w:val="center"/>
          </w:tcPr>
          <w:p w14:paraId="03929D43"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p>
        </w:tc>
        <w:tc>
          <w:tcPr>
            <w:tcW w:w="2970" w:type="dxa"/>
            <w:vAlign w:val="center"/>
          </w:tcPr>
          <w:p w14:paraId="2AA7D3A1"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DNP</w:t>
            </w:r>
          </w:p>
          <w:p w14:paraId="036E9B7D"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Mensual</w:t>
            </w:r>
          </w:p>
        </w:tc>
      </w:tr>
      <w:tr w:rsidR="005D698A" w:rsidRPr="003D3A97" w14:paraId="25067D67"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1D03F85C"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3C5B926D"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Sistema de Identificación y Caracterización de Oferta y Demanda Estadística – SICODE</w:t>
            </w:r>
          </w:p>
        </w:tc>
        <w:tc>
          <w:tcPr>
            <w:tcW w:w="2980" w:type="dxa"/>
            <w:vAlign w:val="center"/>
          </w:tcPr>
          <w:p w14:paraId="200D317F"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 en coordinación con la Dirección de Gestión Catastral y la Dirección de Gestión de Información Geográfica (Subdirección de Agrología)</w:t>
            </w:r>
          </w:p>
        </w:tc>
        <w:tc>
          <w:tcPr>
            <w:tcW w:w="2970" w:type="dxa"/>
            <w:vAlign w:val="center"/>
          </w:tcPr>
          <w:p w14:paraId="35309D12"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DANE (anual según actualización de las operaciones estadística registradas en el SICODE)</w:t>
            </w:r>
          </w:p>
        </w:tc>
      </w:tr>
      <w:tr w:rsidR="005D698A" w:rsidRPr="003D3A97" w14:paraId="304B3D4B"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0505A54C"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44A31606"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Reporte FURAG</w:t>
            </w:r>
          </w:p>
        </w:tc>
        <w:tc>
          <w:tcPr>
            <w:tcW w:w="2980" w:type="dxa"/>
            <w:vAlign w:val="center"/>
          </w:tcPr>
          <w:p w14:paraId="3F90AD9C"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 en coordinación con todas las dependencias del IGAC</w:t>
            </w:r>
          </w:p>
        </w:tc>
        <w:tc>
          <w:tcPr>
            <w:tcW w:w="2970" w:type="dxa"/>
            <w:vAlign w:val="center"/>
          </w:tcPr>
          <w:p w14:paraId="2C6113D0"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DAFP</w:t>
            </w:r>
          </w:p>
          <w:p w14:paraId="2341D9BF"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Anual</w:t>
            </w:r>
          </w:p>
        </w:tc>
      </w:tr>
      <w:tr w:rsidR="005D698A" w:rsidRPr="003D3A97" w14:paraId="5BB0A796"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517B35F8"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7ED24F1F"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Informe Marco de Gasto de Mediano Plazo</w:t>
            </w:r>
          </w:p>
        </w:tc>
        <w:tc>
          <w:tcPr>
            <w:tcW w:w="2980" w:type="dxa"/>
            <w:vAlign w:val="center"/>
          </w:tcPr>
          <w:p w14:paraId="653244E8"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w:t>
            </w:r>
          </w:p>
        </w:tc>
        <w:tc>
          <w:tcPr>
            <w:tcW w:w="2970" w:type="dxa"/>
            <w:vAlign w:val="center"/>
          </w:tcPr>
          <w:p w14:paraId="548A60CE"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DANE</w:t>
            </w:r>
          </w:p>
        </w:tc>
      </w:tr>
      <w:tr w:rsidR="005D698A" w:rsidRPr="003D3A97" w14:paraId="4339824C" w14:textId="77777777" w:rsidTr="000153ED">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2319FCC9"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370375F3"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Estrategia de racionalización de Trámites</w:t>
            </w:r>
          </w:p>
        </w:tc>
        <w:tc>
          <w:tcPr>
            <w:tcW w:w="2980" w:type="dxa"/>
            <w:vAlign w:val="center"/>
          </w:tcPr>
          <w:p w14:paraId="1AD0B755"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Oficina Asesora de Planeación en coordinación con los procesos misionales</w:t>
            </w:r>
          </w:p>
          <w:p w14:paraId="5415F95E"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p>
        </w:tc>
        <w:tc>
          <w:tcPr>
            <w:tcW w:w="2970" w:type="dxa"/>
            <w:vAlign w:val="center"/>
          </w:tcPr>
          <w:p w14:paraId="6A0C5B8B"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Trimestral (enero, abril, julio, octubre)</w:t>
            </w:r>
          </w:p>
          <w:p w14:paraId="7720DFE0" w14:textId="77777777" w:rsidR="005D698A" w:rsidRPr="003433F0" w:rsidRDefault="005D698A" w:rsidP="00C72779">
            <w:pPr>
              <w:suppressAutoHyphens w:val="0"/>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Se publica después del seguimiento realizado por la Oficina de Control Interna en la página web. Sección Plan Anticorrupción y atención al ciudadano.</w:t>
            </w:r>
          </w:p>
        </w:tc>
      </w:tr>
      <w:tr w:rsidR="005D698A" w:rsidRPr="003D3A97" w14:paraId="1EADE7EC" w14:textId="77777777" w:rsidTr="000153ED">
        <w:trPr>
          <w:trHeight w:val="390"/>
        </w:trPr>
        <w:tc>
          <w:tcPr>
            <w:cnfStyle w:val="001000000000" w:firstRow="0" w:lastRow="0" w:firstColumn="1" w:lastColumn="0" w:oddVBand="0" w:evenVBand="0" w:oddHBand="0" w:evenHBand="0" w:firstRowFirstColumn="0" w:firstRowLastColumn="0" w:lastRowFirstColumn="0" w:lastRowLastColumn="0"/>
            <w:tcW w:w="559" w:type="dxa"/>
            <w:vMerge/>
            <w:vAlign w:val="center"/>
          </w:tcPr>
          <w:p w14:paraId="10486312" w14:textId="77777777" w:rsidR="005D698A" w:rsidRPr="003D3A97" w:rsidRDefault="005D698A" w:rsidP="00C72779">
            <w:pPr>
              <w:suppressAutoHyphens w:val="0"/>
              <w:jc w:val="center"/>
              <w:rPr>
                <w:rFonts w:cs="Arial"/>
                <w:b w:val="0"/>
                <w:bCs w:val="0"/>
                <w:color w:val="FFFFFF"/>
                <w:sz w:val="20"/>
                <w:szCs w:val="20"/>
                <w:lang w:val="es-CO" w:eastAsia="es-CO"/>
              </w:rPr>
            </w:pPr>
          </w:p>
        </w:tc>
        <w:tc>
          <w:tcPr>
            <w:tcW w:w="2835" w:type="dxa"/>
            <w:vAlign w:val="center"/>
          </w:tcPr>
          <w:p w14:paraId="440D6BA0"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Registro de generadores de residuos o desechos peligrosos - RESPEL</w:t>
            </w:r>
          </w:p>
        </w:tc>
        <w:tc>
          <w:tcPr>
            <w:tcW w:w="2980" w:type="dxa"/>
            <w:vAlign w:val="center"/>
          </w:tcPr>
          <w:p w14:paraId="51E6BAE8"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Oficina Asesora de Planeación</w:t>
            </w:r>
          </w:p>
        </w:tc>
        <w:tc>
          <w:tcPr>
            <w:tcW w:w="2970" w:type="dxa"/>
            <w:vAlign w:val="center"/>
          </w:tcPr>
          <w:p w14:paraId="1B9D31B2"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CO" w:eastAsia="es-CO"/>
              </w:rPr>
            </w:pPr>
            <w:r w:rsidRPr="003433F0">
              <w:rPr>
                <w:rFonts w:cs="Arial"/>
                <w:sz w:val="18"/>
                <w:szCs w:val="18"/>
                <w:lang w:val="es-MX" w:eastAsia="es-CO"/>
              </w:rPr>
              <w:t>Antes del 31 de marzo de cada vigencia.</w:t>
            </w:r>
          </w:p>
          <w:p w14:paraId="78884437" w14:textId="77777777" w:rsidR="005D698A" w:rsidRPr="003433F0" w:rsidRDefault="005D698A" w:rsidP="00C72779">
            <w:pPr>
              <w:suppressAutoHyphens w:val="0"/>
              <w:jc w:val="center"/>
              <w:textAlignment w:val="baseline"/>
              <w:cnfStyle w:val="000000000000" w:firstRow="0" w:lastRow="0" w:firstColumn="0" w:lastColumn="0" w:oddVBand="0" w:evenVBand="0" w:oddHBand="0" w:evenHBand="0" w:firstRowFirstColumn="0" w:firstRowLastColumn="0" w:lastRowFirstColumn="0" w:lastRowLastColumn="0"/>
              <w:rPr>
                <w:rFonts w:cs="Arial"/>
                <w:sz w:val="18"/>
                <w:szCs w:val="18"/>
                <w:lang w:val="es-MX" w:eastAsia="es-CO"/>
              </w:rPr>
            </w:pPr>
            <w:r w:rsidRPr="003433F0">
              <w:rPr>
                <w:rFonts w:cs="Arial"/>
                <w:sz w:val="18"/>
                <w:szCs w:val="18"/>
                <w:lang w:val="es-MX" w:eastAsia="es-CO"/>
              </w:rPr>
              <w:t>IDEAM.</w:t>
            </w:r>
          </w:p>
        </w:tc>
      </w:tr>
    </w:tbl>
    <w:p w14:paraId="10A6F89E" w14:textId="2C9104A1" w:rsidR="005D698A" w:rsidRDefault="003433F0" w:rsidP="003433F0">
      <w:pPr>
        <w:jc w:val="center"/>
        <w:textAlignment w:val="baseline"/>
        <w:rPr>
          <w:rFonts w:cs="Arial"/>
          <w:b/>
          <w:sz w:val="16"/>
          <w:szCs w:val="16"/>
          <w:lang w:eastAsia="es-CO"/>
        </w:rPr>
      </w:pPr>
      <w:r w:rsidRPr="003433F0">
        <w:rPr>
          <w:rFonts w:cs="Arial"/>
          <w:b/>
          <w:bCs/>
          <w:sz w:val="16"/>
          <w:szCs w:val="16"/>
          <w:lang w:eastAsia="es-CO"/>
        </w:rPr>
        <w:t>Fuente: Oficina Asesora de Planeación</w:t>
      </w:r>
    </w:p>
    <w:p w14:paraId="21676782" w14:textId="77777777" w:rsidR="003433F0" w:rsidRPr="003433F0" w:rsidRDefault="003433F0" w:rsidP="003433F0">
      <w:pPr>
        <w:jc w:val="center"/>
        <w:textAlignment w:val="baseline"/>
        <w:rPr>
          <w:rFonts w:cs="Arial"/>
          <w:b/>
          <w:bCs/>
          <w:sz w:val="16"/>
          <w:szCs w:val="16"/>
          <w:lang w:eastAsia="es-CO"/>
        </w:rPr>
      </w:pPr>
    </w:p>
    <w:p w14:paraId="709C7B7E" w14:textId="77777777" w:rsidR="005D698A" w:rsidRPr="0068189E" w:rsidRDefault="005D698A" w:rsidP="00C72779">
      <w:pPr>
        <w:ind w:left="360"/>
        <w:jc w:val="center"/>
        <w:textAlignment w:val="baseline"/>
        <w:rPr>
          <w:rFonts w:ascii="Segoe UI" w:hAnsi="Segoe UI" w:cs="Segoe UI"/>
          <w:sz w:val="16"/>
          <w:szCs w:val="18"/>
          <w:lang w:eastAsia="es-CO"/>
        </w:rPr>
      </w:pPr>
      <w:r w:rsidRPr="005C307C">
        <w:rPr>
          <w:rFonts w:cs="Arial"/>
          <w:sz w:val="22"/>
          <w:szCs w:val="22"/>
          <w:lang w:eastAsia="es-CO"/>
        </w:rPr>
        <w:t> </w:t>
      </w:r>
      <w:r w:rsidRPr="0068189E">
        <w:rPr>
          <w:rFonts w:cs="Arial"/>
          <w:sz w:val="22"/>
          <w:lang w:eastAsia="es-CO"/>
        </w:rPr>
        <w:t> </w:t>
      </w:r>
    </w:p>
    <w:p w14:paraId="3E3A9685" w14:textId="4B152354" w:rsidR="005D698A" w:rsidRPr="000C6EE0" w:rsidRDefault="005D698A" w:rsidP="000A20EE">
      <w:pPr>
        <w:pStyle w:val="Prrafodelista"/>
        <w:numPr>
          <w:ilvl w:val="2"/>
          <w:numId w:val="22"/>
        </w:numPr>
        <w:suppressAutoHyphens w:val="0"/>
        <w:spacing w:after="160"/>
        <w:contextualSpacing/>
        <w:rPr>
          <w:rFonts w:cs="Arial"/>
          <w:sz w:val="22"/>
          <w:szCs w:val="22"/>
          <w:lang w:eastAsia="es-CO"/>
        </w:rPr>
      </w:pPr>
      <w:r w:rsidRPr="000C6EE0">
        <w:rPr>
          <w:rFonts w:cs="Arial"/>
          <w:b/>
          <w:sz w:val="22"/>
          <w:szCs w:val="22"/>
          <w:lang w:eastAsia="es-CO"/>
        </w:rPr>
        <w:t>RECOMENDACIONES</w:t>
      </w:r>
    </w:p>
    <w:p w14:paraId="68AD4EFF" w14:textId="78224C51" w:rsidR="005D698A" w:rsidRPr="0068189E" w:rsidRDefault="005D698A" w:rsidP="00C72779">
      <w:pPr>
        <w:jc w:val="both"/>
        <w:textAlignment w:val="baseline"/>
        <w:rPr>
          <w:rFonts w:ascii="Segoe UI" w:hAnsi="Segoe UI" w:cs="Segoe UI"/>
          <w:sz w:val="16"/>
          <w:szCs w:val="18"/>
          <w:lang w:eastAsia="es-CO"/>
        </w:rPr>
      </w:pPr>
    </w:p>
    <w:p w14:paraId="5BBC6EF1" w14:textId="77777777" w:rsidR="005D698A" w:rsidRPr="0068189E" w:rsidRDefault="005D698A" w:rsidP="000A20EE">
      <w:pPr>
        <w:numPr>
          <w:ilvl w:val="0"/>
          <w:numId w:val="50"/>
        </w:numPr>
        <w:suppressAutoHyphens w:val="0"/>
        <w:jc w:val="both"/>
        <w:textAlignment w:val="baseline"/>
        <w:rPr>
          <w:rFonts w:cs="Arial"/>
          <w:sz w:val="22"/>
          <w:lang w:eastAsia="es-CO"/>
        </w:rPr>
      </w:pPr>
      <w:r w:rsidRPr="0068189E">
        <w:rPr>
          <w:rFonts w:cs="Arial"/>
          <w:sz w:val="22"/>
          <w:lang w:val="es-MX" w:eastAsia="es-CO"/>
        </w:rPr>
        <w:t>Fortalecer</w:t>
      </w:r>
      <w:r>
        <w:rPr>
          <w:rFonts w:cs="Arial"/>
          <w:sz w:val="22"/>
          <w:lang w:val="es-MX" w:eastAsia="es-CO"/>
        </w:rPr>
        <w:t xml:space="preserve"> </w:t>
      </w:r>
      <w:r w:rsidRPr="0068189E">
        <w:rPr>
          <w:rFonts w:cs="Arial"/>
          <w:sz w:val="22"/>
          <w:lang w:val="es-MX" w:eastAsia="es-CO"/>
        </w:rPr>
        <w:t>las herramientas</w:t>
      </w:r>
      <w:r>
        <w:rPr>
          <w:rFonts w:cs="Arial"/>
          <w:sz w:val="22"/>
          <w:lang w:val="es-MX" w:eastAsia="es-CO"/>
        </w:rPr>
        <w:t xml:space="preserve"> </w:t>
      </w:r>
      <w:r w:rsidRPr="0068189E">
        <w:rPr>
          <w:rFonts w:cs="Arial"/>
          <w:sz w:val="22"/>
          <w:lang w:val="es-MX" w:eastAsia="es-CO"/>
        </w:rPr>
        <w:t xml:space="preserve">que se ha creado dentro del proceso que lidera la OAP, </w:t>
      </w:r>
      <w:r>
        <w:rPr>
          <w:rFonts w:cs="Arial"/>
          <w:sz w:val="22"/>
          <w:lang w:val="es-MX" w:eastAsia="es-CO"/>
        </w:rPr>
        <w:t>para</w:t>
      </w:r>
      <w:r w:rsidRPr="0068189E">
        <w:rPr>
          <w:rFonts w:cs="Arial"/>
          <w:sz w:val="22"/>
          <w:lang w:val="es-MX" w:eastAsia="es-CO"/>
        </w:rPr>
        <w:t xml:space="preserve"> consolidar la información referente a metas y presupuesto.</w:t>
      </w:r>
    </w:p>
    <w:p w14:paraId="66F8F960" w14:textId="77777777" w:rsidR="005D698A" w:rsidRPr="0068189E" w:rsidRDefault="005D698A" w:rsidP="00C72779">
      <w:pPr>
        <w:ind w:firstLine="120"/>
        <w:jc w:val="both"/>
        <w:textAlignment w:val="baseline"/>
        <w:rPr>
          <w:rFonts w:ascii="Segoe UI" w:hAnsi="Segoe UI" w:cs="Segoe UI"/>
          <w:sz w:val="16"/>
          <w:szCs w:val="18"/>
          <w:lang w:eastAsia="es-CO"/>
        </w:rPr>
      </w:pPr>
    </w:p>
    <w:p w14:paraId="7883D24E" w14:textId="77777777" w:rsidR="005D698A" w:rsidRPr="0068189E" w:rsidRDefault="005D698A" w:rsidP="000A20EE">
      <w:pPr>
        <w:numPr>
          <w:ilvl w:val="0"/>
          <w:numId w:val="50"/>
        </w:numPr>
        <w:suppressAutoHyphens w:val="0"/>
        <w:jc w:val="both"/>
        <w:textAlignment w:val="baseline"/>
        <w:rPr>
          <w:rFonts w:cs="Arial"/>
          <w:sz w:val="22"/>
          <w:lang w:eastAsia="es-CO"/>
        </w:rPr>
      </w:pPr>
      <w:r w:rsidRPr="0068189E">
        <w:rPr>
          <w:rFonts w:cs="Arial"/>
          <w:sz w:val="22"/>
          <w:lang w:val="es-MX" w:eastAsia="es-CO"/>
        </w:rPr>
        <w:t>Mantener la herramienta de auto seguimiento como referente de la implementación del modelo de planeación y gestión (MIPG)</w:t>
      </w:r>
      <w:r>
        <w:rPr>
          <w:rFonts w:cs="Arial"/>
          <w:sz w:val="22"/>
          <w:lang w:eastAsia="es-CO"/>
        </w:rPr>
        <w:t>.</w:t>
      </w:r>
    </w:p>
    <w:p w14:paraId="7427F2E5" w14:textId="77777777" w:rsidR="005D698A" w:rsidRPr="0068189E" w:rsidRDefault="005D698A" w:rsidP="00C72779">
      <w:pPr>
        <w:ind w:firstLine="120"/>
        <w:jc w:val="both"/>
        <w:textAlignment w:val="baseline"/>
        <w:rPr>
          <w:rFonts w:ascii="Segoe UI" w:hAnsi="Segoe UI" w:cs="Segoe UI"/>
          <w:sz w:val="16"/>
          <w:szCs w:val="18"/>
          <w:lang w:eastAsia="es-CO"/>
        </w:rPr>
      </w:pPr>
    </w:p>
    <w:p w14:paraId="3B9E1F12" w14:textId="77777777" w:rsidR="005D698A" w:rsidRPr="0068189E" w:rsidRDefault="005D698A" w:rsidP="000A20EE">
      <w:pPr>
        <w:numPr>
          <w:ilvl w:val="0"/>
          <w:numId w:val="50"/>
        </w:numPr>
        <w:suppressAutoHyphens w:val="0"/>
        <w:jc w:val="both"/>
        <w:textAlignment w:val="baseline"/>
        <w:rPr>
          <w:rFonts w:cs="Arial"/>
          <w:sz w:val="22"/>
          <w:lang w:eastAsia="es-CO"/>
        </w:rPr>
      </w:pPr>
      <w:r w:rsidRPr="0068189E">
        <w:rPr>
          <w:rFonts w:cs="Arial"/>
          <w:sz w:val="22"/>
          <w:lang w:val="es-MX" w:eastAsia="es-CO"/>
        </w:rPr>
        <w:t>Actualiza</w:t>
      </w:r>
      <w:r>
        <w:rPr>
          <w:rFonts w:cs="Arial"/>
          <w:sz w:val="22"/>
          <w:lang w:val="es-MX" w:eastAsia="es-CO"/>
        </w:rPr>
        <w:t>r</w:t>
      </w:r>
      <w:r w:rsidRPr="0068189E">
        <w:rPr>
          <w:rFonts w:cs="Arial"/>
          <w:sz w:val="22"/>
          <w:lang w:val="es-MX" w:eastAsia="es-CO"/>
        </w:rPr>
        <w:t xml:space="preserve"> permanente los procedimientos y documentos del proceso que permitan dar una lectura real de la forma como se realizan las actividades del proceso.</w:t>
      </w:r>
      <w:r w:rsidRPr="0068189E">
        <w:rPr>
          <w:rFonts w:cs="Arial"/>
          <w:sz w:val="22"/>
          <w:lang w:eastAsia="es-CO"/>
        </w:rPr>
        <w:t> </w:t>
      </w:r>
    </w:p>
    <w:p w14:paraId="3C1AD453" w14:textId="77777777" w:rsidR="005D698A" w:rsidRPr="0068189E" w:rsidRDefault="005D698A" w:rsidP="00C72779">
      <w:pPr>
        <w:ind w:firstLine="120"/>
        <w:jc w:val="both"/>
        <w:textAlignment w:val="baseline"/>
        <w:rPr>
          <w:rFonts w:ascii="Segoe UI" w:hAnsi="Segoe UI" w:cs="Segoe UI"/>
          <w:sz w:val="16"/>
          <w:szCs w:val="18"/>
          <w:lang w:eastAsia="es-CO"/>
        </w:rPr>
      </w:pPr>
    </w:p>
    <w:p w14:paraId="6C50455F" w14:textId="77777777" w:rsidR="005D698A" w:rsidRPr="0068189E" w:rsidRDefault="005D698A" w:rsidP="000A20EE">
      <w:pPr>
        <w:numPr>
          <w:ilvl w:val="0"/>
          <w:numId w:val="50"/>
        </w:numPr>
        <w:suppressAutoHyphens w:val="0"/>
        <w:jc w:val="both"/>
        <w:textAlignment w:val="baseline"/>
        <w:rPr>
          <w:rFonts w:cs="Arial"/>
          <w:sz w:val="22"/>
          <w:lang w:eastAsia="es-CO"/>
        </w:rPr>
      </w:pPr>
      <w:r>
        <w:rPr>
          <w:rFonts w:cs="Arial"/>
          <w:sz w:val="22"/>
          <w:lang w:val="es-MX" w:eastAsia="es-CO"/>
        </w:rPr>
        <w:lastRenderedPageBreak/>
        <w:t>D</w:t>
      </w:r>
      <w:r w:rsidRPr="0068189E">
        <w:rPr>
          <w:rFonts w:cs="Arial"/>
          <w:sz w:val="22"/>
          <w:lang w:val="es-MX" w:eastAsia="es-CO"/>
        </w:rPr>
        <w:t>ar un enfoque estratégico y no operativo de las actividades, tanto de la</w:t>
      </w:r>
      <w:r>
        <w:rPr>
          <w:rFonts w:cs="Arial"/>
          <w:sz w:val="22"/>
          <w:lang w:val="es-MX" w:eastAsia="es-CO"/>
        </w:rPr>
        <w:t xml:space="preserve"> </w:t>
      </w:r>
      <w:r w:rsidRPr="0068189E">
        <w:rPr>
          <w:rFonts w:cs="Arial"/>
          <w:sz w:val="22"/>
          <w:lang w:val="es-MX" w:eastAsia="es-CO"/>
        </w:rPr>
        <w:t>OAP, como de la entidad.</w:t>
      </w:r>
      <w:r w:rsidRPr="0068189E">
        <w:rPr>
          <w:rFonts w:cs="Arial"/>
          <w:sz w:val="22"/>
          <w:lang w:eastAsia="es-CO"/>
        </w:rPr>
        <w:t> </w:t>
      </w:r>
    </w:p>
    <w:p w14:paraId="5E8249D1" w14:textId="77777777" w:rsidR="005D698A" w:rsidRPr="0068189E" w:rsidRDefault="005D698A" w:rsidP="00C72779">
      <w:pPr>
        <w:ind w:firstLine="120"/>
        <w:jc w:val="both"/>
        <w:textAlignment w:val="baseline"/>
        <w:rPr>
          <w:rFonts w:ascii="Segoe UI" w:hAnsi="Segoe UI" w:cs="Segoe UI"/>
          <w:sz w:val="16"/>
          <w:szCs w:val="18"/>
          <w:lang w:eastAsia="es-CO"/>
        </w:rPr>
      </w:pPr>
    </w:p>
    <w:p w14:paraId="4756BDF4" w14:textId="77777777" w:rsidR="005D698A" w:rsidRPr="0068189E" w:rsidRDefault="005D698A" w:rsidP="000A20EE">
      <w:pPr>
        <w:numPr>
          <w:ilvl w:val="0"/>
          <w:numId w:val="50"/>
        </w:numPr>
        <w:suppressAutoHyphens w:val="0"/>
        <w:jc w:val="both"/>
        <w:textAlignment w:val="baseline"/>
        <w:rPr>
          <w:rFonts w:cs="Arial"/>
          <w:sz w:val="22"/>
          <w:lang w:eastAsia="es-CO"/>
        </w:rPr>
      </w:pPr>
      <w:r w:rsidRPr="0068189E">
        <w:rPr>
          <w:rFonts w:cs="Arial"/>
          <w:sz w:val="22"/>
          <w:lang w:val="es-MX" w:eastAsia="es-CO"/>
        </w:rPr>
        <w:t>Realizar asesorías y acompañamiento a todas las áreas</w:t>
      </w:r>
      <w:r>
        <w:rPr>
          <w:rFonts w:cs="Arial"/>
          <w:sz w:val="22"/>
          <w:lang w:val="es-MX" w:eastAsia="es-CO"/>
        </w:rPr>
        <w:t xml:space="preserve">, de forma tal que </w:t>
      </w:r>
      <w:r w:rsidRPr="0068189E">
        <w:rPr>
          <w:rFonts w:cs="Arial"/>
          <w:sz w:val="22"/>
          <w:lang w:val="es-MX" w:eastAsia="es-CO"/>
        </w:rPr>
        <w:t>les permita comprender las actividades que se desarrollan en pro del direccionamiento y planificación, y de esta manera articular todas las actividades realizadas en el día a día con el propósito central.</w:t>
      </w:r>
    </w:p>
    <w:p w14:paraId="65C20A1D" w14:textId="77777777" w:rsidR="005D698A" w:rsidRPr="0068189E" w:rsidRDefault="005D698A" w:rsidP="00C72779">
      <w:pPr>
        <w:ind w:firstLine="120"/>
        <w:jc w:val="both"/>
        <w:textAlignment w:val="baseline"/>
        <w:rPr>
          <w:rFonts w:ascii="Segoe UI" w:hAnsi="Segoe UI" w:cs="Segoe UI"/>
          <w:sz w:val="16"/>
          <w:szCs w:val="18"/>
          <w:lang w:eastAsia="es-CO"/>
        </w:rPr>
      </w:pPr>
    </w:p>
    <w:p w14:paraId="600AD785" w14:textId="77777777" w:rsidR="005D698A" w:rsidRPr="0068189E" w:rsidRDefault="005D698A" w:rsidP="000A20EE">
      <w:pPr>
        <w:numPr>
          <w:ilvl w:val="0"/>
          <w:numId w:val="50"/>
        </w:numPr>
        <w:suppressAutoHyphens w:val="0"/>
        <w:jc w:val="both"/>
        <w:textAlignment w:val="baseline"/>
        <w:rPr>
          <w:rFonts w:cs="Arial"/>
          <w:sz w:val="22"/>
          <w:lang w:eastAsia="es-CO"/>
        </w:rPr>
      </w:pPr>
      <w:r>
        <w:rPr>
          <w:rFonts w:cs="Arial"/>
          <w:sz w:val="22"/>
          <w:lang w:val="es-MX" w:eastAsia="es-CO"/>
        </w:rPr>
        <w:t>Realizar actividad</w:t>
      </w:r>
      <w:r w:rsidRPr="0068189E">
        <w:rPr>
          <w:rFonts w:cs="Arial"/>
          <w:sz w:val="22"/>
          <w:lang w:val="es-MX" w:eastAsia="es-CO"/>
        </w:rPr>
        <w:t>es lúdicas para garantizar la comprensión del proceso y facilidad de entendimiento de las áreas.</w:t>
      </w:r>
      <w:r w:rsidRPr="0068189E">
        <w:rPr>
          <w:rFonts w:cs="Arial"/>
          <w:sz w:val="22"/>
          <w:lang w:eastAsia="es-CO"/>
        </w:rPr>
        <w:t> </w:t>
      </w:r>
    </w:p>
    <w:p w14:paraId="1AFAF31E" w14:textId="77777777" w:rsidR="005D698A" w:rsidRPr="0068189E" w:rsidRDefault="005D698A" w:rsidP="00C72779">
      <w:pPr>
        <w:ind w:firstLine="120"/>
        <w:jc w:val="both"/>
        <w:textAlignment w:val="baseline"/>
        <w:rPr>
          <w:rFonts w:ascii="Segoe UI" w:hAnsi="Segoe UI" w:cs="Segoe UI"/>
          <w:sz w:val="16"/>
          <w:szCs w:val="18"/>
          <w:lang w:eastAsia="es-CO"/>
        </w:rPr>
      </w:pPr>
    </w:p>
    <w:p w14:paraId="284D8BA9" w14:textId="77777777" w:rsidR="005D698A" w:rsidRPr="0068189E" w:rsidRDefault="005D698A" w:rsidP="000A20EE">
      <w:pPr>
        <w:numPr>
          <w:ilvl w:val="0"/>
          <w:numId w:val="50"/>
        </w:numPr>
        <w:suppressAutoHyphens w:val="0"/>
        <w:jc w:val="both"/>
        <w:textAlignment w:val="baseline"/>
        <w:rPr>
          <w:rFonts w:cs="Arial"/>
          <w:sz w:val="22"/>
          <w:lang w:eastAsia="es-CO"/>
        </w:rPr>
      </w:pPr>
      <w:r w:rsidRPr="0068189E">
        <w:rPr>
          <w:rFonts w:cs="Arial"/>
          <w:sz w:val="22"/>
          <w:lang w:val="es-MX" w:eastAsia="es-CO"/>
        </w:rPr>
        <w:t>Seguir con el apoyo decisivo de la alta dirección en la inversión y transformación digital acorde a los cambios tecnológicos que día a día representan un reto organizacional.</w:t>
      </w:r>
      <w:r w:rsidRPr="0068189E">
        <w:rPr>
          <w:rFonts w:cs="Arial"/>
          <w:sz w:val="22"/>
          <w:lang w:eastAsia="es-CO"/>
        </w:rPr>
        <w:t> </w:t>
      </w:r>
    </w:p>
    <w:p w14:paraId="41F389FE" w14:textId="77777777" w:rsidR="005D698A" w:rsidRPr="0068189E" w:rsidRDefault="005D698A" w:rsidP="00C72779">
      <w:pPr>
        <w:ind w:left="720" w:firstLine="60"/>
        <w:textAlignment w:val="baseline"/>
        <w:rPr>
          <w:rFonts w:ascii="Segoe UI" w:hAnsi="Segoe UI" w:cs="Segoe UI"/>
          <w:sz w:val="16"/>
          <w:szCs w:val="18"/>
          <w:lang w:eastAsia="es-CO"/>
        </w:rPr>
      </w:pPr>
    </w:p>
    <w:p w14:paraId="3701A692" w14:textId="77777777" w:rsidR="005D698A" w:rsidRPr="00A53A44" w:rsidRDefault="005D698A" w:rsidP="000A20EE">
      <w:pPr>
        <w:numPr>
          <w:ilvl w:val="0"/>
          <w:numId w:val="50"/>
        </w:numPr>
        <w:suppressAutoHyphens w:val="0"/>
        <w:jc w:val="both"/>
        <w:textAlignment w:val="baseline"/>
        <w:rPr>
          <w:rFonts w:cs="Arial"/>
          <w:sz w:val="22"/>
          <w:szCs w:val="22"/>
        </w:rPr>
      </w:pPr>
      <w:r w:rsidRPr="0068189E">
        <w:rPr>
          <w:rFonts w:cs="Arial"/>
          <w:sz w:val="22"/>
          <w:lang w:eastAsia="es-CO"/>
        </w:rPr>
        <w:t>Continuar con el ejercicio de arquitectura de procesos, con el objetivo de analizar las variables y comportamiento que intervienen en un proceso, como los afectan y establecer posibilidades de automatización</w:t>
      </w:r>
      <w:r>
        <w:rPr>
          <w:rFonts w:ascii="Segoe UI" w:hAnsi="Segoe UI" w:cs="Segoe UI"/>
          <w:sz w:val="16"/>
          <w:szCs w:val="18"/>
          <w:lang w:eastAsia="es-CO"/>
        </w:rPr>
        <w:t>.</w:t>
      </w:r>
    </w:p>
    <w:p w14:paraId="55600BF3" w14:textId="77777777" w:rsidR="005D698A" w:rsidRDefault="005D698A" w:rsidP="00C72779">
      <w:pPr>
        <w:jc w:val="both"/>
        <w:textAlignment w:val="baseline"/>
        <w:rPr>
          <w:rFonts w:ascii="Segoe UI" w:hAnsi="Segoe UI" w:cs="Segoe UI"/>
          <w:sz w:val="22"/>
          <w:szCs w:val="22"/>
          <w:lang w:eastAsia="es-CO"/>
        </w:rPr>
      </w:pPr>
    </w:p>
    <w:p w14:paraId="60B74C1B" w14:textId="77777777" w:rsidR="005D698A" w:rsidRDefault="005D698A" w:rsidP="00C72779">
      <w:pPr>
        <w:jc w:val="both"/>
        <w:textAlignment w:val="baseline"/>
        <w:rPr>
          <w:rFonts w:ascii="Segoe UI" w:hAnsi="Segoe UI" w:cs="Segoe UI"/>
          <w:sz w:val="22"/>
          <w:szCs w:val="22"/>
          <w:lang w:eastAsia="es-CO"/>
        </w:rPr>
      </w:pPr>
    </w:p>
    <w:p w14:paraId="5F0C6460" w14:textId="478E7AD8" w:rsidR="008278E7" w:rsidRDefault="008278E7" w:rsidP="00C72779">
      <w:pPr>
        <w:jc w:val="both"/>
        <w:textAlignment w:val="baseline"/>
        <w:rPr>
          <w:rFonts w:ascii="Segoe UI" w:hAnsi="Segoe UI" w:cs="Segoe UI"/>
          <w:sz w:val="22"/>
          <w:szCs w:val="22"/>
          <w:lang w:eastAsia="es-CO"/>
        </w:rPr>
      </w:pPr>
    </w:p>
    <w:p w14:paraId="400B7C72" w14:textId="1D8A5EEF" w:rsidR="008278E7" w:rsidRDefault="008278E7" w:rsidP="00C72779">
      <w:pPr>
        <w:jc w:val="both"/>
        <w:textAlignment w:val="baseline"/>
        <w:rPr>
          <w:rFonts w:ascii="Segoe UI" w:hAnsi="Segoe UI" w:cs="Segoe UI"/>
          <w:sz w:val="22"/>
          <w:szCs w:val="22"/>
          <w:lang w:eastAsia="es-CO"/>
        </w:rPr>
      </w:pPr>
    </w:p>
    <w:p w14:paraId="6068AA99" w14:textId="6A4135EA" w:rsidR="008278E7" w:rsidRDefault="008278E7" w:rsidP="00C72779">
      <w:pPr>
        <w:jc w:val="both"/>
        <w:textAlignment w:val="baseline"/>
        <w:rPr>
          <w:rFonts w:ascii="Segoe UI" w:hAnsi="Segoe UI" w:cs="Segoe UI"/>
          <w:sz w:val="22"/>
          <w:szCs w:val="22"/>
          <w:lang w:eastAsia="es-CO"/>
        </w:rPr>
      </w:pPr>
    </w:p>
    <w:p w14:paraId="62BE3A62" w14:textId="54367B04" w:rsidR="008278E7" w:rsidRDefault="008278E7" w:rsidP="00C72779">
      <w:pPr>
        <w:jc w:val="both"/>
        <w:textAlignment w:val="baseline"/>
        <w:rPr>
          <w:rFonts w:ascii="Segoe UI" w:hAnsi="Segoe UI" w:cs="Segoe UI"/>
          <w:sz w:val="22"/>
          <w:szCs w:val="22"/>
          <w:lang w:eastAsia="es-CO"/>
        </w:rPr>
      </w:pPr>
    </w:p>
    <w:p w14:paraId="436378DD" w14:textId="77777777" w:rsidR="00EC2F31" w:rsidRDefault="00EC2F31" w:rsidP="00C72779">
      <w:pPr>
        <w:jc w:val="both"/>
        <w:textAlignment w:val="baseline"/>
        <w:rPr>
          <w:rFonts w:ascii="Segoe UI" w:hAnsi="Segoe UI" w:cs="Segoe UI"/>
          <w:sz w:val="22"/>
          <w:szCs w:val="22"/>
          <w:lang w:eastAsia="es-CO"/>
        </w:rPr>
      </w:pPr>
    </w:p>
    <w:p w14:paraId="368F39A5" w14:textId="77777777" w:rsidR="00EC2F31" w:rsidRDefault="00EC2F31" w:rsidP="00C72779">
      <w:pPr>
        <w:jc w:val="both"/>
        <w:textAlignment w:val="baseline"/>
        <w:rPr>
          <w:rFonts w:ascii="Segoe UI" w:hAnsi="Segoe UI" w:cs="Segoe UI"/>
          <w:sz w:val="22"/>
          <w:szCs w:val="22"/>
          <w:lang w:eastAsia="es-CO"/>
        </w:rPr>
      </w:pPr>
    </w:p>
    <w:p w14:paraId="62897B43" w14:textId="77777777" w:rsidR="00EC2F31" w:rsidRDefault="00EC2F31" w:rsidP="00C72779">
      <w:pPr>
        <w:jc w:val="both"/>
        <w:textAlignment w:val="baseline"/>
        <w:rPr>
          <w:rFonts w:ascii="Segoe UI" w:hAnsi="Segoe UI" w:cs="Segoe UI"/>
          <w:sz w:val="22"/>
          <w:szCs w:val="22"/>
          <w:lang w:eastAsia="es-CO"/>
        </w:rPr>
      </w:pPr>
    </w:p>
    <w:p w14:paraId="6AF19D6E" w14:textId="77777777" w:rsidR="00EC2F31" w:rsidRDefault="00EC2F31" w:rsidP="00C72779">
      <w:pPr>
        <w:jc w:val="both"/>
        <w:textAlignment w:val="baseline"/>
        <w:rPr>
          <w:rFonts w:ascii="Segoe UI" w:hAnsi="Segoe UI" w:cs="Segoe UI"/>
          <w:sz w:val="22"/>
          <w:szCs w:val="22"/>
          <w:lang w:eastAsia="es-CO"/>
        </w:rPr>
      </w:pPr>
    </w:p>
    <w:p w14:paraId="2CBC7AAC" w14:textId="77777777" w:rsidR="00EC2F31" w:rsidRDefault="00EC2F31" w:rsidP="00C72779">
      <w:pPr>
        <w:jc w:val="both"/>
        <w:textAlignment w:val="baseline"/>
        <w:rPr>
          <w:rFonts w:ascii="Segoe UI" w:hAnsi="Segoe UI" w:cs="Segoe UI"/>
          <w:sz w:val="22"/>
          <w:szCs w:val="22"/>
          <w:lang w:eastAsia="es-CO"/>
        </w:rPr>
      </w:pPr>
    </w:p>
    <w:p w14:paraId="7FA6F1B1" w14:textId="77777777" w:rsidR="00EC2F31" w:rsidRDefault="00EC2F31" w:rsidP="00C72779">
      <w:pPr>
        <w:jc w:val="both"/>
        <w:textAlignment w:val="baseline"/>
        <w:rPr>
          <w:rFonts w:ascii="Segoe UI" w:hAnsi="Segoe UI" w:cs="Segoe UI"/>
          <w:sz w:val="22"/>
          <w:szCs w:val="22"/>
          <w:lang w:eastAsia="es-CO"/>
        </w:rPr>
      </w:pPr>
    </w:p>
    <w:p w14:paraId="6AFA36E3" w14:textId="77777777" w:rsidR="00EC2F31" w:rsidRDefault="00EC2F31" w:rsidP="00C72779">
      <w:pPr>
        <w:jc w:val="both"/>
        <w:textAlignment w:val="baseline"/>
        <w:rPr>
          <w:rFonts w:ascii="Segoe UI" w:hAnsi="Segoe UI" w:cs="Segoe UI"/>
          <w:sz w:val="22"/>
          <w:szCs w:val="22"/>
          <w:lang w:eastAsia="es-CO"/>
        </w:rPr>
      </w:pPr>
    </w:p>
    <w:p w14:paraId="1C77107B" w14:textId="77777777" w:rsidR="00EC2F31" w:rsidRDefault="00EC2F31" w:rsidP="00C72779">
      <w:pPr>
        <w:jc w:val="both"/>
        <w:textAlignment w:val="baseline"/>
        <w:rPr>
          <w:rFonts w:ascii="Segoe UI" w:hAnsi="Segoe UI" w:cs="Segoe UI"/>
          <w:sz w:val="22"/>
          <w:szCs w:val="22"/>
          <w:lang w:eastAsia="es-CO"/>
        </w:rPr>
      </w:pPr>
    </w:p>
    <w:p w14:paraId="5F378ECB" w14:textId="77777777" w:rsidR="00EC2F31" w:rsidRDefault="00EC2F31" w:rsidP="00C72779">
      <w:pPr>
        <w:jc w:val="both"/>
        <w:textAlignment w:val="baseline"/>
        <w:rPr>
          <w:rFonts w:ascii="Segoe UI" w:hAnsi="Segoe UI" w:cs="Segoe UI"/>
          <w:sz w:val="22"/>
          <w:szCs w:val="22"/>
          <w:lang w:eastAsia="es-CO"/>
        </w:rPr>
      </w:pPr>
    </w:p>
    <w:p w14:paraId="7FAF50E5" w14:textId="77777777" w:rsidR="00EC2F31" w:rsidRDefault="00EC2F31" w:rsidP="00C72779">
      <w:pPr>
        <w:jc w:val="both"/>
        <w:textAlignment w:val="baseline"/>
        <w:rPr>
          <w:rFonts w:ascii="Segoe UI" w:hAnsi="Segoe UI" w:cs="Segoe UI"/>
          <w:sz w:val="22"/>
          <w:szCs w:val="22"/>
          <w:lang w:eastAsia="es-CO"/>
        </w:rPr>
      </w:pPr>
    </w:p>
    <w:p w14:paraId="3ED5381F" w14:textId="77777777" w:rsidR="00EC2F31" w:rsidRDefault="00EC2F31" w:rsidP="00C72779">
      <w:pPr>
        <w:jc w:val="both"/>
        <w:textAlignment w:val="baseline"/>
        <w:rPr>
          <w:rFonts w:ascii="Segoe UI" w:hAnsi="Segoe UI" w:cs="Segoe UI"/>
          <w:sz w:val="22"/>
          <w:szCs w:val="22"/>
          <w:lang w:eastAsia="es-CO"/>
        </w:rPr>
      </w:pPr>
    </w:p>
    <w:p w14:paraId="6C317E23" w14:textId="77777777" w:rsidR="00EC2F31" w:rsidRDefault="00EC2F31" w:rsidP="00C72779">
      <w:pPr>
        <w:jc w:val="both"/>
        <w:textAlignment w:val="baseline"/>
        <w:rPr>
          <w:rFonts w:ascii="Segoe UI" w:hAnsi="Segoe UI" w:cs="Segoe UI"/>
          <w:sz w:val="22"/>
          <w:szCs w:val="22"/>
          <w:lang w:eastAsia="es-CO"/>
        </w:rPr>
      </w:pPr>
    </w:p>
    <w:p w14:paraId="290D8538" w14:textId="77777777" w:rsidR="00EC2F31" w:rsidRDefault="00EC2F31" w:rsidP="00C72779">
      <w:pPr>
        <w:jc w:val="both"/>
        <w:textAlignment w:val="baseline"/>
        <w:rPr>
          <w:rFonts w:ascii="Segoe UI" w:hAnsi="Segoe UI" w:cs="Segoe UI"/>
          <w:sz w:val="22"/>
          <w:szCs w:val="22"/>
          <w:lang w:eastAsia="es-CO"/>
        </w:rPr>
      </w:pPr>
    </w:p>
    <w:p w14:paraId="62E887C4" w14:textId="77777777" w:rsidR="00EC2F31" w:rsidRDefault="00EC2F31" w:rsidP="00C72779">
      <w:pPr>
        <w:jc w:val="both"/>
        <w:textAlignment w:val="baseline"/>
        <w:rPr>
          <w:rFonts w:ascii="Segoe UI" w:hAnsi="Segoe UI" w:cs="Segoe UI"/>
          <w:sz w:val="22"/>
          <w:szCs w:val="22"/>
          <w:lang w:eastAsia="es-CO"/>
        </w:rPr>
      </w:pPr>
    </w:p>
    <w:p w14:paraId="626292B2" w14:textId="77777777" w:rsidR="00EC2F31" w:rsidRDefault="00EC2F31" w:rsidP="00C72779">
      <w:pPr>
        <w:jc w:val="both"/>
        <w:textAlignment w:val="baseline"/>
        <w:rPr>
          <w:rFonts w:ascii="Segoe UI" w:hAnsi="Segoe UI" w:cs="Segoe UI"/>
          <w:sz w:val="22"/>
          <w:szCs w:val="22"/>
          <w:lang w:eastAsia="es-CO"/>
        </w:rPr>
      </w:pPr>
    </w:p>
    <w:p w14:paraId="1C83092C" w14:textId="77777777" w:rsidR="00EC2F31" w:rsidRDefault="00EC2F31" w:rsidP="00C72779">
      <w:pPr>
        <w:jc w:val="both"/>
        <w:textAlignment w:val="baseline"/>
        <w:rPr>
          <w:rFonts w:ascii="Segoe UI" w:hAnsi="Segoe UI" w:cs="Segoe UI"/>
          <w:sz w:val="22"/>
          <w:szCs w:val="22"/>
          <w:lang w:eastAsia="es-CO"/>
        </w:rPr>
      </w:pPr>
    </w:p>
    <w:p w14:paraId="720C7CA8" w14:textId="77777777" w:rsidR="00EC2F31" w:rsidRDefault="00EC2F31" w:rsidP="00C72779">
      <w:pPr>
        <w:jc w:val="both"/>
        <w:textAlignment w:val="baseline"/>
        <w:rPr>
          <w:rFonts w:ascii="Segoe UI" w:hAnsi="Segoe UI" w:cs="Segoe UI"/>
          <w:sz w:val="22"/>
          <w:szCs w:val="22"/>
          <w:lang w:eastAsia="es-CO"/>
        </w:rPr>
      </w:pPr>
    </w:p>
    <w:p w14:paraId="0C13A56D" w14:textId="77777777" w:rsidR="00EC2F31" w:rsidRDefault="00EC2F31" w:rsidP="00C72779">
      <w:pPr>
        <w:jc w:val="both"/>
        <w:textAlignment w:val="baseline"/>
        <w:rPr>
          <w:rFonts w:ascii="Segoe UI" w:hAnsi="Segoe UI" w:cs="Segoe UI"/>
          <w:sz w:val="22"/>
          <w:szCs w:val="22"/>
          <w:lang w:eastAsia="es-CO"/>
        </w:rPr>
      </w:pPr>
    </w:p>
    <w:p w14:paraId="55461899" w14:textId="77777777" w:rsidR="00EC2F31" w:rsidRDefault="00EC2F31" w:rsidP="00C72779">
      <w:pPr>
        <w:jc w:val="both"/>
        <w:textAlignment w:val="baseline"/>
        <w:rPr>
          <w:rFonts w:ascii="Segoe UI" w:hAnsi="Segoe UI" w:cs="Segoe UI"/>
          <w:sz w:val="22"/>
          <w:szCs w:val="22"/>
          <w:lang w:eastAsia="es-CO"/>
        </w:rPr>
      </w:pPr>
    </w:p>
    <w:p w14:paraId="67129A32" w14:textId="77777777" w:rsidR="00EC2F31" w:rsidRDefault="00EC2F31" w:rsidP="00C72779">
      <w:pPr>
        <w:jc w:val="both"/>
        <w:textAlignment w:val="baseline"/>
        <w:rPr>
          <w:rFonts w:ascii="Segoe UI" w:hAnsi="Segoe UI" w:cs="Segoe UI"/>
          <w:sz w:val="22"/>
          <w:szCs w:val="22"/>
          <w:lang w:eastAsia="es-CO"/>
        </w:rPr>
      </w:pPr>
    </w:p>
    <w:p w14:paraId="7EC389D6" w14:textId="77777777" w:rsidR="00EC2F31" w:rsidRDefault="00EC2F31" w:rsidP="00C72779">
      <w:pPr>
        <w:jc w:val="both"/>
        <w:textAlignment w:val="baseline"/>
        <w:rPr>
          <w:rFonts w:ascii="Segoe UI" w:hAnsi="Segoe UI" w:cs="Segoe UI"/>
          <w:sz w:val="22"/>
          <w:szCs w:val="22"/>
          <w:lang w:eastAsia="es-CO"/>
        </w:rPr>
      </w:pPr>
    </w:p>
    <w:p w14:paraId="714E24F0" w14:textId="77777777" w:rsidR="00EC2F31" w:rsidRDefault="00EC2F31" w:rsidP="00C72779">
      <w:pPr>
        <w:jc w:val="both"/>
        <w:textAlignment w:val="baseline"/>
        <w:rPr>
          <w:rFonts w:ascii="Segoe UI" w:hAnsi="Segoe UI" w:cs="Segoe UI"/>
          <w:sz w:val="22"/>
          <w:szCs w:val="22"/>
          <w:lang w:eastAsia="es-CO"/>
        </w:rPr>
      </w:pPr>
    </w:p>
    <w:p w14:paraId="59D42571" w14:textId="73C980C3" w:rsidR="00EC2F31" w:rsidRDefault="00EC2F31" w:rsidP="00C72779">
      <w:pPr>
        <w:jc w:val="both"/>
        <w:textAlignment w:val="baseline"/>
        <w:rPr>
          <w:rFonts w:ascii="Segoe UI" w:hAnsi="Segoe UI" w:cs="Segoe UI"/>
          <w:sz w:val="22"/>
          <w:szCs w:val="22"/>
          <w:lang w:eastAsia="es-CO"/>
        </w:rPr>
      </w:pPr>
    </w:p>
    <w:p w14:paraId="0B1FF273" w14:textId="77777777" w:rsidR="005A1DC6" w:rsidRPr="00A6302C" w:rsidRDefault="00EC2F31" w:rsidP="005A1DC6">
      <w:pPr>
        <w:pStyle w:val="Ttulo2"/>
        <w:numPr>
          <w:ilvl w:val="1"/>
          <w:numId w:val="22"/>
        </w:numPr>
        <w:spacing w:line="240" w:lineRule="auto"/>
        <w:jc w:val="left"/>
        <w:rPr>
          <w:sz w:val="22"/>
          <w:szCs w:val="22"/>
        </w:rPr>
      </w:pPr>
      <w:bookmarkStart w:id="200" w:name="_Toc88677064"/>
      <w:r w:rsidRPr="00A6302C">
        <w:rPr>
          <w:sz w:val="22"/>
          <w:szCs w:val="22"/>
        </w:rPr>
        <w:lastRenderedPageBreak/>
        <w:t>OFICINA ASESORA JURÍDICA</w:t>
      </w:r>
      <w:bookmarkEnd w:id="200"/>
    </w:p>
    <w:p w14:paraId="3A2B598D" w14:textId="5EA7D705" w:rsidR="00EC2F31" w:rsidRPr="00A6302C" w:rsidRDefault="00EC2F31" w:rsidP="00A6302C">
      <w:pPr>
        <w:pStyle w:val="Prrafodelista"/>
        <w:numPr>
          <w:ilvl w:val="2"/>
          <w:numId w:val="22"/>
        </w:numPr>
        <w:rPr>
          <w:b/>
          <w:sz w:val="22"/>
          <w:szCs w:val="22"/>
        </w:rPr>
      </w:pPr>
      <w:r w:rsidRPr="00A6302C">
        <w:rPr>
          <w:b/>
          <w:sz w:val="22"/>
          <w:szCs w:val="22"/>
        </w:rPr>
        <w:t xml:space="preserve">GENERALIDADES </w:t>
      </w:r>
    </w:p>
    <w:p w14:paraId="2C175396" w14:textId="61127974" w:rsidR="00EC2F31" w:rsidRDefault="00EC2F31" w:rsidP="00EC2F31">
      <w:pPr>
        <w:spacing w:before="240"/>
        <w:jc w:val="both"/>
        <w:rPr>
          <w:rFonts w:eastAsia="Arial" w:cs="Arial"/>
          <w:color w:val="000000" w:themeColor="text1"/>
          <w:sz w:val="22"/>
          <w:szCs w:val="22"/>
        </w:rPr>
      </w:pPr>
      <w:r w:rsidRPr="69A00A26">
        <w:rPr>
          <w:rFonts w:eastAsia="Arial" w:cs="Arial"/>
          <w:color w:val="000000" w:themeColor="text1"/>
          <w:sz w:val="22"/>
          <w:szCs w:val="22"/>
        </w:rPr>
        <w:t>Le corresponde a la Gestión Jurídica asesorar a la Dirección General y a las diferentes dependencias del Instituto en el análisis y ejecución de trámites jurídicos, que traten entre otros, sobre proyectos de ley, decretos y en general actos administrativos; así como conceptuar jurídicamente acerca de los asuntos formulados por las partes interesadas. De igual forma, coordina la atención de los procesos judiciales y extrajudiciales en que sea parte el IGAC y lleva la representación de este en dichos procesos, y recopila los conceptos, jurisprudencia y normativa del sector, con el fin de apoyar en el logro de los objetivos institucionales.</w:t>
      </w:r>
    </w:p>
    <w:p w14:paraId="15EE6169" w14:textId="77777777" w:rsidR="00EC2F31" w:rsidRDefault="00EC2F31" w:rsidP="00EC2F31">
      <w:pPr>
        <w:jc w:val="both"/>
        <w:rPr>
          <w:rFonts w:eastAsia="Arial" w:cs="Arial"/>
          <w:color w:val="000000" w:themeColor="text1"/>
          <w:sz w:val="22"/>
          <w:szCs w:val="22"/>
        </w:rPr>
      </w:pPr>
    </w:p>
    <w:p w14:paraId="751BAA4B" w14:textId="77777777" w:rsidR="00EC2F31" w:rsidRDefault="00EC2F31" w:rsidP="00EC2F31">
      <w:pPr>
        <w:jc w:val="both"/>
        <w:rPr>
          <w:rFonts w:eastAsia="Arial" w:cs="Arial"/>
          <w:color w:val="000000" w:themeColor="text1"/>
          <w:sz w:val="22"/>
          <w:szCs w:val="22"/>
        </w:rPr>
      </w:pPr>
      <w:r w:rsidRPr="69A00A26">
        <w:rPr>
          <w:rFonts w:eastAsia="Arial" w:cs="Arial"/>
          <w:color w:val="000000" w:themeColor="text1"/>
          <w:sz w:val="22"/>
          <w:szCs w:val="22"/>
        </w:rPr>
        <w:t>En la actualidad, soporta sus actuaciones en la política de Defensa Jurídica, la cual busca que la entidad oriente sus actividades en una gestión eficiente y eficaz que permita lograr de manera sostenible la prevención y disminución del número de demandas en su contra y del valor de las condenas a su cargo. Lo anterior aunado a un mejoramiento de su desempeño en la etapa judicial y en la recuperación por vía de la acción de repetición o del llamamiento en garantía con fines de repetición de las sumas pagadas por sentencias, conciliaciones o laudos arbitrales cuando a ello haya lugar. Esta se inscribe en el marco del Sistema de Defensa Jurídica del Estado, que busca garantizar la articulación institucional para la implementación de la política pública de defensa jurídica en el país.</w:t>
      </w:r>
    </w:p>
    <w:p w14:paraId="41610571" w14:textId="77777777" w:rsidR="00EC2F31" w:rsidRDefault="00EC2F31" w:rsidP="00EC2F31">
      <w:pPr>
        <w:jc w:val="both"/>
        <w:rPr>
          <w:rFonts w:eastAsia="Arial" w:cs="Arial"/>
          <w:color w:val="000000" w:themeColor="text1"/>
          <w:sz w:val="22"/>
          <w:szCs w:val="22"/>
        </w:rPr>
      </w:pPr>
    </w:p>
    <w:p w14:paraId="6D87C10C" w14:textId="77777777" w:rsidR="00A6302C" w:rsidRDefault="00EC2F31" w:rsidP="00A6302C">
      <w:pPr>
        <w:jc w:val="both"/>
        <w:rPr>
          <w:rFonts w:eastAsia="Arial" w:cs="Arial"/>
          <w:color w:val="000000" w:themeColor="text1"/>
          <w:sz w:val="22"/>
          <w:szCs w:val="22"/>
        </w:rPr>
      </w:pPr>
      <w:r w:rsidRPr="69A00A26">
        <w:rPr>
          <w:rFonts w:eastAsia="Arial" w:cs="Arial"/>
          <w:color w:val="000000" w:themeColor="text1"/>
          <w:sz w:val="22"/>
          <w:szCs w:val="22"/>
        </w:rPr>
        <w:t>Al inicio de la gestión, se identificó la inexistencia de una política de gestión jurídica que en efecto persiguiera la prevención de los daños antijurídicos, así como la desactualización de los procedimientos, la desactualización de los procesos judiciales en el Sistema Único de Gestión e Información Litigiosa eKOGUI, así como una gestión documental desactualizada y sin el cumplimiento de normas archivísticas.</w:t>
      </w:r>
    </w:p>
    <w:p w14:paraId="55C7BA22" w14:textId="77777777" w:rsidR="00A6302C" w:rsidRDefault="00A6302C" w:rsidP="00A6302C">
      <w:pPr>
        <w:jc w:val="both"/>
        <w:rPr>
          <w:rFonts w:eastAsia="Arial" w:cs="Arial"/>
          <w:color w:val="000000" w:themeColor="text1"/>
          <w:sz w:val="22"/>
          <w:szCs w:val="22"/>
        </w:rPr>
      </w:pPr>
    </w:p>
    <w:p w14:paraId="5C2A121B" w14:textId="05E76000" w:rsidR="00A6302C" w:rsidRPr="00A6302C" w:rsidRDefault="00EC2F31" w:rsidP="00A6302C">
      <w:pPr>
        <w:pStyle w:val="Prrafodelista"/>
        <w:numPr>
          <w:ilvl w:val="3"/>
          <w:numId w:val="22"/>
        </w:numPr>
        <w:rPr>
          <w:b/>
          <w:bCs/>
          <w:sz w:val="22"/>
          <w:szCs w:val="22"/>
        </w:rPr>
      </w:pPr>
      <w:r w:rsidRPr="00A6302C">
        <w:rPr>
          <w:b/>
          <w:bCs/>
          <w:sz w:val="22"/>
          <w:szCs w:val="22"/>
        </w:rPr>
        <w:t xml:space="preserve">PRINCIPALES FUNCIONES </w:t>
      </w:r>
    </w:p>
    <w:p w14:paraId="1980A65B" w14:textId="77777777" w:rsidR="00EC2F31" w:rsidRDefault="00EC2F31" w:rsidP="00EC2F31">
      <w:pPr>
        <w:pStyle w:val="Lista"/>
      </w:pPr>
    </w:p>
    <w:p w14:paraId="777AB9BC" w14:textId="77777777" w:rsidR="00EC2F31" w:rsidRDefault="00EC2F31" w:rsidP="00EC2F31">
      <w:pPr>
        <w:jc w:val="both"/>
        <w:rPr>
          <w:rFonts w:eastAsia="Arial" w:cs="Arial"/>
          <w:color w:val="000000" w:themeColor="text1"/>
          <w:sz w:val="22"/>
          <w:szCs w:val="22"/>
        </w:rPr>
      </w:pPr>
      <w:r w:rsidRPr="69A00A26">
        <w:rPr>
          <w:rFonts w:eastAsia="Arial" w:cs="Arial"/>
          <w:color w:val="000000" w:themeColor="text1"/>
          <w:sz w:val="22"/>
          <w:szCs w:val="22"/>
        </w:rPr>
        <w:t>De conformidad con el artículo 12 del Decreto 846 de 2021, la Oficina Asesora Jurídica</w:t>
      </w:r>
      <w:r>
        <w:rPr>
          <w:rFonts w:eastAsia="Arial" w:cs="Arial"/>
          <w:color w:val="000000" w:themeColor="text1"/>
          <w:sz w:val="22"/>
          <w:szCs w:val="22"/>
        </w:rPr>
        <w:t xml:space="preserve"> tiene las funciones de:</w:t>
      </w:r>
    </w:p>
    <w:p w14:paraId="3A3468D8" w14:textId="77777777" w:rsidR="00EC2F31" w:rsidRPr="00D62E5D" w:rsidRDefault="00EC2F31" w:rsidP="000A20EE">
      <w:pPr>
        <w:pStyle w:val="Prrafodelista"/>
        <w:numPr>
          <w:ilvl w:val="0"/>
          <w:numId w:val="190"/>
        </w:numPr>
      </w:pPr>
      <w:r>
        <w:rPr>
          <w:rFonts w:eastAsia="Arial" w:cs="Arial"/>
          <w:color w:val="000000" w:themeColor="text1"/>
          <w:sz w:val="22"/>
          <w:szCs w:val="22"/>
        </w:rPr>
        <w:t>A</w:t>
      </w:r>
      <w:r w:rsidRPr="00D62E5D">
        <w:rPr>
          <w:rFonts w:eastAsia="Arial" w:cs="Arial"/>
          <w:color w:val="000000" w:themeColor="text1"/>
          <w:sz w:val="22"/>
          <w:szCs w:val="22"/>
        </w:rPr>
        <w:t>sesoramiento al Instituto en la definición de estrategias y conceptos en materia jurídica de co</w:t>
      </w:r>
      <w:r>
        <w:rPr>
          <w:rFonts w:eastAsia="Arial" w:cs="Arial"/>
          <w:color w:val="000000" w:themeColor="text1"/>
          <w:sz w:val="22"/>
          <w:szCs w:val="22"/>
        </w:rPr>
        <w:t>mpetencia de la Entidad.</w:t>
      </w:r>
    </w:p>
    <w:p w14:paraId="07A6F094" w14:textId="77777777" w:rsidR="00EC2F31" w:rsidRPr="00D62E5D" w:rsidRDefault="00EC2F31" w:rsidP="000A20EE">
      <w:pPr>
        <w:pStyle w:val="Prrafodelista"/>
        <w:numPr>
          <w:ilvl w:val="0"/>
          <w:numId w:val="190"/>
        </w:numPr>
      </w:pPr>
      <w:r>
        <w:rPr>
          <w:rFonts w:eastAsia="Arial" w:cs="Arial"/>
          <w:color w:val="000000" w:themeColor="text1"/>
          <w:sz w:val="22"/>
          <w:szCs w:val="22"/>
        </w:rPr>
        <w:t>R</w:t>
      </w:r>
      <w:r w:rsidRPr="00D62E5D">
        <w:rPr>
          <w:rFonts w:eastAsia="Arial" w:cs="Arial"/>
          <w:color w:val="000000" w:themeColor="text1"/>
          <w:sz w:val="22"/>
          <w:szCs w:val="22"/>
        </w:rPr>
        <w:t>eparación y ejecución de decisiones en materia legal, así como la dirección y representación jurídica del Instituto, en el marco de la pr</w:t>
      </w:r>
      <w:r>
        <w:rPr>
          <w:rFonts w:eastAsia="Arial" w:cs="Arial"/>
          <w:color w:val="000000" w:themeColor="text1"/>
          <w:sz w:val="22"/>
          <w:szCs w:val="22"/>
        </w:rPr>
        <w:t>evención del daño antijurídico.</w:t>
      </w:r>
    </w:p>
    <w:p w14:paraId="2A680388" w14:textId="77777777" w:rsidR="00EC2F31" w:rsidRPr="00D62E5D" w:rsidRDefault="00EC2F31" w:rsidP="000A20EE">
      <w:pPr>
        <w:pStyle w:val="Prrafodelista"/>
        <w:numPr>
          <w:ilvl w:val="0"/>
          <w:numId w:val="190"/>
        </w:numPr>
      </w:pPr>
      <w:r w:rsidRPr="00D62E5D">
        <w:rPr>
          <w:rFonts w:eastAsia="Arial" w:cs="Arial"/>
          <w:color w:val="000000" w:themeColor="text1"/>
          <w:sz w:val="22"/>
          <w:szCs w:val="22"/>
        </w:rPr>
        <w:t>Así mismo, estudia y conceptúa proyectos de ley y de decreto</w:t>
      </w:r>
      <w:r>
        <w:rPr>
          <w:rFonts w:eastAsia="Arial" w:cs="Arial"/>
          <w:color w:val="000000" w:themeColor="text1"/>
          <w:sz w:val="22"/>
          <w:szCs w:val="22"/>
        </w:rPr>
        <w:t xml:space="preserve"> sometidos a su consideración.</w:t>
      </w:r>
    </w:p>
    <w:p w14:paraId="735C40DC" w14:textId="77777777" w:rsidR="00EC2F31" w:rsidRPr="00D62E5D" w:rsidRDefault="00EC2F31" w:rsidP="000A20EE">
      <w:pPr>
        <w:pStyle w:val="Prrafodelista"/>
        <w:numPr>
          <w:ilvl w:val="0"/>
          <w:numId w:val="190"/>
        </w:numPr>
      </w:pPr>
      <w:r>
        <w:rPr>
          <w:rFonts w:eastAsia="Arial" w:cs="Arial"/>
          <w:color w:val="000000" w:themeColor="text1"/>
          <w:sz w:val="22"/>
          <w:szCs w:val="22"/>
        </w:rPr>
        <w:t>R</w:t>
      </w:r>
      <w:r w:rsidRPr="00D62E5D">
        <w:rPr>
          <w:rFonts w:eastAsia="Arial" w:cs="Arial"/>
          <w:color w:val="000000" w:themeColor="text1"/>
          <w:sz w:val="22"/>
          <w:szCs w:val="22"/>
        </w:rPr>
        <w:t>ealiza la revisión de los actos administrativos de carácter general que deban expedir el Consejo D</w:t>
      </w:r>
      <w:r>
        <w:rPr>
          <w:rFonts w:eastAsia="Arial" w:cs="Arial"/>
          <w:color w:val="000000" w:themeColor="text1"/>
          <w:sz w:val="22"/>
          <w:szCs w:val="22"/>
        </w:rPr>
        <w:t>irectivo y Dirección General.</w:t>
      </w:r>
    </w:p>
    <w:p w14:paraId="35312A90" w14:textId="77777777" w:rsidR="00EC2F31" w:rsidRPr="00D62E5D" w:rsidRDefault="00EC2F31" w:rsidP="000A20EE">
      <w:pPr>
        <w:pStyle w:val="Prrafodelista"/>
        <w:numPr>
          <w:ilvl w:val="0"/>
          <w:numId w:val="190"/>
        </w:numPr>
      </w:pPr>
      <w:r>
        <w:rPr>
          <w:rFonts w:eastAsia="Arial" w:cs="Arial"/>
          <w:color w:val="000000" w:themeColor="text1"/>
          <w:sz w:val="22"/>
          <w:szCs w:val="22"/>
        </w:rPr>
        <w:t>D</w:t>
      </w:r>
      <w:r w:rsidRPr="00D62E5D">
        <w:rPr>
          <w:rFonts w:eastAsia="Arial" w:cs="Arial"/>
          <w:color w:val="000000" w:themeColor="text1"/>
          <w:sz w:val="22"/>
          <w:szCs w:val="22"/>
        </w:rPr>
        <w:t xml:space="preserve">e los contratos para la venta de productos y servicios, efectuar el cobro coactivo, efectuar los trámites de registro de propiedad intelectual y derechos de autor. </w:t>
      </w:r>
    </w:p>
    <w:p w14:paraId="3A3AACDB" w14:textId="77777777" w:rsidR="00EC2F31" w:rsidRDefault="00EC2F31" w:rsidP="000A20EE">
      <w:pPr>
        <w:pStyle w:val="Prrafodelista"/>
        <w:numPr>
          <w:ilvl w:val="0"/>
          <w:numId w:val="190"/>
        </w:numPr>
        <w:rPr>
          <w:rFonts w:eastAsia="Arial" w:cs="Arial"/>
          <w:color w:val="000000" w:themeColor="text1"/>
          <w:sz w:val="22"/>
          <w:szCs w:val="22"/>
        </w:rPr>
      </w:pPr>
      <w:r w:rsidRPr="00D62E5D">
        <w:rPr>
          <w:rFonts w:eastAsia="Arial" w:cs="Arial"/>
          <w:color w:val="000000" w:themeColor="text1"/>
          <w:sz w:val="22"/>
          <w:szCs w:val="22"/>
        </w:rPr>
        <w:t>Finalmente, sustancia para la firma del director general, la segunda instancia de los procesos disciplinarios contra los servidores y ex servidores del instituto.</w:t>
      </w:r>
    </w:p>
    <w:p w14:paraId="78061F87" w14:textId="77777777" w:rsidR="00EC2F31" w:rsidRDefault="00EC2F31" w:rsidP="00EC2F31">
      <w:pPr>
        <w:pStyle w:val="Lista"/>
      </w:pPr>
    </w:p>
    <w:p w14:paraId="1DF4734F" w14:textId="77777777" w:rsidR="00EC2F31" w:rsidRDefault="00EC2F31" w:rsidP="00EC2F31">
      <w:pPr>
        <w:pStyle w:val="Lista"/>
      </w:pPr>
    </w:p>
    <w:p w14:paraId="45F85B84" w14:textId="77777777" w:rsidR="00EC2F31" w:rsidRDefault="00EC2F31" w:rsidP="00EC2F31">
      <w:pPr>
        <w:pStyle w:val="Lista"/>
      </w:pPr>
    </w:p>
    <w:p w14:paraId="63DBAB2C" w14:textId="77777777" w:rsidR="00EC2F31" w:rsidRDefault="00EC2F31" w:rsidP="00EC2F31">
      <w:pPr>
        <w:pStyle w:val="Lista"/>
      </w:pPr>
    </w:p>
    <w:p w14:paraId="7D42971D" w14:textId="77777777" w:rsidR="00EC2F31" w:rsidRDefault="00EC2F31" w:rsidP="00EC2F31">
      <w:pPr>
        <w:pStyle w:val="Lista"/>
      </w:pPr>
    </w:p>
    <w:p w14:paraId="7EAC3575" w14:textId="185A8159" w:rsidR="00EC2F31" w:rsidRDefault="00EC2F31" w:rsidP="00EC2F31">
      <w:pPr>
        <w:pStyle w:val="Lista"/>
      </w:pPr>
    </w:p>
    <w:p w14:paraId="6320E04A" w14:textId="7F49501E" w:rsidR="00A6302C" w:rsidRDefault="00A6302C" w:rsidP="00EC2F31">
      <w:pPr>
        <w:pStyle w:val="Lista"/>
      </w:pPr>
    </w:p>
    <w:p w14:paraId="3A939BEA" w14:textId="77777777" w:rsidR="00A6302C" w:rsidRDefault="00A6302C" w:rsidP="00EC2F31">
      <w:pPr>
        <w:pStyle w:val="Lista"/>
      </w:pPr>
    </w:p>
    <w:p w14:paraId="2F8BC882" w14:textId="77777777" w:rsidR="00EC2F31" w:rsidRPr="00D62E5D" w:rsidRDefault="00EC2F31" w:rsidP="00EC2F31">
      <w:pPr>
        <w:pStyle w:val="Lista"/>
      </w:pPr>
    </w:p>
    <w:p w14:paraId="0D038FCB" w14:textId="77777777" w:rsidR="00A6302C" w:rsidRDefault="00A6302C" w:rsidP="00A6302C">
      <w:pPr>
        <w:rPr>
          <w:rFonts w:cs="Tahoma"/>
          <w:sz w:val="20"/>
          <w:szCs w:val="20"/>
        </w:rPr>
      </w:pPr>
    </w:p>
    <w:p w14:paraId="33CA9555" w14:textId="19183813" w:rsidR="00A6302C" w:rsidRPr="00A6302C" w:rsidRDefault="00EC2F31" w:rsidP="00A6302C">
      <w:pPr>
        <w:pStyle w:val="Prrafodelista"/>
        <w:numPr>
          <w:ilvl w:val="3"/>
          <w:numId w:val="22"/>
        </w:numPr>
        <w:rPr>
          <w:b/>
          <w:bCs/>
          <w:sz w:val="22"/>
          <w:szCs w:val="22"/>
        </w:rPr>
      </w:pPr>
      <w:r w:rsidRPr="00A6302C">
        <w:rPr>
          <w:b/>
          <w:bCs/>
          <w:sz w:val="22"/>
          <w:szCs w:val="22"/>
        </w:rPr>
        <w:t>ESTRUCTURA FUNCIONAL OFICINA ASESORA JURÍDICA</w:t>
      </w:r>
    </w:p>
    <w:p w14:paraId="6F2DFAC7" w14:textId="77777777" w:rsidR="00EC2F31" w:rsidRPr="00A6302C" w:rsidRDefault="00EC2F31" w:rsidP="00EC2F31">
      <w:pPr>
        <w:pStyle w:val="Prrafodelista"/>
        <w:ind w:left="1488"/>
        <w:rPr>
          <w:rFonts w:cs="Arial"/>
          <w:b/>
          <w:bCs/>
          <w:color w:val="000000" w:themeColor="text1"/>
          <w:szCs w:val="22"/>
        </w:rPr>
      </w:pPr>
    </w:p>
    <w:p w14:paraId="51FAA8C4" w14:textId="3C69067B" w:rsidR="00EC2F31" w:rsidRPr="00A6302C" w:rsidRDefault="00EC2F31" w:rsidP="00A6302C">
      <w:pPr>
        <w:pStyle w:val="Descripcin"/>
        <w:jc w:val="center"/>
        <w:rPr>
          <w:rFonts w:ascii="Arial" w:hAnsi="Arial" w:cs="Arial"/>
          <w:b/>
          <w:bCs/>
          <w:i w:val="0"/>
          <w:color w:val="000000" w:themeColor="text1"/>
          <w:sz w:val="14"/>
        </w:rPr>
      </w:pPr>
      <w:bookmarkStart w:id="201" w:name="_Toc88677219"/>
      <w:r w:rsidRPr="00A6302C">
        <w:rPr>
          <w:rFonts w:ascii="Arial" w:hAnsi="Arial" w:cs="Arial"/>
          <w:b/>
          <w:i w:val="0"/>
          <w:noProof/>
          <w:color w:val="000000" w:themeColor="text1"/>
          <w:sz w:val="16"/>
          <w:lang w:eastAsia="es-CO"/>
        </w:rPr>
        <w:drawing>
          <wp:anchor distT="0" distB="0" distL="114300" distR="114300" simplePos="0" relativeHeight="251658263" behindDoc="0" locked="0" layoutInCell="1" allowOverlap="1" wp14:anchorId="00309F0A" wp14:editId="6451FB80">
            <wp:simplePos x="0" y="0"/>
            <wp:positionH relativeFrom="margin">
              <wp:align>center</wp:align>
            </wp:positionH>
            <wp:positionV relativeFrom="paragraph">
              <wp:posOffset>161290</wp:posOffset>
            </wp:positionV>
            <wp:extent cx="5724524" cy="4962526"/>
            <wp:effectExtent l="0" t="0" r="0" b="0"/>
            <wp:wrapSquare wrapText="bothSides"/>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4">
                      <a:extLst>
                        <a:ext uri="{28A0092B-C50C-407E-A947-70E740481C1C}">
                          <a14:useLocalDpi xmlns:a14="http://schemas.microsoft.com/office/drawing/2010/main" val="0"/>
                        </a:ext>
                      </a:extLst>
                    </a:blip>
                    <a:stretch>
                      <a:fillRect/>
                    </a:stretch>
                  </pic:blipFill>
                  <pic:spPr>
                    <a:xfrm>
                      <a:off x="0" y="0"/>
                      <a:ext cx="5724524" cy="4962526"/>
                    </a:xfrm>
                    <a:prstGeom prst="rect">
                      <a:avLst/>
                    </a:prstGeom>
                  </pic:spPr>
                </pic:pic>
              </a:graphicData>
            </a:graphic>
            <wp14:sizeRelH relativeFrom="page">
              <wp14:pctWidth>0</wp14:pctWidth>
            </wp14:sizeRelH>
            <wp14:sizeRelV relativeFrom="page">
              <wp14:pctHeight>0</wp14:pctHeight>
            </wp14:sizeRelV>
          </wp:anchor>
        </w:drawing>
      </w:r>
      <w:r w:rsidR="00A6302C" w:rsidRPr="00A6302C">
        <w:rPr>
          <w:rFonts w:ascii="Arial" w:hAnsi="Arial" w:cs="Arial"/>
          <w:b/>
          <w:i w:val="0"/>
          <w:color w:val="000000" w:themeColor="text1"/>
          <w:sz w:val="16"/>
        </w:rPr>
        <w:t xml:space="preserve">Ilustración </w:t>
      </w:r>
      <w:r w:rsidR="00A6302C" w:rsidRPr="00A6302C">
        <w:rPr>
          <w:rFonts w:ascii="Arial" w:hAnsi="Arial" w:cs="Arial"/>
          <w:b/>
          <w:i w:val="0"/>
          <w:color w:val="000000" w:themeColor="text1"/>
          <w:sz w:val="16"/>
        </w:rPr>
        <w:fldChar w:fldCharType="begin"/>
      </w:r>
      <w:r w:rsidR="00A6302C" w:rsidRPr="00A6302C">
        <w:rPr>
          <w:rFonts w:ascii="Arial" w:hAnsi="Arial" w:cs="Arial"/>
          <w:b/>
          <w:i w:val="0"/>
          <w:color w:val="000000" w:themeColor="text1"/>
          <w:sz w:val="16"/>
        </w:rPr>
        <w:instrText xml:space="preserve"> SEQ Ilustración \* ARABIC </w:instrText>
      </w:r>
      <w:r w:rsidR="00A6302C"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63</w:t>
      </w:r>
      <w:r w:rsidR="00A6302C" w:rsidRPr="00A6302C">
        <w:rPr>
          <w:rFonts w:ascii="Arial" w:hAnsi="Arial" w:cs="Arial"/>
          <w:b/>
          <w:i w:val="0"/>
          <w:color w:val="000000" w:themeColor="text1"/>
          <w:sz w:val="16"/>
        </w:rPr>
        <w:fldChar w:fldCharType="end"/>
      </w:r>
      <w:r w:rsidR="00A6302C" w:rsidRPr="00A6302C">
        <w:rPr>
          <w:rFonts w:ascii="Arial" w:hAnsi="Arial" w:cs="Arial"/>
          <w:b/>
          <w:i w:val="0"/>
          <w:color w:val="000000" w:themeColor="text1"/>
          <w:sz w:val="16"/>
        </w:rPr>
        <w:t>. Estructura Funcional OAJ</w:t>
      </w:r>
      <w:bookmarkEnd w:id="201"/>
    </w:p>
    <w:p w14:paraId="182951FB" w14:textId="77777777" w:rsidR="00EC2F31" w:rsidRPr="00D62E5D" w:rsidRDefault="00EC2F31" w:rsidP="00EC2F31">
      <w:pPr>
        <w:jc w:val="center"/>
        <w:rPr>
          <w:b/>
          <w:sz w:val="16"/>
        </w:rPr>
      </w:pPr>
      <w:r w:rsidRPr="00D62E5D">
        <w:rPr>
          <w:b/>
          <w:sz w:val="16"/>
        </w:rPr>
        <w:t>Fuente: Oficina Asesora Jurídica</w:t>
      </w:r>
    </w:p>
    <w:p w14:paraId="043AB772" w14:textId="77777777" w:rsidR="00EC2F31" w:rsidRDefault="00EC2F31" w:rsidP="00EC2F31">
      <w:pPr>
        <w:ind w:left="1252"/>
        <w:rPr>
          <w:b/>
          <w:bCs/>
          <w:sz w:val="22"/>
          <w:szCs w:val="22"/>
        </w:rPr>
      </w:pPr>
    </w:p>
    <w:p w14:paraId="5B9C38CD" w14:textId="77777777" w:rsidR="00EC2F31" w:rsidRPr="00C3104D" w:rsidRDefault="00EC2F31" w:rsidP="00A6302C">
      <w:pPr>
        <w:pStyle w:val="Prrafodelista"/>
        <w:numPr>
          <w:ilvl w:val="4"/>
          <w:numId w:val="22"/>
        </w:numPr>
        <w:rPr>
          <w:b/>
          <w:bCs/>
          <w:sz w:val="22"/>
          <w:szCs w:val="22"/>
        </w:rPr>
      </w:pPr>
      <w:r w:rsidRPr="00C3104D">
        <w:rPr>
          <w:b/>
          <w:bCs/>
          <w:sz w:val="22"/>
          <w:szCs w:val="22"/>
        </w:rPr>
        <w:t>EQUIPO Y ROLES</w:t>
      </w:r>
    </w:p>
    <w:p w14:paraId="133BE6A5" w14:textId="77777777" w:rsidR="00EC2F31" w:rsidRDefault="00EC2F31" w:rsidP="00EC2F31">
      <w:pPr>
        <w:ind w:left="1252"/>
        <w:rPr>
          <w:b/>
          <w:bCs/>
        </w:rPr>
      </w:pPr>
    </w:p>
    <w:p w14:paraId="7C0BF711" w14:textId="77777777" w:rsidR="00EC2F31" w:rsidRDefault="00EC2F31" w:rsidP="00EC2F31">
      <w:pPr>
        <w:jc w:val="both"/>
        <w:rPr>
          <w:rFonts w:eastAsia="Arial" w:cs="Arial"/>
        </w:rPr>
      </w:pPr>
      <w:r w:rsidRPr="69A00A26">
        <w:rPr>
          <w:rFonts w:eastAsia="Arial" w:cs="Arial"/>
          <w:color w:val="000000" w:themeColor="text1"/>
          <w:sz w:val="22"/>
          <w:szCs w:val="22"/>
        </w:rPr>
        <w:t>La Oficina Asesora Jurídica no tiene a su cargo grupos internos de trabajo; realiza sus labores en el marco de la gestión por procesos en los que se encuentra la gestión judicial, normativa y propiedad intelectual. Así mismo, imparte directrices y lineamientos de defensa judicial y extrajudicial a las distintas Direcciones Territoriales en aras de prevenir el daño antijurídico, sin que ellas estén bajo su subordinación.</w:t>
      </w:r>
    </w:p>
    <w:p w14:paraId="7212510B" w14:textId="77777777" w:rsidR="00EC2F31" w:rsidRDefault="00EC2F31" w:rsidP="00EC2F31">
      <w:pPr>
        <w:ind w:left="1252"/>
        <w:rPr>
          <w:b/>
          <w:bCs/>
        </w:rPr>
      </w:pPr>
    </w:p>
    <w:p w14:paraId="43BBF53A" w14:textId="77777777" w:rsidR="00EC2F31" w:rsidRDefault="00EC2F31" w:rsidP="00EC2F31">
      <w:pPr>
        <w:jc w:val="both"/>
        <w:rPr>
          <w:rFonts w:eastAsia="Arial" w:cs="Arial"/>
          <w:color w:val="000000" w:themeColor="text1"/>
          <w:sz w:val="22"/>
          <w:szCs w:val="22"/>
          <w:lang w:val="es"/>
        </w:rPr>
      </w:pPr>
      <w:r w:rsidRPr="69A00A26">
        <w:rPr>
          <w:rFonts w:eastAsia="Arial" w:cs="Arial"/>
          <w:color w:val="000000" w:themeColor="text1"/>
          <w:sz w:val="22"/>
          <w:szCs w:val="22"/>
          <w:lang w:val="es"/>
        </w:rPr>
        <w:t>A continuación, se indican los funcionarios y contratistas asignados a la Oficina Asesora Jurídica, y una síntesis de los compromisos u obligaciones que desempeñan en el marco de los subprocesos Judicial, Normativa y Propiedad Intelectual.</w:t>
      </w:r>
    </w:p>
    <w:p w14:paraId="1CBB9102" w14:textId="77777777" w:rsidR="00EC2F31" w:rsidRDefault="00EC2F31" w:rsidP="00EC2F31">
      <w:pPr>
        <w:jc w:val="both"/>
        <w:rPr>
          <w:rFonts w:eastAsia="Arial" w:cs="Arial"/>
          <w:color w:val="000000" w:themeColor="text1"/>
          <w:sz w:val="22"/>
          <w:szCs w:val="22"/>
          <w:lang w:val="es"/>
        </w:rPr>
      </w:pPr>
    </w:p>
    <w:p w14:paraId="62B6B285" w14:textId="77777777" w:rsidR="00EC2F31" w:rsidRDefault="00EC2F31" w:rsidP="00EC2F31">
      <w:pPr>
        <w:jc w:val="both"/>
        <w:rPr>
          <w:rFonts w:eastAsia="Arial" w:cs="Arial"/>
          <w:color w:val="000000" w:themeColor="text1"/>
          <w:sz w:val="22"/>
          <w:szCs w:val="22"/>
          <w:lang w:val="es"/>
        </w:rPr>
      </w:pPr>
    </w:p>
    <w:p w14:paraId="15EB8C62" w14:textId="77777777" w:rsidR="00EC2F31" w:rsidRDefault="00EC2F31" w:rsidP="00EC2F31">
      <w:pPr>
        <w:jc w:val="both"/>
        <w:rPr>
          <w:rFonts w:eastAsia="Arial" w:cs="Arial"/>
          <w:color w:val="000000" w:themeColor="text1"/>
          <w:sz w:val="22"/>
          <w:szCs w:val="22"/>
          <w:lang w:val="es"/>
        </w:rPr>
      </w:pPr>
    </w:p>
    <w:p w14:paraId="08754CF1" w14:textId="77777777" w:rsidR="00EC2F31" w:rsidRDefault="00EC2F31" w:rsidP="00EC2F31">
      <w:pPr>
        <w:jc w:val="both"/>
        <w:rPr>
          <w:rFonts w:eastAsia="Arial" w:cs="Arial"/>
        </w:rPr>
      </w:pPr>
    </w:p>
    <w:p w14:paraId="2E435D5A" w14:textId="0D397B8A" w:rsidR="00EC2F31" w:rsidRPr="003C619F" w:rsidRDefault="00EC2F31" w:rsidP="00A6302C">
      <w:pPr>
        <w:rPr>
          <w:b/>
          <w:bCs/>
          <w:sz w:val="16"/>
        </w:rPr>
      </w:pPr>
    </w:p>
    <w:tbl>
      <w:tblPr>
        <w:tblStyle w:val="Tabladecuadrcula4-nfasis1"/>
        <w:tblW w:w="9360" w:type="dxa"/>
        <w:jc w:val="center"/>
        <w:tblLayout w:type="fixed"/>
        <w:tblLook w:val="04A0" w:firstRow="1" w:lastRow="0" w:firstColumn="1" w:lastColumn="0" w:noHBand="0" w:noVBand="1"/>
      </w:tblPr>
      <w:tblGrid>
        <w:gridCol w:w="2689"/>
        <w:gridCol w:w="4394"/>
        <w:gridCol w:w="2277"/>
      </w:tblGrid>
      <w:tr w:rsidR="00EC2F31" w:rsidRPr="003C619F" w14:paraId="69E94DC5" w14:textId="77777777" w:rsidTr="00A6302C">
        <w:trPr>
          <w:cnfStyle w:val="100000000000" w:firstRow="1" w:lastRow="0" w:firstColumn="0" w:lastColumn="0" w:oddVBand="0" w:evenVBand="0" w:oddHBand="0" w:evenHBand="0" w:firstRowFirstColumn="0" w:firstRowLastColumn="0" w:lastRowFirstColumn="0" w:lastRowLastColumn="0"/>
          <w:trHeight w:val="300"/>
          <w:tblHeader/>
          <w:jc w:val="center"/>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69610C80" w14:textId="77777777" w:rsidR="00EC2F31" w:rsidRPr="003C619F" w:rsidRDefault="00EC2F31" w:rsidP="00A6302C">
            <w:pPr>
              <w:jc w:val="center"/>
              <w:rPr>
                <w:rFonts w:eastAsia="Arial" w:cs="Arial"/>
                <w:sz w:val="20"/>
                <w:szCs w:val="20"/>
              </w:rPr>
            </w:pPr>
            <w:r w:rsidRPr="003C619F">
              <w:rPr>
                <w:rFonts w:eastAsia="Arial" w:cs="Arial"/>
                <w:bCs w:val="0"/>
                <w:sz w:val="20"/>
                <w:szCs w:val="20"/>
              </w:rPr>
              <w:t>Cargo</w:t>
            </w:r>
          </w:p>
        </w:tc>
        <w:tc>
          <w:tcPr>
            <w:tcW w:w="4394" w:type="dxa"/>
            <w:vAlign w:val="center"/>
          </w:tcPr>
          <w:p w14:paraId="4B297D4A" w14:textId="77777777" w:rsidR="00EC2F31" w:rsidRPr="003C619F"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0"/>
              </w:rPr>
            </w:pPr>
            <w:r w:rsidRPr="003C619F">
              <w:rPr>
                <w:rFonts w:eastAsia="Arial" w:cs="Arial"/>
                <w:bCs w:val="0"/>
                <w:sz w:val="20"/>
                <w:szCs w:val="20"/>
              </w:rPr>
              <w:t>Rol</w:t>
            </w:r>
          </w:p>
        </w:tc>
        <w:tc>
          <w:tcPr>
            <w:tcW w:w="2277" w:type="dxa"/>
            <w:vAlign w:val="center"/>
          </w:tcPr>
          <w:p w14:paraId="11B86437" w14:textId="77777777" w:rsidR="00EC2F31" w:rsidRPr="003C619F"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sz w:val="20"/>
                <w:szCs w:val="20"/>
              </w:rPr>
            </w:pPr>
            <w:r w:rsidRPr="003C619F">
              <w:rPr>
                <w:rFonts w:eastAsia="Arial" w:cs="Arial"/>
                <w:bCs w:val="0"/>
                <w:sz w:val="20"/>
                <w:szCs w:val="20"/>
              </w:rPr>
              <w:t>Subproceso</w:t>
            </w:r>
          </w:p>
        </w:tc>
      </w:tr>
      <w:tr w:rsidR="00EC2F31" w:rsidRPr="003C619F" w14:paraId="3395782D"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36597CD2"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Profesional especializado 2028 grado 18</w:t>
            </w:r>
          </w:p>
        </w:tc>
        <w:tc>
          <w:tcPr>
            <w:tcW w:w="4394" w:type="dxa"/>
            <w:vAlign w:val="center"/>
          </w:tcPr>
          <w:p w14:paraId="2216609A"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4F84C564"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 - Normativa</w:t>
            </w:r>
          </w:p>
        </w:tc>
      </w:tr>
      <w:tr w:rsidR="00EC2F31" w:rsidRPr="003C619F" w14:paraId="3D4ECE91"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83030F1" w14:textId="77777777" w:rsidR="00EC2F31" w:rsidRPr="003C619F" w:rsidRDefault="00EC2F31" w:rsidP="00A6302C">
            <w:pPr>
              <w:jc w:val="center"/>
              <w:rPr>
                <w:sz w:val="20"/>
                <w:szCs w:val="20"/>
              </w:rPr>
            </w:pPr>
          </w:p>
        </w:tc>
        <w:tc>
          <w:tcPr>
            <w:tcW w:w="4394" w:type="dxa"/>
            <w:vAlign w:val="center"/>
          </w:tcPr>
          <w:p w14:paraId="3BD231D1"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09CDF57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1B5FB294"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13575F94" w14:textId="77777777" w:rsidR="00EC2F31" w:rsidRPr="003C619F" w:rsidRDefault="00EC2F31" w:rsidP="00A6302C">
            <w:pPr>
              <w:jc w:val="center"/>
              <w:rPr>
                <w:sz w:val="20"/>
                <w:szCs w:val="20"/>
              </w:rPr>
            </w:pPr>
          </w:p>
        </w:tc>
        <w:tc>
          <w:tcPr>
            <w:tcW w:w="4394" w:type="dxa"/>
            <w:vAlign w:val="center"/>
          </w:tcPr>
          <w:p w14:paraId="19FA6E82"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Revisión actos administrativos</w:t>
            </w:r>
          </w:p>
        </w:tc>
        <w:tc>
          <w:tcPr>
            <w:tcW w:w="2277" w:type="dxa"/>
            <w:vMerge/>
            <w:vAlign w:val="center"/>
          </w:tcPr>
          <w:p w14:paraId="376E3E7A"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010A0777"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41528C97"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Profesional especializado 2028 grado 14</w:t>
            </w:r>
          </w:p>
        </w:tc>
        <w:tc>
          <w:tcPr>
            <w:tcW w:w="4394" w:type="dxa"/>
            <w:vAlign w:val="center"/>
          </w:tcPr>
          <w:p w14:paraId="16E858DF"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6AA61895"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 - Normativa</w:t>
            </w:r>
          </w:p>
        </w:tc>
      </w:tr>
      <w:tr w:rsidR="00EC2F31" w:rsidRPr="003C619F" w14:paraId="04829045"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78CD12F4" w14:textId="77777777" w:rsidR="00EC2F31" w:rsidRPr="003C619F" w:rsidRDefault="00EC2F31" w:rsidP="00A6302C">
            <w:pPr>
              <w:jc w:val="center"/>
              <w:rPr>
                <w:sz w:val="20"/>
                <w:szCs w:val="20"/>
              </w:rPr>
            </w:pPr>
          </w:p>
        </w:tc>
        <w:tc>
          <w:tcPr>
            <w:tcW w:w="4394" w:type="dxa"/>
            <w:vAlign w:val="center"/>
          </w:tcPr>
          <w:p w14:paraId="6E5D19B8"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04B08FA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08DFFBFD"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1FE561D0" w14:textId="77777777" w:rsidR="00EC2F31" w:rsidRPr="003C619F" w:rsidRDefault="00EC2F31" w:rsidP="00A6302C">
            <w:pPr>
              <w:jc w:val="center"/>
              <w:rPr>
                <w:sz w:val="20"/>
                <w:szCs w:val="20"/>
              </w:rPr>
            </w:pPr>
          </w:p>
        </w:tc>
        <w:tc>
          <w:tcPr>
            <w:tcW w:w="4394" w:type="dxa"/>
            <w:vAlign w:val="center"/>
          </w:tcPr>
          <w:p w14:paraId="3DE62BA0"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Revisión actos administrativos</w:t>
            </w:r>
          </w:p>
        </w:tc>
        <w:tc>
          <w:tcPr>
            <w:tcW w:w="2277" w:type="dxa"/>
            <w:vMerge/>
            <w:vAlign w:val="center"/>
          </w:tcPr>
          <w:p w14:paraId="4224626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3822055A"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13D2C1F9"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Profesional especializado 2028 grado 13</w:t>
            </w:r>
          </w:p>
        </w:tc>
        <w:tc>
          <w:tcPr>
            <w:tcW w:w="4394" w:type="dxa"/>
            <w:vAlign w:val="center"/>
          </w:tcPr>
          <w:p w14:paraId="1768359E"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Secretaria Técnica Comité de Conciliación</w:t>
            </w:r>
          </w:p>
        </w:tc>
        <w:tc>
          <w:tcPr>
            <w:tcW w:w="2277" w:type="dxa"/>
            <w:vMerge w:val="restart"/>
            <w:vAlign w:val="center"/>
          </w:tcPr>
          <w:p w14:paraId="13DD9ECE"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524A9A37"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C34103C" w14:textId="77777777" w:rsidR="00EC2F31" w:rsidRPr="003C619F" w:rsidRDefault="00EC2F31" w:rsidP="00A6302C">
            <w:pPr>
              <w:jc w:val="center"/>
              <w:rPr>
                <w:sz w:val="20"/>
                <w:szCs w:val="20"/>
              </w:rPr>
            </w:pPr>
          </w:p>
        </w:tc>
        <w:tc>
          <w:tcPr>
            <w:tcW w:w="4394" w:type="dxa"/>
            <w:vAlign w:val="center"/>
          </w:tcPr>
          <w:p w14:paraId="445F8CA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entes de control</w:t>
            </w:r>
          </w:p>
        </w:tc>
        <w:tc>
          <w:tcPr>
            <w:tcW w:w="2277" w:type="dxa"/>
            <w:vMerge/>
            <w:vAlign w:val="center"/>
          </w:tcPr>
          <w:p w14:paraId="20A41872"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77DF9F8E" w14:textId="77777777" w:rsidTr="00A6302C">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130B10CA" w14:textId="77777777" w:rsidR="00EC2F31" w:rsidRPr="003C619F" w:rsidRDefault="00EC2F31" w:rsidP="00A6302C">
            <w:pPr>
              <w:jc w:val="center"/>
              <w:rPr>
                <w:sz w:val="20"/>
                <w:szCs w:val="20"/>
              </w:rPr>
            </w:pPr>
          </w:p>
        </w:tc>
        <w:tc>
          <w:tcPr>
            <w:tcW w:w="4394" w:type="dxa"/>
            <w:vAlign w:val="center"/>
          </w:tcPr>
          <w:p w14:paraId="2A8FE2EF"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Seguimiento a transparencia y acceso a la información pública</w:t>
            </w:r>
          </w:p>
        </w:tc>
        <w:tc>
          <w:tcPr>
            <w:tcW w:w="2277" w:type="dxa"/>
            <w:vMerge/>
            <w:vAlign w:val="center"/>
          </w:tcPr>
          <w:p w14:paraId="6D01C496"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13245594"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8F90E89" w14:textId="77777777" w:rsidR="00EC2F31" w:rsidRPr="003C619F" w:rsidRDefault="00EC2F31" w:rsidP="00A6302C">
            <w:pPr>
              <w:jc w:val="center"/>
              <w:rPr>
                <w:sz w:val="20"/>
                <w:szCs w:val="20"/>
              </w:rPr>
            </w:pPr>
          </w:p>
        </w:tc>
        <w:tc>
          <w:tcPr>
            <w:tcW w:w="4394" w:type="dxa"/>
            <w:vAlign w:val="center"/>
          </w:tcPr>
          <w:p w14:paraId="65AF72A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acciones de tutela</w:t>
            </w:r>
          </w:p>
        </w:tc>
        <w:tc>
          <w:tcPr>
            <w:tcW w:w="2277" w:type="dxa"/>
            <w:vMerge/>
            <w:vAlign w:val="center"/>
          </w:tcPr>
          <w:p w14:paraId="16CEB5E2"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63D9CC28"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73F3C443"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Profesional especializado 2028 grado 12 (nombrado sin posesionar)</w:t>
            </w:r>
          </w:p>
        </w:tc>
        <w:tc>
          <w:tcPr>
            <w:tcW w:w="4394" w:type="dxa"/>
            <w:vAlign w:val="center"/>
          </w:tcPr>
          <w:p w14:paraId="69BD32B4"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1A4F00AE"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55EDBE52"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3579F62B" w14:textId="77777777" w:rsidR="00EC2F31" w:rsidRPr="003C619F" w:rsidRDefault="00EC2F31" w:rsidP="00A6302C">
            <w:pPr>
              <w:jc w:val="center"/>
              <w:rPr>
                <w:sz w:val="20"/>
                <w:szCs w:val="20"/>
              </w:rPr>
            </w:pPr>
          </w:p>
        </w:tc>
        <w:tc>
          <w:tcPr>
            <w:tcW w:w="4394" w:type="dxa"/>
            <w:vAlign w:val="center"/>
          </w:tcPr>
          <w:p w14:paraId="22E5AF15"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607A7BD7"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4F52C06D"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1CAB3A1D" w14:textId="77777777" w:rsidR="00EC2F31" w:rsidRPr="003C619F" w:rsidRDefault="00EC2F31" w:rsidP="00A6302C">
            <w:pPr>
              <w:jc w:val="center"/>
              <w:rPr>
                <w:sz w:val="20"/>
                <w:szCs w:val="20"/>
              </w:rPr>
            </w:pPr>
          </w:p>
        </w:tc>
        <w:tc>
          <w:tcPr>
            <w:tcW w:w="4394" w:type="dxa"/>
            <w:vAlign w:val="center"/>
          </w:tcPr>
          <w:p w14:paraId="6FE13AB5"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Administración eKOGUI</w:t>
            </w:r>
          </w:p>
        </w:tc>
        <w:tc>
          <w:tcPr>
            <w:tcW w:w="2277" w:type="dxa"/>
            <w:vMerge/>
            <w:vAlign w:val="center"/>
          </w:tcPr>
          <w:p w14:paraId="2E96193B"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276CB937"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34AD0731"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Técnico Operativo 3132 grado 12</w:t>
            </w:r>
          </w:p>
        </w:tc>
        <w:tc>
          <w:tcPr>
            <w:tcW w:w="4394" w:type="dxa"/>
            <w:vAlign w:val="center"/>
          </w:tcPr>
          <w:p w14:paraId="6CF9A45C"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Vigilancia judicial de procesos</w:t>
            </w:r>
          </w:p>
        </w:tc>
        <w:tc>
          <w:tcPr>
            <w:tcW w:w="2277" w:type="dxa"/>
            <w:vMerge w:val="restart"/>
            <w:vAlign w:val="center"/>
          </w:tcPr>
          <w:p w14:paraId="40235B27"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31AE30F5" w14:textId="77777777" w:rsidTr="00A6302C">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110A48DA" w14:textId="77777777" w:rsidR="00EC2F31" w:rsidRPr="003C619F" w:rsidRDefault="00EC2F31" w:rsidP="00A6302C">
            <w:pPr>
              <w:jc w:val="center"/>
              <w:rPr>
                <w:sz w:val="20"/>
                <w:szCs w:val="20"/>
              </w:rPr>
            </w:pPr>
          </w:p>
        </w:tc>
        <w:tc>
          <w:tcPr>
            <w:tcW w:w="4394" w:type="dxa"/>
            <w:vAlign w:val="center"/>
          </w:tcPr>
          <w:p w14:paraId="52998CD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Proyección de poderes, asignación de procesos a apoderados</w:t>
            </w:r>
          </w:p>
        </w:tc>
        <w:tc>
          <w:tcPr>
            <w:tcW w:w="2277" w:type="dxa"/>
            <w:vMerge/>
            <w:vAlign w:val="center"/>
          </w:tcPr>
          <w:p w14:paraId="67BBFB8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6E3E92B5" w14:textId="77777777" w:rsidTr="00A6302C">
        <w:trPr>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298ED97" w14:textId="77777777" w:rsidR="00EC2F31" w:rsidRPr="003C619F" w:rsidRDefault="00EC2F31" w:rsidP="00A6302C">
            <w:pPr>
              <w:jc w:val="center"/>
              <w:rPr>
                <w:sz w:val="20"/>
                <w:szCs w:val="20"/>
              </w:rPr>
            </w:pPr>
          </w:p>
        </w:tc>
        <w:tc>
          <w:tcPr>
            <w:tcW w:w="4394" w:type="dxa"/>
            <w:vAlign w:val="center"/>
          </w:tcPr>
          <w:p w14:paraId="3FDF7161"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Controlar la información remitida por despachos</w:t>
            </w:r>
          </w:p>
        </w:tc>
        <w:tc>
          <w:tcPr>
            <w:tcW w:w="2277" w:type="dxa"/>
            <w:vMerge/>
            <w:vAlign w:val="center"/>
          </w:tcPr>
          <w:p w14:paraId="7A0D6091"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58C77E56" w14:textId="77777777" w:rsidTr="00A6302C">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718F29A7" w14:textId="77777777" w:rsidR="00EC2F31" w:rsidRPr="003C619F" w:rsidRDefault="00EC2F31" w:rsidP="00A6302C">
            <w:pPr>
              <w:jc w:val="center"/>
              <w:rPr>
                <w:sz w:val="20"/>
                <w:szCs w:val="20"/>
              </w:rPr>
            </w:pPr>
          </w:p>
        </w:tc>
        <w:tc>
          <w:tcPr>
            <w:tcW w:w="4394" w:type="dxa"/>
            <w:vAlign w:val="center"/>
          </w:tcPr>
          <w:p w14:paraId="1C3DEE45"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Consolidación de cuadros de procesos judiciales y penales</w:t>
            </w:r>
          </w:p>
        </w:tc>
        <w:tc>
          <w:tcPr>
            <w:tcW w:w="2277" w:type="dxa"/>
            <w:vMerge/>
            <w:vAlign w:val="center"/>
          </w:tcPr>
          <w:p w14:paraId="0EEA97A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275D88E0" w14:textId="77777777" w:rsidTr="00A6302C">
        <w:trPr>
          <w:trHeight w:val="495"/>
          <w:jc w:val="center"/>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78467F55"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Técnico Operativo 3132 grado 12</w:t>
            </w:r>
          </w:p>
        </w:tc>
        <w:tc>
          <w:tcPr>
            <w:tcW w:w="4394" w:type="dxa"/>
            <w:vAlign w:val="center"/>
          </w:tcPr>
          <w:p w14:paraId="438FD4C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Vacancia temporal</w:t>
            </w:r>
          </w:p>
        </w:tc>
        <w:tc>
          <w:tcPr>
            <w:tcW w:w="2277" w:type="dxa"/>
            <w:vAlign w:val="center"/>
          </w:tcPr>
          <w:p w14:paraId="7FE24AD3"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20"/>
                <w:szCs w:val="20"/>
              </w:rPr>
            </w:pPr>
          </w:p>
        </w:tc>
      </w:tr>
      <w:tr w:rsidR="00EC2F31" w:rsidRPr="003C619F" w14:paraId="3F354361"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4A58B58B"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Auxiliar administrativo 4044 grado 12</w:t>
            </w:r>
          </w:p>
        </w:tc>
        <w:tc>
          <w:tcPr>
            <w:tcW w:w="4394" w:type="dxa"/>
            <w:vAlign w:val="center"/>
          </w:tcPr>
          <w:p w14:paraId="483969D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Buzón de notificaciones judiciales</w:t>
            </w:r>
          </w:p>
        </w:tc>
        <w:tc>
          <w:tcPr>
            <w:tcW w:w="2277" w:type="dxa"/>
            <w:vMerge w:val="restart"/>
            <w:vAlign w:val="center"/>
          </w:tcPr>
          <w:p w14:paraId="5D9F315A"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2AADBC30"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7966B97A" w14:textId="77777777" w:rsidR="00EC2F31" w:rsidRPr="003C619F" w:rsidRDefault="00EC2F31" w:rsidP="00A6302C">
            <w:pPr>
              <w:jc w:val="center"/>
              <w:rPr>
                <w:sz w:val="20"/>
                <w:szCs w:val="20"/>
              </w:rPr>
            </w:pPr>
          </w:p>
        </w:tc>
        <w:tc>
          <w:tcPr>
            <w:tcW w:w="4394" w:type="dxa"/>
            <w:vAlign w:val="center"/>
          </w:tcPr>
          <w:p w14:paraId="74E663F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Asignación acciones de tutela</w:t>
            </w:r>
          </w:p>
        </w:tc>
        <w:tc>
          <w:tcPr>
            <w:tcW w:w="2277" w:type="dxa"/>
            <w:vMerge/>
            <w:vAlign w:val="center"/>
          </w:tcPr>
          <w:p w14:paraId="45961B9A"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7FB992D7" w14:textId="77777777" w:rsidTr="00A6302C">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66193DB9" w14:textId="77777777" w:rsidR="00EC2F31" w:rsidRPr="003C619F" w:rsidRDefault="00EC2F31" w:rsidP="00A6302C">
            <w:pPr>
              <w:jc w:val="center"/>
              <w:rPr>
                <w:sz w:val="20"/>
                <w:szCs w:val="20"/>
              </w:rPr>
            </w:pPr>
          </w:p>
        </w:tc>
        <w:tc>
          <w:tcPr>
            <w:tcW w:w="4394" w:type="dxa"/>
            <w:vAlign w:val="center"/>
          </w:tcPr>
          <w:p w14:paraId="7161DC9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Control contratos y convenios de competencia de la OAJ</w:t>
            </w:r>
          </w:p>
        </w:tc>
        <w:tc>
          <w:tcPr>
            <w:tcW w:w="2277" w:type="dxa"/>
            <w:vMerge/>
            <w:vAlign w:val="center"/>
          </w:tcPr>
          <w:p w14:paraId="525771E7"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6F1EBC3B" w14:textId="77777777" w:rsidTr="00A6302C">
        <w:trPr>
          <w:trHeight w:val="57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D433FD7" w14:textId="77777777" w:rsidR="00EC2F31" w:rsidRPr="003C619F" w:rsidRDefault="00EC2F31" w:rsidP="00A6302C">
            <w:pPr>
              <w:jc w:val="center"/>
              <w:rPr>
                <w:sz w:val="20"/>
                <w:szCs w:val="20"/>
              </w:rPr>
            </w:pPr>
          </w:p>
        </w:tc>
        <w:tc>
          <w:tcPr>
            <w:tcW w:w="4394" w:type="dxa"/>
            <w:vAlign w:val="center"/>
          </w:tcPr>
          <w:p w14:paraId="67F4C6C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Seguimiento al archivo de gestión de la oficina</w:t>
            </w:r>
          </w:p>
        </w:tc>
        <w:tc>
          <w:tcPr>
            <w:tcW w:w="2277" w:type="dxa"/>
            <w:vMerge/>
            <w:vAlign w:val="center"/>
          </w:tcPr>
          <w:p w14:paraId="347B0940"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498F34BC" w14:textId="77777777" w:rsidTr="00A6302C">
        <w:trPr>
          <w:cnfStyle w:val="000000100000" w:firstRow="0" w:lastRow="0" w:firstColumn="0" w:lastColumn="0" w:oddVBand="0" w:evenVBand="0" w:oddHBand="1" w:evenHBand="0" w:firstRowFirstColumn="0" w:firstRowLastColumn="0" w:lastRowFirstColumn="0" w:lastRowLastColumn="0"/>
          <w:trHeight w:val="465"/>
          <w:jc w:val="center"/>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0928176D"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Auxiliar administrativo 4044 grado 8</w:t>
            </w:r>
          </w:p>
        </w:tc>
        <w:tc>
          <w:tcPr>
            <w:tcW w:w="4394" w:type="dxa"/>
            <w:vAlign w:val="center"/>
          </w:tcPr>
          <w:p w14:paraId="62176AF7"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lang w:val="es-CO"/>
              </w:rPr>
              <w:t>Nombrado sin posesionar</w:t>
            </w:r>
          </w:p>
        </w:tc>
        <w:tc>
          <w:tcPr>
            <w:tcW w:w="2277" w:type="dxa"/>
            <w:vAlign w:val="center"/>
          </w:tcPr>
          <w:p w14:paraId="376F72A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p>
        </w:tc>
      </w:tr>
      <w:tr w:rsidR="00EC2F31" w:rsidRPr="003C619F" w14:paraId="1EBF4C50"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15E6DAA1"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Secretario Ejecutivo 4210 grado 17</w:t>
            </w:r>
          </w:p>
        </w:tc>
        <w:tc>
          <w:tcPr>
            <w:tcW w:w="4394" w:type="dxa"/>
            <w:vAlign w:val="center"/>
          </w:tcPr>
          <w:p w14:paraId="545E0D2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Revisión SIGAC OAJ</w:t>
            </w:r>
          </w:p>
        </w:tc>
        <w:tc>
          <w:tcPr>
            <w:tcW w:w="2277" w:type="dxa"/>
            <w:vMerge w:val="restart"/>
            <w:vAlign w:val="center"/>
          </w:tcPr>
          <w:p w14:paraId="372B99FD"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Todos</w:t>
            </w:r>
          </w:p>
        </w:tc>
      </w:tr>
      <w:tr w:rsidR="00EC2F31" w:rsidRPr="003C619F" w14:paraId="62F55C31"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2BDF64E4" w14:textId="77777777" w:rsidR="00EC2F31" w:rsidRPr="003C619F" w:rsidRDefault="00EC2F31" w:rsidP="00A6302C">
            <w:pPr>
              <w:jc w:val="center"/>
              <w:rPr>
                <w:sz w:val="20"/>
                <w:szCs w:val="20"/>
              </w:rPr>
            </w:pPr>
          </w:p>
        </w:tc>
        <w:tc>
          <w:tcPr>
            <w:tcW w:w="4394" w:type="dxa"/>
            <w:vAlign w:val="center"/>
          </w:tcPr>
          <w:p w14:paraId="342E51C6"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Trámite cuentas de cobro</w:t>
            </w:r>
          </w:p>
        </w:tc>
        <w:tc>
          <w:tcPr>
            <w:tcW w:w="2277" w:type="dxa"/>
            <w:vMerge/>
            <w:vAlign w:val="center"/>
          </w:tcPr>
          <w:p w14:paraId="7003F5B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0912E304"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79DEBC5B" w14:textId="77777777" w:rsidR="00EC2F31" w:rsidRPr="003C619F" w:rsidRDefault="00EC2F31" w:rsidP="00A6302C">
            <w:pPr>
              <w:jc w:val="center"/>
              <w:rPr>
                <w:sz w:val="20"/>
                <w:szCs w:val="20"/>
              </w:rPr>
            </w:pPr>
          </w:p>
        </w:tc>
        <w:tc>
          <w:tcPr>
            <w:tcW w:w="4394" w:type="dxa"/>
            <w:vAlign w:val="center"/>
          </w:tcPr>
          <w:p w14:paraId="70ECF93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Apoyo administrativo</w:t>
            </w:r>
          </w:p>
        </w:tc>
        <w:tc>
          <w:tcPr>
            <w:tcW w:w="2277" w:type="dxa"/>
            <w:vMerge/>
            <w:vAlign w:val="center"/>
          </w:tcPr>
          <w:p w14:paraId="4E21FDD0"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5F9481B3"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349BCAC0"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57BDE75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2B61BCCB"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7FC029EE"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F409494" w14:textId="77777777" w:rsidR="00EC2F31" w:rsidRPr="003C619F" w:rsidRDefault="00EC2F31" w:rsidP="00A6302C">
            <w:pPr>
              <w:jc w:val="center"/>
              <w:rPr>
                <w:sz w:val="20"/>
                <w:szCs w:val="20"/>
              </w:rPr>
            </w:pPr>
          </w:p>
        </w:tc>
        <w:tc>
          <w:tcPr>
            <w:tcW w:w="4394" w:type="dxa"/>
            <w:vAlign w:val="center"/>
          </w:tcPr>
          <w:p w14:paraId="4B90E8D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1140D88C"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5C156A8D"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A157CB6" w14:textId="77777777" w:rsidR="00EC2F31" w:rsidRPr="003C619F" w:rsidRDefault="00EC2F31" w:rsidP="00A6302C">
            <w:pPr>
              <w:jc w:val="center"/>
              <w:rPr>
                <w:sz w:val="20"/>
                <w:szCs w:val="20"/>
              </w:rPr>
            </w:pPr>
          </w:p>
        </w:tc>
        <w:tc>
          <w:tcPr>
            <w:tcW w:w="4394" w:type="dxa"/>
            <w:vAlign w:val="center"/>
          </w:tcPr>
          <w:p w14:paraId="755DFF4C"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acciones de tutela</w:t>
            </w:r>
          </w:p>
        </w:tc>
        <w:tc>
          <w:tcPr>
            <w:tcW w:w="2277" w:type="dxa"/>
            <w:vMerge/>
            <w:vAlign w:val="center"/>
          </w:tcPr>
          <w:p w14:paraId="3217F4C1"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38F7B5DB"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3CA58647" w14:textId="77777777" w:rsidR="00EC2F31" w:rsidRPr="003C619F" w:rsidRDefault="00EC2F31" w:rsidP="00A6302C">
            <w:pPr>
              <w:jc w:val="center"/>
              <w:rPr>
                <w:sz w:val="20"/>
                <w:szCs w:val="20"/>
              </w:rPr>
            </w:pPr>
          </w:p>
        </w:tc>
        <w:tc>
          <w:tcPr>
            <w:tcW w:w="4394" w:type="dxa"/>
            <w:vAlign w:val="center"/>
          </w:tcPr>
          <w:p w14:paraId="351D309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Revisión actos administrativos</w:t>
            </w:r>
          </w:p>
        </w:tc>
        <w:tc>
          <w:tcPr>
            <w:tcW w:w="2277" w:type="dxa"/>
            <w:vMerge/>
            <w:vAlign w:val="center"/>
          </w:tcPr>
          <w:p w14:paraId="3BDD6EFD"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0DA37543"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12085326"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646AA24F"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69E191CE"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2771E8B0"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2D6549E" w14:textId="77777777" w:rsidR="00EC2F31" w:rsidRPr="003C619F" w:rsidRDefault="00EC2F31" w:rsidP="00A6302C">
            <w:pPr>
              <w:jc w:val="center"/>
              <w:rPr>
                <w:sz w:val="20"/>
                <w:szCs w:val="20"/>
              </w:rPr>
            </w:pPr>
          </w:p>
        </w:tc>
        <w:tc>
          <w:tcPr>
            <w:tcW w:w="4394" w:type="dxa"/>
            <w:vAlign w:val="center"/>
          </w:tcPr>
          <w:p w14:paraId="037923F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59658A27"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7737642C"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7F87EB4" w14:textId="77777777" w:rsidR="00EC2F31" w:rsidRPr="003C619F" w:rsidRDefault="00EC2F31" w:rsidP="00A6302C">
            <w:pPr>
              <w:jc w:val="center"/>
              <w:rPr>
                <w:sz w:val="20"/>
                <w:szCs w:val="20"/>
              </w:rPr>
            </w:pPr>
          </w:p>
        </w:tc>
        <w:tc>
          <w:tcPr>
            <w:tcW w:w="4394" w:type="dxa"/>
            <w:vAlign w:val="center"/>
          </w:tcPr>
          <w:p w14:paraId="7321A644"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acciones de tutela</w:t>
            </w:r>
          </w:p>
        </w:tc>
        <w:tc>
          <w:tcPr>
            <w:tcW w:w="2277" w:type="dxa"/>
            <w:vMerge/>
            <w:vAlign w:val="center"/>
          </w:tcPr>
          <w:p w14:paraId="6CF4679A"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6FEF4420"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230AD51C" w14:textId="77777777" w:rsidR="00EC2F31" w:rsidRPr="003C619F" w:rsidRDefault="00EC2F31" w:rsidP="00A6302C">
            <w:pPr>
              <w:jc w:val="center"/>
              <w:rPr>
                <w:sz w:val="20"/>
                <w:szCs w:val="20"/>
              </w:rPr>
            </w:pPr>
          </w:p>
        </w:tc>
        <w:tc>
          <w:tcPr>
            <w:tcW w:w="4394" w:type="dxa"/>
            <w:vAlign w:val="center"/>
          </w:tcPr>
          <w:p w14:paraId="719E670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Revisión actos administrativos</w:t>
            </w:r>
          </w:p>
        </w:tc>
        <w:tc>
          <w:tcPr>
            <w:tcW w:w="2277" w:type="dxa"/>
            <w:vMerge/>
            <w:vAlign w:val="center"/>
          </w:tcPr>
          <w:p w14:paraId="64E2E81B"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76BF93B3"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4915642E"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54B1098F"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Trámite contratos y convenios de ingreso</w:t>
            </w:r>
          </w:p>
        </w:tc>
        <w:tc>
          <w:tcPr>
            <w:tcW w:w="2277" w:type="dxa"/>
            <w:vMerge w:val="restart"/>
            <w:vAlign w:val="center"/>
          </w:tcPr>
          <w:p w14:paraId="26C88C6A"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Normativa</w:t>
            </w:r>
          </w:p>
        </w:tc>
      </w:tr>
      <w:tr w:rsidR="00EC2F31" w:rsidRPr="003C619F" w14:paraId="1DB7557C"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2E922806" w14:textId="77777777" w:rsidR="00EC2F31" w:rsidRPr="003C619F" w:rsidRDefault="00EC2F31" w:rsidP="00A6302C">
            <w:pPr>
              <w:jc w:val="center"/>
              <w:rPr>
                <w:sz w:val="20"/>
                <w:szCs w:val="20"/>
              </w:rPr>
            </w:pPr>
          </w:p>
        </w:tc>
        <w:tc>
          <w:tcPr>
            <w:tcW w:w="4394" w:type="dxa"/>
            <w:vAlign w:val="center"/>
          </w:tcPr>
          <w:p w14:paraId="38163A8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47D050C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1C8604EF"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1D572734"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3387AF5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Trámite procesos disciplinarios</w:t>
            </w:r>
          </w:p>
        </w:tc>
        <w:tc>
          <w:tcPr>
            <w:tcW w:w="2277" w:type="dxa"/>
            <w:vMerge w:val="restart"/>
            <w:vAlign w:val="center"/>
          </w:tcPr>
          <w:p w14:paraId="775F4279"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Normativa</w:t>
            </w:r>
          </w:p>
        </w:tc>
      </w:tr>
      <w:tr w:rsidR="00EC2F31" w:rsidRPr="003C619F" w14:paraId="4D4D4EFC"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C780ABB" w14:textId="77777777" w:rsidR="00EC2F31" w:rsidRPr="003C619F" w:rsidRDefault="00EC2F31" w:rsidP="00A6302C">
            <w:pPr>
              <w:jc w:val="center"/>
              <w:rPr>
                <w:sz w:val="20"/>
                <w:szCs w:val="20"/>
              </w:rPr>
            </w:pPr>
          </w:p>
        </w:tc>
        <w:tc>
          <w:tcPr>
            <w:tcW w:w="4394" w:type="dxa"/>
            <w:vAlign w:val="center"/>
          </w:tcPr>
          <w:p w14:paraId="044093D6"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Trámite liquidaciones</w:t>
            </w:r>
          </w:p>
        </w:tc>
        <w:tc>
          <w:tcPr>
            <w:tcW w:w="2277" w:type="dxa"/>
            <w:vMerge/>
            <w:vAlign w:val="center"/>
          </w:tcPr>
          <w:p w14:paraId="3C741B6F"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11F779E2"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29DBF556"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765FAB45"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Propiedad intelectual</w:t>
            </w:r>
          </w:p>
        </w:tc>
        <w:tc>
          <w:tcPr>
            <w:tcW w:w="2277" w:type="dxa"/>
            <w:vMerge w:val="restart"/>
            <w:vAlign w:val="center"/>
          </w:tcPr>
          <w:p w14:paraId="4F3A7DC3"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Propiedad Intelectual</w:t>
            </w:r>
          </w:p>
        </w:tc>
      </w:tr>
      <w:tr w:rsidR="00EC2F31" w:rsidRPr="003C619F" w14:paraId="5BCF18E5"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E0B96FC" w14:textId="77777777" w:rsidR="00EC2F31" w:rsidRPr="003C619F" w:rsidRDefault="00EC2F31" w:rsidP="00A6302C">
            <w:pPr>
              <w:jc w:val="center"/>
              <w:rPr>
                <w:sz w:val="20"/>
                <w:szCs w:val="20"/>
              </w:rPr>
            </w:pPr>
          </w:p>
        </w:tc>
        <w:tc>
          <w:tcPr>
            <w:tcW w:w="4394" w:type="dxa"/>
            <w:vAlign w:val="center"/>
          </w:tcPr>
          <w:p w14:paraId="7DAC311D"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51E51122"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53D2D1B5"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32FAF756"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60EF7887"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Enlace de planeación</w:t>
            </w:r>
          </w:p>
        </w:tc>
        <w:tc>
          <w:tcPr>
            <w:tcW w:w="2277" w:type="dxa"/>
            <w:vMerge w:val="restart"/>
            <w:vAlign w:val="center"/>
          </w:tcPr>
          <w:p w14:paraId="5DEFCE86"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 - Normativa</w:t>
            </w:r>
          </w:p>
        </w:tc>
      </w:tr>
      <w:tr w:rsidR="00EC2F31" w:rsidRPr="003C619F" w14:paraId="362C5339"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9C3DD3A" w14:textId="77777777" w:rsidR="00EC2F31" w:rsidRPr="003C619F" w:rsidRDefault="00EC2F31" w:rsidP="00A6302C">
            <w:pPr>
              <w:jc w:val="center"/>
              <w:rPr>
                <w:sz w:val="20"/>
                <w:szCs w:val="20"/>
              </w:rPr>
            </w:pPr>
          </w:p>
        </w:tc>
        <w:tc>
          <w:tcPr>
            <w:tcW w:w="4394" w:type="dxa"/>
            <w:vAlign w:val="center"/>
          </w:tcPr>
          <w:p w14:paraId="4A0AD70E"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Administración EKOGUI</w:t>
            </w:r>
          </w:p>
        </w:tc>
        <w:tc>
          <w:tcPr>
            <w:tcW w:w="2277" w:type="dxa"/>
            <w:vMerge/>
            <w:vAlign w:val="center"/>
          </w:tcPr>
          <w:p w14:paraId="1CE91DE3"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2883907D"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D818FAA" w14:textId="77777777" w:rsidR="00EC2F31" w:rsidRPr="003C619F" w:rsidRDefault="00EC2F31" w:rsidP="00A6302C">
            <w:pPr>
              <w:jc w:val="center"/>
              <w:rPr>
                <w:sz w:val="20"/>
                <w:szCs w:val="20"/>
              </w:rPr>
            </w:pPr>
          </w:p>
        </w:tc>
        <w:tc>
          <w:tcPr>
            <w:tcW w:w="4394" w:type="dxa"/>
            <w:vAlign w:val="center"/>
          </w:tcPr>
          <w:p w14:paraId="4E71646B"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Política de prevención del daño</w:t>
            </w:r>
          </w:p>
        </w:tc>
        <w:tc>
          <w:tcPr>
            <w:tcW w:w="2277" w:type="dxa"/>
            <w:vMerge/>
            <w:vAlign w:val="center"/>
          </w:tcPr>
          <w:p w14:paraId="6F2639C8"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554B4ADD"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5A4AD55D" w14:textId="77777777" w:rsidR="00EC2F31" w:rsidRPr="003C619F" w:rsidRDefault="00EC2F31" w:rsidP="00A6302C">
            <w:pPr>
              <w:jc w:val="center"/>
              <w:rPr>
                <w:sz w:val="20"/>
                <w:szCs w:val="20"/>
              </w:rPr>
            </w:pPr>
          </w:p>
        </w:tc>
        <w:tc>
          <w:tcPr>
            <w:tcW w:w="4394" w:type="dxa"/>
            <w:vAlign w:val="center"/>
          </w:tcPr>
          <w:p w14:paraId="03E8355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7E531B4D"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15D887F6"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4483DDB9"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11DDC918"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Representación judicial</w:t>
            </w:r>
          </w:p>
        </w:tc>
        <w:tc>
          <w:tcPr>
            <w:tcW w:w="2277" w:type="dxa"/>
            <w:vMerge w:val="restart"/>
            <w:vAlign w:val="center"/>
          </w:tcPr>
          <w:p w14:paraId="04784AC1"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 - Normativa</w:t>
            </w:r>
          </w:p>
        </w:tc>
      </w:tr>
      <w:tr w:rsidR="00EC2F31" w:rsidRPr="003C619F" w14:paraId="6C015E56"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2EE4A489" w14:textId="77777777" w:rsidR="00EC2F31" w:rsidRPr="003C619F" w:rsidRDefault="00EC2F31" w:rsidP="00A6302C">
            <w:pPr>
              <w:jc w:val="center"/>
              <w:rPr>
                <w:sz w:val="20"/>
                <w:szCs w:val="20"/>
              </w:rPr>
            </w:pPr>
          </w:p>
        </w:tc>
        <w:tc>
          <w:tcPr>
            <w:tcW w:w="4394" w:type="dxa"/>
            <w:vAlign w:val="center"/>
          </w:tcPr>
          <w:p w14:paraId="1488F024"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ign w:val="center"/>
          </w:tcPr>
          <w:p w14:paraId="64715CC8"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b/>
                <w:sz w:val="20"/>
                <w:szCs w:val="20"/>
              </w:rPr>
            </w:pPr>
          </w:p>
        </w:tc>
      </w:tr>
      <w:tr w:rsidR="00EC2F31" w:rsidRPr="003C619F" w14:paraId="34296319"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0B8D08D9" w14:textId="77777777" w:rsidR="00EC2F31" w:rsidRPr="003C619F" w:rsidRDefault="00EC2F31" w:rsidP="00A6302C">
            <w:pPr>
              <w:jc w:val="center"/>
              <w:rPr>
                <w:sz w:val="20"/>
                <w:szCs w:val="20"/>
              </w:rPr>
            </w:pPr>
          </w:p>
        </w:tc>
        <w:tc>
          <w:tcPr>
            <w:tcW w:w="4394" w:type="dxa"/>
            <w:vAlign w:val="center"/>
          </w:tcPr>
          <w:p w14:paraId="3C992D32"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Seguimiento a la cartera</w:t>
            </w:r>
          </w:p>
        </w:tc>
        <w:tc>
          <w:tcPr>
            <w:tcW w:w="2277" w:type="dxa"/>
            <w:vMerge/>
            <w:vAlign w:val="center"/>
          </w:tcPr>
          <w:p w14:paraId="5B67B220"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b/>
                <w:sz w:val="20"/>
                <w:szCs w:val="20"/>
              </w:rPr>
            </w:pPr>
          </w:p>
        </w:tc>
      </w:tr>
      <w:tr w:rsidR="00EC2F31" w:rsidRPr="003C619F" w14:paraId="70037A86"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32CB7805"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42C82BA9"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Procesos penales</w:t>
            </w:r>
          </w:p>
        </w:tc>
        <w:tc>
          <w:tcPr>
            <w:tcW w:w="2277" w:type="dxa"/>
            <w:vAlign w:val="center"/>
          </w:tcPr>
          <w:p w14:paraId="143FD60D"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w:t>
            </w:r>
          </w:p>
        </w:tc>
      </w:tr>
      <w:tr w:rsidR="00EC2F31" w:rsidRPr="003C619F" w14:paraId="0F84554C"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restart"/>
            <w:vAlign w:val="center"/>
          </w:tcPr>
          <w:p w14:paraId="508063A9" w14:textId="77777777" w:rsidR="00EC2F31" w:rsidRPr="003C619F" w:rsidRDefault="00EC2F31" w:rsidP="00A6302C">
            <w:pPr>
              <w:jc w:val="center"/>
              <w:rPr>
                <w:rFonts w:eastAsia="Arial" w:cs="Arial"/>
                <w:color w:val="000000" w:themeColor="text1"/>
                <w:sz w:val="20"/>
                <w:szCs w:val="20"/>
              </w:rPr>
            </w:pPr>
            <w:r w:rsidRPr="003C619F">
              <w:rPr>
                <w:rFonts w:eastAsia="Arial" w:cs="Arial"/>
                <w:color w:val="000000" w:themeColor="text1"/>
                <w:sz w:val="20"/>
                <w:szCs w:val="20"/>
              </w:rPr>
              <w:t>Contratista</w:t>
            </w:r>
          </w:p>
        </w:tc>
        <w:tc>
          <w:tcPr>
            <w:tcW w:w="4394" w:type="dxa"/>
            <w:vAlign w:val="center"/>
          </w:tcPr>
          <w:p w14:paraId="687C2355"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Respuesta a solicitud de consultas jurídicas</w:t>
            </w:r>
          </w:p>
        </w:tc>
        <w:tc>
          <w:tcPr>
            <w:tcW w:w="2277" w:type="dxa"/>
            <w:vMerge w:val="restart"/>
            <w:vAlign w:val="center"/>
          </w:tcPr>
          <w:p w14:paraId="7D646504"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b/>
                <w:color w:val="000000" w:themeColor="text1"/>
                <w:sz w:val="20"/>
                <w:szCs w:val="20"/>
              </w:rPr>
            </w:pPr>
            <w:r w:rsidRPr="003C619F">
              <w:rPr>
                <w:rFonts w:eastAsia="Arial" w:cs="Arial"/>
                <w:b/>
                <w:color w:val="000000" w:themeColor="text1"/>
                <w:sz w:val="20"/>
                <w:szCs w:val="20"/>
              </w:rPr>
              <w:t>Judicial - Normativa</w:t>
            </w:r>
          </w:p>
        </w:tc>
      </w:tr>
      <w:tr w:rsidR="00EC2F31" w:rsidRPr="003C619F" w14:paraId="1EE2A075"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62C90E69" w14:textId="77777777" w:rsidR="00EC2F31" w:rsidRPr="003C619F" w:rsidRDefault="00EC2F31" w:rsidP="00A6302C">
            <w:pPr>
              <w:jc w:val="center"/>
              <w:rPr>
                <w:sz w:val="20"/>
                <w:szCs w:val="20"/>
              </w:rPr>
            </w:pPr>
          </w:p>
        </w:tc>
        <w:tc>
          <w:tcPr>
            <w:tcW w:w="4394" w:type="dxa"/>
            <w:vAlign w:val="center"/>
          </w:tcPr>
          <w:p w14:paraId="563ACF20"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Normograma institucional</w:t>
            </w:r>
          </w:p>
        </w:tc>
        <w:tc>
          <w:tcPr>
            <w:tcW w:w="2277" w:type="dxa"/>
            <w:vMerge/>
            <w:vAlign w:val="center"/>
          </w:tcPr>
          <w:p w14:paraId="2928D791" w14:textId="77777777" w:rsidR="00EC2F31" w:rsidRPr="003C619F" w:rsidRDefault="00EC2F31" w:rsidP="00A6302C">
            <w:pPr>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EC2F31" w:rsidRPr="003C619F" w14:paraId="6A3A9C4B"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689" w:type="dxa"/>
            <w:vMerge/>
            <w:vAlign w:val="center"/>
          </w:tcPr>
          <w:p w14:paraId="7732669E" w14:textId="77777777" w:rsidR="00EC2F31" w:rsidRPr="003C619F" w:rsidRDefault="00EC2F31" w:rsidP="00A6302C">
            <w:pPr>
              <w:jc w:val="center"/>
              <w:rPr>
                <w:sz w:val="20"/>
                <w:szCs w:val="20"/>
              </w:rPr>
            </w:pPr>
          </w:p>
        </w:tc>
        <w:tc>
          <w:tcPr>
            <w:tcW w:w="4394" w:type="dxa"/>
            <w:vAlign w:val="center"/>
          </w:tcPr>
          <w:p w14:paraId="6397AB7D"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0"/>
              </w:rPr>
            </w:pPr>
            <w:r w:rsidRPr="003C619F">
              <w:rPr>
                <w:rFonts w:eastAsia="Arial" w:cs="Arial"/>
                <w:color w:val="000000" w:themeColor="text1"/>
                <w:sz w:val="20"/>
                <w:szCs w:val="20"/>
              </w:rPr>
              <w:t>Apoyo a la regulación</w:t>
            </w:r>
          </w:p>
        </w:tc>
        <w:tc>
          <w:tcPr>
            <w:tcW w:w="2277" w:type="dxa"/>
            <w:vMerge/>
            <w:vAlign w:val="center"/>
          </w:tcPr>
          <w:p w14:paraId="4C9AD06C" w14:textId="77777777" w:rsidR="00EC2F31" w:rsidRPr="003C619F" w:rsidRDefault="00EC2F31" w:rsidP="00A6302C">
            <w:pPr>
              <w:jc w:val="center"/>
              <w:cnfStyle w:val="000000100000" w:firstRow="0" w:lastRow="0" w:firstColumn="0" w:lastColumn="0" w:oddVBand="0" w:evenVBand="0" w:oddHBand="1" w:evenHBand="0" w:firstRowFirstColumn="0" w:firstRowLastColumn="0" w:lastRowFirstColumn="0" w:lastRowLastColumn="0"/>
              <w:rPr>
                <w:sz w:val="20"/>
                <w:szCs w:val="20"/>
              </w:rPr>
            </w:pPr>
          </w:p>
        </w:tc>
      </w:tr>
    </w:tbl>
    <w:p w14:paraId="658ADA03" w14:textId="77777777" w:rsidR="00EC2F31" w:rsidRPr="003C619F" w:rsidRDefault="00EC2F31" w:rsidP="00EC2F31">
      <w:pPr>
        <w:jc w:val="center"/>
        <w:rPr>
          <w:rFonts w:eastAsia="Arial" w:cs="Arial"/>
          <w:b/>
          <w:color w:val="000000" w:themeColor="text1"/>
          <w:sz w:val="16"/>
          <w:szCs w:val="20"/>
        </w:rPr>
      </w:pPr>
      <w:r w:rsidRPr="003C619F">
        <w:rPr>
          <w:rFonts w:eastAsia="Arial" w:cs="Arial"/>
          <w:b/>
          <w:color w:val="000000" w:themeColor="text1"/>
          <w:sz w:val="16"/>
          <w:szCs w:val="20"/>
          <w:lang w:val="es"/>
        </w:rPr>
        <w:t>Fuente: Oficina Asesora Jurídica</w:t>
      </w:r>
    </w:p>
    <w:p w14:paraId="1ADA8D18" w14:textId="77777777" w:rsidR="00EC2F31" w:rsidRDefault="00EC2F31" w:rsidP="00EC2F31">
      <w:pPr>
        <w:jc w:val="both"/>
        <w:rPr>
          <w:rFonts w:eastAsia="Arial" w:cs="Arial"/>
          <w:color w:val="000000" w:themeColor="text1"/>
          <w:sz w:val="22"/>
          <w:szCs w:val="22"/>
        </w:rPr>
      </w:pPr>
    </w:p>
    <w:p w14:paraId="4D6389B1" w14:textId="77777777" w:rsidR="00EC2F31" w:rsidRDefault="00EC2F31" w:rsidP="00EC2F31">
      <w:pPr>
        <w:jc w:val="both"/>
        <w:rPr>
          <w:rFonts w:eastAsia="Arial" w:cs="Arial"/>
          <w:color w:val="000000" w:themeColor="text1"/>
          <w:sz w:val="22"/>
          <w:szCs w:val="22"/>
        </w:rPr>
      </w:pPr>
      <w:r w:rsidRPr="0E07C252">
        <w:rPr>
          <w:rFonts w:eastAsia="Arial" w:cs="Arial"/>
          <w:color w:val="000000" w:themeColor="text1"/>
          <w:sz w:val="22"/>
          <w:szCs w:val="22"/>
          <w:lang w:val="es"/>
        </w:rPr>
        <w:t>Aún con el apoyo ejercido por contratistas, la Oficina Asesora Jurídica requiere de más personal para poder efectuar las funciones asignadas, e</w:t>
      </w:r>
      <w:r w:rsidRPr="0E07C252">
        <w:rPr>
          <w:rFonts w:eastAsia="Arial" w:cs="Arial"/>
          <w:color w:val="000000" w:themeColor="text1"/>
          <w:sz w:val="22"/>
          <w:szCs w:val="22"/>
        </w:rPr>
        <w:t xml:space="preserve">n especial, aquellas relacionadas con actualizar la gestión documental de la dependencia. </w:t>
      </w:r>
    </w:p>
    <w:p w14:paraId="7EA61913" w14:textId="77777777" w:rsidR="00EC2F31" w:rsidRDefault="00EC2F31" w:rsidP="00EC2F31">
      <w:pPr>
        <w:jc w:val="both"/>
        <w:rPr>
          <w:rFonts w:eastAsia="Arial" w:cs="Arial"/>
          <w:color w:val="000000" w:themeColor="text1"/>
          <w:sz w:val="22"/>
          <w:szCs w:val="22"/>
        </w:rPr>
      </w:pPr>
    </w:p>
    <w:p w14:paraId="451CDC92" w14:textId="77777777" w:rsidR="00EC2F31" w:rsidRDefault="00EC2F31" w:rsidP="00EC2F31">
      <w:pPr>
        <w:ind w:left="1252"/>
        <w:rPr>
          <w:b/>
          <w:bCs/>
        </w:rPr>
      </w:pPr>
    </w:p>
    <w:p w14:paraId="7F46B1D0" w14:textId="77777777" w:rsidR="00EC2F31" w:rsidRPr="00DF71E7" w:rsidRDefault="00EC2F31" w:rsidP="00A6302C">
      <w:pPr>
        <w:pStyle w:val="Prrafodelista"/>
        <w:numPr>
          <w:ilvl w:val="2"/>
          <w:numId w:val="22"/>
        </w:numPr>
        <w:rPr>
          <w:b/>
          <w:bCs/>
          <w:sz w:val="22"/>
          <w:szCs w:val="22"/>
        </w:rPr>
      </w:pPr>
      <w:r w:rsidRPr="002D2F11">
        <w:rPr>
          <w:b/>
          <w:bCs/>
          <w:sz w:val="22"/>
          <w:szCs w:val="22"/>
        </w:rPr>
        <w:t xml:space="preserve">PROCESOS A CARGO </w:t>
      </w:r>
    </w:p>
    <w:p w14:paraId="56208487" w14:textId="77777777" w:rsidR="00EC2F31" w:rsidRDefault="00EC2F31" w:rsidP="00EC2F31">
      <w:pPr>
        <w:pStyle w:val="Lista"/>
      </w:pPr>
    </w:p>
    <w:p w14:paraId="38891492" w14:textId="77777777" w:rsidR="00EC2F31" w:rsidRDefault="00EC2F31" w:rsidP="00EC2F31">
      <w:pPr>
        <w:jc w:val="both"/>
        <w:rPr>
          <w:rFonts w:eastAsia="Arial" w:cs="Arial"/>
          <w:color w:val="000000" w:themeColor="text1"/>
          <w:sz w:val="22"/>
          <w:szCs w:val="22"/>
        </w:rPr>
      </w:pPr>
      <w:r w:rsidRPr="0E07C252">
        <w:rPr>
          <w:rFonts w:eastAsia="Arial" w:cs="Arial"/>
          <w:color w:val="000000" w:themeColor="text1"/>
          <w:sz w:val="22"/>
          <w:szCs w:val="22"/>
          <w:lang w:val="es"/>
        </w:rPr>
        <w:t>El proceso de gestión jurídica que está a cargo actualmente de la Oficina Asesora Jurídica, se compone de los siguientes subprocesos:</w:t>
      </w:r>
    </w:p>
    <w:p w14:paraId="7DE70398" w14:textId="77777777" w:rsidR="00EC2F31" w:rsidRDefault="00EC2F31" w:rsidP="00EC2F31">
      <w:pPr>
        <w:spacing w:before="240"/>
        <w:jc w:val="both"/>
        <w:rPr>
          <w:rFonts w:eastAsia="Arial" w:cs="Arial"/>
          <w:color w:val="000000" w:themeColor="text1"/>
          <w:sz w:val="22"/>
          <w:szCs w:val="22"/>
        </w:rPr>
      </w:pPr>
      <w:r w:rsidRPr="0E07C252">
        <w:rPr>
          <w:rStyle w:val="Nmerodepgina"/>
          <w:rFonts w:eastAsia="Arial" w:cs="Arial"/>
          <w:b/>
          <w:bCs/>
          <w:color w:val="000000" w:themeColor="text1"/>
          <w:sz w:val="22"/>
          <w:szCs w:val="22"/>
          <w:lang w:val="es-CO"/>
        </w:rPr>
        <w:t>Subproceso Judicial:</w:t>
      </w:r>
      <w:r>
        <w:rPr>
          <w:rStyle w:val="Nmerodepgina"/>
          <w:rFonts w:eastAsia="Arial" w:cs="Arial"/>
          <w:b/>
          <w:bCs/>
          <w:color w:val="000000" w:themeColor="text1"/>
          <w:sz w:val="22"/>
          <w:szCs w:val="22"/>
          <w:lang w:val="es-CO"/>
        </w:rPr>
        <w:t xml:space="preserve"> </w:t>
      </w:r>
      <w:r w:rsidRPr="0E07C252">
        <w:rPr>
          <w:rStyle w:val="Nmerodepgina"/>
          <w:rFonts w:eastAsia="Arial" w:cs="Arial"/>
          <w:color w:val="000000" w:themeColor="text1"/>
          <w:sz w:val="22"/>
          <w:szCs w:val="22"/>
          <w:lang w:val="es-CO"/>
        </w:rPr>
        <w:t>Tiene como objetivo realizar la defensa jurídica de la entidad de forma oportuna, atendiendo los procesos con eficacia, apoyando el cumplimiento de los objetivos institucionales. El proceso inicia con la identificación de necesidades, continúa con la notificación de las diferentes acciones judiciales y extrajudiciales en los que la Entidad es parte o asignación de documentos, de trámites de contratos, convenios sin ingresos económicos para el IGAC o actos administrativos para revisión jurídica y/o trámite, continúa con la representación judicial o extrajudicial que es ejercida durante todos los procesos o la correspondiente asesoría o trámite jurídico y culmina con la elaboración de acciones de mejoramiento cuando a ello tiene lugar.</w:t>
      </w:r>
    </w:p>
    <w:p w14:paraId="2281E744" w14:textId="77777777" w:rsidR="00EC2F31" w:rsidRDefault="00EC2F31" w:rsidP="00EC2F31">
      <w:pPr>
        <w:spacing w:before="240"/>
        <w:jc w:val="both"/>
        <w:rPr>
          <w:rFonts w:eastAsia="Arial" w:cs="Arial"/>
          <w:color w:val="000000" w:themeColor="text1"/>
          <w:sz w:val="22"/>
          <w:szCs w:val="22"/>
        </w:rPr>
      </w:pPr>
      <w:r w:rsidRPr="0E07C252">
        <w:rPr>
          <w:rStyle w:val="Nmerodepgina"/>
          <w:rFonts w:eastAsia="Arial" w:cs="Arial"/>
          <w:b/>
          <w:bCs/>
          <w:color w:val="000000" w:themeColor="text1"/>
          <w:sz w:val="22"/>
          <w:szCs w:val="22"/>
          <w:lang w:val="es-CO"/>
        </w:rPr>
        <w:t>Subproceso Normativa:</w:t>
      </w:r>
      <w:r>
        <w:rPr>
          <w:rFonts w:eastAsia="Arial" w:cs="Arial"/>
          <w:color w:val="000000" w:themeColor="text1"/>
          <w:sz w:val="22"/>
          <w:szCs w:val="22"/>
        </w:rPr>
        <w:t xml:space="preserve"> </w:t>
      </w:r>
      <w:r w:rsidRPr="0E07C252">
        <w:rPr>
          <w:rStyle w:val="Nmerodepgina"/>
          <w:rFonts w:eastAsia="Arial" w:cs="Arial"/>
          <w:color w:val="000000" w:themeColor="text1"/>
          <w:sz w:val="22"/>
          <w:szCs w:val="22"/>
          <w:lang w:val="es-CO"/>
        </w:rPr>
        <w:t xml:space="preserve">Su objetivo es establecer las actividades para la identificación, actualización, control y comunicación de la normatividad aplicable al Instituto Geográfico Agustín Codazzi – IGAC, que permita dar cumplimiento de las obligaciones que se derivan de los requisitos legales y/o normativos, asociados a los procesos de la entidad, mediante la publicación de los actos y documentos administrativos en el Normograma de la Entidad, además de  establecer  los requisitos, actividades y responsables de la estructuración y gestión del trámite </w:t>
      </w:r>
      <w:r w:rsidRPr="0E07C252">
        <w:rPr>
          <w:rStyle w:val="Nmerodepgina"/>
          <w:rFonts w:eastAsia="Arial" w:cs="Arial"/>
          <w:color w:val="000000" w:themeColor="text1"/>
          <w:sz w:val="22"/>
          <w:szCs w:val="22"/>
          <w:lang w:val="es-CO"/>
        </w:rPr>
        <w:lastRenderedPageBreak/>
        <w:t xml:space="preserve">para la celebración, ejecución, modificación, terminación o liquidación de contratos y convenios de competencia de la Oficina Asesora Jurídica; así como la asesoría jurídica y control de legalidad de documentos y actos administrativos. </w:t>
      </w:r>
    </w:p>
    <w:p w14:paraId="6C91D7B8" w14:textId="77777777" w:rsidR="00EC2F31" w:rsidRDefault="00EC2F31" w:rsidP="00EC2F31">
      <w:pPr>
        <w:jc w:val="both"/>
        <w:rPr>
          <w:rFonts w:eastAsia="Arial" w:cs="Arial"/>
          <w:color w:val="000000" w:themeColor="text1"/>
          <w:sz w:val="22"/>
          <w:szCs w:val="22"/>
        </w:rPr>
      </w:pPr>
    </w:p>
    <w:p w14:paraId="320D9AA4" w14:textId="77777777" w:rsidR="00EC2F31" w:rsidRDefault="00EC2F31" w:rsidP="00EC2F31">
      <w:pPr>
        <w:jc w:val="both"/>
        <w:rPr>
          <w:rFonts w:eastAsia="Arial" w:cs="Arial"/>
          <w:color w:val="000000" w:themeColor="text1"/>
          <w:sz w:val="22"/>
          <w:szCs w:val="22"/>
        </w:rPr>
      </w:pPr>
      <w:r w:rsidRPr="0E07C252">
        <w:rPr>
          <w:rStyle w:val="Nmerodepgina"/>
          <w:rFonts w:eastAsia="Arial" w:cs="Arial"/>
          <w:color w:val="000000" w:themeColor="text1"/>
          <w:sz w:val="22"/>
          <w:szCs w:val="22"/>
          <w:lang w:val="es-CO"/>
        </w:rPr>
        <w:t>El subproceso inicia con la identificación de la normatividad aplicable a los procesos y actividades desarrolladas en el IGAC por parte de las distintas dependencias de la Entidad y finaliza con la publicación de las respectivas disposiciones en el Normograma de la entidad. Para el caso de los contratos y convenios sin ingresos económicos para el IGAC, se inicia con la identificación de necesidades o invitaciones de los interesados en la celebración del contrato o convenio, continua con el trámite del contrato o convenio, revisión y verificación de condiciones y requisitos jurídicos, la suscripción del contrato o convenio, su ejecución y modificación, y finaliza con el archivo del expediente contractual.</w:t>
      </w:r>
    </w:p>
    <w:p w14:paraId="4EF25587" w14:textId="77777777" w:rsidR="00EC2F31" w:rsidRDefault="00EC2F31" w:rsidP="00EC2F31">
      <w:pPr>
        <w:jc w:val="both"/>
        <w:rPr>
          <w:rFonts w:eastAsia="Arial" w:cs="Arial"/>
          <w:color w:val="000000" w:themeColor="text1"/>
          <w:sz w:val="22"/>
          <w:szCs w:val="22"/>
        </w:rPr>
      </w:pPr>
    </w:p>
    <w:p w14:paraId="41C7EE9D" w14:textId="77777777" w:rsidR="00EC2F31" w:rsidRDefault="00EC2F31" w:rsidP="00EC2F31">
      <w:pPr>
        <w:jc w:val="both"/>
        <w:rPr>
          <w:rFonts w:eastAsia="Arial" w:cs="Arial"/>
          <w:color w:val="000000" w:themeColor="text1"/>
          <w:sz w:val="22"/>
          <w:szCs w:val="22"/>
        </w:rPr>
      </w:pPr>
      <w:r w:rsidRPr="0E07C252">
        <w:rPr>
          <w:rStyle w:val="Nmerodepgina"/>
          <w:rFonts w:eastAsia="Arial" w:cs="Arial"/>
          <w:b/>
          <w:bCs/>
          <w:color w:val="000000" w:themeColor="text1"/>
          <w:sz w:val="22"/>
          <w:szCs w:val="22"/>
          <w:lang w:val="es-CO"/>
        </w:rPr>
        <w:t>S</w:t>
      </w:r>
      <w:r>
        <w:rPr>
          <w:rStyle w:val="Nmerodepgina"/>
          <w:rFonts w:eastAsia="Arial" w:cs="Arial"/>
          <w:b/>
          <w:bCs/>
          <w:color w:val="000000" w:themeColor="text1"/>
          <w:sz w:val="22"/>
          <w:szCs w:val="22"/>
          <w:lang w:val="es-CO"/>
        </w:rPr>
        <w:t xml:space="preserve">ubproceso Propiedad intelectual: </w:t>
      </w:r>
      <w:r w:rsidRPr="0E07C252">
        <w:rPr>
          <w:rStyle w:val="Nmerodepgina"/>
          <w:rFonts w:eastAsia="Arial" w:cs="Arial"/>
          <w:color w:val="000000" w:themeColor="text1"/>
          <w:sz w:val="22"/>
          <w:szCs w:val="22"/>
          <w:lang w:val="es-CO"/>
        </w:rPr>
        <w:t>Tiene como objetivo establecer las actividades para registrar ante la Dirección Nacional de Derecho de Autor - DNDA las obras elaboradas por el Instituto Geográfico Agustín Codazzi – IGAC y cumplir con el depósito legal de que trata el artículo 7 de la Ley 44 de 1993, así como tramitar el registro y renovación de los signos distintivos ante la Superintendencia de Industria y Comercio – SIC.</w:t>
      </w:r>
    </w:p>
    <w:p w14:paraId="2E19DD52" w14:textId="77777777" w:rsidR="00EC2F31" w:rsidRDefault="00EC2F31" w:rsidP="00EC2F31">
      <w:pPr>
        <w:spacing w:before="240"/>
        <w:jc w:val="both"/>
        <w:rPr>
          <w:rFonts w:eastAsia="Arial" w:cs="Arial"/>
          <w:color w:val="000000" w:themeColor="text1"/>
          <w:sz w:val="22"/>
          <w:szCs w:val="22"/>
        </w:rPr>
      </w:pPr>
      <w:r w:rsidRPr="0E07C252">
        <w:rPr>
          <w:rStyle w:val="Nmerodepgina"/>
          <w:rFonts w:eastAsia="Arial" w:cs="Arial"/>
          <w:color w:val="000000" w:themeColor="text1"/>
          <w:sz w:val="22"/>
          <w:szCs w:val="22"/>
          <w:lang w:val="es-CO"/>
        </w:rPr>
        <w:t>Este subproceso aplica a todos los procesos del IGAC cuyo resultado de gestión sea la producción de obras o signos distintivos. Inicia con la solicitud de registro de las obras o signos distintivos producidos por los procesos de la Entidad, continúa con la verificación del cumplimiento de los lineamientos establecidos y finaliza con el registro, depósito legal o renovación de las obras y/o signos distintivos ante las entidades competentes.</w:t>
      </w:r>
    </w:p>
    <w:p w14:paraId="314C55ED" w14:textId="77777777" w:rsidR="00EC2F31" w:rsidRDefault="00EC2F31" w:rsidP="00EC2F31">
      <w:pPr>
        <w:pStyle w:val="Lista"/>
      </w:pPr>
    </w:p>
    <w:p w14:paraId="58893558" w14:textId="77777777" w:rsidR="00EC2F31" w:rsidRPr="002D2F11" w:rsidRDefault="00EC2F31" w:rsidP="00A6302C">
      <w:pPr>
        <w:pStyle w:val="Prrafodelista"/>
        <w:numPr>
          <w:ilvl w:val="2"/>
          <w:numId w:val="22"/>
        </w:numPr>
        <w:rPr>
          <w:b/>
          <w:bCs/>
          <w:sz w:val="22"/>
          <w:szCs w:val="22"/>
        </w:rPr>
      </w:pPr>
      <w:r w:rsidRPr="002D2F11">
        <w:rPr>
          <w:b/>
          <w:bCs/>
          <w:sz w:val="22"/>
          <w:szCs w:val="22"/>
        </w:rPr>
        <w:t>RESULTADOS Y LOGROS</w:t>
      </w:r>
    </w:p>
    <w:p w14:paraId="22D05F6A" w14:textId="77777777" w:rsidR="00EC2F31" w:rsidRDefault="00EC2F31" w:rsidP="00EC2F31">
      <w:pPr>
        <w:pStyle w:val="Lista"/>
      </w:pPr>
    </w:p>
    <w:p w14:paraId="2EE9354F" w14:textId="77777777" w:rsidR="00EC2F31" w:rsidRDefault="00EC2F31" w:rsidP="00EC2F31">
      <w:pPr>
        <w:spacing w:before="240" w:after="240"/>
        <w:jc w:val="both"/>
        <w:rPr>
          <w:rFonts w:eastAsia="Arial" w:cs="Arial"/>
          <w:color w:val="000000" w:themeColor="text1"/>
          <w:sz w:val="22"/>
          <w:szCs w:val="22"/>
        </w:rPr>
      </w:pPr>
      <w:r w:rsidRPr="2523FA37">
        <w:rPr>
          <w:rFonts w:eastAsia="Arial" w:cs="Arial"/>
          <w:b/>
          <w:bCs/>
          <w:color w:val="000000" w:themeColor="text1"/>
          <w:sz w:val="22"/>
          <w:szCs w:val="22"/>
        </w:rPr>
        <w:t xml:space="preserve">4.10.3.1 </w:t>
      </w:r>
      <w:r w:rsidRPr="0E07C252">
        <w:rPr>
          <w:rFonts w:eastAsia="Arial" w:cs="Arial"/>
          <w:b/>
          <w:bCs/>
          <w:color w:val="000000" w:themeColor="text1"/>
          <w:sz w:val="22"/>
          <w:szCs w:val="22"/>
        </w:rPr>
        <w:t>SUBPROCESO JUDICIAL</w:t>
      </w:r>
    </w:p>
    <w:p w14:paraId="43AEDC55" w14:textId="77777777" w:rsidR="00EC2F31" w:rsidRPr="003C619F" w:rsidRDefault="00EC2F31" w:rsidP="000A20EE">
      <w:pPr>
        <w:pStyle w:val="Prrafodelista"/>
        <w:numPr>
          <w:ilvl w:val="0"/>
          <w:numId w:val="177"/>
        </w:numPr>
        <w:spacing w:before="240" w:after="240"/>
        <w:rPr>
          <w:rFonts w:eastAsia="Arial" w:cs="Arial"/>
          <w:b/>
          <w:color w:val="000000" w:themeColor="text1"/>
          <w:sz w:val="22"/>
          <w:szCs w:val="22"/>
        </w:rPr>
      </w:pPr>
      <w:r w:rsidRPr="003C619F">
        <w:rPr>
          <w:rFonts w:eastAsia="Arial" w:cs="Arial"/>
          <w:b/>
          <w:color w:val="000000" w:themeColor="text1"/>
          <w:sz w:val="22"/>
          <w:szCs w:val="22"/>
          <w:lang w:val="es-CO"/>
        </w:rPr>
        <w:t>PROCESOS JUDICIALES</w:t>
      </w:r>
    </w:p>
    <w:p w14:paraId="26479168" w14:textId="77777777" w:rsidR="00EC2F31" w:rsidRPr="00591623" w:rsidRDefault="00EC2F31" w:rsidP="00EC2F31">
      <w:pPr>
        <w:spacing w:before="240" w:after="240"/>
        <w:jc w:val="both"/>
        <w:rPr>
          <w:rFonts w:eastAsia="Arial" w:cs="Arial"/>
          <w:b/>
          <w:color w:val="000000" w:themeColor="text1"/>
          <w:sz w:val="18"/>
          <w:szCs w:val="22"/>
          <w:lang w:val="es-CO"/>
        </w:rPr>
      </w:pPr>
      <w:r w:rsidRPr="0E07C252">
        <w:rPr>
          <w:rFonts w:eastAsia="Arial" w:cs="Arial"/>
          <w:color w:val="000000" w:themeColor="text1"/>
          <w:sz w:val="22"/>
          <w:szCs w:val="22"/>
          <w:lang w:val="es-CO"/>
        </w:rPr>
        <w:t xml:space="preserve">La entidad se ha caracterizado por tener baja litigiosidad de conformidad con los parámetros establecidos por la Agencia Nacional de Defensa Jurídica del Estado - ANDJE, y ha mantenido esa tendencia en el tiempo. </w:t>
      </w:r>
    </w:p>
    <w:p w14:paraId="56B22875" w14:textId="4D460ECC" w:rsidR="00912343" w:rsidRPr="00591623" w:rsidRDefault="00A6302C" w:rsidP="00A6302C">
      <w:pPr>
        <w:pStyle w:val="Descripcin"/>
        <w:jc w:val="center"/>
        <w:rPr>
          <w:rFonts w:ascii="Arial" w:hAnsi="Arial" w:cs="Arial"/>
          <w:b/>
          <w:i w:val="0"/>
          <w:color w:val="000000" w:themeColor="text1"/>
          <w:sz w:val="16"/>
        </w:rPr>
      </w:pPr>
      <w:bookmarkStart w:id="202" w:name="_Toc88677220"/>
      <w:r w:rsidRPr="00591623">
        <w:rPr>
          <w:rFonts w:ascii="Arial" w:hAnsi="Arial" w:cs="Arial"/>
          <w:b/>
          <w:i w:val="0"/>
          <w:color w:val="000000" w:themeColor="text1"/>
          <w:sz w:val="16"/>
        </w:rPr>
        <w:t xml:space="preserve">Ilustración </w:t>
      </w:r>
      <w:r w:rsidRPr="00591623">
        <w:rPr>
          <w:rFonts w:ascii="Arial" w:hAnsi="Arial" w:cs="Arial"/>
          <w:b/>
          <w:i w:val="0"/>
          <w:color w:val="000000" w:themeColor="text1"/>
          <w:sz w:val="16"/>
        </w:rPr>
        <w:fldChar w:fldCharType="begin"/>
      </w:r>
      <w:r w:rsidRPr="00591623">
        <w:rPr>
          <w:rFonts w:ascii="Arial" w:hAnsi="Arial" w:cs="Arial"/>
          <w:b/>
          <w:i w:val="0"/>
          <w:color w:val="000000" w:themeColor="text1"/>
          <w:sz w:val="16"/>
        </w:rPr>
        <w:instrText xml:space="preserve"> SEQ Ilustración \* ARABIC </w:instrText>
      </w:r>
      <w:r w:rsidRPr="00591623">
        <w:rPr>
          <w:rFonts w:ascii="Arial" w:hAnsi="Arial" w:cs="Arial"/>
          <w:b/>
          <w:i w:val="0"/>
          <w:color w:val="000000" w:themeColor="text1"/>
          <w:sz w:val="16"/>
        </w:rPr>
        <w:fldChar w:fldCharType="separate"/>
      </w:r>
      <w:r w:rsidR="005D5B0E" w:rsidRPr="00591623">
        <w:rPr>
          <w:rFonts w:ascii="Arial" w:hAnsi="Arial" w:cs="Arial"/>
          <w:b/>
          <w:i w:val="0"/>
          <w:noProof/>
          <w:color w:val="000000" w:themeColor="text1"/>
          <w:sz w:val="16"/>
        </w:rPr>
        <w:t>64</w:t>
      </w:r>
      <w:r w:rsidRPr="00591623">
        <w:rPr>
          <w:rFonts w:ascii="Arial" w:hAnsi="Arial" w:cs="Arial"/>
          <w:b/>
          <w:i w:val="0"/>
          <w:color w:val="000000" w:themeColor="text1"/>
          <w:sz w:val="16"/>
        </w:rPr>
        <w:fldChar w:fldCharType="end"/>
      </w:r>
      <w:r w:rsidRPr="00591623">
        <w:rPr>
          <w:rFonts w:ascii="Arial" w:hAnsi="Arial" w:cs="Arial"/>
          <w:b/>
          <w:i w:val="0"/>
          <w:color w:val="000000" w:themeColor="text1"/>
          <w:sz w:val="16"/>
        </w:rPr>
        <w:t>. Informe de litigiosidad corte 30 junio 2021</w:t>
      </w:r>
      <w:bookmarkEnd w:id="202"/>
    </w:p>
    <w:p w14:paraId="3CAD19EA" w14:textId="73CE9189" w:rsidR="00EC2F31" w:rsidRDefault="00EC2F31" w:rsidP="00A6302C">
      <w:pPr>
        <w:pStyle w:val="Descripcin"/>
        <w:jc w:val="center"/>
        <w:rPr>
          <w:rFonts w:eastAsia="Arial" w:cs="Arial"/>
          <w:color w:val="000000" w:themeColor="text1"/>
          <w:sz w:val="20"/>
          <w:szCs w:val="20"/>
        </w:rPr>
      </w:pPr>
      <w:r>
        <w:rPr>
          <w:noProof/>
          <w:lang w:eastAsia="es-CO"/>
        </w:rPr>
        <w:drawing>
          <wp:inline distT="0" distB="0" distL="0" distR="0" wp14:anchorId="382A5889" wp14:editId="4B934B5F">
            <wp:extent cx="4295775" cy="1285875"/>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5" cstate="print">
                      <a:extLst>
                        <a:ext uri="{28A0092B-C50C-407E-A947-70E740481C1C}">
                          <a14:useLocalDpi xmlns:a14="http://schemas.microsoft.com/office/drawing/2010/main" val="0"/>
                        </a:ext>
                      </a:extLst>
                    </a:blip>
                    <a:stretch>
                      <a:fillRect/>
                    </a:stretch>
                  </pic:blipFill>
                  <pic:spPr>
                    <a:xfrm>
                      <a:off x="0" y="0"/>
                      <a:ext cx="4295775" cy="1285875"/>
                    </a:xfrm>
                    <a:prstGeom prst="rect">
                      <a:avLst/>
                    </a:prstGeom>
                  </pic:spPr>
                </pic:pic>
              </a:graphicData>
            </a:graphic>
          </wp:inline>
        </w:drawing>
      </w:r>
    </w:p>
    <w:p w14:paraId="57C7F0EF" w14:textId="77777777" w:rsidR="00EC2F31" w:rsidRPr="003C619F" w:rsidRDefault="00EC2F31" w:rsidP="00EC2F31">
      <w:pPr>
        <w:spacing w:before="240" w:after="240"/>
        <w:jc w:val="center"/>
        <w:rPr>
          <w:rFonts w:eastAsia="Arial" w:cs="Arial"/>
          <w:b/>
          <w:color w:val="000000" w:themeColor="text1"/>
          <w:sz w:val="16"/>
          <w:szCs w:val="20"/>
        </w:rPr>
      </w:pPr>
      <w:r w:rsidRPr="003C619F">
        <w:rPr>
          <w:rFonts w:eastAsia="Arial" w:cs="Arial"/>
          <w:b/>
          <w:color w:val="000000" w:themeColor="text1"/>
          <w:sz w:val="16"/>
          <w:szCs w:val="20"/>
          <w:lang w:val="es-MX"/>
        </w:rPr>
        <w:t>Fuente: ANDJE</w:t>
      </w:r>
    </w:p>
    <w:p w14:paraId="2C72F33E" w14:textId="77777777" w:rsidR="00EC2F31" w:rsidRDefault="00EC2F31" w:rsidP="00EC2F31">
      <w:pPr>
        <w:spacing w:before="240" w:after="240"/>
        <w:jc w:val="both"/>
        <w:rPr>
          <w:rFonts w:eastAsia="Arial" w:cs="Arial"/>
          <w:color w:val="000000" w:themeColor="text1"/>
          <w:sz w:val="22"/>
          <w:szCs w:val="22"/>
        </w:rPr>
      </w:pPr>
    </w:p>
    <w:p w14:paraId="50EA5303"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lang w:val="es-CO"/>
        </w:rPr>
        <w:lastRenderedPageBreak/>
        <w:t>A la fecha, la Entidad cuenta con 250 procesos en contra 39 iniciados. La mayor cantidad de procesos reclaman la nulidad y restablecimiento del derecho (49,2%), seguido por la reparación directa (19,8%).</w:t>
      </w:r>
    </w:p>
    <w:p w14:paraId="487F6A7D" w14:textId="7747F19F" w:rsidR="00EC2F31" w:rsidRPr="00A6302C" w:rsidRDefault="00EC2F31" w:rsidP="00A6302C">
      <w:pPr>
        <w:pStyle w:val="Descripcin"/>
        <w:jc w:val="center"/>
        <w:rPr>
          <w:rFonts w:ascii="Arial" w:eastAsia="Arial" w:hAnsi="Arial" w:cs="Arial"/>
          <w:b/>
          <w:i w:val="0"/>
          <w:color w:val="000000" w:themeColor="text1"/>
          <w:sz w:val="20"/>
          <w:szCs w:val="22"/>
        </w:rPr>
      </w:pPr>
      <w:bookmarkStart w:id="203" w:name="_Toc88677221"/>
      <w:r w:rsidRPr="00A6302C">
        <w:rPr>
          <w:rFonts w:ascii="Arial" w:hAnsi="Arial" w:cs="Arial"/>
          <w:b/>
          <w:i w:val="0"/>
          <w:noProof/>
          <w:color w:val="000000" w:themeColor="text1"/>
          <w:sz w:val="16"/>
          <w:lang w:eastAsia="es-CO"/>
        </w:rPr>
        <w:drawing>
          <wp:anchor distT="0" distB="0" distL="114300" distR="114300" simplePos="0" relativeHeight="251658264" behindDoc="0" locked="0" layoutInCell="1" allowOverlap="1" wp14:anchorId="6CBF5FEA" wp14:editId="04CF7D23">
            <wp:simplePos x="0" y="0"/>
            <wp:positionH relativeFrom="column">
              <wp:posOffset>755650</wp:posOffset>
            </wp:positionH>
            <wp:positionV relativeFrom="paragraph">
              <wp:posOffset>146685</wp:posOffset>
            </wp:positionV>
            <wp:extent cx="4314825" cy="1736725"/>
            <wp:effectExtent l="0" t="0" r="9525" b="0"/>
            <wp:wrapSquare wrapText="bothSides"/>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6" cstate="print">
                      <a:extLst>
                        <a:ext uri="{28A0092B-C50C-407E-A947-70E740481C1C}">
                          <a14:useLocalDpi xmlns:a14="http://schemas.microsoft.com/office/drawing/2010/main" val="0"/>
                        </a:ext>
                      </a:extLst>
                    </a:blip>
                    <a:srcRect t="7445"/>
                    <a:stretch/>
                  </pic:blipFill>
                  <pic:spPr bwMode="auto">
                    <a:xfrm>
                      <a:off x="0" y="0"/>
                      <a:ext cx="4314825" cy="1736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6302C" w:rsidRPr="00A6302C">
        <w:rPr>
          <w:rFonts w:ascii="Arial" w:hAnsi="Arial" w:cs="Arial"/>
          <w:b/>
          <w:i w:val="0"/>
          <w:color w:val="000000" w:themeColor="text1"/>
          <w:sz w:val="16"/>
        </w:rPr>
        <w:t xml:space="preserve">Ilustración </w:t>
      </w:r>
      <w:r w:rsidR="00A6302C" w:rsidRPr="00A6302C">
        <w:rPr>
          <w:rFonts w:ascii="Arial" w:hAnsi="Arial" w:cs="Arial"/>
          <w:b/>
          <w:i w:val="0"/>
          <w:color w:val="000000" w:themeColor="text1"/>
          <w:sz w:val="16"/>
        </w:rPr>
        <w:fldChar w:fldCharType="begin"/>
      </w:r>
      <w:r w:rsidR="00A6302C" w:rsidRPr="00A6302C">
        <w:rPr>
          <w:rFonts w:ascii="Arial" w:hAnsi="Arial" w:cs="Arial"/>
          <w:b/>
          <w:i w:val="0"/>
          <w:color w:val="000000" w:themeColor="text1"/>
          <w:sz w:val="16"/>
        </w:rPr>
        <w:instrText xml:space="preserve"> SEQ Ilustración \* ARABIC </w:instrText>
      </w:r>
      <w:r w:rsidR="00A6302C"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65</w:t>
      </w:r>
      <w:r w:rsidR="00A6302C" w:rsidRPr="00A6302C">
        <w:rPr>
          <w:rFonts w:ascii="Arial" w:hAnsi="Arial" w:cs="Arial"/>
          <w:b/>
          <w:i w:val="0"/>
          <w:color w:val="000000" w:themeColor="text1"/>
          <w:sz w:val="16"/>
        </w:rPr>
        <w:fldChar w:fldCharType="end"/>
      </w:r>
      <w:r w:rsidR="00A6302C" w:rsidRPr="00A6302C">
        <w:rPr>
          <w:rFonts w:ascii="Arial" w:hAnsi="Arial" w:cs="Arial"/>
          <w:b/>
          <w:i w:val="0"/>
          <w:color w:val="000000" w:themeColor="text1"/>
          <w:sz w:val="16"/>
        </w:rPr>
        <w:t>. Número de Procesos</w:t>
      </w:r>
      <w:bookmarkEnd w:id="203"/>
    </w:p>
    <w:p w14:paraId="5B25136D" w14:textId="77777777" w:rsidR="00EC2F31" w:rsidRDefault="00EC2F31" w:rsidP="00EC2F31">
      <w:pPr>
        <w:spacing w:before="240" w:after="240"/>
        <w:jc w:val="center"/>
        <w:rPr>
          <w:rFonts w:eastAsia="Arial" w:cs="Arial"/>
          <w:color w:val="000000" w:themeColor="text1"/>
          <w:sz w:val="20"/>
          <w:szCs w:val="20"/>
          <w:lang w:val="es-CO"/>
        </w:rPr>
      </w:pPr>
    </w:p>
    <w:p w14:paraId="38672A85" w14:textId="77777777" w:rsidR="00EC2F31" w:rsidRDefault="00EC2F31" w:rsidP="00EC2F31">
      <w:pPr>
        <w:spacing w:before="240" w:after="240"/>
        <w:jc w:val="center"/>
        <w:rPr>
          <w:rFonts w:eastAsia="Arial" w:cs="Arial"/>
          <w:color w:val="000000" w:themeColor="text1"/>
          <w:sz w:val="20"/>
          <w:szCs w:val="20"/>
          <w:lang w:val="es-CO"/>
        </w:rPr>
      </w:pPr>
    </w:p>
    <w:p w14:paraId="68D6F5B3" w14:textId="77777777" w:rsidR="00EC2F31" w:rsidRDefault="00EC2F31" w:rsidP="00EC2F31">
      <w:pPr>
        <w:spacing w:before="240" w:after="240"/>
        <w:jc w:val="center"/>
        <w:rPr>
          <w:rFonts w:eastAsia="Arial" w:cs="Arial"/>
          <w:color w:val="000000" w:themeColor="text1"/>
          <w:sz w:val="20"/>
          <w:szCs w:val="20"/>
          <w:lang w:val="es-CO"/>
        </w:rPr>
      </w:pPr>
    </w:p>
    <w:p w14:paraId="199CB583" w14:textId="77777777" w:rsidR="00EC2F31" w:rsidRDefault="00EC2F31" w:rsidP="00EC2F31">
      <w:pPr>
        <w:spacing w:before="240" w:after="240"/>
        <w:jc w:val="center"/>
        <w:rPr>
          <w:rFonts w:eastAsia="Arial" w:cs="Arial"/>
          <w:color w:val="000000" w:themeColor="text1"/>
          <w:sz w:val="20"/>
          <w:szCs w:val="20"/>
          <w:lang w:val="es-CO"/>
        </w:rPr>
      </w:pPr>
    </w:p>
    <w:p w14:paraId="2BEC2221" w14:textId="77777777" w:rsidR="00EC2F31" w:rsidRDefault="00EC2F31" w:rsidP="00EC2F31">
      <w:pPr>
        <w:spacing w:before="240" w:after="240"/>
        <w:jc w:val="center"/>
        <w:rPr>
          <w:rFonts w:eastAsia="Arial" w:cs="Arial"/>
          <w:color w:val="000000" w:themeColor="text1"/>
          <w:sz w:val="20"/>
          <w:szCs w:val="20"/>
          <w:lang w:val="es-CO"/>
        </w:rPr>
      </w:pPr>
    </w:p>
    <w:p w14:paraId="1CE62707" w14:textId="77777777" w:rsidR="00EC2F31" w:rsidRDefault="00EC2F31" w:rsidP="00EC2F31">
      <w:pPr>
        <w:spacing w:before="240" w:after="240"/>
        <w:jc w:val="center"/>
        <w:rPr>
          <w:rFonts w:eastAsia="Arial" w:cs="Arial"/>
          <w:color w:val="000000" w:themeColor="text1"/>
          <w:sz w:val="20"/>
          <w:szCs w:val="20"/>
          <w:lang w:val="es-CO"/>
        </w:rPr>
      </w:pPr>
    </w:p>
    <w:p w14:paraId="4474059E" w14:textId="77777777" w:rsidR="00EC2F31" w:rsidRPr="003C619F" w:rsidRDefault="00EC2F31" w:rsidP="00EC2F31">
      <w:pPr>
        <w:spacing w:before="240" w:after="240"/>
        <w:jc w:val="center"/>
        <w:rPr>
          <w:rFonts w:eastAsia="Arial" w:cs="Arial"/>
          <w:b/>
          <w:color w:val="000000" w:themeColor="text1"/>
          <w:sz w:val="16"/>
          <w:szCs w:val="20"/>
        </w:rPr>
      </w:pPr>
      <w:r w:rsidRPr="003C619F">
        <w:rPr>
          <w:rFonts w:eastAsia="Arial" w:cs="Arial"/>
          <w:b/>
          <w:color w:val="000000" w:themeColor="text1"/>
          <w:sz w:val="16"/>
          <w:szCs w:val="20"/>
          <w:lang w:val="es-CO"/>
        </w:rPr>
        <w:t>Fuente: ANDJE</w:t>
      </w:r>
    </w:p>
    <w:p w14:paraId="32086294" w14:textId="77777777" w:rsidR="00EC2F31" w:rsidRPr="003C619F" w:rsidRDefault="00EC2F31" w:rsidP="000A20EE">
      <w:pPr>
        <w:pStyle w:val="Prrafodelista"/>
        <w:numPr>
          <w:ilvl w:val="0"/>
          <w:numId w:val="176"/>
        </w:numPr>
        <w:spacing w:before="240" w:after="240"/>
        <w:rPr>
          <w:rFonts w:eastAsia="Arial" w:cs="Arial"/>
          <w:b/>
          <w:color w:val="000000" w:themeColor="text1"/>
          <w:sz w:val="22"/>
          <w:szCs w:val="22"/>
        </w:rPr>
      </w:pPr>
      <w:r w:rsidRPr="003C619F">
        <w:rPr>
          <w:rFonts w:eastAsia="Arial" w:cs="Arial"/>
          <w:b/>
          <w:color w:val="000000" w:themeColor="text1"/>
          <w:sz w:val="22"/>
          <w:szCs w:val="22"/>
          <w:lang w:val="es-CO"/>
        </w:rPr>
        <w:t>ACTUALIZACIÓN PROCESOS JUDICIALES Y EX</w:t>
      </w:r>
      <w:r>
        <w:rPr>
          <w:rFonts w:eastAsia="Arial" w:cs="Arial"/>
          <w:b/>
          <w:color w:val="000000" w:themeColor="text1"/>
          <w:sz w:val="22"/>
          <w:szCs w:val="22"/>
          <w:lang w:val="es-CO"/>
        </w:rPr>
        <w:t>TRAJUDICIALES EN SISTEMA EKOGUI</w:t>
      </w:r>
    </w:p>
    <w:p w14:paraId="06BA9BFD"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lang w:val="es-CO"/>
        </w:rPr>
        <w:t>Uno de los logros más representativos para la Oficina Asesora Jurídica es e</w:t>
      </w:r>
      <w:r w:rsidRPr="0E07C252">
        <w:rPr>
          <w:rFonts w:eastAsia="Arial" w:cs="Arial"/>
          <w:color w:val="000000" w:themeColor="text1"/>
          <w:sz w:val="22"/>
          <w:szCs w:val="22"/>
        </w:rPr>
        <w:t>l seguimiento y control a las actuaciones judiciales en sede judicial y en la plataforma Sistema Único de Información Litigiosa del Estado – eKOGUI, en la cual se realizó una actualización integral del sistema, razón por la cual a la fecha se evidencia la realidad de los procesos judiciales y extrajudiciales. La Entidad se encuentra en ranking No. 83 de 175 entidades en calidad de información referente a procesos judiciales (Fuente: Informe de litigiosidad corte 30 junio 2021 – ANDJE, expedido semestralmente). A la fecha, el sistema coincide con la cantidad real de procesos y se encuentra en proceso de mejoramiento de la calidad de la información.</w:t>
      </w:r>
    </w:p>
    <w:p w14:paraId="3FFEF2AE"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rPr>
        <w:t>Esta situación dista de la encontrada en la vigencia 2020, y que fue plasmada en los hallazgos 8 y 9 por la Contraloría General de la República en la auditoría financiera realizada a la vigencia 2019 a la Entidad, en la cual se evidenciaron las siguientes situaciones:</w:t>
      </w:r>
    </w:p>
    <w:p w14:paraId="32B0D8C6" w14:textId="77777777" w:rsidR="00EC2F31" w:rsidRPr="003C619F" w:rsidRDefault="00EC2F31" w:rsidP="000A20EE">
      <w:pPr>
        <w:pStyle w:val="Sinespaciado"/>
        <w:numPr>
          <w:ilvl w:val="0"/>
          <w:numId w:val="28"/>
        </w:numPr>
        <w:jc w:val="both"/>
        <w:rPr>
          <w:rFonts w:ascii="Arial" w:hAnsi="Arial" w:cs="Arial"/>
        </w:rPr>
      </w:pPr>
      <w:r w:rsidRPr="003C619F">
        <w:rPr>
          <w:rFonts w:ascii="Arial" w:hAnsi="Arial" w:cs="Arial"/>
        </w:rPr>
        <w:t xml:space="preserve">“La información reportada en el formato F9 no coincide con la información reportada en el Sistema Único de Actividad Litigiosa del Estado eKOGUI. </w:t>
      </w:r>
    </w:p>
    <w:p w14:paraId="4578FC6C" w14:textId="77777777" w:rsidR="00EC2F31" w:rsidRPr="003C619F" w:rsidRDefault="00EC2F31" w:rsidP="000A20EE">
      <w:pPr>
        <w:pStyle w:val="Sinespaciado"/>
        <w:numPr>
          <w:ilvl w:val="0"/>
          <w:numId w:val="28"/>
        </w:numPr>
        <w:jc w:val="both"/>
        <w:rPr>
          <w:rFonts w:ascii="Arial" w:hAnsi="Arial" w:cs="Arial"/>
        </w:rPr>
      </w:pPr>
      <w:r w:rsidRPr="003C619F">
        <w:rPr>
          <w:rFonts w:ascii="Arial" w:hAnsi="Arial" w:cs="Arial"/>
        </w:rPr>
        <w:t>La información reportada en el eKOGUI por parte de los apoderados no está actualizada y completa.</w:t>
      </w:r>
    </w:p>
    <w:p w14:paraId="4D788291" w14:textId="77777777" w:rsidR="00EC2F31" w:rsidRPr="003C619F" w:rsidRDefault="00EC2F31" w:rsidP="000A20EE">
      <w:pPr>
        <w:pStyle w:val="Sinespaciado"/>
        <w:numPr>
          <w:ilvl w:val="0"/>
          <w:numId w:val="28"/>
        </w:numPr>
        <w:jc w:val="both"/>
        <w:rPr>
          <w:rFonts w:ascii="Arial" w:hAnsi="Arial" w:cs="Arial"/>
        </w:rPr>
      </w:pPr>
      <w:r w:rsidRPr="003C619F">
        <w:rPr>
          <w:rFonts w:ascii="Arial" w:hAnsi="Arial" w:cs="Arial"/>
        </w:rPr>
        <w:t xml:space="preserve">Los apoderados de los diferentes procesos no actualizan la calificación del riesgo de los procesos encomendados a su cargo dentro del Sistema Único de actividad Litigiosa del Estado eKOGUI, de conformidad con el artículo 4 y siguientes de la Resolución 353 de 2016 de la Agencia Nacional de Defensa Jurídica del Estado. </w:t>
      </w:r>
    </w:p>
    <w:p w14:paraId="2335CB85" w14:textId="77777777" w:rsidR="00EC2F31" w:rsidRPr="003C619F" w:rsidRDefault="00EC2F31" w:rsidP="000A20EE">
      <w:pPr>
        <w:pStyle w:val="Sinespaciado"/>
        <w:numPr>
          <w:ilvl w:val="0"/>
          <w:numId w:val="28"/>
        </w:numPr>
        <w:jc w:val="both"/>
        <w:rPr>
          <w:rFonts w:ascii="Arial" w:hAnsi="Arial" w:cs="Arial"/>
        </w:rPr>
      </w:pPr>
      <w:r w:rsidRPr="003C619F">
        <w:rPr>
          <w:rFonts w:ascii="Arial" w:hAnsi="Arial" w:cs="Arial"/>
        </w:rPr>
        <w:t>La persona que ejerce el rol financiero dentro de la plataforma eKOGUI, no toma como base para el cálculo de la provisión contable de la Entidad la información que arroja dicho sistema.”</w:t>
      </w:r>
    </w:p>
    <w:p w14:paraId="61CD74CC"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rPr>
        <w:t xml:space="preserve">De esta forma, la Oficina Asesora Jurídica Sistema ha remitido evidencias en las cuales se observa la actualización del eKOGUI lograda a través de capacitaciones, requerimientos a los abogados para actualización de piezas y calificación procesal, lineamientos del Comité de Conciliación, circulares. De igual forma, el Formato F9, e información financiera coincidente con </w:t>
      </w:r>
      <w:r w:rsidRPr="0E07C252">
        <w:rPr>
          <w:rFonts w:eastAsia="Arial" w:cs="Arial"/>
          <w:color w:val="000000" w:themeColor="text1"/>
          <w:sz w:val="22"/>
          <w:szCs w:val="22"/>
        </w:rPr>
        <w:lastRenderedPageBreak/>
        <w:t>eKOGUI. Para diciembre de 2021 la oficina cumplirá con el 100% de las actividades del plan de mejoramiento suscrito con la Contraloría General de la República.</w:t>
      </w:r>
    </w:p>
    <w:p w14:paraId="22069AE4" w14:textId="77777777" w:rsidR="00EC2F31" w:rsidRPr="003C619F" w:rsidRDefault="00EC2F31" w:rsidP="000A20EE">
      <w:pPr>
        <w:pStyle w:val="Prrafodelista"/>
        <w:numPr>
          <w:ilvl w:val="0"/>
          <w:numId w:val="175"/>
        </w:numPr>
        <w:spacing w:before="240" w:after="240"/>
        <w:rPr>
          <w:rFonts w:eastAsia="Arial" w:cs="Arial"/>
          <w:b/>
          <w:color w:val="000000" w:themeColor="text1"/>
          <w:sz w:val="22"/>
          <w:szCs w:val="22"/>
        </w:rPr>
      </w:pPr>
      <w:r>
        <w:rPr>
          <w:rFonts w:eastAsia="Arial" w:cs="Arial"/>
          <w:b/>
          <w:color w:val="000000" w:themeColor="text1"/>
          <w:sz w:val="22"/>
          <w:szCs w:val="22"/>
          <w:lang w:val="es-CO"/>
        </w:rPr>
        <w:t>ÉXITO PROCESAL</w:t>
      </w:r>
    </w:p>
    <w:p w14:paraId="7270DC11" w14:textId="22C47EDA" w:rsidR="00EC2F31" w:rsidRDefault="00EC2F31" w:rsidP="00EC2F31">
      <w:pPr>
        <w:spacing w:before="240"/>
        <w:jc w:val="both"/>
        <w:rPr>
          <w:rFonts w:eastAsia="Arial" w:cs="Arial"/>
          <w:color w:val="000000" w:themeColor="text1"/>
          <w:sz w:val="22"/>
          <w:szCs w:val="22"/>
        </w:rPr>
      </w:pPr>
      <w:r w:rsidRPr="0E07C252">
        <w:rPr>
          <w:rFonts w:eastAsia="Arial" w:cs="Arial"/>
          <w:color w:val="000000" w:themeColor="text1"/>
          <w:sz w:val="22"/>
          <w:szCs w:val="22"/>
        </w:rPr>
        <w:t>La defensa jurídica ejercida por la Entidad ha incrementado los beneficios y reducido los costos asociados a los litigios, expresados en sentencias favorables para el IGAC en las controversias judiciales planteadas. De conformidad con el Informe de Litigiosidad con corte a 30 de junio de 2021 emitido por la Agencia Nacional de Defensa Jurídica del Estado – ANDJE, el cual está basado en la información consignada en el aplicativo eKOGUI, la Entidad a la fecha presenta un éxito procesal del 100% en los procesos en contra de la entidad.</w:t>
      </w:r>
    </w:p>
    <w:p w14:paraId="674339A6" w14:textId="77777777" w:rsidR="00A6302C" w:rsidRDefault="00A6302C" w:rsidP="00EC2F31">
      <w:pPr>
        <w:spacing w:before="240"/>
        <w:jc w:val="both"/>
        <w:rPr>
          <w:rFonts w:eastAsia="Arial" w:cs="Arial"/>
          <w:color w:val="000000" w:themeColor="text1"/>
          <w:sz w:val="22"/>
          <w:szCs w:val="22"/>
        </w:rPr>
      </w:pPr>
    </w:p>
    <w:p w14:paraId="6BB3E5A2" w14:textId="3294C9B1" w:rsidR="00912343" w:rsidRDefault="00A6302C" w:rsidP="00A6302C">
      <w:pPr>
        <w:pStyle w:val="Descripcin"/>
        <w:jc w:val="center"/>
        <w:rPr>
          <w:rFonts w:ascii="Arial" w:hAnsi="Arial" w:cs="Arial"/>
          <w:b/>
          <w:i w:val="0"/>
          <w:color w:val="000000" w:themeColor="text1"/>
          <w:sz w:val="16"/>
        </w:rPr>
      </w:pPr>
      <w:bookmarkStart w:id="204" w:name="_Toc88677222"/>
      <w:r w:rsidRPr="00A6302C">
        <w:rPr>
          <w:rFonts w:ascii="Arial" w:hAnsi="Arial" w:cs="Arial"/>
          <w:b/>
          <w:i w:val="0"/>
          <w:color w:val="000000" w:themeColor="text1"/>
          <w:sz w:val="16"/>
        </w:rPr>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66</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Tasa de éxito</w:t>
      </w:r>
      <w:bookmarkEnd w:id="204"/>
    </w:p>
    <w:p w14:paraId="0B92A107" w14:textId="0BC6FBBB" w:rsidR="00EC2F31" w:rsidRDefault="00EC2F31" w:rsidP="00A6302C">
      <w:pPr>
        <w:pStyle w:val="Descripcin"/>
        <w:jc w:val="center"/>
        <w:rPr>
          <w:rFonts w:eastAsia="Arial" w:cs="Arial"/>
          <w:color w:val="000000" w:themeColor="text1"/>
          <w:sz w:val="22"/>
          <w:szCs w:val="22"/>
        </w:rPr>
      </w:pPr>
      <w:r>
        <w:rPr>
          <w:noProof/>
          <w:lang w:eastAsia="es-CO"/>
        </w:rPr>
        <w:drawing>
          <wp:inline distT="0" distB="0" distL="0" distR="0" wp14:anchorId="27005533" wp14:editId="52D142D1">
            <wp:extent cx="5192873" cy="2094865"/>
            <wp:effectExtent l="0" t="0" r="8255" b="63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7">
                      <a:extLst>
                        <a:ext uri="{28A0092B-C50C-407E-A947-70E740481C1C}">
                          <a14:useLocalDpi xmlns:a14="http://schemas.microsoft.com/office/drawing/2010/main" val="0"/>
                        </a:ext>
                      </a:extLst>
                    </a:blip>
                    <a:srcRect l="849" t="20292"/>
                    <a:stretch/>
                  </pic:blipFill>
                  <pic:spPr bwMode="auto">
                    <a:xfrm>
                      <a:off x="0" y="0"/>
                      <a:ext cx="5194286" cy="2095435"/>
                    </a:xfrm>
                    <a:prstGeom prst="rect">
                      <a:avLst/>
                    </a:prstGeom>
                    <a:ln>
                      <a:noFill/>
                    </a:ln>
                    <a:extLst>
                      <a:ext uri="{53640926-AAD7-44D8-BBD7-CCE9431645EC}">
                        <a14:shadowObscured xmlns:a14="http://schemas.microsoft.com/office/drawing/2010/main"/>
                      </a:ext>
                    </a:extLst>
                  </pic:spPr>
                </pic:pic>
              </a:graphicData>
            </a:graphic>
          </wp:inline>
        </w:drawing>
      </w:r>
    </w:p>
    <w:p w14:paraId="13384CE8" w14:textId="4F641BCF" w:rsidR="00EC2F31" w:rsidRDefault="00EC2F31" w:rsidP="00EC2F31">
      <w:pPr>
        <w:spacing w:before="240" w:after="240"/>
        <w:jc w:val="center"/>
        <w:rPr>
          <w:rFonts w:eastAsia="Arial" w:cs="Arial"/>
          <w:b/>
          <w:color w:val="000000" w:themeColor="text1"/>
          <w:sz w:val="16"/>
          <w:szCs w:val="18"/>
          <w:lang w:val="es-MX"/>
        </w:rPr>
      </w:pPr>
      <w:r w:rsidRPr="003C619F">
        <w:rPr>
          <w:rFonts w:eastAsia="Arial" w:cs="Arial"/>
          <w:b/>
          <w:color w:val="000000" w:themeColor="text1"/>
          <w:sz w:val="16"/>
          <w:szCs w:val="18"/>
          <w:lang w:val="es-MX"/>
        </w:rPr>
        <w:t>Fuente: ANDJE</w:t>
      </w:r>
    </w:p>
    <w:p w14:paraId="6413D79E" w14:textId="6BA6A717" w:rsidR="00EC2F31" w:rsidRPr="00A6302C" w:rsidRDefault="00A6302C" w:rsidP="00A6302C">
      <w:pPr>
        <w:pStyle w:val="Descripcin"/>
        <w:jc w:val="center"/>
        <w:rPr>
          <w:rFonts w:ascii="Arial" w:eastAsia="Arial" w:hAnsi="Arial" w:cs="Arial"/>
          <w:b/>
          <w:i w:val="0"/>
          <w:color w:val="000000" w:themeColor="text1"/>
          <w:sz w:val="20"/>
          <w:szCs w:val="22"/>
        </w:rPr>
      </w:pPr>
      <w:bookmarkStart w:id="205" w:name="_Toc88677223"/>
      <w:r w:rsidRPr="00A6302C">
        <w:rPr>
          <w:rFonts w:ascii="Arial" w:hAnsi="Arial" w:cs="Arial"/>
          <w:b/>
          <w:i w:val="0"/>
          <w:noProof/>
          <w:color w:val="000000" w:themeColor="text1"/>
          <w:sz w:val="16"/>
          <w:lang w:eastAsia="es-CO"/>
        </w:rPr>
        <w:drawing>
          <wp:anchor distT="0" distB="0" distL="114300" distR="114300" simplePos="0" relativeHeight="251658265" behindDoc="0" locked="0" layoutInCell="1" allowOverlap="1" wp14:anchorId="40FD3C18" wp14:editId="0EDC234E">
            <wp:simplePos x="0" y="0"/>
            <wp:positionH relativeFrom="column">
              <wp:posOffset>501650</wp:posOffset>
            </wp:positionH>
            <wp:positionV relativeFrom="paragraph">
              <wp:posOffset>226060</wp:posOffset>
            </wp:positionV>
            <wp:extent cx="5084445" cy="2159000"/>
            <wp:effectExtent l="0" t="0" r="1905" b="0"/>
            <wp:wrapSquare wrapText="bothSides"/>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8">
                      <a:extLst>
                        <a:ext uri="{28A0092B-C50C-407E-A947-70E740481C1C}">
                          <a14:useLocalDpi xmlns:a14="http://schemas.microsoft.com/office/drawing/2010/main" val="0"/>
                        </a:ext>
                      </a:extLst>
                    </a:blip>
                    <a:srcRect l="1476" t="20218" b="-2077"/>
                    <a:stretch/>
                  </pic:blipFill>
                  <pic:spPr bwMode="auto">
                    <a:xfrm>
                      <a:off x="0" y="0"/>
                      <a:ext cx="5084445" cy="2159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6302C">
        <w:rPr>
          <w:rFonts w:ascii="Arial" w:hAnsi="Arial" w:cs="Arial"/>
          <w:b/>
          <w:i w:val="0"/>
          <w:color w:val="000000" w:themeColor="text1"/>
          <w:sz w:val="16"/>
        </w:rPr>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67</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Tasa de éxito entidad vs total nacional</w:t>
      </w:r>
      <w:bookmarkEnd w:id="205"/>
    </w:p>
    <w:p w14:paraId="6843BFC2" w14:textId="15A787BE" w:rsidR="00EC2F31" w:rsidRDefault="00EC2F31" w:rsidP="00EC2F31">
      <w:pPr>
        <w:spacing w:before="240" w:after="240"/>
        <w:jc w:val="center"/>
        <w:rPr>
          <w:rFonts w:eastAsia="Arial" w:cs="Arial"/>
          <w:b/>
          <w:color w:val="000000" w:themeColor="text1"/>
          <w:sz w:val="16"/>
          <w:szCs w:val="20"/>
          <w:lang w:val="es-MX"/>
        </w:rPr>
      </w:pPr>
    </w:p>
    <w:p w14:paraId="0A205CE2" w14:textId="77777777" w:rsidR="00EC2F31" w:rsidRDefault="00EC2F31" w:rsidP="00EC2F31">
      <w:pPr>
        <w:spacing w:before="240" w:after="240"/>
        <w:jc w:val="center"/>
        <w:rPr>
          <w:rFonts w:eastAsia="Arial" w:cs="Arial"/>
          <w:b/>
          <w:color w:val="000000" w:themeColor="text1"/>
          <w:sz w:val="16"/>
          <w:szCs w:val="20"/>
          <w:lang w:val="es-MX"/>
        </w:rPr>
      </w:pPr>
    </w:p>
    <w:p w14:paraId="1697F0B1" w14:textId="77777777" w:rsidR="00EC2F31" w:rsidRDefault="00EC2F31" w:rsidP="00EC2F31">
      <w:pPr>
        <w:spacing w:before="240" w:after="240"/>
        <w:jc w:val="center"/>
        <w:rPr>
          <w:rFonts w:eastAsia="Arial" w:cs="Arial"/>
          <w:b/>
          <w:color w:val="000000" w:themeColor="text1"/>
          <w:sz w:val="16"/>
          <w:szCs w:val="20"/>
          <w:lang w:val="es-MX"/>
        </w:rPr>
      </w:pPr>
    </w:p>
    <w:p w14:paraId="5DF97EAE" w14:textId="77777777" w:rsidR="00EC2F31" w:rsidRDefault="00EC2F31" w:rsidP="00EC2F31">
      <w:pPr>
        <w:spacing w:before="240" w:after="240"/>
        <w:jc w:val="center"/>
        <w:rPr>
          <w:rFonts w:eastAsia="Arial" w:cs="Arial"/>
          <w:b/>
          <w:color w:val="000000" w:themeColor="text1"/>
          <w:sz w:val="16"/>
          <w:szCs w:val="20"/>
          <w:lang w:val="es-MX"/>
        </w:rPr>
      </w:pPr>
    </w:p>
    <w:p w14:paraId="477DC4E2" w14:textId="77777777" w:rsidR="00EC2F31" w:rsidRDefault="00EC2F31" w:rsidP="00EC2F31">
      <w:pPr>
        <w:spacing w:before="240" w:after="240"/>
        <w:jc w:val="center"/>
        <w:rPr>
          <w:rFonts w:eastAsia="Arial" w:cs="Arial"/>
          <w:b/>
          <w:color w:val="000000" w:themeColor="text1"/>
          <w:sz w:val="16"/>
          <w:szCs w:val="20"/>
          <w:lang w:val="es-MX"/>
        </w:rPr>
      </w:pPr>
    </w:p>
    <w:p w14:paraId="3EF6EC9E" w14:textId="77777777" w:rsidR="00EC2F31" w:rsidRDefault="00EC2F31" w:rsidP="00EC2F31">
      <w:pPr>
        <w:spacing w:before="240" w:after="240"/>
        <w:jc w:val="center"/>
        <w:rPr>
          <w:rFonts w:eastAsia="Arial" w:cs="Arial"/>
          <w:b/>
          <w:color w:val="000000" w:themeColor="text1"/>
          <w:sz w:val="16"/>
          <w:szCs w:val="20"/>
          <w:lang w:val="es-MX"/>
        </w:rPr>
      </w:pPr>
    </w:p>
    <w:p w14:paraId="21E02D10" w14:textId="2F7020E6" w:rsidR="00EC2F31" w:rsidRDefault="00EC2F31" w:rsidP="00EC2F31">
      <w:pPr>
        <w:spacing w:before="240" w:after="240"/>
        <w:jc w:val="center"/>
        <w:rPr>
          <w:rFonts w:eastAsia="Arial" w:cs="Arial"/>
          <w:b/>
          <w:color w:val="000000" w:themeColor="text1"/>
          <w:sz w:val="16"/>
          <w:szCs w:val="20"/>
          <w:lang w:val="es-MX"/>
        </w:rPr>
      </w:pPr>
    </w:p>
    <w:p w14:paraId="3EB6AB02" w14:textId="00CB42CC" w:rsidR="00A6302C" w:rsidRDefault="00A6302C" w:rsidP="00EC2F31">
      <w:pPr>
        <w:spacing w:before="240" w:after="240"/>
        <w:jc w:val="center"/>
        <w:rPr>
          <w:rFonts w:eastAsia="Arial" w:cs="Arial"/>
          <w:b/>
          <w:color w:val="000000" w:themeColor="text1"/>
          <w:sz w:val="16"/>
          <w:szCs w:val="20"/>
          <w:lang w:val="es-MX"/>
        </w:rPr>
      </w:pPr>
    </w:p>
    <w:p w14:paraId="302D731D" w14:textId="77777777" w:rsidR="00EC2F31" w:rsidRPr="008A3AD3" w:rsidRDefault="00EC2F31" w:rsidP="00EC2F31">
      <w:pPr>
        <w:spacing w:before="240" w:after="240"/>
        <w:jc w:val="center"/>
        <w:rPr>
          <w:rFonts w:eastAsia="Arial" w:cs="Arial"/>
          <w:b/>
          <w:color w:val="000000" w:themeColor="text1"/>
          <w:sz w:val="16"/>
          <w:szCs w:val="20"/>
        </w:rPr>
      </w:pPr>
      <w:r>
        <w:rPr>
          <w:rFonts w:eastAsia="Arial" w:cs="Arial"/>
          <w:b/>
          <w:color w:val="000000" w:themeColor="text1"/>
          <w:sz w:val="16"/>
          <w:szCs w:val="20"/>
          <w:lang w:val="es-MX"/>
        </w:rPr>
        <w:t xml:space="preserve">Fuente: </w:t>
      </w:r>
      <w:r w:rsidRPr="008A3AD3">
        <w:rPr>
          <w:rFonts w:eastAsia="Arial" w:cs="Arial"/>
          <w:b/>
          <w:color w:val="000000" w:themeColor="text1"/>
          <w:sz w:val="16"/>
          <w:szCs w:val="20"/>
          <w:lang w:val="es-MX"/>
        </w:rPr>
        <w:t>ANDJE</w:t>
      </w:r>
    </w:p>
    <w:p w14:paraId="5AA5F121" w14:textId="77777777" w:rsidR="00EC2F31" w:rsidRDefault="00EC2F31" w:rsidP="00EC2F31">
      <w:pPr>
        <w:spacing w:before="240" w:after="240"/>
        <w:jc w:val="center"/>
        <w:rPr>
          <w:rFonts w:eastAsia="Arial" w:cs="Arial"/>
          <w:color w:val="000000" w:themeColor="text1"/>
          <w:sz w:val="20"/>
          <w:szCs w:val="20"/>
        </w:rPr>
      </w:pPr>
    </w:p>
    <w:p w14:paraId="2B2077C6" w14:textId="77777777" w:rsidR="00EC2F31" w:rsidRDefault="00EC2F31" w:rsidP="00EC2F31">
      <w:pPr>
        <w:spacing w:before="240" w:after="240"/>
        <w:jc w:val="center"/>
        <w:rPr>
          <w:rFonts w:eastAsia="Arial" w:cs="Arial"/>
          <w:color w:val="000000" w:themeColor="text1"/>
          <w:sz w:val="20"/>
          <w:szCs w:val="20"/>
        </w:rPr>
      </w:pPr>
    </w:p>
    <w:p w14:paraId="179FB947" w14:textId="77777777" w:rsidR="00EC2F31" w:rsidRDefault="00EC2F31" w:rsidP="00EC2F31">
      <w:pPr>
        <w:spacing w:before="240" w:after="240"/>
        <w:jc w:val="center"/>
        <w:rPr>
          <w:rFonts w:eastAsia="Arial" w:cs="Arial"/>
          <w:color w:val="000000" w:themeColor="text1"/>
          <w:sz w:val="20"/>
          <w:szCs w:val="20"/>
        </w:rPr>
      </w:pPr>
    </w:p>
    <w:p w14:paraId="6593A42B" w14:textId="77777777" w:rsidR="00EC2F31" w:rsidRPr="008A3AD3" w:rsidRDefault="00EC2F31" w:rsidP="000A20EE">
      <w:pPr>
        <w:pStyle w:val="Prrafodelista"/>
        <w:numPr>
          <w:ilvl w:val="0"/>
          <w:numId w:val="174"/>
        </w:numPr>
        <w:spacing w:before="240" w:after="160"/>
        <w:rPr>
          <w:rFonts w:eastAsia="Arial" w:cs="Arial"/>
          <w:b/>
          <w:color w:val="000000" w:themeColor="text1"/>
          <w:sz w:val="22"/>
          <w:szCs w:val="22"/>
        </w:rPr>
      </w:pPr>
      <w:r w:rsidRPr="008A3AD3">
        <w:rPr>
          <w:rFonts w:eastAsia="Arial" w:cs="Arial"/>
          <w:b/>
          <w:color w:val="000000" w:themeColor="text1"/>
          <w:sz w:val="22"/>
          <w:szCs w:val="22"/>
          <w:lang w:val="es-CO"/>
        </w:rPr>
        <w:t>POLÍTICA DE P</w:t>
      </w:r>
      <w:r>
        <w:rPr>
          <w:rFonts w:eastAsia="Arial" w:cs="Arial"/>
          <w:b/>
          <w:color w:val="000000" w:themeColor="text1"/>
          <w:sz w:val="22"/>
          <w:szCs w:val="22"/>
          <w:lang w:val="es-CO"/>
        </w:rPr>
        <w:t>REVENCIÓN DEL DAÑO ANTIJURÍDICO</w:t>
      </w:r>
    </w:p>
    <w:p w14:paraId="6C0DFB7B" w14:textId="77777777" w:rsidR="00EC2F31" w:rsidRDefault="00EC2F31" w:rsidP="00EC2F31">
      <w:pPr>
        <w:spacing w:before="240"/>
        <w:jc w:val="both"/>
        <w:rPr>
          <w:rFonts w:eastAsia="Arial" w:cs="Arial"/>
          <w:color w:val="000000" w:themeColor="text1"/>
          <w:sz w:val="22"/>
          <w:szCs w:val="22"/>
        </w:rPr>
      </w:pPr>
      <w:r w:rsidRPr="0E07C252">
        <w:rPr>
          <w:rFonts w:eastAsia="Arial" w:cs="Arial"/>
          <w:color w:val="000000" w:themeColor="text1"/>
          <w:sz w:val="22"/>
          <w:szCs w:val="22"/>
        </w:rPr>
        <w:t>Se llevó a cabo la aprobación de la política de Prevención del Daño Antijurídico de conformidad con las directrices establecidas por la Agencia Nacional de Defensa Jurídica del Estado - ANDJE, con el fin de realizar una protección efectiva del patrimonio y disminuir el impacto fiscal de los procesos que cursan en su contra. Siendo así, se llevó a cabo la actualización de la política de prevención del daño antijurídico y defensa judicial de la entidad mediante Resolución 752 de 26 de agosto de 2020 aplicable para las vigencias 2020-2021 de conformidad con las nuevas directrices impartidas por la ANDJE plasmadas en el aplicativo diseñado para el efecto. Para finales de noviembre de 2021 el comité de conciliación aprobará la política 2021-2023, dando continuidad a la política ya implementada.</w:t>
      </w:r>
    </w:p>
    <w:p w14:paraId="6F75932B" w14:textId="77777777" w:rsidR="00EC2F31" w:rsidRPr="008A3AD3" w:rsidRDefault="00EC2F31" w:rsidP="000A20EE">
      <w:pPr>
        <w:pStyle w:val="Prrafodelista"/>
        <w:numPr>
          <w:ilvl w:val="0"/>
          <w:numId w:val="174"/>
        </w:numPr>
        <w:spacing w:before="240" w:after="240"/>
        <w:rPr>
          <w:rFonts w:eastAsia="Arial" w:cs="Arial"/>
          <w:b/>
          <w:color w:val="000000" w:themeColor="text1"/>
          <w:sz w:val="22"/>
          <w:szCs w:val="22"/>
        </w:rPr>
      </w:pPr>
      <w:r w:rsidRPr="008A3AD3">
        <w:rPr>
          <w:rFonts w:eastAsia="Arial" w:cs="Arial"/>
          <w:b/>
          <w:color w:val="000000" w:themeColor="text1"/>
          <w:sz w:val="22"/>
          <w:szCs w:val="22"/>
        </w:rPr>
        <w:t>LINEAMIENTOS E IN</w:t>
      </w:r>
      <w:r>
        <w:rPr>
          <w:rFonts w:eastAsia="Arial" w:cs="Arial"/>
          <w:b/>
          <w:color w:val="000000" w:themeColor="text1"/>
          <w:sz w:val="22"/>
          <w:szCs w:val="22"/>
        </w:rPr>
        <w:t>STRUCCIONES EN DEFENSA JURÍDICA</w:t>
      </w:r>
    </w:p>
    <w:p w14:paraId="0C9BD1A2" w14:textId="77777777" w:rsidR="00EC2F31" w:rsidRPr="008A3AD3"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rPr>
        <w:t>Para atender la defensa de los procesos contra la Entidad, se implementaron diferentes actividades, dentro de ellas, estrategias y lineamientos de defensa judicial y conciliación mediante la gestión del Comité de Conciliación, de conformidad con las normas que lo reglamentan como instancia de decisión en materia de defensa y prevención del daño antijurídico. Estos lineamientos tuvieron como efecto la disminución sostenida de procesos admitidos en contra d</w:t>
      </w:r>
      <w:r>
        <w:rPr>
          <w:rFonts w:eastAsia="Arial" w:cs="Arial"/>
          <w:color w:val="000000" w:themeColor="text1"/>
          <w:sz w:val="22"/>
          <w:szCs w:val="22"/>
        </w:rPr>
        <w:t>e la Entidad desde el año 2020.</w:t>
      </w:r>
    </w:p>
    <w:p w14:paraId="50C5F4D0" w14:textId="77777777" w:rsidR="00EC2F31" w:rsidRPr="008A3AD3" w:rsidRDefault="00EC2F31" w:rsidP="000A20EE">
      <w:pPr>
        <w:pStyle w:val="Prrafodelista"/>
        <w:numPr>
          <w:ilvl w:val="0"/>
          <w:numId w:val="191"/>
        </w:numPr>
        <w:spacing w:before="240" w:after="240"/>
        <w:rPr>
          <w:rFonts w:eastAsia="Arial" w:cs="Arial"/>
          <w:b/>
          <w:color w:val="000000" w:themeColor="text1"/>
          <w:sz w:val="22"/>
          <w:szCs w:val="22"/>
        </w:rPr>
      </w:pPr>
      <w:r w:rsidRPr="008A3AD3">
        <w:rPr>
          <w:rFonts w:eastAsia="Arial" w:cs="Arial"/>
          <w:b/>
          <w:color w:val="000000" w:themeColor="text1"/>
          <w:sz w:val="22"/>
          <w:szCs w:val="22"/>
        </w:rPr>
        <w:t>COORDINACIÓN JURÍDICA EN LAS DIRECCIONES TERRITORIALES</w:t>
      </w:r>
    </w:p>
    <w:p w14:paraId="554DBBE8"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rPr>
        <w:t>Se llevó a cabo la coordinación jurídica nacional a través de mesas de trabajo mensuales establecidas con los abogados de las Direcciones Territoriales, con la finalidad de realizar seguimiento a las actividades que desarrollan dichos funcionarios para la defensa de los intereses de la Entidad. Esta actividad hace parte del seguimiento a los riesgos de gestión y anticorrupción de la Oficina Asesora Jurídica, el cual ha tenido un cumplimiento del 100% en los seguimientos trimestrales efectuados por la Oficina Asesora de Planeación. Esta actividad se planteó dado que en 2020 en la coyuntura presentada por el COVID-19 se presentó la oportunidad de abrir espacio a la comunicación mediante mecanismos virtuales que permitieron generar vínculo directo en las distintas Direcciones Territoriales, y en dichos espacios la Oficina Asesora Jurídica recibió la percepción de ausencia de lineamientos y estandarización de la defensa judicial. De tal forma, se sugiere continuar utilizando y aprovechando los espacios virtuales para realizar un seguimiento directo a la gestión jurídica de las Direcciones.</w:t>
      </w:r>
    </w:p>
    <w:p w14:paraId="222EA626" w14:textId="77777777" w:rsidR="00EC2F31" w:rsidRPr="008A3AD3" w:rsidRDefault="00EC2F31" w:rsidP="000A20EE">
      <w:pPr>
        <w:pStyle w:val="Prrafodelista"/>
        <w:numPr>
          <w:ilvl w:val="0"/>
          <w:numId w:val="174"/>
        </w:numPr>
        <w:spacing w:before="240" w:after="240"/>
        <w:rPr>
          <w:rFonts w:eastAsia="Arial" w:cs="Arial"/>
          <w:b/>
          <w:color w:val="000000" w:themeColor="text1"/>
          <w:sz w:val="22"/>
          <w:szCs w:val="22"/>
        </w:rPr>
      </w:pPr>
      <w:r w:rsidRPr="008A3AD3">
        <w:rPr>
          <w:rFonts w:eastAsia="Arial" w:cs="Arial"/>
          <w:b/>
          <w:color w:val="000000" w:themeColor="text1"/>
          <w:sz w:val="22"/>
          <w:szCs w:val="22"/>
          <w:lang w:val="es-CO"/>
        </w:rPr>
        <w:t>ACTUALIZACIÓN DOCUMENTOS SGI</w:t>
      </w:r>
    </w:p>
    <w:p w14:paraId="72A8C4BC" w14:textId="77777777" w:rsidR="00EC2F31" w:rsidRDefault="00EC2F31" w:rsidP="00EC2F31">
      <w:pPr>
        <w:spacing w:before="240" w:after="240"/>
        <w:jc w:val="both"/>
        <w:rPr>
          <w:rFonts w:eastAsia="Arial" w:cs="Arial"/>
          <w:color w:val="000000" w:themeColor="text1"/>
          <w:sz w:val="22"/>
          <w:szCs w:val="22"/>
        </w:rPr>
      </w:pPr>
      <w:r w:rsidRPr="0E07C252">
        <w:rPr>
          <w:rFonts w:eastAsia="Arial" w:cs="Arial"/>
          <w:color w:val="000000" w:themeColor="text1"/>
          <w:sz w:val="22"/>
          <w:szCs w:val="22"/>
        </w:rPr>
        <w:t xml:space="preserve">Para documentar las actividades encaminadas a estandarizar la defensa judicial de la entidad, se llevó cabo la actualización de la documentación asociada al proceso de la Gestión Jurídica en aras de adecuar los procedimientos a las nuevas dinámicas de virtualidad presentes por la gestión de la defensa judicial, adecuándose a la coyuntura de emergencia, y con la finalidad de hacer más eficiente la defensa judicial y extrajudicial de los intereses de la Entidad. En este sentido puede consultarse la actualización documental efectuada en el listado maestro de documentos:  </w:t>
      </w:r>
      <w:hyperlink r:id="rId209">
        <w:r w:rsidRPr="0E07C252">
          <w:rPr>
            <w:rStyle w:val="Hipervnculo"/>
            <w:rFonts w:eastAsia="Arial" w:cs="Arial"/>
            <w:sz w:val="22"/>
            <w:szCs w:val="22"/>
          </w:rPr>
          <w:t>https://www.igac.gov.co/es/listado-maestro-de-documentos</w:t>
        </w:r>
      </w:hyperlink>
      <w:r w:rsidRPr="0E07C252">
        <w:rPr>
          <w:rFonts w:eastAsia="Arial" w:cs="Arial"/>
          <w:color w:val="000000" w:themeColor="text1"/>
          <w:sz w:val="22"/>
          <w:szCs w:val="22"/>
        </w:rPr>
        <w:t xml:space="preserve"> </w:t>
      </w:r>
    </w:p>
    <w:p w14:paraId="4F9064B2" w14:textId="77777777" w:rsidR="00EC2F31" w:rsidRPr="008A3AD3" w:rsidRDefault="00EC2F31" w:rsidP="000A20EE">
      <w:pPr>
        <w:pStyle w:val="Prrafodelista"/>
        <w:numPr>
          <w:ilvl w:val="0"/>
          <w:numId w:val="173"/>
        </w:numPr>
        <w:spacing w:before="240" w:after="240"/>
        <w:rPr>
          <w:rFonts w:eastAsia="Arial" w:cs="Arial"/>
          <w:b/>
          <w:color w:val="000000" w:themeColor="text1"/>
          <w:sz w:val="22"/>
          <w:szCs w:val="22"/>
        </w:rPr>
      </w:pPr>
      <w:r w:rsidRPr="008A3AD3">
        <w:rPr>
          <w:rFonts w:eastAsia="Arial" w:cs="Arial"/>
          <w:b/>
          <w:color w:val="000000" w:themeColor="text1"/>
          <w:sz w:val="22"/>
          <w:szCs w:val="22"/>
          <w:lang w:val="es-CO"/>
        </w:rPr>
        <w:t>COMITÉ DE CONCILIACIÓN</w:t>
      </w:r>
    </w:p>
    <w:p w14:paraId="7173D900" w14:textId="77777777" w:rsidR="00EC2F31" w:rsidRDefault="00EC2F31" w:rsidP="00EC2F31">
      <w:pPr>
        <w:spacing w:before="240"/>
        <w:jc w:val="both"/>
        <w:rPr>
          <w:rFonts w:eastAsia="Arial" w:cs="Arial"/>
          <w:color w:val="000000" w:themeColor="text1"/>
          <w:sz w:val="22"/>
          <w:szCs w:val="22"/>
        </w:rPr>
      </w:pPr>
      <w:r w:rsidRPr="0E07C252">
        <w:rPr>
          <w:rFonts w:eastAsia="Arial" w:cs="Arial"/>
          <w:color w:val="000000" w:themeColor="text1"/>
          <w:sz w:val="22"/>
          <w:szCs w:val="22"/>
        </w:rPr>
        <w:lastRenderedPageBreak/>
        <w:t>Por su parte, el Comité de Conciliación como instancia administrativa actúa como sede de estudio, análisis y formulación de políticas sobre prevención del daño antijurídico, y defensa de los intereses de la entidad, así como de decisión, en cada caso específico, respecto de la procedencia de la conciliación o de cualquier otro medio alternativo de solución de conflictos, con sujeción estricta a las normas jurídicas sustantivas, procedimentales y de control vigentes. A la fecha, el Comité celebra mínimo 2 sesiones al mes, de acuerdo con la programación anual realizada desde la Secretaría Técnica, y de conformidad con lo dispuesto por el Decreto 1069 de 2015 y normas concordantes.</w:t>
      </w:r>
    </w:p>
    <w:p w14:paraId="0458DB20" w14:textId="77777777" w:rsidR="00EC2F31" w:rsidRPr="008A3AD3" w:rsidRDefault="00EC2F31" w:rsidP="00EC2F31">
      <w:pPr>
        <w:spacing w:before="240"/>
        <w:jc w:val="both"/>
        <w:rPr>
          <w:rFonts w:eastAsia="Arial" w:cs="Arial"/>
          <w:b/>
          <w:color w:val="000000" w:themeColor="text1"/>
          <w:sz w:val="22"/>
          <w:szCs w:val="22"/>
        </w:rPr>
      </w:pPr>
      <w:r w:rsidRPr="759AD71D">
        <w:rPr>
          <w:rFonts w:eastAsia="Arial" w:cs="Arial"/>
          <w:b/>
          <w:bCs/>
          <w:color w:val="000000" w:themeColor="text1"/>
          <w:sz w:val="22"/>
          <w:szCs w:val="22"/>
        </w:rPr>
        <w:t>4.10.</w:t>
      </w:r>
      <w:r w:rsidRPr="2523FA37">
        <w:rPr>
          <w:rFonts w:eastAsia="Arial" w:cs="Arial"/>
          <w:b/>
          <w:bCs/>
          <w:color w:val="000000" w:themeColor="text1"/>
          <w:sz w:val="22"/>
          <w:szCs w:val="22"/>
        </w:rPr>
        <w:t>3.</w:t>
      </w:r>
      <w:r w:rsidRPr="759AD71D">
        <w:rPr>
          <w:rFonts w:eastAsia="Arial" w:cs="Arial"/>
          <w:b/>
          <w:bCs/>
          <w:color w:val="000000" w:themeColor="text1"/>
          <w:sz w:val="22"/>
          <w:szCs w:val="22"/>
        </w:rPr>
        <w:t xml:space="preserve">2 </w:t>
      </w:r>
      <w:r w:rsidRPr="008A3AD3">
        <w:rPr>
          <w:rFonts w:eastAsia="Arial" w:cs="Arial"/>
          <w:b/>
          <w:bCs/>
          <w:color w:val="000000" w:themeColor="text1"/>
          <w:sz w:val="22"/>
          <w:szCs w:val="22"/>
        </w:rPr>
        <w:t>SUBPROCESO NORMATIVA</w:t>
      </w:r>
    </w:p>
    <w:p w14:paraId="5FDB137E" w14:textId="77777777" w:rsidR="00EC2F31" w:rsidRPr="008A3AD3" w:rsidRDefault="00EC2F31" w:rsidP="000A20EE">
      <w:pPr>
        <w:pStyle w:val="Prrafodelista"/>
        <w:numPr>
          <w:ilvl w:val="0"/>
          <w:numId w:val="172"/>
        </w:numPr>
        <w:spacing w:before="240" w:after="160"/>
        <w:rPr>
          <w:rFonts w:eastAsia="Arial" w:cs="Arial"/>
          <w:b/>
          <w:color w:val="000000" w:themeColor="text1"/>
          <w:sz w:val="22"/>
          <w:szCs w:val="22"/>
        </w:rPr>
      </w:pPr>
      <w:r w:rsidRPr="008A3AD3">
        <w:rPr>
          <w:rFonts w:eastAsia="Arial" w:cs="Arial"/>
          <w:b/>
          <w:color w:val="000000" w:themeColor="text1"/>
          <w:sz w:val="22"/>
          <w:szCs w:val="22"/>
          <w:lang w:val="es-CO"/>
        </w:rPr>
        <w:t>NORMOGRAMA</w:t>
      </w:r>
    </w:p>
    <w:p w14:paraId="7287C3CE" w14:textId="77777777" w:rsidR="00EC2F31" w:rsidRDefault="00EC2F31" w:rsidP="00EC2F31">
      <w:pPr>
        <w:spacing w:before="240"/>
        <w:jc w:val="both"/>
        <w:rPr>
          <w:rFonts w:eastAsia="Arial" w:cs="Arial"/>
          <w:color w:val="000000" w:themeColor="text1"/>
          <w:sz w:val="22"/>
          <w:szCs w:val="22"/>
        </w:rPr>
      </w:pPr>
      <w:r w:rsidRPr="759AD71D">
        <w:rPr>
          <w:rFonts w:eastAsia="Arial" w:cs="Arial"/>
          <w:color w:val="000000" w:themeColor="text1"/>
          <w:sz w:val="22"/>
          <w:szCs w:val="22"/>
        </w:rPr>
        <w:t xml:space="preserve">La Oficina Asesora Jurídica actualizó el procedimiento Normograma con el fin de optimizar el proceso de publicación de las normas en la página web institucional para consulta de los distintos actores y partes interesadas, mediante el link </w:t>
      </w:r>
      <w:hyperlink r:id="rId210">
        <w:r w:rsidRPr="759AD71D">
          <w:rPr>
            <w:rStyle w:val="Hipervnculo"/>
            <w:rFonts w:eastAsia="Arial" w:cs="Arial"/>
            <w:sz w:val="22"/>
            <w:szCs w:val="22"/>
          </w:rPr>
          <w:t>https://www.igac.gov.co/es/normograma</w:t>
        </w:r>
      </w:hyperlink>
      <w:r w:rsidRPr="759AD71D">
        <w:rPr>
          <w:rFonts w:eastAsia="Arial" w:cs="Arial"/>
          <w:color w:val="000000" w:themeColor="text1"/>
          <w:sz w:val="22"/>
          <w:szCs w:val="22"/>
        </w:rPr>
        <w:t xml:space="preserve"> </w:t>
      </w:r>
    </w:p>
    <w:p w14:paraId="5D6F996A" w14:textId="77777777" w:rsidR="00EC2F31" w:rsidRPr="008A3AD3" w:rsidRDefault="00EC2F31" w:rsidP="000A20EE">
      <w:pPr>
        <w:pStyle w:val="Prrafodelista"/>
        <w:numPr>
          <w:ilvl w:val="0"/>
          <w:numId w:val="172"/>
        </w:numPr>
        <w:spacing w:before="240" w:after="160"/>
        <w:rPr>
          <w:rFonts w:eastAsia="Arial" w:cs="Arial"/>
          <w:b/>
          <w:color w:val="000000" w:themeColor="text1"/>
          <w:sz w:val="22"/>
          <w:szCs w:val="22"/>
        </w:rPr>
      </w:pPr>
      <w:r w:rsidRPr="008A3AD3">
        <w:rPr>
          <w:rFonts w:eastAsia="Arial" w:cs="Arial"/>
          <w:b/>
          <w:color w:val="000000" w:themeColor="text1"/>
          <w:sz w:val="22"/>
          <w:szCs w:val="22"/>
          <w:lang w:val="es-CO"/>
        </w:rPr>
        <w:t>CONTRATOS Y CONVENIOS DE COMPETENCIA DE LA OAJ</w:t>
      </w:r>
    </w:p>
    <w:p w14:paraId="1D5D60C9" w14:textId="77777777" w:rsidR="00EC2F31" w:rsidRDefault="00EC2F31" w:rsidP="00EC2F31">
      <w:pPr>
        <w:spacing w:before="240"/>
        <w:jc w:val="both"/>
        <w:rPr>
          <w:rFonts w:eastAsia="Arial" w:cs="Arial"/>
          <w:color w:val="000000" w:themeColor="text1"/>
          <w:sz w:val="22"/>
          <w:szCs w:val="22"/>
        </w:rPr>
      </w:pPr>
      <w:r w:rsidRPr="759AD71D">
        <w:rPr>
          <w:rFonts w:eastAsia="Arial" w:cs="Arial"/>
          <w:color w:val="000000" w:themeColor="text1"/>
          <w:sz w:val="22"/>
          <w:szCs w:val="22"/>
        </w:rPr>
        <w:t>La Oficina llevó a cabo la implementación de los procedimientos de Convenio de Cooperación Internacional y Convenio Especial de Cooperación de Ciencia y Tecnología, así como el de Convenio Interadministrativo, y se cuenta con los proyectos de procedimiento de Contrato de comodato y donación y Memorandos de entendimiento, con la finalidad de contar con la trazabilidad de los pasos llevados a cabo en cada uno de los trámites contractuales.  La documentación en el SGI de la Entidad constituye un logro representativo para la Oficina, dado que previo a la presente administración no se contaba con trazabilidad de las actividades de esa gestión.</w:t>
      </w:r>
    </w:p>
    <w:p w14:paraId="2256BA5D" w14:textId="77777777" w:rsidR="00EC2F31" w:rsidRDefault="00EC2F31" w:rsidP="00EC2F31">
      <w:pPr>
        <w:spacing w:before="240"/>
        <w:jc w:val="both"/>
        <w:rPr>
          <w:rFonts w:eastAsia="Arial" w:cs="Arial"/>
          <w:color w:val="000000" w:themeColor="text1"/>
          <w:sz w:val="22"/>
          <w:szCs w:val="22"/>
        </w:rPr>
      </w:pPr>
      <w:r w:rsidRPr="759AD71D">
        <w:rPr>
          <w:rFonts w:eastAsia="Arial" w:cs="Arial"/>
          <w:color w:val="000000" w:themeColor="text1"/>
          <w:sz w:val="22"/>
          <w:szCs w:val="22"/>
        </w:rPr>
        <w:t>Esta actividad se realizó de conformidad con la redistribución de funciones entre la Oficina Asesora Jurídica y la Secretaría General (Contratación) mediante la Resolución 212 de 2021, en la cual se asignaron los contratos de ingresos a Contratación.</w:t>
      </w:r>
    </w:p>
    <w:p w14:paraId="7438563A" w14:textId="77777777" w:rsidR="00EC2F31" w:rsidRPr="008A3AD3" w:rsidRDefault="00EC2F31" w:rsidP="000A20EE">
      <w:pPr>
        <w:pStyle w:val="Prrafodelista"/>
        <w:numPr>
          <w:ilvl w:val="0"/>
          <w:numId w:val="171"/>
        </w:numPr>
        <w:spacing w:before="240" w:after="160"/>
        <w:rPr>
          <w:rFonts w:eastAsia="Arial" w:cs="Arial"/>
          <w:b/>
          <w:color w:val="000000" w:themeColor="text1"/>
          <w:sz w:val="22"/>
          <w:szCs w:val="22"/>
        </w:rPr>
      </w:pPr>
      <w:r w:rsidRPr="008A3AD3">
        <w:rPr>
          <w:rFonts w:eastAsia="Arial" w:cs="Arial"/>
          <w:b/>
          <w:color w:val="000000" w:themeColor="text1"/>
          <w:sz w:val="22"/>
          <w:szCs w:val="22"/>
          <w:lang w:val="es-CO"/>
        </w:rPr>
        <w:t>DOCUMENTOS DE CONTRATOS Y CONVENIOS DE COMPETENCIA DE LA OAJ</w:t>
      </w:r>
    </w:p>
    <w:p w14:paraId="3050E41C" w14:textId="77777777" w:rsidR="00EC2F31" w:rsidRDefault="00EC2F31" w:rsidP="00EC2F31">
      <w:pPr>
        <w:spacing w:before="240"/>
        <w:jc w:val="both"/>
        <w:rPr>
          <w:rFonts w:eastAsia="Arial" w:cs="Arial"/>
          <w:color w:val="000000" w:themeColor="text1"/>
          <w:sz w:val="22"/>
          <w:szCs w:val="22"/>
        </w:rPr>
      </w:pPr>
      <w:r w:rsidRPr="759AD71D">
        <w:rPr>
          <w:rFonts w:eastAsia="Arial" w:cs="Arial"/>
          <w:color w:val="000000" w:themeColor="text1"/>
          <w:sz w:val="22"/>
          <w:szCs w:val="22"/>
        </w:rPr>
        <w:t>De conformidad con los hallazgos 15, 16 y 17 de la auditoría financiera realizada a la vigencia 2019 a la Entidad por la Contraloría General de la República, se evidenciaron las siguientes situaciones:</w:t>
      </w:r>
    </w:p>
    <w:p w14:paraId="2A4BD586" w14:textId="77777777" w:rsidR="00EC2F31" w:rsidRDefault="00EC2F31" w:rsidP="000A20EE">
      <w:pPr>
        <w:pStyle w:val="Prrafodelista"/>
        <w:numPr>
          <w:ilvl w:val="0"/>
          <w:numId w:val="170"/>
        </w:numPr>
        <w:spacing w:before="240" w:after="160"/>
        <w:rPr>
          <w:rFonts w:eastAsia="Arial" w:cs="Arial"/>
          <w:i/>
          <w:iCs/>
          <w:color w:val="000000" w:themeColor="text1"/>
        </w:rPr>
      </w:pPr>
      <w:r w:rsidRPr="759AD71D">
        <w:rPr>
          <w:rFonts w:eastAsia="Arial" w:cs="Arial"/>
          <w:i/>
          <w:iCs/>
          <w:color w:val="000000" w:themeColor="text1"/>
          <w:lang w:val="es-CO"/>
        </w:rPr>
        <w:t>“El archivo de la Oficina Asesora Jurídica no cumple los lineamientos fijados por el archivo General de la Nación, ni las TRD aprobadas por la Entidad. Los expedientes contractuales en su mayoría presentan documentación repetida, están incompletos, no están organizados cronológicamente, y no están foliados.”</w:t>
      </w:r>
    </w:p>
    <w:p w14:paraId="3A4B36DE" w14:textId="77777777" w:rsidR="00EC2F31" w:rsidRDefault="00EC2F31" w:rsidP="00EC2F31">
      <w:pPr>
        <w:jc w:val="both"/>
        <w:rPr>
          <w:rFonts w:eastAsia="Arial" w:cs="Arial"/>
          <w:color w:val="000000" w:themeColor="text1"/>
          <w:sz w:val="22"/>
          <w:szCs w:val="22"/>
        </w:rPr>
      </w:pPr>
      <w:r w:rsidRPr="759AD71D">
        <w:rPr>
          <w:rFonts w:eastAsia="Arial" w:cs="Arial"/>
          <w:color w:val="000000" w:themeColor="text1"/>
          <w:sz w:val="22"/>
          <w:szCs w:val="22"/>
        </w:rPr>
        <w:t>Al respecto, la Oficina Asesora Jurídica ha efectuado la revisión y actualización del estado de los expedientes contractuales de la vigencia 2019, 2018, 2017 y 2016 que reposan en el archivo de gestión. Para dar cumplimiento a la actividad, en apoyo con Gestión Documental, se realizó el inventario de 90 cajas x 200 y la inserción de documentos en los expedientes en 184 cajas x 200; se generó un espacio de almacenamiento de Expedientes Digitalizados con todos los Contratos y/o Convenios 2020, y a la fecha se cuenta con un inventario de Excel de contratos y/o convenios: 100% avance vigencia 2020, 60% vigencia 2019, y 30% de avance de la vigencia 2018. A 31 de diciembre se proyecta completar el 100% de la información.</w:t>
      </w:r>
    </w:p>
    <w:p w14:paraId="7284BD89" w14:textId="77777777" w:rsidR="00EC2F31" w:rsidRDefault="00EC2F31" w:rsidP="000A20EE">
      <w:pPr>
        <w:pStyle w:val="Prrafodelista"/>
        <w:numPr>
          <w:ilvl w:val="0"/>
          <w:numId w:val="170"/>
        </w:numPr>
        <w:spacing w:before="240" w:after="160"/>
        <w:rPr>
          <w:rFonts w:eastAsia="Arial" w:cs="Arial"/>
          <w:i/>
          <w:iCs/>
          <w:color w:val="000000" w:themeColor="text1"/>
        </w:rPr>
      </w:pPr>
      <w:r w:rsidRPr="759AD71D">
        <w:rPr>
          <w:rFonts w:eastAsia="Arial" w:cs="Arial"/>
          <w:i/>
          <w:iCs/>
          <w:color w:val="000000" w:themeColor="text1"/>
          <w:lang w:val="es-CO"/>
        </w:rPr>
        <w:lastRenderedPageBreak/>
        <w:t>“Los supervisores de los convenios y contratos interadministrativos no remiten los informes de supervisión y demás documentación a su cargo, que permita saber el estado de ejecución de los convenios y/o contratos que generen ingresos para la Entidad.” “Los supervisores de los contratos y/o convenios no ejercen un control de ejecución que permita establecer la ejecución contractual o generación de productos en tiempo real.”</w:t>
      </w:r>
    </w:p>
    <w:p w14:paraId="69681745" w14:textId="77777777" w:rsidR="00EC2F31" w:rsidRDefault="00EC2F31" w:rsidP="00EC2F31">
      <w:pPr>
        <w:spacing w:before="240"/>
        <w:jc w:val="both"/>
        <w:rPr>
          <w:color w:val="000000" w:themeColor="text1"/>
        </w:rPr>
      </w:pPr>
      <w:r w:rsidRPr="759AD71D">
        <w:rPr>
          <w:rFonts w:eastAsia="Arial" w:cs="Arial"/>
          <w:color w:val="000000" w:themeColor="text1"/>
          <w:sz w:val="22"/>
          <w:szCs w:val="22"/>
        </w:rPr>
        <w:t>Para dar cumplimiento a la actividad, y en ocasión a las funciones que le asisten a la OAJ, se emitieron circulares trimestrales recordando a los supervisores de los convenios y/o contratos interadministrativos sus obligaciones como supervisores; se efectuó la actualización del estado de los expedientes contractuales de los convenios y/o contratos interadministrativos en la base creada para el efecto y se requirió mensualmente a los supervisores de los contratos y convenios administrativos para que remitan los informes de ejecución de los mismos, así como el acta de liquidación o acta de terminación.</w:t>
      </w:r>
    </w:p>
    <w:p w14:paraId="59519E7D" w14:textId="77777777" w:rsidR="00EC2F31" w:rsidRDefault="00EC2F31" w:rsidP="00EC2F31">
      <w:pPr>
        <w:spacing w:before="240"/>
        <w:jc w:val="both"/>
        <w:rPr>
          <w:rFonts w:eastAsia="Arial" w:cs="Arial"/>
          <w:color w:val="000000" w:themeColor="text1"/>
          <w:sz w:val="22"/>
          <w:szCs w:val="22"/>
        </w:rPr>
      </w:pPr>
      <w:r w:rsidRPr="70E08E57">
        <w:rPr>
          <w:rFonts w:eastAsia="Arial" w:cs="Arial"/>
          <w:b/>
          <w:bCs/>
          <w:color w:val="000000" w:themeColor="text1"/>
          <w:sz w:val="22"/>
          <w:szCs w:val="22"/>
        </w:rPr>
        <w:t xml:space="preserve">4.10.3.3 </w:t>
      </w:r>
      <w:r w:rsidRPr="6689B11D">
        <w:rPr>
          <w:rFonts w:eastAsia="Arial" w:cs="Arial"/>
          <w:b/>
          <w:bCs/>
          <w:color w:val="000000" w:themeColor="text1"/>
          <w:sz w:val="22"/>
          <w:szCs w:val="22"/>
        </w:rPr>
        <w:t>PROPIEDAD INTELECTUAL</w:t>
      </w:r>
    </w:p>
    <w:p w14:paraId="2B39F4E2" w14:textId="77777777" w:rsidR="00EC2F31" w:rsidRDefault="00EC2F31" w:rsidP="00EC2F31">
      <w:pPr>
        <w:spacing w:before="240"/>
        <w:jc w:val="both"/>
        <w:rPr>
          <w:rFonts w:eastAsia="Arial" w:cs="Arial"/>
          <w:color w:val="000000" w:themeColor="text1"/>
          <w:sz w:val="22"/>
          <w:szCs w:val="22"/>
        </w:rPr>
      </w:pPr>
      <w:r w:rsidRPr="6689B11D">
        <w:rPr>
          <w:rFonts w:eastAsia="Arial" w:cs="Arial"/>
          <w:color w:val="000000" w:themeColor="text1"/>
          <w:sz w:val="22"/>
          <w:szCs w:val="22"/>
        </w:rPr>
        <w:t>La Oficina llevó a cabo en 2020 y en 2021 la actualización del procedimiento de Registro y Depósito Legal de Obras producidas por el IGAC, ahora procedimiento Propiedad Intelectual, mediante el cual se efectuó el registro del Sistema de clasificación geomorfológica aplicado a los levantamientos de suelos - Metodología IGAC.</w:t>
      </w:r>
    </w:p>
    <w:p w14:paraId="697442EA" w14:textId="77777777" w:rsidR="00EC2F31" w:rsidRDefault="00EC2F31" w:rsidP="00EC2F31">
      <w:pPr>
        <w:spacing w:before="240"/>
        <w:jc w:val="both"/>
        <w:rPr>
          <w:rFonts w:eastAsia="Arial" w:cs="Arial"/>
          <w:color w:val="000000" w:themeColor="text1"/>
          <w:sz w:val="22"/>
          <w:szCs w:val="22"/>
        </w:rPr>
      </w:pPr>
      <w:r w:rsidRPr="6689B11D">
        <w:rPr>
          <w:rFonts w:eastAsia="Arial" w:cs="Arial"/>
          <w:color w:val="000000" w:themeColor="text1"/>
          <w:sz w:val="22"/>
          <w:szCs w:val="22"/>
        </w:rPr>
        <w:t>De otra parte, llevó a cabo el depósito legal de las siguientes obras:</w:t>
      </w:r>
    </w:p>
    <w:p w14:paraId="2C37E96B" w14:textId="77777777" w:rsidR="00EC2F31" w:rsidRDefault="00EC2F31" w:rsidP="00EC2F31">
      <w:pPr>
        <w:pStyle w:val="Sinespaciado"/>
      </w:pPr>
    </w:p>
    <w:p w14:paraId="7802829D"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Sistema de clasificación geomorfológica aplicado a los levantamientos de suelos - Metodología IGAC </w:t>
      </w:r>
    </w:p>
    <w:p w14:paraId="1359AB96"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Lineamientos para uso de la información geográfica en procesos de revisión y ajuste de esquemas de ordenamiento territorial (Cartilla POT)  </w:t>
      </w:r>
    </w:p>
    <w:p w14:paraId="7218585B"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Lineamientos para uso de la información geográfica en la formulación de planes de ordenamiento departamental (Cartilla POD)  </w:t>
      </w:r>
    </w:p>
    <w:p w14:paraId="2B02841C"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Nombres geográficos de Colombia: Región Tolima Grande  </w:t>
      </w:r>
    </w:p>
    <w:p w14:paraId="1A92F320"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Nombres geográficos de Colombia: Región Antioquia y Eje Cafetero </w:t>
      </w:r>
    </w:p>
    <w:p w14:paraId="1285DB02" w14:textId="77777777" w:rsidR="00EC2F31" w:rsidRPr="008A3AD3" w:rsidRDefault="00EC2F31" w:rsidP="000A20EE">
      <w:pPr>
        <w:pStyle w:val="Sinespaciado"/>
        <w:numPr>
          <w:ilvl w:val="0"/>
          <w:numId w:val="191"/>
        </w:numPr>
        <w:jc w:val="both"/>
        <w:rPr>
          <w:rFonts w:ascii="Arial" w:hAnsi="Arial" w:cs="Arial"/>
        </w:rPr>
      </w:pPr>
      <w:r w:rsidRPr="008A3AD3">
        <w:rPr>
          <w:rFonts w:ascii="Arial" w:hAnsi="Arial" w:cs="Arial"/>
        </w:rPr>
        <w:t xml:space="preserve">Mapa turístico departamento del Putumayo </w:t>
      </w:r>
    </w:p>
    <w:p w14:paraId="342FA109" w14:textId="77777777" w:rsidR="00EC2F31" w:rsidRDefault="00EC2F31" w:rsidP="00EC2F31">
      <w:pPr>
        <w:spacing w:before="240"/>
        <w:jc w:val="both"/>
        <w:rPr>
          <w:rFonts w:eastAsia="Arial" w:cs="Arial"/>
          <w:color w:val="000000" w:themeColor="text1"/>
          <w:sz w:val="22"/>
          <w:szCs w:val="22"/>
        </w:rPr>
      </w:pPr>
      <w:r w:rsidRPr="6689B11D">
        <w:rPr>
          <w:rFonts w:eastAsia="Arial" w:cs="Arial"/>
          <w:color w:val="000000" w:themeColor="text1"/>
          <w:sz w:val="22"/>
          <w:szCs w:val="22"/>
        </w:rPr>
        <w:t>La Oficina informa que las siguientes obras se encuentran pendientes por registrar, por falta de información de las áreas productoras:</w:t>
      </w:r>
    </w:p>
    <w:p w14:paraId="2241B0C9" w14:textId="77777777" w:rsidR="00EC2F31" w:rsidRDefault="00EC2F31" w:rsidP="00EC2F31">
      <w:pPr>
        <w:pStyle w:val="Sinespaciado"/>
      </w:pPr>
    </w:p>
    <w:p w14:paraId="4D27D2AE"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Lineamientos para uso de la información geográfica en procesos de revisión y ajuste de esquemas de ordenamiento territorial (Cartilla POT)  </w:t>
      </w:r>
    </w:p>
    <w:p w14:paraId="0BCA37E1"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Lineamientos para uso de la información geográfica en la formulación de planes de ordenamiento departamental (Cartilla POD)  </w:t>
      </w:r>
    </w:p>
    <w:p w14:paraId="67CE5DF8"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Nombres geográficos de Colombia: Región Tolima Grande  </w:t>
      </w:r>
    </w:p>
    <w:p w14:paraId="72F7EBE0"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Nombres geográficos de Colombia: Región Antioquia y Eje Cafetero </w:t>
      </w:r>
    </w:p>
    <w:p w14:paraId="2C20E916"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Mapa turístico departamento del Putumayo </w:t>
      </w:r>
    </w:p>
    <w:p w14:paraId="059ABC73" w14:textId="77777777" w:rsidR="00EC2F31" w:rsidRPr="008A3AD3" w:rsidRDefault="00EC2F31" w:rsidP="000A20EE">
      <w:pPr>
        <w:pStyle w:val="Sinespaciado"/>
        <w:numPr>
          <w:ilvl w:val="0"/>
          <w:numId w:val="192"/>
        </w:numPr>
        <w:jc w:val="both"/>
        <w:rPr>
          <w:rFonts w:ascii="Arial" w:hAnsi="Arial" w:cs="Arial"/>
        </w:rPr>
      </w:pPr>
      <w:r w:rsidRPr="008A3AD3">
        <w:rPr>
          <w:rFonts w:ascii="Arial" w:hAnsi="Arial" w:cs="Arial"/>
        </w:rPr>
        <w:t xml:space="preserve">Sistema Nacional Catastral – SNC  </w:t>
      </w:r>
    </w:p>
    <w:p w14:paraId="1C3C37E2" w14:textId="77777777" w:rsidR="00EC2F31" w:rsidRDefault="00EC2F31" w:rsidP="00EC2F31">
      <w:pPr>
        <w:spacing w:before="240"/>
        <w:jc w:val="both"/>
        <w:rPr>
          <w:rFonts w:eastAsia="Arial" w:cs="Arial"/>
          <w:color w:val="000000" w:themeColor="text1"/>
          <w:sz w:val="22"/>
          <w:szCs w:val="22"/>
        </w:rPr>
      </w:pPr>
      <w:r w:rsidRPr="6689B11D">
        <w:rPr>
          <w:rFonts w:eastAsia="Arial" w:cs="Arial"/>
          <w:color w:val="000000" w:themeColor="text1"/>
          <w:sz w:val="22"/>
          <w:szCs w:val="22"/>
        </w:rPr>
        <w:t xml:space="preserve">La Oficina llevó a cabo la actualización del procedimiento, ahora “Propiedad Intelectual y Depósito Legal”, mediante el cual se estima el registro de Marcas y softwares pendientes: </w:t>
      </w:r>
    </w:p>
    <w:p w14:paraId="4D38A41B" w14:textId="77777777" w:rsidR="00EC2F31" w:rsidRDefault="00EC2F31" w:rsidP="00EC2F31">
      <w:pPr>
        <w:pStyle w:val="Sinespaciado"/>
      </w:pPr>
    </w:p>
    <w:p w14:paraId="10FC72D5" w14:textId="77777777" w:rsidR="00EC2F31" w:rsidRPr="008A3AD3" w:rsidRDefault="00EC2F31" w:rsidP="000A20EE">
      <w:pPr>
        <w:pStyle w:val="Sinespaciado"/>
        <w:numPr>
          <w:ilvl w:val="0"/>
          <w:numId w:val="193"/>
        </w:numPr>
        <w:jc w:val="both"/>
        <w:rPr>
          <w:rFonts w:ascii="Arial" w:hAnsi="Arial" w:cs="Arial"/>
        </w:rPr>
      </w:pPr>
      <w:r w:rsidRPr="008A3AD3">
        <w:rPr>
          <w:rFonts w:ascii="Arial" w:hAnsi="Arial" w:cs="Arial"/>
        </w:rPr>
        <w:t xml:space="preserve">Sistema Nacional Catastral – SNC </w:t>
      </w:r>
    </w:p>
    <w:p w14:paraId="3FCE12BF" w14:textId="77777777" w:rsidR="00EC2F31" w:rsidRPr="008A3AD3" w:rsidRDefault="00EC2F31" w:rsidP="000A20EE">
      <w:pPr>
        <w:pStyle w:val="Sinespaciado"/>
        <w:numPr>
          <w:ilvl w:val="0"/>
          <w:numId w:val="193"/>
        </w:numPr>
        <w:jc w:val="both"/>
        <w:rPr>
          <w:rFonts w:ascii="Arial" w:hAnsi="Arial" w:cs="Arial"/>
        </w:rPr>
      </w:pPr>
      <w:r w:rsidRPr="008A3AD3">
        <w:rPr>
          <w:rFonts w:ascii="Arial" w:hAnsi="Arial" w:cs="Arial"/>
        </w:rPr>
        <w:t xml:space="preserve">Ventanilla Virtual del IGAC – VIVI </w:t>
      </w:r>
    </w:p>
    <w:p w14:paraId="5FB1FA28" w14:textId="77777777" w:rsidR="00EC2F31" w:rsidRPr="008A3AD3" w:rsidRDefault="00EC2F31" w:rsidP="000A20EE">
      <w:pPr>
        <w:pStyle w:val="Sinespaciado"/>
        <w:numPr>
          <w:ilvl w:val="0"/>
          <w:numId w:val="193"/>
        </w:numPr>
        <w:jc w:val="both"/>
        <w:rPr>
          <w:rFonts w:ascii="Arial" w:hAnsi="Arial" w:cs="Arial"/>
        </w:rPr>
      </w:pPr>
      <w:r w:rsidRPr="008A3AD3">
        <w:rPr>
          <w:rFonts w:ascii="Arial" w:hAnsi="Arial" w:cs="Arial"/>
        </w:rPr>
        <w:lastRenderedPageBreak/>
        <w:t>Colombia en Mapas</w:t>
      </w:r>
    </w:p>
    <w:p w14:paraId="49D6C964" w14:textId="77777777" w:rsidR="00EC2F31" w:rsidRDefault="00EC2F31" w:rsidP="00EC2F31">
      <w:pPr>
        <w:jc w:val="both"/>
        <w:rPr>
          <w:rFonts w:eastAsia="Arial" w:cs="Arial"/>
          <w:color w:val="000000" w:themeColor="text1"/>
          <w:sz w:val="22"/>
          <w:szCs w:val="22"/>
        </w:rPr>
      </w:pPr>
    </w:p>
    <w:p w14:paraId="4FF8DAA4" w14:textId="77777777" w:rsidR="00EC2F31" w:rsidRDefault="00EC2F31" w:rsidP="00EC2F31">
      <w:pPr>
        <w:jc w:val="both"/>
        <w:rPr>
          <w:rFonts w:eastAsia="Arial" w:cs="Arial"/>
          <w:color w:val="000000" w:themeColor="text1"/>
          <w:sz w:val="22"/>
          <w:szCs w:val="22"/>
        </w:rPr>
      </w:pPr>
    </w:p>
    <w:p w14:paraId="322F7B67" w14:textId="2DA234D6" w:rsidR="00EC2F31" w:rsidRDefault="00EC2F31" w:rsidP="00A6302C">
      <w:pPr>
        <w:pStyle w:val="Prrafodelista"/>
        <w:numPr>
          <w:ilvl w:val="2"/>
          <w:numId w:val="22"/>
        </w:numPr>
        <w:rPr>
          <w:b/>
          <w:bCs/>
          <w:sz w:val="22"/>
          <w:szCs w:val="22"/>
        </w:rPr>
      </w:pPr>
      <w:r w:rsidRPr="002D2F11">
        <w:rPr>
          <w:b/>
          <w:bCs/>
          <w:sz w:val="22"/>
          <w:szCs w:val="22"/>
        </w:rPr>
        <w:t>OTROS LOGROS</w:t>
      </w:r>
    </w:p>
    <w:p w14:paraId="42D1D1C1" w14:textId="77777777" w:rsidR="00A6302C" w:rsidRPr="00A6302C" w:rsidRDefault="00A6302C" w:rsidP="00A6302C">
      <w:pPr>
        <w:pStyle w:val="Lista"/>
      </w:pPr>
    </w:p>
    <w:p w14:paraId="629DEA05" w14:textId="77777777" w:rsidR="00EC2F31" w:rsidRPr="008A3AD3" w:rsidRDefault="00EC2F31" w:rsidP="00EC2F31">
      <w:pPr>
        <w:spacing w:after="160"/>
        <w:jc w:val="both"/>
        <w:rPr>
          <w:rFonts w:eastAsia="Arial" w:cs="Arial"/>
          <w:b/>
          <w:color w:val="000000" w:themeColor="text1"/>
          <w:sz w:val="22"/>
          <w:szCs w:val="22"/>
        </w:rPr>
      </w:pPr>
      <w:r w:rsidRPr="008A3AD3">
        <w:rPr>
          <w:rFonts w:eastAsia="Arial" w:cs="Arial"/>
          <w:b/>
          <w:color w:val="000000" w:themeColor="text1"/>
          <w:sz w:val="22"/>
          <w:szCs w:val="22"/>
          <w:lang w:val="es-CO"/>
        </w:rPr>
        <w:t xml:space="preserve">Avance en la actualización documental del archivo de gestión de la Oficina: </w:t>
      </w:r>
      <w:r w:rsidRPr="008A3AD3">
        <w:rPr>
          <w:rFonts w:eastAsia="Arial" w:cs="Arial"/>
          <w:color w:val="000000" w:themeColor="text1"/>
          <w:sz w:val="22"/>
          <w:szCs w:val="22"/>
        </w:rPr>
        <w:t>Una vez analizado el estado de la documentación del archivo de gestión de la oficina, en 2020 se identificó el siguiente estado:</w:t>
      </w:r>
    </w:p>
    <w:p w14:paraId="5F27A638" w14:textId="77777777" w:rsidR="00EC2F31" w:rsidRPr="008A3AD3" w:rsidRDefault="00EC2F31" w:rsidP="000A20EE">
      <w:pPr>
        <w:pStyle w:val="Prrafodelista"/>
        <w:numPr>
          <w:ilvl w:val="0"/>
          <w:numId w:val="169"/>
        </w:numPr>
        <w:rPr>
          <w:rFonts w:eastAsia="Arial" w:cs="Arial"/>
          <w:color w:val="000000" w:themeColor="text1"/>
          <w:sz w:val="22"/>
          <w:szCs w:val="22"/>
        </w:rPr>
      </w:pPr>
      <w:r>
        <w:rPr>
          <w:rFonts w:eastAsia="Arial" w:cs="Arial"/>
          <w:color w:val="000000" w:themeColor="text1"/>
          <w:sz w:val="22"/>
          <w:szCs w:val="22"/>
          <w:lang w:val="es-CO"/>
        </w:rPr>
        <w:t xml:space="preserve">12 </w:t>
      </w:r>
      <w:r w:rsidRPr="008A3AD3">
        <w:rPr>
          <w:rFonts w:eastAsia="Arial" w:cs="Arial"/>
          <w:color w:val="000000" w:themeColor="text1"/>
          <w:sz w:val="22"/>
          <w:szCs w:val="22"/>
          <w:lang w:val="es-CO"/>
        </w:rPr>
        <w:t>metros lineales de documentación pendientes por archivar.</w:t>
      </w:r>
    </w:p>
    <w:p w14:paraId="0F209B79" w14:textId="77777777" w:rsidR="00EC2F31" w:rsidRPr="008A3AD3" w:rsidRDefault="00EC2F31" w:rsidP="000A20EE">
      <w:pPr>
        <w:pStyle w:val="Prrafodelista"/>
        <w:numPr>
          <w:ilvl w:val="0"/>
          <w:numId w:val="169"/>
        </w:numPr>
        <w:rPr>
          <w:rFonts w:eastAsia="Arial" w:cs="Arial"/>
          <w:color w:val="000000" w:themeColor="text1"/>
          <w:sz w:val="22"/>
          <w:szCs w:val="22"/>
        </w:rPr>
      </w:pPr>
      <w:r w:rsidRPr="008A3AD3">
        <w:rPr>
          <w:rFonts w:eastAsia="Arial" w:cs="Arial"/>
          <w:color w:val="000000" w:themeColor="text1"/>
          <w:sz w:val="22"/>
          <w:szCs w:val="22"/>
          <w:lang w:val="es-CO"/>
        </w:rPr>
        <w:t>Inventario documental que no cumplía con las necesidades de la oficina. </w:t>
      </w:r>
    </w:p>
    <w:p w14:paraId="70F91E5C" w14:textId="77777777" w:rsidR="00EC2F31" w:rsidRPr="008A3AD3" w:rsidRDefault="00EC2F31" w:rsidP="000A20EE">
      <w:pPr>
        <w:pStyle w:val="Prrafodelista"/>
        <w:numPr>
          <w:ilvl w:val="0"/>
          <w:numId w:val="169"/>
        </w:numPr>
        <w:rPr>
          <w:rFonts w:eastAsia="Arial" w:cs="Arial"/>
          <w:color w:val="000000" w:themeColor="text1"/>
          <w:sz w:val="22"/>
          <w:szCs w:val="22"/>
        </w:rPr>
      </w:pPr>
      <w:r w:rsidRPr="008A3AD3">
        <w:rPr>
          <w:rFonts w:eastAsia="Arial" w:cs="Arial"/>
          <w:color w:val="000000" w:themeColor="text1"/>
          <w:sz w:val="22"/>
          <w:szCs w:val="22"/>
          <w:lang w:val="es-CO"/>
        </w:rPr>
        <w:t>Expedientes desde el año 2016 que no cumplían con los parámetros de archivo establecidos por el AGN.</w:t>
      </w:r>
    </w:p>
    <w:p w14:paraId="200EB279" w14:textId="77777777" w:rsidR="00EC2F31" w:rsidRPr="008A3AD3" w:rsidRDefault="00EC2F31" w:rsidP="000A20EE">
      <w:pPr>
        <w:pStyle w:val="Prrafodelista"/>
        <w:numPr>
          <w:ilvl w:val="0"/>
          <w:numId w:val="169"/>
        </w:numPr>
        <w:rPr>
          <w:rFonts w:eastAsia="Arial" w:cs="Arial"/>
          <w:color w:val="000000" w:themeColor="text1"/>
          <w:sz w:val="22"/>
          <w:szCs w:val="22"/>
        </w:rPr>
      </w:pPr>
      <w:r w:rsidRPr="008A3AD3">
        <w:rPr>
          <w:rFonts w:eastAsia="Arial" w:cs="Arial"/>
          <w:color w:val="000000" w:themeColor="text1"/>
          <w:sz w:val="22"/>
          <w:szCs w:val="22"/>
          <w:lang w:val="es-CO"/>
        </w:rPr>
        <w:t>TRD no ajustada a las necesidades de la oficina. </w:t>
      </w:r>
    </w:p>
    <w:p w14:paraId="6EE199F4" w14:textId="77777777" w:rsidR="00EC2F31" w:rsidRPr="008A3AD3" w:rsidRDefault="00EC2F31" w:rsidP="000A20EE">
      <w:pPr>
        <w:pStyle w:val="Prrafodelista"/>
        <w:numPr>
          <w:ilvl w:val="0"/>
          <w:numId w:val="169"/>
        </w:numPr>
        <w:rPr>
          <w:rFonts w:eastAsia="Arial" w:cs="Arial"/>
          <w:color w:val="000000" w:themeColor="text1"/>
          <w:sz w:val="22"/>
          <w:szCs w:val="22"/>
        </w:rPr>
      </w:pPr>
      <w:r w:rsidRPr="008A3AD3">
        <w:rPr>
          <w:rFonts w:eastAsia="Arial" w:cs="Arial"/>
          <w:color w:val="000000" w:themeColor="text1"/>
          <w:sz w:val="22"/>
          <w:szCs w:val="22"/>
          <w:lang w:val="es-CO"/>
        </w:rPr>
        <w:t>Duplicidad de documentación.</w:t>
      </w:r>
    </w:p>
    <w:p w14:paraId="5FDC2937" w14:textId="77777777" w:rsidR="00EC2F31" w:rsidRPr="008A3AD3" w:rsidRDefault="00EC2F31" w:rsidP="000A20EE">
      <w:pPr>
        <w:pStyle w:val="Prrafodelista"/>
        <w:numPr>
          <w:ilvl w:val="0"/>
          <w:numId w:val="169"/>
        </w:numPr>
        <w:rPr>
          <w:rFonts w:eastAsia="Arial" w:cs="Arial"/>
          <w:color w:val="000000" w:themeColor="text1"/>
          <w:sz w:val="22"/>
          <w:szCs w:val="22"/>
        </w:rPr>
      </w:pPr>
      <w:r w:rsidRPr="008A3AD3">
        <w:rPr>
          <w:rFonts w:eastAsia="Arial" w:cs="Arial"/>
          <w:color w:val="000000" w:themeColor="text1"/>
          <w:sz w:val="22"/>
          <w:szCs w:val="22"/>
          <w:lang w:val="es-CO"/>
        </w:rPr>
        <w:t>Expedientes sin crear.</w:t>
      </w:r>
    </w:p>
    <w:p w14:paraId="1C25FB53" w14:textId="77777777" w:rsidR="00EC2F31" w:rsidRDefault="00EC2F31" w:rsidP="000A20EE">
      <w:pPr>
        <w:pStyle w:val="Prrafodelista"/>
        <w:numPr>
          <w:ilvl w:val="0"/>
          <w:numId w:val="169"/>
        </w:numPr>
        <w:rPr>
          <w:rFonts w:eastAsia="Arial" w:cs="Arial"/>
          <w:color w:val="000000" w:themeColor="text1"/>
          <w:sz w:val="22"/>
          <w:szCs w:val="22"/>
          <w:lang w:val="es-CO"/>
        </w:rPr>
      </w:pPr>
      <w:r w:rsidRPr="008A3AD3">
        <w:rPr>
          <w:rFonts w:eastAsia="Arial" w:cs="Arial"/>
          <w:color w:val="000000" w:themeColor="text1"/>
          <w:sz w:val="22"/>
          <w:szCs w:val="22"/>
          <w:lang w:val="es-CO"/>
        </w:rPr>
        <w:t>Espacio físico del archivo insuficiente. </w:t>
      </w:r>
    </w:p>
    <w:p w14:paraId="7827588B" w14:textId="01E6C765" w:rsidR="00EC2F31" w:rsidRPr="00A6302C" w:rsidRDefault="00EC2F31" w:rsidP="00A6302C">
      <w:pPr>
        <w:pStyle w:val="Lista"/>
        <w:jc w:val="center"/>
        <w:rPr>
          <w:rFonts w:eastAsia="Arial" w:cs="Arial"/>
          <w:b/>
          <w:color w:val="000000" w:themeColor="text1"/>
          <w:sz w:val="18"/>
          <w:lang w:val="es-CO"/>
        </w:rPr>
      </w:pPr>
    </w:p>
    <w:p w14:paraId="0D7C201F" w14:textId="7770A377" w:rsidR="00A6302C" w:rsidRPr="00A6302C" w:rsidRDefault="00A6302C" w:rsidP="00A6302C">
      <w:pPr>
        <w:pStyle w:val="Descripcin"/>
        <w:jc w:val="center"/>
        <w:rPr>
          <w:rFonts w:ascii="Arial" w:eastAsia="Arial" w:hAnsi="Arial" w:cs="Arial"/>
          <w:b/>
          <w:i w:val="0"/>
          <w:color w:val="000000" w:themeColor="text1"/>
          <w:sz w:val="16"/>
        </w:rPr>
      </w:pPr>
      <w:bookmarkStart w:id="206" w:name="_Toc88677224"/>
      <w:r w:rsidRPr="00A6302C">
        <w:rPr>
          <w:rFonts w:ascii="Arial" w:hAnsi="Arial" w:cs="Arial"/>
          <w:b/>
          <w:i w:val="0"/>
          <w:color w:val="000000" w:themeColor="text1"/>
          <w:sz w:val="16"/>
        </w:rPr>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68</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Archivo de gestión de la OAJ a 30 de abril de 2021</w:t>
      </w:r>
      <w:bookmarkEnd w:id="206"/>
    </w:p>
    <w:p w14:paraId="12C240A3" w14:textId="77777777" w:rsidR="00EC2F31" w:rsidRDefault="00EC2F31" w:rsidP="00EC2F31">
      <w:pPr>
        <w:jc w:val="center"/>
        <w:rPr>
          <w:rFonts w:eastAsia="Arial" w:cs="Arial"/>
          <w:color w:val="000000" w:themeColor="text1"/>
          <w:sz w:val="22"/>
          <w:szCs w:val="22"/>
        </w:rPr>
      </w:pPr>
      <w:r>
        <w:rPr>
          <w:noProof/>
          <w:lang w:val="es-CO" w:eastAsia="es-CO"/>
        </w:rPr>
        <w:drawing>
          <wp:inline distT="0" distB="0" distL="0" distR="0" wp14:anchorId="20AC2B2F" wp14:editId="080174DB">
            <wp:extent cx="2276475" cy="255270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1" cstate="print">
                      <a:extLst>
                        <a:ext uri="{28A0092B-C50C-407E-A947-70E740481C1C}">
                          <a14:useLocalDpi xmlns:a14="http://schemas.microsoft.com/office/drawing/2010/main" val="0"/>
                        </a:ext>
                      </a:extLst>
                    </a:blip>
                    <a:stretch>
                      <a:fillRect/>
                    </a:stretch>
                  </pic:blipFill>
                  <pic:spPr>
                    <a:xfrm>
                      <a:off x="0" y="0"/>
                      <a:ext cx="2276475" cy="2552700"/>
                    </a:xfrm>
                    <a:prstGeom prst="rect">
                      <a:avLst/>
                    </a:prstGeom>
                  </pic:spPr>
                </pic:pic>
              </a:graphicData>
            </a:graphic>
          </wp:inline>
        </w:drawing>
      </w:r>
      <w:r>
        <w:rPr>
          <w:noProof/>
          <w:lang w:val="es-CO" w:eastAsia="es-CO"/>
        </w:rPr>
        <w:drawing>
          <wp:inline distT="0" distB="0" distL="0" distR="0" wp14:anchorId="3AECB3AD" wp14:editId="25B5BD94">
            <wp:extent cx="3248025" cy="2533650"/>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2">
                      <a:extLst>
                        <a:ext uri="{28A0092B-C50C-407E-A947-70E740481C1C}">
                          <a14:useLocalDpi xmlns:a14="http://schemas.microsoft.com/office/drawing/2010/main" val="0"/>
                        </a:ext>
                      </a:extLst>
                    </a:blip>
                    <a:stretch>
                      <a:fillRect/>
                    </a:stretch>
                  </pic:blipFill>
                  <pic:spPr>
                    <a:xfrm>
                      <a:off x="0" y="0"/>
                      <a:ext cx="3248025" cy="2533650"/>
                    </a:xfrm>
                    <a:prstGeom prst="rect">
                      <a:avLst/>
                    </a:prstGeom>
                  </pic:spPr>
                </pic:pic>
              </a:graphicData>
            </a:graphic>
          </wp:inline>
        </w:drawing>
      </w:r>
    </w:p>
    <w:p w14:paraId="41366B2E" w14:textId="77777777" w:rsidR="00EC2F31" w:rsidRPr="008A3AD3" w:rsidRDefault="00EC2F31" w:rsidP="00EC2F31">
      <w:pPr>
        <w:jc w:val="center"/>
        <w:rPr>
          <w:rFonts w:eastAsia="Arial" w:cs="Arial"/>
          <w:b/>
          <w:color w:val="000000" w:themeColor="text1"/>
          <w:sz w:val="16"/>
          <w:szCs w:val="22"/>
        </w:rPr>
      </w:pPr>
      <w:r w:rsidRPr="008A3AD3">
        <w:rPr>
          <w:rFonts w:eastAsia="Arial" w:cs="Arial"/>
          <w:b/>
          <w:color w:val="000000" w:themeColor="text1"/>
          <w:sz w:val="16"/>
          <w:szCs w:val="22"/>
        </w:rPr>
        <w:t>Fuente: Oficina Asesora Jurídica</w:t>
      </w:r>
    </w:p>
    <w:p w14:paraId="5FBAA5DE" w14:textId="77777777" w:rsidR="00EC2F31" w:rsidRDefault="00EC2F31" w:rsidP="00EC2F31">
      <w:pPr>
        <w:jc w:val="both"/>
        <w:rPr>
          <w:rFonts w:eastAsia="Arial" w:cs="Arial"/>
          <w:color w:val="000000" w:themeColor="text1"/>
          <w:sz w:val="22"/>
          <w:szCs w:val="22"/>
        </w:rPr>
      </w:pPr>
    </w:p>
    <w:p w14:paraId="167A0D8B" w14:textId="77777777" w:rsidR="00EC2F31" w:rsidRDefault="00EC2F31" w:rsidP="00EC2F31">
      <w:pPr>
        <w:jc w:val="both"/>
        <w:rPr>
          <w:rFonts w:eastAsia="Arial" w:cs="Arial"/>
          <w:color w:val="000000" w:themeColor="text1"/>
          <w:sz w:val="22"/>
          <w:szCs w:val="22"/>
        </w:rPr>
      </w:pPr>
      <w:r w:rsidRPr="70E08E57">
        <w:rPr>
          <w:rFonts w:eastAsia="Arial" w:cs="Arial"/>
          <w:color w:val="000000" w:themeColor="text1"/>
          <w:sz w:val="22"/>
          <w:szCs w:val="22"/>
        </w:rPr>
        <w:t>A la fecha, se cuenta con los siguientes logros en gestión documental:</w:t>
      </w:r>
    </w:p>
    <w:p w14:paraId="63664371" w14:textId="77777777" w:rsidR="00EC2F31" w:rsidRDefault="00EC2F31" w:rsidP="00EC2F31">
      <w:pPr>
        <w:jc w:val="both"/>
        <w:rPr>
          <w:rFonts w:eastAsia="Arial" w:cs="Arial"/>
          <w:color w:val="000000" w:themeColor="text1"/>
          <w:sz w:val="22"/>
          <w:szCs w:val="22"/>
        </w:rPr>
      </w:pPr>
    </w:p>
    <w:p w14:paraId="65363DDC" w14:textId="77777777" w:rsidR="00EC2F31" w:rsidRPr="008A3AD3" w:rsidRDefault="00EC2F31" w:rsidP="000A20EE">
      <w:pPr>
        <w:pStyle w:val="Sinespaciado"/>
        <w:numPr>
          <w:ilvl w:val="0"/>
          <w:numId w:val="194"/>
        </w:numPr>
        <w:jc w:val="both"/>
        <w:rPr>
          <w:rFonts w:ascii="Arial" w:hAnsi="Arial" w:cs="Arial"/>
        </w:rPr>
      </w:pPr>
      <w:r w:rsidRPr="008A3AD3">
        <w:rPr>
          <w:rFonts w:ascii="Arial" w:hAnsi="Arial" w:cs="Arial"/>
        </w:rPr>
        <w:t>Archivo de más de 8 metros lineales de documentación.</w:t>
      </w:r>
    </w:p>
    <w:p w14:paraId="6CF00BC4" w14:textId="77777777" w:rsidR="00EC2F31" w:rsidRPr="008A3AD3" w:rsidRDefault="00EC2F31" w:rsidP="000A20EE">
      <w:pPr>
        <w:pStyle w:val="Sinespaciado"/>
        <w:numPr>
          <w:ilvl w:val="0"/>
          <w:numId w:val="194"/>
        </w:numPr>
        <w:jc w:val="both"/>
        <w:rPr>
          <w:rFonts w:ascii="Arial" w:hAnsi="Arial" w:cs="Arial"/>
        </w:rPr>
      </w:pPr>
      <w:r w:rsidRPr="008A3AD3">
        <w:rPr>
          <w:rFonts w:ascii="Arial" w:hAnsi="Arial" w:cs="Arial"/>
        </w:rPr>
        <w:t>Apertura y actualización de más de 150 expedientes de procesos judiciales y extrajudiciales.</w:t>
      </w:r>
    </w:p>
    <w:p w14:paraId="50005F27" w14:textId="77777777" w:rsidR="00EC2F31" w:rsidRPr="008A3AD3" w:rsidRDefault="00EC2F31" w:rsidP="000A20EE">
      <w:pPr>
        <w:pStyle w:val="Sinespaciado"/>
        <w:numPr>
          <w:ilvl w:val="0"/>
          <w:numId w:val="194"/>
        </w:numPr>
        <w:jc w:val="both"/>
        <w:rPr>
          <w:rFonts w:ascii="Arial" w:hAnsi="Arial" w:cs="Arial"/>
        </w:rPr>
      </w:pPr>
      <w:r w:rsidRPr="008A3AD3">
        <w:rPr>
          <w:rFonts w:ascii="Arial" w:hAnsi="Arial" w:cs="Arial"/>
        </w:rPr>
        <w:t>Proceso de archivo de más de 50 contratos y/o convenios.</w:t>
      </w:r>
    </w:p>
    <w:p w14:paraId="394F4C3C" w14:textId="77777777" w:rsidR="00EC2F31" w:rsidRPr="008A3AD3" w:rsidRDefault="00EC2F31" w:rsidP="000A20EE">
      <w:pPr>
        <w:pStyle w:val="Sinespaciado"/>
        <w:numPr>
          <w:ilvl w:val="0"/>
          <w:numId w:val="194"/>
        </w:numPr>
        <w:jc w:val="both"/>
        <w:rPr>
          <w:rFonts w:ascii="Arial" w:hAnsi="Arial" w:cs="Arial"/>
        </w:rPr>
      </w:pPr>
      <w:r w:rsidRPr="008A3AD3">
        <w:rPr>
          <w:rFonts w:ascii="Arial" w:hAnsi="Arial" w:cs="Arial"/>
        </w:rPr>
        <w:t>Inventario en Excel de contratos y/o convenios: 100% avance vigencia 2020, 60% vigencia 2019, y 30% de avance de la vigencia 2018. A 31 de diciembre se proyecta completar el 100% de la información.</w:t>
      </w:r>
    </w:p>
    <w:p w14:paraId="322C774F" w14:textId="77777777" w:rsidR="00EC2F31" w:rsidRPr="008A3AD3" w:rsidRDefault="00EC2F31" w:rsidP="000A20EE">
      <w:pPr>
        <w:pStyle w:val="Sinespaciado"/>
        <w:numPr>
          <w:ilvl w:val="0"/>
          <w:numId w:val="194"/>
        </w:numPr>
        <w:jc w:val="both"/>
        <w:rPr>
          <w:rFonts w:ascii="Arial" w:hAnsi="Arial" w:cs="Arial"/>
        </w:rPr>
      </w:pPr>
      <w:r w:rsidRPr="008A3AD3">
        <w:rPr>
          <w:rFonts w:ascii="Arial" w:hAnsi="Arial" w:cs="Arial"/>
        </w:rPr>
        <w:t>Se generó un espacio de almacenamiento de Expedientes Digitalizados con todos los Contratos y/o Convenios 2020.</w:t>
      </w:r>
    </w:p>
    <w:p w14:paraId="63A2DBCF" w14:textId="4A5B6FF1" w:rsidR="00A6302C" w:rsidRPr="00591623" w:rsidRDefault="00EC2F31" w:rsidP="00EC2F31">
      <w:pPr>
        <w:pStyle w:val="Sinespaciado"/>
        <w:numPr>
          <w:ilvl w:val="0"/>
          <w:numId w:val="194"/>
        </w:numPr>
        <w:jc w:val="both"/>
        <w:rPr>
          <w:rFonts w:ascii="Arial" w:hAnsi="Arial" w:cs="Arial"/>
        </w:rPr>
      </w:pPr>
      <w:r w:rsidRPr="008A3AD3">
        <w:rPr>
          <w:rFonts w:ascii="Arial" w:hAnsi="Arial" w:cs="Arial"/>
        </w:rPr>
        <w:t>Se realizó el inventario de 90 cajas x 200 y en la actualización de los expedientes (inserción) 184 cajas x 200, con el apoyo de Gestión Documental.</w:t>
      </w:r>
    </w:p>
    <w:p w14:paraId="4BD44498" w14:textId="13DA15C7" w:rsidR="00EC2F31" w:rsidRPr="00A6302C" w:rsidRDefault="00EC2F31" w:rsidP="00A6302C">
      <w:pPr>
        <w:pStyle w:val="Sinespaciado"/>
        <w:jc w:val="center"/>
        <w:rPr>
          <w:rFonts w:ascii="Arial" w:hAnsi="Arial" w:cs="Arial"/>
          <w:b/>
          <w:color w:val="000000" w:themeColor="text1"/>
          <w:sz w:val="20"/>
        </w:rPr>
      </w:pPr>
    </w:p>
    <w:p w14:paraId="3D5F2B23" w14:textId="60137663" w:rsidR="00EC2F31" w:rsidRPr="00A6302C" w:rsidRDefault="00A6302C" w:rsidP="00A6302C">
      <w:pPr>
        <w:pStyle w:val="Descripcin"/>
        <w:jc w:val="center"/>
        <w:rPr>
          <w:rFonts w:ascii="Arial" w:eastAsia="Arial" w:hAnsi="Arial" w:cs="Arial"/>
          <w:b/>
          <w:i w:val="0"/>
          <w:color w:val="000000" w:themeColor="text1"/>
          <w:sz w:val="14"/>
          <w:szCs w:val="22"/>
        </w:rPr>
      </w:pPr>
      <w:bookmarkStart w:id="207" w:name="_Toc88677225"/>
      <w:r w:rsidRPr="00A6302C">
        <w:rPr>
          <w:rFonts w:ascii="Arial" w:hAnsi="Arial" w:cs="Arial"/>
          <w:b/>
          <w:i w:val="0"/>
          <w:color w:val="000000" w:themeColor="text1"/>
          <w:sz w:val="16"/>
        </w:rPr>
        <w:lastRenderedPageBreak/>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69</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Estado actual del archivo de gestión de la OAJ</w:t>
      </w:r>
      <w:bookmarkEnd w:id="207"/>
    </w:p>
    <w:p w14:paraId="0706BEC0" w14:textId="77777777" w:rsidR="00EC2F31" w:rsidRDefault="00EC2F31" w:rsidP="00EC2F31">
      <w:pPr>
        <w:jc w:val="center"/>
        <w:rPr>
          <w:rFonts w:ascii="Times New Roman" w:hAnsi="Times New Roman"/>
          <w:color w:val="000000" w:themeColor="text1"/>
          <w:sz w:val="22"/>
          <w:szCs w:val="22"/>
        </w:rPr>
      </w:pPr>
      <w:r>
        <w:rPr>
          <w:noProof/>
          <w:lang w:val="es-CO" w:eastAsia="es-CO"/>
        </w:rPr>
        <w:drawing>
          <wp:inline distT="0" distB="0" distL="0" distR="0" wp14:anchorId="4836A66A" wp14:editId="739B0D91">
            <wp:extent cx="1619250" cy="2352675"/>
            <wp:effectExtent l="0" t="0" r="0"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3">
                      <a:extLst>
                        <a:ext uri="{28A0092B-C50C-407E-A947-70E740481C1C}">
                          <a14:useLocalDpi xmlns:a14="http://schemas.microsoft.com/office/drawing/2010/main" val="0"/>
                        </a:ext>
                      </a:extLst>
                    </a:blip>
                    <a:stretch>
                      <a:fillRect/>
                    </a:stretch>
                  </pic:blipFill>
                  <pic:spPr>
                    <a:xfrm>
                      <a:off x="0" y="0"/>
                      <a:ext cx="1619250" cy="2352675"/>
                    </a:xfrm>
                    <a:prstGeom prst="rect">
                      <a:avLst/>
                    </a:prstGeom>
                  </pic:spPr>
                </pic:pic>
              </a:graphicData>
            </a:graphic>
          </wp:inline>
        </w:drawing>
      </w:r>
      <w:r w:rsidRPr="70E08E57">
        <w:rPr>
          <w:rFonts w:ascii="Times New Roman" w:hAnsi="Times New Roman"/>
          <w:color w:val="000000" w:themeColor="text1"/>
          <w:sz w:val="22"/>
          <w:szCs w:val="22"/>
        </w:rPr>
        <w:t xml:space="preserve"> </w:t>
      </w:r>
      <w:r>
        <w:rPr>
          <w:noProof/>
          <w:lang w:val="es-CO" w:eastAsia="es-CO"/>
        </w:rPr>
        <w:drawing>
          <wp:inline distT="0" distB="0" distL="0" distR="0" wp14:anchorId="1E646472" wp14:editId="0C6E2B21">
            <wp:extent cx="4229100" cy="2371725"/>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4" cstate="print">
                      <a:extLst>
                        <a:ext uri="{28A0092B-C50C-407E-A947-70E740481C1C}">
                          <a14:useLocalDpi xmlns:a14="http://schemas.microsoft.com/office/drawing/2010/main" val="0"/>
                        </a:ext>
                      </a:extLst>
                    </a:blip>
                    <a:stretch>
                      <a:fillRect/>
                    </a:stretch>
                  </pic:blipFill>
                  <pic:spPr>
                    <a:xfrm>
                      <a:off x="0" y="0"/>
                      <a:ext cx="4229100" cy="2371725"/>
                    </a:xfrm>
                    <a:prstGeom prst="rect">
                      <a:avLst/>
                    </a:prstGeom>
                  </pic:spPr>
                </pic:pic>
              </a:graphicData>
            </a:graphic>
          </wp:inline>
        </w:drawing>
      </w:r>
    </w:p>
    <w:p w14:paraId="62F836DE" w14:textId="6755D108" w:rsidR="00EC2F31" w:rsidRPr="00A6302C" w:rsidRDefault="00EC2F31" w:rsidP="00A6302C">
      <w:pPr>
        <w:jc w:val="center"/>
        <w:rPr>
          <w:rFonts w:eastAsia="Arial" w:cs="Arial"/>
          <w:b/>
          <w:color w:val="000000" w:themeColor="text1"/>
          <w:sz w:val="16"/>
          <w:szCs w:val="22"/>
        </w:rPr>
      </w:pPr>
      <w:r w:rsidRPr="008A3AD3">
        <w:rPr>
          <w:rFonts w:eastAsia="Arial" w:cs="Arial"/>
          <w:b/>
          <w:color w:val="000000" w:themeColor="text1"/>
          <w:sz w:val="16"/>
          <w:szCs w:val="22"/>
        </w:rPr>
        <w:t>Fuente: Oficina Asesora Jurídica</w:t>
      </w:r>
    </w:p>
    <w:p w14:paraId="675DD4D6" w14:textId="77777777" w:rsidR="00EC2F31" w:rsidRDefault="00EC2F31" w:rsidP="00EC2F31">
      <w:pPr>
        <w:pStyle w:val="Lista"/>
      </w:pPr>
    </w:p>
    <w:p w14:paraId="15BB0F0E" w14:textId="77777777" w:rsidR="00EC2F31" w:rsidRPr="002D2F11" w:rsidRDefault="00EC2F31" w:rsidP="00A6302C">
      <w:pPr>
        <w:pStyle w:val="Prrafodelista"/>
        <w:numPr>
          <w:ilvl w:val="2"/>
          <w:numId w:val="22"/>
        </w:numPr>
        <w:rPr>
          <w:b/>
          <w:bCs/>
          <w:sz w:val="22"/>
          <w:szCs w:val="22"/>
        </w:rPr>
      </w:pPr>
      <w:r w:rsidRPr="31FF9146">
        <w:rPr>
          <w:b/>
          <w:bCs/>
          <w:sz w:val="22"/>
          <w:szCs w:val="22"/>
        </w:rPr>
        <w:t>ANTECEDENTES Y ESTADO ACTUAL DE LA DEPENDENCIA</w:t>
      </w:r>
    </w:p>
    <w:p w14:paraId="443D427C" w14:textId="77777777" w:rsidR="00EC2F31" w:rsidRDefault="00EC2F31" w:rsidP="00EC2F31">
      <w:pPr>
        <w:pStyle w:val="Lista"/>
      </w:pPr>
    </w:p>
    <w:tbl>
      <w:tblPr>
        <w:tblStyle w:val="Tabladecuadrcula4-nfasis1"/>
        <w:tblW w:w="10065" w:type="dxa"/>
        <w:tblInd w:w="-150" w:type="dxa"/>
        <w:tblLayout w:type="fixed"/>
        <w:tblLook w:val="04A0" w:firstRow="1" w:lastRow="0" w:firstColumn="1" w:lastColumn="0" w:noHBand="0" w:noVBand="1"/>
      </w:tblPr>
      <w:tblGrid>
        <w:gridCol w:w="1843"/>
        <w:gridCol w:w="3686"/>
        <w:gridCol w:w="4536"/>
      </w:tblGrid>
      <w:tr w:rsidR="00E274CE" w:rsidRPr="008A3AD3" w14:paraId="3768F2A7" w14:textId="77777777" w:rsidTr="00AD64C2">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843" w:type="dxa"/>
            <w:tcBorders>
              <w:top w:val="single" w:sz="6" w:space="0" w:color="4F81BD" w:themeColor="accent1"/>
              <w:left w:val="single" w:sz="6" w:space="0" w:color="4F81BD" w:themeColor="accent1"/>
              <w:bottom w:val="single" w:sz="6" w:space="0" w:color="4F81BD" w:themeColor="accent1"/>
            </w:tcBorders>
            <w:vAlign w:val="center"/>
          </w:tcPr>
          <w:p w14:paraId="7D2C63F0" w14:textId="77777777" w:rsidR="00EC2F31" w:rsidRPr="008A3AD3" w:rsidRDefault="00EC2F31" w:rsidP="00A6302C">
            <w:pPr>
              <w:jc w:val="center"/>
              <w:rPr>
                <w:rFonts w:eastAsia="Arial" w:cs="Arial"/>
                <w:sz w:val="20"/>
                <w:szCs w:val="20"/>
              </w:rPr>
            </w:pPr>
            <w:r w:rsidRPr="008A3AD3">
              <w:rPr>
                <w:rFonts w:eastAsia="Arial" w:cs="Arial"/>
                <w:sz w:val="20"/>
                <w:szCs w:val="20"/>
                <w:lang w:val="es-MX"/>
              </w:rPr>
              <w:t>Ítem</w:t>
            </w:r>
          </w:p>
        </w:tc>
        <w:tc>
          <w:tcPr>
            <w:tcW w:w="3686" w:type="dxa"/>
            <w:tcBorders>
              <w:top w:val="single" w:sz="6" w:space="0" w:color="4F81BD" w:themeColor="accent1"/>
              <w:bottom w:val="single" w:sz="6" w:space="0" w:color="4F81BD" w:themeColor="accent1"/>
            </w:tcBorders>
            <w:vAlign w:val="center"/>
          </w:tcPr>
          <w:p w14:paraId="2B02E6AC"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8A3AD3">
              <w:rPr>
                <w:rFonts w:eastAsia="Arial" w:cs="Arial"/>
                <w:sz w:val="20"/>
                <w:szCs w:val="20"/>
                <w:lang w:val="es-MX"/>
              </w:rPr>
              <w:t>Estado Inicial</w:t>
            </w:r>
          </w:p>
        </w:tc>
        <w:tc>
          <w:tcPr>
            <w:tcW w:w="4536" w:type="dxa"/>
            <w:tcBorders>
              <w:top w:val="single" w:sz="6" w:space="0" w:color="4F81BD" w:themeColor="accent1"/>
              <w:bottom w:val="single" w:sz="6" w:space="0" w:color="4F81BD" w:themeColor="accent1"/>
              <w:right w:val="single" w:sz="6" w:space="0" w:color="4F81BD" w:themeColor="accent1"/>
            </w:tcBorders>
            <w:vAlign w:val="center"/>
          </w:tcPr>
          <w:p w14:paraId="29583152"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0"/>
              </w:rPr>
            </w:pPr>
            <w:r w:rsidRPr="008A3AD3">
              <w:rPr>
                <w:rFonts w:eastAsia="Arial" w:cs="Arial"/>
                <w:sz w:val="20"/>
                <w:szCs w:val="20"/>
                <w:lang w:val="es-MX"/>
              </w:rPr>
              <w:t>Estado Actual</w:t>
            </w:r>
          </w:p>
        </w:tc>
      </w:tr>
      <w:tr w:rsidR="00EC2F31" w:rsidRPr="008A3AD3" w14:paraId="26DF5A69" w14:textId="77777777" w:rsidTr="00AD64C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5031BEAB" w14:textId="77777777" w:rsidR="00EC2F31" w:rsidRPr="008A3AD3" w:rsidRDefault="00EC2F31" w:rsidP="00A6302C">
            <w:pPr>
              <w:jc w:val="center"/>
              <w:rPr>
                <w:rFonts w:eastAsia="Arial" w:cs="Arial"/>
                <w:sz w:val="20"/>
                <w:szCs w:val="20"/>
              </w:rPr>
            </w:pPr>
            <w:r w:rsidRPr="008A3AD3">
              <w:rPr>
                <w:rFonts w:eastAsia="Arial" w:cs="Arial"/>
                <w:sz w:val="20"/>
                <w:szCs w:val="20"/>
                <w:lang w:val="es-MX"/>
              </w:rPr>
              <w:t>Información – Expedientes físicos</w:t>
            </w:r>
          </w:p>
        </w:tc>
        <w:tc>
          <w:tcPr>
            <w:tcW w:w="3686" w:type="dxa"/>
            <w:vAlign w:val="center"/>
          </w:tcPr>
          <w:p w14:paraId="1F6C8356"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Documentación pendiente por archivar.</w:t>
            </w:r>
          </w:p>
          <w:p w14:paraId="20F72C39"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Inventario documental que no cumplía con las necesidades de la oficina.</w:t>
            </w:r>
          </w:p>
          <w:p w14:paraId="4568401A"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Expedientes desde el año 2016 que no cumplían con los parámetros de archivo establecidos por el AGN.</w:t>
            </w:r>
          </w:p>
          <w:p w14:paraId="4B700487"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TRD no ajustada a las necesidades de la oficina.</w:t>
            </w:r>
          </w:p>
          <w:p w14:paraId="236A9C24"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Duplicidad de documentación.</w:t>
            </w:r>
          </w:p>
          <w:p w14:paraId="4BF4D689"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Expedientes sin crear.</w:t>
            </w:r>
          </w:p>
          <w:p w14:paraId="0AD72E39" w14:textId="77777777" w:rsidR="00EC2F31" w:rsidRPr="008A3AD3" w:rsidRDefault="00EC2F31" w:rsidP="00DB7E6D">
            <w:pPr>
              <w:pStyle w:val="Prrafodelista"/>
              <w:numPr>
                <w:ilvl w:val="0"/>
                <w:numId w:val="4"/>
              </w:numPr>
              <w:spacing w:after="160"/>
              <w:ind w:left="326"/>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CO"/>
              </w:rPr>
              <w:t>Espacio físico del archivo insuficiente</w:t>
            </w:r>
          </w:p>
        </w:tc>
        <w:tc>
          <w:tcPr>
            <w:tcW w:w="4536" w:type="dxa"/>
            <w:vAlign w:val="center"/>
          </w:tcPr>
          <w:p w14:paraId="7C14FC1F"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Archivo de más de 8 metros lineales de documentación.</w:t>
            </w:r>
          </w:p>
          <w:p w14:paraId="4C193309"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Apertura y actualización de más de 150 expedientes de procesos judiciales y extrajudiciales.</w:t>
            </w:r>
          </w:p>
          <w:p w14:paraId="7DC7D12F"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Proceso de archivo de más de 50 contratos y/o convenios.</w:t>
            </w:r>
          </w:p>
          <w:p w14:paraId="75B0EE02"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Inventario en Excel de contratos y/o convenios: 100% avance vigencia 2020, 60% vigencia 2019, y 30% de avance de la vigencia 2018. A 31 de diciembre se proyecta completar el 100% de la información.</w:t>
            </w:r>
          </w:p>
          <w:p w14:paraId="1FA7BF56"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Se generó un espacio de almacenamiento de Expedientes Digitalizados con todos los Contratos y/o Convenios 2020.</w:t>
            </w:r>
          </w:p>
          <w:p w14:paraId="0163FC6B"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Se realizó el inventario de 90 cajas x 200 y en la actualización de los expedientes (inserción) 184 cajas x 200, con el apoyo de Gestión Documental.</w:t>
            </w:r>
          </w:p>
          <w:p w14:paraId="73D754DB" w14:textId="77777777" w:rsidR="00EC2F31" w:rsidRPr="008A3AD3" w:rsidRDefault="00EC2F31" w:rsidP="00DB7E6D">
            <w:pPr>
              <w:pStyle w:val="Prrafodelista"/>
              <w:numPr>
                <w:ilvl w:val="0"/>
                <w:numId w:val="4"/>
              </w:numPr>
              <w:spacing w:after="160"/>
              <w:ind w:left="454"/>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8A3AD3">
              <w:rPr>
                <w:rFonts w:eastAsia="Arial" w:cs="Arial"/>
                <w:lang w:val="es-MX"/>
              </w:rPr>
              <w:t>Con base en mesa de trabajo con Gestión Documental, se remitió para convalidación la nueva TRD de la OAJ de conformidad con las necesidades de la oficina.</w:t>
            </w:r>
          </w:p>
        </w:tc>
      </w:tr>
      <w:tr w:rsidR="00EC2F31" w:rsidRPr="008A3AD3" w14:paraId="17A4969C" w14:textId="77777777" w:rsidTr="00AD64C2">
        <w:trPr>
          <w:trHeight w:val="3072"/>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619C2F1B" w14:textId="77777777" w:rsidR="00EC2F31" w:rsidRPr="008A3AD3" w:rsidRDefault="00EC2F31" w:rsidP="00A6302C">
            <w:pPr>
              <w:jc w:val="center"/>
              <w:rPr>
                <w:rFonts w:eastAsia="Arial" w:cs="Arial"/>
                <w:sz w:val="20"/>
                <w:szCs w:val="20"/>
              </w:rPr>
            </w:pPr>
            <w:r w:rsidRPr="008A3AD3">
              <w:rPr>
                <w:rFonts w:eastAsia="Arial" w:cs="Arial"/>
                <w:sz w:val="20"/>
                <w:szCs w:val="20"/>
                <w:lang w:val="es-MX"/>
              </w:rPr>
              <w:lastRenderedPageBreak/>
              <w:t>Información - eKOGUI</w:t>
            </w:r>
          </w:p>
        </w:tc>
        <w:tc>
          <w:tcPr>
            <w:tcW w:w="3686" w:type="dxa"/>
            <w:vAlign w:val="center"/>
          </w:tcPr>
          <w:p w14:paraId="3FC80B28" w14:textId="77777777" w:rsidR="00EC2F31" w:rsidRPr="008A3AD3" w:rsidRDefault="00EC2F31" w:rsidP="00A6302C">
            <w:pPr>
              <w:spacing w:before="240" w:after="240"/>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rPr>
            </w:pPr>
            <w:r w:rsidRPr="008A3AD3">
              <w:rPr>
                <w:rFonts w:eastAsia="Arial" w:cs="Arial"/>
                <w:sz w:val="20"/>
                <w:szCs w:val="20"/>
              </w:rPr>
              <w:t>- La información reportada en el eKOGUI por parte de los apoderados no está actualizada y completa.</w:t>
            </w:r>
          </w:p>
          <w:p w14:paraId="7860CA08" w14:textId="77777777" w:rsidR="00EC2F31" w:rsidRPr="008A3AD3" w:rsidRDefault="00EC2F31" w:rsidP="00A6302C">
            <w:pPr>
              <w:spacing w:before="240" w:after="240"/>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rPr>
            </w:pPr>
            <w:r w:rsidRPr="008A3AD3">
              <w:rPr>
                <w:rFonts w:eastAsia="Arial" w:cs="Arial"/>
                <w:sz w:val="20"/>
                <w:szCs w:val="20"/>
              </w:rPr>
              <w:t>- Los apoderados de los diferentes procesos no actualizan la calificación del riesgo de los procesos encomendados a su cargo dentro del Sistema Único de actividad Litigiosa del Estado eKOGUI, de conformidad con el artículo 4 y siguientes de la Resolución 353 de 2016 de la Agencia Nacional de Defensa Jurídica del Estado.</w:t>
            </w:r>
          </w:p>
        </w:tc>
        <w:tc>
          <w:tcPr>
            <w:tcW w:w="4536" w:type="dxa"/>
            <w:vAlign w:val="center"/>
          </w:tcPr>
          <w:p w14:paraId="34338034" w14:textId="77777777" w:rsidR="00EC2F31" w:rsidRPr="008A3AD3" w:rsidRDefault="00EC2F31" w:rsidP="00A6302C">
            <w:pPr>
              <w:ind w:left="454"/>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rPr>
            </w:pPr>
          </w:p>
          <w:p w14:paraId="36CA28ED" w14:textId="77777777" w:rsidR="00EC2F31" w:rsidRPr="008A3AD3" w:rsidRDefault="00EC2F31" w:rsidP="00DB7E6D">
            <w:pPr>
              <w:pStyle w:val="Prrafodelista"/>
              <w:numPr>
                <w:ilvl w:val="0"/>
                <w:numId w:val="4"/>
              </w:numPr>
              <w:spacing w:after="160"/>
              <w:ind w:left="454"/>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8A3AD3">
              <w:rPr>
                <w:rFonts w:eastAsia="Arial" w:cs="Arial"/>
                <w:lang w:val="es-CO"/>
              </w:rPr>
              <w:t>Actualización del eKOGUI lograda a través de capacitaciones, requerimientos a los abogados para actualización de piezas y calificación procesal, lineamientos del Comité de Conciliación, circulares.</w:t>
            </w:r>
          </w:p>
          <w:p w14:paraId="0490E45E" w14:textId="77777777" w:rsidR="00EC2F31" w:rsidRPr="008A3AD3" w:rsidRDefault="00EC2F31" w:rsidP="00A6302C">
            <w:pPr>
              <w:ind w:left="454"/>
              <w:jc w:val="center"/>
              <w:cnfStyle w:val="000000000000" w:firstRow="0" w:lastRow="0" w:firstColumn="0" w:lastColumn="0" w:oddVBand="0" w:evenVBand="0" w:oddHBand="0" w:evenHBand="0" w:firstRowFirstColumn="0" w:firstRowLastColumn="0" w:lastRowFirstColumn="0" w:lastRowLastColumn="0"/>
              <w:rPr>
                <w:rFonts w:eastAsia="Arial" w:cs="Arial"/>
                <w:sz w:val="20"/>
                <w:szCs w:val="20"/>
              </w:rPr>
            </w:pPr>
          </w:p>
          <w:p w14:paraId="45959C93" w14:textId="77777777" w:rsidR="00EC2F31" w:rsidRPr="008A3AD3" w:rsidRDefault="00EC2F31" w:rsidP="00DB7E6D">
            <w:pPr>
              <w:pStyle w:val="Prrafodelista"/>
              <w:numPr>
                <w:ilvl w:val="0"/>
                <w:numId w:val="4"/>
              </w:numPr>
              <w:spacing w:after="160"/>
              <w:ind w:left="454"/>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8A3AD3">
              <w:rPr>
                <w:rFonts w:eastAsia="Arial" w:cs="Arial"/>
                <w:lang w:val="es-CO"/>
              </w:rPr>
              <w:t>Formato F9 de la Contraloría, e información financiera coincidente con eKOGUI.</w:t>
            </w:r>
          </w:p>
        </w:tc>
      </w:tr>
      <w:tr w:rsidR="00EC2F31" w:rsidRPr="008A3AD3" w14:paraId="307EEAB6" w14:textId="77777777" w:rsidTr="00AD64C2">
        <w:trPr>
          <w:cnfStyle w:val="000000100000" w:firstRow="0" w:lastRow="0" w:firstColumn="0" w:lastColumn="0" w:oddVBand="0" w:evenVBand="0" w:oddHBand="1" w:evenHBand="0" w:firstRowFirstColumn="0" w:firstRowLastColumn="0" w:lastRowFirstColumn="0" w:lastRowLastColumn="0"/>
          <w:trHeight w:val="1805"/>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2032A508" w14:textId="77777777" w:rsidR="00EC2F31" w:rsidRPr="008A3AD3" w:rsidRDefault="00EC2F31" w:rsidP="00A6302C">
            <w:pPr>
              <w:jc w:val="center"/>
              <w:rPr>
                <w:rFonts w:eastAsia="Arial" w:cs="Arial"/>
                <w:sz w:val="20"/>
                <w:szCs w:val="20"/>
              </w:rPr>
            </w:pPr>
            <w:r w:rsidRPr="008A3AD3">
              <w:rPr>
                <w:rFonts w:eastAsia="Arial" w:cs="Arial"/>
                <w:sz w:val="20"/>
                <w:szCs w:val="20"/>
                <w:lang w:val="es-MX"/>
              </w:rPr>
              <w:t>Equipo Humano</w:t>
            </w:r>
          </w:p>
        </w:tc>
        <w:tc>
          <w:tcPr>
            <w:tcW w:w="3686" w:type="dxa"/>
            <w:vAlign w:val="center"/>
          </w:tcPr>
          <w:p w14:paraId="51F1ECE3"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rPr>
            </w:pPr>
            <w:r w:rsidRPr="008A3AD3">
              <w:rPr>
                <w:rFonts w:eastAsia="Arial" w:cs="Arial"/>
                <w:sz w:val="20"/>
                <w:szCs w:val="20"/>
              </w:rPr>
              <w:t>Se contaba con 4 profesionales especializados, 1 vacante; 2 técnico Operativos, un Auxiliar administrativo un secretario Ejecutivo; 11 contratistas.</w:t>
            </w:r>
          </w:p>
          <w:p w14:paraId="49199728" w14:textId="77777777" w:rsidR="00EC2F31" w:rsidRPr="008A3AD3" w:rsidRDefault="00EC2F31" w:rsidP="00A6302C">
            <w:pPr>
              <w:ind w:left="360"/>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rPr>
            </w:pPr>
          </w:p>
        </w:tc>
        <w:tc>
          <w:tcPr>
            <w:tcW w:w="4536" w:type="dxa"/>
            <w:vAlign w:val="center"/>
          </w:tcPr>
          <w:p w14:paraId="75C8B970"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sz w:val="20"/>
                <w:szCs w:val="20"/>
              </w:rPr>
            </w:pPr>
            <w:r w:rsidRPr="008A3AD3">
              <w:rPr>
                <w:rFonts w:eastAsia="Arial" w:cs="Arial"/>
                <w:sz w:val="20"/>
                <w:szCs w:val="20"/>
              </w:rPr>
              <w:t>Con la restructuración se cuenta con 4 profesionales especializados (1 sin posesionar); 2 técnico Operativo grado 12, un secretario ejecutivo y un Auxiliar administrativo. Se generó la disminución de contratistas, pasando de 11 a 8.</w:t>
            </w:r>
          </w:p>
        </w:tc>
      </w:tr>
    </w:tbl>
    <w:p w14:paraId="0FFF06B0" w14:textId="77777777" w:rsidR="00EC2F31" w:rsidRPr="008A3AD3" w:rsidRDefault="00EC2F31" w:rsidP="00EC2F31">
      <w:pPr>
        <w:jc w:val="center"/>
        <w:rPr>
          <w:rFonts w:eastAsia="Arial" w:cs="Arial"/>
          <w:b/>
          <w:color w:val="000000" w:themeColor="text1"/>
          <w:sz w:val="16"/>
          <w:szCs w:val="22"/>
        </w:rPr>
      </w:pPr>
      <w:r w:rsidRPr="008A3AD3">
        <w:rPr>
          <w:rFonts w:eastAsia="Arial" w:cs="Arial"/>
          <w:b/>
          <w:color w:val="000000" w:themeColor="text1"/>
          <w:sz w:val="16"/>
          <w:szCs w:val="22"/>
        </w:rPr>
        <w:t>Fuente: Oficina Asesora Jurídica</w:t>
      </w:r>
    </w:p>
    <w:p w14:paraId="411D4394" w14:textId="775A8CD2" w:rsidR="00EC2F31" w:rsidRDefault="00EC2F31" w:rsidP="00EC2F31">
      <w:pPr>
        <w:pStyle w:val="Lista"/>
      </w:pPr>
    </w:p>
    <w:p w14:paraId="1AB66068" w14:textId="77777777" w:rsidR="00EC2F31" w:rsidRPr="002D2F11" w:rsidRDefault="00EC2F31" w:rsidP="00A6302C">
      <w:pPr>
        <w:pStyle w:val="Prrafodelista"/>
        <w:numPr>
          <w:ilvl w:val="2"/>
          <w:numId w:val="22"/>
        </w:numPr>
        <w:rPr>
          <w:b/>
          <w:bCs/>
          <w:sz w:val="22"/>
          <w:szCs w:val="22"/>
        </w:rPr>
      </w:pPr>
      <w:r w:rsidRPr="31FF9146">
        <w:rPr>
          <w:b/>
          <w:bCs/>
          <w:sz w:val="22"/>
          <w:szCs w:val="22"/>
        </w:rPr>
        <w:t>PROCEDIMIENTOS, INDICADORES Y RIESGOS ASOCIADOS</w:t>
      </w:r>
    </w:p>
    <w:p w14:paraId="619D2EE0" w14:textId="77777777" w:rsidR="00EC2F31" w:rsidRPr="002D2F11" w:rsidRDefault="00EC2F31" w:rsidP="00EC2F31">
      <w:pPr>
        <w:rPr>
          <w:b/>
          <w:bCs/>
          <w:sz w:val="22"/>
          <w:szCs w:val="22"/>
        </w:rPr>
      </w:pPr>
    </w:p>
    <w:tbl>
      <w:tblPr>
        <w:tblStyle w:val="Tabladecuadrcula4-nfasis1"/>
        <w:tblW w:w="0" w:type="auto"/>
        <w:jc w:val="center"/>
        <w:tblLayout w:type="fixed"/>
        <w:tblLook w:val="04A0" w:firstRow="1" w:lastRow="0" w:firstColumn="1" w:lastColumn="0" w:noHBand="0" w:noVBand="1"/>
      </w:tblPr>
      <w:tblGrid>
        <w:gridCol w:w="1425"/>
        <w:gridCol w:w="1860"/>
        <w:gridCol w:w="2280"/>
        <w:gridCol w:w="1830"/>
        <w:gridCol w:w="1410"/>
      </w:tblGrid>
      <w:tr w:rsidR="00EC2F31" w:rsidRPr="008A3AD3" w14:paraId="7C0FFB59" w14:textId="77777777" w:rsidTr="00A6302C">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425" w:type="dxa"/>
            <w:tcBorders>
              <w:top w:val="single" w:sz="6" w:space="0" w:color="4F81BD" w:themeColor="accent1"/>
              <w:left w:val="single" w:sz="6" w:space="0" w:color="4F81BD" w:themeColor="accent1"/>
              <w:bottom w:val="single" w:sz="6" w:space="0" w:color="4F81BD" w:themeColor="accent1"/>
            </w:tcBorders>
            <w:vAlign w:val="center"/>
          </w:tcPr>
          <w:p w14:paraId="661C30F2" w14:textId="77777777" w:rsidR="00EC2F31" w:rsidRPr="008A3AD3" w:rsidRDefault="00EC2F31" w:rsidP="00A6302C">
            <w:pPr>
              <w:jc w:val="center"/>
              <w:rPr>
                <w:rFonts w:eastAsia="Arial" w:cs="Arial"/>
                <w:sz w:val="20"/>
                <w:szCs w:val="22"/>
              </w:rPr>
            </w:pPr>
            <w:r w:rsidRPr="008A3AD3">
              <w:rPr>
                <w:rFonts w:eastAsia="Arial" w:cs="Arial"/>
                <w:sz w:val="20"/>
                <w:szCs w:val="22"/>
              </w:rPr>
              <w:t>Proceso</w:t>
            </w:r>
          </w:p>
        </w:tc>
        <w:tc>
          <w:tcPr>
            <w:tcW w:w="1860" w:type="dxa"/>
            <w:tcBorders>
              <w:top w:val="single" w:sz="6" w:space="0" w:color="4F81BD" w:themeColor="accent1"/>
              <w:bottom w:val="single" w:sz="6" w:space="0" w:color="4F81BD" w:themeColor="accent1"/>
            </w:tcBorders>
            <w:vAlign w:val="center"/>
          </w:tcPr>
          <w:p w14:paraId="628EB17E"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rPr>
              <w:t>Subproceso</w:t>
            </w:r>
          </w:p>
        </w:tc>
        <w:tc>
          <w:tcPr>
            <w:tcW w:w="2280" w:type="dxa"/>
            <w:tcBorders>
              <w:top w:val="single" w:sz="6" w:space="0" w:color="4F81BD" w:themeColor="accent1"/>
              <w:bottom w:val="single" w:sz="6" w:space="0" w:color="4F81BD" w:themeColor="accent1"/>
            </w:tcBorders>
            <w:vAlign w:val="center"/>
          </w:tcPr>
          <w:p w14:paraId="173C1919"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rPr>
              <w:t>Procedimientos</w:t>
            </w:r>
          </w:p>
        </w:tc>
        <w:tc>
          <w:tcPr>
            <w:tcW w:w="1830" w:type="dxa"/>
            <w:tcBorders>
              <w:top w:val="single" w:sz="6" w:space="0" w:color="4F81BD" w:themeColor="accent1"/>
              <w:bottom w:val="single" w:sz="6" w:space="0" w:color="4F81BD" w:themeColor="accent1"/>
            </w:tcBorders>
            <w:vAlign w:val="center"/>
          </w:tcPr>
          <w:p w14:paraId="779BA441"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rPr>
              <w:t>Indicadores</w:t>
            </w:r>
          </w:p>
        </w:tc>
        <w:tc>
          <w:tcPr>
            <w:tcW w:w="1410" w:type="dxa"/>
            <w:tcBorders>
              <w:top w:val="single" w:sz="6" w:space="0" w:color="4F81BD" w:themeColor="accent1"/>
              <w:bottom w:val="single" w:sz="6" w:space="0" w:color="4F81BD" w:themeColor="accent1"/>
              <w:right w:val="single" w:sz="6" w:space="0" w:color="4F81BD" w:themeColor="accent1"/>
            </w:tcBorders>
            <w:vAlign w:val="center"/>
          </w:tcPr>
          <w:p w14:paraId="28F93917"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rPr>
              <w:t>Riesgos</w:t>
            </w:r>
          </w:p>
        </w:tc>
      </w:tr>
      <w:tr w:rsidR="00EC2F31" w:rsidRPr="008A3AD3" w14:paraId="41033A15"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425" w:type="dxa"/>
            <w:vMerge w:val="restart"/>
            <w:vAlign w:val="center"/>
          </w:tcPr>
          <w:p w14:paraId="0C2A76ED" w14:textId="77777777" w:rsidR="00EC2F31" w:rsidRPr="008A3AD3" w:rsidRDefault="00EC2F31" w:rsidP="00A6302C">
            <w:pPr>
              <w:jc w:val="center"/>
              <w:rPr>
                <w:rFonts w:eastAsia="Arial" w:cs="Arial"/>
                <w:color w:val="000000" w:themeColor="text1"/>
                <w:sz w:val="20"/>
                <w:szCs w:val="22"/>
              </w:rPr>
            </w:pPr>
            <w:r w:rsidRPr="008A3AD3">
              <w:rPr>
                <w:rFonts w:eastAsia="Arial" w:cs="Arial"/>
                <w:color w:val="000000" w:themeColor="text1"/>
                <w:sz w:val="20"/>
                <w:szCs w:val="22"/>
              </w:rPr>
              <w:t>Gestión Jurídica</w:t>
            </w:r>
          </w:p>
        </w:tc>
        <w:tc>
          <w:tcPr>
            <w:tcW w:w="1860" w:type="dxa"/>
            <w:vAlign w:val="center"/>
          </w:tcPr>
          <w:p w14:paraId="542123A9"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Judicial</w:t>
            </w:r>
          </w:p>
        </w:tc>
        <w:tc>
          <w:tcPr>
            <w:tcW w:w="2280" w:type="dxa"/>
            <w:vAlign w:val="center"/>
          </w:tcPr>
          <w:p w14:paraId="1661E1C4"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3</w:t>
            </w:r>
          </w:p>
        </w:tc>
        <w:tc>
          <w:tcPr>
            <w:tcW w:w="1830" w:type="dxa"/>
            <w:vAlign w:val="center"/>
          </w:tcPr>
          <w:p w14:paraId="441EC7BD"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2</w:t>
            </w:r>
          </w:p>
        </w:tc>
        <w:tc>
          <w:tcPr>
            <w:tcW w:w="1410" w:type="dxa"/>
            <w:vAlign w:val="center"/>
          </w:tcPr>
          <w:p w14:paraId="6BE16597"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3</w:t>
            </w:r>
          </w:p>
        </w:tc>
      </w:tr>
      <w:tr w:rsidR="00EC2F31" w:rsidRPr="008A3AD3" w14:paraId="3DCB1967"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1425" w:type="dxa"/>
            <w:vMerge/>
            <w:vAlign w:val="center"/>
          </w:tcPr>
          <w:p w14:paraId="33D80495" w14:textId="77777777" w:rsidR="00EC2F31" w:rsidRPr="008A3AD3" w:rsidRDefault="00EC2F31" w:rsidP="00A6302C">
            <w:pPr>
              <w:jc w:val="center"/>
              <w:rPr>
                <w:sz w:val="20"/>
              </w:rPr>
            </w:pPr>
          </w:p>
        </w:tc>
        <w:tc>
          <w:tcPr>
            <w:tcW w:w="1860" w:type="dxa"/>
            <w:vAlign w:val="center"/>
          </w:tcPr>
          <w:p w14:paraId="01349084"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Normativa</w:t>
            </w:r>
          </w:p>
        </w:tc>
        <w:tc>
          <w:tcPr>
            <w:tcW w:w="2280" w:type="dxa"/>
            <w:vAlign w:val="center"/>
          </w:tcPr>
          <w:p w14:paraId="5898B6E6"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3</w:t>
            </w:r>
          </w:p>
        </w:tc>
        <w:tc>
          <w:tcPr>
            <w:tcW w:w="1830" w:type="dxa"/>
            <w:vAlign w:val="center"/>
          </w:tcPr>
          <w:p w14:paraId="75AD7011"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2</w:t>
            </w:r>
          </w:p>
        </w:tc>
        <w:tc>
          <w:tcPr>
            <w:tcW w:w="1410" w:type="dxa"/>
            <w:vAlign w:val="center"/>
          </w:tcPr>
          <w:p w14:paraId="19B131AA"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0</w:t>
            </w:r>
          </w:p>
        </w:tc>
      </w:tr>
      <w:tr w:rsidR="00EC2F31" w:rsidRPr="008A3AD3" w14:paraId="72DA785B" w14:textId="77777777" w:rsidTr="00A6302C">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425" w:type="dxa"/>
            <w:vMerge/>
            <w:vAlign w:val="center"/>
          </w:tcPr>
          <w:p w14:paraId="339A6BAC" w14:textId="77777777" w:rsidR="00EC2F31" w:rsidRPr="008A3AD3" w:rsidRDefault="00EC2F31" w:rsidP="00A6302C">
            <w:pPr>
              <w:jc w:val="center"/>
              <w:rPr>
                <w:sz w:val="20"/>
              </w:rPr>
            </w:pPr>
          </w:p>
        </w:tc>
        <w:tc>
          <w:tcPr>
            <w:tcW w:w="1860" w:type="dxa"/>
            <w:vAlign w:val="center"/>
          </w:tcPr>
          <w:p w14:paraId="46216480"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Propiedad Intelectual</w:t>
            </w:r>
          </w:p>
        </w:tc>
        <w:tc>
          <w:tcPr>
            <w:tcW w:w="2280" w:type="dxa"/>
            <w:vAlign w:val="center"/>
          </w:tcPr>
          <w:p w14:paraId="0A195320"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1</w:t>
            </w:r>
          </w:p>
        </w:tc>
        <w:tc>
          <w:tcPr>
            <w:tcW w:w="1830" w:type="dxa"/>
            <w:vAlign w:val="center"/>
          </w:tcPr>
          <w:p w14:paraId="0896B730"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0</w:t>
            </w:r>
          </w:p>
        </w:tc>
        <w:tc>
          <w:tcPr>
            <w:tcW w:w="1410" w:type="dxa"/>
            <w:vAlign w:val="center"/>
          </w:tcPr>
          <w:p w14:paraId="18FE67A2"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rPr>
              <w:t>0</w:t>
            </w:r>
          </w:p>
        </w:tc>
      </w:tr>
      <w:tr w:rsidR="00EC2F31" w:rsidRPr="008A3AD3" w14:paraId="1C83D615" w14:textId="77777777" w:rsidTr="00A6302C">
        <w:trPr>
          <w:trHeight w:val="300"/>
          <w:jc w:val="center"/>
        </w:trPr>
        <w:tc>
          <w:tcPr>
            <w:cnfStyle w:val="001000000000" w:firstRow="0" w:lastRow="0" w:firstColumn="1" w:lastColumn="0" w:oddVBand="0" w:evenVBand="0" w:oddHBand="0" w:evenHBand="0" w:firstRowFirstColumn="0" w:firstRowLastColumn="0" w:lastRowFirstColumn="0" w:lastRowLastColumn="0"/>
            <w:tcW w:w="3285" w:type="dxa"/>
            <w:gridSpan w:val="2"/>
            <w:vAlign w:val="center"/>
          </w:tcPr>
          <w:p w14:paraId="42483857" w14:textId="77777777" w:rsidR="00EC2F31" w:rsidRPr="008A3AD3" w:rsidRDefault="00EC2F31" w:rsidP="00A6302C">
            <w:pPr>
              <w:jc w:val="center"/>
              <w:rPr>
                <w:rFonts w:eastAsia="Arial" w:cs="Arial"/>
                <w:color w:val="000000" w:themeColor="text1"/>
                <w:sz w:val="20"/>
                <w:szCs w:val="22"/>
              </w:rPr>
            </w:pPr>
            <w:r w:rsidRPr="008A3AD3">
              <w:rPr>
                <w:rFonts w:eastAsia="Arial" w:cs="Arial"/>
                <w:color w:val="000000" w:themeColor="text1"/>
                <w:sz w:val="20"/>
                <w:szCs w:val="22"/>
              </w:rPr>
              <w:t>Total</w:t>
            </w:r>
          </w:p>
        </w:tc>
        <w:tc>
          <w:tcPr>
            <w:tcW w:w="2280" w:type="dxa"/>
            <w:vAlign w:val="center"/>
          </w:tcPr>
          <w:p w14:paraId="67A6300E"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b/>
                <w:bCs/>
                <w:color w:val="000000" w:themeColor="text1"/>
                <w:sz w:val="20"/>
                <w:szCs w:val="22"/>
              </w:rPr>
              <w:t>7</w:t>
            </w:r>
          </w:p>
        </w:tc>
        <w:tc>
          <w:tcPr>
            <w:tcW w:w="1830" w:type="dxa"/>
            <w:vAlign w:val="center"/>
          </w:tcPr>
          <w:p w14:paraId="6D8E69BE"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b/>
                <w:bCs/>
                <w:color w:val="000000" w:themeColor="text1"/>
                <w:sz w:val="20"/>
                <w:szCs w:val="22"/>
              </w:rPr>
              <w:t>4</w:t>
            </w:r>
          </w:p>
        </w:tc>
        <w:tc>
          <w:tcPr>
            <w:tcW w:w="1410" w:type="dxa"/>
            <w:vAlign w:val="center"/>
          </w:tcPr>
          <w:p w14:paraId="0B7B8401"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b/>
                <w:bCs/>
                <w:color w:val="000000" w:themeColor="text1"/>
                <w:sz w:val="20"/>
                <w:szCs w:val="22"/>
              </w:rPr>
              <w:t>3</w:t>
            </w:r>
          </w:p>
        </w:tc>
      </w:tr>
    </w:tbl>
    <w:p w14:paraId="08B8B48E" w14:textId="77777777" w:rsidR="00EC2F31" w:rsidRPr="008A3AD3" w:rsidRDefault="00EC2F31" w:rsidP="00EC2F31">
      <w:pPr>
        <w:jc w:val="center"/>
        <w:rPr>
          <w:rFonts w:eastAsia="Arial" w:cs="Arial"/>
          <w:b/>
          <w:color w:val="000000" w:themeColor="text1"/>
          <w:sz w:val="16"/>
          <w:szCs w:val="22"/>
        </w:rPr>
      </w:pPr>
      <w:r w:rsidRPr="002D2F11">
        <w:rPr>
          <w:b/>
          <w:bCs/>
          <w:sz w:val="22"/>
          <w:szCs w:val="22"/>
        </w:rPr>
        <w:t xml:space="preserve"> </w:t>
      </w:r>
      <w:r>
        <w:rPr>
          <w:rFonts w:eastAsia="Arial" w:cs="Arial"/>
          <w:b/>
          <w:color w:val="000000" w:themeColor="text1"/>
          <w:sz w:val="16"/>
          <w:szCs w:val="22"/>
        </w:rPr>
        <w:t>Fuente: Oficina Asesora de Planeación</w:t>
      </w:r>
    </w:p>
    <w:p w14:paraId="30F365A8" w14:textId="77777777" w:rsidR="00EC2F31" w:rsidRPr="00166211" w:rsidRDefault="00EC2F31" w:rsidP="00EC2F31">
      <w:pPr>
        <w:rPr>
          <w:b/>
          <w:bCs/>
          <w:sz w:val="22"/>
          <w:szCs w:val="22"/>
        </w:rPr>
      </w:pPr>
    </w:p>
    <w:p w14:paraId="048FAF1C" w14:textId="77777777" w:rsidR="00EC2F31" w:rsidRDefault="00EC2F31" w:rsidP="00EC2F31">
      <w:pPr>
        <w:jc w:val="both"/>
        <w:rPr>
          <w:rFonts w:eastAsia="Arial" w:cs="Arial"/>
          <w:color w:val="000000" w:themeColor="text1"/>
          <w:sz w:val="22"/>
          <w:szCs w:val="22"/>
        </w:rPr>
      </w:pPr>
      <w:r w:rsidRPr="0B5FBFBE">
        <w:rPr>
          <w:rFonts w:eastAsia="Arial" w:cs="Arial"/>
          <w:color w:val="000000" w:themeColor="text1"/>
          <w:sz w:val="22"/>
          <w:szCs w:val="22"/>
        </w:rPr>
        <w:t>Para mayor detalle de la información consultar en: </w:t>
      </w:r>
    </w:p>
    <w:p w14:paraId="173D66D1" w14:textId="77777777" w:rsidR="00EC2F31" w:rsidRDefault="00EC2F31" w:rsidP="00EC2F31">
      <w:pPr>
        <w:jc w:val="both"/>
        <w:rPr>
          <w:rFonts w:eastAsia="Arial" w:cs="Arial"/>
          <w:color w:val="000000" w:themeColor="text1"/>
          <w:sz w:val="22"/>
          <w:szCs w:val="22"/>
        </w:rPr>
      </w:pPr>
      <w:r w:rsidRPr="0B5FBFBE">
        <w:rPr>
          <w:rFonts w:eastAsia="Arial" w:cs="Arial"/>
          <w:color w:val="000000" w:themeColor="text1"/>
          <w:sz w:val="22"/>
          <w:szCs w:val="22"/>
        </w:rPr>
        <w:t> </w:t>
      </w:r>
    </w:p>
    <w:p w14:paraId="299E28C2" w14:textId="77777777" w:rsidR="00EC2F31" w:rsidRPr="00A6302C" w:rsidRDefault="00EC2F31" w:rsidP="00A6302C">
      <w:pPr>
        <w:pStyle w:val="Prrafodelista"/>
        <w:numPr>
          <w:ilvl w:val="0"/>
          <w:numId w:val="276"/>
        </w:numPr>
        <w:rPr>
          <w:rFonts w:eastAsia="Arial" w:cs="Arial"/>
          <w:color w:val="000000" w:themeColor="text1"/>
          <w:sz w:val="22"/>
          <w:szCs w:val="22"/>
        </w:rPr>
      </w:pPr>
      <w:r w:rsidRPr="00A6302C">
        <w:rPr>
          <w:rFonts w:eastAsia="Arial" w:cs="Arial"/>
          <w:b/>
          <w:bCs/>
          <w:color w:val="000000" w:themeColor="text1"/>
          <w:sz w:val="22"/>
          <w:szCs w:val="22"/>
        </w:rPr>
        <w:t>Procedimientos</w:t>
      </w:r>
      <w:r w:rsidRPr="00A6302C">
        <w:rPr>
          <w:rFonts w:eastAsia="Arial" w:cs="Arial"/>
          <w:color w:val="000000" w:themeColor="text1"/>
          <w:sz w:val="22"/>
          <w:szCs w:val="22"/>
        </w:rPr>
        <w:t>: </w:t>
      </w:r>
      <w:hyperlink r:id="rId215">
        <w:r w:rsidRPr="00A6302C">
          <w:rPr>
            <w:rStyle w:val="Hipervnculo"/>
            <w:rFonts w:eastAsia="Arial" w:cs="Arial"/>
            <w:sz w:val="22"/>
            <w:szCs w:val="22"/>
          </w:rPr>
          <w:t>https://www.igac.gov.co/es/listado-maestro-de-documentos</w:t>
        </w:r>
      </w:hyperlink>
      <w:r w:rsidRPr="00A6302C">
        <w:rPr>
          <w:rFonts w:eastAsia="Arial" w:cs="Arial"/>
          <w:color w:val="000000" w:themeColor="text1"/>
          <w:sz w:val="22"/>
          <w:szCs w:val="22"/>
        </w:rPr>
        <w:t> </w:t>
      </w:r>
    </w:p>
    <w:p w14:paraId="338E633C" w14:textId="77777777" w:rsidR="00EC2F31" w:rsidRPr="00A6302C" w:rsidRDefault="00EC2F31" w:rsidP="00A6302C">
      <w:pPr>
        <w:pStyle w:val="Prrafodelista"/>
        <w:numPr>
          <w:ilvl w:val="0"/>
          <w:numId w:val="276"/>
        </w:numPr>
        <w:rPr>
          <w:rFonts w:eastAsia="Arial" w:cs="Arial"/>
          <w:color w:val="000000" w:themeColor="text1"/>
          <w:sz w:val="22"/>
          <w:szCs w:val="22"/>
        </w:rPr>
      </w:pPr>
      <w:r w:rsidRPr="00A6302C">
        <w:rPr>
          <w:rFonts w:eastAsia="Arial" w:cs="Arial"/>
          <w:b/>
          <w:bCs/>
          <w:color w:val="000000" w:themeColor="text1"/>
          <w:sz w:val="22"/>
          <w:szCs w:val="22"/>
        </w:rPr>
        <w:t>Indicadores</w:t>
      </w:r>
      <w:r w:rsidRPr="00A6302C">
        <w:rPr>
          <w:rFonts w:eastAsia="Arial" w:cs="Arial"/>
          <w:color w:val="000000" w:themeColor="text1"/>
          <w:sz w:val="22"/>
          <w:szCs w:val="22"/>
        </w:rPr>
        <w:t>: Plan Acción Anual 2021: </w:t>
      </w:r>
      <w:r w:rsidRPr="00A6302C">
        <w:rPr>
          <w:rFonts w:ascii="Times New Roman" w:hAnsi="Times New Roman"/>
          <w:color w:val="000000" w:themeColor="text1"/>
          <w:sz w:val="22"/>
          <w:szCs w:val="22"/>
        </w:rPr>
        <w:t> </w:t>
      </w:r>
      <w:hyperlink r:id="rId216">
        <w:r w:rsidRPr="00A6302C">
          <w:rPr>
            <w:rStyle w:val="Hipervnculo"/>
            <w:rFonts w:eastAsia="Arial" w:cs="Arial"/>
            <w:sz w:val="22"/>
            <w:szCs w:val="22"/>
          </w:rPr>
          <w:t>https://www.igac.gov.co/es/transparencia-y-acceso-a-la-informacion-publica/plan-de-accion-anual</w:t>
        </w:r>
      </w:hyperlink>
      <w:r w:rsidRPr="00A6302C">
        <w:rPr>
          <w:rFonts w:eastAsia="Arial" w:cs="Arial"/>
          <w:color w:val="000000" w:themeColor="text1"/>
          <w:sz w:val="22"/>
          <w:szCs w:val="22"/>
        </w:rPr>
        <w:t> y en Herramienta Planigac </w:t>
      </w:r>
    </w:p>
    <w:p w14:paraId="7881B695" w14:textId="77777777" w:rsidR="00EC2F31" w:rsidRPr="00A6302C" w:rsidRDefault="00EC2F31" w:rsidP="00A6302C">
      <w:pPr>
        <w:pStyle w:val="Prrafodelista"/>
        <w:numPr>
          <w:ilvl w:val="0"/>
          <w:numId w:val="276"/>
        </w:numPr>
        <w:rPr>
          <w:rFonts w:eastAsia="Arial" w:cs="Arial"/>
          <w:color w:val="000000" w:themeColor="text1"/>
          <w:sz w:val="22"/>
          <w:szCs w:val="22"/>
        </w:rPr>
      </w:pPr>
      <w:r w:rsidRPr="00A6302C">
        <w:rPr>
          <w:rFonts w:eastAsia="Arial" w:cs="Arial"/>
          <w:b/>
          <w:bCs/>
          <w:color w:val="000000" w:themeColor="text1"/>
          <w:sz w:val="22"/>
          <w:szCs w:val="22"/>
        </w:rPr>
        <w:t>Riesgos</w:t>
      </w:r>
      <w:r w:rsidRPr="00A6302C">
        <w:rPr>
          <w:rFonts w:eastAsia="Arial" w:cs="Arial"/>
          <w:color w:val="000000" w:themeColor="text1"/>
          <w:sz w:val="22"/>
          <w:szCs w:val="22"/>
        </w:rPr>
        <w:t>: Matriz de Riesgos Institucional IGAC 2021: </w:t>
      </w:r>
      <w:hyperlink r:id="rId217">
        <w:r w:rsidRPr="00A6302C">
          <w:rPr>
            <w:rStyle w:val="Hipervnculo"/>
            <w:rFonts w:eastAsia="Arial" w:cs="Arial"/>
            <w:sz w:val="22"/>
            <w:szCs w:val="22"/>
          </w:rPr>
          <w:t>https://www.igac.gov.co/es/transparencia-y-acceso-a-la-informacion-publica/plan-anticorrupcion-y-de-atencion-al-ciudadano</w:t>
        </w:r>
      </w:hyperlink>
      <w:r w:rsidRPr="00A6302C">
        <w:rPr>
          <w:rFonts w:eastAsia="Arial" w:cs="Arial"/>
          <w:color w:val="000000" w:themeColor="text1"/>
          <w:sz w:val="22"/>
          <w:szCs w:val="22"/>
        </w:rPr>
        <w:t xml:space="preserve">                      </w:t>
      </w:r>
    </w:p>
    <w:p w14:paraId="23465E67" w14:textId="77777777" w:rsidR="00EC2F31" w:rsidRPr="00A6302C" w:rsidRDefault="00EC2F31" w:rsidP="00A6302C">
      <w:pPr>
        <w:pStyle w:val="Prrafodelista"/>
        <w:ind w:left="720"/>
        <w:rPr>
          <w:rFonts w:eastAsia="Arial" w:cs="Arial"/>
          <w:color w:val="000000" w:themeColor="text1"/>
          <w:sz w:val="22"/>
          <w:szCs w:val="22"/>
        </w:rPr>
      </w:pPr>
      <w:r w:rsidRPr="00A6302C">
        <w:rPr>
          <w:rFonts w:eastAsia="Arial" w:cs="Arial"/>
          <w:color w:val="000000" w:themeColor="text1"/>
          <w:sz w:val="22"/>
          <w:szCs w:val="22"/>
        </w:rPr>
        <w:t>y en Herramienta Planigac. </w:t>
      </w:r>
    </w:p>
    <w:p w14:paraId="5DA05B06" w14:textId="77777777" w:rsidR="00EC2F31" w:rsidRDefault="00EC2F31" w:rsidP="00EC2F31">
      <w:pPr>
        <w:spacing w:after="60"/>
        <w:rPr>
          <w:rFonts w:eastAsia="Arial" w:cs="Arial"/>
          <w:color w:val="000000" w:themeColor="text1"/>
          <w:sz w:val="22"/>
          <w:szCs w:val="22"/>
        </w:rPr>
      </w:pPr>
    </w:p>
    <w:p w14:paraId="6BD0EB90" w14:textId="77777777" w:rsidR="00EC2F31" w:rsidRDefault="00EC2F31" w:rsidP="00EC2F31">
      <w:pPr>
        <w:spacing w:after="60"/>
        <w:rPr>
          <w:rFonts w:eastAsia="Arial" w:cs="Arial"/>
          <w:color w:val="000000" w:themeColor="text1"/>
          <w:sz w:val="22"/>
          <w:szCs w:val="22"/>
        </w:rPr>
      </w:pPr>
    </w:p>
    <w:p w14:paraId="48E9F337" w14:textId="77777777" w:rsidR="00EC2F31" w:rsidRDefault="00EC2F31" w:rsidP="00EC2F31">
      <w:pPr>
        <w:spacing w:after="60"/>
        <w:rPr>
          <w:rFonts w:eastAsia="Arial" w:cs="Arial"/>
          <w:color w:val="000000" w:themeColor="text1"/>
          <w:sz w:val="22"/>
          <w:szCs w:val="22"/>
        </w:rPr>
      </w:pPr>
    </w:p>
    <w:p w14:paraId="52246137" w14:textId="77777777" w:rsidR="00EC2F31" w:rsidRDefault="00EC2F31" w:rsidP="00EC2F31">
      <w:pPr>
        <w:spacing w:after="60"/>
        <w:rPr>
          <w:rFonts w:eastAsia="Arial" w:cs="Arial"/>
          <w:color w:val="000000" w:themeColor="text1"/>
          <w:sz w:val="22"/>
          <w:szCs w:val="22"/>
        </w:rPr>
      </w:pPr>
    </w:p>
    <w:p w14:paraId="58B26BD2" w14:textId="77777777" w:rsidR="00EC2F31" w:rsidRDefault="00EC2F31" w:rsidP="00EC2F31">
      <w:pPr>
        <w:spacing w:after="60"/>
        <w:rPr>
          <w:rFonts w:eastAsia="Arial" w:cs="Arial"/>
          <w:color w:val="000000" w:themeColor="text1"/>
          <w:sz w:val="22"/>
          <w:szCs w:val="22"/>
        </w:rPr>
      </w:pPr>
    </w:p>
    <w:p w14:paraId="4FDF4642" w14:textId="77777777" w:rsidR="00EC2F31" w:rsidRPr="00166211" w:rsidRDefault="00EC2F31" w:rsidP="00A6302C">
      <w:pPr>
        <w:pStyle w:val="Prrafodelista"/>
        <w:numPr>
          <w:ilvl w:val="2"/>
          <w:numId w:val="22"/>
        </w:numPr>
        <w:rPr>
          <w:b/>
          <w:bCs/>
          <w:sz w:val="22"/>
          <w:szCs w:val="22"/>
        </w:rPr>
      </w:pPr>
      <w:r w:rsidRPr="31FF9146">
        <w:rPr>
          <w:b/>
          <w:bCs/>
          <w:sz w:val="22"/>
          <w:szCs w:val="22"/>
        </w:rPr>
        <w:lastRenderedPageBreak/>
        <w:t>POLÍTICAS ASOCIADAS</w:t>
      </w:r>
    </w:p>
    <w:p w14:paraId="43972C31" w14:textId="77777777" w:rsidR="00EC2F31" w:rsidRDefault="00EC2F31" w:rsidP="00EC2F31">
      <w:pPr>
        <w:pStyle w:val="Lista"/>
      </w:pPr>
    </w:p>
    <w:tbl>
      <w:tblPr>
        <w:tblStyle w:val="Tabladecuadrcula4-nfasis1"/>
        <w:tblW w:w="9360" w:type="dxa"/>
        <w:tblLayout w:type="fixed"/>
        <w:tblLook w:val="04A0" w:firstRow="1" w:lastRow="0" w:firstColumn="1" w:lastColumn="0" w:noHBand="0" w:noVBand="1"/>
      </w:tblPr>
      <w:tblGrid>
        <w:gridCol w:w="3359"/>
        <w:gridCol w:w="2911"/>
        <w:gridCol w:w="3090"/>
      </w:tblGrid>
      <w:tr w:rsidR="00EC2F31" w:rsidRPr="008A3AD3" w14:paraId="3D24603F" w14:textId="77777777" w:rsidTr="00A630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9" w:type="dxa"/>
            <w:tcBorders>
              <w:top w:val="single" w:sz="6" w:space="0" w:color="4F81BD" w:themeColor="accent1"/>
              <w:left w:val="single" w:sz="6" w:space="0" w:color="4F81BD" w:themeColor="accent1"/>
              <w:bottom w:val="single" w:sz="6" w:space="0" w:color="4F81BD" w:themeColor="accent1"/>
            </w:tcBorders>
            <w:vAlign w:val="center"/>
          </w:tcPr>
          <w:p w14:paraId="198721F4" w14:textId="77777777" w:rsidR="00EC2F31" w:rsidRPr="008A3AD3" w:rsidRDefault="00EC2F31" w:rsidP="00A6302C">
            <w:pPr>
              <w:jc w:val="center"/>
              <w:rPr>
                <w:rFonts w:eastAsia="Arial" w:cs="Arial"/>
                <w:sz w:val="20"/>
                <w:szCs w:val="22"/>
              </w:rPr>
            </w:pPr>
            <w:r w:rsidRPr="008A3AD3">
              <w:rPr>
                <w:rFonts w:eastAsia="Arial" w:cs="Arial"/>
                <w:sz w:val="20"/>
                <w:szCs w:val="22"/>
                <w:lang w:val="es-MX"/>
              </w:rPr>
              <w:t>Política</w:t>
            </w:r>
          </w:p>
        </w:tc>
        <w:tc>
          <w:tcPr>
            <w:tcW w:w="2911" w:type="dxa"/>
            <w:tcBorders>
              <w:top w:val="single" w:sz="6" w:space="0" w:color="4F81BD" w:themeColor="accent1"/>
              <w:bottom w:val="single" w:sz="6" w:space="0" w:color="4F81BD" w:themeColor="accent1"/>
            </w:tcBorders>
            <w:vAlign w:val="center"/>
          </w:tcPr>
          <w:p w14:paraId="702E526C"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lang w:val="es-MX"/>
              </w:rPr>
              <w:t>Objetivo</w:t>
            </w:r>
          </w:p>
        </w:tc>
        <w:tc>
          <w:tcPr>
            <w:tcW w:w="3090" w:type="dxa"/>
            <w:tcBorders>
              <w:top w:val="single" w:sz="6" w:space="0" w:color="4F81BD" w:themeColor="accent1"/>
              <w:bottom w:val="single" w:sz="6" w:space="0" w:color="4F81BD" w:themeColor="accent1"/>
              <w:right w:val="single" w:sz="6" w:space="0" w:color="4F81BD" w:themeColor="accent1"/>
            </w:tcBorders>
            <w:vAlign w:val="center"/>
          </w:tcPr>
          <w:p w14:paraId="3C1CEFB2" w14:textId="77777777" w:rsidR="00EC2F31" w:rsidRPr="008A3AD3"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0"/>
                <w:szCs w:val="22"/>
              </w:rPr>
            </w:pPr>
            <w:r w:rsidRPr="008A3AD3">
              <w:rPr>
                <w:rFonts w:eastAsia="Arial" w:cs="Arial"/>
                <w:sz w:val="20"/>
                <w:szCs w:val="22"/>
                <w:lang w:val="es-MX"/>
              </w:rPr>
              <w:t>Alcance</w:t>
            </w:r>
          </w:p>
        </w:tc>
      </w:tr>
      <w:tr w:rsidR="00EC2F31" w:rsidRPr="008A3AD3" w14:paraId="3E6923BF" w14:textId="77777777" w:rsidTr="00A630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59" w:type="dxa"/>
            <w:vAlign w:val="center"/>
          </w:tcPr>
          <w:p w14:paraId="378D2FE6" w14:textId="77777777" w:rsidR="00EC2F31" w:rsidRPr="008A3AD3" w:rsidRDefault="00EC2F31" w:rsidP="00A6302C">
            <w:pPr>
              <w:jc w:val="center"/>
              <w:rPr>
                <w:rFonts w:eastAsia="Arial" w:cs="Arial"/>
                <w:color w:val="000000" w:themeColor="text1"/>
                <w:sz w:val="20"/>
                <w:szCs w:val="22"/>
              </w:rPr>
            </w:pPr>
            <w:r w:rsidRPr="008A3AD3">
              <w:rPr>
                <w:rFonts w:eastAsia="Arial" w:cs="Arial"/>
                <w:bCs w:val="0"/>
                <w:color w:val="000000" w:themeColor="text1"/>
                <w:sz w:val="20"/>
                <w:szCs w:val="22"/>
                <w:lang w:val="es-MX"/>
              </w:rPr>
              <w:t>Defensa jurídica</w:t>
            </w:r>
          </w:p>
        </w:tc>
        <w:tc>
          <w:tcPr>
            <w:tcW w:w="2911" w:type="dxa"/>
            <w:vAlign w:val="center"/>
          </w:tcPr>
          <w:p w14:paraId="3E734A52"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Determinar los lineamientos para dar solución a los problemas administrativos que generen litigios para</w:t>
            </w:r>
          </w:p>
          <w:p w14:paraId="67F6F55E"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el IGAC y de esta forma, reducir los eventos generadores del daño antijurídico.</w:t>
            </w:r>
          </w:p>
        </w:tc>
        <w:tc>
          <w:tcPr>
            <w:tcW w:w="3090" w:type="dxa"/>
            <w:vAlign w:val="center"/>
          </w:tcPr>
          <w:p w14:paraId="082FFF3A"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La política aplica para la gestión de las diferentes acciones judiciales y extrajudiciales del IGAC en</w:t>
            </w:r>
          </w:p>
          <w:p w14:paraId="345F1303" w14:textId="77777777" w:rsidR="00EC2F31" w:rsidRPr="008A3AD3"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cada proceso establecido en el Sistema Integrado de Gestión.</w:t>
            </w:r>
          </w:p>
        </w:tc>
      </w:tr>
      <w:tr w:rsidR="00EC2F31" w:rsidRPr="008A3AD3" w14:paraId="0F385092" w14:textId="77777777" w:rsidTr="00A6302C">
        <w:tc>
          <w:tcPr>
            <w:cnfStyle w:val="001000000000" w:firstRow="0" w:lastRow="0" w:firstColumn="1" w:lastColumn="0" w:oddVBand="0" w:evenVBand="0" w:oddHBand="0" w:evenHBand="0" w:firstRowFirstColumn="0" w:firstRowLastColumn="0" w:lastRowFirstColumn="0" w:lastRowLastColumn="0"/>
            <w:tcW w:w="3359" w:type="dxa"/>
            <w:vAlign w:val="center"/>
          </w:tcPr>
          <w:p w14:paraId="628D1F11" w14:textId="77777777" w:rsidR="00EC2F31" w:rsidRPr="008A3AD3" w:rsidRDefault="00EC2F31" w:rsidP="00A6302C">
            <w:pPr>
              <w:jc w:val="center"/>
              <w:rPr>
                <w:rFonts w:eastAsia="Arial" w:cs="Arial"/>
                <w:color w:val="000000" w:themeColor="text1"/>
                <w:sz w:val="20"/>
                <w:szCs w:val="22"/>
              </w:rPr>
            </w:pPr>
            <w:r w:rsidRPr="008A3AD3">
              <w:rPr>
                <w:rFonts w:eastAsia="Arial" w:cs="Arial"/>
                <w:bCs w:val="0"/>
                <w:color w:val="000000" w:themeColor="text1"/>
                <w:sz w:val="20"/>
                <w:szCs w:val="22"/>
                <w:lang w:val="es-MX"/>
              </w:rPr>
              <w:t>Protección de datos personales</w:t>
            </w:r>
          </w:p>
        </w:tc>
        <w:tc>
          <w:tcPr>
            <w:tcW w:w="2911" w:type="dxa"/>
            <w:vAlign w:val="center"/>
          </w:tcPr>
          <w:p w14:paraId="5AEDB05B"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La Política de Tratamiento de Datos Personales del Instituto Geográfico Agustín Codazzi – IGAC tiene</w:t>
            </w:r>
          </w:p>
          <w:p w14:paraId="6B938373"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como objetivo proteger el derecho fundamental al hábeas data de los titulares de la información,</w:t>
            </w:r>
          </w:p>
          <w:p w14:paraId="1526BE4D"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determinar las obligaciones de los responsables de la información y fijar los procedimientos para el</w:t>
            </w:r>
          </w:p>
          <w:p w14:paraId="0A5F5CA1"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ejercicio efectivo de este derecho.</w:t>
            </w:r>
          </w:p>
        </w:tc>
        <w:tc>
          <w:tcPr>
            <w:tcW w:w="3090" w:type="dxa"/>
            <w:vAlign w:val="center"/>
          </w:tcPr>
          <w:p w14:paraId="07713900"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Esta Política aplica a toda la información registrada en las bases de datos, archivos y documentos</w:t>
            </w:r>
          </w:p>
          <w:p w14:paraId="1DA4646F"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que contengan datos personales y sean objeto de tratamiento por parte del IGAC, quien actúa en</w:t>
            </w:r>
          </w:p>
          <w:p w14:paraId="46ADA8FA" w14:textId="77777777" w:rsidR="00EC2F31" w:rsidRPr="008A3AD3"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0"/>
                <w:szCs w:val="22"/>
              </w:rPr>
            </w:pPr>
            <w:r w:rsidRPr="008A3AD3">
              <w:rPr>
                <w:rFonts w:eastAsia="Arial" w:cs="Arial"/>
                <w:color w:val="000000" w:themeColor="text1"/>
                <w:sz w:val="20"/>
                <w:szCs w:val="22"/>
                <w:lang w:val="es-MX"/>
              </w:rPr>
              <w:t>calidad de responsable del Tratamiento de los Datos Personales.</w:t>
            </w:r>
          </w:p>
        </w:tc>
      </w:tr>
    </w:tbl>
    <w:p w14:paraId="4FE9425F" w14:textId="163806C9" w:rsidR="00EC2F31" w:rsidRPr="00591623" w:rsidRDefault="00EC2F31" w:rsidP="00591623">
      <w:pPr>
        <w:jc w:val="center"/>
        <w:rPr>
          <w:rFonts w:eastAsia="Arial" w:cs="Arial"/>
          <w:b/>
          <w:color w:val="000000" w:themeColor="text1"/>
          <w:sz w:val="16"/>
          <w:szCs w:val="20"/>
        </w:rPr>
      </w:pPr>
      <w:r w:rsidRPr="00BB662F">
        <w:rPr>
          <w:rFonts w:eastAsia="Arial" w:cs="Arial"/>
          <w:b/>
          <w:color w:val="000000" w:themeColor="text1"/>
          <w:sz w:val="16"/>
          <w:szCs w:val="20"/>
        </w:rPr>
        <w:t>Fuente: Oficina Asesora</w:t>
      </w:r>
      <w:r w:rsidR="00591623">
        <w:rPr>
          <w:rFonts w:eastAsia="Arial" w:cs="Arial"/>
          <w:b/>
          <w:color w:val="000000" w:themeColor="text1"/>
          <w:sz w:val="16"/>
          <w:szCs w:val="20"/>
        </w:rPr>
        <w:t xml:space="preserve"> Jurídica</w:t>
      </w:r>
    </w:p>
    <w:p w14:paraId="42A42914" w14:textId="77777777" w:rsidR="00EC2F31" w:rsidRDefault="00EC2F31" w:rsidP="00EC2F31">
      <w:pPr>
        <w:pStyle w:val="Lista"/>
      </w:pPr>
    </w:p>
    <w:p w14:paraId="2EC8B3B1" w14:textId="77777777" w:rsidR="00EC2F31" w:rsidRDefault="00EC2F31" w:rsidP="00A6302C">
      <w:pPr>
        <w:pStyle w:val="Prrafodelista"/>
        <w:numPr>
          <w:ilvl w:val="2"/>
          <w:numId w:val="22"/>
        </w:numPr>
        <w:rPr>
          <w:b/>
          <w:bCs/>
          <w:sz w:val="22"/>
          <w:szCs w:val="22"/>
        </w:rPr>
      </w:pPr>
      <w:r w:rsidRPr="31FF9146">
        <w:rPr>
          <w:b/>
          <w:bCs/>
          <w:sz w:val="22"/>
          <w:szCs w:val="22"/>
        </w:rPr>
        <w:t>LISTADO DE INFORMES</w:t>
      </w:r>
    </w:p>
    <w:p w14:paraId="64A25574" w14:textId="77777777" w:rsidR="00EC2F31" w:rsidRDefault="00EC2F31" w:rsidP="00EC2F31">
      <w:pPr>
        <w:pStyle w:val="Lista"/>
      </w:pPr>
    </w:p>
    <w:tbl>
      <w:tblPr>
        <w:tblW w:w="0" w:type="auto"/>
        <w:tblLayout w:type="fixed"/>
        <w:tblLook w:val="04A0" w:firstRow="1" w:lastRow="0" w:firstColumn="1" w:lastColumn="0" w:noHBand="0" w:noVBand="1"/>
      </w:tblPr>
      <w:tblGrid>
        <w:gridCol w:w="538"/>
        <w:gridCol w:w="2796"/>
        <w:gridCol w:w="2946"/>
        <w:gridCol w:w="3080"/>
      </w:tblGrid>
      <w:tr w:rsidR="00EC2F31" w14:paraId="4BA6336A" w14:textId="77777777" w:rsidTr="00A6302C">
        <w:trPr>
          <w:trHeight w:val="300"/>
        </w:trPr>
        <w:tc>
          <w:tcPr>
            <w:tcW w:w="538" w:type="dxa"/>
            <w:vMerge w:val="restart"/>
            <w:tcBorders>
              <w:top w:val="single" w:sz="6" w:space="0" w:color="FFFFFF" w:themeColor="background1"/>
              <w:left w:val="single" w:sz="6" w:space="0" w:color="FFFFFF" w:themeColor="background1"/>
              <w:bottom w:val="outset" w:sz="30" w:space="0" w:color="auto"/>
              <w:right w:val="nil"/>
            </w:tcBorders>
            <w:shd w:val="clear" w:color="auto" w:fill="4F81BD" w:themeFill="accent1"/>
            <w:textDirection w:val="btLr"/>
            <w:vAlign w:val="center"/>
          </w:tcPr>
          <w:p w14:paraId="42B54045" w14:textId="77777777" w:rsidR="00EC2F31" w:rsidRPr="008A3AD3" w:rsidRDefault="00EC2F31" w:rsidP="00A6302C">
            <w:pPr>
              <w:ind w:left="113" w:right="113"/>
              <w:jc w:val="center"/>
              <w:rPr>
                <w:rFonts w:eastAsia="Arial" w:cs="Arial"/>
                <w:b/>
                <w:color w:val="FFFFFF" w:themeColor="background1"/>
                <w:sz w:val="20"/>
                <w:szCs w:val="20"/>
              </w:rPr>
            </w:pPr>
            <w:r w:rsidRPr="008A3AD3">
              <w:rPr>
                <w:rFonts w:eastAsia="Arial" w:cs="Arial"/>
                <w:b/>
                <w:color w:val="FFFFFF" w:themeColor="background1"/>
                <w:sz w:val="20"/>
                <w:szCs w:val="20"/>
                <w:lang w:val="es-MX"/>
              </w:rPr>
              <w:t>Internos</w:t>
            </w:r>
          </w:p>
        </w:tc>
        <w:tc>
          <w:tcPr>
            <w:tcW w:w="2796" w:type="dxa"/>
            <w:tcBorders>
              <w:top w:val="single" w:sz="6" w:space="0" w:color="FFFFFF" w:themeColor="background1"/>
              <w:left w:val="nil"/>
              <w:bottom w:val="single" w:sz="6" w:space="0" w:color="FFFFFF" w:themeColor="background1"/>
              <w:right w:val="nil"/>
            </w:tcBorders>
            <w:shd w:val="clear" w:color="auto" w:fill="4F81BD" w:themeFill="accent1"/>
            <w:vAlign w:val="center"/>
          </w:tcPr>
          <w:p w14:paraId="3E6F7DF2" w14:textId="77777777" w:rsidR="00EC2F31" w:rsidRDefault="00EC2F31" w:rsidP="00A6302C">
            <w:pPr>
              <w:jc w:val="center"/>
              <w:rPr>
                <w:rFonts w:eastAsia="Arial" w:cs="Arial"/>
                <w:color w:val="FFFFFF" w:themeColor="background1"/>
                <w:sz w:val="20"/>
                <w:szCs w:val="20"/>
              </w:rPr>
            </w:pPr>
            <w:r w:rsidRPr="0B5FBFBE">
              <w:rPr>
                <w:rFonts w:eastAsia="Arial" w:cs="Arial"/>
                <w:b/>
                <w:bCs/>
                <w:color w:val="FFFFFF" w:themeColor="background1"/>
                <w:sz w:val="20"/>
                <w:szCs w:val="20"/>
                <w:lang w:val="es-MX"/>
              </w:rPr>
              <w:t>Informe</w:t>
            </w:r>
          </w:p>
        </w:tc>
        <w:tc>
          <w:tcPr>
            <w:tcW w:w="2946" w:type="dxa"/>
            <w:tcBorders>
              <w:top w:val="single" w:sz="6" w:space="0" w:color="FFFFFF" w:themeColor="background1"/>
              <w:left w:val="nil"/>
              <w:bottom w:val="single" w:sz="6" w:space="0" w:color="FFFFFF" w:themeColor="background1"/>
              <w:right w:val="nil"/>
            </w:tcBorders>
            <w:shd w:val="clear" w:color="auto" w:fill="4F81BD" w:themeFill="accent1"/>
            <w:vAlign w:val="center"/>
          </w:tcPr>
          <w:p w14:paraId="563F6F73" w14:textId="77777777" w:rsidR="00EC2F31" w:rsidRDefault="00EC2F31" w:rsidP="00A6302C">
            <w:pPr>
              <w:jc w:val="center"/>
              <w:rPr>
                <w:rFonts w:eastAsia="Arial" w:cs="Arial"/>
                <w:color w:val="FFFFFF" w:themeColor="background1"/>
                <w:sz w:val="20"/>
                <w:szCs w:val="20"/>
              </w:rPr>
            </w:pPr>
            <w:r w:rsidRPr="0B5FBFBE">
              <w:rPr>
                <w:rFonts w:eastAsia="Arial" w:cs="Arial"/>
                <w:b/>
                <w:bCs/>
                <w:color w:val="FFFFFF" w:themeColor="background1"/>
                <w:sz w:val="20"/>
                <w:szCs w:val="20"/>
                <w:lang w:val="es-MX"/>
              </w:rPr>
              <w:t>Responsable</w:t>
            </w:r>
          </w:p>
        </w:tc>
        <w:tc>
          <w:tcPr>
            <w:tcW w:w="3080" w:type="dxa"/>
            <w:tcBorders>
              <w:top w:val="single" w:sz="6" w:space="0" w:color="FFFFFF" w:themeColor="background1"/>
              <w:left w:val="nil"/>
              <w:bottom w:val="single" w:sz="6" w:space="0" w:color="FFFFFF" w:themeColor="background1"/>
              <w:right w:val="single" w:sz="6" w:space="0" w:color="FFFFFF" w:themeColor="background1"/>
            </w:tcBorders>
            <w:shd w:val="clear" w:color="auto" w:fill="4F81BD" w:themeFill="accent1"/>
            <w:vAlign w:val="center"/>
          </w:tcPr>
          <w:p w14:paraId="5AA37401" w14:textId="77777777" w:rsidR="00EC2F31" w:rsidRDefault="00EC2F31" w:rsidP="00A6302C">
            <w:pPr>
              <w:jc w:val="center"/>
              <w:rPr>
                <w:rFonts w:eastAsia="Arial" w:cs="Arial"/>
                <w:color w:val="FFFFFF" w:themeColor="background1"/>
                <w:sz w:val="20"/>
                <w:szCs w:val="20"/>
              </w:rPr>
            </w:pPr>
            <w:r w:rsidRPr="0B5FBFBE">
              <w:rPr>
                <w:rFonts w:eastAsia="Arial" w:cs="Arial"/>
                <w:b/>
                <w:bCs/>
                <w:color w:val="FFFFFF" w:themeColor="background1"/>
                <w:sz w:val="20"/>
                <w:szCs w:val="20"/>
                <w:lang w:val="es-MX"/>
              </w:rPr>
              <w:t>Entrega y Publicación</w:t>
            </w:r>
          </w:p>
        </w:tc>
      </w:tr>
      <w:tr w:rsidR="00EC2F31" w14:paraId="48E8DD04" w14:textId="77777777" w:rsidTr="00A6302C">
        <w:trPr>
          <w:trHeight w:val="300"/>
        </w:trPr>
        <w:tc>
          <w:tcPr>
            <w:tcW w:w="538" w:type="dxa"/>
            <w:vMerge/>
            <w:tcBorders>
              <w:left w:val="single" w:sz="0" w:space="0" w:color="FFFFFF" w:themeColor="background1"/>
            </w:tcBorders>
            <w:vAlign w:val="center"/>
          </w:tcPr>
          <w:p w14:paraId="420F364F" w14:textId="77777777" w:rsidR="00EC2F31" w:rsidRDefault="00EC2F31" w:rsidP="00A6302C">
            <w:pPr>
              <w:jc w:val="center"/>
            </w:pPr>
          </w:p>
        </w:tc>
        <w:tc>
          <w:tcPr>
            <w:tcW w:w="2796"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5CA35581"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Reporte de avance Plan de Acción proceso de Gestión Jurídica</w:t>
            </w:r>
          </w:p>
        </w:tc>
        <w:tc>
          <w:tcPr>
            <w:tcW w:w="2946"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011429C8"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Subproceso de Normativa</w:t>
            </w:r>
          </w:p>
          <w:p w14:paraId="7D93910E"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Subproceso de Judicial</w:t>
            </w:r>
          </w:p>
          <w:p w14:paraId="2130B728" w14:textId="77777777" w:rsidR="00EC2F31" w:rsidRDefault="00EC2F31" w:rsidP="00A6302C">
            <w:pPr>
              <w:jc w:val="center"/>
              <w:rPr>
                <w:rFonts w:eastAsia="Arial" w:cs="Arial"/>
                <w:color w:val="000000" w:themeColor="text1"/>
                <w:sz w:val="20"/>
                <w:szCs w:val="20"/>
              </w:rPr>
            </w:pPr>
          </w:p>
        </w:tc>
        <w:tc>
          <w:tcPr>
            <w:tcW w:w="308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BE5F1" w:themeFill="accent1" w:themeFillTint="33"/>
            <w:vAlign w:val="center"/>
          </w:tcPr>
          <w:p w14:paraId="64EF3C4A"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Trimestral (enero, abril, julio, octubre)</w:t>
            </w:r>
          </w:p>
        </w:tc>
      </w:tr>
      <w:tr w:rsidR="00EC2F31" w14:paraId="76F6EDCF" w14:textId="77777777" w:rsidTr="00A6302C">
        <w:trPr>
          <w:trHeight w:val="1050"/>
        </w:trPr>
        <w:tc>
          <w:tcPr>
            <w:tcW w:w="538" w:type="dxa"/>
            <w:vMerge/>
            <w:tcBorders>
              <w:top w:val="single" w:sz="0" w:space="0" w:color="FFFFFF" w:themeColor="background1"/>
              <w:left w:val="single" w:sz="0" w:space="0" w:color="FFFFFF" w:themeColor="background1"/>
              <w:bottom w:val="outset" w:sz="0" w:space="0" w:color="auto"/>
            </w:tcBorders>
            <w:vAlign w:val="center"/>
          </w:tcPr>
          <w:p w14:paraId="2873BF24" w14:textId="77777777" w:rsidR="00EC2F31" w:rsidRDefault="00EC2F31" w:rsidP="00A6302C">
            <w:pPr>
              <w:jc w:val="center"/>
            </w:pPr>
          </w:p>
        </w:tc>
        <w:tc>
          <w:tcPr>
            <w:tcW w:w="2796"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7B789600"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Reporte controles matriz de riesgos institucional proceso de gestión Jurídica</w:t>
            </w:r>
          </w:p>
        </w:tc>
        <w:tc>
          <w:tcPr>
            <w:tcW w:w="2946"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5C1F7A9B" w14:textId="77777777" w:rsidR="00EC2F31" w:rsidRDefault="00EC2F31" w:rsidP="00A6302C">
            <w:pPr>
              <w:jc w:val="center"/>
              <w:rPr>
                <w:rFonts w:eastAsia="Arial" w:cs="Arial"/>
                <w:color w:val="000000" w:themeColor="text1"/>
                <w:sz w:val="20"/>
                <w:szCs w:val="20"/>
              </w:rPr>
            </w:pPr>
          </w:p>
          <w:p w14:paraId="3EAF68D8"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Subproceso de Normativa</w:t>
            </w:r>
          </w:p>
          <w:p w14:paraId="6A560CD2"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Subproceso de Judicial</w:t>
            </w:r>
          </w:p>
          <w:p w14:paraId="0236B2C7" w14:textId="77777777" w:rsidR="00EC2F31" w:rsidRDefault="00EC2F31" w:rsidP="00A6302C">
            <w:pPr>
              <w:jc w:val="center"/>
              <w:rPr>
                <w:rFonts w:eastAsia="Arial" w:cs="Arial"/>
                <w:color w:val="000000" w:themeColor="text1"/>
                <w:sz w:val="20"/>
                <w:szCs w:val="20"/>
              </w:rPr>
            </w:pPr>
          </w:p>
          <w:p w14:paraId="077531A5" w14:textId="77777777" w:rsidR="00EC2F31" w:rsidRDefault="00EC2F31" w:rsidP="00A6302C">
            <w:pPr>
              <w:jc w:val="center"/>
              <w:rPr>
                <w:rFonts w:eastAsia="Arial" w:cs="Arial"/>
                <w:color w:val="000000" w:themeColor="text1"/>
              </w:rPr>
            </w:pPr>
          </w:p>
        </w:tc>
        <w:tc>
          <w:tcPr>
            <w:tcW w:w="308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B8CCE4" w:themeFill="accent1" w:themeFillTint="66"/>
            <w:vAlign w:val="center"/>
          </w:tcPr>
          <w:p w14:paraId="35FE4702" w14:textId="77777777" w:rsidR="00EC2F31" w:rsidRDefault="00EC2F31" w:rsidP="00A6302C">
            <w:pPr>
              <w:jc w:val="center"/>
              <w:rPr>
                <w:rFonts w:eastAsia="Arial" w:cs="Arial"/>
                <w:color w:val="000000" w:themeColor="text1"/>
                <w:sz w:val="20"/>
                <w:szCs w:val="20"/>
              </w:rPr>
            </w:pPr>
            <w:r w:rsidRPr="0B5FBFBE">
              <w:rPr>
                <w:rFonts w:eastAsia="Arial" w:cs="Arial"/>
                <w:color w:val="000000" w:themeColor="text1"/>
                <w:sz w:val="20"/>
                <w:szCs w:val="20"/>
                <w:lang w:val="es-MX"/>
              </w:rPr>
              <w:t>Trimestral (enero, abril, julio, octubre)</w:t>
            </w:r>
          </w:p>
        </w:tc>
      </w:tr>
    </w:tbl>
    <w:p w14:paraId="7A0E03CC" w14:textId="77777777" w:rsidR="00EC2F31" w:rsidRDefault="00EC2F31" w:rsidP="00EC2F31">
      <w:pPr>
        <w:pStyle w:val="Lista"/>
      </w:pPr>
    </w:p>
    <w:tbl>
      <w:tblPr>
        <w:tblStyle w:val="Tabladecuadrcula5oscura-nfasis1"/>
        <w:tblW w:w="9360" w:type="dxa"/>
        <w:tblLayout w:type="fixed"/>
        <w:tblLook w:val="04A0" w:firstRow="1" w:lastRow="0" w:firstColumn="1" w:lastColumn="0" w:noHBand="0" w:noVBand="1"/>
      </w:tblPr>
      <w:tblGrid>
        <w:gridCol w:w="496"/>
        <w:gridCol w:w="238"/>
        <w:gridCol w:w="2414"/>
        <w:gridCol w:w="2188"/>
        <w:gridCol w:w="4024"/>
      </w:tblGrid>
      <w:tr w:rsidR="00EC2F31" w14:paraId="484510D7" w14:textId="77777777" w:rsidTr="00A6302C">
        <w:trPr>
          <w:cnfStyle w:val="100000000000" w:firstRow="1" w:lastRow="0" w:firstColumn="0" w:lastColumn="0" w:oddVBand="0" w:evenVBand="0" w:oddHBand="0" w:evenHBand="0" w:firstRowFirstColumn="0" w:firstRowLastColumn="0" w:lastRowFirstColumn="0" w:lastRowLastColumn="0"/>
          <w:trHeight w:val="585"/>
        </w:trPr>
        <w:tc>
          <w:tcPr>
            <w:cnfStyle w:val="001000000000" w:firstRow="0" w:lastRow="0" w:firstColumn="1" w:lastColumn="0" w:oddVBand="0" w:evenVBand="0" w:oddHBand="0" w:evenHBand="0" w:firstRowFirstColumn="0" w:firstRowLastColumn="0" w:lastRowFirstColumn="0" w:lastRowLastColumn="0"/>
            <w:tcW w:w="496" w:type="dxa"/>
            <w:vMerge w:val="restart"/>
            <w:tcBorders>
              <w:top w:val="single" w:sz="6" w:space="0" w:color="FFFFFF" w:themeColor="background1"/>
              <w:left w:val="single" w:sz="6" w:space="0" w:color="FFFFFF" w:themeColor="background1"/>
            </w:tcBorders>
            <w:textDirection w:val="btLr"/>
            <w:vAlign w:val="center"/>
          </w:tcPr>
          <w:p w14:paraId="06B4B501" w14:textId="77777777" w:rsidR="00EC2F31" w:rsidRPr="008A3AD3" w:rsidRDefault="00EC2F31" w:rsidP="00A6302C">
            <w:pPr>
              <w:ind w:left="113" w:right="113"/>
              <w:jc w:val="center"/>
              <w:rPr>
                <w:rFonts w:eastAsia="Arial" w:cs="Arial"/>
                <w:sz w:val="20"/>
                <w:szCs w:val="20"/>
              </w:rPr>
            </w:pPr>
            <w:r w:rsidRPr="008A3AD3">
              <w:rPr>
                <w:rFonts w:eastAsia="Arial" w:cs="Arial"/>
                <w:bCs w:val="0"/>
                <w:sz w:val="20"/>
                <w:szCs w:val="20"/>
                <w:lang w:val="es-MX"/>
              </w:rPr>
              <w:t>Externos</w:t>
            </w:r>
          </w:p>
        </w:tc>
        <w:tc>
          <w:tcPr>
            <w:tcW w:w="238" w:type="dxa"/>
            <w:tcBorders>
              <w:top w:val="single" w:sz="6" w:space="0" w:color="FFFFFF" w:themeColor="background1"/>
            </w:tcBorders>
            <w:vAlign w:val="center"/>
          </w:tcPr>
          <w:p w14:paraId="5D909FA2" w14:textId="77777777" w:rsidR="00EC2F31"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lang w:val="es-MX"/>
              </w:rPr>
            </w:pPr>
          </w:p>
        </w:tc>
        <w:tc>
          <w:tcPr>
            <w:tcW w:w="2414" w:type="dxa"/>
            <w:tcBorders>
              <w:top w:val="single" w:sz="6" w:space="0" w:color="FFFFFF" w:themeColor="background1"/>
            </w:tcBorders>
            <w:vAlign w:val="center"/>
          </w:tcPr>
          <w:p w14:paraId="1048F381" w14:textId="77777777" w:rsidR="00EC2F31"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2"/>
                <w:szCs w:val="22"/>
              </w:rPr>
            </w:pPr>
            <w:r w:rsidRPr="0B5FBFBE">
              <w:rPr>
                <w:rFonts w:eastAsia="Arial" w:cs="Arial"/>
                <w:sz w:val="22"/>
                <w:szCs w:val="22"/>
                <w:lang w:val="es-MX"/>
              </w:rPr>
              <w:t>Informe</w:t>
            </w:r>
          </w:p>
        </w:tc>
        <w:tc>
          <w:tcPr>
            <w:tcW w:w="2188" w:type="dxa"/>
            <w:tcBorders>
              <w:top w:val="single" w:sz="6" w:space="0" w:color="FFFFFF" w:themeColor="background1"/>
            </w:tcBorders>
            <w:vAlign w:val="center"/>
          </w:tcPr>
          <w:p w14:paraId="59B253AF" w14:textId="77777777" w:rsidR="00EC2F31"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2"/>
                <w:szCs w:val="22"/>
              </w:rPr>
            </w:pPr>
            <w:r w:rsidRPr="0B5FBFBE">
              <w:rPr>
                <w:rFonts w:eastAsia="Arial" w:cs="Arial"/>
                <w:sz w:val="22"/>
                <w:szCs w:val="22"/>
                <w:lang w:val="es-MX"/>
              </w:rPr>
              <w:t>Responsable</w:t>
            </w:r>
          </w:p>
        </w:tc>
        <w:tc>
          <w:tcPr>
            <w:tcW w:w="4024" w:type="dxa"/>
            <w:tcBorders>
              <w:top w:val="single" w:sz="6" w:space="0" w:color="FFFFFF" w:themeColor="background1"/>
              <w:right w:val="single" w:sz="6" w:space="0" w:color="FFFFFF" w:themeColor="background1"/>
            </w:tcBorders>
            <w:vAlign w:val="center"/>
          </w:tcPr>
          <w:p w14:paraId="294146C7" w14:textId="77777777" w:rsidR="00EC2F31" w:rsidRDefault="00EC2F31" w:rsidP="00A6302C">
            <w:pPr>
              <w:jc w:val="center"/>
              <w:cnfStyle w:val="100000000000" w:firstRow="1" w:lastRow="0" w:firstColumn="0" w:lastColumn="0" w:oddVBand="0" w:evenVBand="0" w:oddHBand="0" w:evenHBand="0" w:firstRowFirstColumn="0" w:firstRowLastColumn="0" w:lastRowFirstColumn="0" w:lastRowLastColumn="0"/>
              <w:rPr>
                <w:rFonts w:eastAsia="Arial" w:cs="Arial"/>
                <w:b w:val="0"/>
                <w:bCs w:val="0"/>
                <w:sz w:val="22"/>
                <w:szCs w:val="22"/>
              </w:rPr>
            </w:pPr>
            <w:r w:rsidRPr="0B5FBFBE">
              <w:rPr>
                <w:rFonts w:eastAsia="Arial" w:cs="Arial"/>
                <w:sz w:val="22"/>
                <w:szCs w:val="22"/>
                <w:lang w:val="es-MX"/>
              </w:rPr>
              <w:t>Entrega y Publicación</w:t>
            </w:r>
          </w:p>
        </w:tc>
      </w:tr>
      <w:tr w:rsidR="00EC2F31" w14:paraId="6D6B2269" w14:textId="77777777" w:rsidTr="00A6302C">
        <w:trPr>
          <w:cnfStyle w:val="000000100000" w:firstRow="0" w:lastRow="0" w:firstColumn="0" w:lastColumn="0" w:oddVBand="0" w:evenVBand="0" w:oddHBand="1" w:evenHBand="0" w:firstRowFirstColumn="0" w:firstRowLastColumn="0" w:lastRowFirstColumn="0" w:lastRowLastColumn="0"/>
          <w:trHeight w:val="990"/>
        </w:trPr>
        <w:tc>
          <w:tcPr>
            <w:cnfStyle w:val="001000000000" w:firstRow="0" w:lastRow="0" w:firstColumn="1" w:lastColumn="0" w:oddVBand="0" w:evenVBand="0" w:oddHBand="0" w:evenHBand="0" w:firstRowFirstColumn="0" w:firstRowLastColumn="0" w:lastRowFirstColumn="0" w:lastRowLastColumn="0"/>
            <w:tcW w:w="496" w:type="dxa"/>
            <w:vMerge/>
            <w:tcBorders>
              <w:left w:val="single" w:sz="0" w:space="0" w:color="FFFFFF" w:themeColor="background1"/>
            </w:tcBorders>
            <w:vAlign w:val="center"/>
          </w:tcPr>
          <w:p w14:paraId="1CA3EC10" w14:textId="77777777" w:rsidR="00EC2F31" w:rsidRDefault="00EC2F31" w:rsidP="00A6302C">
            <w:pPr>
              <w:jc w:val="center"/>
            </w:pPr>
          </w:p>
        </w:tc>
        <w:tc>
          <w:tcPr>
            <w:tcW w:w="2652" w:type="dxa"/>
            <w:gridSpan w:val="2"/>
            <w:vAlign w:val="center"/>
          </w:tcPr>
          <w:p w14:paraId="57A3E120" w14:textId="77777777" w:rsidR="00EC2F31"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F9: Relación de Procesos Judiciales</w:t>
            </w:r>
          </w:p>
        </w:tc>
        <w:tc>
          <w:tcPr>
            <w:tcW w:w="2188" w:type="dxa"/>
            <w:vAlign w:val="center"/>
          </w:tcPr>
          <w:p w14:paraId="4500751F" w14:textId="77777777" w:rsidR="00EC2F31"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Técnico Operativo Grado 12</w:t>
            </w:r>
          </w:p>
        </w:tc>
        <w:tc>
          <w:tcPr>
            <w:tcW w:w="4024" w:type="dxa"/>
            <w:vAlign w:val="center"/>
          </w:tcPr>
          <w:p w14:paraId="3D9A00B3" w14:textId="77777777" w:rsidR="00EC2F31"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Semestralmente</w:t>
            </w:r>
          </w:p>
          <w:p w14:paraId="5819B615" w14:textId="77777777" w:rsidR="00EC2F31" w:rsidRDefault="00EC2F31" w:rsidP="00A6302C">
            <w:pPr>
              <w:jc w:val="center"/>
              <w:cnfStyle w:val="000000100000" w:firstRow="0" w:lastRow="0" w:firstColumn="0" w:lastColumn="0" w:oddVBand="0" w:evenVBand="0" w:oddHBand="1"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Se realiza a través del formulario SIRECI de la Contraloría General de la República</w:t>
            </w:r>
          </w:p>
        </w:tc>
      </w:tr>
      <w:tr w:rsidR="00EC2F31" w14:paraId="0DEED31C" w14:textId="77777777" w:rsidTr="00A6302C">
        <w:trPr>
          <w:trHeight w:val="990"/>
        </w:trPr>
        <w:tc>
          <w:tcPr>
            <w:cnfStyle w:val="001000000000" w:firstRow="0" w:lastRow="0" w:firstColumn="1" w:lastColumn="0" w:oddVBand="0" w:evenVBand="0" w:oddHBand="0" w:evenHBand="0" w:firstRowFirstColumn="0" w:firstRowLastColumn="0" w:lastRowFirstColumn="0" w:lastRowLastColumn="0"/>
            <w:tcW w:w="496" w:type="dxa"/>
            <w:vMerge/>
            <w:tcBorders>
              <w:top w:val="single" w:sz="0" w:space="0" w:color="FFFFFF" w:themeColor="background1"/>
              <w:left w:val="single" w:sz="0" w:space="0" w:color="FFFFFF" w:themeColor="background1"/>
            </w:tcBorders>
            <w:vAlign w:val="center"/>
          </w:tcPr>
          <w:p w14:paraId="42140DBB" w14:textId="77777777" w:rsidR="00EC2F31" w:rsidRDefault="00EC2F31" w:rsidP="00A6302C">
            <w:pPr>
              <w:jc w:val="center"/>
            </w:pPr>
          </w:p>
        </w:tc>
        <w:tc>
          <w:tcPr>
            <w:tcW w:w="2652" w:type="dxa"/>
            <w:gridSpan w:val="2"/>
            <w:vAlign w:val="center"/>
          </w:tcPr>
          <w:p w14:paraId="165F94E1" w14:textId="77777777" w:rsidR="00EC2F31"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Formato reporte de novedades</w:t>
            </w:r>
          </w:p>
        </w:tc>
        <w:tc>
          <w:tcPr>
            <w:tcW w:w="2188" w:type="dxa"/>
            <w:vAlign w:val="center"/>
          </w:tcPr>
          <w:p w14:paraId="6BDF3C53" w14:textId="77777777" w:rsidR="00EC2F31"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Técnico Operativo Grado 12</w:t>
            </w:r>
          </w:p>
        </w:tc>
        <w:tc>
          <w:tcPr>
            <w:tcW w:w="4024" w:type="dxa"/>
            <w:vAlign w:val="center"/>
          </w:tcPr>
          <w:p w14:paraId="6E1A2C05" w14:textId="77777777" w:rsidR="00EC2F31"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Semestralmente</w:t>
            </w:r>
          </w:p>
          <w:p w14:paraId="7D179CFF" w14:textId="77777777" w:rsidR="00EC2F31" w:rsidRDefault="00EC2F31" w:rsidP="00A6302C">
            <w:pPr>
              <w:jc w:val="cente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0B5FBFBE">
              <w:rPr>
                <w:rFonts w:eastAsia="Arial" w:cs="Arial"/>
                <w:color w:val="000000" w:themeColor="text1"/>
                <w:sz w:val="22"/>
                <w:szCs w:val="22"/>
                <w:lang w:val="es-MX"/>
              </w:rPr>
              <w:t>Circular Contraloría General de la República</w:t>
            </w:r>
          </w:p>
        </w:tc>
      </w:tr>
    </w:tbl>
    <w:p w14:paraId="1E257F03" w14:textId="77777777" w:rsidR="00EC2F31" w:rsidRPr="00BB662F" w:rsidRDefault="00EC2F31" w:rsidP="00EC2F31">
      <w:pPr>
        <w:jc w:val="center"/>
        <w:rPr>
          <w:rFonts w:eastAsia="Arial" w:cs="Arial"/>
          <w:b/>
          <w:color w:val="000000" w:themeColor="text1"/>
          <w:sz w:val="16"/>
          <w:szCs w:val="20"/>
        </w:rPr>
      </w:pPr>
      <w:r w:rsidRPr="00BB662F">
        <w:rPr>
          <w:rFonts w:eastAsia="Arial" w:cs="Arial"/>
          <w:b/>
          <w:color w:val="000000" w:themeColor="text1"/>
          <w:sz w:val="16"/>
          <w:szCs w:val="20"/>
        </w:rPr>
        <w:t>Fuente: Oficina Asesora Jurídica</w:t>
      </w:r>
    </w:p>
    <w:p w14:paraId="1F866584" w14:textId="77777777" w:rsidR="00EC2F31" w:rsidRDefault="00EC2F31" w:rsidP="00EC2F31">
      <w:pPr>
        <w:spacing w:after="160"/>
        <w:ind w:left="360"/>
        <w:jc w:val="both"/>
        <w:rPr>
          <w:rFonts w:eastAsia="Arial" w:cs="Arial"/>
          <w:color w:val="000000" w:themeColor="text1"/>
          <w:sz w:val="22"/>
          <w:szCs w:val="22"/>
        </w:rPr>
      </w:pPr>
    </w:p>
    <w:p w14:paraId="01F1411D" w14:textId="77777777" w:rsidR="00EC2F31" w:rsidRDefault="00EC2F31" w:rsidP="00EC2F31">
      <w:pPr>
        <w:pStyle w:val="Lista"/>
      </w:pPr>
    </w:p>
    <w:p w14:paraId="1F5BA5F1" w14:textId="77777777" w:rsidR="00EC2F31" w:rsidRDefault="00EC2F31" w:rsidP="00A6302C">
      <w:pPr>
        <w:pStyle w:val="Prrafodelista"/>
        <w:numPr>
          <w:ilvl w:val="2"/>
          <w:numId w:val="22"/>
        </w:numPr>
        <w:rPr>
          <w:b/>
          <w:bCs/>
          <w:sz w:val="22"/>
          <w:szCs w:val="22"/>
        </w:rPr>
      </w:pPr>
      <w:r w:rsidRPr="31FF9146">
        <w:rPr>
          <w:b/>
          <w:bCs/>
          <w:sz w:val="22"/>
          <w:szCs w:val="22"/>
        </w:rPr>
        <w:lastRenderedPageBreak/>
        <w:t>RECOMENDACIONES</w:t>
      </w:r>
    </w:p>
    <w:p w14:paraId="19F9CF12" w14:textId="77777777" w:rsidR="00EC2F31" w:rsidRPr="009B3727" w:rsidRDefault="00EC2F31" w:rsidP="00EC2F31">
      <w:pPr>
        <w:pStyle w:val="Lista"/>
      </w:pPr>
    </w:p>
    <w:p w14:paraId="1F8998B8" w14:textId="77777777" w:rsidR="00EC2F31" w:rsidRPr="002D2F11" w:rsidRDefault="00EC2F31" w:rsidP="000A20EE">
      <w:pPr>
        <w:pStyle w:val="Prrafodelista"/>
        <w:numPr>
          <w:ilvl w:val="0"/>
          <w:numId w:val="178"/>
        </w:numPr>
        <w:spacing w:after="160"/>
        <w:rPr>
          <w:rFonts w:eastAsia="Arial" w:cs="Arial"/>
          <w:color w:val="000000" w:themeColor="text1"/>
          <w:sz w:val="22"/>
          <w:szCs w:val="22"/>
        </w:rPr>
      </w:pPr>
      <w:r w:rsidRPr="05DC53A7">
        <w:rPr>
          <w:rFonts w:eastAsia="Arial" w:cs="Arial"/>
          <w:color w:val="000000" w:themeColor="text1"/>
          <w:sz w:val="22"/>
          <w:szCs w:val="22"/>
          <w:lang w:val="es-CO"/>
        </w:rPr>
        <w:t xml:space="preserve">El proceso de Gestión Jurídica cuenta con el reto de mantener su equipo jurídico fortalecido para continuar en la labor de modernización de las gestiones: actualización de la documentación de procesos judiciales, extrajudiciales, tutelas, convenios y contratos de ingreso, tanto de manera física como digital. </w:t>
      </w:r>
    </w:p>
    <w:p w14:paraId="7CB480A4" w14:textId="77777777" w:rsidR="00EC2F31" w:rsidRPr="002D2F11" w:rsidRDefault="00EC2F31" w:rsidP="000A20EE">
      <w:pPr>
        <w:pStyle w:val="Prrafodelista"/>
        <w:numPr>
          <w:ilvl w:val="0"/>
          <w:numId w:val="178"/>
        </w:numPr>
        <w:spacing w:after="160"/>
        <w:rPr>
          <w:rFonts w:eastAsia="Arial" w:cs="Arial"/>
          <w:color w:val="000000" w:themeColor="text1"/>
          <w:sz w:val="22"/>
          <w:szCs w:val="22"/>
        </w:rPr>
      </w:pPr>
      <w:r w:rsidRPr="05DC53A7">
        <w:rPr>
          <w:rFonts w:eastAsia="Arial" w:cs="Arial"/>
          <w:color w:val="000000" w:themeColor="text1"/>
          <w:sz w:val="22"/>
          <w:szCs w:val="22"/>
          <w:lang w:val="es-CO"/>
        </w:rPr>
        <w:t xml:space="preserve">Asimismo, debe continuar con la actualización de la plataforma eKOGUI para contar con un sistema que refleje la realidad de los procesos judiciales y extrajudiciales que cursan a favor y en contra de la Entidad. </w:t>
      </w:r>
    </w:p>
    <w:p w14:paraId="33B7FD74" w14:textId="77777777" w:rsidR="00EC2F31" w:rsidRPr="002D2F11" w:rsidRDefault="00EC2F31" w:rsidP="000A20EE">
      <w:pPr>
        <w:pStyle w:val="Prrafodelista"/>
        <w:numPr>
          <w:ilvl w:val="0"/>
          <w:numId w:val="178"/>
        </w:numPr>
        <w:spacing w:after="160"/>
        <w:rPr>
          <w:rFonts w:eastAsia="Arial" w:cs="Arial"/>
          <w:color w:val="000000" w:themeColor="text1"/>
          <w:sz w:val="22"/>
          <w:szCs w:val="22"/>
        </w:rPr>
      </w:pPr>
      <w:r w:rsidRPr="05DC53A7">
        <w:rPr>
          <w:rFonts w:eastAsia="Arial" w:cs="Arial"/>
          <w:color w:val="000000" w:themeColor="text1"/>
          <w:sz w:val="22"/>
          <w:szCs w:val="22"/>
          <w:lang w:val="es-CO"/>
        </w:rPr>
        <w:t>Se recomienda proseguir con el proceso de actualización documental y socialización de los instrumentos con los demás abogados y funcionarios de la Entidad, a fin de prevenir el daño antijurídico. De igual forma, debe darse continuidad a la actualización periódica de las políticas de prevención de daño antijurídico.</w:t>
      </w:r>
    </w:p>
    <w:p w14:paraId="348317F1" w14:textId="77777777" w:rsidR="00EC2F31" w:rsidRDefault="00EC2F31" w:rsidP="000A20EE">
      <w:pPr>
        <w:pStyle w:val="Prrafodelista"/>
        <w:numPr>
          <w:ilvl w:val="0"/>
          <w:numId w:val="178"/>
        </w:numPr>
        <w:spacing w:after="160"/>
        <w:rPr>
          <w:rFonts w:eastAsia="Arial" w:cs="Arial"/>
          <w:color w:val="000000" w:themeColor="text1"/>
          <w:sz w:val="22"/>
          <w:szCs w:val="22"/>
          <w:lang w:val="es-CO"/>
        </w:rPr>
      </w:pPr>
      <w:r w:rsidRPr="31FF9146">
        <w:rPr>
          <w:rFonts w:eastAsia="Arial" w:cs="Arial"/>
          <w:color w:val="000000" w:themeColor="text1"/>
          <w:sz w:val="22"/>
          <w:szCs w:val="22"/>
          <w:lang w:val="es-CO"/>
        </w:rPr>
        <w:t>Se recomienda contratar profesionales con el fin de soportar la gestión en defensa judicial, así como personal de apoyo en materia de gestión documental con la finalidad de actualizar la documentación de la Oficina Asesora Jurídica en su totalidad.</w:t>
      </w:r>
    </w:p>
    <w:p w14:paraId="243A595C" w14:textId="77777777" w:rsidR="00EC2F31" w:rsidRDefault="00EC2F31" w:rsidP="00EC2F31">
      <w:pPr>
        <w:pStyle w:val="Lista"/>
        <w:rPr>
          <w:rFonts w:eastAsia="Arial"/>
          <w:lang w:val="es-CO"/>
        </w:rPr>
      </w:pPr>
    </w:p>
    <w:p w14:paraId="6D82EBF8" w14:textId="77777777" w:rsidR="00EC2F31" w:rsidRDefault="00EC2F31" w:rsidP="00EC2F31">
      <w:pPr>
        <w:pStyle w:val="Lista"/>
        <w:rPr>
          <w:rFonts w:eastAsia="Arial"/>
          <w:lang w:val="es-CO"/>
        </w:rPr>
      </w:pPr>
    </w:p>
    <w:p w14:paraId="52A38938" w14:textId="77777777" w:rsidR="00EC2F31" w:rsidRDefault="00EC2F31" w:rsidP="00EC2F31">
      <w:pPr>
        <w:pStyle w:val="Lista"/>
        <w:rPr>
          <w:rFonts w:eastAsia="Arial"/>
          <w:lang w:val="es-CO"/>
        </w:rPr>
      </w:pPr>
    </w:p>
    <w:p w14:paraId="66D41A8F" w14:textId="77777777" w:rsidR="00EC2F31" w:rsidRDefault="00EC2F31" w:rsidP="00EC2F31">
      <w:pPr>
        <w:pStyle w:val="Lista"/>
        <w:rPr>
          <w:rFonts w:eastAsia="Arial"/>
          <w:lang w:val="es-CO"/>
        </w:rPr>
      </w:pPr>
    </w:p>
    <w:p w14:paraId="720BCB65" w14:textId="77777777" w:rsidR="00EC2F31" w:rsidRDefault="00EC2F31" w:rsidP="00EC2F31">
      <w:pPr>
        <w:pStyle w:val="Lista"/>
        <w:rPr>
          <w:rFonts w:eastAsia="Arial"/>
          <w:lang w:val="es-CO"/>
        </w:rPr>
      </w:pPr>
    </w:p>
    <w:p w14:paraId="4986CDAA" w14:textId="77777777" w:rsidR="00EC2F31" w:rsidRDefault="00EC2F31" w:rsidP="00EC2F31">
      <w:pPr>
        <w:pStyle w:val="Lista"/>
        <w:rPr>
          <w:rFonts w:eastAsia="Arial"/>
          <w:lang w:val="es-CO"/>
        </w:rPr>
      </w:pPr>
    </w:p>
    <w:p w14:paraId="538CC2DB" w14:textId="77777777" w:rsidR="00EC2F31" w:rsidRDefault="00EC2F31" w:rsidP="00EC2F31">
      <w:pPr>
        <w:pStyle w:val="Lista"/>
        <w:rPr>
          <w:rFonts w:eastAsia="Arial"/>
          <w:lang w:val="es-CO"/>
        </w:rPr>
      </w:pPr>
    </w:p>
    <w:p w14:paraId="5A1C2C11" w14:textId="77777777" w:rsidR="00EC2F31" w:rsidRDefault="00EC2F31" w:rsidP="00EC2F31">
      <w:pPr>
        <w:pStyle w:val="Lista"/>
        <w:rPr>
          <w:rFonts w:eastAsia="Arial"/>
          <w:lang w:val="es-CO"/>
        </w:rPr>
      </w:pPr>
    </w:p>
    <w:p w14:paraId="05D36038" w14:textId="77777777" w:rsidR="00EC2F31" w:rsidRDefault="00EC2F31" w:rsidP="00EC2F31">
      <w:pPr>
        <w:pStyle w:val="Lista"/>
        <w:rPr>
          <w:rFonts w:eastAsia="Arial"/>
          <w:lang w:val="es-CO"/>
        </w:rPr>
      </w:pPr>
    </w:p>
    <w:p w14:paraId="191F083B" w14:textId="77777777" w:rsidR="00EC2F31" w:rsidRDefault="00EC2F31" w:rsidP="00EC2F31">
      <w:pPr>
        <w:pStyle w:val="Lista"/>
        <w:rPr>
          <w:rFonts w:eastAsia="Arial"/>
          <w:lang w:val="es-CO"/>
        </w:rPr>
      </w:pPr>
    </w:p>
    <w:p w14:paraId="568B88A3" w14:textId="77777777" w:rsidR="00EC2F31" w:rsidRDefault="00EC2F31" w:rsidP="00EC2F31">
      <w:pPr>
        <w:pStyle w:val="Lista"/>
        <w:rPr>
          <w:rFonts w:eastAsia="Arial"/>
          <w:lang w:val="es-CO"/>
        </w:rPr>
      </w:pPr>
    </w:p>
    <w:p w14:paraId="4205C0D0" w14:textId="77777777" w:rsidR="00EC2F31" w:rsidRDefault="00EC2F31" w:rsidP="00EC2F31">
      <w:pPr>
        <w:pStyle w:val="Lista"/>
        <w:rPr>
          <w:rFonts w:eastAsia="Arial"/>
          <w:lang w:val="es-CO"/>
        </w:rPr>
      </w:pPr>
    </w:p>
    <w:p w14:paraId="71C2BF1B" w14:textId="77777777" w:rsidR="00EC2F31" w:rsidRDefault="00EC2F31" w:rsidP="00EC2F31">
      <w:pPr>
        <w:pStyle w:val="Lista"/>
        <w:rPr>
          <w:rFonts w:eastAsia="Arial"/>
          <w:lang w:val="es-CO"/>
        </w:rPr>
      </w:pPr>
    </w:p>
    <w:p w14:paraId="572A5CF4" w14:textId="77777777" w:rsidR="00EC2F31" w:rsidRDefault="00EC2F31" w:rsidP="00EC2F31">
      <w:pPr>
        <w:pStyle w:val="Lista"/>
        <w:rPr>
          <w:rFonts w:eastAsia="Arial"/>
          <w:lang w:val="es-CO"/>
        </w:rPr>
      </w:pPr>
    </w:p>
    <w:p w14:paraId="0F3CD715" w14:textId="77777777" w:rsidR="00EC2F31" w:rsidRDefault="00EC2F31" w:rsidP="00EC2F31">
      <w:pPr>
        <w:pStyle w:val="Lista"/>
        <w:rPr>
          <w:rFonts w:eastAsia="Arial"/>
          <w:lang w:val="es-CO"/>
        </w:rPr>
      </w:pPr>
    </w:p>
    <w:p w14:paraId="2C13FD53" w14:textId="77777777" w:rsidR="00EC2F31" w:rsidRDefault="00EC2F31" w:rsidP="00EC2F31">
      <w:pPr>
        <w:pStyle w:val="Lista"/>
        <w:rPr>
          <w:rFonts w:eastAsia="Arial"/>
          <w:lang w:val="es-CO"/>
        </w:rPr>
      </w:pPr>
    </w:p>
    <w:p w14:paraId="15EA1194" w14:textId="77777777" w:rsidR="00EC2F31" w:rsidRDefault="00EC2F31" w:rsidP="00EC2F31">
      <w:pPr>
        <w:pStyle w:val="Lista"/>
        <w:rPr>
          <w:rFonts w:eastAsia="Arial"/>
          <w:lang w:val="es-CO"/>
        </w:rPr>
      </w:pPr>
    </w:p>
    <w:p w14:paraId="4FB105A0" w14:textId="77777777" w:rsidR="00EC2F31" w:rsidRDefault="00EC2F31" w:rsidP="00EC2F31">
      <w:pPr>
        <w:pStyle w:val="Lista"/>
        <w:rPr>
          <w:rFonts w:eastAsia="Arial"/>
          <w:lang w:val="es-CO"/>
        </w:rPr>
      </w:pPr>
    </w:p>
    <w:p w14:paraId="5531A111" w14:textId="77777777" w:rsidR="00EC2F31" w:rsidRDefault="00EC2F31" w:rsidP="00EC2F31">
      <w:pPr>
        <w:pStyle w:val="Lista"/>
        <w:rPr>
          <w:rFonts w:eastAsia="Arial"/>
          <w:lang w:val="es-CO"/>
        </w:rPr>
      </w:pPr>
    </w:p>
    <w:p w14:paraId="6BFCF020" w14:textId="77777777" w:rsidR="00EC2F31" w:rsidRDefault="00EC2F31" w:rsidP="00EC2F31">
      <w:pPr>
        <w:pStyle w:val="Lista"/>
        <w:rPr>
          <w:rFonts w:eastAsia="Arial"/>
          <w:lang w:val="es-CO"/>
        </w:rPr>
      </w:pPr>
    </w:p>
    <w:p w14:paraId="6194EB7E" w14:textId="77777777" w:rsidR="00EC2F31" w:rsidRDefault="00EC2F31" w:rsidP="00EC2F31">
      <w:pPr>
        <w:pStyle w:val="Lista"/>
        <w:rPr>
          <w:rFonts w:eastAsia="Arial"/>
          <w:lang w:val="es-CO"/>
        </w:rPr>
      </w:pPr>
    </w:p>
    <w:p w14:paraId="291B21F5" w14:textId="77777777" w:rsidR="00EC2F31" w:rsidRDefault="00EC2F31" w:rsidP="00EC2F31">
      <w:pPr>
        <w:pStyle w:val="Lista"/>
        <w:rPr>
          <w:rFonts w:eastAsia="Arial"/>
          <w:lang w:val="es-CO"/>
        </w:rPr>
      </w:pPr>
    </w:p>
    <w:p w14:paraId="10F27E09" w14:textId="77777777" w:rsidR="00EC2F31" w:rsidRDefault="00EC2F31" w:rsidP="00EC2F31">
      <w:pPr>
        <w:pStyle w:val="Lista"/>
        <w:rPr>
          <w:rFonts w:eastAsia="Arial"/>
          <w:lang w:val="es-CO"/>
        </w:rPr>
      </w:pPr>
    </w:p>
    <w:p w14:paraId="41D9E46E" w14:textId="77777777" w:rsidR="00EC2F31" w:rsidRDefault="00EC2F31" w:rsidP="00EC2F31">
      <w:pPr>
        <w:pStyle w:val="Lista"/>
        <w:rPr>
          <w:rFonts w:eastAsia="Arial"/>
          <w:lang w:val="es-CO"/>
        </w:rPr>
      </w:pPr>
    </w:p>
    <w:p w14:paraId="5F1D1C89" w14:textId="77777777" w:rsidR="00EC2F31" w:rsidRDefault="00EC2F31" w:rsidP="00EC2F31">
      <w:pPr>
        <w:pStyle w:val="Lista"/>
        <w:rPr>
          <w:rFonts w:eastAsia="Arial"/>
          <w:lang w:val="es-CO"/>
        </w:rPr>
      </w:pPr>
    </w:p>
    <w:p w14:paraId="7ADCA608" w14:textId="77777777" w:rsidR="00EC2F31" w:rsidRDefault="00EC2F31" w:rsidP="00EC2F31">
      <w:pPr>
        <w:pStyle w:val="Lista"/>
        <w:rPr>
          <w:rFonts w:eastAsia="Arial"/>
          <w:lang w:val="es-CO"/>
        </w:rPr>
      </w:pPr>
    </w:p>
    <w:p w14:paraId="7DDA812E" w14:textId="77777777" w:rsidR="00EC2F31" w:rsidRDefault="00EC2F31" w:rsidP="00EC2F31">
      <w:pPr>
        <w:pStyle w:val="Lista"/>
        <w:rPr>
          <w:rFonts w:eastAsia="Arial"/>
          <w:lang w:val="es-CO"/>
        </w:rPr>
      </w:pPr>
    </w:p>
    <w:p w14:paraId="429AC0B7" w14:textId="77777777" w:rsidR="00EC2F31" w:rsidRDefault="00EC2F31" w:rsidP="00EC2F31">
      <w:pPr>
        <w:pStyle w:val="Lista"/>
        <w:rPr>
          <w:rFonts w:eastAsia="Arial"/>
          <w:lang w:val="es-CO"/>
        </w:rPr>
      </w:pPr>
    </w:p>
    <w:p w14:paraId="45E001D3" w14:textId="77777777" w:rsidR="00EC2F31" w:rsidRDefault="00EC2F31" w:rsidP="00EC2F31">
      <w:pPr>
        <w:pStyle w:val="Lista"/>
        <w:rPr>
          <w:rFonts w:eastAsia="Arial"/>
          <w:lang w:val="es-CO"/>
        </w:rPr>
      </w:pPr>
    </w:p>
    <w:p w14:paraId="3DB2D139" w14:textId="77777777" w:rsidR="00EC2F31" w:rsidRDefault="00EC2F31" w:rsidP="00EC2F31">
      <w:pPr>
        <w:pStyle w:val="Lista"/>
        <w:rPr>
          <w:rFonts w:eastAsia="Arial"/>
          <w:lang w:val="es-CO"/>
        </w:rPr>
      </w:pPr>
    </w:p>
    <w:p w14:paraId="10113BD2" w14:textId="4549BF7F" w:rsidR="00EC2F31" w:rsidRDefault="00EC2F31" w:rsidP="00EC2F31">
      <w:pPr>
        <w:pStyle w:val="Lista"/>
        <w:rPr>
          <w:rFonts w:eastAsia="Arial"/>
          <w:lang w:val="es-CO"/>
        </w:rPr>
      </w:pPr>
    </w:p>
    <w:p w14:paraId="39443A09" w14:textId="77777777" w:rsidR="00A6302C" w:rsidRDefault="00A6302C" w:rsidP="00EC2F31">
      <w:pPr>
        <w:pStyle w:val="Lista"/>
        <w:rPr>
          <w:rFonts w:eastAsia="Arial"/>
          <w:lang w:val="es-CO"/>
        </w:rPr>
      </w:pPr>
    </w:p>
    <w:p w14:paraId="491A380F" w14:textId="7E68FA93" w:rsidR="008278E7" w:rsidRDefault="008278E7" w:rsidP="00C72779">
      <w:pPr>
        <w:jc w:val="both"/>
        <w:textAlignment w:val="baseline"/>
        <w:rPr>
          <w:rFonts w:ascii="Segoe UI" w:hAnsi="Segoe UI" w:cs="Segoe UI"/>
          <w:sz w:val="22"/>
          <w:szCs w:val="22"/>
          <w:lang w:eastAsia="es-CO"/>
        </w:rPr>
      </w:pPr>
    </w:p>
    <w:p w14:paraId="1C61C407" w14:textId="77777777" w:rsidR="00591623" w:rsidRDefault="00591623" w:rsidP="00C72779">
      <w:pPr>
        <w:jc w:val="both"/>
        <w:textAlignment w:val="baseline"/>
        <w:rPr>
          <w:rFonts w:ascii="Segoe UI" w:hAnsi="Segoe UI" w:cs="Segoe UI"/>
          <w:sz w:val="22"/>
          <w:szCs w:val="22"/>
          <w:lang w:eastAsia="es-CO"/>
        </w:rPr>
      </w:pPr>
    </w:p>
    <w:p w14:paraId="4E2BE82B" w14:textId="77777777" w:rsidR="31FF9146" w:rsidRDefault="31FF9146" w:rsidP="31FF9146">
      <w:pPr>
        <w:rPr>
          <w:rFonts w:eastAsia="Arial" w:cs="Arial"/>
          <w:b/>
          <w:bCs/>
          <w:sz w:val="22"/>
          <w:szCs w:val="22"/>
          <w:lang w:val="es"/>
        </w:rPr>
      </w:pPr>
    </w:p>
    <w:p w14:paraId="1D5660EE" w14:textId="15D14030" w:rsidR="00A6302C" w:rsidRPr="00A6302C" w:rsidRDefault="6D224D23" w:rsidP="00A6302C">
      <w:pPr>
        <w:pStyle w:val="Prrafodelista"/>
        <w:numPr>
          <w:ilvl w:val="1"/>
          <w:numId w:val="22"/>
        </w:numPr>
        <w:rPr>
          <w:sz w:val="22"/>
          <w:szCs w:val="22"/>
        </w:rPr>
      </w:pPr>
      <w:r w:rsidRPr="00A6302C">
        <w:rPr>
          <w:rFonts w:eastAsia="Arial" w:cs="Arial"/>
          <w:b/>
          <w:bCs/>
          <w:sz w:val="22"/>
          <w:szCs w:val="22"/>
          <w:lang w:val="es"/>
        </w:rPr>
        <w:lastRenderedPageBreak/>
        <w:t>OFICINA ASESORA DE COMUNICACIONES</w:t>
      </w:r>
    </w:p>
    <w:p w14:paraId="2B0A4D47" w14:textId="3EAE8554" w:rsidR="7A093B91" w:rsidRPr="00A6302C" w:rsidRDefault="6D224D23" w:rsidP="00A6302C">
      <w:pPr>
        <w:pStyle w:val="Prrafodelista"/>
        <w:numPr>
          <w:ilvl w:val="2"/>
          <w:numId w:val="22"/>
        </w:numPr>
        <w:rPr>
          <w:rFonts w:eastAsia="Arial" w:cs="Arial"/>
          <w:b/>
          <w:bCs/>
          <w:sz w:val="22"/>
          <w:szCs w:val="22"/>
        </w:rPr>
      </w:pPr>
      <w:r w:rsidRPr="00A6302C">
        <w:rPr>
          <w:rFonts w:eastAsia="Arial" w:cs="Arial"/>
          <w:b/>
          <w:bCs/>
          <w:sz w:val="22"/>
          <w:szCs w:val="22"/>
        </w:rPr>
        <w:t>GENERALIDADES</w:t>
      </w:r>
    </w:p>
    <w:p w14:paraId="454356A3" w14:textId="5F985808" w:rsidR="11273FAF" w:rsidRPr="009B3727" w:rsidRDefault="11273FAF" w:rsidP="00C72779">
      <w:pPr>
        <w:pStyle w:val="Lista"/>
        <w:rPr>
          <w:sz w:val="22"/>
          <w:szCs w:val="22"/>
        </w:rPr>
      </w:pPr>
    </w:p>
    <w:p w14:paraId="435F8DBF" w14:textId="77777777" w:rsidR="6D224D23" w:rsidRPr="009B3727" w:rsidRDefault="6D224D23" w:rsidP="00C72779">
      <w:pPr>
        <w:jc w:val="both"/>
        <w:rPr>
          <w:sz w:val="22"/>
          <w:szCs w:val="22"/>
        </w:rPr>
      </w:pPr>
      <w:r w:rsidRPr="11273FAF">
        <w:rPr>
          <w:rFonts w:eastAsia="Arial" w:cs="Arial"/>
          <w:sz w:val="22"/>
          <w:szCs w:val="22"/>
          <w:lang w:val="es"/>
        </w:rPr>
        <w:t xml:space="preserve">La actual Oficina Asesora de Comunicaciones, viene trabajando desde hace año y medio, con una nueva estrategia basada en los lineamientos de la modernización del IGAC; y </w:t>
      </w:r>
      <w:r w:rsidRPr="11273FAF">
        <w:rPr>
          <w:rFonts w:eastAsia="Arial" w:cs="Arial"/>
          <w:sz w:val="22"/>
          <w:szCs w:val="22"/>
          <w:lang w:val="es-MX"/>
        </w:rPr>
        <w:t>orientados, a posicionar a la entidad, como una institución que genera valor constante y que contribuye al desarrollo del país a través de su gestión proactiva, oportuna y asertiva en sus comunicaciones.</w:t>
      </w:r>
    </w:p>
    <w:p w14:paraId="43CDACC2" w14:textId="77777777" w:rsidR="6D224D23" w:rsidRPr="009B3727" w:rsidRDefault="6D224D23" w:rsidP="00C72779">
      <w:pPr>
        <w:jc w:val="both"/>
        <w:rPr>
          <w:sz w:val="22"/>
          <w:szCs w:val="22"/>
        </w:rPr>
      </w:pPr>
      <w:r w:rsidRPr="11273FAF">
        <w:rPr>
          <w:rFonts w:eastAsia="Arial" w:cs="Arial"/>
          <w:sz w:val="22"/>
          <w:szCs w:val="22"/>
          <w:lang w:val="es"/>
        </w:rPr>
        <w:t xml:space="preserve"> </w:t>
      </w:r>
    </w:p>
    <w:p w14:paraId="4469562F" w14:textId="77777777" w:rsidR="6D224D23" w:rsidRPr="009B3727" w:rsidRDefault="6D224D23" w:rsidP="00C72779">
      <w:pPr>
        <w:jc w:val="both"/>
        <w:rPr>
          <w:sz w:val="22"/>
          <w:szCs w:val="22"/>
        </w:rPr>
      </w:pPr>
      <w:r w:rsidRPr="11273FAF">
        <w:rPr>
          <w:rFonts w:eastAsia="Arial" w:cs="Arial"/>
          <w:sz w:val="22"/>
          <w:szCs w:val="22"/>
          <w:lang w:val="es"/>
        </w:rPr>
        <w:t xml:space="preserve">Teniendo en cuenta lo anterior, la Oficina Asesora de Comunicaciones, es entonces el puente entre la gestión, los productos y servicios que presta el IGAC, y los colombianos. Así mismo, elabora e implementa las estrategias de comunicación, tanto interna como externa, orientadas a fortalecer el relacionamiento institucional. </w:t>
      </w:r>
    </w:p>
    <w:p w14:paraId="181C1C66" w14:textId="77777777" w:rsidR="6D224D23" w:rsidRPr="009B3727" w:rsidRDefault="6D224D23" w:rsidP="00C72779">
      <w:pPr>
        <w:jc w:val="both"/>
        <w:rPr>
          <w:sz w:val="22"/>
          <w:szCs w:val="22"/>
        </w:rPr>
      </w:pPr>
      <w:r w:rsidRPr="11273FAF">
        <w:rPr>
          <w:rFonts w:eastAsia="Arial" w:cs="Arial"/>
          <w:sz w:val="22"/>
          <w:szCs w:val="22"/>
          <w:lang w:val="es"/>
        </w:rPr>
        <w:t xml:space="preserve"> </w:t>
      </w:r>
    </w:p>
    <w:p w14:paraId="097A27EF" w14:textId="77777777" w:rsidR="6D224D23" w:rsidRPr="009B3727" w:rsidRDefault="6D224D23" w:rsidP="00C72779">
      <w:pPr>
        <w:jc w:val="both"/>
        <w:rPr>
          <w:sz w:val="22"/>
          <w:szCs w:val="22"/>
        </w:rPr>
      </w:pPr>
      <w:r w:rsidRPr="11273FAF">
        <w:rPr>
          <w:rFonts w:eastAsia="Arial" w:cs="Arial"/>
          <w:sz w:val="22"/>
          <w:szCs w:val="22"/>
          <w:lang w:val="es"/>
        </w:rPr>
        <w:t xml:space="preserve">Es importante resaltar que la estrategia de divulgación y comercialización del IGAC, se alineó con las metas establecidas en el Pacto por la Descentralización: </w:t>
      </w:r>
      <w:r w:rsidRPr="11273FAF">
        <w:rPr>
          <w:rFonts w:eastAsia="Arial" w:cs="Arial"/>
          <w:i/>
          <w:iCs/>
          <w:sz w:val="22"/>
          <w:szCs w:val="22"/>
          <w:lang w:val="es"/>
        </w:rPr>
        <w:t>conectar territorios, gobiernos y poblaciones, con el Pacto por una Gestión Pública Efectiva, con miras a brindar, información útil a los ciudadanos para el buen desarrollo de estos objetivos, teniendo en cuenta a los diversos grupos de interés y a la totalidad del territorio</w:t>
      </w:r>
      <w:r w:rsidRPr="11273FAF">
        <w:rPr>
          <w:rFonts w:eastAsia="Arial" w:cs="Arial"/>
          <w:sz w:val="22"/>
          <w:szCs w:val="22"/>
          <w:lang w:val="es"/>
        </w:rPr>
        <w:t xml:space="preserve">. </w:t>
      </w:r>
    </w:p>
    <w:p w14:paraId="2E5ABC1D" w14:textId="77777777" w:rsidR="6D224D23" w:rsidRPr="009B3727" w:rsidRDefault="6D224D23" w:rsidP="00C72779">
      <w:pPr>
        <w:jc w:val="both"/>
        <w:rPr>
          <w:sz w:val="22"/>
          <w:szCs w:val="22"/>
        </w:rPr>
      </w:pPr>
      <w:r w:rsidRPr="11273FAF">
        <w:rPr>
          <w:rFonts w:eastAsia="Arial" w:cs="Arial"/>
          <w:sz w:val="22"/>
          <w:szCs w:val="22"/>
          <w:lang w:val="es"/>
        </w:rPr>
        <w:t xml:space="preserve"> </w:t>
      </w:r>
    </w:p>
    <w:p w14:paraId="3E77EC12" w14:textId="5F19CF79" w:rsidR="00A6302C" w:rsidRPr="00A6302C" w:rsidRDefault="00A6302C" w:rsidP="00A6302C">
      <w:pPr>
        <w:pStyle w:val="Prrafodelista"/>
        <w:numPr>
          <w:ilvl w:val="3"/>
          <w:numId w:val="22"/>
        </w:numPr>
        <w:rPr>
          <w:rFonts w:eastAsia="Arial" w:cs="Arial"/>
          <w:b/>
          <w:bCs/>
          <w:sz w:val="22"/>
          <w:szCs w:val="22"/>
        </w:rPr>
      </w:pPr>
      <w:r w:rsidRPr="00A6302C">
        <w:rPr>
          <w:rFonts w:eastAsia="Arial" w:cs="Arial"/>
          <w:b/>
          <w:bCs/>
          <w:sz w:val="22"/>
          <w:szCs w:val="22"/>
        </w:rPr>
        <w:t>PRINCIPALES FUNCIONES</w:t>
      </w:r>
    </w:p>
    <w:p w14:paraId="22EFC4A3" w14:textId="77777777" w:rsidR="11273FAF" w:rsidRPr="009B3727" w:rsidRDefault="11273FAF" w:rsidP="00C72779">
      <w:pPr>
        <w:jc w:val="both"/>
        <w:rPr>
          <w:b/>
          <w:sz w:val="22"/>
          <w:szCs w:val="22"/>
        </w:rPr>
      </w:pPr>
    </w:p>
    <w:p w14:paraId="635762C6" w14:textId="77777777" w:rsidR="6D224D23" w:rsidRPr="009B3727" w:rsidRDefault="6D224D23" w:rsidP="00C72779">
      <w:pPr>
        <w:jc w:val="both"/>
        <w:rPr>
          <w:sz w:val="22"/>
          <w:szCs w:val="22"/>
        </w:rPr>
      </w:pPr>
      <w:r w:rsidRPr="009B3727">
        <w:rPr>
          <w:rFonts w:eastAsia="Arial" w:cs="Arial"/>
          <w:sz w:val="22"/>
          <w:szCs w:val="22"/>
          <w:lang w:val="es"/>
        </w:rPr>
        <w:t xml:space="preserve">Según el Decreto 846 de julio de 2021, las principales funciones de la oficina son siguientes:  </w:t>
      </w:r>
    </w:p>
    <w:p w14:paraId="2A7543A9" w14:textId="77777777" w:rsidR="4AF797C7" w:rsidRDefault="4AF797C7" w:rsidP="00C72779">
      <w:pPr>
        <w:jc w:val="both"/>
        <w:rPr>
          <w:lang w:val="es"/>
        </w:rPr>
      </w:pPr>
    </w:p>
    <w:p w14:paraId="6FB17C4A"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 xml:space="preserve">Proponer y ejecutar la política de comunicación interna y externa y de relacionamiento estratégico del Instituto, para la divulgación de la información a nivel nacional, territorial e internacional, bajo las directrices del director general. </w:t>
      </w:r>
    </w:p>
    <w:p w14:paraId="06FA112E"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 xml:space="preserve">Formular y ejecutar el Plan Estratégico Institucional de Comunicaciones y los planes de acción que se requieran, de acuerdo con la naturaleza, objetivo y funciones del Instituto. </w:t>
      </w:r>
    </w:p>
    <w:p w14:paraId="4271D393"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 xml:space="preserve">Dar lineamiento sobre el uso de la imagen institucional con el objetivo de desarrollarla, posicionarla, mantenerla y garantizar estándares de calidad en todas las instancias en las que haya presencia del Instituto. </w:t>
      </w:r>
    </w:p>
    <w:p w14:paraId="23CE7B48"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 xml:space="preserve">Asesorar y coordinar las relaciones con los medios de comunicación nacional e internacional, para mantener espacios abiertos de divulgación de los planes, acciones y gestión del instituto. </w:t>
      </w:r>
    </w:p>
    <w:p w14:paraId="435C3A92"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 xml:space="preserve">Preparar y adelantar los trámites para la publicación de la información generada por las distintas dependencias del Instituto en los medios de comunicación, bajo las directrices del director general. </w:t>
      </w:r>
    </w:p>
    <w:p w14:paraId="443FBC78"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Adelantar, en coordinación con las demás dependencias del Instituto, campañas de difusión y socialización de la oferta de servicios de la Entidad, que garanticen el acceso oportuno a su información.</w:t>
      </w:r>
    </w:p>
    <w:p w14:paraId="5C2E21BB"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Promover el uso, análisis y explotación de los productos catastrales en coordinación con la Dirección de Gestión Catastral.</w:t>
      </w:r>
    </w:p>
    <w:p w14:paraId="70D0F07A" w14:textId="77777777" w:rsidR="12D20A13" w:rsidRDefault="12D20A13" w:rsidP="000A20EE">
      <w:pPr>
        <w:pStyle w:val="Prrafodelista"/>
        <w:numPr>
          <w:ilvl w:val="0"/>
          <w:numId w:val="150"/>
        </w:numPr>
        <w:rPr>
          <w:rFonts w:eastAsia="Arial" w:cs="Arial"/>
          <w:sz w:val="22"/>
          <w:szCs w:val="22"/>
        </w:rPr>
      </w:pPr>
      <w:r w:rsidRPr="4AF797C7">
        <w:rPr>
          <w:rFonts w:eastAsia="Arial" w:cs="Arial"/>
          <w:sz w:val="22"/>
          <w:szCs w:val="22"/>
          <w:lang w:val="es"/>
        </w:rPr>
        <w:t>Orientar al Director General en el manejo de las relaciones con los medios de comunicación y demás sectores de la opinión pública a nivel nacional e internacional.</w:t>
      </w:r>
    </w:p>
    <w:p w14:paraId="1AA66797" w14:textId="7C3946B2" w:rsidR="12D20A13" w:rsidRDefault="12D20A13" w:rsidP="000A20EE">
      <w:pPr>
        <w:pStyle w:val="Prrafodelista"/>
        <w:numPr>
          <w:ilvl w:val="0"/>
          <w:numId w:val="150"/>
        </w:numPr>
        <w:rPr>
          <w:rFonts w:eastAsia="Arial" w:cs="Arial"/>
          <w:sz w:val="22"/>
          <w:szCs w:val="22"/>
          <w:lang w:val="es"/>
        </w:rPr>
      </w:pPr>
      <w:r w:rsidRPr="4AF797C7">
        <w:rPr>
          <w:rFonts w:eastAsia="Arial" w:cs="Arial"/>
          <w:sz w:val="22"/>
          <w:szCs w:val="22"/>
          <w:lang w:val="es"/>
        </w:rPr>
        <w:t>Diseñar y administrar los contenidos de la página web del Instituto, según las directrices que imparta el Ministerio de Tecnologías de la Información y las Comunicaciones y los demás canales digitales de comunicación.</w:t>
      </w:r>
    </w:p>
    <w:p w14:paraId="3C5A1087" w14:textId="6638DA3D" w:rsidR="00A6302C" w:rsidRDefault="00A6302C" w:rsidP="00A6302C">
      <w:pPr>
        <w:pStyle w:val="Lista"/>
        <w:rPr>
          <w:rFonts w:eastAsia="Arial"/>
          <w:lang w:val="es"/>
        </w:rPr>
      </w:pPr>
    </w:p>
    <w:p w14:paraId="2E195624" w14:textId="77777777" w:rsidR="00A6302C" w:rsidRPr="00A6302C" w:rsidRDefault="00A6302C" w:rsidP="00A6302C">
      <w:pPr>
        <w:pStyle w:val="Lista"/>
        <w:rPr>
          <w:rFonts w:eastAsia="Arial"/>
          <w:lang w:val="es"/>
        </w:rPr>
      </w:pPr>
    </w:p>
    <w:p w14:paraId="7CE0DBA7" w14:textId="77777777" w:rsidR="6D224D23" w:rsidRDefault="6D224D23" w:rsidP="00C72779">
      <w:pPr>
        <w:jc w:val="both"/>
      </w:pPr>
      <w:r w:rsidRPr="4AF797C7">
        <w:rPr>
          <w:rFonts w:eastAsia="Arial" w:cs="Arial"/>
          <w:sz w:val="22"/>
          <w:szCs w:val="22"/>
          <w:lang w:val="es"/>
        </w:rPr>
        <w:t xml:space="preserve"> </w:t>
      </w:r>
    </w:p>
    <w:p w14:paraId="595780AA" w14:textId="77777777" w:rsidR="00FA70AB" w:rsidRDefault="00FA70AB" w:rsidP="00FA70AB">
      <w:pPr>
        <w:jc w:val="both"/>
        <w:rPr>
          <w:rFonts w:eastAsia="Arial" w:cs="Arial"/>
          <w:b/>
          <w:bCs/>
          <w:color w:val="000000" w:themeColor="text1"/>
          <w:sz w:val="22"/>
          <w:szCs w:val="22"/>
          <w:lang w:val="es"/>
        </w:rPr>
      </w:pPr>
      <w:r w:rsidRPr="11273FAF">
        <w:rPr>
          <w:rFonts w:eastAsia="Arial" w:cs="Arial"/>
          <w:b/>
          <w:bCs/>
          <w:color w:val="000000" w:themeColor="text1"/>
          <w:sz w:val="22"/>
          <w:szCs w:val="22"/>
          <w:lang w:val="es"/>
        </w:rPr>
        <w:lastRenderedPageBreak/>
        <w:t xml:space="preserve">4.11.1.2 </w:t>
      </w:r>
      <w:r>
        <w:rPr>
          <w:rFonts w:eastAsia="Arial" w:cs="Arial"/>
          <w:b/>
          <w:bCs/>
          <w:color w:val="000000" w:themeColor="text1"/>
          <w:sz w:val="22"/>
          <w:szCs w:val="22"/>
          <w:lang w:val="es"/>
        </w:rPr>
        <w:t>ESTRUCTURA FUNCIONAL DE LA OFICINA ASESORA DE COMUNICACIONES</w:t>
      </w:r>
    </w:p>
    <w:p w14:paraId="0CEFE249" w14:textId="77777777" w:rsidR="00FA70AB" w:rsidRPr="009B3727" w:rsidRDefault="00FA70AB" w:rsidP="00FA70AB">
      <w:pPr>
        <w:jc w:val="center"/>
        <w:rPr>
          <w:rFonts w:eastAsia="Arial" w:cs="Arial"/>
          <w:b/>
          <w:bCs/>
          <w:color w:val="000000" w:themeColor="text1"/>
          <w:sz w:val="16"/>
          <w:szCs w:val="22"/>
          <w:lang w:val="es"/>
        </w:rPr>
      </w:pPr>
    </w:p>
    <w:p w14:paraId="5769B792" w14:textId="43B0A3AA" w:rsidR="00FA70AB" w:rsidRPr="00A6302C" w:rsidRDefault="00A6302C" w:rsidP="00A6302C">
      <w:pPr>
        <w:pStyle w:val="Descripcin"/>
        <w:jc w:val="center"/>
        <w:rPr>
          <w:rFonts w:ascii="Arial" w:hAnsi="Arial" w:cs="Arial"/>
          <w:b/>
          <w:i w:val="0"/>
          <w:color w:val="000000" w:themeColor="text1"/>
          <w:sz w:val="16"/>
        </w:rPr>
      </w:pPr>
      <w:bookmarkStart w:id="208" w:name="_Toc88677226"/>
      <w:r w:rsidRPr="00A6302C">
        <w:rPr>
          <w:rFonts w:ascii="Arial" w:hAnsi="Arial" w:cs="Arial"/>
          <w:b/>
          <w:i w:val="0"/>
          <w:color w:val="000000" w:themeColor="text1"/>
          <w:sz w:val="16"/>
        </w:rPr>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70</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Estructura Funcional OAC</w:t>
      </w:r>
      <w:bookmarkEnd w:id="208"/>
    </w:p>
    <w:p w14:paraId="0DB44D56" w14:textId="77777777" w:rsidR="00FA70AB" w:rsidRDefault="00FA70AB" w:rsidP="00FA70AB">
      <w:pPr>
        <w:jc w:val="center"/>
      </w:pPr>
      <w:r>
        <w:rPr>
          <w:noProof/>
          <w:lang w:val="es-CO" w:eastAsia="es-CO"/>
        </w:rPr>
        <w:drawing>
          <wp:inline distT="0" distB="0" distL="0" distR="0" wp14:anchorId="19DDC3FC" wp14:editId="6BB45031">
            <wp:extent cx="4572000" cy="2657475"/>
            <wp:effectExtent l="0" t="0" r="0" b="0"/>
            <wp:docPr id="14" name="Picture 1674817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8">
                      <a:extLst>
                        <a:ext uri="{28A0092B-C50C-407E-A947-70E740481C1C}">
                          <a14:useLocalDpi xmlns:a14="http://schemas.microsoft.com/office/drawing/2010/main" val="0"/>
                        </a:ext>
                      </a:extLst>
                    </a:blip>
                    <a:stretch>
                      <a:fillRect/>
                    </a:stretch>
                  </pic:blipFill>
                  <pic:spPr>
                    <a:xfrm>
                      <a:off x="0" y="0"/>
                      <a:ext cx="4572000" cy="2657475"/>
                    </a:xfrm>
                    <a:prstGeom prst="rect">
                      <a:avLst/>
                    </a:prstGeom>
                  </pic:spPr>
                </pic:pic>
              </a:graphicData>
            </a:graphic>
          </wp:inline>
        </w:drawing>
      </w:r>
    </w:p>
    <w:p w14:paraId="590781EE" w14:textId="77777777" w:rsidR="00FA70AB" w:rsidRPr="009B3727" w:rsidRDefault="00FA70AB" w:rsidP="00FA70AB">
      <w:pPr>
        <w:jc w:val="both"/>
        <w:rPr>
          <w:b/>
          <w:sz w:val="22"/>
        </w:rPr>
      </w:pPr>
      <w:r w:rsidRPr="11273FAF">
        <w:rPr>
          <w:rFonts w:eastAsia="Arial" w:cs="Arial"/>
          <w:sz w:val="22"/>
          <w:szCs w:val="22"/>
          <w:lang w:val="es"/>
        </w:rPr>
        <w:t xml:space="preserve"> </w:t>
      </w:r>
    </w:p>
    <w:p w14:paraId="10106F51" w14:textId="77777777" w:rsidR="00FA70AB" w:rsidRPr="009B3727" w:rsidRDefault="00FA70AB" w:rsidP="00FA70AB">
      <w:pPr>
        <w:jc w:val="center"/>
        <w:rPr>
          <w:b/>
          <w:sz w:val="22"/>
        </w:rPr>
      </w:pPr>
      <w:r w:rsidRPr="009B3727">
        <w:rPr>
          <w:rFonts w:eastAsia="Arial" w:cs="Arial"/>
          <w:b/>
          <w:bCs/>
          <w:sz w:val="16"/>
          <w:szCs w:val="18"/>
          <w:lang w:val="es"/>
        </w:rPr>
        <w:t>Fuente:</w:t>
      </w:r>
      <w:r w:rsidRPr="009B3727">
        <w:rPr>
          <w:rFonts w:eastAsia="Arial" w:cs="Arial"/>
          <w:b/>
          <w:sz w:val="16"/>
          <w:szCs w:val="18"/>
          <w:lang w:val="es"/>
        </w:rPr>
        <w:t xml:space="preserve"> Oficina Asesora de Comunicaciones</w:t>
      </w:r>
    </w:p>
    <w:p w14:paraId="618B2075" w14:textId="77777777" w:rsidR="00FA70AB" w:rsidRPr="009B3727" w:rsidRDefault="00FA70AB" w:rsidP="00FA70AB">
      <w:pPr>
        <w:jc w:val="both"/>
        <w:rPr>
          <w:b/>
          <w:sz w:val="22"/>
        </w:rPr>
      </w:pPr>
      <w:r w:rsidRPr="009B3727">
        <w:rPr>
          <w:rFonts w:eastAsia="Arial" w:cs="Arial"/>
          <w:b/>
          <w:sz w:val="20"/>
          <w:szCs w:val="22"/>
          <w:lang w:val="es"/>
        </w:rPr>
        <w:t xml:space="preserve"> </w:t>
      </w:r>
    </w:p>
    <w:p w14:paraId="316924E3" w14:textId="77777777" w:rsidR="00FA70AB" w:rsidRDefault="00FA70AB" w:rsidP="00FA70AB">
      <w:pPr>
        <w:jc w:val="both"/>
      </w:pPr>
      <w:r>
        <w:rPr>
          <w:rFonts w:eastAsia="Arial" w:cs="Arial"/>
          <w:b/>
          <w:bCs/>
          <w:sz w:val="22"/>
          <w:szCs w:val="22"/>
          <w:lang w:val="es"/>
        </w:rPr>
        <w:t>4.11.1.2.1 EQUIPOS Y ROLES</w:t>
      </w:r>
    </w:p>
    <w:p w14:paraId="29B8E006" w14:textId="77777777" w:rsidR="6D224D23" w:rsidRDefault="6D224D23" w:rsidP="00C72779">
      <w:pPr>
        <w:jc w:val="both"/>
      </w:pPr>
      <w:r w:rsidRPr="11273FAF">
        <w:rPr>
          <w:rFonts w:eastAsia="Arial" w:cs="Arial"/>
          <w:b/>
          <w:bCs/>
          <w:sz w:val="22"/>
          <w:szCs w:val="22"/>
          <w:lang w:val="es"/>
        </w:rPr>
        <w:t xml:space="preserve"> </w:t>
      </w:r>
    </w:p>
    <w:p w14:paraId="34770B90" w14:textId="77777777" w:rsidR="6D224D23" w:rsidRDefault="6D224D23" w:rsidP="00C72779">
      <w:pPr>
        <w:jc w:val="both"/>
      </w:pPr>
      <w:r w:rsidRPr="11273FAF">
        <w:rPr>
          <w:rFonts w:eastAsia="Arial" w:cs="Arial"/>
          <w:sz w:val="22"/>
          <w:szCs w:val="22"/>
          <w:lang w:val="es-MX"/>
        </w:rPr>
        <w:t>La Oficina Asesora de Comunicaciones está integrada por 10 profesionales, ocho de ellos son contratistas y dos, funcionarios; los cuales, tienen a cargo los siguientes roles de acuerdo al subproceso que impactan:</w:t>
      </w:r>
    </w:p>
    <w:p w14:paraId="09423C59" w14:textId="4F1090EA" w:rsidR="00FA70AB" w:rsidRPr="00A6302C" w:rsidRDefault="6D224D23" w:rsidP="00A6302C">
      <w:pPr>
        <w:jc w:val="both"/>
        <w:rPr>
          <w:rFonts w:eastAsia="Arial" w:cs="Arial"/>
          <w:sz w:val="22"/>
          <w:szCs w:val="22"/>
          <w:lang w:val="es-MX"/>
        </w:rPr>
      </w:pPr>
      <w:r w:rsidRPr="11273FAF">
        <w:rPr>
          <w:rFonts w:eastAsia="Arial" w:cs="Arial"/>
          <w:sz w:val="22"/>
          <w:szCs w:val="22"/>
          <w:lang w:val="es-MX"/>
        </w:rPr>
        <w:t xml:space="preserve"> </w:t>
      </w:r>
    </w:p>
    <w:tbl>
      <w:tblPr>
        <w:tblW w:w="9361" w:type="dxa"/>
        <w:tblLayout w:type="fixed"/>
        <w:tblLook w:val="04A0" w:firstRow="1" w:lastRow="0" w:firstColumn="1" w:lastColumn="0" w:noHBand="0" w:noVBand="1"/>
      </w:tblPr>
      <w:tblGrid>
        <w:gridCol w:w="691"/>
        <w:gridCol w:w="1920"/>
        <w:gridCol w:w="4869"/>
        <w:gridCol w:w="1881"/>
      </w:tblGrid>
      <w:tr w:rsidR="00FA70AB" w14:paraId="31A610D6" w14:textId="77777777" w:rsidTr="00A6302C">
        <w:trPr>
          <w:trHeight w:val="330"/>
          <w:tblHeader/>
        </w:trPr>
        <w:tc>
          <w:tcPr>
            <w:tcW w:w="691" w:type="dxa"/>
            <w:tcBorders>
              <w:top w:val="single" w:sz="8" w:space="0" w:color="4F81BD" w:themeColor="accent1"/>
              <w:left w:val="single" w:sz="8" w:space="0" w:color="4F81BD" w:themeColor="accent1"/>
              <w:bottom w:val="single" w:sz="8" w:space="0" w:color="4F81BD" w:themeColor="accent1"/>
              <w:right w:val="nil"/>
            </w:tcBorders>
            <w:shd w:val="clear" w:color="auto" w:fill="4F81BD" w:themeFill="accent1"/>
            <w:vAlign w:val="center"/>
          </w:tcPr>
          <w:p w14:paraId="4D11CA0B" w14:textId="77777777" w:rsidR="00FA70AB" w:rsidRDefault="00FA70AB" w:rsidP="00A6302C">
            <w:pPr>
              <w:jc w:val="center"/>
            </w:pPr>
            <w:r w:rsidRPr="11273FAF">
              <w:rPr>
                <w:rFonts w:eastAsia="Arial" w:cs="Arial"/>
                <w:b/>
                <w:bCs/>
                <w:color w:val="FFFFFF" w:themeColor="background1"/>
                <w:sz w:val="20"/>
                <w:szCs w:val="20"/>
                <w:lang w:val="es"/>
              </w:rPr>
              <w:t>Cant</w:t>
            </w:r>
          </w:p>
        </w:tc>
        <w:tc>
          <w:tcPr>
            <w:tcW w:w="1920" w:type="dxa"/>
            <w:tcBorders>
              <w:top w:val="single" w:sz="8" w:space="0" w:color="4F81BD" w:themeColor="accent1"/>
              <w:left w:val="nil"/>
              <w:bottom w:val="single" w:sz="8" w:space="0" w:color="4F81BD" w:themeColor="accent1"/>
              <w:right w:val="nil"/>
            </w:tcBorders>
            <w:shd w:val="clear" w:color="auto" w:fill="4F81BD" w:themeFill="accent1"/>
            <w:vAlign w:val="center"/>
          </w:tcPr>
          <w:p w14:paraId="3E80EC2D" w14:textId="77777777" w:rsidR="00FA70AB" w:rsidRDefault="00FA70AB" w:rsidP="00A6302C">
            <w:pPr>
              <w:jc w:val="center"/>
            </w:pPr>
            <w:r w:rsidRPr="11273FAF">
              <w:rPr>
                <w:rFonts w:eastAsia="Arial" w:cs="Arial"/>
                <w:b/>
                <w:bCs/>
                <w:color w:val="FFFFFF" w:themeColor="background1"/>
                <w:sz w:val="20"/>
                <w:szCs w:val="20"/>
                <w:lang w:val="es"/>
              </w:rPr>
              <w:t>Funcionario o Contratista</w:t>
            </w:r>
          </w:p>
        </w:tc>
        <w:tc>
          <w:tcPr>
            <w:tcW w:w="4869" w:type="dxa"/>
            <w:tcBorders>
              <w:top w:val="single" w:sz="8" w:space="0" w:color="4F81BD" w:themeColor="accent1"/>
              <w:left w:val="nil"/>
              <w:bottom w:val="single" w:sz="8" w:space="0" w:color="4F81BD" w:themeColor="accent1"/>
              <w:right w:val="nil"/>
            </w:tcBorders>
            <w:shd w:val="clear" w:color="auto" w:fill="4F81BD" w:themeFill="accent1"/>
            <w:vAlign w:val="center"/>
          </w:tcPr>
          <w:p w14:paraId="72F14E90" w14:textId="77777777" w:rsidR="00FA70AB" w:rsidRDefault="00FA70AB" w:rsidP="00A6302C">
            <w:pPr>
              <w:jc w:val="center"/>
            </w:pPr>
            <w:r w:rsidRPr="11273FAF">
              <w:rPr>
                <w:rFonts w:eastAsia="Arial" w:cs="Arial"/>
                <w:b/>
                <w:bCs/>
                <w:color w:val="FFFFFF" w:themeColor="background1"/>
                <w:sz w:val="20"/>
                <w:szCs w:val="20"/>
                <w:lang w:val="es"/>
              </w:rPr>
              <w:t>Rol</w:t>
            </w:r>
          </w:p>
        </w:tc>
        <w:tc>
          <w:tcPr>
            <w:tcW w:w="1881" w:type="dxa"/>
            <w:tcBorders>
              <w:top w:val="single" w:sz="8" w:space="0" w:color="4F81BD" w:themeColor="accent1"/>
              <w:left w:val="nil"/>
              <w:bottom w:val="single" w:sz="8" w:space="0" w:color="4F81BD" w:themeColor="accent1"/>
              <w:right w:val="single" w:sz="8" w:space="0" w:color="4F81BD" w:themeColor="accent1"/>
            </w:tcBorders>
            <w:shd w:val="clear" w:color="auto" w:fill="4F81BD" w:themeFill="accent1"/>
            <w:vAlign w:val="center"/>
          </w:tcPr>
          <w:p w14:paraId="2E5FF0CF" w14:textId="77777777" w:rsidR="00FA70AB" w:rsidRDefault="00FA70AB" w:rsidP="00A6302C">
            <w:pPr>
              <w:jc w:val="center"/>
            </w:pPr>
            <w:r w:rsidRPr="11273FAF">
              <w:rPr>
                <w:rFonts w:eastAsia="Arial" w:cs="Arial"/>
                <w:b/>
                <w:bCs/>
                <w:color w:val="FFFFFF" w:themeColor="background1"/>
                <w:sz w:val="20"/>
                <w:szCs w:val="20"/>
                <w:lang w:val="es"/>
              </w:rPr>
              <w:t>Subproceso</w:t>
            </w:r>
          </w:p>
        </w:tc>
      </w:tr>
      <w:tr w:rsidR="00FA70AB" w14:paraId="257FF069" w14:textId="77777777" w:rsidTr="00A6302C">
        <w:trPr>
          <w:trHeight w:val="1125"/>
        </w:trPr>
        <w:tc>
          <w:tcPr>
            <w:tcW w:w="69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AE0C133"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2B60AB1A" w14:textId="77777777" w:rsidR="00FA70AB" w:rsidRDefault="00FA70AB" w:rsidP="00A6302C">
            <w:pPr>
              <w:jc w:val="center"/>
            </w:pPr>
            <w:r w:rsidRPr="11273FAF">
              <w:rPr>
                <w:rFonts w:eastAsia="Arial" w:cs="Arial"/>
                <w:b/>
                <w:bCs/>
                <w:sz w:val="18"/>
                <w:szCs w:val="18"/>
                <w:lang w:val="es-MX"/>
              </w:rPr>
              <w:t>Jefe de la Oficina Asesora de Comunicaciones</w:t>
            </w:r>
          </w:p>
          <w:p w14:paraId="3690DBAA" w14:textId="77777777" w:rsidR="00FA70AB" w:rsidRDefault="00FA70AB" w:rsidP="00A6302C">
            <w:pPr>
              <w:jc w:val="center"/>
            </w:pPr>
          </w:p>
        </w:tc>
        <w:tc>
          <w:tcPr>
            <w:tcW w:w="486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E47CCB7"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rPr>
              <w:t>Definir, concretar y ejecutar la estrategia de comunicaciones internas y externas de la entidad.</w:t>
            </w:r>
          </w:p>
          <w:p w14:paraId="53857F04"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Asesorar a la Dirección General, y a las diferentes áreas del instituto, en el manejo de la imagen institucional y la marca IGAC.</w:t>
            </w:r>
          </w:p>
          <w:p w14:paraId="4366A414"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Fortalecer los procesos de relacionamiento y las alianzas con los medios de comunicación del país.</w:t>
            </w:r>
          </w:p>
          <w:p w14:paraId="53B1751F"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Administrar el presupuesto de la oficina, para garantizar el cumplimiento del plan estratégico de comunicaciones.</w:t>
            </w:r>
          </w:p>
          <w:p w14:paraId="59E708A4"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Fomentar la colaboración en el equipo de comunicaciones para obtener un buen desarrollo en las estrategias planteadas</w:t>
            </w:r>
          </w:p>
          <w:p w14:paraId="0F436861"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Diseñar el manual de crisis de la institución</w:t>
            </w:r>
          </w:p>
          <w:p w14:paraId="2807FAD3"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Evaluar constantemente los resultados obtenidos con el objetivo de mejorar o corregir, si es el caso, las estrategias planteadas inicialmente.</w:t>
            </w:r>
          </w:p>
          <w:p w14:paraId="552E4339" w14:textId="77777777" w:rsidR="00FA70AB" w:rsidRDefault="00FA70AB" w:rsidP="000A20EE">
            <w:pPr>
              <w:pStyle w:val="Prrafodelista"/>
              <w:numPr>
                <w:ilvl w:val="0"/>
                <w:numId w:val="149"/>
              </w:numPr>
              <w:rPr>
                <w:rFonts w:eastAsia="Arial" w:cs="Arial"/>
                <w:sz w:val="18"/>
                <w:szCs w:val="18"/>
              </w:rPr>
            </w:pPr>
            <w:r w:rsidRPr="11273FAF">
              <w:rPr>
                <w:rFonts w:eastAsia="Arial" w:cs="Arial"/>
                <w:sz w:val="18"/>
                <w:szCs w:val="18"/>
                <w:lang w:val="es-MX"/>
              </w:rPr>
              <w:t>Certificar una comunicación efectiva, oportuna y transparente.</w:t>
            </w:r>
          </w:p>
        </w:tc>
        <w:tc>
          <w:tcPr>
            <w:tcW w:w="188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AD5C1FD"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w:t>
            </w:r>
          </w:p>
        </w:tc>
      </w:tr>
      <w:tr w:rsidR="00FA70AB" w14:paraId="419ECDC3" w14:textId="77777777" w:rsidTr="00A6302C">
        <w:trPr>
          <w:trHeight w:val="112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836BC65" w14:textId="77777777" w:rsidR="00FA70AB" w:rsidRDefault="00FA70AB" w:rsidP="00A6302C">
            <w:pPr>
              <w:jc w:val="center"/>
            </w:pPr>
            <w:r w:rsidRPr="11273FAF">
              <w:rPr>
                <w:rFonts w:eastAsia="Arial" w:cs="Arial"/>
                <w:color w:val="000000" w:themeColor="text1"/>
                <w:sz w:val="18"/>
                <w:szCs w:val="18"/>
                <w:lang w:val="es"/>
              </w:rPr>
              <w:lastRenderedPageBreak/>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6E636C6" w14:textId="77777777" w:rsidR="00FA70AB" w:rsidRDefault="00FA70AB" w:rsidP="00A6302C">
            <w:pPr>
              <w:jc w:val="center"/>
            </w:pPr>
            <w:r w:rsidRPr="11273FAF">
              <w:rPr>
                <w:rFonts w:eastAsia="Arial" w:cs="Arial"/>
                <w:b/>
                <w:bCs/>
                <w:sz w:val="18"/>
                <w:szCs w:val="18"/>
                <w:lang w:val="es-MX"/>
              </w:rPr>
              <w:t>Profesional especializado en comunicación externa</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8D019BA"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Redactar columnas de opinión para los medios de comunicación aliados, con temas relevantes del IGAC.</w:t>
            </w:r>
          </w:p>
          <w:p w14:paraId="1277DF92"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Redacción de noticias.</w:t>
            </w:r>
          </w:p>
          <w:p w14:paraId="1BC8A634"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Escribir las palabras y discursos para eventos, foros, conferencias, entre otros, de la Dirección General.</w:t>
            </w:r>
          </w:p>
          <w:p w14:paraId="7B9CDB46"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Realizar la corrección de estilo de documentos técnicos, académicos y comunicados, etc., que salen a los diferentes públicos internos y externos.</w:t>
            </w:r>
          </w:p>
          <w:p w14:paraId="4B950A16"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Proyectar planes de medios para las diferentes campañas de información con temas relevantes del IGAC a los colombianos.</w:t>
            </w:r>
          </w:p>
          <w:p w14:paraId="2FB0B8FF" w14:textId="77777777" w:rsidR="00FA70AB" w:rsidRDefault="00FA70AB" w:rsidP="000A20EE">
            <w:pPr>
              <w:pStyle w:val="Prrafodelista"/>
              <w:numPr>
                <w:ilvl w:val="0"/>
                <w:numId w:val="148"/>
              </w:numPr>
              <w:rPr>
                <w:rFonts w:eastAsia="Arial" w:cs="Arial"/>
                <w:sz w:val="18"/>
                <w:szCs w:val="18"/>
              </w:rPr>
            </w:pPr>
            <w:r w:rsidRPr="11273FAF">
              <w:rPr>
                <w:rFonts w:eastAsia="Arial" w:cs="Arial"/>
                <w:sz w:val="18"/>
                <w:szCs w:val="18"/>
              </w:rPr>
              <w:t>Grabar la voz en off para videos internos y externos, comerciales y radio.</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29B5E1A9"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tc>
      </w:tr>
      <w:tr w:rsidR="00FA70AB" w14:paraId="731ADAD1" w14:textId="77777777" w:rsidTr="00A6302C">
        <w:trPr>
          <w:trHeight w:val="1260"/>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448829E"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CC79387" w14:textId="77777777" w:rsidR="00FA70AB" w:rsidRDefault="00FA70AB" w:rsidP="00A6302C">
            <w:pPr>
              <w:jc w:val="center"/>
            </w:pPr>
            <w:r w:rsidRPr="11273FAF">
              <w:rPr>
                <w:rFonts w:eastAsia="Arial" w:cs="Arial"/>
                <w:b/>
                <w:bCs/>
                <w:sz w:val="18"/>
                <w:szCs w:val="18"/>
                <w:lang w:val="es-MX"/>
              </w:rPr>
              <w:t>Profesional especializado página web y monitoreo</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F73A1B9" w14:textId="77777777" w:rsidR="00FA70AB" w:rsidRDefault="00FA70AB" w:rsidP="000A20EE">
            <w:pPr>
              <w:pStyle w:val="Prrafodelista"/>
              <w:numPr>
                <w:ilvl w:val="0"/>
                <w:numId w:val="147"/>
              </w:numPr>
              <w:rPr>
                <w:rFonts w:eastAsia="Arial" w:cs="Arial"/>
                <w:sz w:val="18"/>
                <w:szCs w:val="18"/>
              </w:rPr>
            </w:pPr>
            <w:r w:rsidRPr="11273FAF">
              <w:rPr>
                <w:rFonts w:eastAsia="Arial" w:cs="Arial"/>
                <w:sz w:val="18"/>
                <w:szCs w:val="18"/>
              </w:rPr>
              <w:t>Redactar noticias con los temas relevantes del IGAC.</w:t>
            </w:r>
          </w:p>
          <w:p w14:paraId="520FFD77" w14:textId="77777777" w:rsidR="00FA70AB" w:rsidRDefault="00FA70AB" w:rsidP="000A20EE">
            <w:pPr>
              <w:pStyle w:val="Prrafodelista"/>
              <w:numPr>
                <w:ilvl w:val="0"/>
                <w:numId w:val="147"/>
              </w:numPr>
              <w:rPr>
                <w:rFonts w:eastAsia="Arial" w:cs="Arial"/>
                <w:sz w:val="18"/>
                <w:szCs w:val="18"/>
              </w:rPr>
            </w:pPr>
            <w:r w:rsidRPr="11273FAF">
              <w:rPr>
                <w:rFonts w:eastAsia="Arial" w:cs="Arial"/>
                <w:sz w:val="18"/>
                <w:szCs w:val="18"/>
              </w:rPr>
              <w:t>Proyectar las relaciones públicas con medios de comunicación</w:t>
            </w:r>
          </w:p>
          <w:p w14:paraId="4A7B8E1B" w14:textId="77777777" w:rsidR="00FA70AB" w:rsidRDefault="00FA70AB" w:rsidP="000A20EE">
            <w:pPr>
              <w:pStyle w:val="Prrafodelista"/>
              <w:numPr>
                <w:ilvl w:val="0"/>
                <w:numId w:val="147"/>
              </w:numPr>
              <w:rPr>
                <w:rFonts w:eastAsia="Arial" w:cs="Arial"/>
                <w:sz w:val="18"/>
                <w:szCs w:val="18"/>
              </w:rPr>
            </w:pPr>
            <w:r w:rsidRPr="11273FAF">
              <w:rPr>
                <w:rFonts w:eastAsia="Arial" w:cs="Arial"/>
                <w:sz w:val="18"/>
                <w:szCs w:val="18"/>
              </w:rPr>
              <w:t>Actualizar la página web con los requerimientos que realizan a nivel nacional</w:t>
            </w:r>
          </w:p>
          <w:p w14:paraId="01076D6A" w14:textId="77777777" w:rsidR="00FA70AB" w:rsidRDefault="00FA70AB" w:rsidP="000A20EE">
            <w:pPr>
              <w:pStyle w:val="Prrafodelista"/>
              <w:numPr>
                <w:ilvl w:val="0"/>
                <w:numId w:val="147"/>
              </w:numPr>
              <w:rPr>
                <w:rFonts w:eastAsia="Arial" w:cs="Arial"/>
                <w:sz w:val="18"/>
                <w:szCs w:val="18"/>
              </w:rPr>
            </w:pPr>
            <w:r w:rsidRPr="11273FAF">
              <w:rPr>
                <w:rFonts w:eastAsia="Arial" w:cs="Arial"/>
                <w:sz w:val="18"/>
                <w:szCs w:val="18"/>
              </w:rPr>
              <w:t>Cubrir Noticias de las diferentes áreas.</w:t>
            </w:r>
          </w:p>
          <w:p w14:paraId="14FD398D" w14:textId="77777777" w:rsidR="00FA70AB" w:rsidRDefault="00FA70AB" w:rsidP="000A20EE">
            <w:pPr>
              <w:pStyle w:val="Prrafodelista"/>
              <w:numPr>
                <w:ilvl w:val="0"/>
                <w:numId w:val="147"/>
              </w:numPr>
              <w:rPr>
                <w:rFonts w:eastAsia="Arial" w:cs="Arial"/>
                <w:color w:val="212121"/>
                <w:sz w:val="18"/>
                <w:szCs w:val="18"/>
              </w:rPr>
            </w:pPr>
            <w:r w:rsidRPr="11273FAF">
              <w:rPr>
                <w:rFonts w:eastAsia="Arial" w:cs="Arial"/>
                <w:color w:val="212121"/>
                <w:sz w:val="18"/>
                <w:szCs w:val="18"/>
              </w:rPr>
              <w:t>Hacer monitoreos constantes sobre las noticias en las que se habla del IGAC.</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519598FC"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tc>
      </w:tr>
      <w:tr w:rsidR="00FA70AB" w14:paraId="2328BD92" w14:textId="77777777" w:rsidTr="00A6302C">
        <w:trPr>
          <w:trHeight w:val="52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8496F39"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43CBBBD" w14:textId="77777777" w:rsidR="00FA70AB" w:rsidRDefault="00FA70AB" w:rsidP="00A6302C">
            <w:pPr>
              <w:jc w:val="center"/>
            </w:pPr>
            <w:r w:rsidRPr="11273FAF">
              <w:rPr>
                <w:rFonts w:eastAsia="Arial" w:cs="Arial"/>
                <w:b/>
                <w:bCs/>
                <w:sz w:val="18"/>
                <w:szCs w:val="18"/>
                <w:lang w:val="es-MX"/>
              </w:rPr>
              <w:t>Profesional community manager</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08FB404B" w14:textId="77777777" w:rsidR="00FA70AB" w:rsidRDefault="00FA70AB" w:rsidP="000A20EE">
            <w:pPr>
              <w:pStyle w:val="Prrafodelista"/>
              <w:numPr>
                <w:ilvl w:val="0"/>
                <w:numId w:val="146"/>
              </w:numPr>
              <w:rPr>
                <w:rFonts w:eastAsia="Arial" w:cs="Arial"/>
                <w:color w:val="212121"/>
                <w:sz w:val="18"/>
                <w:szCs w:val="18"/>
              </w:rPr>
            </w:pPr>
            <w:r w:rsidRPr="11273FAF">
              <w:rPr>
                <w:rFonts w:eastAsia="Arial" w:cs="Arial"/>
                <w:color w:val="212121"/>
                <w:sz w:val="18"/>
                <w:szCs w:val="18"/>
              </w:rPr>
              <w:t>Crear parrillas de mensajes para difundir, a través de Redes Sociales, los productos, servicios, labores y eventos más importantes que tiene a su cargo la entidad.</w:t>
            </w:r>
          </w:p>
          <w:p w14:paraId="29DE2FAD" w14:textId="77777777" w:rsidR="00FA70AB" w:rsidRDefault="00FA70AB" w:rsidP="000A20EE">
            <w:pPr>
              <w:pStyle w:val="Prrafodelista"/>
              <w:numPr>
                <w:ilvl w:val="0"/>
                <w:numId w:val="146"/>
              </w:numPr>
              <w:rPr>
                <w:rFonts w:eastAsia="Arial" w:cs="Arial"/>
                <w:color w:val="212121"/>
                <w:sz w:val="18"/>
                <w:szCs w:val="18"/>
              </w:rPr>
            </w:pPr>
            <w:r w:rsidRPr="11273FAF">
              <w:rPr>
                <w:rFonts w:eastAsia="Arial" w:cs="Arial"/>
                <w:color w:val="212121"/>
                <w:sz w:val="18"/>
                <w:szCs w:val="18"/>
              </w:rPr>
              <w:t>Dar atención a los mensajes de los ciudadanos que se reciben a través de las Redes Sociales del Instituto.</w:t>
            </w:r>
          </w:p>
          <w:p w14:paraId="4BD7BCB0" w14:textId="77777777" w:rsidR="00FA70AB" w:rsidRDefault="00FA70AB" w:rsidP="000A20EE">
            <w:pPr>
              <w:pStyle w:val="Prrafodelista"/>
              <w:numPr>
                <w:ilvl w:val="0"/>
                <w:numId w:val="146"/>
              </w:numPr>
              <w:rPr>
                <w:rFonts w:eastAsia="Arial" w:cs="Arial"/>
                <w:color w:val="212121"/>
                <w:sz w:val="18"/>
                <w:szCs w:val="18"/>
              </w:rPr>
            </w:pPr>
            <w:r w:rsidRPr="11273FAF">
              <w:rPr>
                <w:rFonts w:eastAsia="Arial" w:cs="Arial"/>
                <w:color w:val="212121"/>
                <w:sz w:val="18"/>
                <w:szCs w:val="18"/>
              </w:rPr>
              <w:t>Manejar la estrategia de redes sociales.</w:t>
            </w:r>
          </w:p>
          <w:p w14:paraId="2E6E98A9" w14:textId="77777777" w:rsidR="00FA70AB" w:rsidRDefault="00FA70AB" w:rsidP="000A20EE">
            <w:pPr>
              <w:pStyle w:val="Prrafodelista"/>
              <w:numPr>
                <w:ilvl w:val="0"/>
                <w:numId w:val="146"/>
              </w:numPr>
              <w:rPr>
                <w:rFonts w:eastAsia="Arial" w:cs="Arial"/>
                <w:color w:val="212121"/>
                <w:sz w:val="18"/>
                <w:szCs w:val="18"/>
              </w:rPr>
            </w:pPr>
            <w:r w:rsidRPr="11273FAF">
              <w:rPr>
                <w:rFonts w:eastAsia="Arial" w:cs="Arial"/>
                <w:color w:val="212121"/>
                <w:sz w:val="18"/>
                <w:szCs w:val="18"/>
              </w:rPr>
              <w:t>Realizar monitoreo constante sobre las redes sociales.</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3E3545F"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tc>
      </w:tr>
      <w:tr w:rsidR="00FA70AB" w14:paraId="5F0DEEFC" w14:textId="77777777" w:rsidTr="00A6302C">
        <w:trPr>
          <w:trHeight w:val="61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CFD4395"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4B169826" w14:textId="77777777" w:rsidR="00FA70AB" w:rsidRDefault="00FA70AB" w:rsidP="00A6302C">
            <w:pPr>
              <w:jc w:val="center"/>
            </w:pPr>
            <w:r w:rsidRPr="11273FAF">
              <w:rPr>
                <w:rFonts w:eastAsia="Arial" w:cs="Arial"/>
                <w:b/>
                <w:bCs/>
                <w:sz w:val="18"/>
                <w:szCs w:val="18"/>
                <w:lang w:val="es-MX"/>
              </w:rPr>
              <w:t>Profesional especializado comunicación interna</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CD7CEBC" w14:textId="77777777" w:rsidR="00FA70AB" w:rsidRDefault="00FA70AB" w:rsidP="000A20EE">
            <w:pPr>
              <w:pStyle w:val="Prrafodelista"/>
              <w:numPr>
                <w:ilvl w:val="0"/>
                <w:numId w:val="145"/>
              </w:numPr>
              <w:rPr>
                <w:rFonts w:eastAsia="Arial" w:cs="Arial"/>
                <w:sz w:val="18"/>
                <w:szCs w:val="18"/>
              </w:rPr>
            </w:pPr>
            <w:r w:rsidRPr="11273FAF">
              <w:rPr>
                <w:rFonts w:eastAsia="Arial" w:cs="Arial"/>
                <w:sz w:val="18"/>
                <w:szCs w:val="18"/>
              </w:rPr>
              <w:t>Planear y ejecutar campañas internas, con el propósito de fortalecer el sentido de pertenencia entre los servidores del Instituto.</w:t>
            </w:r>
          </w:p>
          <w:p w14:paraId="3E22CF79" w14:textId="77777777" w:rsidR="00FA70AB" w:rsidRDefault="00FA70AB" w:rsidP="000A20EE">
            <w:pPr>
              <w:pStyle w:val="Prrafodelista"/>
              <w:numPr>
                <w:ilvl w:val="0"/>
                <w:numId w:val="145"/>
              </w:numPr>
              <w:rPr>
                <w:rFonts w:eastAsia="Arial" w:cs="Arial"/>
                <w:sz w:val="18"/>
                <w:szCs w:val="18"/>
              </w:rPr>
            </w:pPr>
            <w:r w:rsidRPr="11273FAF">
              <w:rPr>
                <w:rFonts w:eastAsia="Arial" w:cs="Arial"/>
                <w:sz w:val="18"/>
                <w:szCs w:val="18"/>
              </w:rPr>
              <w:t>Realizar el Boletín interno, con el objetivo de informar a los servidores, las últimas noticias externas e internas del Instituto.</w:t>
            </w:r>
          </w:p>
          <w:p w14:paraId="587E323E" w14:textId="77777777" w:rsidR="00FA70AB" w:rsidRDefault="00FA70AB" w:rsidP="000A20EE">
            <w:pPr>
              <w:pStyle w:val="Prrafodelista"/>
              <w:numPr>
                <w:ilvl w:val="0"/>
                <w:numId w:val="145"/>
              </w:numPr>
              <w:rPr>
                <w:rFonts w:eastAsia="Arial" w:cs="Arial"/>
                <w:sz w:val="18"/>
                <w:szCs w:val="18"/>
              </w:rPr>
            </w:pPr>
            <w:r w:rsidRPr="11273FAF">
              <w:rPr>
                <w:rFonts w:eastAsia="Arial" w:cs="Arial"/>
                <w:sz w:val="18"/>
                <w:szCs w:val="18"/>
              </w:rPr>
              <w:t>Producir el contenido (guion y libretos) del programa Juntos Avanzamos.</w:t>
            </w:r>
          </w:p>
          <w:p w14:paraId="7C5A53D4" w14:textId="77777777" w:rsidR="00FA70AB" w:rsidRDefault="00FA70AB" w:rsidP="000A20EE">
            <w:pPr>
              <w:pStyle w:val="Prrafodelista"/>
              <w:numPr>
                <w:ilvl w:val="0"/>
                <w:numId w:val="145"/>
              </w:numPr>
              <w:rPr>
                <w:rFonts w:eastAsia="Arial" w:cs="Arial"/>
                <w:sz w:val="18"/>
                <w:szCs w:val="18"/>
              </w:rPr>
            </w:pPr>
            <w:r w:rsidRPr="11273FAF">
              <w:rPr>
                <w:rFonts w:eastAsia="Arial" w:cs="Arial"/>
                <w:sz w:val="18"/>
                <w:szCs w:val="18"/>
              </w:rPr>
              <w:t>Apoyar la imagen interna del IGAC y revisar los contenidos de las campañas trasversales a las áreas del instituto.</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04EEE04"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internas</w:t>
            </w:r>
          </w:p>
        </w:tc>
      </w:tr>
      <w:tr w:rsidR="00FA70AB" w14:paraId="2B75E006" w14:textId="77777777" w:rsidTr="00A6302C">
        <w:trPr>
          <w:trHeight w:val="85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4962A17" w14:textId="77777777" w:rsidR="00FA70AB" w:rsidRDefault="00FA70AB" w:rsidP="00A6302C">
            <w:pPr>
              <w:jc w:val="center"/>
            </w:pPr>
            <w:r w:rsidRPr="11273FAF">
              <w:rPr>
                <w:rFonts w:eastAsia="Arial" w:cs="Arial"/>
                <w:color w:val="000000" w:themeColor="text1"/>
                <w:sz w:val="18"/>
                <w:szCs w:val="18"/>
                <w:lang w:val="es"/>
              </w:rPr>
              <w:t>2</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7FD98773" w14:textId="77777777" w:rsidR="00FA70AB" w:rsidRDefault="00FA70AB" w:rsidP="00A6302C">
            <w:pPr>
              <w:jc w:val="center"/>
            </w:pPr>
            <w:r w:rsidRPr="11273FAF">
              <w:rPr>
                <w:rFonts w:eastAsia="Arial" w:cs="Arial"/>
                <w:b/>
                <w:bCs/>
                <w:sz w:val="18"/>
                <w:szCs w:val="18"/>
                <w:lang w:val="es-MX"/>
              </w:rPr>
              <w:t>Profesionales diseñadores gráficos</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572E3179"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Desarrollar contenido multimedia para los diferentes canales: Página web, intranet, impresos, eventos, etc.</w:t>
            </w:r>
          </w:p>
          <w:p w14:paraId="222CE1F9"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Diseñar el contenido visual para las campañas de posicionamiento interno</w:t>
            </w:r>
          </w:p>
          <w:p w14:paraId="2EE5E054"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Apoyar la reproducción de videos a través de imágenes vectoriales y didácticas</w:t>
            </w:r>
          </w:p>
          <w:p w14:paraId="43DBCC4F"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Construir formatos digitales y presentaciones gráficas</w:t>
            </w:r>
          </w:p>
          <w:p w14:paraId="6239CBB6"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 xml:space="preserve">Diseñar el contenido visual para piezas de comunicación externa mediante el uso de imágenes o tipografías, para lograr el impacto </w:t>
            </w:r>
            <w:r w:rsidRPr="11273FAF">
              <w:rPr>
                <w:rFonts w:eastAsia="Arial" w:cs="Arial"/>
                <w:sz w:val="18"/>
                <w:szCs w:val="18"/>
              </w:rPr>
              <w:lastRenderedPageBreak/>
              <w:t>positivo de marca, tanto al interior como al exterior de la Entidad.</w:t>
            </w:r>
          </w:p>
          <w:p w14:paraId="5E48FD3A"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Informar y persuadir mediante imágenes y productos gráficos de comunicación externa.</w:t>
            </w:r>
          </w:p>
          <w:p w14:paraId="31277A6E" w14:textId="77777777" w:rsidR="00FA70AB" w:rsidRDefault="00FA70AB" w:rsidP="000A20EE">
            <w:pPr>
              <w:pStyle w:val="Prrafodelista"/>
              <w:numPr>
                <w:ilvl w:val="0"/>
                <w:numId w:val="144"/>
              </w:numPr>
              <w:rPr>
                <w:rFonts w:eastAsia="Arial" w:cs="Arial"/>
                <w:sz w:val="18"/>
                <w:szCs w:val="18"/>
              </w:rPr>
            </w:pPr>
            <w:r w:rsidRPr="11273FAF">
              <w:rPr>
                <w:rFonts w:eastAsia="Arial" w:cs="Arial"/>
                <w:sz w:val="18"/>
                <w:szCs w:val="18"/>
              </w:rPr>
              <w:t>Diseñar las presentaciones en PPT, PDF y otros, para ferias, eventos, conferencias, etc.</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52909810" w14:textId="77777777" w:rsidR="00FA70AB" w:rsidRPr="005E5E4A" w:rsidRDefault="00FA70AB" w:rsidP="00A6302C">
            <w:pPr>
              <w:jc w:val="center"/>
              <w:rPr>
                <w:b/>
              </w:rPr>
            </w:pPr>
            <w:r w:rsidRPr="005E5E4A">
              <w:rPr>
                <w:rFonts w:eastAsia="Arial" w:cs="Arial"/>
                <w:b/>
                <w:color w:val="000000" w:themeColor="text1"/>
                <w:sz w:val="18"/>
                <w:szCs w:val="18"/>
                <w:lang w:val="es"/>
              </w:rPr>
              <w:lastRenderedPageBreak/>
              <w:t>Gestión de comunicaciones externas</w:t>
            </w:r>
          </w:p>
          <w:p w14:paraId="1026904E" w14:textId="77777777" w:rsidR="00FA70AB" w:rsidRPr="005E5E4A" w:rsidRDefault="00FA70AB" w:rsidP="00A6302C">
            <w:pPr>
              <w:jc w:val="center"/>
              <w:rPr>
                <w:b/>
              </w:rPr>
            </w:pPr>
          </w:p>
          <w:p w14:paraId="327AC8CB"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internas</w:t>
            </w:r>
          </w:p>
        </w:tc>
      </w:tr>
      <w:tr w:rsidR="00FA70AB" w14:paraId="609B2512" w14:textId="77777777" w:rsidTr="00A6302C">
        <w:trPr>
          <w:trHeight w:val="61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4201C92" w14:textId="77777777" w:rsidR="00FA70AB" w:rsidRDefault="00FA70AB" w:rsidP="00A6302C">
            <w:pPr>
              <w:jc w:val="center"/>
            </w:pPr>
            <w:r w:rsidRPr="11273FAF">
              <w:rPr>
                <w:rFonts w:eastAsia="Arial" w:cs="Arial"/>
                <w:color w:val="000000" w:themeColor="text1"/>
                <w:sz w:val="18"/>
                <w:szCs w:val="18"/>
                <w:lang w:val="es"/>
              </w:rPr>
              <w:lastRenderedPageBreak/>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3EF4F770" w14:textId="77777777" w:rsidR="00FA70AB" w:rsidRDefault="00FA70AB" w:rsidP="00A6302C">
            <w:pPr>
              <w:jc w:val="center"/>
            </w:pPr>
            <w:r w:rsidRPr="11273FAF">
              <w:rPr>
                <w:rFonts w:eastAsia="Arial" w:cs="Arial"/>
                <w:b/>
                <w:bCs/>
                <w:sz w:val="18"/>
                <w:szCs w:val="18"/>
                <w:lang w:val="es-MX"/>
              </w:rPr>
              <w:t>Profesional desarrollador audiovisual</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56C55AD4" w14:textId="77777777" w:rsidR="00FA70AB" w:rsidRDefault="00FA70AB" w:rsidP="000A20EE">
            <w:pPr>
              <w:pStyle w:val="Prrafodelista"/>
              <w:numPr>
                <w:ilvl w:val="0"/>
                <w:numId w:val="143"/>
              </w:numPr>
              <w:rPr>
                <w:rFonts w:eastAsia="Arial" w:cs="Arial"/>
                <w:sz w:val="18"/>
                <w:szCs w:val="18"/>
              </w:rPr>
            </w:pPr>
            <w:r w:rsidRPr="11273FAF">
              <w:rPr>
                <w:rFonts w:eastAsia="Arial" w:cs="Arial"/>
                <w:sz w:val="18"/>
                <w:szCs w:val="18"/>
              </w:rPr>
              <w:t>Tomar las fotografías, de manera profesional, de todos los eventos del IGAC (Producción y edición final) para su respectiva publicación en la web y notas periodísticas.</w:t>
            </w:r>
          </w:p>
          <w:p w14:paraId="6C3A5A5E" w14:textId="77777777" w:rsidR="00FA70AB" w:rsidRDefault="00FA70AB" w:rsidP="000A20EE">
            <w:pPr>
              <w:pStyle w:val="Prrafodelista"/>
              <w:numPr>
                <w:ilvl w:val="0"/>
                <w:numId w:val="143"/>
              </w:numPr>
              <w:rPr>
                <w:rFonts w:eastAsia="Arial" w:cs="Arial"/>
                <w:sz w:val="18"/>
                <w:szCs w:val="18"/>
              </w:rPr>
            </w:pPr>
            <w:r w:rsidRPr="11273FAF">
              <w:rPr>
                <w:rFonts w:eastAsia="Arial" w:cs="Arial"/>
                <w:sz w:val="18"/>
                <w:szCs w:val="18"/>
              </w:rPr>
              <w:t>Realizar la pre producción, rodaje, grabación, edición y postproducción de videos de la entidad, siguiendo la línea de estrategias de comunicación.</w:t>
            </w:r>
          </w:p>
          <w:p w14:paraId="15A9C2CF" w14:textId="77777777" w:rsidR="00FA70AB" w:rsidRDefault="00FA70AB" w:rsidP="000A20EE">
            <w:pPr>
              <w:pStyle w:val="Prrafodelista"/>
              <w:numPr>
                <w:ilvl w:val="0"/>
                <w:numId w:val="143"/>
              </w:numPr>
              <w:rPr>
                <w:rFonts w:eastAsia="Arial" w:cs="Arial"/>
                <w:sz w:val="18"/>
                <w:szCs w:val="18"/>
              </w:rPr>
            </w:pPr>
            <w:r w:rsidRPr="11273FAF">
              <w:rPr>
                <w:rFonts w:eastAsia="Arial" w:cs="Arial"/>
                <w:sz w:val="18"/>
                <w:szCs w:val="18"/>
              </w:rPr>
              <w:t>Crear material audiovisual.</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2CA34004"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p w14:paraId="0DDB9181" w14:textId="77777777" w:rsidR="00FA70AB" w:rsidRPr="005E5E4A" w:rsidRDefault="00FA70AB" w:rsidP="00A6302C">
            <w:pPr>
              <w:jc w:val="center"/>
              <w:rPr>
                <w:b/>
              </w:rPr>
            </w:pPr>
          </w:p>
          <w:p w14:paraId="3B69B03F"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internas</w:t>
            </w:r>
          </w:p>
        </w:tc>
      </w:tr>
      <w:tr w:rsidR="00FA70AB" w14:paraId="18192DE4" w14:textId="77777777" w:rsidTr="00A6302C">
        <w:trPr>
          <w:trHeight w:val="720"/>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AEA089E"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F597083" w14:textId="77777777" w:rsidR="00FA70AB" w:rsidRDefault="00FA70AB" w:rsidP="00A6302C">
            <w:pPr>
              <w:jc w:val="center"/>
            </w:pPr>
            <w:r w:rsidRPr="11273FAF">
              <w:rPr>
                <w:rFonts w:eastAsia="Arial" w:cs="Arial"/>
                <w:b/>
                <w:bCs/>
                <w:sz w:val="18"/>
                <w:szCs w:val="18"/>
                <w:lang w:val="es-MX"/>
              </w:rPr>
              <w:t>Profesional ejecutor de eventos</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53E26A2" w14:textId="77777777" w:rsidR="00FA70AB" w:rsidRDefault="00FA70AB" w:rsidP="000A20EE">
            <w:pPr>
              <w:pStyle w:val="Prrafodelista"/>
              <w:numPr>
                <w:ilvl w:val="0"/>
                <w:numId w:val="142"/>
              </w:numPr>
              <w:rPr>
                <w:rFonts w:eastAsia="Arial" w:cs="Arial"/>
                <w:color w:val="000000" w:themeColor="text1"/>
                <w:sz w:val="18"/>
                <w:szCs w:val="18"/>
              </w:rPr>
            </w:pPr>
            <w:r w:rsidRPr="11273FAF">
              <w:rPr>
                <w:rFonts w:eastAsia="Arial" w:cs="Arial"/>
                <w:color w:val="000000" w:themeColor="text1"/>
                <w:sz w:val="18"/>
                <w:szCs w:val="18"/>
              </w:rPr>
              <w:t>Organizar, desarrollar y ejecutar las ferias, congresos, convenciones, conferencias y/o eventos, tanto virtuales como presenciales, requeridos por la entidad, con el cumplimiento de altos niveles de eficacia, eficiencia, oportunidad y calidad.</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C5CF4EA"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p w14:paraId="352C633D" w14:textId="77777777" w:rsidR="00FA70AB" w:rsidRPr="005E5E4A" w:rsidRDefault="00FA70AB" w:rsidP="00A6302C">
            <w:pPr>
              <w:jc w:val="center"/>
              <w:rPr>
                <w:b/>
              </w:rPr>
            </w:pPr>
          </w:p>
          <w:p w14:paraId="02E7F7C7"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internas</w:t>
            </w:r>
          </w:p>
        </w:tc>
      </w:tr>
      <w:tr w:rsidR="00FA70AB" w14:paraId="25F96122" w14:textId="77777777" w:rsidTr="00A6302C">
        <w:trPr>
          <w:trHeight w:val="585"/>
        </w:trPr>
        <w:tc>
          <w:tcPr>
            <w:tcW w:w="69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190237D5" w14:textId="77777777" w:rsidR="00FA70AB" w:rsidRDefault="00FA70AB" w:rsidP="00A6302C">
            <w:pPr>
              <w:jc w:val="center"/>
            </w:pPr>
            <w:r w:rsidRPr="11273FAF">
              <w:rPr>
                <w:rFonts w:eastAsia="Arial" w:cs="Arial"/>
                <w:color w:val="000000" w:themeColor="text1"/>
                <w:sz w:val="18"/>
                <w:szCs w:val="18"/>
                <w:lang w:val="es"/>
              </w:rPr>
              <w:t>1</w:t>
            </w:r>
          </w:p>
        </w:tc>
        <w:tc>
          <w:tcPr>
            <w:tcW w:w="192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0524B31C" w14:textId="77777777" w:rsidR="00FA70AB" w:rsidRDefault="00FA70AB" w:rsidP="00A6302C">
            <w:pPr>
              <w:jc w:val="center"/>
            </w:pPr>
            <w:r w:rsidRPr="11273FAF">
              <w:rPr>
                <w:rFonts w:eastAsia="Arial" w:cs="Arial"/>
                <w:b/>
                <w:bCs/>
                <w:sz w:val="18"/>
                <w:szCs w:val="18"/>
                <w:lang w:val="es-MX"/>
              </w:rPr>
              <w:t>Profesional abogado</w:t>
            </w:r>
          </w:p>
        </w:tc>
        <w:tc>
          <w:tcPr>
            <w:tcW w:w="486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6BF7ECA5" w14:textId="77777777" w:rsidR="00FA70AB" w:rsidRDefault="00FA70AB" w:rsidP="000A20EE">
            <w:pPr>
              <w:pStyle w:val="Prrafodelista"/>
              <w:numPr>
                <w:ilvl w:val="0"/>
                <w:numId w:val="141"/>
              </w:numPr>
              <w:rPr>
                <w:rFonts w:eastAsia="Arial" w:cs="Arial"/>
                <w:sz w:val="18"/>
                <w:szCs w:val="18"/>
              </w:rPr>
            </w:pPr>
            <w:r w:rsidRPr="11273FAF">
              <w:rPr>
                <w:rFonts w:eastAsia="Arial" w:cs="Arial"/>
                <w:sz w:val="18"/>
                <w:szCs w:val="18"/>
              </w:rPr>
              <w:t>Gestionar la etapa preparatoria de las solicitudes de bienes, servicios y obras públicas.</w:t>
            </w:r>
          </w:p>
          <w:p w14:paraId="213E6DFB" w14:textId="77777777" w:rsidR="00FA70AB" w:rsidRDefault="00FA70AB" w:rsidP="000A20EE">
            <w:pPr>
              <w:pStyle w:val="Prrafodelista"/>
              <w:numPr>
                <w:ilvl w:val="0"/>
                <w:numId w:val="141"/>
              </w:numPr>
              <w:rPr>
                <w:rFonts w:eastAsia="Arial" w:cs="Arial"/>
                <w:sz w:val="18"/>
                <w:szCs w:val="18"/>
              </w:rPr>
            </w:pPr>
            <w:r w:rsidRPr="11273FAF">
              <w:rPr>
                <w:rFonts w:eastAsia="Arial" w:cs="Arial"/>
                <w:sz w:val="18"/>
                <w:szCs w:val="18"/>
              </w:rPr>
              <w:t>Proyectar estudios de mercado y análisis del sector.</w:t>
            </w:r>
          </w:p>
          <w:p w14:paraId="730DE95B" w14:textId="77777777" w:rsidR="00FA70AB" w:rsidRDefault="00FA70AB" w:rsidP="000A20EE">
            <w:pPr>
              <w:pStyle w:val="Prrafodelista"/>
              <w:numPr>
                <w:ilvl w:val="0"/>
                <w:numId w:val="141"/>
              </w:numPr>
              <w:rPr>
                <w:rFonts w:eastAsia="Arial" w:cs="Arial"/>
                <w:sz w:val="18"/>
                <w:szCs w:val="18"/>
              </w:rPr>
            </w:pPr>
            <w:r w:rsidRPr="11273FAF">
              <w:rPr>
                <w:rFonts w:eastAsia="Arial" w:cs="Arial"/>
                <w:sz w:val="18"/>
                <w:szCs w:val="18"/>
              </w:rPr>
              <w:t>Registrar, verificar y publicar los trámites contractuales, dentro de las plataformas y, consolidar la documentación correspondiente.</w:t>
            </w:r>
          </w:p>
          <w:p w14:paraId="77BE4A95" w14:textId="77777777" w:rsidR="00FA70AB" w:rsidRDefault="00FA70AB" w:rsidP="000A20EE">
            <w:pPr>
              <w:pStyle w:val="Prrafodelista"/>
              <w:numPr>
                <w:ilvl w:val="0"/>
                <w:numId w:val="141"/>
              </w:numPr>
              <w:rPr>
                <w:rFonts w:eastAsia="Arial" w:cs="Arial"/>
                <w:sz w:val="18"/>
                <w:szCs w:val="18"/>
              </w:rPr>
            </w:pPr>
            <w:r w:rsidRPr="11273FAF">
              <w:rPr>
                <w:rFonts w:eastAsia="Arial" w:cs="Arial"/>
                <w:sz w:val="18"/>
                <w:szCs w:val="18"/>
              </w:rPr>
              <w:t>Apoyar el seguimiento contractual de todos los procesos a cargo del proyecto de inversión.</w:t>
            </w:r>
          </w:p>
        </w:tc>
        <w:tc>
          <w:tcPr>
            <w:tcW w:w="188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shd w:val="clear" w:color="auto" w:fill="DBE5F1" w:themeFill="accent1" w:themeFillTint="33"/>
            <w:vAlign w:val="center"/>
          </w:tcPr>
          <w:p w14:paraId="5A402027"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externas</w:t>
            </w:r>
          </w:p>
          <w:p w14:paraId="691E52E7" w14:textId="77777777" w:rsidR="00FA70AB" w:rsidRPr="005E5E4A" w:rsidRDefault="00FA70AB" w:rsidP="00A6302C">
            <w:pPr>
              <w:jc w:val="center"/>
              <w:rPr>
                <w:b/>
              </w:rPr>
            </w:pPr>
          </w:p>
          <w:p w14:paraId="4B5F66D9" w14:textId="77777777" w:rsidR="00FA70AB" w:rsidRPr="005E5E4A" w:rsidRDefault="00FA70AB" w:rsidP="00A6302C">
            <w:pPr>
              <w:jc w:val="center"/>
              <w:rPr>
                <w:b/>
              </w:rPr>
            </w:pPr>
            <w:r w:rsidRPr="005E5E4A">
              <w:rPr>
                <w:rFonts w:eastAsia="Arial" w:cs="Arial"/>
                <w:b/>
                <w:color w:val="000000" w:themeColor="text1"/>
                <w:sz w:val="18"/>
                <w:szCs w:val="18"/>
                <w:lang w:val="es"/>
              </w:rPr>
              <w:t>Gestión de comunicaciones internas</w:t>
            </w:r>
          </w:p>
        </w:tc>
      </w:tr>
    </w:tbl>
    <w:p w14:paraId="556BF678" w14:textId="77777777" w:rsidR="00A6302C" w:rsidRPr="009B3727" w:rsidRDefault="00A6302C" w:rsidP="00A6302C">
      <w:pPr>
        <w:jc w:val="center"/>
        <w:rPr>
          <w:b/>
          <w:sz w:val="22"/>
        </w:rPr>
      </w:pPr>
      <w:r w:rsidRPr="009B3727">
        <w:rPr>
          <w:rFonts w:eastAsia="Arial" w:cs="Arial"/>
          <w:b/>
          <w:bCs/>
          <w:sz w:val="16"/>
          <w:szCs w:val="18"/>
          <w:lang w:val="es"/>
        </w:rPr>
        <w:t>Fuente:</w:t>
      </w:r>
      <w:r w:rsidRPr="009B3727">
        <w:rPr>
          <w:rFonts w:eastAsia="Arial" w:cs="Arial"/>
          <w:b/>
          <w:sz w:val="16"/>
          <w:szCs w:val="18"/>
          <w:lang w:val="es"/>
        </w:rPr>
        <w:t xml:space="preserve"> Oficina Asesora de Comunicaciones</w:t>
      </w:r>
    </w:p>
    <w:p w14:paraId="6B102812" w14:textId="77777777" w:rsidR="31FF9146" w:rsidRDefault="31FF9146" w:rsidP="00FA70AB">
      <w:pPr>
        <w:jc w:val="both"/>
      </w:pPr>
    </w:p>
    <w:p w14:paraId="65DE28C2" w14:textId="29CACD02" w:rsidR="00FA70AB" w:rsidRPr="00A6302C" w:rsidRDefault="00FA70AB" w:rsidP="00A6302C">
      <w:pPr>
        <w:pStyle w:val="Prrafodelista"/>
        <w:numPr>
          <w:ilvl w:val="2"/>
          <w:numId w:val="22"/>
        </w:numPr>
        <w:rPr>
          <w:rFonts w:eastAsia="Arial" w:cs="Arial"/>
          <w:b/>
          <w:bCs/>
          <w:sz w:val="22"/>
          <w:szCs w:val="22"/>
          <w:lang w:val="es"/>
        </w:rPr>
      </w:pPr>
      <w:r w:rsidRPr="00A6302C">
        <w:rPr>
          <w:rFonts w:eastAsia="Arial" w:cs="Arial"/>
          <w:b/>
          <w:bCs/>
          <w:sz w:val="22"/>
          <w:szCs w:val="22"/>
          <w:lang w:val="es"/>
        </w:rPr>
        <w:t>PROCESOS A CARGO</w:t>
      </w:r>
    </w:p>
    <w:p w14:paraId="16CE7BD0" w14:textId="37BF8CD0" w:rsidR="6D224D23" w:rsidRDefault="6D224D23" w:rsidP="00C72779">
      <w:pPr>
        <w:jc w:val="both"/>
      </w:pPr>
      <w:r w:rsidRPr="11273FAF">
        <w:rPr>
          <w:rFonts w:eastAsia="Arial" w:cs="Arial"/>
          <w:sz w:val="22"/>
          <w:szCs w:val="22"/>
          <w:lang w:val="es"/>
        </w:rPr>
        <w:t xml:space="preserve"> </w:t>
      </w:r>
    </w:p>
    <w:p w14:paraId="0A708C2B" w14:textId="77777777" w:rsidR="6D224D23" w:rsidRDefault="6D224D23" w:rsidP="00C72779">
      <w:pPr>
        <w:jc w:val="both"/>
      </w:pPr>
      <w:r w:rsidRPr="11273FAF">
        <w:rPr>
          <w:rFonts w:eastAsia="Arial" w:cs="Arial"/>
          <w:b/>
          <w:bCs/>
          <w:sz w:val="22"/>
          <w:szCs w:val="22"/>
          <w:lang w:val="es"/>
        </w:rPr>
        <w:t xml:space="preserve">Proceso: </w:t>
      </w:r>
      <w:r w:rsidRPr="11273FAF">
        <w:rPr>
          <w:rFonts w:eastAsia="Arial" w:cs="Arial"/>
          <w:sz w:val="22"/>
          <w:szCs w:val="22"/>
          <w:lang w:val="es"/>
        </w:rPr>
        <w:t>Gestión de Comunicaciones - Caracterización - Código CT-COM</w:t>
      </w:r>
      <w:r w:rsidRPr="11273FAF">
        <w:rPr>
          <w:rFonts w:eastAsia="Arial" w:cs="Arial"/>
          <w:b/>
          <w:bCs/>
          <w:sz w:val="22"/>
          <w:szCs w:val="22"/>
          <w:lang w:val="es"/>
        </w:rPr>
        <w:t xml:space="preserve"> </w:t>
      </w:r>
    </w:p>
    <w:p w14:paraId="1ABE0A8A" w14:textId="77777777" w:rsidR="6D224D23" w:rsidRDefault="6D224D23" w:rsidP="00C72779">
      <w:pPr>
        <w:jc w:val="both"/>
      </w:pPr>
      <w:r w:rsidRPr="005E5E4A">
        <w:rPr>
          <w:rFonts w:eastAsia="Arial" w:cs="Arial"/>
          <w:b/>
          <w:sz w:val="22"/>
          <w:szCs w:val="22"/>
          <w:lang w:val="es"/>
        </w:rPr>
        <w:t>Naturaleza:</w:t>
      </w:r>
      <w:r w:rsidRPr="11273FAF">
        <w:rPr>
          <w:rFonts w:eastAsia="Arial" w:cs="Arial"/>
          <w:sz w:val="22"/>
          <w:szCs w:val="22"/>
          <w:lang w:val="es"/>
        </w:rPr>
        <w:t xml:space="preserve"> Estratégica.   </w:t>
      </w:r>
    </w:p>
    <w:p w14:paraId="07A71D76" w14:textId="03617488" w:rsidR="6D224D23" w:rsidRDefault="6D224D23" w:rsidP="00C72779">
      <w:pPr>
        <w:jc w:val="both"/>
        <w:rPr>
          <w:rFonts w:eastAsia="Arial" w:cs="Arial"/>
          <w:sz w:val="22"/>
          <w:szCs w:val="22"/>
          <w:lang w:val="es"/>
        </w:rPr>
      </w:pPr>
    </w:p>
    <w:p w14:paraId="3BD53E70" w14:textId="472E8327" w:rsidR="00912343" w:rsidRDefault="00A6302C" w:rsidP="00A6302C">
      <w:pPr>
        <w:pStyle w:val="Descripcin"/>
        <w:jc w:val="center"/>
        <w:rPr>
          <w:rFonts w:ascii="Arial" w:hAnsi="Arial" w:cs="Arial"/>
          <w:b/>
          <w:i w:val="0"/>
          <w:color w:val="000000" w:themeColor="text1"/>
          <w:sz w:val="16"/>
        </w:rPr>
      </w:pPr>
      <w:bookmarkStart w:id="209" w:name="_Toc88677227"/>
      <w:r w:rsidRPr="00A6302C">
        <w:rPr>
          <w:rFonts w:ascii="Arial" w:hAnsi="Arial" w:cs="Arial"/>
          <w:b/>
          <w:i w:val="0"/>
          <w:color w:val="000000" w:themeColor="text1"/>
          <w:sz w:val="16"/>
        </w:rPr>
        <w:t xml:space="preserve">Ilustración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Ilustración \* ARABIC </w:instrText>
      </w:r>
      <w:r w:rsidRPr="00A6302C">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71</w:t>
      </w:r>
      <w:r w:rsidRPr="00A6302C">
        <w:rPr>
          <w:rFonts w:ascii="Arial" w:hAnsi="Arial" w:cs="Arial"/>
          <w:b/>
          <w:i w:val="0"/>
          <w:color w:val="000000" w:themeColor="text1"/>
          <w:sz w:val="16"/>
        </w:rPr>
        <w:fldChar w:fldCharType="end"/>
      </w:r>
      <w:r w:rsidR="00912343">
        <w:rPr>
          <w:rFonts w:ascii="Arial" w:hAnsi="Arial" w:cs="Arial"/>
          <w:b/>
          <w:i w:val="0"/>
          <w:color w:val="000000" w:themeColor="text1"/>
          <w:sz w:val="16"/>
        </w:rPr>
        <w:t xml:space="preserve">. Subprocesos </w:t>
      </w:r>
      <w:r w:rsidRPr="00A6302C">
        <w:rPr>
          <w:rFonts w:ascii="Arial" w:hAnsi="Arial" w:cs="Arial"/>
          <w:b/>
          <w:i w:val="0"/>
          <w:color w:val="000000" w:themeColor="text1"/>
          <w:sz w:val="16"/>
        </w:rPr>
        <w:t>Gestión de Comunicaciones</w:t>
      </w:r>
      <w:bookmarkEnd w:id="209"/>
    </w:p>
    <w:p w14:paraId="32AE439A" w14:textId="6F7D7A99" w:rsidR="11273FAF" w:rsidRDefault="00FA70AB" w:rsidP="00A6302C">
      <w:pPr>
        <w:pStyle w:val="Descripcin"/>
        <w:jc w:val="center"/>
      </w:pPr>
      <w:r>
        <w:rPr>
          <w:noProof/>
          <w:lang w:eastAsia="es-CO"/>
        </w:rPr>
        <w:drawing>
          <wp:inline distT="0" distB="0" distL="0" distR="0" wp14:anchorId="7F756A19" wp14:editId="56743C7D">
            <wp:extent cx="4572000" cy="876300"/>
            <wp:effectExtent l="0" t="0" r="0" b="0"/>
            <wp:docPr id="20" name="Picture 1425515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9">
                      <a:extLst>
                        <a:ext uri="{28A0092B-C50C-407E-A947-70E740481C1C}">
                          <a14:useLocalDpi xmlns:a14="http://schemas.microsoft.com/office/drawing/2010/main" val="0"/>
                        </a:ext>
                      </a:extLst>
                    </a:blip>
                    <a:stretch>
                      <a:fillRect/>
                    </a:stretch>
                  </pic:blipFill>
                  <pic:spPr>
                    <a:xfrm>
                      <a:off x="0" y="0"/>
                      <a:ext cx="4572000" cy="876300"/>
                    </a:xfrm>
                    <a:prstGeom prst="rect">
                      <a:avLst/>
                    </a:prstGeom>
                  </pic:spPr>
                </pic:pic>
              </a:graphicData>
            </a:graphic>
          </wp:inline>
        </w:drawing>
      </w:r>
    </w:p>
    <w:p w14:paraId="6264436F" w14:textId="77777777" w:rsidR="6D224D23" w:rsidRPr="005E5E4A" w:rsidRDefault="6D224D23" w:rsidP="00C72779">
      <w:pPr>
        <w:jc w:val="center"/>
        <w:rPr>
          <w:b/>
          <w:sz w:val="22"/>
        </w:rPr>
      </w:pPr>
      <w:r w:rsidRPr="005E5E4A">
        <w:rPr>
          <w:rFonts w:eastAsia="Arial" w:cs="Arial"/>
          <w:b/>
          <w:color w:val="000000" w:themeColor="text1"/>
          <w:sz w:val="16"/>
          <w:szCs w:val="18"/>
          <w:lang w:val="es"/>
        </w:rPr>
        <w:t xml:space="preserve">Fuente: Oficina Asesora de Comunicaciones </w:t>
      </w:r>
    </w:p>
    <w:p w14:paraId="1B5A81A9" w14:textId="6759BE8D" w:rsidR="00FA70AB" w:rsidRPr="00A6302C" w:rsidRDefault="6D224D23" w:rsidP="00FA70AB">
      <w:pPr>
        <w:jc w:val="both"/>
      </w:pPr>
      <w:r w:rsidRPr="11273FAF">
        <w:rPr>
          <w:rFonts w:eastAsia="Arial" w:cs="Arial"/>
          <w:sz w:val="22"/>
          <w:szCs w:val="22"/>
          <w:lang w:val="es"/>
        </w:rPr>
        <w:t xml:space="preserve"> </w:t>
      </w:r>
    </w:p>
    <w:p w14:paraId="7A2CF7DF" w14:textId="77777777" w:rsidR="6D224D23" w:rsidRDefault="6D224D23" w:rsidP="00C72779">
      <w:pPr>
        <w:jc w:val="both"/>
      </w:pPr>
      <w:r w:rsidRPr="11273FAF">
        <w:rPr>
          <w:rFonts w:eastAsia="Arial" w:cs="Arial"/>
          <w:sz w:val="22"/>
          <w:szCs w:val="22"/>
          <w:lang w:val="es-MX"/>
        </w:rPr>
        <w:t>El Instituto Geográfico Agustín Codazzi, requiere una estrategia de Comunicaciones asertiva y oportuna, orientada a posicionar al IGAC, como una entidad que genera valor constante y que contribuye al desarrollo del país.</w:t>
      </w:r>
      <w:r w:rsidR="00FA70AB">
        <w:t xml:space="preserve"> </w:t>
      </w:r>
      <w:r w:rsidRPr="11273FAF">
        <w:rPr>
          <w:rFonts w:eastAsia="Arial" w:cs="Arial"/>
          <w:sz w:val="22"/>
          <w:szCs w:val="22"/>
          <w:lang w:val="es"/>
        </w:rPr>
        <w:t xml:space="preserve">Es así que, para cumplir con este propósito,  la Oficina Asesora de Comunicaciones, tiene a su cargo; establecer los lineamientos y estrategias que difundan una información transparente, veraz, oportuna y objetiva a través de las diferentes herramientas de comunicación: a nivel interno, genera conciencia con respecto a las funciones y </w:t>
      </w:r>
      <w:r w:rsidRPr="11273FAF">
        <w:rPr>
          <w:rFonts w:eastAsia="Arial" w:cs="Arial"/>
          <w:sz w:val="22"/>
          <w:szCs w:val="22"/>
          <w:lang w:val="es"/>
        </w:rPr>
        <w:lastRenderedPageBreak/>
        <w:t>responsabilidades que tienen los servidores públicos del IGAC, y a nivel externo, divulga los datos que se producen desde el Instituto, para contribuir a su posicionamiento como la máxima autoridad en regulación, producción y articulación de la información geográfica, catastral y agrológica del país.</w:t>
      </w:r>
    </w:p>
    <w:p w14:paraId="2A2E3128" w14:textId="77777777" w:rsidR="6D224D23" w:rsidRDefault="6D224D23" w:rsidP="00C72779">
      <w:pPr>
        <w:jc w:val="both"/>
      </w:pPr>
      <w:r w:rsidRPr="11273FAF">
        <w:rPr>
          <w:rFonts w:eastAsia="Arial" w:cs="Arial"/>
          <w:sz w:val="22"/>
          <w:szCs w:val="22"/>
          <w:lang w:val="es"/>
        </w:rPr>
        <w:t xml:space="preserve"> </w:t>
      </w:r>
    </w:p>
    <w:p w14:paraId="49208AD8" w14:textId="77777777" w:rsidR="6D224D23" w:rsidRDefault="6D224D23" w:rsidP="00C72779">
      <w:pPr>
        <w:jc w:val="both"/>
      </w:pPr>
      <w:r w:rsidRPr="11273FAF">
        <w:rPr>
          <w:rFonts w:eastAsia="Arial" w:cs="Arial"/>
          <w:sz w:val="22"/>
          <w:szCs w:val="22"/>
          <w:lang w:val="es"/>
        </w:rPr>
        <w:t>Su alcance inicia, desde la elaboración de la estrategia de comunicaciones o recepción de los requerimientos, por parte de los responsables de los procesos, y finaliza, con la divulgación del producto final al interior de la entidad y el seguimiento y control de las actividades ejecutadas.</w:t>
      </w:r>
    </w:p>
    <w:p w14:paraId="007B6CF8" w14:textId="77777777" w:rsidR="6D224D23" w:rsidRDefault="6D224D23" w:rsidP="00C72779">
      <w:pPr>
        <w:jc w:val="both"/>
      </w:pPr>
      <w:r w:rsidRPr="11273FAF">
        <w:rPr>
          <w:rFonts w:eastAsia="Arial" w:cs="Arial"/>
          <w:sz w:val="22"/>
          <w:szCs w:val="22"/>
          <w:lang w:val="es"/>
        </w:rPr>
        <w:t xml:space="preserve"> </w:t>
      </w:r>
    </w:p>
    <w:p w14:paraId="1A101A2C" w14:textId="77777777" w:rsidR="6D224D23" w:rsidRDefault="6D224D23" w:rsidP="00C72779">
      <w:pPr>
        <w:jc w:val="both"/>
      </w:pPr>
      <w:r w:rsidRPr="11273FAF">
        <w:rPr>
          <w:rFonts w:eastAsia="Arial" w:cs="Arial"/>
          <w:sz w:val="22"/>
          <w:szCs w:val="22"/>
          <w:lang w:val="es"/>
        </w:rPr>
        <w:t xml:space="preserve">Dentro de los subprocesos se encuentran los siguientes: </w:t>
      </w:r>
    </w:p>
    <w:p w14:paraId="76C8C6AD" w14:textId="77777777" w:rsidR="6D224D23" w:rsidRDefault="6D224D23" w:rsidP="00C72779">
      <w:pPr>
        <w:jc w:val="both"/>
      </w:pPr>
      <w:r w:rsidRPr="11273FAF">
        <w:rPr>
          <w:rFonts w:eastAsia="Arial" w:cs="Arial"/>
          <w:sz w:val="22"/>
          <w:szCs w:val="22"/>
          <w:lang w:val="es"/>
        </w:rPr>
        <w:t xml:space="preserve"> </w:t>
      </w:r>
    </w:p>
    <w:p w14:paraId="0F7AC523" w14:textId="77777777" w:rsidR="6D224D23" w:rsidRDefault="6D224D23" w:rsidP="000A20EE">
      <w:pPr>
        <w:pStyle w:val="Prrafodelista"/>
        <w:numPr>
          <w:ilvl w:val="0"/>
          <w:numId w:val="195"/>
        </w:numPr>
        <w:rPr>
          <w:rFonts w:eastAsia="Arial" w:cs="Arial"/>
          <w:b/>
          <w:bCs/>
          <w:sz w:val="22"/>
          <w:szCs w:val="22"/>
        </w:rPr>
      </w:pPr>
      <w:r w:rsidRPr="69F17F68">
        <w:rPr>
          <w:rFonts w:eastAsia="Arial" w:cs="Arial"/>
          <w:b/>
          <w:bCs/>
          <w:sz w:val="22"/>
          <w:szCs w:val="22"/>
        </w:rPr>
        <w:t>Gestión de comunicaciones externas</w:t>
      </w:r>
      <w:r>
        <w:rPr>
          <w:rFonts w:eastAsia="Arial" w:cs="Arial"/>
          <w:b/>
          <w:sz w:val="22"/>
          <w:szCs w:val="22"/>
        </w:rPr>
        <w:t>:</w:t>
      </w:r>
    </w:p>
    <w:p w14:paraId="73E98955" w14:textId="77777777" w:rsidR="69F17F68" w:rsidRDefault="69F17F68" w:rsidP="00C72779">
      <w:pPr>
        <w:pStyle w:val="Lista"/>
      </w:pPr>
    </w:p>
    <w:p w14:paraId="614675DE" w14:textId="77777777" w:rsidR="6D224D23" w:rsidRDefault="6D224D23" w:rsidP="00C72779">
      <w:pPr>
        <w:jc w:val="both"/>
      </w:pPr>
      <w:r w:rsidRPr="11273FAF">
        <w:rPr>
          <w:rFonts w:eastAsia="Arial" w:cs="Arial"/>
          <w:sz w:val="22"/>
          <w:szCs w:val="22"/>
          <w:lang w:val="es"/>
        </w:rPr>
        <w:t xml:space="preserve">Uno de los principales propósitos de este subproceso, es posicionar a la entidad como la máxima autoridad geográfica, catastral y agrológica del país. Esto se ha logrado, con la definición de acciones informativas concretas que dieron pie a nuevas alianzas y reforzaron las relaciones con los medios y los diferentes públicos del IGAC. </w:t>
      </w:r>
    </w:p>
    <w:p w14:paraId="6724A661" w14:textId="77777777" w:rsidR="6D224D23" w:rsidRDefault="6D224D23" w:rsidP="00C72779">
      <w:pPr>
        <w:jc w:val="both"/>
      </w:pPr>
      <w:r w:rsidRPr="11273FAF">
        <w:rPr>
          <w:rFonts w:eastAsia="Arial" w:cs="Arial"/>
          <w:sz w:val="22"/>
          <w:szCs w:val="22"/>
          <w:lang w:val="es"/>
        </w:rPr>
        <w:t xml:space="preserve"> </w:t>
      </w:r>
    </w:p>
    <w:p w14:paraId="040FC430" w14:textId="77777777" w:rsidR="6D224D23" w:rsidRDefault="6D224D23" w:rsidP="00C72779">
      <w:pPr>
        <w:jc w:val="both"/>
      </w:pPr>
      <w:r w:rsidRPr="11273FAF">
        <w:rPr>
          <w:rFonts w:eastAsia="Arial" w:cs="Arial"/>
          <w:sz w:val="22"/>
          <w:szCs w:val="22"/>
          <w:lang w:val="es"/>
        </w:rPr>
        <w:t xml:space="preserve">Este proceso establece actividades permanentes que tienen como base, el diseño de planes de medios, campañas, monitoreos en </w:t>
      </w:r>
      <w:r w:rsidRPr="11273FAF">
        <w:rPr>
          <w:rFonts w:eastAsia="Arial" w:cs="Arial"/>
          <w:i/>
          <w:iCs/>
          <w:sz w:val="22"/>
          <w:szCs w:val="22"/>
          <w:lang w:val="es"/>
        </w:rPr>
        <w:t>free press</w:t>
      </w:r>
      <w:r w:rsidRPr="11273FAF">
        <w:rPr>
          <w:rFonts w:eastAsia="Arial" w:cs="Arial"/>
          <w:sz w:val="22"/>
          <w:szCs w:val="22"/>
          <w:lang w:val="es"/>
        </w:rPr>
        <w:t xml:space="preserve">, entrevistas, publicaciones en la página web, generación de contenidos digitales y análogos, así como columnas de opinión, sobre temas estratégicos del IGAC, que han contribuido al crecimiento de la difusión de la información que genera la entidad. </w:t>
      </w:r>
    </w:p>
    <w:p w14:paraId="6BE61CF5" w14:textId="77777777" w:rsidR="6D224D23" w:rsidRDefault="6D224D23" w:rsidP="00C72779">
      <w:pPr>
        <w:jc w:val="both"/>
        <w:rPr>
          <w:rFonts w:eastAsia="Arial" w:cs="Arial"/>
          <w:sz w:val="22"/>
          <w:szCs w:val="22"/>
          <w:lang w:val="es"/>
        </w:rPr>
      </w:pPr>
      <w:r w:rsidRPr="4AF797C7">
        <w:rPr>
          <w:rFonts w:eastAsia="Arial" w:cs="Arial"/>
          <w:sz w:val="22"/>
          <w:szCs w:val="22"/>
          <w:lang w:val="es"/>
        </w:rPr>
        <w:t xml:space="preserve"> </w:t>
      </w:r>
    </w:p>
    <w:p w14:paraId="75F1D3B1" w14:textId="77777777" w:rsidR="6D224D23" w:rsidRDefault="6D224D23" w:rsidP="000A20EE">
      <w:pPr>
        <w:pStyle w:val="Prrafodelista"/>
        <w:numPr>
          <w:ilvl w:val="0"/>
          <w:numId w:val="195"/>
        </w:numPr>
        <w:rPr>
          <w:rFonts w:eastAsia="Arial" w:cs="Arial"/>
          <w:b/>
          <w:bCs/>
          <w:sz w:val="22"/>
          <w:szCs w:val="22"/>
        </w:rPr>
      </w:pPr>
      <w:r w:rsidRPr="69F17F68">
        <w:rPr>
          <w:rFonts w:eastAsia="Arial" w:cs="Arial"/>
          <w:b/>
          <w:bCs/>
          <w:sz w:val="22"/>
          <w:szCs w:val="22"/>
        </w:rPr>
        <w:t xml:space="preserve">Gestión de </w:t>
      </w:r>
      <w:r w:rsidR="29A2A7CB" w:rsidRPr="69F17F68">
        <w:rPr>
          <w:rFonts w:eastAsia="Arial" w:cs="Arial"/>
          <w:b/>
          <w:bCs/>
          <w:sz w:val="22"/>
          <w:szCs w:val="22"/>
        </w:rPr>
        <w:t>comunicaciones</w:t>
      </w:r>
      <w:r w:rsidRPr="69F17F68">
        <w:rPr>
          <w:rFonts w:eastAsia="Arial" w:cs="Arial"/>
          <w:b/>
          <w:bCs/>
          <w:sz w:val="22"/>
          <w:szCs w:val="22"/>
        </w:rPr>
        <w:t xml:space="preserve"> interna</w:t>
      </w:r>
      <w:r w:rsidR="5572EDC9" w:rsidRPr="69F17F68">
        <w:rPr>
          <w:rFonts w:eastAsia="Arial" w:cs="Arial"/>
          <w:b/>
          <w:bCs/>
          <w:sz w:val="22"/>
          <w:szCs w:val="22"/>
        </w:rPr>
        <w:t>s</w:t>
      </w:r>
      <w:r w:rsidRPr="69F17F68">
        <w:rPr>
          <w:rFonts w:eastAsia="Arial" w:cs="Arial"/>
          <w:b/>
          <w:bCs/>
          <w:sz w:val="22"/>
          <w:szCs w:val="22"/>
        </w:rPr>
        <w:t xml:space="preserve">: </w:t>
      </w:r>
    </w:p>
    <w:p w14:paraId="595334B2" w14:textId="77777777" w:rsidR="4AF797C7" w:rsidRDefault="4AF797C7" w:rsidP="00C72779">
      <w:pPr>
        <w:pStyle w:val="Lista"/>
      </w:pPr>
    </w:p>
    <w:p w14:paraId="68197331" w14:textId="77777777" w:rsidR="6D224D23" w:rsidRDefault="6D224D23" w:rsidP="00C72779">
      <w:pPr>
        <w:jc w:val="both"/>
      </w:pPr>
      <w:r w:rsidRPr="11273FAF">
        <w:rPr>
          <w:rFonts w:eastAsia="Arial" w:cs="Arial"/>
          <w:sz w:val="22"/>
          <w:szCs w:val="22"/>
          <w:lang w:val="es"/>
        </w:rPr>
        <w:t xml:space="preserve">Dentro de los objetivos estratégicos también se encuentra mejorar el clima organizacional de la entidad, primero para que los colaboradores de la entidad tengan un sentido de apropiación por el instituto y segundo, para que, a través de los medios de comunicación internos, se tenga una apropiación del conocimiento y avances de la entidad en el cumplimiento de su misionalidad. </w:t>
      </w:r>
    </w:p>
    <w:p w14:paraId="33651989" w14:textId="77777777" w:rsidR="6D224D23" w:rsidRDefault="6D224D23" w:rsidP="00C72779">
      <w:pPr>
        <w:jc w:val="both"/>
        <w:rPr>
          <w:rFonts w:eastAsia="Arial" w:cs="Arial"/>
          <w:sz w:val="22"/>
          <w:szCs w:val="22"/>
          <w:lang w:val="es"/>
        </w:rPr>
      </w:pPr>
      <w:r w:rsidRPr="4AF797C7">
        <w:rPr>
          <w:rFonts w:eastAsia="Arial" w:cs="Arial"/>
          <w:sz w:val="22"/>
          <w:szCs w:val="22"/>
          <w:lang w:val="es"/>
        </w:rPr>
        <w:t xml:space="preserve"> </w:t>
      </w:r>
    </w:p>
    <w:p w14:paraId="3F11CF10" w14:textId="3163B1FC" w:rsidR="00A6302C" w:rsidRPr="00A6302C" w:rsidRDefault="6D224D23" w:rsidP="00A6302C">
      <w:pPr>
        <w:pStyle w:val="Prrafodelista"/>
        <w:numPr>
          <w:ilvl w:val="2"/>
          <w:numId w:val="22"/>
        </w:numPr>
        <w:rPr>
          <w:rFonts w:eastAsia="Arial" w:cs="Arial"/>
          <w:b/>
          <w:bCs/>
          <w:sz w:val="22"/>
          <w:szCs w:val="22"/>
        </w:rPr>
      </w:pPr>
      <w:r w:rsidRPr="00A6302C">
        <w:rPr>
          <w:rFonts w:eastAsia="Arial" w:cs="Arial"/>
          <w:b/>
          <w:bCs/>
          <w:sz w:val="22"/>
          <w:szCs w:val="22"/>
        </w:rPr>
        <w:t>RESULTADOS Y LOGROS</w:t>
      </w:r>
    </w:p>
    <w:p w14:paraId="0CC86FA5" w14:textId="77777777" w:rsidR="4AF797C7" w:rsidRDefault="4AF797C7" w:rsidP="00C72779">
      <w:pPr>
        <w:rPr>
          <w:b/>
          <w:bCs/>
        </w:rPr>
      </w:pPr>
    </w:p>
    <w:p w14:paraId="006FBFD2" w14:textId="77777777" w:rsidR="6D224D23" w:rsidRDefault="6D224D23" w:rsidP="00C72779">
      <w:pPr>
        <w:jc w:val="both"/>
      </w:pPr>
      <w:r w:rsidRPr="11273FAF">
        <w:rPr>
          <w:rFonts w:eastAsia="Arial" w:cs="Arial"/>
          <w:sz w:val="22"/>
          <w:szCs w:val="22"/>
          <w:lang w:val="es"/>
        </w:rPr>
        <w:t xml:space="preserve">Para la gestión de comunicaciones </w:t>
      </w:r>
      <w:r w:rsidRPr="11273FAF">
        <w:rPr>
          <w:rFonts w:eastAsia="Arial" w:cs="Arial"/>
          <w:b/>
          <w:bCs/>
          <w:sz w:val="22"/>
          <w:szCs w:val="22"/>
          <w:lang w:val="es"/>
        </w:rPr>
        <w:t>vigencia 2020</w:t>
      </w:r>
      <w:r w:rsidRPr="11273FAF">
        <w:rPr>
          <w:rFonts w:eastAsia="Arial" w:cs="Arial"/>
          <w:sz w:val="22"/>
          <w:szCs w:val="22"/>
          <w:lang w:val="es"/>
        </w:rPr>
        <w:t>, se evidenció lo siguiente:</w:t>
      </w:r>
    </w:p>
    <w:p w14:paraId="5A1E9B94" w14:textId="77777777" w:rsidR="6D224D23" w:rsidRDefault="6D224D23" w:rsidP="00C72779">
      <w:pPr>
        <w:jc w:val="both"/>
      </w:pPr>
      <w:r w:rsidRPr="11273FAF">
        <w:rPr>
          <w:rFonts w:eastAsia="Arial" w:cs="Arial"/>
          <w:b/>
          <w:bCs/>
          <w:sz w:val="22"/>
          <w:szCs w:val="22"/>
          <w:lang w:val="es"/>
        </w:rPr>
        <w:t xml:space="preserve"> </w:t>
      </w:r>
    </w:p>
    <w:tbl>
      <w:tblPr>
        <w:tblStyle w:val="Tabladecuadrcula1clara-nfasis1"/>
        <w:tblW w:w="0" w:type="auto"/>
        <w:tblLayout w:type="fixed"/>
        <w:tblLook w:val="04A0" w:firstRow="1" w:lastRow="0" w:firstColumn="1" w:lastColumn="0" w:noHBand="0" w:noVBand="1"/>
      </w:tblPr>
      <w:tblGrid>
        <w:gridCol w:w="1943"/>
        <w:gridCol w:w="7417"/>
      </w:tblGrid>
      <w:tr w:rsidR="00FA70AB" w:rsidRPr="005E5E4A" w14:paraId="6EBCDE15" w14:textId="77777777" w:rsidTr="00A6302C">
        <w:trPr>
          <w:cnfStyle w:val="100000000000" w:firstRow="1" w:lastRow="0" w:firstColumn="0" w:lastColumn="0" w:oddVBand="0" w:evenVBand="0" w:oddHBand="0" w:evenHBand="0" w:firstRowFirstColumn="0" w:firstRowLastColumn="0" w:lastRowFirstColumn="0" w:lastRowLastColumn="0"/>
          <w:trHeight w:val="1065"/>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right w:val="single" w:sz="8" w:space="0" w:color="B8CCE4" w:themeColor="accent1" w:themeTint="66"/>
            </w:tcBorders>
          </w:tcPr>
          <w:p w14:paraId="634350C2" w14:textId="77777777" w:rsidR="00FA70AB" w:rsidRPr="005E5E4A" w:rsidRDefault="00FA70AB" w:rsidP="00A6302C">
            <w:pPr>
              <w:jc w:val="center"/>
              <w:rPr>
                <w:sz w:val="20"/>
                <w:szCs w:val="20"/>
              </w:rPr>
            </w:pPr>
            <w:r w:rsidRPr="005E5E4A">
              <w:rPr>
                <w:noProof/>
                <w:sz w:val="20"/>
                <w:szCs w:val="20"/>
                <w:lang w:val="es-CO" w:eastAsia="es-CO"/>
              </w:rPr>
              <w:drawing>
                <wp:inline distT="0" distB="0" distL="0" distR="0" wp14:anchorId="4441678B" wp14:editId="1C2E1B10">
                  <wp:extent cx="742950" cy="742950"/>
                  <wp:effectExtent l="0" t="0" r="0" b="0"/>
                  <wp:docPr id="21" name="Picture 1652919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0">
                            <a:extLst>
                              <a:ext uri="{28A0092B-C50C-407E-A947-70E740481C1C}">
                                <a14:useLocalDpi xmlns:a14="http://schemas.microsoft.com/office/drawing/2010/main" val="0"/>
                              </a:ext>
                            </a:extLst>
                          </a:blip>
                          <a:stretch>
                            <a:fillRect/>
                          </a:stretch>
                        </pic:blipFill>
                        <pic:spPr>
                          <a:xfrm>
                            <a:off x="0" y="0"/>
                            <a:ext cx="742950" cy="742950"/>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right w:val="single" w:sz="8" w:space="0" w:color="B8CCE4" w:themeColor="accent1" w:themeTint="66"/>
            </w:tcBorders>
            <w:vAlign w:val="center"/>
          </w:tcPr>
          <w:p w14:paraId="287E1F89" w14:textId="77777777" w:rsidR="00FA70AB" w:rsidRPr="005E5E4A" w:rsidRDefault="00FA70AB" w:rsidP="000A20EE">
            <w:pPr>
              <w:pStyle w:val="Prrafodelista"/>
              <w:numPr>
                <w:ilvl w:val="0"/>
                <w:numId w:val="140"/>
              </w:numP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5E5E4A">
              <w:rPr>
                <w:rFonts w:eastAsia="Arial" w:cs="Arial"/>
                <w:b w:val="0"/>
                <w:bCs w:val="0"/>
              </w:rPr>
              <w:t xml:space="preserve">Se redactaron 72 comunicados de prensa, los cuales presentaron 754 registros en diferentes medios de comunicación nacional; permitiendo un ahorro de 672 millones de pesos en </w:t>
            </w:r>
            <w:r w:rsidRPr="005E5E4A">
              <w:rPr>
                <w:rFonts w:eastAsia="Arial" w:cs="Arial"/>
                <w:b w:val="0"/>
                <w:bCs w:val="0"/>
                <w:i/>
                <w:iCs/>
              </w:rPr>
              <w:t>free press</w:t>
            </w:r>
            <w:r w:rsidRPr="005E5E4A">
              <w:rPr>
                <w:rFonts w:eastAsia="Arial" w:cs="Arial"/>
                <w:b w:val="0"/>
                <w:bCs w:val="0"/>
              </w:rPr>
              <w:t>. Lo que produjo un crecimiento de 287% con respecto al año anterior.</w:t>
            </w:r>
          </w:p>
          <w:p w14:paraId="098C8451" w14:textId="77777777" w:rsidR="00FA70AB" w:rsidRPr="005E5E4A" w:rsidRDefault="00FA70AB" w:rsidP="000A20EE">
            <w:pPr>
              <w:pStyle w:val="Prrafodelista"/>
              <w:numPr>
                <w:ilvl w:val="0"/>
                <w:numId w:val="140"/>
              </w:numP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5E5E4A">
              <w:rPr>
                <w:rFonts w:eastAsia="Arial" w:cs="Arial"/>
                <w:b w:val="0"/>
                <w:bCs w:val="0"/>
              </w:rPr>
              <w:t xml:space="preserve">Así mismo se presentó un aumento en el número de publicaciones realizadas en un 203%. </w:t>
            </w:r>
          </w:p>
        </w:tc>
      </w:tr>
      <w:tr w:rsidR="00FA70AB" w:rsidRPr="005E5E4A" w14:paraId="73DD1887" w14:textId="77777777" w:rsidTr="00A6302C">
        <w:trPr>
          <w:trHeight w:val="1050"/>
        </w:trPr>
        <w:tc>
          <w:tcPr>
            <w:cnfStyle w:val="001000000000" w:firstRow="0" w:lastRow="0" w:firstColumn="1" w:lastColumn="0" w:oddVBand="0" w:evenVBand="0" w:oddHBand="0" w:evenHBand="0" w:firstRowFirstColumn="0" w:firstRowLastColumn="0" w:lastRowFirstColumn="0" w:lastRowLastColumn="0"/>
            <w:tcW w:w="1943" w:type="dxa"/>
            <w:tcBorders>
              <w:top w:val="single" w:sz="12" w:space="0" w:color="95B3D7" w:themeColor="accent1" w:themeTint="99"/>
              <w:left w:val="single" w:sz="8" w:space="0" w:color="B8CCE4" w:themeColor="accent1" w:themeTint="66"/>
              <w:bottom w:val="single" w:sz="8" w:space="0" w:color="B8CCE4" w:themeColor="accent1" w:themeTint="66"/>
              <w:right w:val="single" w:sz="8" w:space="0" w:color="B8CCE4" w:themeColor="accent1" w:themeTint="66"/>
            </w:tcBorders>
          </w:tcPr>
          <w:p w14:paraId="5EA0B07B" w14:textId="77777777" w:rsidR="00FA70AB" w:rsidRPr="005E5E4A" w:rsidRDefault="00FA70AB" w:rsidP="00A6302C">
            <w:pPr>
              <w:jc w:val="center"/>
              <w:rPr>
                <w:sz w:val="20"/>
                <w:szCs w:val="20"/>
              </w:rPr>
            </w:pPr>
            <w:r w:rsidRPr="005E5E4A">
              <w:rPr>
                <w:noProof/>
                <w:sz w:val="20"/>
                <w:szCs w:val="20"/>
                <w:lang w:val="es-CO" w:eastAsia="es-CO"/>
              </w:rPr>
              <w:drawing>
                <wp:inline distT="0" distB="0" distL="0" distR="0" wp14:anchorId="2FD0E6F1" wp14:editId="7C3872E1">
                  <wp:extent cx="828675" cy="828675"/>
                  <wp:effectExtent l="0" t="0" r="0" b="0"/>
                  <wp:docPr id="25" name="Picture 1463530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1">
                            <a:extLst>
                              <a:ext uri="{28A0092B-C50C-407E-A947-70E740481C1C}">
                                <a14:useLocalDpi xmlns:a14="http://schemas.microsoft.com/office/drawing/2010/main" val="0"/>
                              </a:ext>
                            </a:extLst>
                          </a:blip>
                          <a:stretch>
                            <a:fillRect/>
                          </a:stretch>
                        </pic:blipFill>
                        <pic:spPr>
                          <a:xfrm>
                            <a:off x="0" y="0"/>
                            <a:ext cx="828675" cy="828675"/>
                          </a:xfrm>
                          <a:prstGeom prst="rect">
                            <a:avLst/>
                          </a:prstGeom>
                        </pic:spPr>
                      </pic:pic>
                    </a:graphicData>
                  </a:graphic>
                </wp:inline>
              </w:drawing>
            </w:r>
          </w:p>
        </w:tc>
        <w:tc>
          <w:tcPr>
            <w:tcW w:w="7417" w:type="dxa"/>
            <w:tcBorders>
              <w:top w:val="single" w:sz="12" w:space="0" w:color="95B3D7" w:themeColor="accent1" w:themeTint="99"/>
              <w:left w:val="single" w:sz="8" w:space="0" w:color="B8CCE4" w:themeColor="accent1" w:themeTint="66"/>
              <w:bottom w:val="single" w:sz="8" w:space="0" w:color="B8CCE4" w:themeColor="accent1" w:themeTint="66"/>
              <w:right w:val="single" w:sz="8" w:space="0" w:color="B8CCE4" w:themeColor="accent1" w:themeTint="66"/>
            </w:tcBorders>
            <w:vAlign w:val="center"/>
          </w:tcPr>
          <w:p w14:paraId="559F4B67" w14:textId="77777777" w:rsidR="00FA70AB" w:rsidRPr="005E5E4A" w:rsidRDefault="00FA70AB" w:rsidP="000A20EE">
            <w:pPr>
              <w:pStyle w:val="Prrafodelista"/>
              <w:numPr>
                <w:ilvl w:val="0"/>
                <w:numId w:val="139"/>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Participación en 16 eventos virtuales, ferias o conferencias a nivel nacional.</w:t>
            </w:r>
          </w:p>
          <w:p w14:paraId="5B1C9DC3" w14:textId="77777777" w:rsidR="00FA70AB" w:rsidRPr="005E5E4A" w:rsidRDefault="00FA70AB" w:rsidP="000A20EE">
            <w:pPr>
              <w:pStyle w:val="Prrafodelista"/>
              <w:numPr>
                <w:ilvl w:val="0"/>
                <w:numId w:val="139"/>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 xml:space="preserve">Reorganización del sitio web de la entidad con un registro de ingreso de 1.144.663 usuarios únicos. </w:t>
            </w:r>
          </w:p>
        </w:tc>
      </w:tr>
      <w:tr w:rsidR="00FA70AB" w:rsidRPr="005E5E4A" w14:paraId="45038D7B" w14:textId="77777777" w:rsidTr="00A6302C">
        <w:trPr>
          <w:trHeight w:val="1065"/>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tcPr>
          <w:p w14:paraId="0402F952" w14:textId="77777777" w:rsidR="00FA70AB" w:rsidRPr="005E5E4A" w:rsidRDefault="00FA70AB" w:rsidP="00A6302C">
            <w:pPr>
              <w:jc w:val="center"/>
              <w:rPr>
                <w:sz w:val="20"/>
                <w:szCs w:val="20"/>
              </w:rPr>
            </w:pPr>
            <w:r w:rsidRPr="005E5E4A">
              <w:rPr>
                <w:noProof/>
                <w:sz w:val="20"/>
                <w:szCs w:val="20"/>
                <w:lang w:val="es-CO" w:eastAsia="es-CO"/>
              </w:rPr>
              <w:lastRenderedPageBreak/>
              <w:drawing>
                <wp:inline distT="0" distB="0" distL="0" distR="0" wp14:anchorId="1C9C1EF2" wp14:editId="2C5BF179">
                  <wp:extent cx="771525" cy="771525"/>
                  <wp:effectExtent l="0" t="0" r="0" b="0"/>
                  <wp:docPr id="26" name="Picture 39727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2">
                            <a:extLst>
                              <a:ext uri="{28A0092B-C50C-407E-A947-70E740481C1C}">
                                <a14:useLocalDpi xmlns:a14="http://schemas.microsoft.com/office/drawing/2010/main" val="0"/>
                              </a:ext>
                            </a:extLst>
                          </a:blip>
                          <a:stretch>
                            <a:fillRect/>
                          </a:stretch>
                        </pic:blipFill>
                        <pic:spPr>
                          <a:xfrm>
                            <a:off x="0" y="0"/>
                            <a:ext cx="771525" cy="771525"/>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vAlign w:val="center"/>
          </w:tcPr>
          <w:p w14:paraId="01235F16" w14:textId="77777777" w:rsidR="00FA70AB" w:rsidRPr="005E5E4A" w:rsidRDefault="00FA70AB" w:rsidP="000A20EE">
            <w:pPr>
              <w:pStyle w:val="Prrafodelista"/>
              <w:numPr>
                <w:ilvl w:val="0"/>
                <w:numId w:val="138"/>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A nivel interno, se lideraron 10 campañas trasversales y 50 más, para fortalecer el clima organizacional (información, talleres, capacitaciones, eventos, entre otros).</w:t>
            </w:r>
          </w:p>
        </w:tc>
      </w:tr>
      <w:tr w:rsidR="00FA70AB" w:rsidRPr="005E5E4A" w14:paraId="59E19B85" w14:textId="77777777" w:rsidTr="00A6302C">
        <w:trPr>
          <w:trHeight w:val="1050"/>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tcPr>
          <w:p w14:paraId="34579442" w14:textId="77777777" w:rsidR="00FA70AB" w:rsidRPr="005E5E4A" w:rsidRDefault="00FA70AB" w:rsidP="00A6302C">
            <w:pPr>
              <w:jc w:val="center"/>
              <w:rPr>
                <w:sz w:val="20"/>
                <w:szCs w:val="20"/>
              </w:rPr>
            </w:pPr>
            <w:r w:rsidRPr="005E5E4A">
              <w:rPr>
                <w:noProof/>
                <w:sz w:val="20"/>
                <w:szCs w:val="20"/>
                <w:lang w:val="es-CO" w:eastAsia="es-CO"/>
              </w:rPr>
              <w:drawing>
                <wp:inline distT="0" distB="0" distL="0" distR="0" wp14:anchorId="5E4B7457" wp14:editId="0FBB0F17">
                  <wp:extent cx="857250" cy="847725"/>
                  <wp:effectExtent l="0" t="0" r="0" b="0"/>
                  <wp:docPr id="32" name="Picture 8214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3">
                            <a:extLst>
                              <a:ext uri="{28A0092B-C50C-407E-A947-70E740481C1C}">
                                <a14:useLocalDpi xmlns:a14="http://schemas.microsoft.com/office/drawing/2010/main" val="0"/>
                              </a:ext>
                            </a:extLst>
                          </a:blip>
                          <a:stretch>
                            <a:fillRect/>
                          </a:stretch>
                        </pic:blipFill>
                        <pic:spPr>
                          <a:xfrm>
                            <a:off x="0" y="0"/>
                            <a:ext cx="857250" cy="847725"/>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vAlign w:val="center"/>
          </w:tcPr>
          <w:p w14:paraId="1EDF6E7D" w14:textId="77777777" w:rsidR="00FA70AB" w:rsidRPr="005E5E4A" w:rsidRDefault="00FA70AB"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0"/>
                <w:lang w:val="es"/>
              </w:rPr>
            </w:pPr>
            <w:r w:rsidRPr="005E5E4A">
              <w:rPr>
                <w:rFonts w:eastAsia="Arial" w:cs="Arial"/>
                <w:sz w:val="20"/>
                <w:szCs w:val="20"/>
                <w:lang w:val="es"/>
              </w:rPr>
              <w:t>En comunicación digital:</w:t>
            </w:r>
          </w:p>
          <w:p w14:paraId="7C9E61F6" w14:textId="77777777" w:rsidR="00FA70AB" w:rsidRPr="005E5E4A" w:rsidRDefault="00FA70AB" w:rsidP="00A6302C">
            <w:pPr>
              <w:jc w:val="both"/>
              <w:cnfStyle w:val="000000000000" w:firstRow="0" w:lastRow="0" w:firstColumn="0" w:lastColumn="0" w:oddVBand="0" w:evenVBand="0" w:oddHBand="0" w:evenHBand="0" w:firstRowFirstColumn="0" w:firstRowLastColumn="0" w:lastRowFirstColumn="0" w:lastRowLastColumn="0"/>
              <w:rPr>
                <w:rFonts w:eastAsia="Arial" w:cs="Arial"/>
                <w:sz w:val="20"/>
                <w:szCs w:val="20"/>
                <w:lang w:val="es"/>
              </w:rPr>
            </w:pPr>
            <w:r w:rsidRPr="005E5E4A">
              <w:rPr>
                <w:rFonts w:eastAsia="Arial" w:cs="Arial"/>
                <w:sz w:val="20"/>
                <w:szCs w:val="20"/>
                <w:lang w:val="es"/>
              </w:rPr>
              <w:t xml:space="preserve"> </w:t>
            </w:r>
          </w:p>
          <w:p w14:paraId="63210F2E" w14:textId="77777777" w:rsidR="00FA70AB" w:rsidRPr="005E5E4A" w:rsidRDefault="00FA70AB" w:rsidP="000A20EE">
            <w:pPr>
              <w:pStyle w:val="Prrafodelista"/>
              <w:numPr>
                <w:ilvl w:val="0"/>
                <w:numId w:val="138"/>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 xml:space="preserve">Se realizaron 30 Facebook Live, que registraron una participación 11.268 personas conectadas en directo. </w:t>
            </w:r>
          </w:p>
          <w:p w14:paraId="06503872" w14:textId="77777777" w:rsidR="00FA70AB" w:rsidRPr="005E5E4A" w:rsidRDefault="00FA70AB" w:rsidP="000A20EE">
            <w:pPr>
              <w:pStyle w:val="Prrafodelista"/>
              <w:numPr>
                <w:ilvl w:val="0"/>
                <w:numId w:val="138"/>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 xml:space="preserve">Sobre los temas misionales del IGAC, se presentaron 172 campañas en redes sociales y se atendieron 2.133 solicitudes de los usuarios, que fueron remitidas al área de Atención al Ciudadano. </w:t>
            </w:r>
          </w:p>
          <w:p w14:paraId="4E9233FF" w14:textId="77777777" w:rsidR="00FA70AB" w:rsidRPr="005E5E4A" w:rsidRDefault="00FA70AB" w:rsidP="000A20EE">
            <w:pPr>
              <w:pStyle w:val="Prrafodelista"/>
              <w:numPr>
                <w:ilvl w:val="0"/>
                <w:numId w:val="138"/>
              </w:numPr>
              <w:cnfStyle w:val="000000000000" w:firstRow="0" w:lastRow="0" w:firstColumn="0" w:lastColumn="0" w:oddVBand="0" w:evenVBand="0" w:oddHBand="0" w:evenHBand="0" w:firstRowFirstColumn="0" w:firstRowLastColumn="0" w:lastRowFirstColumn="0" w:lastRowLastColumn="0"/>
              <w:rPr>
                <w:rFonts w:eastAsia="Arial" w:cs="Arial"/>
              </w:rPr>
            </w:pPr>
            <w:r w:rsidRPr="005E5E4A">
              <w:rPr>
                <w:rFonts w:eastAsia="Arial" w:cs="Arial"/>
              </w:rPr>
              <w:t xml:space="preserve">Todo lo anterior permitió un aumento de seguidores de la siguiente manera: </w:t>
            </w:r>
            <w:r w:rsidRPr="005E5E4A">
              <w:rPr>
                <w:rFonts w:eastAsia="Arial" w:cs="Arial"/>
                <w:color w:val="000000" w:themeColor="text1"/>
              </w:rPr>
              <w:t>Facebook +11.371 – Twitter +2.900 Instagram +2.797.</w:t>
            </w:r>
          </w:p>
        </w:tc>
      </w:tr>
    </w:tbl>
    <w:p w14:paraId="3F182E02" w14:textId="77777777" w:rsidR="31FF9146" w:rsidRDefault="31FF9146"/>
    <w:p w14:paraId="1DA9E3C3" w14:textId="77777777" w:rsidR="00FA70AB" w:rsidRPr="005E5E4A" w:rsidRDefault="00FA70AB" w:rsidP="00FA70AB">
      <w:pPr>
        <w:jc w:val="both"/>
      </w:pPr>
      <w:r w:rsidRPr="11273FAF">
        <w:rPr>
          <w:rFonts w:eastAsia="Arial" w:cs="Arial"/>
          <w:b/>
          <w:bCs/>
          <w:sz w:val="22"/>
          <w:szCs w:val="22"/>
          <w:lang w:val="es"/>
        </w:rPr>
        <w:t xml:space="preserve"> </w:t>
      </w:r>
      <w:r w:rsidRPr="005E5E4A">
        <w:rPr>
          <w:rFonts w:eastAsia="Arial" w:cs="Arial"/>
          <w:b/>
          <w:bCs/>
          <w:sz w:val="22"/>
          <w:szCs w:val="22"/>
          <w:lang w:val="es"/>
        </w:rPr>
        <w:t>VIGENCIA 2021</w:t>
      </w:r>
    </w:p>
    <w:p w14:paraId="19936BEF" w14:textId="77777777" w:rsidR="6D224D23" w:rsidRDefault="6D224D23" w:rsidP="00C72779">
      <w:pPr>
        <w:jc w:val="both"/>
      </w:pPr>
      <w:r w:rsidRPr="11273FAF">
        <w:rPr>
          <w:rFonts w:eastAsia="Arial" w:cs="Arial"/>
          <w:b/>
          <w:bCs/>
          <w:sz w:val="22"/>
          <w:szCs w:val="22"/>
          <w:lang w:val="es"/>
        </w:rPr>
        <w:t xml:space="preserve"> </w:t>
      </w:r>
    </w:p>
    <w:p w14:paraId="47A07D3A" w14:textId="77777777" w:rsidR="6D224D23" w:rsidRDefault="6D224D23" w:rsidP="00C72779">
      <w:pPr>
        <w:jc w:val="both"/>
      </w:pPr>
      <w:r w:rsidRPr="11273FAF">
        <w:rPr>
          <w:rFonts w:eastAsia="Arial" w:cs="Arial"/>
          <w:sz w:val="22"/>
          <w:szCs w:val="22"/>
          <w:lang w:val="es"/>
        </w:rPr>
        <w:t xml:space="preserve">Uno de los logros más importantes para la vigencia de 2021, fue la creación de la Oficina Asesora de Comunicaciones dentro de la distribución orgánica de IGAC. </w:t>
      </w:r>
    </w:p>
    <w:p w14:paraId="72F0E5E5" w14:textId="77777777" w:rsidR="6D224D23" w:rsidRDefault="6D224D23" w:rsidP="00C72779">
      <w:pPr>
        <w:jc w:val="both"/>
      </w:pPr>
      <w:r w:rsidRPr="11273FAF">
        <w:rPr>
          <w:rFonts w:eastAsia="Arial" w:cs="Arial"/>
          <w:sz w:val="22"/>
          <w:szCs w:val="22"/>
          <w:lang w:val="es"/>
        </w:rPr>
        <w:t xml:space="preserve"> </w:t>
      </w:r>
    </w:p>
    <w:p w14:paraId="1EB07B81" w14:textId="77777777" w:rsidR="6D224D23" w:rsidRDefault="6D224D23" w:rsidP="00C72779">
      <w:pPr>
        <w:jc w:val="both"/>
      </w:pPr>
      <w:r w:rsidRPr="11273FAF">
        <w:rPr>
          <w:rFonts w:eastAsia="Arial" w:cs="Arial"/>
          <w:sz w:val="22"/>
          <w:szCs w:val="22"/>
          <w:lang w:val="es"/>
        </w:rPr>
        <w:t xml:space="preserve">Esta oficina, hace parte de la nueva plataforma estratégica de la entidad. Su Estrategia de Comunicaciones establece el marco de las tácticas que han venido rigiendo para guiar la difusión interna y externa de la gestión de la entidad, con base en lo estipulado en el Plan Nacional de Desarrollo 2018-2022 “Pacto por Colombia, pacto por la equidad” y en el Plan Estratégico Institucional del IGAC 2019-2022; además, va encaminada a cumplir cuatro pilares fundamentales para afrontar los retos que hoy tiene Colombia: Transparencia, Tecnología, Modernización y Mejor Servicio. </w:t>
      </w:r>
    </w:p>
    <w:p w14:paraId="737EBA55" w14:textId="77777777" w:rsidR="6D224D23" w:rsidRDefault="6D224D23" w:rsidP="00C72779">
      <w:pPr>
        <w:jc w:val="both"/>
      </w:pPr>
      <w:r w:rsidRPr="11273FAF">
        <w:rPr>
          <w:rFonts w:eastAsia="Arial" w:cs="Arial"/>
          <w:b/>
          <w:bCs/>
          <w:sz w:val="22"/>
          <w:szCs w:val="22"/>
          <w:lang w:val="es"/>
        </w:rPr>
        <w:t xml:space="preserve"> </w:t>
      </w:r>
    </w:p>
    <w:p w14:paraId="5FBF511A" w14:textId="77777777" w:rsidR="6D224D23" w:rsidRDefault="6D224D23" w:rsidP="00C72779">
      <w:pPr>
        <w:jc w:val="both"/>
      </w:pPr>
      <w:r w:rsidRPr="11273FAF">
        <w:rPr>
          <w:rFonts w:eastAsia="Arial" w:cs="Arial"/>
          <w:sz w:val="22"/>
          <w:szCs w:val="22"/>
          <w:lang w:val="es"/>
        </w:rPr>
        <w:t xml:space="preserve">Así mismo se evidenciaron logros en los diferentes componentes del proceso de Gestión de Comunicaciones con corte al </w:t>
      </w:r>
      <w:r w:rsidRPr="11273FAF">
        <w:rPr>
          <w:rFonts w:eastAsia="Arial" w:cs="Arial"/>
          <w:b/>
          <w:bCs/>
          <w:sz w:val="22"/>
          <w:szCs w:val="22"/>
          <w:lang w:val="es"/>
        </w:rPr>
        <w:t>31 de octubre de 2021</w:t>
      </w:r>
      <w:r w:rsidRPr="11273FAF">
        <w:rPr>
          <w:rFonts w:eastAsia="Arial" w:cs="Arial"/>
          <w:sz w:val="22"/>
          <w:szCs w:val="22"/>
          <w:lang w:val="es"/>
        </w:rPr>
        <w:t xml:space="preserve"> que comprenden lo siguiente: </w:t>
      </w:r>
    </w:p>
    <w:p w14:paraId="499746F5" w14:textId="77777777" w:rsidR="6D224D23" w:rsidRDefault="6D224D23" w:rsidP="00C72779">
      <w:pPr>
        <w:jc w:val="both"/>
      </w:pPr>
      <w:r w:rsidRPr="4AF797C7">
        <w:rPr>
          <w:rFonts w:eastAsia="Arial" w:cs="Arial"/>
          <w:b/>
          <w:bCs/>
          <w:sz w:val="22"/>
          <w:szCs w:val="22"/>
          <w:lang w:val="es"/>
        </w:rPr>
        <w:t xml:space="preserve">  </w:t>
      </w:r>
    </w:p>
    <w:tbl>
      <w:tblPr>
        <w:tblStyle w:val="Tabladecuadrcula1clara-nfasis1"/>
        <w:tblW w:w="0" w:type="auto"/>
        <w:tblLayout w:type="fixed"/>
        <w:tblLook w:val="04A0" w:firstRow="1" w:lastRow="0" w:firstColumn="1" w:lastColumn="0" w:noHBand="0" w:noVBand="1"/>
      </w:tblPr>
      <w:tblGrid>
        <w:gridCol w:w="1943"/>
        <w:gridCol w:w="7417"/>
      </w:tblGrid>
      <w:tr w:rsidR="00FA70AB" w14:paraId="6304A935" w14:textId="77777777" w:rsidTr="00A6302C">
        <w:trPr>
          <w:cnfStyle w:val="100000000000" w:firstRow="1" w:lastRow="0" w:firstColumn="0" w:lastColumn="0" w:oddVBand="0" w:evenVBand="0" w:oddHBand="0" w:evenHBand="0" w:firstRowFirstColumn="0" w:firstRowLastColumn="0" w:lastRowFirstColumn="0" w:lastRowLastColumn="0"/>
          <w:trHeight w:val="1065"/>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right w:val="single" w:sz="8" w:space="0" w:color="B8CCE4" w:themeColor="accent1" w:themeTint="66"/>
            </w:tcBorders>
          </w:tcPr>
          <w:p w14:paraId="4B8A1027" w14:textId="77777777" w:rsidR="00FA70AB" w:rsidRDefault="00FA70AB" w:rsidP="00A6302C">
            <w:pPr>
              <w:jc w:val="center"/>
            </w:pPr>
            <w:r>
              <w:rPr>
                <w:noProof/>
                <w:lang w:val="es-CO" w:eastAsia="es-CO"/>
              </w:rPr>
              <w:drawing>
                <wp:inline distT="0" distB="0" distL="0" distR="0" wp14:anchorId="163EA4E6" wp14:editId="7C48C03A">
                  <wp:extent cx="742950" cy="742950"/>
                  <wp:effectExtent l="0" t="0" r="0" b="0"/>
                  <wp:docPr id="42" name="Picture 689273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0">
                            <a:extLst>
                              <a:ext uri="{28A0092B-C50C-407E-A947-70E740481C1C}">
                                <a14:useLocalDpi xmlns:a14="http://schemas.microsoft.com/office/drawing/2010/main" val="0"/>
                              </a:ext>
                            </a:extLst>
                          </a:blip>
                          <a:stretch>
                            <a:fillRect/>
                          </a:stretch>
                        </pic:blipFill>
                        <pic:spPr>
                          <a:xfrm>
                            <a:off x="0" y="0"/>
                            <a:ext cx="742950" cy="742950"/>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right w:val="single" w:sz="8" w:space="0" w:color="B8CCE4" w:themeColor="accent1" w:themeTint="66"/>
            </w:tcBorders>
            <w:vAlign w:val="center"/>
          </w:tcPr>
          <w:p w14:paraId="0A9A7845" w14:textId="77777777" w:rsidR="00FA70AB" w:rsidRDefault="00FA70AB" w:rsidP="000A20EE">
            <w:pPr>
              <w:pStyle w:val="Prrafodelista"/>
              <w:numPr>
                <w:ilvl w:val="0"/>
                <w:numId w:val="137"/>
              </w:numPr>
              <w:cnfStyle w:val="100000000000" w:firstRow="1" w:lastRow="0" w:firstColumn="0" w:lastColumn="0" w:oddVBand="0" w:evenVBand="0" w:oddHBand="0" w:evenHBand="0" w:firstRowFirstColumn="0" w:firstRowLastColumn="0" w:lastRowFirstColumn="0" w:lastRowLastColumn="0"/>
              <w:rPr>
                <w:rFonts w:eastAsia="Arial" w:cs="Arial"/>
                <w:b w:val="0"/>
                <w:bCs w:val="0"/>
                <w:color w:val="000000" w:themeColor="text1"/>
                <w:sz w:val="22"/>
                <w:szCs w:val="22"/>
              </w:rPr>
            </w:pPr>
            <w:r w:rsidRPr="4AF797C7">
              <w:rPr>
                <w:rFonts w:eastAsia="Arial" w:cs="Arial"/>
                <w:b w:val="0"/>
                <w:bCs w:val="0"/>
                <w:color w:val="000000" w:themeColor="text1"/>
                <w:sz w:val="22"/>
                <w:szCs w:val="22"/>
              </w:rPr>
              <w:t xml:space="preserve">Se redactaron 80 comunicados que lograron ser registrados en 462 medios de comunicación, lo que produjo un ahorro de 746.873.712 millones de pesos en </w:t>
            </w:r>
            <w:r w:rsidRPr="4AF797C7">
              <w:rPr>
                <w:rFonts w:eastAsia="Arial" w:cs="Arial"/>
                <w:b w:val="0"/>
                <w:bCs w:val="0"/>
                <w:i/>
                <w:iCs/>
                <w:color w:val="000000" w:themeColor="text1"/>
                <w:sz w:val="22"/>
                <w:szCs w:val="22"/>
              </w:rPr>
              <w:t>free press</w:t>
            </w:r>
            <w:r w:rsidRPr="4AF797C7">
              <w:rPr>
                <w:rFonts w:eastAsia="Arial" w:cs="Arial"/>
                <w:b w:val="0"/>
                <w:bCs w:val="0"/>
                <w:color w:val="000000" w:themeColor="text1"/>
                <w:sz w:val="22"/>
                <w:szCs w:val="22"/>
              </w:rPr>
              <w:t xml:space="preserve"> para la entidad.</w:t>
            </w:r>
          </w:p>
        </w:tc>
      </w:tr>
      <w:tr w:rsidR="00FA70AB" w14:paraId="414DCF05" w14:textId="77777777" w:rsidTr="00A6302C">
        <w:trPr>
          <w:trHeight w:val="1050"/>
        </w:trPr>
        <w:tc>
          <w:tcPr>
            <w:cnfStyle w:val="001000000000" w:firstRow="0" w:lastRow="0" w:firstColumn="1" w:lastColumn="0" w:oddVBand="0" w:evenVBand="0" w:oddHBand="0" w:evenHBand="0" w:firstRowFirstColumn="0" w:firstRowLastColumn="0" w:lastRowFirstColumn="0" w:lastRowLastColumn="0"/>
            <w:tcW w:w="1943" w:type="dxa"/>
            <w:tcBorders>
              <w:top w:val="single" w:sz="12" w:space="0" w:color="95B3D7" w:themeColor="accent1" w:themeTint="99"/>
              <w:left w:val="single" w:sz="8" w:space="0" w:color="B8CCE4" w:themeColor="accent1" w:themeTint="66"/>
              <w:bottom w:val="single" w:sz="8" w:space="0" w:color="B8CCE4" w:themeColor="accent1" w:themeTint="66"/>
              <w:right w:val="single" w:sz="8" w:space="0" w:color="B8CCE4" w:themeColor="accent1" w:themeTint="66"/>
            </w:tcBorders>
          </w:tcPr>
          <w:p w14:paraId="44DC54A8" w14:textId="77777777" w:rsidR="00FA70AB" w:rsidRDefault="00FA70AB" w:rsidP="00A6302C">
            <w:pPr>
              <w:jc w:val="center"/>
            </w:pPr>
            <w:r>
              <w:rPr>
                <w:noProof/>
                <w:lang w:val="es-CO" w:eastAsia="es-CO"/>
              </w:rPr>
              <w:drawing>
                <wp:inline distT="0" distB="0" distL="0" distR="0" wp14:anchorId="0E036583" wp14:editId="335A108F">
                  <wp:extent cx="828675" cy="828675"/>
                  <wp:effectExtent l="0" t="0" r="0" b="0"/>
                  <wp:docPr id="43" name="Picture 504839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1">
                            <a:extLst>
                              <a:ext uri="{28A0092B-C50C-407E-A947-70E740481C1C}">
                                <a14:useLocalDpi xmlns:a14="http://schemas.microsoft.com/office/drawing/2010/main" val="0"/>
                              </a:ext>
                            </a:extLst>
                          </a:blip>
                          <a:stretch>
                            <a:fillRect/>
                          </a:stretch>
                        </pic:blipFill>
                        <pic:spPr>
                          <a:xfrm>
                            <a:off x="0" y="0"/>
                            <a:ext cx="828675" cy="828675"/>
                          </a:xfrm>
                          <a:prstGeom prst="rect">
                            <a:avLst/>
                          </a:prstGeom>
                        </pic:spPr>
                      </pic:pic>
                    </a:graphicData>
                  </a:graphic>
                </wp:inline>
              </w:drawing>
            </w:r>
          </w:p>
        </w:tc>
        <w:tc>
          <w:tcPr>
            <w:tcW w:w="7417" w:type="dxa"/>
            <w:tcBorders>
              <w:top w:val="single" w:sz="12" w:space="0" w:color="95B3D7" w:themeColor="accent1" w:themeTint="99"/>
              <w:left w:val="single" w:sz="8" w:space="0" w:color="B8CCE4" w:themeColor="accent1" w:themeTint="66"/>
              <w:bottom w:val="single" w:sz="8" w:space="0" w:color="B8CCE4" w:themeColor="accent1" w:themeTint="66"/>
              <w:right w:val="single" w:sz="8" w:space="0" w:color="B8CCE4" w:themeColor="accent1" w:themeTint="66"/>
            </w:tcBorders>
            <w:vAlign w:val="center"/>
          </w:tcPr>
          <w:p w14:paraId="53A89B47" w14:textId="77777777" w:rsidR="00FA70AB" w:rsidRDefault="00FA70AB" w:rsidP="000A20EE">
            <w:pPr>
              <w:pStyle w:val="Prrafodelista"/>
              <w:numPr>
                <w:ilvl w:val="0"/>
                <w:numId w:val="13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4AF797C7">
              <w:rPr>
                <w:rFonts w:eastAsia="Arial" w:cs="Arial"/>
                <w:color w:val="000000" w:themeColor="text1"/>
                <w:sz w:val="22"/>
                <w:szCs w:val="22"/>
              </w:rPr>
              <w:t xml:space="preserve">El IGAC participó en 18 eventos nacionales, tanto virtuales como presenciales, con una asistencia aproximada de 2.000 personas. </w:t>
            </w:r>
          </w:p>
          <w:p w14:paraId="0659E25D" w14:textId="77777777" w:rsidR="00FA70AB" w:rsidRDefault="00FA70AB" w:rsidP="000A20EE">
            <w:pPr>
              <w:pStyle w:val="Prrafodelista"/>
              <w:numPr>
                <w:ilvl w:val="0"/>
                <w:numId w:val="137"/>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4AF797C7">
              <w:rPr>
                <w:rFonts w:eastAsia="Arial" w:cs="Arial"/>
                <w:color w:val="000000" w:themeColor="text1"/>
                <w:sz w:val="22"/>
                <w:szCs w:val="22"/>
              </w:rPr>
              <w:t>Se escribieron 16 columnas de opinión sobre la gestión de la entidad y temas misionales o inherentes a la política de Catastro Multipropósito.</w:t>
            </w:r>
          </w:p>
        </w:tc>
      </w:tr>
      <w:tr w:rsidR="00FA70AB" w14:paraId="086D85F8" w14:textId="77777777" w:rsidTr="00A6302C">
        <w:trPr>
          <w:trHeight w:val="1065"/>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tcPr>
          <w:p w14:paraId="610BC65C" w14:textId="77777777" w:rsidR="00FA70AB" w:rsidRDefault="00FA70AB" w:rsidP="00A6302C">
            <w:pPr>
              <w:jc w:val="center"/>
            </w:pPr>
            <w:r>
              <w:rPr>
                <w:noProof/>
                <w:lang w:val="es-CO" w:eastAsia="es-CO"/>
              </w:rPr>
              <w:drawing>
                <wp:inline distT="0" distB="0" distL="0" distR="0" wp14:anchorId="2139F9BF" wp14:editId="482EC5EA">
                  <wp:extent cx="771525" cy="771525"/>
                  <wp:effectExtent l="0" t="0" r="0" b="0"/>
                  <wp:docPr id="44" name="Picture 1308360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2">
                            <a:extLst>
                              <a:ext uri="{28A0092B-C50C-407E-A947-70E740481C1C}">
                                <a14:useLocalDpi xmlns:a14="http://schemas.microsoft.com/office/drawing/2010/main" val="0"/>
                              </a:ext>
                            </a:extLst>
                          </a:blip>
                          <a:stretch>
                            <a:fillRect/>
                          </a:stretch>
                        </pic:blipFill>
                        <pic:spPr>
                          <a:xfrm>
                            <a:off x="0" y="0"/>
                            <a:ext cx="771525" cy="771525"/>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vAlign w:val="center"/>
          </w:tcPr>
          <w:p w14:paraId="1BC5A592" w14:textId="77777777" w:rsidR="00FA70AB" w:rsidRDefault="00FA70AB" w:rsidP="000A20EE">
            <w:pPr>
              <w:pStyle w:val="Prrafodelista"/>
              <w:numPr>
                <w:ilvl w:val="0"/>
                <w:numId w:val="136"/>
              </w:numPr>
              <w:cnfStyle w:val="000000000000" w:firstRow="0" w:lastRow="0" w:firstColumn="0" w:lastColumn="0" w:oddVBand="0" w:evenVBand="0" w:oddHBand="0" w:evenHBand="0" w:firstRowFirstColumn="0" w:firstRowLastColumn="0" w:lastRowFirstColumn="0" w:lastRowLastColumn="0"/>
              <w:rPr>
                <w:rFonts w:eastAsia="Arial" w:cs="Arial"/>
                <w:sz w:val="22"/>
                <w:szCs w:val="22"/>
              </w:rPr>
            </w:pPr>
            <w:r w:rsidRPr="4AF797C7">
              <w:rPr>
                <w:rFonts w:eastAsia="Arial" w:cs="Arial"/>
                <w:sz w:val="22"/>
                <w:szCs w:val="22"/>
              </w:rPr>
              <w:t>Se construyeron ocho campañas internas y 18 actualizaciones del boletín institucional ‘IGAC al día’, así como también nueve emisiones del programa "Juntos Avanzamos". Además, se implementó la estrategia de comunicaciones para el Día Nacional de Memoria y Solidaridad con las Víctimas.</w:t>
            </w:r>
          </w:p>
        </w:tc>
      </w:tr>
      <w:tr w:rsidR="00FA70AB" w14:paraId="0CBE578D" w14:textId="77777777" w:rsidTr="00A6302C">
        <w:trPr>
          <w:trHeight w:val="1050"/>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tcPr>
          <w:p w14:paraId="6CB929D9" w14:textId="77777777" w:rsidR="00FA70AB" w:rsidRDefault="00FA70AB" w:rsidP="00A6302C">
            <w:pPr>
              <w:jc w:val="center"/>
            </w:pPr>
            <w:r>
              <w:rPr>
                <w:noProof/>
                <w:lang w:val="es-CO" w:eastAsia="es-CO"/>
              </w:rPr>
              <w:lastRenderedPageBreak/>
              <w:drawing>
                <wp:inline distT="0" distB="0" distL="0" distR="0" wp14:anchorId="456B7E52" wp14:editId="47D9E13C">
                  <wp:extent cx="857250" cy="847725"/>
                  <wp:effectExtent l="0" t="0" r="0" b="0"/>
                  <wp:docPr id="45" name="Picture 160187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3">
                            <a:extLst>
                              <a:ext uri="{28A0092B-C50C-407E-A947-70E740481C1C}">
                                <a14:useLocalDpi xmlns:a14="http://schemas.microsoft.com/office/drawing/2010/main" val="0"/>
                              </a:ext>
                            </a:extLst>
                          </a:blip>
                          <a:stretch>
                            <a:fillRect/>
                          </a:stretch>
                        </pic:blipFill>
                        <pic:spPr>
                          <a:xfrm>
                            <a:off x="0" y="0"/>
                            <a:ext cx="857250" cy="847725"/>
                          </a:xfrm>
                          <a:prstGeom prst="rect">
                            <a:avLst/>
                          </a:prstGeom>
                        </pic:spPr>
                      </pic:pic>
                    </a:graphicData>
                  </a:graphic>
                </wp:inline>
              </w:drawing>
            </w:r>
          </w:p>
        </w:tc>
        <w:tc>
          <w:tcPr>
            <w:tcW w:w="7417" w:type="dxa"/>
            <w:tcBorders>
              <w:top w:val="single" w:sz="8" w:space="0" w:color="B8CCE4" w:themeColor="accent1" w:themeTint="66"/>
              <w:left w:val="single" w:sz="8" w:space="0" w:color="B8CCE4" w:themeColor="accent1" w:themeTint="66"/>
              <w:bottom w:val="single" w:sz="8" w:space="0" w:color="B8CCE4" w:themeColor="accent1" w:themeTint="66"/>
              <w:right w:val="single" w:sz="8" w:space="0" w:color="B8CCE4" w:themeColor="accent1" w:themeTint="66"/>
            </w:tcBorders>
            <w:vAlign w:val="center"/>
          </w:tcPr>
          <w:p w14:paraId="168750DC" w14:textId="77777777" w:rsidR="00FA70AB" w:rsidRDefault="00FA70AB" w:rsidP="000A20EE">
            <w:pPr>
              <w:pStyle w:val="Prrafodelista"/>
              <w:numPr>
                <w:ilvl w:val="0"/>
                <w:numId w:val="136"/>
              </w:numPr>
              <w:cnfStyle w:val="000000000000" w:firstRow="0" w:lastRow="0" w:firstColumn="0" w:lastColumn="0" w:oddVBand="0" w:evenVBand="0" w:oddHBand="0" w:evenHBand="0" w:firstRowFirstColumn="0" w:firstRowLastColumn="0" w:lastRowFirstColumn="0" w:lastRowLastColumn="0"/>
              <w:rPr>
                <w:rFonts w:eastAsia="Arial" w:cs="Arial"/>
                <w:sz w:val="22"/>
                <w:szCs w:val="22"/>
              </w:rPr>
            </w:pPr>
            <w:r w:rsidRPr="4AF797C7">
              <w:rPr>
                <w:rFonts w:eastAsia="Arial" w:cs="Arial"/>
                <w:sz w:val="22"/>
                <w:szCs w:val="22"/>
              </w:rPr>
              <w:t>Se realizaron 13 trasmisiones en vivo a través de Facebook Live, 29 campañas en redes sociales de temas estratégicos como Colombia en Mapas; Avances del Catastro Multipropósito; Foro de Gestión Catastral; ICDE; Ventanilla Integrada Virtual del IGAC – VIVI y Carpeta Ciudadana; y se atendieron 2.165 solicitudes de usuarios de diferentes regiones del país.</w:t>
            </w:r>
          </w:p>
          <w:p w14:paraId="6035D878" w14:textId="77777777" w:rsidR="00FA70AB" w:rsidRDefault="00FA70AB" w:rsidP="000A20EE">
            <w:pPr>
              <w:pStyle w:val="Prrafodelista"/>
              <w:numPr>
                <w:ilvl w:val="0"/>
                <w:numId w:val="136"/>
              </w:numPr>
              <w:cnfStyle w:val="000000000000" w:firstRow="0" w:lastRow="0" w:firstColumn="0" w:lastColumn="0" w:oddVBand="0" w:evenVBand="0" w:oddHBand="0" w:evenHBand="0" w:firstRowFirstColumn="0" w:firstRowLastColumn="0" w:lastRowFirstColumn="0" w:lastRowLastColumn="0"/>
              <w:rPr>
                <w:rFonts w:eastAsia="Arial" w:cs="Arial"/>
                <w:color w:val="000000" w:themeColor="text1"/>
                <w:sz w:val="22"/>
                <w:szCs w:val="22"/>
              </w:rPr>
            </w:pPr>
            <w:r w:rsidRPr="4AF797C7">
              <w:rPr>
                <w:rFonts w:eastAsia="Arial" w:cs="Arial"/>
                <w:color w:val="000000" w:themeColor="text1"/>
                <w:sz w:val="22"/>
                <w:szCs w:val="22"/>
              </w:rPr>
              <w:t>Las redes tuvieron un significativo aumento de seguidores: en Facebook +17.509, twitter +715 y en Instagram superamos los 10.000; lo que permite que se puedan compartir enlaces en las historias y así los usuarios accedan de forma fácil a la información del IGAC.</w:t>
            </w:r>
          </w:p>
        </w:tc>
      </w:tr>
    </w:tbl>
    <w:p w14:paraId="7D317B89" w14:textId="77777777" w:rsidR="00FA70AB" w:rsidRDefault="00FA70AB" w:rsidP="00FA70AB">
      <w:pPr>
        <w:jc w:val="both"/>
      </w:pPr>
      <w:r w:rsidRPr="11273FAF">
        <w:rPr>
          <w:rFonts w:eastAsia="Arial" w:cs="Arial"/>
          <w:color w:val="000000" w:themeColor="text1"/>
          <w:sz w:val="22"/>
          <w:szCs w:val="22"/>
          <w:lang w:val="es"/>
        </w:rPr>
        <w:t xml:space="preserve"> </w:t>
      </w:r>
    </w:p>
    <w:p w14:paraId="2D50F2DC" w14:textId="58914B8C" w:rsidR="00A6302C" w:rsidRPr="00A6302C" w:rsidRDefault="00FA70AB" w:rsidP="00A6302C">
      <w:pPr>
        <w:pStyle w:val="Prrafodelista"/>
        <w:numPr>
          <w:ilvl w:val="2"/>
          <w:numId w:val="22"/>
        </w:numPr>
        <w:rPr>
          <w:rFonts w:eastAsia="Arial" w:cs="Arial"/>
          <w:b/>
          <w:bCs/>
          <w:color w:val="000000" w:themeColor="text1"/>
          <w:sz w:val="22"/>
          <w:szCs w:val="22"/>
        </w:rPr>
      </w:pPr>
      <w:r w:rsidRPr="00A6302C">
        <w:rPr>
          <w:rFonts w:eastAsia="Arial" w:cs="Arial"/>
          <w:b/>
          <w:bCs/>
          <w:color w:val="000000" w:themeColor="text1"/>
          <w:sz w:val="22"/>
          <w:szCs w:val="22"/>
        </w:rPr>
        <w:t>OTROS LOGROS</w:t>
      </w:r>
    </w:p>
    <w:p w14:paraId="061EC225" w14:textId="77777777" w:rsidR="4AF797C7" w:rsidRDefault="4AF797C7" w:rsidP="00C72779">
      <w:pPr>
        <w:rPr>
          <w:b/>
          <w:bCs/>
          <w:color w:val="000000" w:themeColor="text1"/>
        </w:rPr>
      </w:pPr>
    </w:p>
    <w:p w14:paraId="650AC235" w14:textId="77777777" w:rsidR="6D224D23" w:rsidRDefault="6D224D23" w:rsidP="00C72779">
      <w:pPr>
        <w:jc w:val="both"/>
      </w:pPr>
      <w:r w:rsidRPr="11273FAF">
        <w:rPr>
          <w:rFonts w:eastAsia="Arial" w:cs="Arial"/>
          <w:sz w:val="22"/>
          <w:szCs w:val="22"/>
          <w:lang w:val="es"/>
        </w:rPr>
        <w:t>El trabajo realizado por el equipo de la Oficina Asesora de Comunicaciones, a raíz de su estrategia, ha sido un aporte importante para el fortalecimiento institucional de las diferentes áreas. Su ardua tarea ha garantizado</w:t>
      </w:r>
      <w:r w:rsidRPr="11273FAF">
        <w:rPr>
          <w:rFonts w:eastAsia="Arial" w:cs="Arial"/>
          <w:sz w:val="22"/>
          <w:szCs w:val="22"/>
          <w:lang w:val="es-MX"/>
        </w:rPr>
        <w:t xml:space="preserve"> un adecuado flujo de la información externa, lo que permite una interacción con los ciudadanos; como está previsto en la Ley de Transparencia y Acceso a la Información, y además asegura, el derecho ciudadano a estar informado sobre las actuaciones de las entidades públicas, apoya la construcción de visión compartida y facilita el cumplimiento de sus objetivos institucionales. </w:t>
      </w:r>
    </w:p>
    <w:p w14:paraId="68C95101" w14:textId="77777777" w:rsidR="6D224D23" w:rsidRDefault="6D224D23" w:rsidP="00C72779">
      <w:pPr>
        <w:jc w:val="both"/>
      </w:pPr>
      <w:r w:rsidRPr="11273FAF">
        <w:rPr>
          <w:rFonts w:eastAsia="Arial" w:cs="Arial"/>
          <w:lang w:val="es-MX"/>
        </w:rPr>
        <w:t xml:space="preserve"> </w:t>
      </w:r>
    </w:p>
    <w:p w14:paraId="0E3586D5" w14:textId="77777777" w:rsidR="6D224D23" w:rsidRDefault="6D224D23" w:rsidP="00C72779">
      <w:pPr>
        <w:jc w:val="both"/>
      </w:pPr>
      <w:r w:rsidRPr="11273FAF">
        <w:rPr>
          <w:rFonts w:eastAsia="Arial" w:cs="Arial"/>
          <w:sz w:val="22"/>
          <w:szCs w:val="22"/>
          <w:lang w:val="es-MX"/>
        </w:rPr>
        <w:t xml:space="preserve">Es importante resaltar que, a través de la estrategia de comunicaciones, cumplible de cara a la nueva estructura orgánica del IGAC, </w:t>
      </w:r>
      <w:r w:rsidRPr="11273FAF">
        <w:rPr>
          <w:rFonts w:eastAsia="Arial" w:cs="Arial"/>
          <w:sz w:val="22"/>
          <w:szCs w:val="22"/>
          <w:lang w:val="es"/>
        </w:rPr>
        <w:t>se lograron alianzas valiosas con los diferentes medios de comunicación, que permitieron ahorros significativos para el IGAC y dieron mucha visibilidad en los temas estratégicos que le competen al instituto, como lo fue la alianza con RCN Noticias, para publicar cada 15 días, columnas de opinión de la dirección general.</w:t>
      </w:r>
    </w:p>
    <w:p w14:paraId="36824955" w14:textId="77777777" w:rsidR="6D224D23" w:rsidRDefault="6D224D23" w:rsidP="00C72779">
      <w:pPr>
        <w:jc w:val="both"/>
      </w:pPr>
      <w:r w:rsidRPr="11273FAF">
        <w:rPr>
          <w:rFonts w:eastAsia="Arial" w:cs="Arial"/>
          <w:sz w:val="22"/>
          <w:szCs w:val="22"/>
          <w:lang w:val="es-MX"/>
        </w:rPr>
        <w:t xml:space="preserve"> </w:t>
      </w:r>
    </w:p>
    <w:p w14:paraId="3F44254F" w14:textId="77777777" w:rsidR="6D224D23" w:rsidRDefault="6D224D23" w:rsidP="00C72779">
      <w:pPr>
        <w:jc w:val="both"/>
      </w:pPr>
      <w:r w:rsidRPr="11273FAF">
        <w:rPr>
          <w:rFonts w:eastAsia="Arial" w:cs="Arial"/>
          <w:sz w:val="22"/>
          <w:szCs w:val="22"/>
          <w:lang w:val="es-MX"/>
        </w:rPr>
        <w:t xml:space="preserve">Además, se construyeron acciones para establecer un repositorio de la información del Catastro Multipropósito pasando de lo nacional, a lo territorial. </w:t>
      </w:r>
    </w:p>
    <w:p w14:paraId="345822F7" w14:textId="77777777" w:rsidR="00FA70AB" w:rsidRPr="005E5E4A" w:rsidRDefault="00FA70AB" w:rsidP="00FA70AB">
      <w:pPr>
        <w:jc w:val="center"/>
        <w:rPr>
          <w:sz w:val="18"/>
        </w:rPr>
      </w:pPr>
    </w:p>
    <w:p w14:paraId="66F9A025" w14:textId="053342AA" w:rsidR="6D224D23" w:rsidRPr="00A6302C" w:rsidRDefault="00A6302C" w:rsidP="00A6302C">
      <w:pPr>
        <w:pStyle w:val="Descripcin"/>
        <w:jc w:val="center"/>
        <w:rPr>
          <w:rFonts w:ascii="Arial" w:hAnsi="Arial" w:cs="Arial"/>
          <w:b/>
          <w:i w:val="0"/>
          <w:color w:val="000000" w:themeColor="text1"/>
          <w:sz w:val="16"/>
        </w:rPr>
      </w:pPr>
      <w:bookmarkStart w:id="210" w:name="_Toc88677147"/>
      <w:r w:rsidRPr="00A6302C">
        <w:rPr>
          <w:rFonts w:ascii="Arial" w:hAnsi="Arial" w:cs="Arial"/>
          <w:b/>
          <w:i w:val="0"/>
          <w:color w:val="000000" w:themeColor="text1"/>
          <w:sz w:val="16"/>
        </w:rPr>
        <w:t xml:space="preserve">Tabla </w:t>
      </w:r>
      <w:r w:rsidRPr="00A6302C">
        <w:rPr>
          <w:rFonts w:ascii="Arial" w:hAnsi="Arial" w:cs="Arial"/>
          <w:b/>
          <w:i w:val="0"/>
          <w:color w:val="000000" w:themeColor="text1"/>
          <w:sz w:val="16"/>
        </w:rPr>
        <w:fldChar w:fldCharType="begin"/>
      </w:r>
      <w:r w:rsidRPr="00A6302C">
        <w:rPr>
          <w:rFonts w:ascii="Arial" w:hAnsi="Arial" w:cs="Arial"/>
          <w:b/>
          <w:i w:val="0"/>
          <w:color w:val="000000" w:themeColor="text1"/>
          <w:sz w:val="16"/>
        </w:rPr>
        <w:instrText xml:space="preserve"> SEQ Tabla \* ARABIC </w:instrText>
      </w:r>
      <w:r w:rsidRPr="00A6302C">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78</w:t>
      </w:r>
      <w:r w:rsidRPr="00A6302C">
        <w:rPr>
          <w:rFonts w:ascii="Arial" w:hAnsi="Arial" w:cs="Arial"/>
          <w:b/>
          <w:i w:val="0"/>
          <w:color w:val="000000" w:themeColor="text1"/>
          <w:sz w:val="16"/>
        </w:rPr>
        <w:fldChar w:fldCharType="end"/>
      </w:r>
      <w:r w:rsidRPr="00A6302C">
        <w:rPr>
          <w:rFonts w:ascii="Arial" w:hAnsi="Arial" w:cs="Arial"/>
          <w:b/>
          <w:i w:val="0"/>
          <w:color w:val="000000" w:themeColor="text1"/>
          <w:sz w:val="16"/>
        </w:rPr>
        <w:t>. Medios nacionales más relevantes</w:t>
      </w:r>
      <w:bookmarkEnd w:id="210"/>
    </w:p>
    <w:tbl>
      <w:tblPr>
        <w:tblStyle w:val="Tabladecuadrcula4-nfasis1"/>
        <w:tblW w:w="0" w:type="auto"/>
        <w:jc w:val="center"/>
        <w:tblLayout w:type="fixed"/>
        <w:tblLook w:val="04A0" w:firstRow="1" w:lastRow="0" w:firstColumn="1" w:lastColumn="0" w:noHBand="0" w:noVBand="1"/>
      </w:tblPr>
      <w:tblGrid>
        <w:gridCol w:w="3390"/>
        <w:gridCol w:w="3975"/>
      </w:tblGrid>
      <w:tr w:rsidR="11273FAF" w14:paraId="40F750FC" w14:textId="77777777" w:rsidTr="31FF914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4F81BD" w:themeColor="accent1"/>
              <w:left w:val="single" w:sz="8" w:space="0" w:color="4F81BD" w:themeColor="accent1"/>
              <w:bottom w:val="single" w:sz="8" w:space="0" w:color="4F81BD" w:themeColor="accent1"/>
            </w:tcBorders>
          </w:tcPr>
          <w:p w14:paraId="1181A727" w14:textId="77777777" w:rsidR="11273FAF" w:rsidRPr="005E5E4A" w:rsidRDefault="11273FAF" w:rsidP="00C72779">
            <w:pPr>
              <w:jc w:val="center"/>
              <w:rPr>
                <w:sz w:val="20"/>
              </w:rPr>
            </w:pPr>
            <w:r w:rsidRPr="005E5E4A">
              <w:rPr>
                <w:rFonts w:eastAsia="Arial" w:cs="Arial"/>
                <w:sz w:val="20"/>
                <w:szCs w:val="22"/>
                <w:lang w:val="es"/>
              </w:rPr>
              <w:t>Medio</w:t>
            </w:r>
          </w:p>
        </w:tc>
        <w:tc>
          <w:tcPr>
            <w:tcW w:w="3975" w:type="dxa"/>
            <w:tcBorders>
              <w:top w:val="single" w:sz="8" w:space="0" w:color="4F81BD" w:themeColor="accent1"/>
              <w:bottom w:val="single" w:sz="8" w:space="0" w:color="4F81BD" w:themeColor="accent1"/>
              <w:right w:val="single" w:sz="8" w:space="0" w:color="4F81BD" w:themeColor="accent1"/>
            </w:tcBorders>
          </w:tcPr>
          <w:p w14:paraId="35F63260" w14:textId="77777777" w:rsidR="11273FAF" w:rsidRPr="005E5E4A" w:rsidRDefault="11273FAF" w:rsidP="00C72779">
            <w:pPr>
              <w:jc w:val="center"/>
              <w:cnfStyle w:val="100000000000" w:firstRow="1" w:lastRow="0" w:firstColumn="0" w:lastColumn="0" w:oddVBand="0" w:evenVBand="0" w:oddHBand="0" w:evenHBand="0" w:firstRowFirstColumn="0" w:firstRowLastColumn="0" w:lastRowFirstColumn="0" w:lastRowLastColumn="0"/>
              <w:rPr>
                <w:sz w:val="20"/>
              </w:rPr>
            </w:pPr>
            <w:r w:rsidRPr="005E5E4A">
              <w:rPr>
                <w:rFonts w:eastAsia="Arial" w:cs="Arial"/>
                <w:sz w:val="20"/>
                <w:szCs w:val="22"/>
                <w:lang w:val="es"/>
              </w:rPr>
              <w:t>Sede principal</w:t>
            </w:r>
          </w:p>
        </w:tc>
      </w:tr>
      <w:tr w:rsidR="11273FAF" w14:paraId="63A35A72"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6AEAB1A8" w14:textId="77777777" w:rsidR="11273FAF" w:rsidRPr="005E5E4A" w:rsidRDefault="11273FAF" w:rsidP="00C72779">
            <w:pPr>
              <w:jc w:val="both"/>
              <w:rPr>
                <w:sz w:val="20"/>
              </w:rPr>
            </w:pPr>
            <w:r w:rsidRPr="005E5E4A">
              <w:rPr>
                <w:rFonts w:eastAsia="Arial" w:cs="Arial"/>
                <w:sz w:val="20"/>
                <w:szCs w:val="22"/>
                <w:lang w:val="es"/>
              </w:rPr>
              <w:t>Semana</w:t>
            </w:r>
          </w:p>
        </w:tc>
        <w:tc>
          <w:tcPr>
            <w:tcW w:w="397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48AE5944"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22"/>
                <w:lang w:val="es"/>
              </w:rPr>
              <w:t>Bogotá</w:t>
            </w:r>
          </w:p>
        </w:tc>
      </w:tr>
      <w:tr w:rsidR="11273FAF" w14:paraId="4E4E6387"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CD1B1F7" w14:textId="77777777" w:rsidR="11273FAF" w:rsidRPr="005E5E4A" w:rsidRDefault="11273FAF" w:rsidP="00C72779">
            <w:pPr>
              <w:jc w:val="both"/>
              <w:rPr>
                <w:sz w:val="20"/>
              </w:rPr>
            </w:pPr>
            <w:r w:rsidRPr="005E5E4A">
              <w:rPr>
                <w:rFonts w:eastAsia="Arial" w:cs="Arial"/>
                <w:sz w:val="20"/>
                <w:szCs w:val="22"/>
                <w:lang w:val="es"/>
              </w:rPr>
              <w:t>El Tiempo</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3A50F72"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22"/>
                <w:lang w:val="es"/>
              </w:rPr>
              <w:t>Bogotá</w:t>
            </w:r>
          </w:p>
        </w:tc>
      </w:tr>
      <w:tr w:rsidR="11273FAF" w14:paraId="5A1C4251"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04D0716" w14:textId="77777777" w:rsidR="11273FAF" w:rsidRPr="005E5E4A" w:rsidRDefault="11273FAF" w:rsidP="00C72779">
            <w:pPr>
              <w:jc w:val="both"/>
              <w:rPr>
                <w:sz w:val="20"/>
              </w:rPr>
            </w:pPr>
            <w:r w:rsidRPr="005E5E4A">
              <w:rPr>
                <w:rFonts w:eastAsia="Arial" w:cs="Arial"/>
                <w:sz w:val="20"/>
                <w:szCs w:val="22"/>
                <w:lang w:val="es"/>
              </w:rPr>
              <w:t>La República</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615B70E"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22"/>
                <w:lang w:val="es"/>
              </w:rPr>
              <w:t>Bogotá</w:t>
            </w:r>
          </w:p>
        </w:tc>
      </w:tr>
      <w:tr w:rsidR="11273FAF" w14:paraId="05753339"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928FA0A" w14:textId="77777777" w:rsidR="11273FAF" w:rsidRPr="005E5E4A" w:rsidRDefault="11273FAF" w:rsidP="00C72779">
            <w:pPr>
              <w:jc w:val="both"/>
              <w:rPr>
                <w:sz w:val="20"/>
              </w:rPr>
            </w:pPr>
            <w:r w:rsidRPr="005E5E4A">
              <w:rPr>
                <w:rFonts w:eastAsia="Arial" w:cs="Arial"/>
                <w:sz w:val="20"/>
                <w:szCs w:val="22"/>
                <w:lang w:val="es"/>
              </w:rPr>
              <w:t>El Espectador</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40D1898"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22"/>
                <w:lang w:val="es"/>
              </w:rPr>
              <w:t>Bogotá</w:t>
            </w:r>
          </w:p>
        </w:tc>
      </w:tr>
      <w:tr w:rsidR="11273FAF" w14:paraId="38DE7A7F"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C3AC76D" w14:textId="77777777" w:rsidR="11273FAF" w:rsidRPr="005E5E4A" w:rsidRDefault="11273FAF" w:rsidP="00C72779">
            <w:pPr>
              <w:jc w:val="both"/>
              <w:rPr>
                <w:sz w:val="20"/>
              </w:rPr>
            </w:pPr>
            <w:r w:rsidRPr="005E5E4A">
              <w:rPr>
                <w:rFonts w:eastAsia="Arial" w:cs="Arial"/>
                <w:sz w:val="20"/>
                <w:szCs w:val="22"/>
                <w:lang w:val="es"/>
              </w:rPr>
              <w:t>Diners</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601A9DD"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22"/>
                <w:lang w:val="es"/>
              </w:rPr>
              <w:t>Bogotá</w:t>
            </w:r>
          </w:p>
        </w:tc>
      </w:tr>
      <w:tr w:rsidR="11273FAF" w14:paraId="67C74699"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A0E33AD" w14:textId="77777777" w:rsidR="11273FAF" w:rsidRPr="005E5E4A" w:rsidRDefault="11273FAF" w:rsidP="00C72779">
            <w:pPr>
              <w:jc w:val="both"/>
              <w:rPr>
                <w:sz w:val="20"/>
              </w:rPr>
            </w:pPr>
            <w:r w:rsidRPr="005E5E4A">
              <w:rPr>
                <w:rFonts w:eastAsia="Arial" w:cs="Arial"/>
                <w:sz w:val="20"/>
                <w:szCs w:val="22"/>
                <w:lang w:val="es"/>
              </w:rPr>
              <w:t>HSB</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DE15003"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22"/>
                <w:lang w:val="es"/>
              </w:rPr>
              <w:t>Bogotá (+ de 20 medios aliados)</w:t>
            </w:r>
          </w:p>
        </w:tc>
      </w:tr>
      <w:tr w:rsidR="11273FAF" w14:paraId="07009FD4"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2EC4EAC" w14:textId="77777777" w:rsidR="11273FAF" w:rsidRPr="005E5E4A" w:rsidRDefault="11273FAF" w:rsidP="00C72779">
            <w:pPr>
              <w:jc w:val="both"/>
              <w:rPr>
                <w:sz w:val="20"/>
              </w:rPr>
            </w:pPr>
            <w:r w:rsidRPr="005E5E4A">
              <w:rPr>
                <w:rFonts w:eastAsia="Arial" w:cs="Arial"/>
                <w:sz w:val="20"/>
                <w:szCs w:val="22"/>
                <w:lang w:val="es"/>
              </w:rPr>
              <w:t>Infoabe</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E92F653"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22"/>
                <w:lang w:val="es"/>
              </w:rPr>
              <w:t>Internacional</w:t>
            </w:r>
          </w:p>
        </w:tc>
      </w:tr>
      <w:tr w:rsidR="11273FAF" w14:paraId="734ACD75" w14:textId="77777777" w:rsidTr="31FF9146">
        <w:trPr>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E003B0B" w14:textId="77777777" w:rsidR="11273FAF" w:rsidRPr="005E5E4A" w:rsidRDefault="11273FAF" w:rsidP="00C72779">
            <w:pPr>
              <w:jc w:val="both"/>
              <w:rPr>
                <w:sz w:val="20"/>
              </w:rPr>
            </w:pPr>
            <w:r w:rsidRPr="005E5E4A">
              <w:rPr>
                <w:rFonts w:eastAsia="Arial" w:cs="Arial"/>
                <w:sz w:val="20"/>
                <w:szCs w:val="22"/>
                <w:lang w:val="es"/>
              </w:rPr>
              <w:t>Colombia.com</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9E5E339"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22"/>
                <w:lang w:val="es"/>
              </w:rPr>
              <w:t>Bogotá (Virtual)</w:t>
            </w:r>
          </w:p>
        </w:tc>
      </w:tr>
      <w:tr w:rsidR="11273FAF" w14:paraId="2A87BEF5" w14:textId="77777777" w:rsidTr="31FF914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39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7B8F3D9" w14:textId="77777777" w:rsidR="11273FAF" w:rsidRPr="005E5E4A" w:rsidRDefault="11273FAF" w:rsidP="00C72779">
            <w:pPr>
              <w:jc w:val="both"/>
              <w:rPr>
                <w:sz w:val="20"/>
              </w:rPr>
            </w:pPr>
            <w:r w:rsidRPr="005E5E4A">
              <w:rPr>
                <w:rFonts w:eastAsia="Arial" w:cs="Arial"/>
                <w:sz w:val="20"/>
                <w:szCs w:val="22"/>
                <w:lang w:val="es"/>
              </w:rPr>
              <w:t>RCN.com</w:t>
            </w:r>
          </w:p>
        </w:tc>
        <w:tc>
          <w:tcPr>
            <w:tcW w:w="397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D6F8681"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22"/>
                <w:lang w:val="es"/>
              </w:rPr>
              <w:t>Bogotá</w:t>
            </w:r>
          </w:p>
        </w:tc>
      </w:tr>
    </w:tbl>
    <w:p w14:paraId="0C1DEC2A" w14:textId="28620567" w:rsidR="00FA70AB" w:rsidRPr="00A6302C" w:rsidRDefault="00FA70AB" w:rsidP="00A6302C">
      <w:pPr>
        <w:jc w:val="center"/>
        <w:rPr>
          <w:b/>
          <w:sz w:val="22"/>
        </w:rPr>
      </w:pPr>
      <w:r w:rsidRPr="009B3727">
        <w:rPr>
          <w:rFonts w:eastAsia="Arial" w:cs="Arial"/>
          <w:b/>
          <w:bCs/>
          <w:sz w:val="16"/>
          <w:szCs w:val="18"/>
          <w:lang w:val="es"/>
        </w:rPr>
        <w:t>Fuente:</w:t>
      </w:r>
      <w:r w:rsidRPr="009B3727">
        <w:rPr>
          <w:rFonts w:eastAsia="Arial" w:cs="Arial"/>
          <w:b/>
          <w:sz w:val="16"/>
          <w:szCs w:val="18"/>
          <w:lang w:val="es"/>
        </w:rPr>
        <w:t xml:space="preserve"> Oficina Asesora de Comunicaciones</w:t>
      </w:r>
    </w:p>
    <w:p w14:paraId="0E3813F8" w14:textId="382E076B" w:rsidR="00FA70AB" w:rsidRPr="005E5E4A" w:rsidRDefault="00FA70AB" w:rsidP="00FA70AB">
      <w:pPr>
        <w:jc w:val="both"/>
        <w:rPr>
          <w:rFonts w:eastAsia="Arial" w:cs="Arial"/>
          <w:b/>
          <w:bCs/>
          <w:sz w:val="16"/>
          <w:szCs w:val="22"/>
          <w:lang w:val="es"/>
        </w:rPr>
      </w:pPr>
    </w:p>
    <w:p w14:paraId="1862BFB4" w14:textId="6FD26195" w:rsidR="00FA70AB" w:rsidRPr="006A2F15" w:rsidRDefault="00FA70AB" w:rsidP="00A6302C">
      <w:pPr>
        <w:jc w:val="center"/>
        <w:rPr>
          <w:rFonts w:eastAsia="Arial" w:cs="Arial"/>
          <w:b/>
          <w:bCs/>
          <w:color w:val="000000" w:themeColor="text1"/>
          <w:sz w:val="14"/>
          <w:szCs w:val="22"/>
          <w:lang w:val="es"/>
        </w:rPr>
      </w:pPr>
    </w:p>
    <w:p w14:paraId="1F610F1F" w14:textId="1A620363" w:rsidR="00FA70AB" w:rsidRPr="006A2F15" w:rsidRDefault="00A6302C" w:rsidP="00A6302C">
      <w:pPr>
        <w:pStyle w:val="Descripcin"/>
        <w:jc w:val="center"/>
        <w:rPr>
          <w:rFonts w:ascii="Arial" w:eastAsia="Arial" w:hAnsi="Arial" w:cs="Arial"/>
          <w:b/>
          <w:bCs/>
          <w:i w:val="0"/>
          <w:color w:val="000000" w:themeColor="text1"/>
          <w:sz w:val="14"/>
          <w:szCs w:val="22"/>
          <w:lang w:val="es"/>
        </w:rPr>
      </w:pPr>
      <w:bookmarkStart w:id="211" w:name="_Toc88677148"/>
      <w:r w:rsidRPr="006A2F15">
        <w:rPr>
          <w:rFonts w:ascii="Arial" w:hAnsi="Arial" w:cs="Arial"/>
          <w:b/>
          <w:i w:val="0"/>
          <w:color w:val="000000" w:themeColor="text1"/>
          <w:sz w:val="16"/>
        </w:rPr>
        <w:t xml:space="preserve">Tabla </w:t>
      </w:r>
      <w:r w:rsidRPr="006A2F15">
        <w:rPr>
          <w:rFonts w:ascii="Arial" w:hAnsi="Arial" w:cs="Arial"/>
          <w:b/>
          <w:i w:val="0"/>
          <w:color w:val="000000" w:themeColor="text1"/>
          <w:sz w:val="16"/>
        </w:rPr>
        <w:fldChar w:fldCharType="begin"/>
      </w:r>
      <w:r w:rsidRPr="006A2F15">
        <w:rPr>
          <w:rFonts w:ascii="Arial" w:hAnsi="Arial" w:cs="Arial"/>
          <w:b/>
          <w:i w:val="0"/>
          <w:color w:val="000000" w:themeColor="text1"/>
          <w:sz w:val="16"/>
        </w:rPr>
        <w:instrText xml:space="preserve"> SEQ Tabla \* ARABIC </w:instrText>
      </w:r>
      <w:r w:rsidRPr="006A2F1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79</w:t>
      </w:r>
      <w:r w:rsidRPr="006A2F15">
        <w:rPr>
          <w:rFonts w:ascii="Arial" w:hAnsi="Arial" w:cs="Arial"/>
          <w:b/>
          <w:i w:val="0"/>
          <w:color w:val="000000" w:themeColor="text1"/>
          <w:sz w:val="16"/>
        </w:rPr>
        <w:fldChar w:fldCharType="end"/>
      </w:r>
      <w:r w:rsidRPr="006A2F15">
        <w:rPr>
          <w:rFonts w:ascii="Arial" w:hAnsi="Arial" w:cs="Arial"/>
          <w:b/>
          <w:i w:val="0"/>
          <w:color w:val="000000" w:themeColor="text1"/>
          <w:sz w:val="16"/>
        </w:rPr>
        <w:t>. Medios regionales más relevantes</w:t>
      </w:r>
      <w:bookmarkEnd w:id="211"/>
    </w:p>
    <w:tbl>
      <w:tblPr>
        <w:tblStyle w:val="Tabladecuadrcula4-nfasis1"/>
        <w:tblW w:w="0" w:type="auto"/>
        <w:jc w:val="center"/>
        <w:tblLayout w:type="fixed"/>
        <w:tblLook w:val="04A0" w:firstRow="1" w:lastRow="0" w:firstColumn="1" w:lastColumn="0" w:noHBand="0" w:noVBand="1"/>
      </w:tblPr>
      <w:tblGrid>
        <w:gridCol w:w="2845"/>
        <w:gridCol w:w="2840"/>
      </w:tblGrid>
      <w:tr w:rsidR="11273FAF" w14:paraId="2276D8E9" w14:textId="77777777" w:rsidTr="006A2F15">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4F81BD" w:themeColor="accent1"/>
              <w:left w:val="single" w:sz="8" w:space="0" w:color="4F81BD" w:themeColor="accent1"/>
              <w:bottom w:val="single" w:sz="8" w:space="0" w:color="4F81BD" w:themeColor="accent1"/>
            </w:tcBorders>
          </w:tcPr>
          <w:p w14:paraId="698DCA9C" w14:textId="77777777" w:rsidR="11273FAF" w:rsidRPr="005E5E4A" w:rsidRDefault="11273FAF" w:rsidP="00C72779">
            <w:pPr>
              <w:jc w:val="center"/>
              <w:rPr>
                <w:sz w:val="20"/>
                <w:szCs w:val="20"/>
              </w:rPr>
            </w:pPr>
            <w:r w:rsidRPr="005E5E4A">
              <w:rPr>
                <w:rFonts w:eastAsia="Arial" w:cs="Arial"/>
                <w:sz w:val="20"/>
                <w:szCs w:val="20"/>
                <w:lang w:val="es"/>
              </w:rPr>
              <w:t>Medio</w:t>
            </w:r>
          </w:p>
        </w:tc>
        <w:tc>
          <w:tcPr>
            <w:tcW w:w="2840" w:type="dxa"/>
            <w:tcBorders>
              <w:top w:val="single" w:sz="8" w:space="0" w:color="4F81BD" w:themeColor="accent1"/>
              <w:bottom w:val="single" w:sz="8" w:space="0" w:color="4F81BD" w:themeColor="accent1"/>
              <w:right w:val="single" w:sz="8" w:space="0" w:color="4F81BD" w:themeColor="accent1"/>
            </w:tcBorders>
          </w:tcPr>
          <w:p w14:paraId="7FA2C545" w14:textId="77777777" w:rsidR="11273FAF" w:rsidRPr="005E5E4A" w:rsidRDefault="11273FAF" w:rsidP="00C72779">
            <w:pPr>
              <w:jc w:val="center"/>
              <w:cnfStyle w:val="100000000000" w:firstRow="1"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Sede principal</w:t>
            </w:r>
          </w:p>
        </w:tc>
      </w:tr>
      <w:tr w:rsidR="11273FAF" w14:paraId="4D454729"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446C2B66" w14:textId="02231376" w:rsidR="11273FAF" w:rsidRPr="005E5E4A" w:rsidRDefault="11273FAF" w:rsidP="00A6302C">
            <w:pPr>
              <w:tabs>
                <w:tab w:val="right" w:pos="2629"/>
              </w:tabs>
              <w:jc w:val="both"/>
              <w:rPr>
                <w:sz w:val="20"/>
                <w:szCs w:val="20"/>
              </w:rPr>
            </w:pPr>
            <w:r w:rsidRPr="005E5E4A">
              <w:rPr>
                <w:rFonts w:eastAsia="Arial" w:cs="Arial"/>
                <w:sz w:val="20"/>
                <w:szCs w:val="20"/>
                <w:lang w:val="es"/>
              </w:rPr>
              <w:t>El Colombiano</w:t>
            </w:r>
          </w:p>
        </w:tc>
        <w:tc>
          <w:tcPr>
            <w:tcW w:w="2840"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04C9D035"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Antioquia</w:t>
            </w:r>
          </w:p>
        </w:tc>
      </w:tr>
      <w:tr w:rsidR="11273FAF" w14:paraId="4F2F6D35"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5C7DBCA" w14:textId="77777777" w:rsidR="11273FAF" w:rsidRPr="005E5E4A" w:rsidRDefault="11273FAF" w:rsidP="00C72779">
            <w:pPr>
              <w:jc w:val="both"/>
              <w:rPr>
                <w:sz w:val="20"/>
                <w:szCs w:val="20"/>
              </w:rPr>
            </w:pPr>
            <w:r w:rsidRPr="005E5E4A">
              <w:rPr>
                <w:rFonts w:eastAsia="Arial" w:cs="Arial"/>
                <w:sz w:val="20"/>
                <w:szCs w:val="20"/>
                <w:lang w:val="es"/>
              </w:rPr>
              <w:t>Minuto 30</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F47C3CE"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Antioquia</w:t>
            </w:r>
          </w:p>
        </w:tc>
      </w:tr>
      <w:tr w:rsidR="11273FAF" w14:paraId="24D114B5"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97D6D02" w14:textId="77777777" w:rsidR="11273FAF" w:rsidRPr="005E5E4A" w:rsidRDefault="11273FAF" w:rsidP="00C72779">
            <w:pPr>
              <w:jc w:val="both"/>
              <w:rPr>
                <w:sz w:val="20"/>
                <w:szCs w:val="20"/>
              </w:rPr>
            </w:pPr>
            <w:r w:rsidRPr="005E5E4A">
              <w:rPr>
                <w:rFonts w:eastAsia="Arial" w:cs="Arial"/>
                <w:sz w:val="20"/>
                <w:szCs w:val="20"/>
                <w:lang w:val="es"/>
              </w:rPr>
              <w:t>El Heraldo</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BCBCF01"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Atlántico</w:t>
            </w:r>
          </w:p>
        </w:tc>
      </w:tr>
      <w:tr w:rsidR="11273FAF" w14:paraId="63CC5917"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4143834" w14:textId="77777777" w:rsidR="11273FAF" w:rsidRPr="005E5E4A" w:rsidRDefault="11273FAF" w:rsidP="00C72779">
            <w:pPr>
              <w:jc w:val="both"/>
              <w:rPr>
                <w:sz w:val="20"/>
                <w:szCs w:val="20"/>
              </w:rPr>
            </w:pPr>
            <w:r w:rsidRPr="005E5E4A">
              <w:rPr>
                <w:rFonts w:eastAsia="Arial" w:cs="Arial"/>
                <w:sz w:val="20"/>
                <w:szCs w:val="20"/>
                <w:lang w:val="es"/>
              </w:rPr>
              <w:lastRenderedPageBreak/>
              <w:t>La libertad</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6BCCB34"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Atlántico</w:t>
            </w:r>
          </w:p>
        </w:tc>
      </w:tr>
      <w:tr w:rsidR="11273FAF" w14:paraId="19E1C976"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182A0F9" w14:textId="77777777" w:rsidR="11273FAF" w:rsidRPr="005E5E4A" w:rsidRDefault="11273FAF" w:rsidP="00C72779">
            <w:pPr>
              <w:jc w:val="both"/>
              <w:rPr>
                <w:sz w:val="20"/>
                <w:szCs w:val="20"/>
              </w:rPr>
            </w:pPr>
            <w:r w:rsidRPr="005E5E4A">
              <w:rPr>
                <w:rFonts w:eastAsia="Arial" w:cs="Arial"/>
                <w:sz w:val="20"/>
                <w:szCs w:val="20"/>
                <w:lang w:val="es"/>
              </w:rPr>
              <w:t>El Universal</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B662D38"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Bolívar</w:t>
            </w:r>
          </w:p>
        </w:tc>
      </w:tr>
      <w:tr w:rsidR="11273FAF" w14:paraId="6701F35B"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5FA811F" w14:textId="77777777" w:rsidR="11273FAF" w:rsidRPr="005E5E4A" w:rsidRDefault="11273FAF" w:rsidP="00C72779">
            <w:pPr>
              <w:jc w:val="both"/>
              <w:rPr>
                <w:sz w:val="20"/>
                <w:szCs w:val="20"/>
              </w:rPr>
            </w:pPr>
            <w:r w:rsidRPr="005E5E4A">
              <w:rPr>
                <w:rFonts w:eastAsia="Arial" w:cs="Arial"/>
                <w:sz w:val="20"/>
                <w:szCs w:val="20"/>
                <w:lang w:val="es"/>
              </w:rPr>
              <w:t>RCN Radio</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6384026"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Bolívar</w:t>
            </w:r>
          </w:p>
        </w:tc>
      </w:tr>
      <w:tr w:rsidR="11273FAF" w14:paraId="1792932F"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0E1C625" w14:textId="77777777" w:rsidR="11273FAF" w:rsidRPr="005E5E4A" w:rsidRDefault="11273FAF" w:rsidP="00C72779">
            <w:pPr>
              <w:jc w:val="both"/>
              <w:rPr>
                <w:sz w:val="20"/>
                <w:szCs w:val="20"/>
              </w:rPr>
            </w:pPr>
            <w:r w:rsidRPr="005E5E4A">
              <w:rPr>
                <w:rFonts w:eastAsia="Arial" w:cs="Arial"/>
                <w:sz w:val="20"/>
                <w:szCs w:val="20"/>
                <w:lang w:val="es"/>
              </w:rPr>
              <w:t>Boyacá 7 días</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07B5C5A"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Boyacá</w:t>
            </w:r>
          </w:p>
        </w:tc>
      </w:tr>
      <w:tr w:rsidR="11273FAF" w14:paraId="14444C64"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D25252D" w14:textId="77777777" w:rsidR="11273FAF" w:rsidRPr="005E5E4A" w:rsidRDefault="11273FAF" w:rsidP="00C72779">
            <w:pPr>
              <w:jc w:val="both"/>
              <w:rPr>
                <w:sz w:val="20"/>
                <w:szCs w:val="20"/>
              </w:rPr>
            </w:pPr>
            <w:r w:rsidRPr="005E5E4A">
              <w:rPr>
                <w:rFonts w:eastAsia="Arial" w:cs="Arial"/>
                <w:sz w:val="20"/>
                <w:szCs w:val="20"/>
                <w:lang w:val="es"/>
              </w:rPr>
              <w:t>La Patria Radio</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510100B"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Caldas</w:t>
            </w:r>
          </w:p>
        </w:tc>
      </w:tr>
      <w:tr w:rsidR="11273FAF" w14:paraId="578D9174"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B335C5E" w14:textId="77777777" w:rsidR="11273FAF" w:rsidRPr="005E5E4A" w:rsidRDefault="11273FAF" w:rsidP="00C72779">
            <w:pPr>
              <w:jc w:val="both"/>
              <w:rPr>
                <w:sz w:val="20"/>
                <w:szCs w:val="20"/>
              </w:rPr>
            </w:pPr>
            <w:r w:rsidRPr="005E5E4A">
              <w:rPr>
                <w:rFonts w:eastAsia="Arial" w:cs="Arial"/>
                <w:sz w:val="20"/>
                <w:szCs w:val="20"/>
                <w:lang w:val="es"/>
              </w:rPr>
              <w:t>La Nación</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C6B32EE"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Huila</w:t>
            </w:r>
          </w:p>
        </w:tc>
      </w:tr>
      <w:tr w:rsidR="11273FAF" w14:paraId="0BD02D0B"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D11E36F" w14:textId="77777777" w:rsidR="11273FAF" w:rsidRPr="005E5E4A" w:rsidRDefault="11273FAF" w:rsidP="00C72779">
            <w:pPr>
              <w:jc w:val="both"/>
              <w:rPr>
                <w:sz w:val="20"/>
                <w:szCs w:val="20"/>
              </w:rPr>
            </w:pPr>
            <w:r w:rsidRPr="005E5E4A">
              <w:rPr>
                <w:rFonts w:eastAsia="Arial" w:cs="Arial"/>
                <w:sz w:val="20"/>
                <w:szCs w:val="20"/>
                <w:lang w:val="es"/>
              </w:rPr>
              <w:t>El Diarios del Huila</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624F006C"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Huila</w:t>
            </w:r>
          </w:p>
        </w:tc>
      </w:tr>
      <w:tr w:rsidR="11273FAF" w14:paraId="2613A24D"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C5CB17F" w14:textId="77777777" w:rsidR="11273FAF" w:rsidRPr="005E5E4A" w:rsidRDefault="11273FAF" w:rsidP="00C72779">
            <w:pPr>
              <w:jc w:val="both"/>
              <w:rPr>
                <w:sz w:val="20"/>
                <w:szCs w:val="20"/>
              </w:rPr>
            </w:pPr>
            <w:r w:rsidRPr="005E5E4A">
              <w:rPr>
                <w:rFonts w:eastAsia="Arial" w:cs="Arial"/>
                <w:sz w:val="20"/>
                <w:szCs w:val="20"/>
                <w:lang w:val="es"/>
              </w:rPr>
              <w:t>Hoy Diarios del Magdalena</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1B123F50"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Magdalena</w:t>
            </w:r>
          </w:p>
        </w:tc>
      </w:tr>
      <w:tr w:rsidR="11273FAF" w14:paraId="7C4AA53D"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A462D54" w14:textId="77777777" w:rsidR="11273FAF" w:rsidRPr="005E5E4A" w:rsidRDefault="11273FAF" w:rsidP="00C72779">
            <w:pPr>
              <w:jc w:val="both"/>
              <w:rPr>
                <w:sz w:val="20"/>
                <w:szCs w:val="20"/>
              </w:rPr>
            </w:pPr>
            <w:r w:rsidRPr="005E5E4A">
              <w:rPr>
                <w:rFonts w:eastAsia="Arial" w:cs="Arial"/>
                <w:sz w:val="20"/>
                <w:szCs w:val="20"/>
                <w:lang w:val="es"/>
              </w:rPr>
              <w:t>Llano 7 días</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145C2AF"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Meta</w:t>
            </w:r>
          </w:p>
        </w:tc>
      </w:tr>
      <w:tr w:rsidR="11273FAF" w14:paraId="21466F27"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6B2040E" w14:textId="77777777" w:rsidR="11273FAF" w:rsidRPr="005E5E4A" w:rsidRDefault="11273FAF" w:rsidP="00C72779">
            <w:pPr>
              <w:jc w:val="both"/>
              <w:rPr>
                <w:sz w:val="20"/>
                <w:szCs w:val="20"/>
              </w:rPr>
            </w:pPr>
            <w:r w:rsidRPr="005E5E4A">
              <w:rPr>
                <w:rFonts w:eastAsia="Arial" w:cs="Arial"/>
                <w:sz w:val="20"/>
                <w:szCs w:val="20"/>
                <w:lang w:val="es"/>
              </w:rPr>
              <w:t>La Opinión</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6526056"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Norte Santander</w:t>
            </w:r>
          </w:p>
        </w:tc>
      </w:tr>
      <w:tr w:rsidR="11273FAF" w14:paraId="35D9A8B7"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622EF94" w14:textId="77777777" w:rsidR="11273FAF" w:rsidRPr="005E5E4A" w:rsidRDefault="11273FAF" w:rsidP="00C72779">
            <w:pPr>
              <w:jc w:val="both"/>
              <w:rPr>
                <w:sz w:val="20"/>
                <w:szCs w:val="20"/>
              </w:rPr>
            </w:pPr>
            <w:r w:rsidRPr="005E5E4A">
              <w:rPr>
                <w:rFonts w:eastAsia="Arial" w:cs="Arial"/>
                <w:sz w:val="20"/>
                <w:szCs w:val="20"/>
                <w:lang w:val="es"/>
              </w:rPr>
              <w:t>Crónica del Quindío</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54DD463"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Quindío</w:t>
            </w:r>
          </w:p>
        </w:tc>
      </w:tr>
      <w:tr w:rsidR="11273FAF" w14:paraId="6A9250B0"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A2A4AA5" w14:textId="77777777" w:rsidR="11273FAF" w:rsidRPr="005E5E4A" w:rsidRDefault="11273FAF" w:rsidP="00C72779">
            <w:pPr>
              <w:jc w:val="both"/>
              <w:rPr>
                <w:sz w:val="20"/>
                <w:szCs w:val="20"/>
              </w:rPr>
            </w:pPr>
            <w:r w:rsidRPr="005E5E4A">
              <w:rPr>
                <w:rFonts w:eastAsia="Arial" w:cs="Arial"/>
                <w:sz w:val="20"/>
                <w:szCs w:val="20"/>
                <w:lang w:val="es"/>
              </w:rPr>
              <w:t>El Diario del Otún</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437E97CC"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Risaralda</w:t>
            </w:r>
          </w:p>
        </w:tc>
      </w:tr>
      <w:tr w:rsidR="11273FAF" w14:paraId="3D8030B5"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A2E5924" w14:textId="77777777" w:rsidR="11273FAF" w:rsidRPr="005E5E4A" w:rsidRDefault="11273FAF" w:rsidP="00C72779">
            <w:pPr>
              <w:jc w:val="both"/>
              <w:rPr>
                <w:sz w:val="20"/>
                <w:szCs w:val="20"/>
              </w:rPr>
            </w:pPr>
            <w:r w:rsidRPr="005E5E4A">
              <w:rPr>
                <w:rFonts w:eastAsia="Arial" w:cs="Arial"/>
                <w:sz w:val="20"/>
                <w:szCs w:val="20"/>
                <w:lang w:val="es"/>
              </w:rPr>
              <w:t>Vanguardia</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F1E6E74"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Santander</w:t>
            </w:r>
          </w:p>
        </w:tc>
      </w:tr>
      <w:tr w:rsidR="11273FAF" w14:paraId="6E89FA0E"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9D95E0D" w14:textId="77777777" w:rsidR="11273FAF" w:rsidRPr="005E5E4A" w:rsidRDefault="11273FAF" w:rsidP="00C72779">
            <w:pPr>
              <w:jc w:val="both"/>
              <w:rPr>
                <w:sz w:val="20"/>
                <w:szCs w:val="20"/>
              </w:rPr>
            </w:pPr>
            <w:r w:rsidRPr="005E5E4A">
              <w:rPr>
                <w:rFonts w:eastAsia="Arial" w:cs="Arial"/>
                <w:sz w:val="20"/>
                <w:szCs w:val="20"/>
                <w:lang w:val="es"/>
              </w:rPr>
              <w:t>Meridiano de Sucre</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22FA11CF"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Sucre</w:t>
            </w:r>
          </w:p>
        </w:tc>
      </w:tr>
      <w:tr w:rsidR="11273FAF" w14:paraId="24FFD6E0" w14:textId="77777777" w:rsidTr="00A6302C">
        <w:trPr>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3E4ACC58" w14:textId="77777777" w:rsidR="11273FAF" w:rsidRPr="005E5E4A" w:rsidRDefault="11273FAF" w:rsidP="00C72779">
            <w:pPr>
              <w:jc w:val="both"/>
              <w:rPr>
                <w:sz w:val="20"/>
                <w:szCs w:val="20"/>
              </w:rPr>
            </w:pPr>
            <w:r w:rsidRPr="005E5E4A">
              <w:rPr>
                <w:rFonts w:eastAsia="Arial" w:cs="Arial"/>
                <w:sz w:val="20"/>
                <w:szCs w:val="20"/>
                <w:lang w:val="es"/>
              </w:rPr>
              <w:t>El País</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568E1D1D" w14:textId="77777777" w:rsidR="11273FAF" w:rsidRPr="005E5E4A" w:rsidRDefault="11273FAF" w:rsidP="00C72779">
            <w:pPr>
              <w:jc w:val="center"/>
              <w:cnfStyle w:val="000000000000" w:firstRow="0" w:lastRow="0" w:firstColumn="0" w:lastColumn="0" w:oddVBand="0" w:evenVBand="0" w:oddHBand="0" w:evenHBand="0" w:firstRowFirstColumn="0" w:firstRowLastColumn="0" w:lastRowFirstColumn="0" w:lastRowLastColumn="0"/>
              <w:rPr>
                <w:sz w:val="20"/>
                <w:szCs w:val="20"/>
              </w:rPr>
            </w:pPr>
            <w:r w:rsidRPr="005E5E4A">
              <w:rPr>
                <w:rFonts w:eastAsia="Arial" w:cs="Arial"/>
                <w:sz w:val="20"/>
                <w:szCs w:val="20"/>
                <w:lang w:val="es"/>
              </w:rPr>
              <w:t>Valle del Cauca</w:t>
            </w:r>
          </w:p>
        </w:tc>
      </w:tr>
      <w:tr w:rsidR="11273FAF" w14:paraId="0415DEE5" w14:textId="77777777" w:rsidTr="00A6302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45"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05E31417" w14:textId="77777777" w:rsidR="11273FAF" w:rsidRPr="005E5E4A" w:rsidRDefault="11273FAF" w:rsidP="00C72779">
            <w:pPr>
              <w:jc w:val="both"/>
              <w:rPr>
                <w:sz w:val="20"/>
                <w:szCs w:val="20"/>
              </w:rPr>
            </w:pPr>
            <w:r w:rsidRPr="005E5E4A">
              <w:rPr>
                <w:rFonts w:eastAsia="Arial" w:cs="Arial"/>
                <w:sz w:val="20"/>
                <w:szCs w:val="20"/>
                <w:lang w:val="es"/>
              </w:rPr>
              <w:t>Diario de Occidente</w:t>
            </w:r>
          </w:p>
        </w:tc>
        <w:tc>
          <w:tcPr>
            <w:tcW w:w="2840"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tcPr>
          <w:p w14:paraId="7386591F" w14:textId="77777777" w:rsidR="11273FAF" w:rsidRPr="005E5E4A" w:rsidRDefault="11273FAF" w:rsidP="00C72779">
            <w:pPr>
              <w:jc w:val="center"/>
              <w:cnfStyle w:val="000000100000" w:firstRow="0" w:lastRow="0" w:firstColumn="0" w:lastColumn="0" w:oddVBand="0" w:evenVBand="0" w:oddHBand="1" w:evenHBand="0" w:firstRowFirstColumn="0" w:firstRowLastColumn="0" w:lastRowFirstColumn="0" w:lastRowLastColumn="0"/>
              <w:rPr>
                <w:sz w:val="20"/>
                <w:szCs w:val="20"/>
              </w:rPr>
            </w:pPr>
            <w:r w:rsidRPr="005E5E4A">
              <w:rPr>
                <w:rFonts w:eastAsia="Arial" w:cs="Arial"/>
                <w:sz w:val="20"/>
                <w:szCs w:val="20"/>
                <w:lang w:val="es"/>
              </w:rPr>
              <w:t>Valle del Cauca</w:t>
            </w:r>
          </w:p>
        </w:tc>
      </w:tr>
    </w:tbl>
    <w:p w14:paraId="5614A891" w14:textId="77777777" w:rsidR="00FA70AB" w:rsidRPr="009B3727" w:rsidRDefault="00FA70AB" w:rsidP="00FA70AB">
      <w:pPr>
        <w:jc w:val="center"/>
        <w:rPr>
          <w:b/>
          <w:sz w:val="22"/>
        </w:rPr>
      </w:pPr>
      <w:r w:rsidRPr="11273FAF">
        <w:rPr>
          <w:rFonts w:eastAsia="Arial" w:cs="Arial"/>
          <w:sz w:val="22"/>
          <w:szCs w:val="22"/>
          <w:lang w:val="es"/>
        </w:rPr>
        <w:t xml:space="preserve"> </w:t>
      </w:r>
      <w:r w:rsidRPr="009B3727">
        <w:rPr>
          <w:rFonts w:eastAsia="Arial" w:cs="Arial"/>
          <w:b/>
          <w:bCs/>
          <w:sz w:val="16"/>
          <w:szCs w:val="18"/>
          <w:lang w:val="es"/>
        </w:rPr>
        <w:t>Fuente:</w:t>
      </w:r>
      <w:r w:rsidRPr="009B3727">
        <w:rPr>
          <w:rFonts w:eastAsia="Arial" w:cs="Arial"/>
          <w:b/>
          <w:sz w:val="16"/>
          <w:szCs w:val="18"/>
          <w:lang w:val="es"/>
        </w:rPr>
        <w:t xml:space="preserve"> Oficina Asesora de Comunicaciones</w:t>
      </w:r>
    </w:p>
    <w:p w14:paraId="7193B769" w14:textId="77777777" w:rsidR="00FA70AB" w:rsidRDefault="00FA70AB" w:rsidP="00FA70AB">
      <w:pPr>
        <w:jc w:val="both"/>
      </w:pPr>
    </w:p>
    <w:p w14:paraId="501FFE1C" w14:textId="0AD872DB" w:rsidR="006A2F15" w:rsidRPr="006A2F15" w:rsidRDefault="00FA70AB" w:rsidP="006A2F15">
      <w:pPr>
        <w:pStyle w:val="Prrafodelista"/>
        <w:numPr>
          <w:ilvl w:val="2"/>
          <w:numId w:val="22"/>
        </w:numPr>
        <w:rPr>
          <w:rFonts w:eastAsia="Arial" w:cs="Arial"/>
          <w:b/>
          <w:bCs/>
          <w:sz w:val="22"/>
          <w:szCs w:val="22"/>
          <w:lang w:val="es"/>
        </w:rPr>
      </w:pPr>
      <w:r w:rsidRPr="006A2F15">
        <w:rPr>
          <w:rFonts w:eastAsia="Arial" w:cs="Arial"/>
          <w:b/>
          <w:bCs/>
          <w:sz w:val="22"/>
          <w:szCs w:val="22"/>
          <w:lang w:val="es"/>
        </w:rPr>
        <w:t>ANTECEDENTES Y ESTADO ACTUAL DE LA DEPENDENCIA</w:t>
      </w:r>
    </w:p>
    <w:p w14:paraId="7C826356" w14:textId="77777777" w:rsidR="6D224D23" w:rsidRDefault="6D224D23" w:rsidP="00C72779">
      <w:r w:rsidRPr="11273FAF">
        <w:rPr>
          <w:rFonts w:ascii="Times New Roman" w:hAnsi="Times New Roman"/>
          <w:lang w:val="es"/>
        </w:rPr>
        <w:t xml:space="preserve"> </w:t>
      </w:r>
    </w:p>
    <w:p w14:paraId="3129C2D8" w14:textId="77777777" w:rsidR="6D224D23" w:rsidRDefault="6D224D23" w:rsidP="00C72779">
      <w:pPr>
        <w:jc w:val="both"/>
      </w:pPr>
      <w:r w:rsidRPr="11273FAF">
        <w:rPr>
          <w:rFonts w:eastAsia="Arial" w:cs="Arial"/>
          <w:sz w:val="22"/>
          <w:szCs w:val="22"/>
          <w:lang w:val="es"/>
        </w:rPr>
        <w:t xml:space="preserve">En el año 2019, el IGAC recibió de manos del Gobierno Nacional, el reto de la actualización catastral del país, teniendo como meta pasar del 5% al 60% para el 2022; por lo tanto, la Oficina Asesora de Comunicaciones, antes llamada Oficina de Difusión y Mercadeo, al no encontrar una táctica concreta para difundir los lineamientos y resultados del IGAC frente al propósito actual gobierno; diseñó una estrategia de comunicaciones para garantizar el adecuado flujo de la información externa y así crear espacios de participación que estuvieran </w:t>
      </w:r>
      <w:r w:rsidRPr="11273FAF">
        <w:rPr>
          <w:rFonts w:eastAsia="Arial" w:cs="Arial"/>
          <w:sz w:val="22"/>
          <w:szCs w:val="22"/>
          <w:lang w:val="es-MX"/>
        </w:rPr>
        <w:t>orientados a posicionarlo, como una entidad que genera valor constante y que contribuye al desarrollo del país</w:t>
      </w:r>
      <w:r w:rsidRPr="11273FAF">
        <w:rPr>
          <w:rFonts w:eastAsia="Arial" w:cs="Arial"/>
          <w:sz w:val="22"/>
          <w:szCs w:val="22"/>
          <w:lang w:val="es"/>
        </w:rPr>
        <w:t xml:space="preserve">. </w:t>
      </w:r>
    </w:p>
    <w:p w14:paraId="2A24A1D3" w14:textId="77777777" w:rsidR="6D224D23" w:rsidRDefault="6D224D23" w:rsidP="00C72779">
      <w:pPr>
        <w:jc w:val="both"/>
      </w:pPr>
      <w:r w:rsidRPr="11273FAF">
        <w:rPr>
          <w:rFonts w:eastAsia="Arial" w:cs="Arial"/>
          <w:sz w:val="22"/>
          <w:szCs w:val="22"/>
          <w:lang w:val="es"/>
        </w:rPr>
        <w:t xml:space="preserve"> </w:t>
      </w:r>
    </w:p>
    <w:p w14:paraId="5A60EED2" w14:textId="77777777" w:rsidR="6D224D23" w:rsidRDefault="6D224D23" w:rsidP="00C72779">
      <w:pPr>
        <w:jc w:val="both"/>
      </w:pPr>
      <w:r w:rsidRPr="11273FAF">
        <w:rPr>
          <w:rFonts w:eastAsia="Arial" w:cs="Arial"/>
          <w:sz w:val="22"/>
          <w:szCs w:val="22"/>
          <w:lang w:val="es-MX"/>
        </w:rPr>
        <w:t>Así mismo, se priorizó la comunicación interna como medio para promover el sentido de pertenencia entre los funcionarios y así fortalecer los valores institucionales y sus capacidades, para encaminar los esfuerzos de los colaboradores hacia el logro de los objetivos colectivos.</w:t>
      </w:r>
    </w:p>
    <w:p w14:paraId="53B6DFF4" w14:textId="77777777" w:rsidR="6D224D23" w:rsidRDefault="6D224D23" w:rsidP="00C72779">
      <w:pPr>
        <w:jc w:val="both"/>
      </w:pPr>
      <w:r w:rsidRPr="11273FAF">
        <w:rPr>
          <w:rFonts w:eastAsia="Arial" w:cs="Arial"/>
          <w:sz w:val="22"/>
          <w:szCs w:val="22"/>
          <w:lang w:val="es"/>
        </w:rPr>
        <w:t xml:space="preserve"> </w:t>
      </w:r>
    </w:p>
    <w:p w14:paraId="29BA8289" w14:textId="77777777" w:rsidR="6D224D23" w:rsidRDefault="6D224D23" w:rsidP="00C72779">
      <w:pPr>
        <w:jc w:val="both"/>
      </w:pPr>
      <w:r w:rsidRPr="11273FAF">
        <w:rPr>
          <w:rFonts w:eastAsia="Arial" w:cs="Arial"/>
          <w:sz w:val="22"/>
          <w:szCs w:val="22"/>
          <w:lang w:val="es"/>
        </w:rPr>
        <w:t xml:space="preserve">Por consiguiente, la Oficina Asesora de Comunicaciones, durante estos casi dos años, ha logrado que el IGAC sea una fuente de información especializada. Hoy en día, los ciudadanos tienen acceso a la información a través de los micrositios creados por el instituto, también a través de las trasmisiones en vivo por Facebook Live, en las que cada mes, se presentan expertos sobre temas relevantes del IGAC, las campañas realizadas, como el mapa de la semana, las columnas de opinión, entre otros; logran establecer una comunicación directa con los colombianos. </w:t>
      </w:r>
    </w:p>
    <w:p w14:paraId="732E9503" w14:textId="77777777" w:rsidR="6D224D23" w:rsidRDefault="6D224D23" w:rsidP="00C72779">
      <w:pPr>
        <w:jc w:val="both"/>
      </w:pPr>
      <w:r w:rsidRPr="11273FAF">
        <w:rPr>
          <w:rFonts w:eastAsia="Arial" w:cs="Arial"/>
          <w:sz w:val="22"/>
          <w:szCs w:val="22"/>
          <w:lang w:val="es"/>
        </w:rPr>
        <w:t xml:space="preserve"> </w:t>
      </w:r>
    </w:p>
    <w:p w14:paraId="5D178CB9" w14:textId="77777777" w:rsidR="6D224D23" w:rsidRDefault="6D224D23" w:rsidP="00C72779">
      <w:pPr>
        <w:jc w:val="both"/>
      </w:pPr>
      <w:r w:rsidRPr="11273FAF">
        <w:rPr>
          <w:rFonts w:eastAsia="Arial" w:cs="Arial"/>
          <w:sz w:val="22"/>
          <w:szCs w:val="22"/>
          <w:lang w:val="es"/>
        </w:rPr>
        <w:t>De igual manera, se realizaron acercamientos con los alcaldes, para conocer los avances de sus regiones, las herramientas y metodologías que utilizan, en el apoyo al cumplimiento de la meta establecida frente al Catastro Multipropósito.</w:t>
      </w:r>
    </w:p>
    <w:p w14:paraId="6B7E8021" w14:textId="77777777" w:rsidR="6D224D23" w:rsidRDefault="6D224D23" w:rsidP="00C72779">
      <w:pPr>
        <w:jc w:val="both"/>
      </w:pPr>
      <w:r w:rsidRPr="11273FAF">
        <w:rPr>
          <w:rFonts w:eastAsia="Arial" w:cs="Arial"/>
          <w:sz w:val="22"/>
          <w:szCs w:val="22"/>
          <w:lang w:val="es"/>
        </w:rPr>
        <w:t xml:space="preserve"> </w:t>
      </w:r>
    </w:p>
    <w:tbl>
      <w:tblPr>
        <w:tblStyle w:val="Tabladecuadrcula4-nfasis1"/>
        <w:tblW w:w="0" w:type="auto"/>
        <w:tblLayout w:type="fixed"/>
        <w:tblLook w:val="04A0" w:firstRow="1" w:lastRow="0" w:firstColumn="1" w:lastColumn="0" w:noHBand="0" w:noVBand="1"/>
      </w:tblPr>
      <w:tblGrid>
        <w:gridCol w:w="1819"/>
        <w:gridCol w:w="3771"/>
        <w:gridCol w:w="3771"/>
      </w:tblGrid>
      <w:tr w:rsidR="00FA70AB" w14:paraId="0C8A4F48" w14:textId="77777777" w:rsidTr="00A6302C">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4F81BD" w:themeColor="accent1"/>
              <w:left w:val="single" w:sz="8" w:space="0" w:color="4F81BD" w:themeColor="accent1"/>
              <w:bottom w:val="single" w:sz="8" w:space="0" w:color="4F81BD" w:themeColor="accent1"/>
            </w:tcBorders>
            <w:vAlign w:val="center"/>
          </w:tcPr>
          <w:p w14:paraId="6F06538B" w14:textId="77777777" w:rsidR="00FA70AB" w:rsidRPr="005E5E4A" w:rsidRDefault="00FA70AB" w:rsidP="00A6302C">
            <w:pPr>
              <w:jc w:val="center"/>
            </w:pPr>
            <w:r w:rsidRPr="005E5E4A">
              <w:rPr>
                <w:rFonts w:eastAsia="Arial" w:cs="Arial"/>
                <w:sz w:val="18"/>
                <w:szCs w:val="18"/>
                <w:lang w:val="es-MX"/>
              </w:rPr>
              <w:t>Ítem</w:t>
            </w:r>
          </w:p>
        </w:tc>
        <w:tc>
          <w:tcPr>
            <w:tcW w:w="3771" w:type="dxa"/>
            <w:tcBorders>
              <w:top w:val="single" w:sz="8" w:space="0" w:color="4F81BD" w:themeColor="accent1"/>
              <w:bottom w:val="single" w:sz="8" w:space="0" w:color="4F81BD" w:themeColor="accent1"/>
            </w:tcBorders>
            <w:vAlign w:val="center"/>
          </w:tcPr>
          <w:p w14:paraId="60BFE884"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pPr>
            <w:r w:rsidRPr="005E5E4A">
              <w:rPr>
                <w:rFonts w:eastAsia="Arial" w:cs="Arial"/>
                <w:bCs w:val="0"/>
                <w:sz w:val="18"/>
                <w:szCs w:val="18"/>
                <w:lang w:val="es-MX"/>
              </w:rPr>
              <w:t>Estado inicial (2019)</w:t>
            </w:r>
          </w:p>
        </w:tc>
        <w:tc>
          <w:tcPr>
            <w:tcW w:w="3771" w:type="dxa"/>
            <w:tcBorders>
              <w:top w:val="single" w:sz="8" w:space="0" w:color="4F81BD" w:themeColor="accent1"/>
              <w:bottom w:val="single" w:sz="8" w:space="0" w:color="4F81BD" w:themeColor="accent1"/>
              <w:right w:val="single" w:sz="8" w:space="0" w:color="4F81BD" w:themeColor="accent1"/>
            </w:tcBorders>
            <w:vAlign w:val="center"/>
          </w:tcPr>
          <w:p w14:paraId="3D47F4E2"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pPr>
            <w:r w:rsidRPr="005E5E4A">
              <w:rPr>
                <w:rFonts w:eastAsia="Arial" w:cs="Arial"/>
                <w:bCs w:val="0"/>
                <w:sz w:val="18"/>
                <w:szCs w:val="18"/>
                <w:lang w:val="es-MX"/>
              </w:rPr>
              <w:t>Estado actual (2021)</w:t>
            </w:r>
          </w:p>
        </w:tc>
      </w:tr>
      <w:tr w:rsidR="00FA70AB" w14:paraId="017FC2B4" w14:textId="77777777" w:rsidTr="00A6302C">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31103414" w14:textId="77777777" w:rsidR="00FA70AB" w:rsidRDefault="00FA70AB" w:rsidP="00A6302C">
            <w:pPr>
              <w:jc w:val="center"/>
            </w:pPr>
            <w:r w:rsidRPr="11273FAF">
              <w:rPr>
                <w:rFonts w:eastAsia="Arial" w:cs="Arial"/>
                <w:sz w:val="18"/>
                <w:szCs w:val="18"/>
                <w:lang w:val="es-MX"/>
              </w:rPr>
              <w:t>Información</w:t>
            </w:r>
          </w:p>
        </w:tc>
        <w:tc>
          <w:tcPr>
            <w:tcW w:w="377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55AAC293"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Se encuentra un proceso con un grupo interno de trabajo que abarca los componentes de comercialización, mercadeo, comunicaciones y CIG.</w:t>
            </w:r>
          </w:p>
          <w:p w14:paraId="12F75D0B"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36B92818"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No existía un repositorio de información. No había una base de datos de los principales medios de comunicación con los que la entidad tenía interlocución.</w:t>
            </w:r>
          </w:p>
          <w:p w14:paraId="7843E3ED"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5F8BF8AD"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Falta de uniformidad, consistencia y confiabilidad de la información relacionada con las comunicaciones internas y externas.</w:t>
            </w:r>
          </w:p>
          <w:p w14:paraId="17CFEF2C"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1F173B29"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Por la falta de una información consolidada, existía dificultad para responder a los ciudadanos sobre sus consultas.</w:t>
            </w:r>
          </w:p>
          <w:p w14:paraId="59455502"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53DB01A5"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Las redes sociales no tenían una parrilla de contenidos establecida. Y sus publicaciones no eran ordenadas basadas en una campaña.</w:t>
            </w:r>
          </w:p>
          <w:p w14:paraId="13DB0191"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53D7DD5C"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El monitoreo de medio no se realizaba constantemente.</w:t>
            </w:r>
          </w:p>
          <w:p w14:paraId="1B53E96B"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tc>
        <w:tc>
          <w:tcPr>
            <w:tcW w:w="3771"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vAlign w:val="center"/>
          </w:tcPr>
          <w:p w14:paraId="7D2E5CEC"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lastRenderedPageBreak/>
              <w:t xml:space="preserve">Se consolidó la Oficina Asesora de Comunicaciones dentro de la nueva estructura orgánica de la entidad, lo que le </w:t>
            </w:r>
            <w:r w:rsidRPr="11273FAF">
              <w:rPr>
                <w:rFonts w:eastAsia="Arial" w:cs="Arial"/>
                <w:sz w:val="18"/>
                <w:szCs w:val="18"/>
                <w:lang w:val="es-MX"/>
              </w:rPr>
              <w:lastRenderedPageBreak/>
              <w:t>permite estar en el nivel estratégico del mapa de procesos.</w:t>
            </w:r>
          </w:p>
          <w:p w14:paraId="76AFCCA2"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514A4947"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 xml:space="preserve">Se construyó la base de datos de medio de comunicación, lo que permite realizar un monitoreo permanente de medios de comunicación. Esto se representa en el ahorro </w:t>
            </w:r>
            <w:r w:rsidRPr="11273FAF">
              <w:rPr>
                <w:rFonts w:eastAsia="Arial" w:cs="Arial"/>
                <w:i/>
                <w:iCs/>
                <w:sz w:val="18"/>
                <w:szCs w:val="18"/>
                <w:lang w:val="es-MX"/>
              </w:rPr>
              <w:t>free press</w:t>
            </w:r>
            <w:r w:rsidRPr="11273FAF">
              <w:rPr>
                <w:rFonts w:eastAsia="Arial" w:cs="Arial"/>
                <w:sz w:val="18"/>
                <w:szCs w:val="18"/>
                <w:lang w:val="es-MX"/>
              </w:rPr>
              <w:t xml:space="preserve"> para la entidad.</w:t>
            </w:r>
          </w:p>
          <w:p w14:paraId="29EA0E53"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13343E5A"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Se construye, revisa y aprueba, la información que genera la entidad en conjunto con las áreas misionales, para fortalecer la calidad de la misma.</w:t>
            </w:r>
          </w:p>
          <w:p w14:paraId="5648BF03"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3FD4B865"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A través de la oficina se consolidan las solicitudes que realizan los ciudadanos y se trasladan al área competente, para mejorar los tiempos de respuesta y atención a los requerimientos que llegan por estos medios.</w:t>
            </w:r>
          </w:p>
          <w:p w14:paraId="5EB2E084"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p w14:paraId="0F5C2264"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Se planifica la información específica de acuerdo al público objetivo.</w:t>
            </w:r>
          </w:p>
          <w:p w14:paraId="5CA00229"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p>
        </w:tc>
      </w:tr>
      <w:tr w:rsidR="00FA70AB" w14:paraId="293043A3"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D5D24C5" w14:textId="77777777" w:rsidR="00FA70AB" w:rsidRDefault="00FA70AB" w:rsidP="00A6302C">
            <w:pPr>
              <w:jc w:val="center"/>
            </w:pPr>
            <w:r w:rsidRPr="11273FAF">
              <w:rPr>
                <w:rFonts w:eastAsia="Arial" w:cs="Arial"/>
                <w:sz w:val="18"/>
                <w:szCs w:val="18"/>
                <w:lang w:val="es-MX"/>
              </w:rPr>
              <w:lastRenderedPageBreak/>
              <w:t>Alcance del proceso</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95867F2"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Formulación de los planes de comunicación y mercadeo, alineados con el Plan Nacional de Desarrollo. Adelantando acciones de comunicación institucional, así como la promoción y comercialización de productos y servicios de la información catastral, geográfica, cartográfica, geodésica, agrológica y de gestión de conocimiento, investigación e innovación del IGAC. Terminando con la difusión de la información a los grupos de interés y la ciudadanía en general.</w:t>
            </w:r>
          </w:p>
          <w:p w14:paraId="6F986DBD"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p w14:paraId="45B6E468"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Dificultad en la definición de los roles del área al encontrar varios equipos de trabajo relacionados con diferentes temas como: biblioteca, gestión comercial, comunicaciones, museos, facturación, centro de información geográfica entre otros.</w:t>
            </w:r>
          </w:p>
          <w:p w14:paraId="14654BDE"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p w14:paraId="0D1C2E36"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Realización de actividades sin orientación estratégica, enfoque más operativo.</w:t>
            </w:r>
          </w:p>
          <w:p w14:paraId="0D2587B1"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73D33C02"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Diseño de una estrategia de comunicaciones para responder a los retos que tiene la entidad en materia de la política de Catastro Multipropósito, con el objetivo de mantener informados a los grupos de interés sobre sus avances.</w:t>
            </w:r>
          </w:p>
          <w:p w14:paraId="09B20719"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p w14:paraId="0DC712FE"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El grupo de trabajo está organizado por procesos para atender las solicitudes en materia de comunicaciones interna y externa.</w:t>
            </w:r>
          </w:p>
        </w:tc>
      </w:tr>
      <w:tr w:rsidR="00FA70AB" w14:paraId="493A75B5" w14:textId="77777777" w:rsidTr="00A6302C">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B9F81E2" w14:textId="77777777" w:rsidR="00FA70AB" w:rsidRDefault="00FA70AB" w:rsidP="00A6302C">
            <w:pPr>
              <w:jc w:val="center"/>
            </w:pPr>
            <w:r w:rsidRPr="11273FAF">
              <w:rPr>
                <w:rFonts w:eastAsia="Arial" w:cs="Arial"/>
                <w:sz w:val="18"/>
                <w:szCs w:val="18"/>
                <w:lang w:val="es-MX"/>
              </w:rPr>
              <w:t>Seguimiento</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71468162"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Diferentes repositorios de información y solicitudes de los ciudadanos, a través de los canales internos y externos que se manejan en la entidad.</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8DE74FA"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Seguimientos diarios sobre temas propios de la Ofician Asesora de Comunicaciones como monitoreo de redes sociales y medios de comunicación.</w:t>
            </w:r>
          </w:p>
        </w:tc>
      </w:tr>
      <w:tr w:rsidR="00FA70AB" w14:paraId="29124BE1" w14:textId="77777777" w:rsidTr="00A6302C">
        <w:trPr>
          <w:trHeight w:val="255"/>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62C28741" w14:textId="77777777" w:rsidR="00FA70AB" w:rsidRDefault="00FA70AB" w:rsidP="00A6302C">
            <w:pPr>
              <w:jc w:val="center"/>
            </w:pPr>
          </w:p>
          <w:p w14:paraId="5BCBB508" w14:textId="77777777" w:rsidR="00FA70AB" w:rsidRDefault="00FA70AB" w:rsidP="00A6302C">
            <w:pPr>
              <w:jc w:val="center"/>
            </w:pPr>
            <w:r w:rsidRPr="11273FAF">
              <w:rPr>
                <w:rFonts w:eastAsia="Arial" w:cs="Arial"/>
                <w:sz w:val="18"/>
                <w:szCs w:val="18"/>
                <w:lang w:val="es-MX"/>
              </w:rPr>
              <w:t>Procedimientos</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0ECEDBE"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p w14:paraId="0C6952D7"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
              </w:rPr>
              <w:t xml:space="preserve">Debido a la característica de la antigua Oficina de Difusión y Mercadeo, que agrupaba varios temas de la entidad mencionados en el hito de información, se encuentran procedimientos </w:t>
            </w:r>
            <w:r w:rsidRPr="11273FAF">
              <w:rPr>
                <w:rFonts w:eastAsia="Arial" w:cs="Arial"/>
                <w:sz w:val="18"/>
                <w:szCs w:val="18"/>
                <w:lang w:val="es-MX"/>
              </w:rPr>
              <w:t xml:space="preserve">sin actualización </w:t>
            </w:r>
            <w:r w:rsidRPr="11273FAF">
              <w:rPr>
                <w:rFonts w:eastAsia="Arial" w:cs="Arial"/>
                <w:sz w:val="18"/>
                <w:szCs w:val="18"/>
                <w:lang w:val="es-MX"/>
              </w:rPr>
              <w:lastRenderedPageBreak/>
              <w:t>e incluso, traslapados en sus propósitos, poco comprensibles.</w:t>
            </w:r>
          </w:p>
          <w:p w14:paraId="3F9BBA27"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54413EE9"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p>
          <w:p w14:paraId="66175B31" w14:textId="77777777" w:rsidR="00FA70AB" w:rsidRDefault="00FA70AB" w:rsidP="00A6302C">
            <w:pPr>
              <w:jc w:val="center"/>
              <w:cnfStyle w:val="000000000000" w:firstRow="0" w:lastRow="0" w:firstColumn="0" w:lastColumn="0" w:oddVBand="0" w:evenVBand="0" w:oddHBand="0" w:evenHBand="0" w:firstRowFirstColumn="0" w:firstRowLastColumn="0" w:lastRowFirstColumn="0" w:lastRowLastColumn="0"/>
            </w:pPr>
            <w:r w:rsidRPr="11273FAF">
              <w:rPr>
                <w:rFonts w:eastAsia="Arial" w:cs="Arial"/>
                <w:sz w:val="18"/>
                <w:szCs w:val="18"/>
                <w:lang w:val="es-MX"/>
              </w:rPr>
              <w:t>Se actualizaron los procedimientos inherentes al proceso de Gestión de Comunicaciones y sus respectivas documentaciones asociadas, enfocados en las necesidades y la realidad de la entidad.</w:t>
            </w:r>
          </w:p>
        </w:tc>
      </w:tr>
      <w:tr w:rsidR="00FA70AB" w14:paraId="28FB41F1" w14:textId="77777777" w:rsidTr="00A6302C">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819"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3DF5D1DA" w14:textId="77777777" w:rsidR="00FA70AB" w:rsidRDefault="00FA70AB" w:rsidP="00A6302C">
            <w:pPr>
              <w:jc w:val="center"/>
            </w:pPr>
            <w:r w:rsidRPr="11273FAF">
              <w:rPr>
                <w:rFonts w:eastAsia="Arial" w:cs="Arial"/>
                <w:sz w:val="18"/>
                <w:szCs w:val="18"/>
                <w:lang w:val="es-MX"/>
              </w:rPr>
              <w:lastRenderedPageBreak/>
              <w:t>Equipo Humano</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1A806D3E"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25 contratos de prestación de servicios profesionales</w:t>
            </w:r>
          </w:p>
        </w:tc>
        <w:tc>
          <w:tcPr>
            <w:tcW w:w="3771" w:type="dxa"/>
            <w:tcBorders>
              <w:top w:val="single" w:sz="8" w:space="0" w:color="95B3D7" w:themeColor="accent1" w:themeTint="99"/>
              <w:left w:val="single" w:sz="8" w:space="0" w:color="95B3D7" w:themeColor="accent1" w:themeTint="99"/>
              <w:bottom w:val="single" w:sz="8" w:space="0" w:color="95B3D7" w:themeColor="accent1" w:themeTint="99"/>
              <w:right w:val="single" w:sz="8" w:space="0" w:color="95B3D7" w:themeColor="accent1" w:themeTint="99"/>
            </w:tcBorders>
            <w:vAlign w:val="center"/>
          </w:tcPr>
          <w:p w14:paraId="4BEB9D38" w14:textId="77777777" w:rsidR="00FA70AB" w:rsidRDefault="00FA70AB" w:rsidP="00A6302C">
            <w:pPr>
              <w:jc w:val="center"/>
              <w:cnfStyle w:val="000000100000" w:firstRow="0" w:lastRow="0" w:firstColumn="0" w:lastColumn="0" w:oddVBand="0" w:evenVBand="0" w:oddHBand="1" w:evenHBand="0" w:firstRowFirstColumn="0" w:firstRowLastColumn="0" w:lastRowFirstColumn="0" w:lastRowLastColumn="0"/>
            </w:pPr>
            <w:r w:rsidRPr="11273FAF">
              <w:rPr>
                <w:rFonts w:eastAsia="Arial" w:cs="Arial"/>
                <w:sz w:val="18"/>
                <w:szCs w:val="18"/>
                <w:lang w:val="es-MX"/>
              </w:rPr>
              <w:t>ocho contratistas y dos funcionarios de planta (Libre nombramiento y remoción – Carrera Administrativa), que soportan las comunicaciones internas y externas de la entidad y toda la producción que eso involucra.</w:t>
            </w:r>
          </w:p>
        </w:tc>
      </w:tr>
    </w:tbl>
    <w:p w14:paraId="4A1D70CC" w14:textId="77777777" w:rsidR="00FA70AB" w:rsidRPr="009B3727" w:rsidRDefault="00FA70AB" w:rsidP="00FA70AB">
      <w:pPr>
        <w:jc w:val="center"/>
        <w:rPr>
          <w:b/>
          <w:sz w:val="22"/>
        </w:rPr>
      </w:pPr>
      <w:r w:rsidRPr="4AF797C7">
        <w:rPr>
          <w:rFonts w:eastAsia="Arial" w:cs="Arial"/>
          <w:b/>
          <w:bCs/>
          <w:color w:val="000000" w:themeColor="text1"/>
          <w:lang w:val="es"/>
        </w:rPr>
        <w:t xml:space="preserve"> </w:t>
      </w:r>
      <w:r w:rsidRPr="009B3727">
        <w:rPr>
          <w:rFonts w:eastAsia="Arial" w:cs="Arial"/>
          <w:b/>
          <w:bCs/>
          <w:sz w:val="16"/>
          <w:szCs w:val="18"/>
          <w:lang w:val="es"/>
        </w:rPr>
        <w:t>Fuente:</w:t>
      </w:r>
      <w:r w:rsidRPr="009B3727">
        <w:rPr>
          <w:rFonts w:eastAsia="Arial" w:cs="Arial"/>
          <w:b/>
          <w:sz w:val="16"/>
          <w:szCs w:val="18"/>
          <w:lang w:val="es"/>
        </w:rPr>
        <w:t xml:space="preserve"> Oficina Asesora de Comunicaciones</w:t>
      </w:r>
    </w:p>
    <w:p w14:paraId="123FF2B8" w14:textId="3A4F35DD" w:rsidR="006A2F15" w:rsidRDefault="006A2F15" w:rsidP="00FA70AB">
      <w:pPr>
        <w:jc w:val="both"/>
      </w:pPr>
    </w:p>
    <w:p w14:paraId="1C36A32B" w14:textId="43DC442D" w:rsidR="006A2F15" w:rsidRPr="006A2F15" w:rsidRDefault="00FA70AB" w:rsidP="006A2F15">
      <w:pPr>
        <w:pStyle w:val="Prrafodelista"/>
        <w:numPr>
          <w:ilvl w:val="2"/>
          <w:numId w:val="22"/>
        </w:numPr>
        <w:rPr>
          <w:rFonts w:eastAsia="Arial" w:cs="Arial"/>
          <w:b/>
          <w:bCs/>
          <w:color w:val="000000" w:themeColor="text1"/>
          <w:sz w:val="22"/>
          <w:szCs w:val="22"/>
          <w:lang w:val="es"/>
        </w:rPr>
      </w:pPr>
      <w:r w:rsidRPr="006A2F15">
        <w:rPr>
          <w:rFonts w:eastAsia="Arial" w:cs="Arial"/>
          <w:b/>
          <w:bCs/>
          <w:color w:val="000000" w:themeColor="text1"/>
          <w:sz w:val="22"/>
          <w:szCs w:val="22"/>
          <w:lang w:val="es"/>
        </w:rPr>
        <w:t>PROCEDIMIENTOS, INDICADORES Y RIESGOS ASOCIADOS</w:t>
      </w:r>
    </w:p>
    <w:p w14:paraId="4482713D" w14:textId="77777777" w:rsidR="6D224D23" w:rsidRDefault="6D224D23" w:rsidP="00C72779">
      <w:pPr>
        <w:jc w:val="both"/>
      </w:pPr>
      <w:r w:rsidRPr="4AF797C7">
        <w:rPr>
          <w:rFonts w:eastAsia="Arial" w:cs="Arial"/>
          <w:b/>
          <w:bCs/>
          <w:sz w:val="22"/>
          <w:szCs w:val="22"/>
        </w:rPr>
        <w:t xml:space="preserve"> </w:t>
      </w:r>
    </w:p>
    <w:tbl>
      <w:tblPr>
        <w:tblStyle w:val="Tabladecuadrcula4-nfasis1"/>
        <w:tblW w:w="9209" w:type="dxa"/>
        <w:tblLayout w:type="fixed"/>
        <w:tblLook w:val="04A0" w:firstRow="1" w:lastRow="0" w:firstColumn="1" w:lastColumn="0" w:noHBand="0" w:noVBand="1"/>
      </w:tblPr>
      <w:tblGrid>
        <w:gridCol w:w="2122"/>
        <w:gridCol w:w="2551"/>
        <w:gridCol w:w="1985"/>
        <w:gridCol w:w="1417"/>
        <w:gridCol w:w="1134"/>
      </w:tblGrid>
      <w:tr w:rsidR="00FA70AB" w:rsidRPr="005E5E4A" w14:paraId="136B995A" w14:textId="77777777" w:rsidTr="00A6302C">
        <w:trPr>
          <w:cnfStyle w:val="100000000000" w:firstRow="1" w:lastRow="0" w:firstColumn="0" w:lastColumn="0" w:oddVBand="0" w:evenVBand="0" w:oddHBand="0"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2122" w:type="dxa"/>
            <w:vAlign w:val="center"/>
          </w:tcPr>
          <w:p w14:paraId="5B3F1424" w14:textId="77777777" w:rsidR="00FA70AB" w:rsidRPr="005E5E4A" w:rsidRDefault="00FA70AB" w:rsidP="00A6302C">
            <w:pPr>
              <w:jc w:val="center"/>
              <w:rPr>
                <w:sz w:val="20"/>
              </w:rPr>
            </w:pPr>
            <w:r w:rsidRPr="005E5E4A">
              <w:rPr>
                <w:rFonts w:eastAsia="Arial" w:cs="Arial"/>
                <w:sz w:val="20"/>
                <w:szCs w:val="18"/>
                <w:lang w:val="es-MX"/>
              </w:rPr>
              <w:t>Proceso</w:t>
            </w:r>
          </w:p>
        </w:tc>
        <w:tc>
          <w:tcPr>
            <w:tcW w:w="2551" w:type="dxa"/>
            <w:vAlign w:val="center"/>
          </w:tcPr>
          <w:p w14:paraId="1DF480E6"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r w:rsidRPr="005E5E4A">
              <w:rPr>
                <w:rFonts w:eastAsia="Arial" w:cs="Arial"/>
                <w:bCs w:val="0"/>
                <w:sz w:val="20"/>
                <w:szCs w:val="18"/>
                <w:lang w:val="es-MX"/>
              </w:rPr>
              <w:t>Subproceso</w:t>
            </w:r>
          </w:p>
        </w:tc>
        <w:tc>
          <w:tcPr>
            <w:tcW w:w="1985" w:type="dxa"/>
            <w:vAlign w:val="center"/>
          </w:tcPr>
          <w:p w14:paraId="4801A689"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r w:rsidRPr="005E5E4A">
              <w:rPr>
                <w:rFonts w:eastAsia="Arial" w:cs="Arial"/>
                <w:bCs w:val="0"/>
                <w:sz w:val="20"/>
                <w:szCs w:val="18"/>
                <w:lang w:val="es-MX"/>
              </w:rPr>
              <w:t>Procedimientos</w:t>
            </w:r>
          </w:p>
        </w:tc>
        <w:tc>
          <w:tcPr>
            <w:tcW w:w="1417" w:type="dxa"/>
            <w:vAlign w:val="center"/>
          </w:tcPr>
          <w:p w14:paraId="025EAB57"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r w:rsidRPr="005E5E4A">
              <w:rPr>
                <w:rFonts w:eastAsia="Arial" w:cs="Arial"/>
                <w:bCs w:val="0"/>
                <w:sz w:val="20"/>
                <w:szCs w:val="18"/>
                <w:lang w:val="es-MX"/>
              </w:rPr>
              <w:t>Indicadores</w:t>
            </w:r>
          </w:p>
        </w:tc>
        <w:tc>
          <w:tcPr>
            <w:tcW w:w="1134" w:type="dxa"/>
            <w:vAlign w:val="center"/>
          </w:tcPr>
          <w:p w14:paraId="04DFECB8"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p>
          <w:p w14:paraId="1D890698"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r w:rsidRPr="005E5E4A">
              <w:rPr>
                <w:rFonts w:eastAsia="Arial" w:cs="Arial"/>
                <w:bCs w:val="0"/>
                <w:sz w:val="20"/>
                <w:szCs w:val="18"/>
                <w:lang w:val="es-MX"/>
              </w:rPr>
              <w:t>Riesgos</w:t>
            </w:r>
          </w:p>
          <w:p w14:paraId="2CCEC516" w14:textId="77777777" w:rsidR="00FA70AB" w:rsidRPr="005E5E4A" w:rsidRDefault="00FA70AB" w:rsidP="00A6302C">
            <w:pPr>
              <w:jc w:val="center"/>
              <w:cnfStyle w:val="100000000000" w:firstRow="1" w:lastRow="0" w:firstColumn="0" w:lastColumn="0" w:oddVBand="0" w:evenVBand="0" w:oddHBand="0" w:evenHBand="0" w:firstRowFirstColumn="0" w:firstRowLastColumn="0" w:lastRowFirstColumn="0" w:lastRowLastColumn="0"/>
              <w:rPr>
                <w:sz w:val="20"/>
              </w:rPr>
            </w:pPr>
          </w:p>
        </w:tc>
      </w:tr>
      <w:tr w:rsidR="00FA70AB" w:rsidRPr="005E5E4A" w14:paraId="5EF665B1" w14:textId="77777777" w:rsidTr="00A6302C">
        <w:trPr>
          <w:cnfStyle w:val="000000100000" w:firstRow="0" w:lastRow="0" w:firstColumn="0" w:lastColumn="0" w:oddVBand="0" w:evenVBand="0" w:oddHBand="1"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2122" w:type="dxa"/>
            <w:vMerge w:val="restart"/>
            <w:vAlign w:val="center"/>
          </w:tcPr>
          <w:p w14:paraId="21E6BDF1" w14:textId="77777777" w:rsidR="00FA70AB" w:rsidRDefault="00FA70AB" w:rsidP="00A6302C">
            <w:pPr>
              <w:jc w:val="center"/>
              <w:rPr>
                <w:rFonts w:eastAsia="Arial" w:cs="Arial"/>
                <w:sz w:val="20"/>
                <w:szCs w:val="18"/>
                <w:lang w:val="es-MX"/>
              </w:rPr>
            </w:pPr>
          </w:p>
          <w:p w14:paraId="2C119723" w14:textId="77777777" w:rsidR="00FA70AB" w:rsidRPr="005E5E4A" w:rsidRDefault="00FA70AB" w:rsidP="00A6302C">
            <w:pPr>
              <w:jc w:val="center"/>
              <w:rPr>
                <w:sz w:val="20"/>
              </w:rPr>
            </w:pPr>
            <w:r w:rsidRPr="005E5E4A">
              <w:rPr>
                <w:rFonts w:eastAsia="Arial" w:cs="Arial"/>
                <w:sz w:val="20"/>
                <w:szCs w:val="18"/>
                <w:lang w:val="es-MX"/>
              </w:rPr>
              <w:t>Gestión de Comunicaciones</w:t>
            </w:r>
          </w:p>
        </w:tc>
        <w:tc>
          <w:tcPr>
            <w:tcW w:w="2551" w:type="dxa"/>
            <w:vAlign w:val="center"/>
          </w:tcPr>
          <w:p w14:paraId="39DFEDF9"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Ges</w:t>
            </w:r>
            <w:r>
              <w:rPr>
                <w:rFonts w:eastAsia="Arial" w:cs="Arial"/>
                <w:sz w:val="20"/>
                <w:szCs w:val="18"/>
                <w:lang w:val="es-MX"/>
              </w:rPr>
              <w:t>tión de Comunicaciones Interna</w:t>
            </w:r>
          </w:p>
        </w:tc>
        <w:tc>
          <w:tcPr>
            <w:tcW w:w="1985" w:type="dxa"/>
            <w:vAlign w:val="center"/>
          </w:tcPr>
          <w:p w14:paraId="5EB939E4"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1</w:t>
            </w:r>
          </w:p>
        </w:tc>
        <w:tc>
          <w:tcPr>
            <w:tcW w:w="1417" w:type="dxa"/>
            <w:vAlign w:val="center"/>
          </w:tcPr>
          <w:p w14:paraId="02EECC7A"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2</w:t>
            </w:r>
          </w:p>
        </w:tc>
        <w:tc>
          <w:tcPr>
            <w:tcW w:w="1134" w:type="dxa"/>
            <w:vAlign w:val="center"/>
          </w:tcPr>
          <w:p w14:paraId="1E272656"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1</w:t>
            </w:r>
          </w:p>
        </w:tc>
      </w:tr>
      <w:tr w:rsidR="00FA70AB" w:rsidRPr="005E5E4A" w14:paraId="2A005C80" w14:textId="77777777" w:rsidTr="00A6302C">
        <w:trPr>
          <w:trHeight w:val="450"/>
        </w:trPr>
        <w:tc>
          <w:tcPr>
            <w:cnfStyle w:val="001000000000" w:firstRow="0" w:lastRow="0" w:firstColumn="1" w:lastColumn="0" w:oddVBand="0" w:evenVBand="0" w:oddHBand="0" w:evenHBand="0" w:firstRowFirstColumn="0" w:firstRowLastColumn="0" w:lastRowFirstColumn="0" w:lastRowLastColumn="0"/>
            <w:tcW w:w="2122" w:type="dxa"/>
            <w:vMerge/>
            <w:vAlign w:val="center"/>
          </w:tcPr>
          <w:p w14:paraId="2DA82DD7" w14:textId="77777777" w:rsidR="00FA70AB" w:rsidRPr="005E5E4A" w:rsidRDefault="00FA70AB" w:rsidP="00A6302C">
            <w:pPr>
              <w:jc w:val="center"/>
              <w:rPr>
                <w:sz w:val="20"/>
              </w:rPr>
            </w:pPr>
          </w:p>
        </w:tc>
        <w:tc>
          <w:tcPr>
            <w:tcW w:w="2551" w:type="dxa"/>
            <w:vAlign w:val="center"/>
          </w:tcPr>
          <w:p w14:paraId="27F35238" w14:textId="77777777" w:rsidR="00FA70AB" w:rsidRPr="005E5E4A" w:rsidRDefault="00FA70AB" w:rsidP="00A6302C">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18"/>
                <w:lang w:val="es-MX"/>
              </w:rPr>
              <w:t>Gestión de Comunicaciones Internas.</w:t>
            </w:r>
          </w:p>
        </w:tc>
        <w:tc>
          <w:tcPr>
            <w:tcW w:w="1985" w:type="dxa"/>
            <w:vAlign w:val="center"/>
          </w:tcPr>
          <w:p w14:paraId="3CA60244" w14:textId="77777777" w:rsidR="00FA70AB" w:rsidRPr="005E5E4A" w:rsidRDefault="00FA70AB" w:rsidP="00A6302C">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18"/>
                <w:lang w:val="es-MX"/>
              </w:rPr>
              <w:t>1</w:t>
            </w:r>
          </w:p>
        </w:tc>
        <w:tc>
          <w:tcPr>
            <w:tcW w:w="1417" w:type="dxa"/>
            <w:vAlign w:val="center"/>
          </w:tcPr>
          <w:p w14:paraId="47B1AEF6" w14:textId="77777777" w:rsidR="00FA70AB" w:rsidRPr="005E5E4A" w:rsidRDefault="00FA70AB" w:rsidP="00A6302C">
            <w:pPr>
              <w:jc w:val="center"/>
              <w:cnfStyle w:val="000000000000" w:firstRow="0" w:lastRow="0" w:firstColumn="0" w:lastColumn="0" w:oddVBand="0" w:evenVBand="0" w:oddHBand="0" w:evenHBand="0" w:firstRowFirstColumn="0" w:firstRowLastColumn="0" w:lastRowFirstColumn="0" w:lastRowLastColumn="0"/>
              <w:rPr>
                <w:sz w:val="20"/>
              </w:rPr>
            </w:pPr>
            <w:r w:rsidRPr="005E5E4A">
              <w:rPr>
                <w:rFonts w:eastAsia="Arial" w:cs="Arial"/>
                <w:sz w:val="20"/>
                <w:szCs w:val="18"/>
                <w:lang w:val="es-MX"/>
              </w:rPr>
              <w:t>2</w:t>
            </w:r>
          </w:p>
        </w:tc>
        <w:tc>
          <w:tcPr>
            <w:tcW w:w="1134" w:type="dxa"/>
            <w:vAlign w:val="center"/>
          </w:tcPr>
          <w:p w14:paraId="0691FF6B" w14:textId="77777777" w:rsidR="00FA70AB" w:rsidRPr="005E5E4A" w:rsidRDefault="00FA70AB" w:rsidP="00A6302C">
            <w:pPr>
              <w:jc w:val="center"/>
              <w:cnfStyle w:val="000000000000" w:firstRow="0" w:lastRow="0" w:firstColumn="0" w:lastColumn="0" w:oddVBand="0" w:evenVBand="0" w:oddHBand="0" w:evenHBand="0" w:firstRowFirstColumn="0" w:firstRowLastColumn="0" w:lastRowFirstColumn="0" w:lastRowLastColumn="0"/>
              <w:rPr>
                <w:sz w:val="20"/>
              </w:rPr>
            </w:pPr>
          </w:p>
        </w:tc>
      </w:tr>
      <w:tr w:rsidR="00FA70AB" w:rsidRPr="005E5E4A" w14:paraId="46C97245" w14:textId="77777777" w:rsidTr="00A6302C">
        <w:trPr>
          <w:cnfStyle w:val="000000100000" w:firstRow="0" w:lastRow="0" w:firstColumn="0" w:lastColumn="0" w:oddVBand="0" w:evenVBand="0" w:oddHBand="1"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4673" w:type="dxa"/>
            <w:gridSpan w:val="2"/>
            <w:vAlign w:val="center"/>
          </w:tcPr>
          <w:p w14:paraId="6AE96FEA" w14:textId="77777777" w:rsidR="00FA70AB" w:rsidRPr="005E5E4A" w:rsidRDefault="00FA70AB" w:rsidP="00A6302C">
            <w:pPr>
              <w:jc w:val="center"/>
              <w:rPr>
                <w:sz w:val="20"/>
              </w:rPr>
            </w:pPr>
            <w:r w:rsidRPr="005E5E4A">
              <w:rPr>
                <w:rFonts w:eastAsia="Arial" w:cs="Arial"/>
                <w:sz w:val="20"/>
                <w:szCs w:val="18"/>
                <w:lang w:val="es-MX"/>
              </w:rPr>
              <w:t>Total</w:t>
            </w:r>
          </w:p>
        </w:tc>
        <w:tc>
          <w:tcPr>
            <w:tcW w:w="1985" w:type="dxa"/>
            <w:vAlign w:val="center"/>
          </w:tcPr>
          <w:p w14:paraId="187766E9"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2</w:t>
            </w:r>
          </w:p>
        </w:tc>
        <w:tc>
          <w:tcPr>
            <w:tcW w:w="1417" w:type="dxa"/>
            <w:vAlign w:val="center"/>
          </w:tcPr>
          <w:p w14:paraId="37B3B8B6"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4</w:t>
            </w:r>
          </w:p>
        </w:tc>
        <w:tc>
          <w:tcPr>
            <w:tcW w:w="1134" w:type="dxa"/>
            <w:vAlign w:val="center"/>
          </w:tcPr>
          <w:p w14:paraId="04C1DD36"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p>
          <w:p w14:paraId="1C5011D9" w14:textId="77777777" w:rsidR="00FA70AB" w:rsidRPr="005E5E4A" w:rsidRDefault="00FA70AB" w:rsidP="00A6302C">
            <w:pPr>
              <w:jc w:val="center"/>
              <w:cnfStyle w:val="000000100000" w:firstRow="0" w:lastRow="0" w:firstColumn="0" w:lastColumn="0" w:oddVBand="0" w:evenVBand="0" w:oddHBand="1" w:evenHBand="0" w:firstRowFirstColumn="0" w:firstRowLastColumn="0" w:lastRowFirstColumn="0" w:lastRowLastColumn="0"/>
              <w:rPr>
                <w:sz w:val="20"/>
              </w:rPr>
            </w:pPr>
            <w:r w:rsidRPr="005E5E4A">
              <w:rPr>
                <w:rFonts w:eastAsia="Arial" w:cs="Arial"/>
                <w:sz w:val="20"/>
                <w:szCs w:val="18"/>
                <w:lang w:val="es-MX"/>
              </w:rPr>
              <w:t>1</w:t>
            </w:r>
          </w:p>
        </w:tc>
      </w:tr>
    </w:tbl>
    <w:p w14:paraId="3931A300" w14:textId="77777777" w:rsidR="00FA70AB" w:rsidRDefault="00FA70AB" w:rsidP="00FA70AB">
      <w:pPr>
        <w:jc w:val="center"/>
        <w:rPr>
          <w:rFonts w:eastAsia="Arial" w:cs="Arial"/>
          <w:b/>
          <w:sz w:val="16"/>
          <w:szCs w:val="18"/>
          <w:lang w:val="es"/>
        </w:rPr>
      </w:pPr>
      <w:r w:rsidRPr="11273FAF">
        <w:rPr>
          <w:rFonts w:eastAsia="Arial" w:cs="Arial"/>
          <w:sz w:val="22"/>
          <w:szCs w:val="22"/>
          <w:lang w:val="es-MX"/>
        </w:rPr>
        <w:t xml:space="preserve"> </w:t>
      </w:r>
      <w:r w:rsidRPr="009B3727">
        <w:rPr>
          <w:rFonts w:eastAsia="Arial" w:cs="Arial"/>
          <w:b/>
          <w:bCs/>
          <w:sz w:val="16"/>
          <w:szCs w:val="18"/>
          <w:lang w:val="es"/>
        </w:rPr>
        <w:t>Fuente:</w:t>
      </w:r>
      <w:r w:rsidRPr="009B3727">
        <w:rPr>
          <w:rFonts w:eastAsia="Arial" w:cs="Arial"/>
          <w:b/>
          <w:sz w:val="16"/>
          <w:szCs w:val="18"/>
          <w:lang w:val="es"/>
        </w:rPr>
        <w:t xml:space="preserve"> O</w:t>
      </w:r>
      <w:r>
        <w:rPr>
          <w:rFonts w:eastAsia="Arial" w:cs="Arial"/>
          <w:b/>
          <w:sz w:val="16"/>
          <w:szCs w:val="18"/>
          <w:lang w:val="es"/>
        </w:rPr>
        <w:t xml:space="preserve">ficina Asesora de Planeación </w:t>
      </w:r>
    </w:p>
    <w:p w14:paraId="4046F9FC" w14:textId="77777777" w:rsidR="6D224D23" w:rsidRPr="005E5E4A" w:rsidRDefault="6D224D23" w:rsidP="00FA70AB">
      <w:pPr>
        <w:jc w:val="center"/>
        <w:rPr>
          <w:b/>
          <w:sz w:val="22"/>
        </w:rPr>
      </w:pPr>
    </w:p>
    <w:p w14:paraId="26945808" w14:textId="7E0E3F45" w:rsidR="6D224D23" w:rsidRDefault="6D224D23" w:rsidP="00C72779">
      <w:r w:rsidRPr="11273FAF">
        <w:rPr>
          <w:rFonts w:eastAsia="Arial" w:cs="Arial"/>
          <w:sz w:val="22"/>
          <w:szCs w:val="22"/>
          <w:lang w:val="es"/>
        </w:rPr>
        <w:t xml:space="preserve">Para mayor detalle de la información consultar en: </w:t>
      </w:r>
      <w:r w:rsidRPr="11273FAF">
        <w:rPr>
          <w:rFonts w:eastAsia="Arial" w:cs="Arial"/>
          <w:sz w:val="22"/>
          <w:szCs w:val="22"/>
        </w:rPr>
        <w:t xml:space="preserve"> </w:t>
      </w:r>
    </w:p>
    <w:p w14:paraId="2401F9F5" w14:textId="77777777" w:rsidR="6D224D23" w:rsidRDefault="6D224D23" w:rsidP="000A20EE">
      <w:pPr>
        <w:pStyle w:val="Prrafodelista"/>
        <w:numPr>
          <w:ilvl w:val="0"/>
          <w:numId w:val="135"/>
        </w:numPr>
        <w:rPr>
          <w:rFonts w:eastAsia="Arial" w:cs="Arial"/>
          <w:b/>
          <w:bCs/>
          <w:sz w:val="22"/>
          <w:szCs w:val="22"/>
        </w:rPr>
      </w:pPr>
      <w:r w:rsidRPr="11273FAF">
        <w:rPr>
          <w:rFonts w:eastAsia="Arial" w:cs="Arial"/>
          <w:b/>
          <w:bCs/>
          <w:sz w:val="22"/>
          <w:szCs w:val="22"/>
          <w:lang w:val="es"/>
        </w:rPr>
        <w:t>Procedimientos:</w:t>
      </w:r>
      <w:r w:rsidRPr="11273FAF">
        <w:rPr>
          <w:rFonts w:eastAsia="Arial" w:cs="Arial"/>
          <w:sz w:val="22"/>
          <w:szCs w:val="22"/>
          <w:lang w:val="es"/>
        </w:rPr>
        <w:t xml:space="preserve"> </w:t>
      </w:r>
      <w:hyperlink r:id="rId224">
        <w:r w:rsidRPr="11273FAF">
          <w:rPr>
            <w:rStyle w:val="Hipervnculo"/>
            <w:rFonts w:eastAsia="Arial" w:cs="Arial"/>
            <w:sz w:val="22"/>
            <w:szCs w:val="22"/>
            <w:lang w:val="es"/>
          </w:rPr>
          <w:t>https://www.igac.gov.co/es/listado-maestro-de-documentos</w:t>
        </w:r>
      </w:hyperlink>
      <w:r w:rsidRPr="11273FAF">
        <w:rPr>
          <w:rFonts w:eastAsia="Arial" w:cs="Arial"/>
          <w:sz w:val="22"/>
          <w:szCs w:val="22"/>
          <w:lang w:val="es"/>
        </w:rPr>
        <w:t xml:space="preserve"> </w:t>
      </w:r>
      <w:r w:rsidRPr="11273FAF">
        <w:rPr>
          <w:rFonts w:eastAsia="Arial" w:cs="Arial"/>
          <w:sz w:val="22"/>
          <w:szCs w:val="22"/>
        </w:rPr>
        <w:t xml:space="preserve"> </w:t>
      </w:r>
    </w:p>
    <w:p w14:paraId="7ADEF7AE" w14:textId="77777777" w:rsidR="6D224D23" w:rsidRDefault="6D224D23" w:rsidP="000A20EE">
      <w:pPr>
        <w:pStyle w:val="Prrafodelista"/>
        <w:numPr>
          <w:ilvl w:val="0"/>
          <w:numId w:val="135"/>
        </w:numPr>
        <w:rPr>
          <w:rFonts w:eastAsia="Arial" w:cs="Arial"/>
          <w:b/>
          <w:bCs/>
          <w:sz w:val="22"/>
          <w:szCs w:val="22"/>
        </w:rPr>
      </w:pPr>
      <w:r w:rsidRPr="11273FAF">
        <w:rPr>
          <w:rFonts w:eastAsia="Arial" w:cs="Arial"/>
          <w:b/>
          <w:bCs/>
          <w:sz w:val="22"/>
          <w:szCs w:val="22"/>
          <w:lang w:val="es"/>
        </w:rPr>
        <w:t>Indicadores:</w:t>
      </w:r>
      <w:r w:rsidRPr="11273FAF">
        <w:rPr>
          <w:rFonts w:eastAsia="Arial" w:cs="Arial"/>
          <w:sz w:val="22"/>
          <w:szCs w:val="22"/>
          <w:lang w:val="es"/>
        </w:rPr>
        <w:t xml:space="preserve"> Plan Acción Anual 2021:  </w:t>
      </w:r>
      <w:hyperlink r:id="rId225">
        <w:r w:rsidRPr="11273FAF">
          <w:rPr>
            <w:rStyle w:val="Hipervnculo"/>
            <w:rFonts w:eastAsia="Arial" w:cs="Arial"/>
            <w:sz w:val="22"/>
            <w:szCs w:val="22"/>
            <w:lang w:val="es"/>
          </w:rPr>
          <w:t>https://www.igac.gov.co/es/transparencia-y-acceso-a-la-informacion-publica/plan-de-accion-anual</w:t>
        </w:r>
      </w:hyperlink>
      <w:r w:rsidRPr="11273FAF">
        <w:rPr>
          <w:rFonts w:eastAsia="Arial" w:cs="Arial"/>
          <w:sz w:val="22"/>
          <w:szCs w:val="22"/>
          <w:lang w:val="es"/>
        </w:rPr>
        <w:t xml:space="preserve"> y en Herramienta PLANIGAC </w:t>
      </w:r>
      <w:r w:rsidRPr="11273FAF">
        <w:rPr>
          <w:rFonts w:eastAsia="Arial" w:cs="Arial"/>
          <w:sz w:val="22"/>
          <w:szCs w:val="22"/>
        </w:rPr>
        <w:t xml:space="preserve"> </w:t>
      </w:r>
    </w:p>
    <w:p w14:paraId="56D0B995" w14:textId="77777777" w:rsidR="6D224D23" w:rsidRDefault="6D224D23" w:rsidP="000A20EE">
      <w:pPr>
        <w:pStyle w:val="Prrafodelista"/>
        <w:numPr>
          <w:ilvl w:val="0"/>
          <w:numId w:val="135"/>
        </w:numPr>
        <w:rPr>
          <w:rFonts w:eastAsia="Arial" w:cs="Arial"/>
          <w:b/>
          <w:bCs/>
          <w:sz w:val="22"/>
          <w:szCs w:val="22"/>
        </w:rPr>
      </w:pPr>
      <w:r w:rsidRPr="11273FAF">
        <w:rPr>
          <w:rFonts w:eastAsia="Arial" w:cs="Arial"/>
          <w:b/>
          <w:bCs/>
          <w:sz w:val="22"/>
          <w:szCs w:val="22"/>
          <w:lang w:val="es"/>
        </w:rPr>
        <w:t>Riesgos:</w:t>
      </w:r>
      <w:r w:rsidRPr="11273FAF">
        <w:rPr>
          <w:rFonts w:eastAsia="Arial" w:cs="Arial"/>
          <w:sz w:val="22"/>
          <w:szCs w:val="22"/>
          <w:lang w:val="es"/>
        </w:rPr>
        <w:t xml:space="preserve"> Matriz de Riesgos Institucional IGAC 2021: </w:t>
      </w:r>
      <w:hyperlink r:id="rId226">
        <w:r w:rsidRPr="11273FAF">
          <w:rPr>
            <w:rStyle w:val="Hipervnculo"/>
            <w:rFonts w:eastAsia="Arial" w:cs="Arial"/>
            <w:sz w:val="22"/>
            <w:szCs w:val="22"/>
            <w:lang w:val="es"/>
          </w:rPr>
          <w:t>https://www.igac.gov.co/es/transparencia-y-acceso-a-la-informacion-publica/plan-anticorrupcion-y-de-atencion-al-ciudadano</w:t>
        </w:r>
      </w:hyperlink>
      <w:r w:rsidRPr="11273FAF">
        <w:rPr>
          <w:rFonts w:eastAsia="Arial" w:cs="Arial"/>
          <w:sz w:val="22"/>
          <w:szCs w:val="22"/>
          <w:lang w:val="es"/>
        </w:rPr>
        <w:t xml:space="preserve"> y en Herramienta PLANIGAC</w:t>
      </w:r>
      <w:r w:rsidRPr="11273FAF">
        <w:rPr>
          <w:rFonts w:eastAsia="Arial" w:cs="Arial"/>
          <w:lang w:val="es"/>
        </w:rPr>
        <w:t>.</w:t>
      </w:r>
      <w:r w:rsidRPr="11273FAF">
        <w:rPr>
          <w:rFonts w:eastAsia="Arial" w:cs="Arial"/>
        </w:rPr>
        <w:t xml:space="preserve"> </w:t>
      </w:r>
    </w:p>
    <w:p w14:paraId="206C6E36" w14:textId="77777777" w:rsidR="6D224D23" w:rsidRDefault="6D224D23" w:rsidP="00C72779">
      <w:r w:rsidRPr="11273FAF">
        <w:rPr>
          <w:rFonts w:ascii="Segoe UI" w:eastAsia="Segoe UI" w:hAnsi="Segoe UI" w:cs="Segoe UI"/>
          <w:sz w:val="18"/>
          <w:szCs w:val="18"/>
        </w:rPr>
        <w:t xml:space="preserve"> </w:t>
      </w:r>
    </w:p>
    <w:p w14:paraId="1C0C0B73" w14:textId="5A88E163" w:rsidR="006A2F15" w:rsidRPr="006A2F15" w:rsidRDefault="6D224D23" w:rsidP="006A2F15">
      <w:pPr>
        <w:pStyle w:val="Prrafodelista"/>
        <w:numPr>
          <w:ilvl w:val="2"/>
          <w:numId w:val="22"/>
        </w:numPr>
        <w:rPr>
          <w:rFonts w:eastAsia="Arial" w:cs="Arial"/>
          <w:b/>
          <w:bCs/>
          <w:sz w:val="22"/>
          <w:szCs w:val="22"/>
        </w:rPr>
      </w:pPr>
      <w:r w:rsidRPr="006A2F15">
        <w:rPr>
          <w:rFonts w:eastAsia="Arial" w:cs="Arial"/>
          <w:b/>
          <w:bCs/>
          <w:sz w:val="22"/>
          <w:szCs w:val="22"/>
        </w:rPr>
        <w:t>POLÍTICAS ASOCIADAS</w:t>
      </w:r>
    </w:p>
    <w:p w14:paraId="1C496532" w14:textId="77777777" w:rsidR="6D224D23" w:rsidRDefault="6D224D23" w:rsidP="00C72779">
      <w:pPr>
        <w:jc w:val="both"/>
        <w:rPr>
          <w:rFonts w:eastAsia="Arial" w:cs="Arial"/>
          <w:b/>
          <w:bCs/>
          <w:color w:val="FF0000"/>
          <w:sz w:val="22"/>
          <w:szCs w:val="22"/>
        </w:rPr>
      </w:pPr>
      <w:r w:rsidRPr="4AF797C7">
        <w:rPr>
          <w:rFonts w:eastAsia="Arial" w:cs="Arial"/>
          <w:b/>
          <w:bCs/>
          <w:color w:val="FF0000"/>
          <w:sz w:val="22"/>
          <w:szCs w:val="22"/>
        </w:rPr>
        <w:t xml:space="preserve"> </w:t>
      </w:r>
    </w:p>
    <w:tbl>
      <w:tblPr>
        <w:tblStyle w:val="Tabladecuadrcula4-nfasis1"/>
        <w:tblW w:w="0" w:type="auto"/>
        <w:tblLayout w:type="fixed"/>
        <w:tblLook w:val="04A0" w:firstRow="1" w:lastRow="0" w:firstColumn="1" w:lastColumn="0" w:noHBand="0" w:noVBand="1"/>
      </w:tblPr>
      <w:tblGrid>
        <w:gridCol w:w="3348"/>
        <w:gridCol w:w="2917"/>
        <w:gridCol w:w="3095"/>
      </w:tblGrid>
      <w:tr w:rsidR="11273FAF" w14:paraId="131F19D7" w14:textId="77777777" w:rsidTr="4AF797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8" w:type="dxa"/>
            <w:tcBorders>
              <w:top w:val="single" w:sz="8" w:space="0" w:color="4F81BD" w:themeColor="accent1"/>
              <w:left w:val="single" w:sz="8" w:space="0" w:color="4F81BD" w:themeColor="accent1"/>
              <w:bottom w:val="single" w:sz="8" w:space="0" w:color="4F81BD" w:themeColor="accent1"/>
            </w:tcBorders>
          </w:tcPr>
          <w:p w14:paraId="46BBE8EF" w14:textId="77777777" w:rsidR="11273FAF" w:rsidRDefault="5006F2B4" w:rsidP="00C72779">
            <w:pPr>
              <w:jc w:val="center"/>
              <w:rPr>
                <w:rFonts w:eastAsia="Arial" w:cs="Arial"/>
                <w:sz w:val="22"/>
                <w:szCs w:val="22"/>
                <w:lang w:val="es-MX"/>
              </w:rPr>
            </w:pPr>
            <w:r w:rsidRPr="4AF797C7">
              <w:rPr>
                <w:rFonts w:eastAsia="Arial" w:cs="Arial"/>
                <w:sz w:val="22"/>
                <w:szCs w:val="22"/>
                <w:lang w:val="es-MX"/>
              </w:rPr>
              <w:t>Política</w:t>
            </w:r>
          </w:p>
        </w:tc>
        <w:tc>
          <w:tcPr>
            <w:tcW w:w="2917" w:type="dxa"/>
            <w:tcBorders>
              <w:top w:val="single" w:sz="8" w:space="0" w:color="4F81BD" w:themeColor="accent1"/>
              <w:bottom w:val="single" w:sz="8" w:space="0" w:color="4F81BD" w:themeColor="accent1"/>
            </w:tcBorders>
          </w:tcPr>
          <w:p w14:paraId="31E3F463" w14:textId="77777777" w:rsidR="11273FAF" w:rsidRPr="005F6490" w:rsidRDefault="5006F2B4"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2"/>
                <w:szCs w:val="22"/>
                <w:lang w:val="es-MX"/>
              </w:rPr>
            </w:pPr>
            <w:r w:rsidRPr="005F6490">
              <w:rPr>
                <w:rFonts w:eastAsia="Arial" w:cs="Arial"/>
                <w:sz w:val="22"/>
                <w:szCs w:val="22"/>
                <w:lang w:val="es-MX"/>
              </w:rPr>
              <w:t>Objetivo</w:t>
            </w:r>
          </w:p>
        </w:tc>
        <w:tc>
          <w:tcPr>
            <w:tcW w:w="3095" w:type="dxa"/>
            <w:tcBorders>
              <w:top w:val="single" w:sz="8" w:space="0" w:color="4F81BD" w:themeColor="accent1"/>
              <w:bottom w:val="single" w:sz="8" w:space="0" w:color="4F81BD" w:themeColor="accent1"/>
              <w:right w:val="single" w:sz="8" w:space="0" w:color="4F81BD" w:themeColor="accent1"/>
            </w:tcBorders>
          </w:tcPr>
          <w:p w14:paraId="11235275" w14:textId="77777777" w:rsidR="11273FAF" w:rsidRPr="005F6490" w:rsidRDefault="5006F2B4" w:rsidP="00C72779">
            <w:pPr>
              <w:jc w:val="center"/>
              <w:cnfStyle w:val="100000000000" w:firstRow="1" w:lastRow="0" w:firstColumn="0" w:lastColumn="0" w:oddVBand="0" w:evenVBand="0" w:oddHBand="0" w:evenHBand="0" w:firstRowFirstColumn="0" w:firstRowLastColumn="0" w:lastRowFirstColumn="0" w:lastRowLastColumn="0"/>
              <w:rPr>
                <w:rFonts w:eastAsia="Arial" w:cs="Arial"/>
                <w:sz w:val="22"/>
                <w:szCs w:val="22"/>
                <w:lang w:val="es-MX"/>
              </w:rPr>
            </w:pPr>
            <w:r w:rsidRPr="005F6490">
              <w:rPr>
                <w:rFonts w:eastAsia="Arial" w:cs="Arial"/>
                <w:sz w:val="22"/>
                <w:szCs w:val="22"/>
                <w:lang w:val="es-MX"/>
              </w:rPr>
              <w:t>Alcance</w:t>
            </w:r>
          </w:p>
        </w:tc>
      </w:tr>
      <w:tr w:rsidR="11273FAF" w14:paraId="596F1E66" w14:textId="77777777" w:rsidTr="4AF797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8"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2B2EFD96" w14:textId="77777777" w:rsidR="11273FAF" w:rsidRDefault="5006F2B4" w:rsidP="00C72779">
            <w:pPr>
              <w:jc w:val="center"/>
              <w:rPr>
                <w:rFonts w:eastAsia="Arial" w:cs="Arial"/>
                <w:sz w:val="22"/>
                <w:szCs w:val="22"/>
                <w:lang w:val="es-MX"/>
              </w:rPr>
            </w:pPr>
            <w:r w:rsidRPr="4AF797C7">
              <w:rPr>
                <w:rFonts w:eastAsia="Arial" w:cs="Arial"/>
                <w:sz w:val="22"/>
                <w:szCs w:val="22"/>
                <w:lang w:val="es-MX"/>
              </w:rPr>
              <w:t xml:space="preserve">No aplica </w:t>
            </w:r>
          </w:p>
        </w:tc>
        <w:tc>
          <w:tcPr>
            <w:tcW w:w="2917"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44C32AF9" w14:textId="77777777" w:rsidR="11273FAF" w:rsidRPr="005F6490" w:rsidRDefault="5006F2B4"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2"/>
                <w:szCs w:val="22"/>
                <w:lang w:val="es-MX"/>
              </w:rPr>
            </w:pPr>
            <w:r w:rsidRPr="005F6490">
              <w:rPr>
                <w:rFonts w:eastAsia="Arial" w:cs="Arial"/>
                <w:b/>
                <w:sz w:val="22"/>
                <w:szCs w:val="22"/>
                <w:lang w:val="es-MX"/>
              </w:rPr>
              <w:t xml:space="preserve">No aplica </w:t>
            </w:r>
          </w:p>
        </w:tc>
        <w:tc>
          <w:tcPr>
            <w:tcW w:w="3095" w:type="dxa"/>
            <w:tcBorders>
              <w:top w:val="single" w:sz="8" w:space="0" w:color="4F81BD" w:themeColor="accent1"/>
              <w:left w:val="single" w:sz="8" w:space="0" w:color="95B3D7" w:themeColor="accent1" w:themeTint="99"/>
              <w:bottom w:val="single" w:sz="8" w:space="0" w:color="95B3D7" w:themeColor="accent1" w:themeTint="99"/>
              <w:right w:val="single" w:sz="8" w:space="0" w:color="95B3D7" w:themeColor="accent1" w:themeTint="99"/>
            </w:tcBorders>
          </w:tcPr>
          <w:p w14:paraId="0E54773D" w14:textId="77777777" w:rsidR="11273FAF" w:rsidRPr="005F6490" w:rsidRDefault="5006F2B4" w:rsidP="00C72779">
            <w:pPr>
              <w:jc w:val="center"/>
              <w:cnfStyle w:val="000000100000" w:firstRow="0" w:lastRow="0" w:firstColumn="0" w:lastColumn="0" w:oddVBand="0" w:evenVBand="0" w:oddHBand="1" w:evenHBand="0" w:firstRowFirstColumn="0" w:firstRowLastColumn="0" w:lastRowFirstColumn="0" w:lastRowLastColumn="0"/>
              <w:rPr>
                <w:rFonts w:eastAsia="Arial" w:cs="Arial"/>
                <w:b/>
                <w:sz w:val="22"/>
                <w:szCs w:val="22"/>
                <w:lang w:val="es-MX"/>
              </w:rPr>
            </w:pPr>
            <w:r w:rsidRPr="005F6490">
              <w:rPr>
                <w:rFonts w:eastAsia="Arial" w:cs="Arial"/>
                <w:b/>
                <w:sz w:val="22"/>
                <w:szCs w:val="22"/>
                <w:lang w:val="es-MX"/>
              </w:rPr>
              <w:t xml:space="preserve">No aplica </w:t>
            </w:r>
          </w:p>
        </w:tc>
      </w:tr>
    </w:tbl>
    <w:p w14:paraId="16EE1496" w14:textId="77777777" w:rsidR="6D224D23" w:rsidRDefault="6D224D23" w:rsidP="00C72779">
      <w:pPr>
        <w:jc w:val="both"/>
        <w:rPr>
          <w:rFonts w:eastAsia="Arial" w:cs="Arial"/>
          <w:b/>
          <w:bCs/>
          <w:sz w:val="22"/>
          <w:szCs w:val="22"/>
          <w:lang w:val="es"/>
        </w:rPr>
      </w:pPr>
      <w:r w:rsidRPr="4AF797C7">
        <w:rPr>
          <w:rFonts w:eastAsia="Arial" w:cs="Arial"/>
          <w:b/>
          <w:bCs/>
          <w:sz w:val="22"/>
          <w:szCs w:val="22"/>
          <w:lang w:val="es"/>
        </w:rPr>
        <w:t xml:space="preserve"> </w:t>
      </w:r>
    </w:p>
    <w:p w14:paraId="7C381B7C" w14:textId="7DC743BC" w:rsidR="006A2F15" w:rsidRPr="006A2F15" w:rsidRDefault="6D224D23" w:rsidP="006A2F15">
      <w:pPr>
        <w:pStyle w:val="Prrafodelista"/>
        <w:numPr>
          <w:ilvl w:val="2"/>
          <w:numId w:val="22"/>
        </w:numPr>
        <w:rPr>
          <w:rFonts w:eastAsia="Arial" w:cs="Arial"/>
          <w:b/>
          <w:bCs/>
          <w:sz w:val="22"/>
          <w:szCs w:val="22"/>
          <w:lang w:val="es"/>
        </w:rPr>
      </w:pPr>
      <w:r w:rsidRPr="006A2F15">
        <w:rPr>
          <w:rFonts w:eastAsia="Arial" w:cs="Arial"/>
          <w:b/>
          <w:bCs/>
          <w:sz w:val="22"/>
          <w:szCs w:val="22"/>
          <w:lang w:val="es"/>
        </w:rPr>
        <w:t>RECOMENDACIONES</w:t>
      </w:r>
    </w:p>
    <w:p w14:paraId="620E209E" w14:textId="77777777" w:rsidR="00FA70AB" w:rsidRDefault="00FA70AB" w:rsidP="00FA70AB">
      <w:pPr>
        <w:jc w:val="both"/>
        <w:rPr>
          <w:rFonts w:eastAsia="Arial" w:cs="Arial"/>
          <w:sz w:val="22"/>
          <w:szCs w:val="22"/>
          <w:highlight w:val="yellow"/>
          <w:lang w:val="es"/>
        </w:rPr>
      </w:pPr>
    </w:p>
    <w:p w14:paraId="2F60F238" w14:textId="4FE12CA5" w:rsidR="6D224D23" w:rsidRPr="006A2F15" w:rsidRDefault="00FA70AB" w:rsidP="00C72779">
      <w:pPr>
        <w:pStyle w:val="Prrafodelista"/>
        <w:numPr>
          <w:ilvl w:val="3"/>
          <w:numId w:val="22"/>
        </w:numPr>
        <w:rPr>
          <w:rFonts w:eastAsia="Arial" w:cs="Arial"/>
          <w:b/>
          <w:bCs/>
          <w:color w:val="000000" w:themeColor="text1"/>
          <w:sz w:val="22"/>
          <w:szCs w:val="22"/>
          <w:lang w:val="es-MX"/>
        </w:rPr>
      </w:pPr>
      <w:r w:rsidRPr="006A2F15">
        <w:rPr>
          <w:rFonts w:eastAsia="Arial" w:cs="Arial"/>
          <w:b/>
          <w:bCs/>
          <w:color w:val="000000" w:themeColor="text1"/>
          <w:sz w:val="22"/>
          <w:szCs w:val="22"/>
          <w:lang w:val="es-MX"/>
        </w:rPr>
        <w:t>RECOMENDACIONES A NIVEL DE COMUNICACIONES EXTERNAS</w:t>
      </w:r>
    </w:p>
    <w:p w14:paraId="3539226A" w14:textId="77777777" w:rsidR="6D224D23" w:rsidRDefault="6D224D23" w:rsidP="000A20EE">
      <w:pPr>
        <w:pStyle w:val="Prrafodelista"/>
        <w:numPr>
          <w:ilvl w:val="0"/>
          <w:numId w:val="134"/>
        </w:numPr>
        <w:rPr>
          <w:rFonts w:eastAsia="Arial" w:cs="Arial"/>
          <w:sz w:val="22"/>
          <w:szCs w:val="22"/>
        </w:rPr>
      </w:pPr>
      <w:r w:rsidRPr="4AF797C7">
        <w:rPr>
          <w:rFonts w:eastAsia="Arial" w:cs="Arial"/>
          <w:sz w:val="22"/>
          <w:szCs w:val="22"/>
          <w:lang w:val="es-MX"/>
        </w:rPr>
        <w:t>Seguir posicionando al IGAC, en los diferentes medios de comunicación y en el Gobierno Nacional, como una entidad que se renovó para prestar un servicio más ágil y eficiente a los ciudadanos; con transparencia y afrontando los retos que hoy tiene Colombia.</w:t>
      </w:r>
    </w:p>
    <w:p w14:paraId="6BEA0EB4" w14:textId="77777777" w:rsidR="6D224D23" w:rsidRDefault="6D224D23" w:rsidP="000A20EE">
      <w:pPr>
        <w:pStyle w:val="Prrafodelista"/>
        <w:numPr>
          <w:ilvl w:val="0"/>
          <w:numId w:val="134"/>
        </w:numPr>
        <w:rPr>
          <w:rFonts w:eastAsia="Arial" w:cs="Arial"/>
          <w:sz w:val="22"/>
          <w:szCs w:val="22"/>
        </w:rPr>
      </w:pPr>
      <w:r w:rsidRPr="4AF797C7">
        <w:rPr>
          <w:rFonts w:eastAsia="Arial" w:cs="Arial"/>
          <w:sz w:val="22"/>
          <w:szCs w:val="22"/>
        </w:rPr>
        <w:t>Transmitir de manera frecuente Facebook Live sobre temas estratégicos, que permitan, involucrar en la dinámica, a expertos, alcaldes, directores, entre otros. Además de hacer mejores inversiones a los eventos del IGAC, para que se les de la importancia que tienen.</w:t>
      </w:r>
    </w:p>
    <w:p w14:paraId="0D42F333" w14:textId="77777777" w:rsidR="6D224D23" w:rsidRDefault="6D224D23" w:rsidP="000A20EE">
      <w:pPr>
        <w:pStyle w:val="Prrafodelista"/>
        <w:numPr>
          <w:ilvl w:val="0"/>
          <w:numId w:val="134"/>
        </w:numPr>
        <w:rPr>
          <w:rFonts w:eastAsia="Arial" w:cs="Arial"/>
          <w:sz w:val="22"/>
          <w:szCs w:val="22"/>
        </w:rPr>
      </w:pPr>
      <w:r w:rsidRPr="4AF797C7">
        <w:rPr>
          <w:rFonts w:eastAsia="Arial" w:cs="Arial"/>
          <w:sz w:val="22"/>
          <w:szCs w:val="22"/>
        </w:rPr>
        <w:t xml:space="preserve">La alta gerencia del IGAC, debe seguir posicionándose como columnista de opinión, para que sean referentes en Colombia, sobre los temas pertinentes del instituto. </w:t>
      </w:r>
    </w:p>
    <w:p w14:paraId="5C789CE7" w14:textId="6DAA064C" w:rsidR="6D224D23" w:rsidRDefault="6D224D23" w:rsidP="00C72779">
      <w:pPr>
        <w:jc w:val="both"/>
        <w:rPr>
          <w:rFonts w:eastAsia="Arial" w:cs="Arial"/>
          <w:sz w:val="22"/>
          <w:szCs w:val="22"/>
          <w:lang w:val="es"/>
        </w:rPr>
      </w:pPr>
      <w:r w:rsidRPr="4AF797C7">
        <w:rPr>
          <w:rFonts w:eastAsia="Arial" w:cs="Arial"/>
          <w:sz w:val="22"/>
          <w:szCs w:val="22"/>
          <w:lang w:val="es"/>
        </w:rPr>
        <w:t xml:space="preserve"> </w:t>
      </w:r>
    </w:p>
    <w:p w14:paraId="2EC095EF" w14:textId="2D44C346" w:rsidR="00591623" w:rsidRDefault="00591623" w:rsidP="00C72779">
      <w:pPr>
        <w:jc w:val="both"/>
        <w:rPr>
          <w:rFonts w:eastAsia="Arial" w:cs="Arial"/>
          <w:sz w:val="22"/>
          <w:szCs w:val="22"/>
          <w:lang w:val="es"/>
        </w:rPr>
      </w:pPr>
    </w:p>
    <w:p w14:paraId="420418EA" w14:textId="77777777" w:rsidR="00591623" w:rsidRDefault="00591623" w:rsidP="00C72779">
      <w:pPr>
        <w:jc w:val="both"/>
        <w:rPr>
          <w:rFonts w:eastAsia="Arial" w:cs="Arial"/>
          <w:sz w:val="22"/>
          <w:szCs w:val="22"/>
          <w:lang w:val="es"/>
        </w:rPr>
      </w:pPr>
    </w:p>
    <w:p w14:paraId="14F88CB9" w14:textId="34BC6AF0" w:rsidR="6D224D23" w:rsidRPr="006A2F15" w:rsidRDefault="6D224D23" w:rsidP="006A2F15">
      <w:pPr>
        <w:pStyle w:val="Prrafodelista"/>
        <w:numPr>
          <w:ilvl w:val="3"/>
          <w:numId w:val="22"/>
        </w:numPr>
        <w:rPr>
          <w:rFonts w:eastAsia="Arial" w:cs="Arial"/>
          <w:b/>
          <w:bCs/>
          <w:sz w:val="22"/>
          <w:szCs w:val="22"/>
        </w:rPr>
      </w:pPr>
      <w:r w:rsidRPr="006A2F15">
        <w:rPr>
          <w:rFonts w:eastAsia="Arial" w:cs="Arial"/>
          <w:b/>
          <w:bCs/>
          <w:sz w:val="22"/>
          <w:szCs w:val="22"/>
        </w:rPr>
        <w:lastRenderedPageBreak/>
        <w:t>RECOMENDACIONES A NI</w:t>
      </w:r>
      <w:r w:rsidR="006A2F15" w:rsidRPr="006A2F15">
        <w:rPr>
          <w:rFonts w:eastAsia="Arial" w:cs="Arial"/>
          <w:b/>
          <w:bCs/>
          <w:sz w:val="22"/>
          <w:szCs w:val="22"/>
        </w:rPr>
        <w:t>VEL DE COMUNICACIONES INTERNA</w:t>
      </w:r>
    </w:p>
    <w:p w14:paraId="1E3B58F2" w14:textId="77777777" w:rsidR="6D224D23" w:rsidRDefault="6D224D23" w:rsidP="000A20EE">
      <w:pPr>
        <w:pStyle w:val="Prrafodelista"/>
        <w:numPr>
          <w:ilvl w:val="0"/>
          <w:numId w:val="133"/>
        </w:numPr>
        <w:rPr>
          <w:rFonts w:eastAsia="Arial" w:cs="Arial"/>
          <w:sz w:val="22"/>
          <w:szCs w:val="22"/>
        </w:rPr>
      </w:pPr>
      <w:r w:rsidRPr="4AF797C7">
        <w:rPr>
          <w:rFonts w:eastAsia="Arial" w:cs="Arial"/>
          <w:sz w:val="22"/>
          <w:szCs w:val="22"/>
        </w:rPr>
        <w:t>Darle a conocer a las áreas del instituto la importancia de planificar las comunicaciones de manera semanal. (No enviar muchos correos al día), se sugiere, realizar un boletín con la información semanal. Enviar demasiados correos al día, trae el efecto de rebote de la información.</w:t>
      </w:r>
    </w:p>
    <w:p w14:paraId="65CFF72E" w14:textId="77777777" w:rsidR="6D224D23" w:rsidRDefault="6D224D23" w:rsidP="000A20EE">
      <w:pPr>
        <w:pStyle w:val="Prrafodelista"/>
        <w:numPr>
          <w:ilvl w:val="0"/>
          <w:numId w:val="133"/>
        </w:numPr>
        <w:rPr>
          <w:rFonts w:eastAsia="Arial" w:cs="Arial"/>
          <w:sz w:val="22"/>
          <w:szCs w:val="22"/>
        </w:rPr>
      </w:pPr>
      <w:r w:rsidRPr="4AF797C7">
        <w:rPr>
          <w:rFonts w:eastAsia="Arial" w:cs="Arial"/>
          <w:sz w:val="22"/>
          <w:szCs w:val="22"/>
        </w:rPr>
        <w:t>Realizar un protocolo de correos electrónicos.</w:t>
      </w:r>
    </w:p>
    <w:p w14:paraId="51B3586A" w14:textId="323CA399" w:rsidR="00DC4D58" w:rsidRDefault="6D224D23" w:rsidP="00C72779">
      <w:pPr>
        <w:pStyle w:val="Prrafodelista"/>
        <w:numPr>
          <w:ilvl w:val="0"/>
          <w:numId w:val="133"/>
        </w:numPr>
        <w:rPr>
          <w:rFonts w:eastAsia="Arial" w:cs="Arial"/>
          <w:sz w:val="22"/>
          <w:szCs w:val="22"/>
        </w:rPr>
      </w:pPr>
      <w:r w:rsidRPr="4AF797C7">
        <w:rPr>
          <w:rFonts w:eastAsia="Arial" w:cs="Arial"/>
          <w:sz w:val="22"/>
          <w:szCs w:val="22"/>
        </w:rPr>
        <w:t>Producir un manual de protocolo de requerimientos, de las áreas del IGAC, a la Oficina Asesora de Comunicaciones, con tiempos de respuesta y entregas.</w:t>
      </w:r>
    </w:p>
    <w:p w14:paraId="5B5CEF36" w14:textId="1751C12A" w:rsidR="00591623" w:rsidRDefault="00591623" w:rsidP="00591623">
      <w:pPr>
        <w:pStyle w:val="Lista"/>
        <w:rPr>
          <w:rFonts w:eastAsia="Arial"/>
        </w:rPr>
      </w:pPr>
    </w:p>
    <w:p w14:paraId="366C13DE" w14:textId="6B42FA8C" w:rsidR="00591623" w:rsidRDefault="00591623" w:rsidP="00591623">
      <w:pPr>
        <w:pStyle w:val="Lista"/>
        <w:rPr>
          <w:rFonts w:eastAsia="Arial"/>
        </w:rPr>
      </w:pPr>
    </w:p>
    <w:p w14:paraId="0392B0F8" w14:textId="2D9BC0FC" w:rsidR="00591623" w:rsidRDefault="00591623" w:rsidP="00591623">
      <w:pPr>
        <w:pStyle w:val="Lista"/>
        <w:rPr>
          <w:rFonts w:eastAsia="Arial"/>
        </w:rPr>
      </w:pPr>
    </w:p>
    <w:p w14:paraId="4B474170" w14:textId="07A640E1" w:rsidR="00591623" w:rsidRDefault="00591623" w:rsidP="00591623">
      <w:pPr>
        <w:pStyle w:val="Lista"/>
        <w:rPr>
          <w:rFonts w:eastAsia="Arial"/>
        </w:rPr>
      </w:pPr>
    </w:p>
    <w:p w14:paraId="1013AD64" w14:textId="5DEF8AE6" w:rsidR="00591623" w:rsidRDefault="00591623" w:rsidP="00591623">
      <w:pPr>
        <w:pStyle w:val="Lista"/>
        <w:rPr>
          <w:rFonts w:eastAsia="Arial"/>
        </w:rPr>
      </w:pPr>
    </w:p>
    <w:p w14:paraId="49B094E3" w14:textId="164CA18F" w:rsidR="00591623" w:rsidRDefault="00591623" w:rsidP="00591623">
      <w:pPr>
        <w:pStyle w:val="Lista"/>
        <w:rPr>
          <w:rFonts w:eastAsia="Arial"/>
        </w:rPr>
      </w:pPr>
    </w:p>
    <w:p w14:paraId="14DE9D4E" w14:textId="3B456F36" w:rsidR="00591623" w:rsidRDefault="00591623" w:rsidP="00591623">
      <w:pPr>
        <w:pStyle w:val="Lista"/>
        <w:rPr>
          <w:rFonts w:eastAsia="Arial"/>
        </w:rPr>
      </w:pPr>
    </w:p>
    <w:p w14:paraId="71C83518" w14:textId="28A9C8B0" w:rsidR="00591623" w:rsidRDefault="00591623" w:rsidP="00591623">
      <w:pPr>
        <w:pStyle w:val="Lista"/>
        <w:rPr>
          <w:rFonts w:eastAsia="Arial"/>
        </w:rPr>
      </w:pPr>
    </w:p>
    <w:p w14:paraId="1484E23B" w14:textId="48E7A030" w:rsidR="00591623" w:rsidRDefault="00591623" w:rsidP="00591623">
      <w:pPr>
        <w:pStyle w:val="Lista"/>
        <w:rPr>
          <w:rFonts w:eastAsia="Arial"/>
        </w:rPr>
      </w:pPr>
    </w:p>
    <w:p w14:paraId="78F93876" w14:textId="0BF7FDB5" w:rsidR="00591623" w:rsidRDefault="00591623" w:rsidP="00591623">
      <w:pPr>
        <w:pStyle w:val="Lista"/>
        <w:rPr>
          <w:rFonts w:eastAsia="Arial"/>
        </w:rPr>
      </w:pPr>
    </w:p>
    <w:p w14:paraId="43CCBF87" w14:textId="20DC6F6B" w:rsidR="00591623" w:rsidRDefault="00591623" w:rsidP="00591623">
      <w:pPr>
        <w:pStyle w:val="Lista"/>
        <w:rPr>
          <w:rFonts w:eastAsia="Arial"/>
        </w:rPr>
      </w:pPr>
    </w:p>
    <w:p w14:paraId="43AB1963" w14:textId="15F9C9AD" w:rsidR="00591623" w:rsidRDefault="00591623" w:rsidP="00591623">
      <w:pPr>
        <w:pStyle w:val="Lista"/>
        <w:rPr>
          <w:rFonts w:eastAsia="Arial"/>
        </w:rPr>
      </w:pPr>
    </w:p>
    <w:p w14:paraId="2ABABC1A" w14:textId="58CF0B82" w:rsidR="00591623" w:rsidRDefault="00591623" w:rsidP="00591623">
      <w:pPr>
        <w:pStyle w:val="Lista"/>
        <w:rPr>
          <w:rFonts w:eastAsia="Arial"/>
        </w:rPr>
      </w:pPr>
    </w:p>
    <w:p w14:paraId="19F960CE" w14:textId="0F038BDE" w:rsidR="00591623" w:rsidRDefault="00591623" w:rsidP="00591623">
      <w:pPr>
        <w:pStyle w:val="Lista"/>
        <w:rPr>
          <w:rFonts w:eastAsia="Arial"/>
        </w:rPr>
      </w:pPr>
    </w:p>
    <w:p w14:paraId="16196CA3" w14:textId="68696A66" w:rsidR="00591623" w:rsidRDefault="00591623" w:rsidP="00591623">
      <w:pPr>
        <w:pStyle w:val="Lista"/>
        <w:rPr>
          <w:rFonts w:eastAsia="Arial"/>
        </w:rPr>
      </w:pPr>
    </w:p>
    <w:p w14:paraId="2F23CC4F" w14:textId="0B61B2D7" w:rsidR="00591623" w:rsidRDefault="00591623" w:rsidP="00591623">
      <w:pPr>
        <w:pStyle w:val="Lista"/>
        <w:rPr>
          <w:rFonts w:eastAsia="Arial"/>
        </w:rPr>
      </w:pPr>
    </w:p>
    <w:p w14:paraId="3E16A82A" w14:textId="063E26BB" w:rsidR="00591623" w:rsidRDefault="00591623" w:rsidP="00591623">
      <w:pPr>
        <w:pStyle w:val="Lista"/>
        <w:rPr>
          <w:rFonts w:eastAsia="Arial"/>
        </w:rPr>
      </w:pPr>
    </w:p>
    <w:p w14:paraId="196094C0" w14:textId="293741CC" w:rsidR="00591623" w:rsidRDefault="00591623" w:rsidP="00591623">
      <w:pPr>
        <w:pStyle w:val="Lista"/>
        <w:rPr>
          <w:rFonts w:eastAsia="Arial"/>
        </w:rPr>
      </w:pPr>
    </w:p>
    <w:p w14:paraId="47E403DA" w14:textId="1174ACBF" w:rsidR="00591623" w:rsidRDefault="00591623" w:rsidP="00591623">
      <w:pPr>
        <w:pStyle w:val="Lista"/>
        <w:rPr>
          <w:rFonts w:eastAsia="Arial"/>
        </w:rPr>
      </w:pPr>
    </w:p>
    <w:p w14:paraId="4413DA1A" w14:textId="48A2F28F" w:rsidR="00591623" w:rsidRDefault="00591623" w:rsidP="00591623">
      <w:pPr>
        <w:pStyle w:val="Lista"/>
        <w:rPr>
          <w:rFonts w:eastAsia="Arial"/>
        </w:rPr>
      </w:pPr>
    </w:p>
    <w:p w14:paraId="2E402CFF" w14:textId="6F0AEC54" w:rsidR="00591623" w:rsidRDefault="00591623" w:rsidP="00591623">
      <w:pPr>
        <w:pStyle w:val="Lista"/>
        <w:rPr>
          <w:rFonts w:eastAsia="Arial"/>
        </w:rPr>
      </w:pPr>
    </w:p>
    <w:p w14:paraId="11194D7A" w14:textId="12BDF7A5" w:rsidR="00591623" w:rsidRDefault="00591623" w:rsidP="00591623">
      <w:pPr>
        <w:pStyle w:val="Lista"/>
        <w:rPr>
          <w:rFonts w:eastAsia="Arial"/>
        </w:rPr>
      </w:pPr>
    </w:p>
    <w:p w14:paraId="1CD242DF" w14:textId="495C14E4" w:rsidR="00591623" w:rsidRDefault="00591623" w:rsidP="00591623">
      <w:pPr>
        <w:pStyle w:val="Lista"/>
        <w:rPr>
          <w:rFonts w:eastAsia="Arial"/>
        </w:rPr>
      </w:pPr>
    </w:p>
    <w:p w14:paraId="6C9A4B4A" w14:textId="76473543" w:rsidR="00591623" w:rsidRDefault="00591623" w:rsidP="00591623">
      <w:pPr>
        <w:pStyle w:val="Lista"/>
        <w:rPr>
          <w:rFonts w:eastAsia="Arial"/>
        </w:rPr>
      </w:pPr>
    </w:p>
    <w:p w14:paraId="24D35463" w14:textId="5A5915FB" w:rsidR="00591623" w:rsidRDefault="00591623" w:rsidP="00591623">
      <w:pPr>
        <w:pStyle w:val="Lista"/>
        <w:rPr>
          <w:rFonts w:eastAsia="Arial"/>
        </w:rPr>
      </w:pPr>
    </w:p>
    <w:p w14:paraId="26AD2AFB" w14:textId="5C56AF21" w:rsidR="00591623" w:rsidRDefault="00591623" w:rsidP="00591623">
      <w:pPr>
        <w:pStyle w:val="Lista"/>
        <w:rPr>
          <w:rFonts w:eastAsia="Arial"/>
        </w:rPr>
      </w:pPr>
    </w:p>
    <w:p w14:paraId="04897DED" w14:textId="29B0A705" w:rsidR="00591623" w:rsidRDefault="00591623" w:rsidP="00591623">
      <w:pPr>
        <w:pStyle w:val="Lista"/>
        <w:rPr>
          <w:rFonts w:eastAsia="Arial"/>
        </w:rPr>
      </w:pPr>
    </w:p>
    <w:p w14:paraId="79042DF3" w14:textId="63577516" w:rsidR="00591623" w:rsidRDefault="00591623" w:rsidP="00591623">
      <w:pPr>
        <w:pStyle w:val="Lista"/>
        <w:rPr>
          <w:rFonts w:eastAsia="Arial"/>
        </w:rPr>
      </w:pPr>
    </w:p>
    <w:p w14:paraId="2D33C3D4" w14:textId="35EC7901" w:rsidR="00591623" w:rsidRDefault="00591623" w:rsidP="00591623">
      <w:pPr>
        <w:pStyle w:val="Lista"/>
        <w:rPr>
          <w:rFonts w:eastAsia="Arial"/>
        </w:rPr>
      </w:pPr>
    </w:p>
    <w:p w14:paraId="4BEADECC" w14:textId="0C72243C" w:rsidR="00591623" w:rsidRDefault="00591623" w:rsidP="00591623">
      <w:pPr>
        <w:pStyle w:val="Lista"/>
        <w:rPr>
          <w:rFonts w:eastAsia="Arial"/>
        </w:rPr>
      </w:pPr>
    </w:p>
    <w:p w14:paraId="11E4C966" w14:textId="110EF8FE" w:rsidR="00591623" w:rsidRDefault="00591623" w:rsidP="00591623">
      <w:pPr>
        <w:pStyle w:val="Lista"/>
        <w:rPr>
          <w:rFonts w:eastAsia="Arial"/>
        </w:rPr>
      </w:pPr>
    </w:p>
    <w:p w14:paraId="0672DED3" w14:textId="7FDB011E" w:rsidR="00591623" w:rsidRDefault="00591623" w:rsidP="00591623">
      <w:pPr>
        <w:pStyle w:val="Lista"/>
        <w:rPr>
          <w:rFonts w:eastAsia="Arial"/>
        </w:rPr>
      </w:pPr>
    </w:p>
    <w:p w14:paraId="0FC6CC25" w14:textId="58925ED0" w:rsidR="00591623" w:rsidRDefault="00591623" w:rsidP="00591623">
      <w:pPr>
        <w:pStyle w:val="Lista"/>
        <w:rPr>
          <w:rFonts w:eastAsia="Arial"/>
        </w:rPr>
      </w:pPr>
    </w:p>
    <w:p w14:paraId="024C3452" w14:textId="407FF0B3" w:rsidR="00591623" w:rsidRDefault="00591623" w:rsidP="00591623">
      <w:pPr>
        <w:pStyle w:val="Lista"/>
        <w:rPr>
          <w:rFonts w:eastAsia="Arial"/>
        </w:rPr>
      </w:pPr>
    </w:p>
    <w:p w14:paraId="0741E4BD" w14:textId="05F0EBBF" w:rsidR="00591623" w:rsidRDefault="00591623" w:rsidP="00591623">
      <w:pPr>
        <w:pStyle w:val="Lista"/>
        <w:rPr>
          <w:rFonts w:eastAsia="Arial"/>
        </w:rPr>
      </w:pPr>
    </w:p>
    <w:p w14:paraId="0690C400" w14:textId="7ABBDDA8" w:rsidR="00591623" w:rsidRDefault="00591623" w:rsidP="00591623">
      <w:pPr>
        <w:pStyle w:val="Lista"/>
        <w:rPr>
          <w:rFonts w:eastAsia="Arial"/>
        </w:rPr>
      </w:pPr>
    </w:p>
    <w:p w14:paraId="143375F0" w14:textId="4132EC69" w:rsidR="00591623" w:rsidRDefault="00591623" w:rsidP="00591623">
      <w:pPr>
        <w:pStyle w:val="Lista"/>
        <w:rPr>
          <w:rFonts w:eastAsia="Arial"/>
        </w:rPr>
      </w:pPr>
    </w:p>
    <w:p w14:paraId="59A4464B" w14:textId="0E299666" w:rsidR="00591623" w:rsidRDefault="00591623" w:rsidP="00591623">
      <w:pPr>
        <w:pStyle w:val="Lista"/>
        <w:rPr>
          <w:rFonts w:eastAsia="Arial"/>
        </w:rPr>
      </w:pPr>
    </w:p>
    <w:p w14:paraId="6C7B70CA" w14:textId="56A2D5E4" w:rsidR="00591623" w:rsidRDefault="00591623" w:rsidP="00591623">
      <w:pPr>
        <w:pStyle w:val="Lista"/>
        <w:rPr>
          <w:rFonts w:eastAsia="Arial"/>
        </w:rPr>
      </w:pPr>
    </w:p>
    <w:p w14:paraId="3FF463DF" w14:textId="1DA825E6" w:rsidR="00591623" w:rsidRDefault="00591623" w:rsidP="00591623">
      <w:pPr>
        <w:pStyle w:val="Lista"/>
        <w:rPr>
          <w:rFonts w:eastAsia="Arial"/>
        </w:rPr>
      </w:pPr>
    </w:p>
    <w:p w14:paraId="56C2B1C2" w14:textId="062A4B14" w:rsidR="00591623" w:rsidRDefault="00591623" w:rsidP="00591623">
      <w:pPr>
        <w:pStyle w:val="Lista"/>
        <w:rPr>
          <w:rFonts w:eastAsia="Arial"/>
        </w:rPr>
      </w:pPr>
    </w:p>
    <w:p w14:paraId="1F8EEB73" w14:textId="214471D2" w:rsidR="00591623" w:rsidRDefault="00591623" w:rsidP="00591623">
      <w:pPr>
        <w:pStyle w:val="Lista"/>
        <w:rPr>
          <w:rFonts w:eastAsia="Arial"/>
        </w:rPr>
      </w:pPr>
    </w:p>
    <w:p w14:paraId="59CF55C3" w14:textId="0219F6D4" w:rsidR="00591623" w:rsidRDefault="00591623" w:rsidP="00591623">
      <w:pPr>
        <w:pStyle w:val="Lista"/>
        <w:rPr>
          <w:rFonts w:eastAsia="Arial"/>
        </w:rPr>
      </w:pPr>
    </w:p>
    <w:p w14:paraId="391EE674" w14:textId="717BB5E6" w:rsidR="00591623" w:rsidRDefault="00591623" w:rsidP="00591623">
      <w:pPr>
        <w:pStyle w:val="Lista"/>
        <w:rPr>
          <w:rFonts w:eastAsia="Arial"/>
        </w:rPr>
      </w:pPr>
    </w:p>
    <w:p w14:paraId="31FE2D85" w14:textId="77777777" w:rsidR="00591623" w:rsidRPr="00591623" w:rsidRDefault="00591623" w:rsidP="00591623">
      <w:pPr>
        <w:pStyle w:val="Lista"/>
        <w:rPr>
          <w:rFonts w:eastAsia="Arial"/>
        </w:rPr>
      </w:pPr>
    </w:p>
    <w:p w14:paraId="6B77B2BE" w14:textId="7F2033DE" w:rsidR="00072661" w:rsidRPr="002D2F11" w:rsidRDefault="006A7D6A" w:rsidP="000A20EE">
      <w:pPr>
        <w:pStyle w:val="Ttulo1"/>
        <w:numPr>
          <w:ilvl w:val="0"/>
          <w:numId w:val="22"/>
        </w:numPr>
        <w:spacing w:line="240" w:lineRule="auto"/>
        <w:rPr>
          <w:sz w:val="22"/>
          <w:szCs w:val="22"/>
        </w:rPr>
      </w:pPr>
      <w:bookmarkStart w:id="212" w:name="_Hlk88215509"/>
      <w:bookmarkStart w:id="213" w:name="_Toc88677065"/>
      <w:r w:rsidRPr="31FF9146">
        <w:rPr>
          <w:sz w:val="22"/>
          <w:szCs w:val="22"/>
        </w:rPr>
        <w:lastRenderedPageBreak/>
        <w:t>PRESUPUESTO</w:t>
      </w:r>
      <w:bookmarkEnd w:id="213"/>
      <w:r w:rsidR="000B2BC6">
        <w:rPr>
          <w:sz w:val="22"/>
          <w:szCs w:val="22"/>
        </w:rPr>
        <w:t xml:space="preserve"> </w:t>
      </w:r>
    </w:p>
    <w:p w14:paraId="76375803" w14:textId="00B16EB4" w:rsidR="31FF9146" w:rsidRPr="006A2F15" w:rsidRDefault="31FF9146" w:rsidP="31FF9146">
      <w:pPr>
        <w:rPr>
          <w:sz w:val="28"/>
        </w:rPr>
      </w:pPr>
    </w:p>
    <w:p w14:paraId="5D03179B" w14:textId="5D38E8D8" w:rsidR="00DC4D58" w:rsidRPr="006A2F15" w:rsidRDefault="00DC4D58" w:rsidP="000A20EE">
      <w:pPr>
        <w:pStyle w:val="Prrafodelista"/>
        <w:numPr>
          <w:ilvl w:val="1"/>
          <w:numId w:val="22"/>
        </w:numPr>
        <w:suppressAutoHyphens w:val="0"/>
        <w:spacing w:after="160" w:line="256" w:lineRule="auto"/>
        <w:contextualSpacing/>
        <w:rPr>
          <w:rFonts w:cs="Arial"/>
          <w:sz w:val="22"/>
          <w:lang w:eastAsia="es-CO"/>
        </w:rPr>
      </w:pPr>
      <w:r w:rsidRPr="006A2F15">
        <w:rPr>
          <w:rFonts w:cs="Arial"/>
          <w:b/>
          <w:bCs/>
          <w:sz w:val="22"/>
          <w:lang w:eastAsia="es-CO"/>
        </w:rPr>
        <w:t>PRESUPUESTO 2021</w:t>
      </w:r>
      <w:r w:rsidRPr="006A2F15">
        <w:rPr>
          <w:rFonts w:cs="Arial"/>
          <w:sz w:val="22"/>
          <w:lang w:eastAsia="es-CO"/>
        </w:rPr>
        <w:t> </w:t>
      </w:r>
    </w:p>
    <w:p w14:paraId="5AAD7092" w14:textId="77777777" w:rsidR="00DC4D58" w:rsidRPr="009138E4" w:rsidRDefault="00DC4D58" w:rsidP="00DC4D58">
      <w:pPr>
        <w:jc w:val="both"/>
        <w:textAlignment w:val="baseline"/>
        <w:rPr>
          <w:rFonts w:cs="Arial"/>
          <w:sz w:val="22"/>
          <w:lang w:eastAsia="es-CO"/>
        </w:rPr>
      </w:pPr>
      <w:r w:rsidRPr="009138E4">
        <w:rPr>
          <w:rFonts w:cs="Arial"/>
          <w:sz w:val="22"/>
          <w:lang w:eastAsia="es-CO"/>
        </w:rPr>
        <w:t>El presupuesto del IGAC, según Decreto 1805 del 31 de diciembre de 2020 para la vigencia 2021</w:t>
      </w:r>
      <w:r>
        <w:rPr>
          <w:rFonts w:cs="Arial"/>
          <w:sz w:val="22"/>
          <w:lang w:eastAsia="es-CO"/>
        </w:rPr>
        <w:t xml:space="preserve"> es de </w:t>
      </w:r>
      <w:r w:rsidRPr="009138E4">
        <w:rPr>
          <w:rFonts w:cs="Arial"/>
          <w:sz w:val="22"/>
          <w:lang w:eastAsia="es-CO"/>
        </w:rPr>
        <w:t xml:space="preserve">$295.492 millones, donde el 29% de la asignación inicial corresponde a funcionamiento ($85.428 millones) </w:t>
      </w:r>
      <w:r>
        <w:rPr>
          <w:rFonts w:cs="Arial"/>
          <w:sz w:val="22"/>
          <w:lang w:eastAsia="es-CO"/>
        </w:rPr>
        <w:t>y el 71% a inversión ($210.</w:t>
      </w:r>
      <w:r w:rsidRPr="009138E4">
        <w:rPr>
          <w:rFonts w:cs="Arial"/>
          <w:sz w:val="22"/>
          <w:lang w:eastAsia="es-CO"/>
        </w:rPr>
        <w:t>063 millones). </w:t>
      </w:r>
    </w:p>
    <w:p w14:paraId="4AC47405" w14:textId="77777777" w:rsidR="00DC4D58" w:rsidRPr="009138E4" w:rsidRDefault="00DC4D58" w:rsidP="00DC4D58">
      <w:pPr>
        <w:textAlignment w:val="baseline"/>
        <w:rPr>
          <w:rFonts w:ascii="Segoe UI" w:hAnsi="Segoe UI" w:cs="Segoe UI"/>
          <w:sz w:val="20"/>
          <w:szCs w:val="22"/>
          <w:lang w:eastAsia="es-CO"/>
        </w:rPr>
      </w:pPr>
      <w:r w:rsidRPr="009138E4">
        <w:rPr>
          <w:rFonts w:cs="Arial"/>
          <w:sz w:val="20"/>
          <w:szCs w:val="22"/>
          <w:lang w:eastAsia="es-CO"/>
        </w:rPr>
        <w:t> </w:t>
      </w:r>
    </w:p>
    <w:p w14:paraId="6DA3BBA1" w14:textId="3E1DBCE7" w:rsidR="00DC4D58" w:rsidRDefault="00DC4D58" w:rsidP="00DC4D58">
      <w:pPr>
        <w:jc w:val="both"/>
        <w:textAlignment w:val="baseline"/>
        <w:rPr>
          <w:rFonts w:cs="Arial"/>
          <w:sz w:val="22"/>
          <w:szCs w:val="22"/>
          <w:lang w:eastAsia="es-CO"/>
        </w:rPr>
      </w:pPr>
      <w:r w:rsidRPr="005C307C">
        <w:rPr>
          <w:rFonts w:cs="Arial"/>
          <w:sz w:val="22"/>
          <w:szCs w:val="22"/>
          <w:lang w:eastAsia="es-CO"/>
        </w:rPr>
        <w:t>A 31 de octubre de 2021, se cuenta con la siguiente ejecución:</w:t>
      </w:r>
    </w:p>
    <w:p w14:paraId="15E4C33C" w14:textId="77777777" w:rsidR="006A2F15" w:rsidRDefault="006A2F15" w:rsidP="00DC4D58">
      <w:pPr>
        <w:jc w:val="both"/>
        <w:textAlignment w:val="baseline"/>
        <w:rPr>
          <w:rFonts w:cs="Arial"/>
          <w:sz w:val="22"/>
          <w:szCs w:val="22"/>
          <w:lang w:eastAsia="es-CO"/>
        </w:rPr>
      </w:pPr>
    </w:p>
    <w:p w14:paraId="546541DB" w14:textId="00615819" w:rsidR="00904634" w:rsidRPr="006A2F15" w:rsidRDefault="006A2F15" w:rsidP="006A2F15">
      <w:pPr>
        <w:pStyle w:val="Descripcin"/>
        <w:jc w:val="center"/>
        <w:rPr>
          <w:rFonts w:ascii="Arial" w:hAnsi="Arial" w:cs="Arial"/>
          <w:b/>
          <w:i w:val="0"/>
          <w:color w:val="000000" w:themeColor="text1"/>
          <w:sz w:val="20"/>
          <w:szCs w:val="22"/>
          <w:lang w:eastAsia="es-CO"/>
        </w:rPr>
      </w:pPr>
      <w:bookmarkStart w:id="214" w:name="_Toc88677149"/>
      <w:r w:rsidRPr="006A2F15">
        <w:rPr>
          <w:rFonts w:ascii="Arial" w:hAnsi="Arial" w:cs="Arial"/>
          <w:b/>
          <w:i w:val="0"/>
          <w:color w:val="000000" w:themeColor="text1"/>
          <w:sz w:val="16"/>
        </w:rPr>
        <w:t xml:space="preserve">Tabla </w:t>
      </w:r>
      <w:r w:rsidRPr="006A2F15">
        <w:rPr>
          <w:rFonts w:ascii="Arial" w:hAnsi="Arial" w:cs="Arial"/>
          <w:b/>
          <w:i w:val="0"/>
          <w:color w:val="000000" w:themeColor="text1"/>
          <w:sz w:val="16"/>
        </w:rPr>
        <w:fldChar w:fldCharType="begin"/>
      </w:r>
      <w:r w:rsidRPr="006A2F15">
        <w:rPr>
          <w:rFonts w:ascii="Arial" w:hAnsi="Arial" w:cs="Arial"/>
          <w:b/>
          <w:i w:val="0"/>
          <w:color w:val="000000" w:themeColor="text1"/>
          <w:sz w:val="16"/>
        </w:rPr>
        <w:instrText xml:space="preserve"> SEQ Tabla \* ARABIC </w:instrText>
      </w:r>
      <w:r w:rsidRPr="006A2F1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80</w:t>
      </w:r>
      <w:r w:rsidRPr="006A2F15">
        <w:rPr>
          <w:rFonts w:ascii="Arial" w:hAnsi="Arial" w:cs="Arial"/>
          <w:b/>
          <w:i w:val="0"/>
          <w:color w:val="000000" w:themeColor="text1"/>
          <w:sz w:val="16"/>
        </w:rPr>
        <w:fldChar w:fldCharType="end"/>
      </w:r>
      <w:r w:rsidRPr="006A2F15">
        <w:rPr>
          <w:rFonts w:ascii="Arial" w:hAnsi="Arial" w:cs="Arial"/>
          <w:b/>
          <w:i w:val="0"/>
          <w:color w:val="000000" w:themeColor="text1"/>
          <w:sz w:val="16"/>
        </w:rPr>
        <w:t xml:space="preserve">. </w:t>
      </w:r>
      <w:r>
        <w:rPr>
          <w:rFonts w:ascii="Arial" w:hAnsi="Arial" w:cs="Arial"/>
          <w:b/>
          <w:i w:val="0"/>
          <w:color w:val="000000" w:themeColor="text1"/>
          <w:sz w:val="16"/>
        </w:rPr>
        <w:t>Ejecución presupuestal IGAC</w:t>
      </w:r>
      <w:bookmarkEnd w:id="214"/>
    </w:p>
    <w:p w14:paraId="755452CE" w14:textId="77777777" w:rsidR="00DC4D58" w:rsidRPr="002019F0" w:rsidRDefault="00DC4D58" w:rsidP="00DC4D58">
      <w:pPr>
        <w:ind w:left="7938" w:right="-563"/>
        <w:jc w:val="both"/>
        <w:textAlignment w:val="baseline"/>
        <w:rPr>
          <w:rFonts w:ascii="Segoe UI" w:hAnsi="Segoe UI" w:cs="Segoe UI"/>
          <w:sz w:val="18"/>
          <w:szCs w:val="18"/>
          <w:lang w:eastAsia="es-CO"/>
        </w:rPr>
      </w:pPr>
      <w:r w:rsidRPr="00F95F74">
        <w:rPr>
          <w:rFonts w:cs="Arial"/>
          <w:sz w:val="16"/>
          <w:szCs w:val="16"/>
          <w:lang w:eastAsia="es-CO"/>
        </w:rPr>
        <w:t>Cifras en millones de pesos</w:t>
      </w:r>
    </w:p>
    <w:tbl>
      <w:tblPr>
        <w:tblStyle w:val="Tabladecuadrcula4-nfasis1"/>
        <w:tblW w:w="10943" w:type="dxa"/>
        <w:tblInd w:w="-856" w:type="dxa"/>
        <w:tblLook w:val="04A0" w:firstRow="1" w:lastRow="0" w:firstColumn="1" w:lastColumn="0" w:noHBand="0" w:noVBand="1"/>
      </w:tblPr>
      <w:tblGrid>
        <w:gridCol w:w="993"/>
        <w:gridCol w:w="777"/>
        <w:gridCol w:w="1092"/>
        <w:gridCol w:w="776"/>
        <w:gridCol w:w="1076"/>
        <w:gridCol w:w="800"/>
        <w:gridCol w:w="613"/>
        <w:gridCol w:w="1158"/>
        <w:gridCol w:w="613"/>
        <w:gridCol w:w="1096"/>
        <w:gridCol w:w="613"/>
        <w:gridCol w:w="723"/>
        <w:gridCol w:w="613"/>
      </w:tblGrid>
      <w:tr w:rsidR="001926B6" w:rsidRPr="002019F0" w14:paraId="33453D03" w14:textId="77777777" w:rsidTr="00C23D09">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993" w:type="dxa"/>
            <w:vAlign w:val="center"/>
            <w:hideMark/>
          </w:tcPr>
          <w:p w14:paraId="3EF99A47" w14:textId="77777777" w:rsidR="00DC4D58" w:rsidRPr="009138E4" w:rsidRDefault="00DC4D58" w:rsidP="00C23D09">
            <w:pPr>
              <w:jc w:val="center"/>
              <w:textAlignment w:val="baseline"/>
              <w:rPr>
                <w:lang w:eastAsia="es-CO"/>
              </w:rPr>
            </w:pPr>
            <w:r w:rsidRPr="009138E4">
              <w:rPr>
                <w:rFonts w:cs="Arial"/>
                <w:bCs w:val="0"/>
                <w:color w:val="FFFFFF"/>
                <w:sz w:val="14"/>
                <w:szCs w:val="14"/>
                <w:lang w:eastAsia="es-CO"/>
              </w:rPr>
              <w:t>Gasto</w:t>
            </w:r>
          </w:p>
        </w:tc>
        <w:tc>
          <w:tcPr>
            <w:tcW w:w="669" w:type="dxa"/>
            <w:vAlign w:val="center"/>
            <w:hideMark/>
          </w:tcPr>
          <w:p w14:paraId="08A06FEF"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Recurso</w:t>
            </w:r>
          </w:p>
        </w:tc>
        <w:tc>
          <w:tcPr>
            <w:tcW w:w="0" w:type="auto"/>
            <w:vAlign w:val="center"/>
            <w:hideMark/>
          </w:tcPr>
          <w:p w14:paraId="0DF2EB02"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Apropiación Vigente</w:t>
            </w:r>
          </w:p>
        </w:tc>
        <w:tc>
          <w:tcPr>
            <w:tcW w:w="0" w:type="auto"/>
            <w:vAlign w:val="center"/>
            <w:hideMark/>
          </w:tcPr>
          <w:p w14:paraId="3B2E74A2"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Bloqueo</w:t>
            </w:r>
          </w:p>
        </w:tc>
        <w:tc>
          <w:tcPr>
            <w:tcW w:w="0" w:type="auto"/>
            <w:vAlign w:val="center"/>
            <w:hideMark/>
          </w:tcPr>
          <w:p w14:paraId="003D3A94"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Disponible aplicado el bloqueo</w:t>
            </w:r>
          </w:p>
        </w:tc>
        <w:tc>
          <w:tcPr>
            <w:tcW w:w="0" w:type="auto"/>
            <w:vAlign w:val="center"/>
            <w:hideMark/>
          </w:tcPr>
          <w:p w14:paraId="47FCFD6E"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CDP</w:t>
            </w:r>
          </w:p>
        </w:tc>
        <w:tc>
          <w:tcPr>
            <w:tcW w:w="0" w:type="auto"/>
            <w:vAlign w:val="center"/>
            <w:hideMark/>
          </w:tcPr>
          <w:p w14:paraId="4F93519C"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w:t>
            </w:r>
          </w:p>
        </w:tc>
        <w:tc>
          <w:tcPr>
            <w:tcW w:w="0" w:type="auto"/>
            <w:vAlign w:val="center"/>
            <w:hideMark/>
          </w:tcPr>
          <w:p w14:paraId="61AE9E11"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Compromisos</w:t>
            </w:r>
          </w:p>
        </w:tc>
        <w:tc>
          <w:tcPr>
            <w:tcW w:w="0" w:type="auto"/>
            <w:vAlign w:val="center"/>
            <w:hideMark/>
          </w:tcPr>
          <w:p w14:paraId="02F2EE90"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w:t>
            </w:r>
          </w:p>
        </w:tc>
        <w:tc>
          <w:tcPr>
            <w:tcW w:w="0" w:type="auto"/>
            <w:vAlign w:val="center"/>
            <w:hideMark/>
          </w:tcPr>
          <w:p w14:paraId="3CB6AB82"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Obligaciones</w:t>
            </w:r>
          </w:p>
        </w:tc>
        <w:tc>
          <w:tcPr>
            <w:tcW w:w="0" w:type="auto"/>
            <w:vAlign w:val="center"/>
            <w:hideMark/>
          </w:tcPr>
          <w:p w14:paraId="46DE5F9D"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w:t>
            </w:r>
          </w:p>
        </w:tc>
        <w:tc>
          <w:tcPr>
            <w:tcW w:w="0" w:type="auto"/>
            <w:vAlign w:val="center"/>
            <w:hideMark/>
          </w:tcPr>
          <w:p w14:paraId="5C06DC28"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Pagos</w:t>
            </w:r>
          </w:p>
        </w:tc>
        <w:tc>
          <w:tcPr>
            <w:tcW w:w="0" w:type="auto"/>
            <w:vAlign w:val="center"/>
            <w:hideMark/>
          </w:tcPr>
          <w:p w14:paraId="0E38C75F" w14:textId="77777777" w:rsidR="00DC4D58" w:rsidRPr="009138E4"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lang w:eastAsia="es-CO"/>
              </w:rPr>
            </w:pPr>
            <w:r w:rsidRPr="009138E4">
              <w:rPr>
                <w:rFonts w:cs="Arial"/>
                <w:bCs w:val="0"/>
                <w:color w:val="FFFFFF"/>
                <w:sz w:val="14"/>
                <w:szCs w:val="14"/>
                <w:lang w:eastAsia="es-CO"/>
              </w:rPr>
              <w:t>%</w:t>
            </w:r>
          </w:p>
        </w:tc>
      </w:tr>
      <w:tr w:rsidR="001926B6" w:rsidRPr="002019F0" w14:paraId="3F0E79F8"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restart"/>
            <w:vAlign w:val="center"/>
            <w:hideMark/>
          </w:tcPr>
          <w:p w14:paraId="02426A18" w14:textId="77777777" w:rsidR="00DC4D58" w:rsidRPr="002019F0" w:rsidRDefault="00DC4D58" w:rsidP="00C23D09">
            <w:pPr>
              <w:jc w:val="center"/>
              <w:textAlignment w:val="baseline"/>
              <w:rPr>
                <w:lang w:eastAsia="es-CO"/>
              </w:rPr>
            </w:pPr>
            <w:r w:rsidRPr="002019F0">
              <w:rPr>
                <w:rFonts w:cs="Arial"/>
                <w:color w:val="000000"/>
                <w:sz w:val="14"/>
                <w:szCs w:val="14"/>
                <w:lang w:eastAsia="es-CO"/>
              </w:rPr>
              <w:t>Funciona</w:t>
            </w:r>
            <w:r>
              <w:rPr>
                <w:rFonts w:cs="Arial"/>
                <w:color w:val="000000"/>
                <w:sz w:val="14"/>
                <w:szCs w:val="14"/>
                <w:lang w:eastAsia="es-CO"/>
              </w:rPr>
              <w:t>-</w:t>
            </w:r>
            <w:r w:rsidRPr="002019F0">
              <w:rPr>
                <w:rFonts w:cs="Arial"/>
                <w:color w:val="000000"/>
                <w:sz w:val="14"/>
                <w:szCs w:val="14"/>
                <w:lang w:eastAsia="es-CO"/>
              </w:rPr>
              <w:t>miento</w:t>
            </w:r>
          </w:p>
        </w:tc>
        <w:tc>
          <w:tcPr>
            <w:tcW w:w="669" w:type="dxa"/>
            <w:vAlign w:val="center"/>
            <w:hideMark/>
          </w:tcPr>
          <w:p w14:paraId="48ECD191"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Nación</w:t>
            </w:r>
          </w:p>
        </w:tc>
        <w:tc>
          <w:tcPr>
            <w:tcW w:w="0" w:type="auto"/>
            <w:vAlign w:val="center"/>
            <w:hideMark/>
          </w:tcPr>
          <w:p w14:paraId="40308005"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$76.169</w:t>
            </w:r>
          </w:p>
        </w:tc>
        <w:tc>
          <w:tcPr>
            <w:tcW w:w="0" w:type="auto"/>
            <w:vAlign w:val="center"/>
            <w:hideMark/>
          </w:tcPr>
          <w:p w14:paraId="1FAC1037"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$4.590</w:t>
            </w:r>
          </w:p>
        </w:tc>
        <w:tc>
          <w:tcPr>
            <w:tcW w:w="0" w:type="auto"/>
            <w:vAlign w:val="center"/>
            <w:hideMark/>
          </w:tcPr>
          <w:p w14:paraId="26F6E400"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$71.579</w:t>
            </w:r>
          </w:p>
        </w:tc>
        <w:tc>
          <w:tcPr>
            <w:tcW w:w="0" w:type="auto"/>
            <w:vAlign w:val="center"/>
            <w:hideMark/>
          </w:tcPr>
          <w:p w14:paraId="68959B8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$49.268</w:t>
            </w:r>
          </w:p>
        </w:tc>
        <w:tc>
          <w:tcPr>
            <w:tcW w:w="0" w:type="auto"/>
            <w:vAlign w:val="center"/>
            <w:hideMark/>
          </w:tcPr>
          <w:p w14:paraId="4E7D8255"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68,8%</w:t>
            </w:r>
          </w:p>
        </w:tc>
        <w:tc>
          <w:tcPr>
            <w:tcW w:w="0" w:type="auto"/>
            <w:vAlign w:val="center"/>
            <w:hideMark/>
          </w:tcPr>
          <w:p w14:paraId="3FFDD85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$47.348</w:t>
            </w:r>
          </w:p>
        </w:tc>
        <w:tc>
          <w:tcPr>
            <w:tcW w:w="0" w:type="auto"/>
            <w:vAlign w:val="center"/>
            <w:hideMark/>
          </w:tcPr>
          <w:p w14:paraId="0862275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62,2%</w:t>
            </w:r>
          </w:p>
        </w:tc>
        <w:tc>
          <w:tcPr>
            <w:tcW w:w="0" w:type="auto"/>
            <w:vAlign w:val="center"/>
            <w:hideMark/>
          </w:tcPr>
          <w:p w14:paraId="388B7631"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$44.856</w:t>
            </w:r>
          </w:p>
        </w:tc>
        <w:tc>
          <w:tcPr>
            <w:tcW w:w="0" w:type="auto"/>
            <w:vAlign w:val="center"/>
            <w:hideMark/>
          </w:tcPr>
          <w:p w14:paraId="594203E0"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58,9%</w:t>
            </w:r>
          </w:p>
        </w:tc>
        <w:tc>
          <w:tcPr>
            <w:tcW w:w="0" w:type="auto"/>
            <w:vAlign w:val="center"/>
            <w:hideMark/>
          </w:tcPr>
          <w:p w14:paraId="549B8C8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$43.425</w:t>
            </w:r>
          </w:p>
        </w:tc>
        <w:tc>
          <w:tcPr>
            <w:tcW w:w="0" w:type="auto"/>
            <w:vAlign w:val="center"/>
            <w:hideMark/>
          </w:tcPr>
          <w:p w14:paraId="6E6BF7C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57,0%</w:t>
            </w:r>
          </w:p>
        </w:tc>
      </w:tr>
      <w:tr w:rsidR="00DC4D58" w:rsidRPr="002019F0" w14:paraId="694D4431" w14:textId="77777777" w:rsidTr="00C23D09">
        <w:trPr>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2969FABC" w14:textId="77777777" w:rsidR="00DC4D58" w:rsidRPr="002019F0" w:rsidRDefault="00DC4D58" w:rsidP="00C23D09">
            <w:pPr>
              <w:jc w:val="center"/>
              <w:rPr>
                <w:lang w:eastAsia="es-CO"/>
              </w:rPr>
            </w:pPr>
          </w:p>
        </w:tc>
        <w:tc>
          <w:tcPr>
            <w:tcW w:w="669" w:type="dxa"/>
            <w:vAlign w:val="center"/>
            <w:hideMark/>
          </w:tcPr>
          <w:p w14:paraId="61C4B764"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Propios</w:t>
            </w:r>
          </w:p>
        </w:tc>
        <w:tc>
          <w:tcPr>
            <w:tcW w:w="0" w:type="auto"/>
            <w:vAlign w:val="center"/>
            <w:hideMark/>
          </w:tcPr>
          <w:p w14:paraId="52BC60E7"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$9.259</w:t>
            </w:r>
          </w:p>
        </w:tc>
        <w:tc>
          <w:tcPr>
            <w:tcW w:w="0" w:type="auto"/>
            <w:vAlign w:val="center"/>
            <w:hideMark/>
          </w:tcPr>
          <w:p w14:paraId="1FDE5523"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2F74E3AD"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$9.259</w:t>
            </w:r>
          </w:p>
        </w:tc>
        <w:tc>
          <w:tcPr>
            <w:tcW w:w="0" w:type="auto"/>
            <w:vAlign w:val="center"/>
            <w:hideMark/>
          </w:tcPr>
          <w:p w14:paraId="324F3406"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$6.316</w:t>
            </w:r>
          </w:p>
        </w:tc>
        <w:tc>
          <w:tcPr>
            <w:tcW w:w="0" w:type="auto"/>
            <w:vAlign w:val="center"/>
            <w:hideMark/>
          </w:tcPr>
          <w:p w14:paraId="238B8B4B"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68,2%</w:t>
            </w:r>
          </w:p>
        </w:tc>
        <w:tc>
          <w:tcPr>
            <w:tcW w:w="0" w:type="auto"/>
            <w:vAlign w:val="center"/>
            <w:hideMark/>
          </w:tcPr>
          <w:p w14:paraId="3B6B902B"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$5.745</w:t>
            </w:r>
          </w:p>
        </w:tc>
        <w:tc>
          <w:tcPr>
            <w:tcW w:w="0" w:type="auto"/>
            <w:vAlign w:val="center"/>
            <w:hideMark/>
          </w:tcPr>
          <w:p w14:paraId="288685E2"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62,0%</w:t>
            </w:r>
          </w:p>
        </w:tc>
        <w:tc>
          <w:tcPr>
            <w:tcW w:w="0" w:type="auto"/>
            <w:vAlign w:val="center"/>
            <w:hideMark/>
          </w:tcPr>
          <w:p w14:paraId="4BCAF4C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$4.533</w:t>
            </w:r>
          </w:p>
        </w:tc>
        <w:tc>
          <w:tcPr>
            <w:tcW w:w="0" w:type="auto"/>
            <w:vAlign w:val="center"/>
            <w:hideMark/>
          </w:tcPr>
          <w:p w14:paraId="441D9A03"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49,0%</w:t>
            </w:r>
          </w:p>
        </w:tc>
        <w:tc>
          <w:tcPr>
            <w:tcW w:w="0" w:type="auto"/>
            <w:vAlign w:val="center"/>
            <w:hideMark/>
          </w:tcPr>
          <w:p w14:paraId="3EAA3A82"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$4.423</w:t>
            </w:r>
          </w:p>
        </w:tc>
        <w:tc>
          <w:tcPr>
            <w:tcW w:w="0" w:type="auto"/>
            <w:vAlign w:val="center"/>
            <w:hideMark/>
          </w:tcPr>
          <w:p w14:paraId="239369C4"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47,8%</w:t>
            </w:r>
          </w:p>
        </w:tc>
      </w:tr>
      <w:tr w:rsidR="001926B6" w:rsidRPr="002019F0" w14:paraId="433A929C"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543DEA49" w14:textId="77777777" w:rsidR="00DC4D58" w:rsidRPr="002019F0" w:rsidRDefault="00DC4D58" w:rsidP="00C23D09">
            <w:pPr>
              <w:jc w:val="center"/>
              <w:rPr>
                <w:lang w:eastAsia="es-CO"/>
              </w:rPr>
            </w:pPr>
          </w:p>
        </w:tc>
        <w:tc>
          <w:tcPr>
            <w:tcW w:w="669" w:type="dxa"/>
            <w:vAlign w:val="center"/>
            <w:hideMark/>
          </w:tcPr>
          <w:p w14:paraId="6651CE3B"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Total</w:t>
            </w:r>
          </w:p>
        </w:tc>
        <w:tc>
          <w:tcPr>
            <w:tcW w:w="0" w:type="auto"/>
            <w:vAlign w:val="center"/>
            <w:hideMark/>
          </w:tcPr>
          <w:p w14:paraId="6B6193D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$85.428</w:t>
            </w:r>
          </w:p>
        </w:tc>
        <w:tc>
          <w:tcPr>
            <w:tcW w:w="0" w:type="auto"/>
            <w:vAlign w:val="center"/>
            <w:hideMark/>
          </w:tcPr>
          <w:p w14:paraId="19724461"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$4.590</w:t>
            </w:r>
          </w:p>
        </w:tc>
        <w:tc>
          <w:tcPr>
            <w:tcW w:w="0" w:type="auto"/>
            <w:vAlign w:val="center"/>
            <w:hideMark/>
          </w:tcPr>
          <w:p w14:paraId="4FB5EE9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$80.838</w:t>
            </w:r>
          </w:p>
        </w:tc>
        <w:tc>
          <w:tcPr>
            <w:tcW w:w="0" w:type="auto"/>
            <w:vAlign w:val="center"/>
            <w:hideMark/>
          </w:tcPr>
          <w:p w14:paraId="118FF1C7"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$55.583</w:t>
            </w:r>
          </w:p>
        </w:tc>
        <w:tc>
          <w:tcPr>
            <w:tcW w:w="0" w:type="auto"/>
            <w:vAlign w:val="center"/>
            <w:hideMark/>
          </w:tcPr>
          <w:p w14:paraId="5A3B129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68,8%</w:t>
            </w:r>
          </w:p>
        </w:tc>
        <w:tc>
          <w:tcPr>
            <w:tcW w:w="0" w:type="auto"/>
            <w:vAlign w:val="center"/>
            <w:hideMark/>
          </w:tcPr>
          <w:p w14:paraId="27462180"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$53.093</w:t>
            </w:r>
          </w:p>
        </w:tc>
        <w:tc>
          <w:tcPr>
            <w:tcW w:w="0" w:type="auto"/>
            <w:vAlign w:val="center"/>
            <w:hideMark/>
          </w:tcPr>
          <w:p w14:paraId="487FE6C5"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62,1%</w:t>
            </w:r>
          </w:p>
        </w:tc>
        <w:tc>
          <w:tcPr>
            <w:tcW w:w="0" w:type="auto"/>
            <w:vAlign w:val="center"/>
            <w:hideMark/>
          </w:tcPr>
          <w:p w14:paraId="6DC4E10A"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$49.389</w:t>
            </w:r>
          </w:p>
        </w:tc>
        <w:tc>
          <w:tcPr>
            <w:tcW w:w="0" w:type="auto"/>
            <w:vAlign w:val="center"/>
            <w:hideMark/>
          </w:tcPr>
          <w:p w14:paraId="34FA35CB"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57,8%</w:t>
            </w:r>
          </w:p>
        </w:tc>
        <w:tc>
          <w:tcPr>
            <w:tcW w:w="0" w:type="auto"/>
            <w:vAlign w:val="center"/>
            <w:hideMark/>
          </w:tcPr>
          <w:p w14:paraId="7DEE7BA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$47.848</w:t>
            </w:r>
          </w:p>
        </w:tc>
        <w:tc>
          <w:tcPr>
            <w:tcW w:w="0" w:type="auto"/>
            <w:vAlign w:val="center"/>
            <w:hideMark/>
          </w:tcPr>
          <w:p w14:paraId="410A4D0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56,0%</w:t>
            </w:r>
          </w:p>
        </w:tc>
      </w:tr>
      <w:tr w:rsidR="00DC4D58" w:rsidRPr="002019F0" w14:paraId="35A6C4C1" w14:textId="77777777" w:rsidTr="00C23D09">
        <w:trPr>
          <w:trHeight w:val="300"/>
        </w:trPr>
        <w:tc>
          <w:tcPr>
            <w:cnfStyle w:val="001000000000" w:firstRow="0" w:lastRow="0" w:firstColumn="1" w:lastColumn="0" w:oddVBand="0" w:evenVBand="0" w:oddHBand="0" w:evenHBand="0" w:firstRowFirstColumn="0" w:firstRowLastColumn="0" w:lastRowFirstColumn="0" w:lastRowLastColumn="0"/>
            <w:tcW w:w="993" w:type="dxa"/>
            <w:vMerge w:val="restart"/>
            <w:vAlign w:val="center"/>
            <w:hideMark/>
          </w:tcPr>
          <w:p w14:paraId="39174EED" w14:textId="77777777" w:rsidR="00DC4D58" w:rsidRPr="002019F0" w:rsidRDefault="00DC4D58" w:rsidP="00C23D09">
            <w:pPr>
              <w:jc w:val="center"/>
              <w:textAlignment w:val="baseline"/>
              <w:rPr>
                <w:lang w:eastAsia="es-CO"/>
              </w:rPr>
            </w:pPr>
            <w:r w:rsidRPr="002019F0">
              <w:rPr>
                <w:rFonts w:cs="Arial"/>
                <w:color w:val="000000"/>
                <w:sz w:val="14"/>
                <w:szCs w:val="14"/>
                <w:lang w:eastAsia="es-CO"/>
              </w:rPr>
              <w:t>Inversión</w:t>
            </w:r>
          </w:p>
        </w:tc>
        <w:tc>
          <w:tcPr>
            <w:tcW w:w="669" w:type="dxa"/>
            <w:vAlign w:val="center"/>
            <w:hideMark/>
          </w:tcPr>
          <w:p w14:paraId="4E3BB54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Nación</w:t>
            </w:r>
          </w:p>
        </w:tc>
        <w:tc>
          <w:tcPr>
            <w:tcW w:w="0" w:type="auto"/>
            <w:vAlign w:val="center"/>
            <w:hideMark/>
          </w:tcPr>
          <w:p w14:paraId="63A68D8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$20.322</w:t>
            </w:r>
          </w:p>
        </w:tc>
        <w:tc>
          <w:tcPr>
            <w:tcW w:w="0" w:type="auto"/>
            <w:vAlign w:val="center"/>
            <w:hideMark/>
          </w:tcPr>
          <w:p w14:paraId="0790765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4C18E2F0"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$20.322</w:t>
            </w:r>
          </w:p>
        </w:tc>
        <w:tc>
          <w:tcPr>
            <w:tcW w:w="0" w:type="auto"/>
            <w:vAlign w:val="center"/>
            <w:hideMark/>
          </w:tcPr>
          <w:p w14:paraId="71C6EA46"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$18.905</w:t>
            </w:r>
          </w:p>
        </w:tc>
        <w:tc>
          <w:tcPr>
            <w:tcW w:w="0" w:type="auto"/>
            <w:vAlign w:val="center"/>
            <w:hideMark/>
          </w:tcPr>
          <w:p w14:paraId="77167E81"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93,0%</w:t>
            </w:r>
          </w:p>
        </w:tc>
        <w:tc>
          <w:tcPr>
            <w:tcW w:w="0" w:type="auto"/>
            <w:vAlign w:val="center"/>
            <w:hideMark/>
          </w:tcPr>
          <w:p w14:paraId="35001D77"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$17.544</w:t>
            </w:r>
          </w:p>
        </w:tc>
        <w:tc>
          <w:tcPr>
            <w:tcW w:w="0" w:type="auto"/>
            <w:vAlign w:val="center"/>
            <w:hideMark/>
          </w:tcPr>
          <w:p w14:paraId="607728C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86,3%</w:t>
            </w:r>
          </w:p>
        </w:tc>
        <w:tc>
          <w:tcPr>
            <w:tcW w:w="0" w:type="auto"/>
            <w:vAlign w:val="center"/>
            <w:hideMark/>
          </w:tcPr>
          <w:p w14:paraId="5664769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$13.385</w:t>
            </w:r>
          </w:p>
        </w:tc>
        <w:tc>
          <w:tcPr>
            <w:tcW w:w="0" w:type="auto"/>
            <w:vAlign w:val="center"/>
            <w:hideMark/>
          </w:tcPr>
          <w:p w14:paraId="67267B4F"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65,9%</w:t>
            </w:r>
          </w:p>
        </w:tc>
        <w:tc>
          <w:tcPr>
            <w:tcW w:w="0" w:type="auto"/>
            <w:vAlign w:val="center"/>
            <w:hideMark/>
          </w:tcPr>
          <w:p w14:paraId="4A557A96"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$13.197</w:t>
            </w:r>
          </w:p>
        </w:tc>
        <w:tc>
          <w:tcPr>
            <w:tcW w:w="0" w:type="auto"/>
            <w:vAlign w:val="center"/>
            <w:hideMark/>
          </w:tcPr>
          <w:p w14:paraId="4C4CB41E"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64,9%</w:t>
            </w:r>
          </w:p>
        </w:tc>
      </w:tr>
      <w:tr w:rsidR="001926B6" w:rsidRPr="002019F0" w14:paraId="234640CA"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59D7027E" w14:textId="77777777" w:rsidR="00DC4D58" w:rsidRPr="002019F0" w:rsidRDefault="00DC4D58" w:rsidP="00C23D09">
            <w:pPr>
              <w:jc w:val="center"/>
              <w:rPr>
                <w:lang w:eastAsia="es-CO"/>
              </w:rPr>
            </w:pPr>
          </w:p>
        </w:tc>
        <w:tc>
          <w:tcPr>
            <w:tcW w:w="669" w:type="dxa"/>
            <w:vAlign w:val="center"/>
            <w:hideMark/>
          </w:tcPr>
          <w:p w14:paraId="28878892"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Propios</w:t>
            </w:r>
          </w:p>
        </w:tc>
        <w:tc>
          <w:tcPr>
            <w:tcW w:w="0" w:type="auto"/>
            <w:vAlign w:val="center"/>
            <w:hideMark/>
          </w:tcPr>
          <w:p w14:paraId="728F18F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$55.295</w:t>
            </w:r>
          </w:p>
        </w:tc>
        <w:tc>
          <w:tcPr>
            <w:tcW w:w="0" w:type="auto"/>
            <w:vAlign w:val="center"/>
            <w:hideMark/>
          </w:tcPr>
          <w:p w14:paraId="76BE747A"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0387731F"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$55.295</w:t>
            </w:r>
          </w:p>
        </w:tc>
        <w:tc>
          <w:tcPr>
            <w:tcW w:w="0" w:type="auto"/>
            <w:vAlign w:val="center"/>
            <w:hideMark/>
          </w:tcPr>
          <w:p w14:paraId="7E58170B"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$29.843</w:t>
            </w:r>
          </w:p>
        </w:tc>
        <w:tc>
          <w:tcPr>
            <w:tcW w:w="0" w:type="auto"/>
            <w:vAlign w:val="center"/>
            <w:hideMark/>
          </w:tcPr>
          <w:p w14:paraId="1478F65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54,0%</w:t>
            </w:r>
          </w:p>
        </w:tc>
        <w:tc>
          <w:tcPr>
            <w:tcW w:w="0" w:type="auto"/>
            <w:vAlign w:val="center"/>
            <w:hideMark/>
          </w:tcPr>
          <w:p w14:paraId="7F8F0619"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$26.443</w:t>
            </w:r>
          </w:p>
        </w:tc>
        <w:tc>
          <w:tcPr>
            <w:tcW w:w="0" w:type="auto"/>
            <w:vAlign w:val="center"/>
            <w:hideMark/>
          </w:tcPr>
          <w:p w14:paraId="2CE9EA83"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47,8%</w:t>
            </w:r>
          </w:p>
        </w:tc>
        <w:tc>
          <w:tcPr>
            <w:tcW w:w="0" w:type="auto"/>
            <w:vAlign w:val="center"/>
            <w:hideMark/>
          </w:tcPr>
          <w:p w14:paraId="24D68021"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$17.143</w:t>
            </w:r>
          </w:p>
        </w:tc>
        <w:tc>
          <w:tcPr>
            <w:tcW w:w="0" w:type="auto"/>
            <w:vAlign w:val="center"/>
            <w:hideMark/>
          </w:tcPr>
          <w:p w14:paraId="53FE31FA"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31,0%</w:t>
            </w:r>
          </w:p>
        </w:tc>
        <w:tc>
          <w:tcPr>
            <w:tcW w:w="0" w:type="auto"/>
            <w:vAlign w:val="center"/>
            <w:hideMark/>
          </w:tcPr>
          <w:p w14:paraId="59D0224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$16.806</w:t>
            </w:r>
          </w:p>
        </w:tc>
        <w:tc>
          <w:tcPr>
            <w:tcW w:w="0" w:type="auto"/>
            <w:vAlign w:val="center"/>
            <w:hideMark/>
          </w:tcPr>
          <w:p w14:paraId="20C0E60D"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30,4%</w:t>
            </w:r>
          </w:p>
        </w:tc>
      </w:tr>
      <w:tr w:rsidR="00DC4D58" w:rsidRPr="002019F0" w14:paraId="76E8C129" w14:textId="77777777" w:rsidTr="00C23D09">
        <w:trPr>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59304479" w14:textId="77777777" w:rsidR="00DC4D58" w:rsidRPr="002019F0" w:rsidRDefault="00DC4D58" w:rsidP="00C23D09">
            <w:pPr>
              <w:jc w:val="center"/>
              <w:rPr>
                <w:lang w:eastAsia="es-CO"/>
              </w:rPr>
            </w:pPr>
          </w:p>
        </w:tc>
        <w:tc>
          <w:tcPr>
            <w:tcW w:w="669" w:type="dxa"/>
            <w:vAlign w:val="center"/>
            <w:hideMark/>
          </w:tcPr>
          <w:p w14:paraId="2BBFAD8D"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Créditos</w:t>
            </w:r>
          </w:p>
        </w:tc>
        <w:tc>
          <w:tcPr>
            <w:tcW w:w="0" w:type="auto"/>
            <w:vAlign w:val="center"/>
            <w:hideMark/>
          </w:tcPr>
          <w:p w14:paraId="7371BAA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$134.446</w:t>
            </w:r>
          </w:p>
        </w:tc>
        <w:tc>
          <w:tcPr>
            <w:tcW w:w="0" w:type="auto"/>
            <w:vAlign w:val="center"/>
            <w:hideMark/>
          </w:tcPr>
          <w:p w14:paraId="6D12C753"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0475A495"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$134.446</w:t>
            </w:r>
          </w:p>
        </w:tc>
        <w:tc>
          <w:tcPr>
            <w:tcW w:w="0" w:type="auto"/>
            <w:vAlign w:val="center"/>
            <w:hideMark/>
          </w:tcPr>
          <w:p w14:paraId="30378B1F"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$60.209</w:t>
            </w:r>
          </w:p>
        </w:tc>
        <w:tc>
          <w:tcPr>
            <w:tcW w:w="0" w:type="auto"/>
            <w:vAlign w:val="center"/>
            <w:hideMark/>
          </w:tcPr>
          <w:p w14:paraId="5DE0F76E"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44,8%</w:t>
            </w:r>
          </w:p>
        </w:tc>
        <w:tc>
          <w:tcPr>
            <w:tcW w:w="0" w:type="auto"/>
            <w:vAlign w:val="center"/>
            <w:hideMark/>
          </w:tcPr>
          <w:p w14:paraId="1A8128A1"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$29.493</w:t>
            </w:r>
          </w:p>
        </w:tc>
        <w:tc>
          <w:tcPr>
            <w:tcW w:w="0" w:type="auto"/>
            <w:vAlign w:val="center"/>
            <w:hideMark/>
          </w:tcPr>
          <w:p w14:paraId="68007104"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21,9%</w:t>
            </w:r>
          </w:p>
        </w:tc>
        <w:tc>
          <w:tcPr>
            <w:tcW w:w="0" w:type="auto"/>
            <w:vAlign w:val="center"/>
            <w:hideMark/>
          </w:tcPr>
          <w:p w14:paraId="73FCA00F"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$6.471</w:t>
            </w:r>
          </w:p>
        </w:tc>
        <w:tc>
          <w:tcPr>
            <w:tcW w:w="0" w:type="auto"/>
            <w:vAlign w:val="center"/>
            <w:hideMark/>
          </w:tcPr>
          <w:p w14:paraId="3D955816"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4,8%</w:t>
            </w:r>
          </w:p>
        </w:tc>
        <w:tc>
          <w:tcPr>
            <w:tcW w:w="0" w:type="auto"/>
            <w:vAlign w:val="center"/>
            <w:hideMark/>
          </w:tcPr>
          <w:p w14:paraId="2561088E"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$6.431</w:t>
            </w:r>
          </w:p>
        </w:tc>
        <w:tc>
          <w:tcPr>
            <w:tcW w:w="0" w:type="auto"/>
            <w:vAlign w:val="center"/>
            <w:hideMark/>
          </w:tcPr>
          <w:p w14:paraId="1691EAC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4,8%</w:t>
            </w:r>
          </w:p>
        </w:tc>
      </w:tr>
      <w:tr w:rsidR="001926B6" w:rsidRPr="002019F0" w14:paraId="1992ADDC"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5A473F2C" w14:textId="77777777" w:rsidR="00DC4D58" w:rsidRPr="002019F0" w:rsidRDefault="00DC4D58" w:rsidP="00C23D09">
            <w:pPr>
              <w:jc w:val="center"/>
              <w:rPr>
                <w:lang w:eastAsia="es-CO"/>
              </w:rPr>
            </w:pPr>
          </w:p>
        </w:tc>
        <w:tc>
          <w:tcPr>
            <w:tcW w:w="669" w:type="dxa"/>
            <w:vAlign w:val="center"/>
            <w:hideMark/>
          </w:tcPr>
          <w:p w14:paraId="7A4F6FCB"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Total</w:t>
            </w:r>
          </w:p>
        </w:tc>
        <w:tc>
          <w:tcPr>
            <w:tcW w:w="0" w:type="auto"/>
            <w:vAlign w:val="center"/>
            <w:hideMark/>
          </w:tcPr>
          <w:p w14:paraId="5480C5C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$210.064</w:t>
            </w:r>
          </w:p>
        </w:tc>
        <w:tc>
          <w:tcPr>
            <w:tcW w:w="0" w:type="auto"/>
            <w:vAlign w:val="center"/>
            <w:hideMark/>
          </w:tcPr>
          <w:p w14:paraId="6B2FD65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$0</w:t>
            </w:r>
          </w:p>
        </w:tc>
        <w:tc>
          <w:tcPr>
            <w:tcW w:w="0" w:type="auto"/>
            <w:vAlign w:val="center"/>
            <w:hideMark/>
          </w:tcPr>
          <w:p w14:paraId="253E447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$210.064</w:t>
            </w:r>
          </w:p>
        </w:tc>
        <w:tc>
          <w:tcPr>
            <w:tcW w:w="0" w:type="auto"/>
            <w:vAlign w:val="center"/>
            <w:hideMark/>
          </w:tcPr>
          <w:p w14:paraId="60D524BA"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$108.957</w:t>
            </w:r>
          </w:p>
        </w:tc>
        <w:tc>
          <w:tcPr>
            <w:tcW w:w="0" w:type="auto"/>
            <w:vAlign w:val="center"/>
            <w:hideMark/>
          </w:tcPr>
          <w:p w14:paraId="6BEEE6CF"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51,9%</w:t>
            </w:r>
          </w:p>
        </w:tc>
        <w:tc>
          <w:tcPr>
            <w:tcW w:w="0" w:type="auto"/>
            <w:vAlign w:val="center"/>
            <w:hideMark/>
          </w:tcPr>
          <w:p w14:paraId="47197AFA"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$73.479</w:t>
            </w:r>
          </w:p>
        </w:tc>
        <w:tc>
          <w:tcPr>
            <w:tcW w:w="0" w:type="auto"/>
            <w:vAlign w:val="center"/>
            <w:hideMark/>
          </w:tcPr>
          <w:p w14:paraId="378F9253"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35,0%</w:t>
            </w:r>
          </w:p>
        </w:tc>
        <w:tc>
          <w:tcPr>
            <w:tcW w:w="0" w:type="auto"/>
            <w:vAlign w:val="center"/>
            <w:hideMark/>
          </w:tcPr>
          <w:p w14:paraId="19ED5B43"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$36.999</w:t>
            </w:r>
          </w:p>
        </w:tc>
        <w:tc>
          <w:tcPr>
            <w:tcW w:w="0" w:type="auto"/>
            <w:vAlign w:val="center"/>
            <w:hideMark/>
          </w:tcPr>
          <w:p w14:paraId="41D2DC67"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17,6%</w:t>
            </w:r>
          </w:p>
        </w:tc>
        <w:tc>
          <w:tcPr>
            <w:tcW w:w="0" w:type="auto"/>
            <w:vAlign w:val="center"/>
            <w:hideMark/>
          </w:tcPr>
          <w:p w14:paraId="515E24B2"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$36.434</w:t>
            </w:r>
          </w:p>
        </w:tc>
        <w:tc>
          <w:tcPr>
            <w:tcW w:w="0" w:type="auto"/>
            <w:vAlign w:val="center"/>
            <w:hideMark/>
          </w:tcPr>
          <w:p w14:paraId="23B2B33B"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17,3%</w:t>
            </w:r>
          </w:p>
        </w:tc>
      </w:tr>
      <w:tr w:rsidR="00DC4D58" w:rsidRPr="002019F0" w14:paraId="57954202" w14:textId="77777777" w:rsidTr="00C23D09">
        <w:trPr>
          <w:trHeight w:val="300"/>
        </w:trPr>
        <w:tc>
          <w:tcPr>
            <w:cnfStyle w:val="001000000000" w:firstRow="0" w:lastRow="0" w:firstColumn="1" w:lastColumn="0" w:oddVBand="0" w:evenVBand="0" w:oddHBand="0" w:evenHBand="0" w:firstRowFirstColumn="0" w:firstRowLastColumn="0" w:lastRowFirstColumn="0" w:lastRowLastColumn="0"/>
            <w:tcW w:w="993" w:type="dxa"/>
            <w:vMerge w:val="restart"/>
            <w:vAlign w:val="center"/>
            <w:hideMark/>
          </w:tcPr>
          <w:p w14:paraId="2B249914" w14:textId="77777777" w:rsidR="00DC4D58" w:rsidRPr="002019F0" w:rsidRDefault="00DC4D58" w:rsidP="00C23D09">
            <w:pPr>
              <w:jc w:val="center"/>
              <w:textAlignment w:val="baseline"/>
              <w:rPr>
                <w:lang w:eastAsia="es-CO"/>
              </w:rPr>
            </w:pPr>
            <w:r w:rsidRPr="002019F0">
              <w:rPr>
                <w:rFonts w:cs="Arial"/>
                <w:color w:val="000000"/>
                <w:sz w:val="14"/>
                <w:szCs w:val="14"/>
                <w:lang w:eastAsia="es-CO"/>
              </w:rPr>
              <w:t>Total</w:t>
            </w:r>
          </w:p>
        </w:tc>
        <w:tc>
          <w:tcPr>
            <w:tcW w:w="669" w:type="dxa"/>
            <w:vAlign w:val="center"/>
            <w:hideMark/>
          </w:tcPr>
          <w:p w14:paraId="36116B0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Nación</w:t>
            </w:r>
          </w:p>
        </w:tc>
        <w:tc>
          <w:tcPr>
            <w:tcW w:w="0" w:type="auto"/>
            <w:vAlign w:val="center"/>
            <w:hideMark/>
          </w:tcPr>
          <w:p w14:paraId="5543F8C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$96.492</w:t>
            </w:r>
          </w:p>
        </w:tc>
        <w:tc>
          <w:tcPr>
            <w:tcW w:w="0" w:type="auto"/>
            <w:vAlign w:val="center"/>
            <w:hideMark/>
          </w:tcPr>
          <w:p w14:paraId="2BABF98F"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$4.590</w:t>
            </w:r>
          </w:p>
        </w:tc>
        <w:tc>
          <w:tcPr>
            <w:tcW w:w="0" w:type="auto"/>
            <w:vAlign w:val="center"/>
            <w:hideMark/>
          </w:tcPr>
          <w:p w14:paraId="7F91A1CF"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$91.901</w:t>
            </w:r>
          </w:p>
        </w:tc>
        <w:tc>
          <w:tcPr>
            <w:tcW w:w="0" w:type="auto"/>
            <w:vAlign w:val="center"/>
            <w:hideMark/>
          </w:tcPr>
          <w:p w14:paraId="10F9919D"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$68.173</w:t>
            </w:r>
          </w:p>
        </w:tc>
        <w:tc>
          <w:tcPr>
            <w:tcW w:w="0" w:type="auto"/>
            <w:vAlign w:val="center"/>
            <w:hideMark/>
          </w:tcPr>
          <w:p w14:paraId="515400FC"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70,7%</w:t>
            </w:r>
          </w:p>
        </w:tc>
        <w:tc>
          <w:tcPr>
            <w:tcW w:w="0" w:type="auto"/>
            <w:vAlign w:val="center"/>
            <w:hideMark/>
          </w:tcPr>
          <w:p w14:paraId="1EB6B24B"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$64.892</w:t>
            </w:r>
          </w:p>
        </w:tc>
        <w:tc>
          <w:tcPr>
            <w:tcW w:w="0" w:type="auto"/>
            <w:vAlign w:val="center"/>
            <w:hideMark/>
          </w:tcPr>
          <w:p w14:paraId="61E2AC8E"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67,3%</w:t>
            </w:r>
          </w:p>
        </w:tc>
        <w:tc>
          <w:tcPr>
            <w:tcW w:w="0" w:type="auto"/>
            <w:vAlign w:val="center"/>
            <w:hideMark/>
          </w:tcPr>
          <w:p w14:paraId="50029E1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$58.241</w:t>
            </w:r>
          </w:p>
        </w:tc>
        <w:tc>
          <w:tcPr>
            <w:tcW w:w="0" w:type="auto"/>
            <w:vAlign w:val="center"/>
            <w:hideMark/>
          </w:tcPr>
          <w:p w14:paraId="0F780F1C"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60,4%</w:t>
            </w:r>
          </w:p>
        </w:tc>
        <w:tc>
          <w:tcPr>
            <w:tcW w:w="0" w:type="auto"/>
            <w:vAlign w:val="center"/>
            <w:hideMark/>
          </w:tcPr>
          <w:p w14:paraId="0BE8597A"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$56.622</w:t>
            </w:r>
          </w:p>
        </w:tc>
        <w:tc>
          <w:tcPr>
            <w:tcW w:w="0" w:type="auto"/>
            <w:vAlign w:val="center"/>
            <w:hideMark/>
          </w:tcPr>
          <w:p w14:paraId="6BBD488D"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58,7%</w:t>
            </w:r>
          </w:p>
        </w:tc>
      </w:tr>
      <w:tr w:rsidR="001926B6" w:rsidRPr="002019F0" w14:paraId="61027772"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14121913" w14:textId="77777777" w:rsidR="00DC4D58" w:rsidRPr="002019F0" w:rsidRDefault="00DC4D58" w:rsidP="00C23D09">
            <w:pPr>
              <w:jc w:val="center"/>
              <w:rPr>
                <w:lang w:eastAsia="es-CO"/>
              </w:rPr>
            </w:pPr>
          </w:p>
        </w:tc>
        <w:tc>
          <w:tcPr>
            <w:tcW w:w="669" w:type="dxa"/>
            <w:vAlign w:val="center"/>
            <w:hideMark/>
          </w:tcPr>
          <w:p w14:paraId="1558B948"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Propios</w:t>
            </w:r>
          </w:p>
        </w:tc>
        <w:tc>
          <w:tcPr>
            <w:tcW w:w="0" w:type="auto"/>
            <w:vAlign w:val="center"/>
            <w:hideMark/>
          </w:tcPr>
          <w:p w14:paraId="07C8CEA9"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$64.554</w:t>
            </w:r>
          </w:p>
        </w:tc>
        <w:tc>
          <w:tcPr>
            <w:tcW w:w="0" w:type="auto"/>
            <w:vAlign w:val="center"/>
            <w:hideMark/>
          </w:tcPr>
          <w:p w14:paraId="3DACD228"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2A071B2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$64.554</w:t>
            </w:r>
          </w:p>
        </w:tc>
        <w:tc>
          <w:tcPr>
            <w:tcW w:w="0" w:type="auto"/>
            <w:vAlign w:val="center"/>
            <w:hideMark/>
          </w:tcPr>
          <w:p w14:paraId="6DAA7499"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$36.158</w:t>
            </w:r>
          </w:p>
        </w:tc>
        <w:tc>
          <w:tcPr>
            <w:tcW w:w="0" w:type="auto"/>
            <w:vAlign w:val="center"/>
            <w:hideMark/>
          </w:tcPr>
          <w:p w14:paraId="3F47F6F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56,0%</w:t>
            </w:r>
          </w:p>
        </w:tc>
        <w:tc>
          <w:tcPr>
            <w:tcW w:w="0" w:type="auto"/>
            <w:vAlign w:val="center"/>
            <w:hideMark/>
          </w:tcPr>
          <w:p w14:paraId="46DA0C11"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$32.188</w:t>
            </w:r>
          </w:p>
        </w:tc>
        <w:tc>
          <w:tcPr>
            <w:tcW w:w="0" w:type="auto"/>
            <w:vAlign w:val="center"/>
            <w:hideMark/>
          </w:tcPr>
          <w:p w14:paraId="360DB3B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49,9%</w:t>
            </w:r>
          </w:p>
        </w:tc>
        <w:tc>
          <w:tcPr>
            <w:tcW w:w="0" w:type="auto"/>
            <w:vAlign w:val="center"/>
            <w:hideMark/>
          </w:tcPr>
          <w:p w14:paraId="46B3DDD3"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$21.676</w:t>
            </w:r>
          </w:p>
        </w:tc>
        <w:tc>
          <w:tcPr>
            <w:tcW w:w="0" w:type="auto"/>
            <w:vAlign w:val="center"/>
            <w:hideMark/>
          </w:tcPr>
          <w:p w14:paraId="7D51D4E5"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33,6%</w:t>
            </w:r>
          </w:p>
        </w:tc>
        <w:tc>
          <w:tcPr>
            <w:tcW w:w="0" w:type="auto"/>
            <w:vAlign w:val="center"/>
            <w:hideMark/>
          </w:tcPr>
          <w:p w14:paraId="47614EF3"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$21.229</w:t>
            </w:r>
          </w:p>
        </w:tc>
        <w:tc>
          <w:tcPr>
            <w:tcW w:w="0" w:type="auto"/>
            <w:vAlign w:val="center"/>
            <w:hideMark/>
          </w:tcPr>
          <w:p w14:paraId="7B1EA08F"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color w:val="000000"/>
                <w:sz w:val="14"/>
                <w:szCs w:val="14"/>
                <w:lang w:eastAsia="es-CO"/>
              </w:rPr>
              <w:t>32,9%</w:t>
            </w:r>
          </w:p>
        </w:tc>
      </w:tr>
      <w:tr w:rsidR="00DC4D58" w:rsidRPr="002019F0" w14:paraId="51AAB8CC" w14:textId="77777777" w:rsidTr="00C23D09">
        <w:trPr>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36AD4707" w14:textId="77777777" w:rsidR="00DC4D58" w:rsidRPr="002019F0" w:rsidRDefault="00DC4D58" w:rsidP="00C23D09">
            <w:pPr>
              <w:jc w:val="center"/>
              <w:rPr>
                <w:lang w:eastAsia="es-CO"/>
              </w:rPr>
            </w:pPr>
          </w:p>
        </w:tc>
        <w:tc>
          <w:tcPr>
            <w:tcW w:w="669" w:type="dxa"/>
            <w:vAlign w:val="center"/>
            <w:hideMark/>
          </w:tcPr>
          <w:p w14:paraId="308A9FA0"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Créditos</w:t>
            </w:r>
          </w:p>
        </w:tc>
        <w:tc>
          <w:tcPr>
            <w:tcW w:w="0" w:type="auto"/>
            <w:vAlign w:val="center"/>
            <w:hideMark/>
          </w:tcPr>
          <w:p w14:paraId="511A8CEC"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$134.446</w:t>
            </w:r>
          </w:p>
        </w:tc>
        <w:tc>
          <w:tcPr>
            <w:tcW w:w="0" w:type="auto"/>
            <w:vAlign w:val="center"/>
            <w:hideMark/>
          </w:tcPr>
          <w:p w14:paraId="029D24BC"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$0</w:t>
            </w:r>
          </w:p>
        </w:tc>
        <w:tc>
          <w:tcPr>
            <w:tcW w:w="0" w:type="auto"/>
            <w:vAlign w:val="center"/>
            <w:hideMark/>
          </w:tcPr>
          <w:p w14:paraId="61970275"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$134.446</w:t>
            </w:r>
          </w:p>
        </w:tc>
        <w:tc>
          <w:tcPr>
            <w:tcW w:w="0" w:type="auto"/>
            <w:vAlign w:val="center"/>
            <w:hideMark/>
          </w:tcPr>
          <w:p w14:paraId="79462B41"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$60.209</w:t>
            </w:r>
          </w:p>
        </w:tc>
        <w:tc>
          <w:tcPr>
            <w:tcW w:w="0" w:type="auto"/>
            <w:vAlign w:val="center"/>
            <w:hideMark/>
          </w:tcPr>
          <w:p w14:paraId="13F64AE9"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44,8%</w:t>
            </w:r>
          </w:p>
        </w:tc>
        <w:tc>
          <w:tcPr>
            <w:tcW w:w="0" w:type="auto"/>
            <w:vAlign w:val="center"/>
            <w:hideMark/>
          </w:tcPr>
          <w:p w14:paraId="6AA48E81"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$29.493</w:t>
            </w:r>
          </w:p>
        </w:tc>
        <w:tc>
          <w:tcPr>
            <w:tcW w:w="0" w:type="auto"/>
            <w:vAlign w:val="center"/>
            <w:hideMark/>
          </w:tcPr>
          <w:p w14:paraId="45FBDE1A"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21,9%</w:t>
            </w:r>
          </w:p>
        </w:tc>
        <w:tc>
          <w:tcPr>
            <w:tcW w:w="0" w:type="auto"/>
            <w:vAlign w:val="center"/>
            <w:hideMark/>
          </w:tcPr>
          <w:p w14:paraId="6A847338"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$6.471</w:t>
            </w:r>
          </w:p>
        </w:tc>
        <w:tc>
          <w:tcPr>
            <w:tcW w:w="0" w:type="auto"/>
            <w:vAlign w:val="center"/>
            <w:hideMark/>
          </w:tcPr>
          <w:p w14:paraId="76451B22"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4,8%</w:t>
            </w:r>
          </w:p>
        </w:tc>
        <w:tc>
          <w:tcPr>
            <w:tcW w:w="0" w:type="auto"/>
            <w:vAlign w:val="center"/>
            <w:hideMark/>
          </w:tcPr>
          <w:p w14:paraId="542EE7DA"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$6.431</w:t>
            </w:r>
          </w:p>
        </w:tc>
        <w:tc>
          <w:tcPr>
            <w:tcW w:w="0" w:type="auto"/>
            <w:vAlign w:val="center"/>
            <w:hideMark/>
          </w:tcPr>
          <w:p w14:paraId="268183D1" w14:textId="77777777" w:rsidR="00DC4D58" w:rsidRPr="002019F0"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lang w:eastAsia="es-CO"/>
              </w:rPr>
            </w:pPr>
            <w:r w:rsidRPr="002019F0">
              <w:rPr>
                <w:rFonts w:cs="Arial"/>
                <w:color w:val="000000"/>
                <w:sz w:val="14"/>
                <w:szCs w:val="14"/>
                <w:lang w:eastAsia="es-CO"/>
              </w:rPr>
              <w:t>4,8%</w:t>
            </w:r>
          </w:p>
        </w:tc>
      </w:tr>
      <w:tr w:rsidR="001926B6" w:rsidRPr="002019F0" w14:paraId="1ACC3894" w14:textId="77777777" w:rsidTr="00C23D0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3" w:type="dxa"/>
            <w:vMerge/>
            <w:vAlign w:val="center"/>
            <w:hideMark/>
          </w:tcPr>
          <w:p w14:paraId="1D805C14" w14:textId="77777777" w:rsidR="00DC4D58" w:rsidRPr="002019F0" w:rsidRDefault="00DC4D58" w:rsidP="00C23D09">
            <w:pPr>
              <w:jc w:val="center"/>
              <w:rPr>
                <w:lang w:eastAsia="es-CO"/>
              </w:rPr>
            </w:pPr>
          </w:p>
        </w:tc>
        <w:tc>
          <w:tcPr>
            <w:tcW w:w="669" w:type="dxa"/>
            <w:vAlign w:val="center"/>
            <w:hideMark/>
          </w:tcPr>
          <w:p w14:paraId="6059294E"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Total</w:t>
            </w:r>
          </w:p>
        </w:tc>
        <w:tc>
          <w:tcPr>
            <w:tcW w:w="0" w:type="auto"/>
            <w:vAlign w:val="center"/>
            <w:hideMark/>
          </w:tcPr>
          <w:p w14:paraId="57927E7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$295.492</w:t>
            </w:r>
          </w:p>
        </w:tc>
        <w:tc>
          <w:tcPr>
            <w:tcW w:w="0" w:type="auto"/>
            <w:vAlign w:val="center"/>
            <w:hideMark/>
          </w:tcPr>
          <w:p w14:paraId="2A0A48A4"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$4.590</w:t>
            </w:r>
          </w:p>
        </w:tc>
        <w:tc>
          <w:tcPr>
            <w:tcW w:w="0" w:type="auto"/>
            <w:vAlign w:val="center"/>
            <w:hideMark/>
          </w:tcPr>
          <w:p w14:paraId="679171E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$290.902</w:t>
            </w:r>
          </w:p>
        </w:tc>
        <w:tc>
          <w:tcPr>
            <w:tcW w:w="0" w:type="auto"/>
            <w:vAlign w:val="center"/>
            <w:hideMark/>
          </w:tcPr>
          <w:p w14:paraId="51CB78D8"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$164.540</w:t>
            </w:r>
          </w:p>
        </w:tc>
        <w:tc>
          <w:tcPr>
            <w:tcW w:w="0" w:type="auto"/>
            <w:vAlign w:val="center"/>
            <w:hideMark/>
          </w:tcPr>
          <w:p w14:paraId="05E7CCB7"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55,7%</w:t>
            </w:r>
          </w:p>
        </w:tc>
        <w:tc>
          <w:tcPr>
            <w:tcW w:w="0" w:type="auto"/>
            <w:vAlign w:val="center"/>
            <w:hideMark/>
          </w:tcPr>
          <w:p w14:paraId="28A53E95"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$126.572</w:t>
            </w:r>
          </w:p>
        </w:tc>
        <w:tc>
          <w:tcPr>
            <w:tcW w:w="0" w:type="auto"/>
            <w:vAlign w:val="center"/>
            <w:hideMark/>
          </w:tcPr>
          <w:p w14:paraId="665E9326"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42,8%</w:t>
            </w:r>
          </w:p>
        </w:tc>
        <w:tc>
          <w:tcPr>
            <w:tcW w:w="0" w:type="auto"/>
            <w:vAlign w:val="center"/>
            <w:hideMark/>
          </w:tcPr>
          <w:p w14:paraId="553FFB69"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$86.388</w:t>
            </w:r>
          </w:p>
        </w:tc>
        <w:tc>
          <w:tcPr>
            <w:tcW w:w="0" w:type="auto"/>
            <w:vAlign w:val="center"/>
            <w:hideMark/>
          </w:tcPr>
          <w:p w14:paraId="129CC67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29,2%</w:t>
            </w:r>
          </w:p>
        </w:tc>
        <w:tc>
          <w:tcPr>
            <w:tcW w:w="0" w:type="auto"/>
            <w:vAlign w:val="center"/>
            <w:hideMark/>
          </w:tcPr>
          <w:p w14:paraId="237746A2"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$84.282</w:t>
            </w:r>
          </w:p>
        </w:tc>
        <w:tc>
          <w:tcPr>
            <w:tcW w:w="0" w:type="auto"/>
            <w:vAlign w:val="center"/>
            <w:hideMark/>
          </w:tcPr>
          <w:p w14:paraId="31DD888C" w14:textId="77777777" w:rsidR="00DC4D58" w:rsidRPr="002019F0"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lang w:eastAsia="es-CO"/>
              </w:rPr>
            </w:pPr>
            <w:r w:rsidRPr="002019F0">
              <w:rPr>
                <w:rFonts w:cs="Arial"/>
                <w:b/>
                <w:bCs/>
                <w:color w:val="000000"/>
                <w:sz w:val="14"/>
                <w:szCs w:val="14"/>
                <w:lang w:eastAsia="es-CO"/>
              </w:rPr>
              <w:t>28,5%</w:t>
            </w:r>
          </w:p>
        </w:tc>
      </w:tr>
    </w:tbl>
    <w:p w14:paraId="27A357D0" w14:textId="77777777" w:rsidR="00DC4D58" w:rsidRPr="00912343" w:rsidRDefault="00DC4D58" w:rsidP="00DC4D58">
      <w:pPr>
        <w:jc w:val="center"/>
        <w:textAlignment w:val="baseline"/>
        <w:rPr>
          <w:rFonts w:ascii="Segoe UI" w:hAnsi="Segoe UI" w:cs="Segoe UI"/>
          <w:b/>
          <w:sz w:val="10"/>
          <w:szCs w:val="18"/>
          <w:lang w:eastAsia="es-CO"/>
        </w:rPr>
      </w:pPr>
      <w:r w:rsidRPr="00912343">
        <w:rPr>
          <w:rFonts w:cs="Arial"/>
          <w:b/>
          <w:sz w:val="16"/>
          <w:lang w:eastAsia="es-CO"/>
        </w:rPr>
        <w:t>Fuente: Oficina Asesora de Planeación </w:t>
      </w:r>
    </w:p>
    <w:p w14:paraId="406C9C6E" w14:textId="77777777" w:rsidR="00DC4D58" w:rsidRPr="009138E4" w:rsidRDefault="00DC4D58" w:rsidP="00DC4D58">
      <w:pPr>
        <w:jc w:val="center"/>
        <w:textAlignment w:val="baseline"/>
        <w:rPr>
          <w:rFonts w:ascii="Segoe UI" w:hAnsi="Segoe UI" w:cs="Segoe UI"/>
          <w:sz w:val="10"/>
          <w:szCs w:val="18"/>
          <w:lang w:eastAsia="es-CO"/>
        </w:rPr>
      </w:pPr>
      <w:r w:rsidRPr="009138E4">
        <w:rPr>
          <w:rFonts w:cs="Arial"/>
          <w:sz w:val="16"/>
          <w:lang w:eastAsia="es-CO"/>
        </w:rPr>
        <w:t> </w:t>
      </w:r>
    </w:p>
    <w:p w14:paraId="7B70A276" w14:textId="77777777" w:rsidR="000B2BC6" w:rsidRDefault="000B2BC6" w:rsidP="00DC4D58">
      <w:pPr>
        <w:jc w:val="both"/>
        <w:textAlignment w:val="baseline"/>
        <w:rPr>
          <w:rFonts w:cs="Arial"/>
          <w:sz w:val="22"/>
          <w:lang w:eastAsia="es-CO"/>
        </w:rPr>
      </w:pPr>
    </w:p>
    <w:p w14:paraId="21BA07F2" w14:textId="6BAB74D0" w:rsidR="00DC4D58" w:rsidRDefault="00DC4D58" w:rsidP="00DC4D58">
      <w:pPr>
        <w:jc w:val="both"/>
        <w:textAlignment w:val="baseline"/>
        <w:rPr>
          <w:rFonts w:cs="Arial"/>
          <w:sz w:val="22"/>
          <w:lang w:eastAsia="es-CO"/>
        </w:rPr>
      </w:pPr>
      <w:r w:rsidRPr="009138E4">
        <w:rPr>
          <w:rFonts w:cs="Arial"/>
          <w:sz w:val="22"/>
          <w:lang w:eastAsia="es-CO"/>
        </w:rPr>
        <w:t>En cuanto a recursos de inversión para la vigencia 2021 se cuenta con 9 proyectos de inversión, con una ejecución a 31 de octubre de 2021 de acuerdo con lo descrito a continuación:  </w:t>
      </w:r>
    </w:p>
    <w:p w14:paraId="2BAD3218" w14:textId="744808DA" w:rsidR="009B56D9" w:rsidRDefault="009B56D9" w:rsidP="00DC4D58">
      <w:pPr>
        <w:jc w:val="both"/>
        <w:textAlignment w:val="baseline"/>
        <w:rPr>
          <w:rFonts w:cs="Arial"/>
          <w:sz w:val="22"/>
          <w:lang w:eastAsia="es-CO"/>
        </w:rPr>
      </w:pPr>
    </w:p>
    <w:p w14:paraId="78CF9C89" w14:textId="166D952B" w:rsidR="00DC4D58" w:rsidRPr="00912343" w:rsidRDefault="00912343" w:rsidP="00912343">
      <w:pPr>
        <w:pStyle w:val="Descripcin"/>
        <w:jc w:val="center"/>
        <w:rPr>
          <w:rFonts w:ascii="Arial" w:hAnsi="Arial" w:cs="Arial"/>
          <w:b/>
          <w:i w:val="0"/>
          <w:color w:val="000000" w:themeColor="text1"/>
          <w:sz w:val="16"/>
          <w:lang w:eastAsia="es-CO"/>
        </w:rPr>
      </w:pPr>
      <w:bookmarkStart w:id="215" w:name="_Toc88677150"/>
      <w:r w:rsidRPr="00912343">
        <w:rPr>
          <w:rFonts w:ascii="Arial" w:hAnsi="Arial" w:cs="Arial"/>
          <w:b/>
          <w:i w:val="0"/>
          <w:color w:val="000000" w:themeColor="text1"/>
          <w:sz w:val="16"/>
        </w:rPr>
        <w:t xml:space="preserve">Tabla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Tabla \* ARABIC </w:instrText>
      </w:r>
      <w:r w:rsidRPr="00912343">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81</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Ejecución presupuestal proyectos de inversión</w:t>
      </w:r>
      <w:bookmarkEnd w:id="215"/>
    </w:p>
    <w:tbl>
      <w:tblPr>
        <w:tblStyle w:val="Tabladecuadrcula4-nfasis1"/>
        <w:tblW w:w="5152" w:type="pct"/>
        <w:jc w:val="center"/>
        <w:tblLook w:val="04A0" w:firstRow="1" w:lastRow="0" w:firstColumn="1" w:lastColumn="0" w:noHBand="0" w:noVBand="1"/>
      </w:tblPr>
      <w:tblGrid>
        <w:gridCol w:w="3290"/>
        <w:gridCol w:w="697"/>
        <w:gridCol w:w="917"/>
        <w:gridCol w:w="717"/>
        <w:gridCol w:w="557"/>
        <w:gridCol w:w="1023"/>
        <w:gridCol w:w="557"/>
        <w:gridCol w:w="970"/>
        <w:gridCol w:w="557"/>
        <w:gridCol w:w="650"/>
        <w:gridCol w:w="557"/>
      </w:tblGrid>
      <w:tr w:rsidR="00DC4D58" w:rsidRPr="00F52B99" w14:paraId="00064C0F" w14:textId="77777777" w:rsidTr="00C23D09">
        <w:trPr>
          <w:cnfStyle w:val="100000000000" w:firstRow="1" w:lastRow="0" w:firstColumn="0" w:lastColumn="0" w:oddVBand="0" w:evenVBand="0" w:oddHBand="0" w:evenHBand="0" w:firstRowFirstColumn="0" w:firstRowLastColumn="0" w:lastRowFirstColumn="0" w:lastRowLastColumn="0"/>
          <w:trHeight w:val="45"/>
          <w:tblHeader/>
          <w:jc w:val="center"/>
        </w:trPr>
        <w:tc>
          <w:tcPr>
            <w:cnfStyle w:val="001000000000" w:firstRow="0" w:lastRow="0" w:firstColumn="1" w:lastColumn="0" w:oddVBand="0" w:evenVBand="0" w:oddHBand="0" w:evenHBand="0" w:firstRowFirstColumn="0" w:firstRowLastColumn="0" w:lastRowFirstColumn="0" w:lastRowLastColumn="0"/>
            <w:tcW w:w="1511" w:type="pct"/>
            <w:vAlign w:val="center"/>
            <w:hideMark/>
          </w:tcPr>
          <w:p w14:paraId="4FB53ADD" w14:textId="77777777" w:rsidR="00DC4D58" w:rsidRPr="00F52B99" w:rsidRDefault="00DC4D58" w:rsidP="00C23D09">
            <w:pPr>
              <w:jc w:val="center"/>
              <w:textAlignment w:val="baseline"/>
              <w:rPr>
                <w:sz w:val="12"/>
                <w:lang w:eastAsia="es-CO"/>
              </w:rPr>
            </w:pPr>
            <w:r w:rsidRPr="00F52B99">
              <w:rPr>
                <w:rFonts w:cs="Arial"/>
                <w:bCs w:val="0"/>
                <w:color w:val="FFFFFF"/>
                <w:sz w:val="12"/>
                <w:szCs w:val="14"/>
                <w:lang w:eastAsia="es-CO"/>
              </w:rPr>
              <w:t>Proyectos de Inversión</w:t>
            </w:r>
          </w:p>
        </w:tc>
        <w:tc>
          <w:tcPr>
            <w:tcW w:w="324" w:type="pct"/>
            <w:vAlign w:val="center"/>
            <w:hideMark/>
          </w:tcPr>
          <w:p w14:paraId="76A01D4E"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Recurso</w:t>
            </w:r>
          </w:p>
        </w:tc>
        <w:tc>
          <w:tcPr>
            <w:tcW w:w="421" w:type="pct"/>
            <w:vAlign w:val="center"/>
            <w:hideMark/>
          </w:tcPr>
          <w:p w14:paraId="77911E30"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Apropiación Inicial</w:t>
            </w:r>
          </w:p>
        </w:tc>
        <w:tc>
          <w:tcPr>
            <w:tcW w:w="333" w:type="pct"/>
            <w:vAlign w:val="center"/>
            <w:hideMark/>
          </w:tcPr>
          <w:p w14:paraId="15400429"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CDP</w:t>
            </w:r>
          </w:p>
        </w:tc>
        <w:tc>
          <w:tcPr>
            <w:tcW w:w="262" w:type="pct"/>
            <w:vAlign w:val="center"/>
            <w:hideMark/>
          </w:tcPr>
          <w:p w14:paraId="53EC61F3"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w:t>
            </w:r>
          </w:p>
        </w:tc>
        <w:tc>
          <w:tcPr>
            <w:tcW w:w="468" w:type="pct"/>
            <w:vAlign w:val="center"/>
            <w:hideMark/>
          </w:tcPr>
          <w:p w14:paraId="2E7684F0"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Compromisos</w:t>
            </w:r>
          </w:p>
        </w:tc>
        <w:tc>
          <w:tcPr>
            <w:tcW w:w="262" w:type="pct"/>
            <w:vAlign w:val="center"/>
            <w:hideMark/>
          </w:tcPr>
          <w:p w14:paraId="13D6C6FA"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w:t>
            </w:r>
          </w:p>
        </w:tc>
        <w:tc>
          <w:tcPr>
            <w:tcW w:w="444" w:type="pct"/>
            <w:vAlign w:val="center"/>
            <w:hideMark/>
          </w:tcPr>
          <w:p w14:paraId="319C2BDB"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Obligaciones</w:t>
            </w:r>
          </w:p>
        </w:tc>
        <w:tc>
          <w:tcPr>
            <w:tcW w:w="262" w:type="pct"/>
            <w:vAlign w:val="center"/>
            <w:hideMark/>
          </w:tcPr>
          <w:p w14:paraId="4F4B2B87"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w:t>
            </w:r>
          </w:p>
        </w:tc>
        <w:tc>
          <w:tcPr>
            <w:tcW w:w="303" w:type="pct"/>
            <w:vAlign w:val="center"/>
            <w:hideMark/>
          </w:tcPr>
          <w:p w14:paraId="11D1B203"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Pagos</w:t>
            </w:r>
          </w:p>
        </w:tc>
        <w:tc>
          <w:tcPr>
            <w:tcW w:w="409" w:type="pct"/>
            <w:vAlign w:val="center"/>
            <w:hideMark/>
          </w:tcPr>
          <w:p w14:paraId="34A6DA02" w14:textId="77777777" w:rsidR="00DC4D58" w:rsidRPr="00F52B99" w:rsidRDefault="00DC4D58"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2"/>
                <w:lang w:eastAsia="es-CO"/>
              </w:rPr>
            </w:pPr>
            <w:r w:rsidRPr="00F52B99">
              <w:rPr>
                <w:rFonts w:cs="Arial"/>
                <w:bCs w:val="0"/>
                <w:color w:val="FFFFFF"/>
                <w:sz w:val="12"/>
                <w:szCs w:val="14"/>
                <w:lang w:eastAsia="es-CO"/>
              </w:rPr>
              <w:t>%</w:t>
            </w:r>
          </w:p>
        </w:tc>
      </w:tr>
      <w:tr w:rsidR="00DC4D58" w:rsidRPr="00F52B99" w14:paraId="69AB876B" w14:textId="77777777" w:rsidTr="00C23D09">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0CA079F3" w14:textId="6AB4C0EC" w:rsidR="00DC4D58" w:rsidRPr="00F52B99" w:rsidRDefault="00DC4D58" w:rsidP="00C23D09">
            <w:pPr>
              <w:jc w:val="center"/>
              <w:textAlignment w:val="baseline"/>
              <w:rPr>
                <w:sz w:val="12"/>
                <w:lang w:eastAsia="es-CO"/>
              </w:rPr>
            </w:pPr>
            <w:r w:rsidRPr="00F52B99">
              <w:rPr>
                <w:rFonts w:cs="Arial"/>
                <w:color w:val="000000"/>
                <w:sz w:val="12"/>
                <w:szCs w:val="14"/>
                <w:lang w:eastAsia="es-CO"/>
              </w:rPr>
              <w:t>ACTUALIZACIÓN Y GESTIÓN CATASTRA</w:t>
            </w:r>
            <w:r w:rsidR="000B2BC6">
              <w:rPr>
                <w:rFonts w:cs="Arial"/>
                <w:color w:val="000000"/>
                <w:sz w:val="12"/>
                <w:szCs w:val="14"/>
                <w:lang w:eastAsia="es-CO"/>
              </w:rPr>
              <w:t>L</w:t>
            </w:r>
            <w:r w:rsidRPr="00F52B99">
              <w:rPr>
                <w:rFonts w:cs="Arial"/>
                <w:color w:val="000000"/>
                <w:sz w:val="12"/>
                <w:szCs w:val="14"/>
                <w:lang w:eastAsia="es-CO"/>
              </w:rPr>
              <w:t>NACIONAL</w:t>
            </w:r>
          </w:p>
        </w:tc>
        <w:tc>
          <w:tcPr>
            <w:tcW w:w="324" w:type="pct"/>
            <w:vAlign w:val="center"/>
            <w:hideMark/>
          </w:tcPr>
          <w:p w14:paraId="03730FF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7038FA3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$10.335</w:t>
            </w:r>
          </w:p>
        </w:tc>
        <w:tc>
          <w:tcPr>
            <w:tcW w:w="333" w:type="pct"/>
            <w:vAlign w:val="center"/>
            <w:hideMark/>
          </w:tcPr>
          <w:p w14:paraId="54E455E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$9.712</w:t>
            </w:r>
          </w:p>
        </w:tc>
        <w:tc>
          <w:tcPr>
            <w:tcW w:w="262" w:type="pct"/>
            <w:vAlign w:val="center"/>
            <w:hideMark/>
          </w:tcPr>
          <w:p w14:paraId="56BFAC9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94,0%</w:t>
            </w:r>
          </w:p>
        </w:tc>
        <w:tc>
          <w:tcPr>
            <w:tcW w:w="468" w:type="pct"/>
            <w:vAlign w:val="center"/>
            <w:hideMark/>
          </w:tcPr>
          <w:p w14:paraId="124C455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$8.953</w:t>
            </w:r>
          </w:p>
        </w:tc>
        <w:tc>
          <w:tcPr>
            <w:tcW w:w="262" w:type="pct"/>
            <w:vAlign w:val="center"/>
            <w:hideMark/>
          </w:tcPr>
          <w:p w14:paraId="130CEE7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86,6%</w:t>
            </w:r>
          </w:p>
        </w:tc>
        <w:tc>
          <w:tcPr>
            <w:tcW w:w="444" w:type="pct"/>
            <w:vAlign w:val="center"/>
            <w:hideMark/>
          </w:tcPr>
          <w:p w14:paraId="7224956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$6.524</w:t>
            </w:r>
          </w:p>
        </w:tc>
        <w:tc>
          <w:tcPr>
            <w:tcW w:w="262" w:type="pct"/>
            <w:vAlign w:val="center"/>
            <w:hideMark/>
          </w:tcPr>
          <w:p w14:paraId="00858D2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63,1%</w:t>
            </w:r>
          </w:p>
        </w:tc>
        <w:tc>
          <w:tcPr>
            <w:tcW w:w="303" w:type="pct"/>
            <w:vAlign w:val="center"/>
            <w:hideMark/>
          </w:tcPr>
          <w:p w14:paraId="1E8401A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$6.460</w:t>
            </w:r>
          </w:p>
        </w:tc>
        <w:tc>
          <w:tcPr>
            <w:tcW w:w="409" w:type="pct"/>
            <w:vAlign w:val="center"/>
            <w:hideMark/>
          </w:tcPr>
          <w:p w14:paraId="4941501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62,5%</w:t>
            </w:r>
          </w:p>
        </w:tc>
      </w:tr>
      <w:tr w:rsidR="00DC4D58" w:rsidRPr="00F52B99" w14:paraId="0CDA8890" w14:textId="77777777" w:rsidTr="00C23D09">
        <w:trPr>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74770768" w14:textId="77777777" w:rsidR="00DC4D58" w:rsidRPr="00F52B99" w:rsidRDefault="00DC4D58" w:rsidP="00C23D09">
            <w:pPr>
              <w:jc w:val="center"/>
              <w:rPr>
                <w:sz w:val="12"/>
                <w:lang w:eastAsia="es-CO"/>
              </w:rPr>
            </w:pPr>
          </w:p>
        </w:tc>
        <w:tc>
          <w:tcPr>
            <w:tcW w:w="324" w:type="pct"/>
            <w:vAlign w:val="center"/>
            <w:hideMark/>
          </w:tcPr>
          <w:p w14:paraId="1564246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3DD66F5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$28.515</w:t>
            </w:r>
          </w:p>
        </w:tc>
        <w:tc>
          <w:tcPr>
            <w:tcW w:w="333" w:type="pct"/>
            <w:vAlign w:val="center"/>
            <w:hideMark/>
          </w:tcPr>
          <w:p w14:paraId="667A659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$17.803</w:t>
            </w:r>
          </w:p>
        </w:tc>
        <w:tc>
          <w:tcPr>
            <w:tcW w:w="262" w:type="pct"/>
            <w:vAlign w:val="center"/>
            <w:hideMark/>
          </w:tcPr>
          <w:p w14:paraId="009793B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62,4%</w:t>
            </w:r>
          </w:p>
        </w:tc>
        <w:tc>
          <w:tcPr>
            <w:tcW w:w="468" w:type="pct"/>
            <w:vAlign w:val="center"/>
            <w:hideMark/>
          </w:tcPr>
          <w:p w14:paraId="520BA39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$15.447</w:t>
            </w:r>
          </w:p>
        </w:tc>
        <w:tc>
          <w:tcPr>
            <w:tcW w:w="262" w:type="pct"/>
            <w:vAlign w:val="center"/>
            <w:hideMark/>
          </w:tcPr>
          <w:p w14:paraId="23906B5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54,2%</w:t>
            </w:r>
          </w:p>
        </w:tc>
        <w:tc>
          <w:tcPr>
            <w:tcW w:w="444" w:type="pct"/>
            <w:vAlign w:val="center"/>
            <w:hideMark/>
          </w:tcPr>
          <w:p w14:paraId="7673D654"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$9.685</w:t>
            </w:r>
          </w:p>
        </w:tc>
        <w:tc>
          <w:tcPr>
            <w:tcW w:w="262" w:type="pct"/>
            <w:vAlign w:val="center"/>
            <w:hideMark/>
          </w:tcPr>
          <w:p w14:paraId="54F244E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34,0%</w:t>
            </w:r>
          </w:p>
        </w:tc>
        <w:tc>
          <w:tcPr>
            <w:tcW w:w="303" w:type="pct"/>
            <w:vAlign w:val="center"/>
            <w:hideMark/>
          </w:tcPr>
          <w:p w14:paraId="6D4A63C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$9.493</w:t>
            </w:r>
          </w:p>
        </w:tc>
        <w:tc>
          <w:tcPr>
            <w:tcW w:w="409" w:type="pct"/>
            <w:vAlign w:val="center"/>
            <w:hideMark/>
          </w:tcPr>
          <w:p w14:paraId="59E3A26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33,3%</w:t>
            </w:r>
          </w:p>
        </w:tc>
      </w:tr>
      <w:tr w:rsidR="00DC4D58" w:rsidRPr="00F52B99" w14:paraId="71A6AAA8" w14:textId="77777777" w:rsidTr="00C23D09">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36B5BDCD" w14:textId="77777777" w:rsidR="00DC4D58" w:rsidRPr="00F52B99" w:rsidRDefault="00DC4D58" w:rsidP="00C23D09">
            <w:pPr>
              <w:jc w:val="center"/>
              <w:rPr>
                <w:sz w:val="12"/>
                <w:lang w:eastAsia="es-CO"/>
              </w:rPr>
            </w:pPr>
          </w:p>
        </w:tc>
        <w:tc>
          <w:tcPr>
            <w:tcW w:w="324" w:type="pct"/>
            <w:vAlign w:val="center"/>
            <w:hideMark/>
          </w:tcPr>
          <w:p w14:paraId="753F31D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Créditos</w:t>
            </w:r>
          </w:p>
        </w:tc>
        <w:tc>
          <w:tcPr>
            <w:tcW w:w="421" w:type="pct"/>
            <w:vAlign w:val="center"/>
            <w:hideMark/>
          </w:tcPr>
          <w:p w14:paraId="14690E0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$134.446</w:t>
            </w:r>
          </w:p>
        </w:tc>
        <w:tc>
          <w:tcPr>
            <w:tcW w:w="333" w:type="pct"/>
            <w:vAlign w:val="center"/>
            <w:hideMark/>
          </w:tcPr>
          <w:p w14:paraId="1D4C107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$60.209</w:t>
            </w:r>
          </w:p>
        </w:tc>
        <w:tc>
          <w:tcPr>
            <w:tcW w:w="262" w:type="pct"/>
            <w:vAlign w:val="center"/>
            <w:hideMark/>
          </w:tcPr>
          <w:p w14:paraId="0A206A9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44,8%</w:t>
            </w:r>
          </w:p>
        </w:tc>
        <w:tc>
          <w:tcPr>
            <w:tcW w:w="468" w:type="pct"/>
            <w:vAlign w:val="center"/>
            <w:hideMark/>
          </w:tcPr>
          <w:p w14:paraId="18A6EA8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$29.493</w:t>
            </w:r>
          </w:p>
        </w:tc>
        <w:tc>
          <w:tcPr>
            <w:tcW w:w="262" w:type="pct"/>
            <w:vAlign w:val="center"/>
            <w:hideMark/>
          </w:tcPr>
          <w:p w14:paraId="567FAFD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21,9%</w:t>
            </w:r>
          </w:p>
        </w:tc>
        <w:tc>
          <w:tcPr>
            <w:tcW w:w="444" w:type="pct"/>
            <w:vAlign w:val="center"/>
            <w:hideMark/>
          </w:tcPr>
          <w:p w14:paraId="7B8A3F9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$6.471</w:t>
            </w:r>
          </w:p>
        </w:tc>
        <w:tc>
          <w:tcPr>
            <w:tcW w:w="262" w:type="pct"/>
            <w:vAlign w:val="center"/>
            <w:hideMark/>
          </w:tcPr>
          <w:p w14:paraId="01B69EA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4,8%</w:t>
            </w:r>
          </w:p>
        </w:tc>
        <w:tc>
          <w:tcPr>
            <w:tcW w:w="303" w:type="pct"/>
            <w:vAlign w:val="center"/>
            <w:hideMark/>
          </w:tcPr>
          <w:p w14:paraId="55F1775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$6.431</w:t>
            </w:r>
          </w:p>
        </w:tc>
        <w:tc>
          <w:tcPr>
            <w:tcW w:w="409" w:type="pct"/>
            <w:vAlign w:val="center"/>
            <w:hideMark/>
          </w:tcPr>
          <w:p w14:paraId="2B7CE69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4,8%</w:t>
            </w:r>
          </w:p>
        </w:tc>
      </w:tr>
      <w:tr w:rsidR="00DC4D58" w:rsidRPr="00F52B99" w14:paraId="57016E2A" w14:textId="77777777" w:rsidTr="00C23D09">
        <w:trPr>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21EDE8A4" w14:textId="77777777" w:rsidR="00DC4D58" w:rsidRPr="00F52B99" w:rsidRDefault="00DC4D58" w:rsidP="00C23D09">
            <w:pPr>
              <w:jc w:val="center"/>
              <w:rPr>
                <w:sz w:val="12"/>
                <w:lang w:eastAsia="es-CO"/>
              </w:rPr>
            </w:pPr>
          </w:p>
        </w:tc>
        <w:tc>
          <w:tcPr>
            <w:tcW w:w="324" w:type="pct"/>
            <w:vAlign w:val="center"/>
            <w:hideMark/>
          </w:tcPr>
          <w:p w14:paraId="3F02ADE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64D7287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$173.295</w:t>
            </w:r>
          </w:p>
        </w:tc>
        <w:tc>
          <w:tcPr>
            <w:tcW w:w="333" w:type="pct"/>
            <w:vAlign w:val="center"/>
            <w:hideMark/>
          </w:tcPr>
          <w:p w14:paraId="2D389FD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$87.724</w:t>
            </w:r>
          </w:p>
        </w:tc>
        <w:tc>
          <w:tcPr>
            <w:tcW w:w="262" w:type="pct"/>
            <w:vAlign w:val="center"/>
            <w:hideMark/>
          </w:tcPr>
          <w:p w14:paraId="70580A6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50,6%</w:t>
            </w:r>
          </w:p>
        </w:tc>
        <w:tc>
          <w:tcPr>
            <w:tcW w:w="468" w:type="pct"/>
            <w:vAlign w:val="center"/>
            <w:hideMark/>
          </w:tcPr>
          <w:p w14:paraId="7C94572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$53.893</w:t>
            </w:r>
          </w:p>
        </w:tc>
        <w:tc>
          <w:tcPr>
            <w:tcW w:w="262" w:type="pct"/>
            <w:vAlign w:val="center"/>
            <w:hideMark/>
          </w:tcPr>
          <w:p w14:paraId="61E05A7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31,1%</w:t>
            </w:r>
          </w:p>
        </w:tc>
        <w:tc>
          <w:tcPr>
            <w:tcW w:w="444" w:type="pct"/>
            <w:vAlign w:val="center"/>
            <w:hideMark/>
          </w:tcPr>
          <w:p w14:paraId="76FC803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$22.681</w:t>
            </w:r>
          </w:p>
        </w:tc>
        <w:tc>
          <w:tcPr>
            <w:tcW w:w="262" w:type="pct"/>
            <w:vAlign w:val="center"/>
            <w:hideMark/>
          </w:tcPr>
          <w:p w14:paraId="4FCED1A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13,1%</w:t>
            </w:r>
          </w:p>
        </w:tc>
        <w:tc>
          <w:tcPr>
            <w:tcW w:w="303" w:type="pct"/>
            <w:vAlign w:val="center"/>
            <w:hideMark/>
          </w:tcPr>
          <w:p w14:paraId="4C4D1B2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$22.384</w:t>
            </w:r>
          </w:p>
        </w:tc>
        <w:tc>
          <w:tcPr>
            <w:tcW w:w="409" w:type="pct"/>
            <w:vAlign w:val="center"/>
            <w:hideMark/>
          </w:tcPr>
          <w:p w14:paraId="451879B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12,9%</w:t>
            </w:r>
          </w:p>
        </w:tc>
      </w:tr>
      <w:tr w:rsidR="00DC4D58" w:rsidRPr="00F52B99" w14:paraId="73E7D884" w14:textId="77777777" w:rsidTr="00C23D09">
        <w:trPr>
          <w:cnfStyle w:val="000000100000" w:firstRow="0" w:lastRow="0" w:firstColumn="0" w:lastColumn="0" w:oddVBand="0" w:evenVBand="0" w:oddHBand="1" w:evenHBand="0" w:firstRowFirstColumn="0" w:firstRowLastColumn="0" w:lastRowFirstColumn="0" w:lastRowLastColumn="0"/>
          <w:trHeight w:val="297"/>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6CEC2C8D" w14:textId="335A109A" w:rsidR="00DC4D58" w:rsidRPr="00F52B99" w:rsidRDefault="00DC4D58" w:rsidP="00C23D09">
            <w:pPr>
              <w:jc w:val="center"/>
              <w:textAlignment w:val="baseline"/>
              <w:rPr>
                <w:sz w:val="12"/>
                <w:lang w:eastAsia="es-CO"/>
              </w:rPr>
            </w:pPr>
            <w:r w:rsidRPr="00F52B99">
              <w:rPr>
                <w:rFonts w:cs="Arial"/>
                <w:color w:val="000000"/>
                <w:sz w:val="12"/>
                <w:szCs w:val="14"/>
                <w:lang w:eastAsia="es-CO"/>
              </w:rPr>
              <w:t>FORTALECIMIENTO DE LA GESTIÓN DEL CONOCIMIENTO Y LA INNOVACIÓN EN EL ÁMBITO GEOGRÁFICO DEL TERRITORIO NACIONAL</w:t>
            </w:r>
          </w:p>
        </w:tc>
        <w:tc>
          <w:tcPr>
            <w:tcW w:w="324" w:type="pct"/>
            <w:vAlign w:val="center"/>
            <w:hideMark/>
          </w:tcPr>
          <w:p w14:paraId="3B76219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3DF4A91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$118</w:t>
            </w:r>
          </w:p>
        </w:tc>
        <w:tc>
          <w:tcPr>
            <w:tcW w:w="333" w:type="pct"/>
            <w:vAlign w:val="center"/>
            <w:hideMark/>
          </w:tcPr>
          <w:p w14:paraId="6E082A3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$118</w:t>
            </w:r>
          </w:p>
        </w:tc>
        <w:tc>
          <w:tcPr>
            <w:tcW w:w="262" w:type="pct"/>
            <w:vAlign w:val="center"/>
            <w:hideMark/>
          </w:tcPr>
          <w:p w14:paraId="4A47EBF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99,9%</w:t>
            </w:r>
          </w:p>
        </w:tc>
        <w:tc>
          <w:tcPr>
            <w:tcW w:w="468" w:type="pct"/>
            <w:vAlign w:val="center"/>
            <w:hideMark/>
          </w:tcPr>
          <w:p w14:paraId="44349CA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$118</w:t>
            </w:r>
          </w:p>
        </w:tc>
        <w:tc>
          <w:tcPr>
            <w:tcW w:w="262" w:type="pct"/>
            <w:vAlign w:val="center"/>
            <w:hideMark/>
          </w:tcPr>
          <w:p w14:paraId="316998E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99,9%</w:t>
            </w:r>
          </w:p>
        </w:tc>
        <w:tc>
          <w:tcPr>
            <w:tcW w:w="444" w:type="pct"/>
            <w:vAlign w:val="center"/>
            <w:hideMark/>
          </w:tcPr>
          <w:p w14:paraId="3B1C2D56"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$108</w:t>
            </w:r>
          </w:p>
        </w:tc>
        <w:tc>
          <w:tcPr>
            <w:tcW w:w="262" w:type="pct"/>
            <w:vAlign w:val="center"/>
            <w:hideMark/>
          </w:tcPr>
          <w:p w14:paraId="43041E66"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91,8%</w:t>
            </w:r>
          </w:p>
        </w:tc>
        <w:tc>
          <w:tcPr>
            <w:tcW w:w="303" w:type="pct"/>
            <w:vAlign w:val="center"/>
            <w:hideMark/>
          </w:tcPr>
          <w:p w14:paraId="100F06F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$108</w:t>
            </w:r>
          </w:p>
        </w:tc>
        <w:tc>
          <w:tcPr>
            <w:tcW w:w="409" w:type="pct"/>
            <w:vAlign w:val="center"/>
            <w:hideMark/>
          </w:tcPr>
          <w:p w14:paraId="2B8A4E3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91,8%</w:t>
            </w:r>
          </w:p>
        </w:tc>
      </w:tr>
      <w:tr w:rsidR="00DC4D58" w:rsidRPr="00F52B99" w14:paraId="65227BB9" w14:textId="77777777" w:rsidTr="00C23D09">
        <w:trPr>
          <w:trHeight w:val="273"/>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206A2ACE" w14:textId="77777777" w:rsidR="00DC4D58" w:rsidRPr="00F52B99" w:rsidRDefault="00DC4D58" w:rsidP="00C23D09">
            <w:pPr>
              <w:jc w:val="center"/>
              <w:rPr>
                <w:sz w:val="12"/>
                <w:lang w:eastAsia="es-CO"/>
              </w:rPr>
            </w:pPr>
          </w:p>
        </w:tc>
        <w:tc>
          <w:tcPr>
            <w:tcW w:w="324" w:type="pct"/>
            <w:vAlign w:val="center"/>
            <w:hideMark/>
          </w:tcPr>
          <w:p w14:paraId="23F8D53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1C18512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$3.674</w:t>
            </w:r>
          </w:p>
        </w:tc>
        <w:tc>
          <w:tcPr>
            <w:tcW w:w="333" w:type="pct"/>
            <w:vAlign w:val="center"/>
            <w:hideMark/>
          </w:tcPr>
          <w:p w14:paraId="6BEF465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$1.120</w:t>
            </w:r>
          </w:p>
        </w:tc>
        <w:tc>
          <w:tcPr>
            <w:tcW w:w="262" w:type="pct"/>
            <w:vAlign w:val="center"/>
            <w:hideMark/>
          </w:tcPr>
          <w:p w14:paraId="556BA39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30,5%</w:t>
            </w:r>
          </w:p>
        </w:tc>
        <w:tc>
          <w:tcPr>
            <w:tcW w:w="468" w:type="pct"/>
            <w:vAlign w:val="center"/>
            <w:hideMark/>
          </w:tcPr>
          <w:p w14:paraId="1D6FEC7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$996</w:t>
            </w:r>
          </w:p>
        </w:tc>
        <w:tc>
          <w:tcPr>
            <w:tcW w:w="262" w:type="pct"/>
            <w:vAlign w:val="center"/>
            <w:hideMark/>
          </w:tcPr>
          <w:p w14:paraId="69CE65F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27,1%</w:t>
            </w:r>
          </w:p>
        </w:tc>
        <w:tc>
          <w:tcPr>
            <w:tcW w:w="444" w:type="pct"/>
            <w:vAlign w:val="center"/>
            <w:hideMark/>
          </w:tcPr>
          <w:p w14:paraId="2E29C5E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$716</w:t>
            </w:r>
          </w:p>
        </w:tc>
        <w:tc>
          <w:tcPr>
            <w:tcW w:w="262" w:type="pct"/>
            <w:vAlign w:val="center"/>
            <w:hideMark/>
          </w:tcPr>
          <w:p w14:paraId="139A630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19,5%</w:t>
            </w:r>
          </w:p>
        </w:tc>
        <w:tc>
          <w:tcPr>
            <w:tcW w:w="303" w:type="pct"/>
            <w:vAlign w:val="center"/>
            <w:hideMark/>
          </w:tcPr>
          <w:p w14:paraId="24D6905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$687</w:t>
            </w:r>
          </w:p>
        </w:tc>
        <w:tc>
          <w:tcPr>
            <w:tcW w:w="409" w:type="pct"/>
            <w:vAlign w:val="center"/>
            <w:hideMark/>
          </w:tcPr>
          <w:p w14:paraId="566B157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18,7%</w:t>
            </w:r>
          </w:p>
        </w:tc>
      </w:tr>
      <w:tr w:rsidR="00DC4D58" w:rsidRPr="00F52B99" w14:paraId="0E63D54F" w14:textId="77777777" w:rsidTr="00C23D09">
        <w:trPr>
          <w:cnfStyle w:val="000000100000" w:firstRow="0" w:lastRow="0" w:firstColumn="0" w:lastColumn="0" w:oddVBand="0" w:evenVBand="0" w:oddHBand="1"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76F142B8" w14:textId="77777777" w:rsidR="00DC4D58" w:rsidRPr="00F52B99" w:rsidRDefault="00DC4D58" w:rsidP="00C23D09">
            <w:pPr>
              <w:jc w:val="center"/>
              <w:rPr>
                <w:sz w:val="12"/>
                <w:lang w:eastAsia="es-CO"/>
              </w:rPr>
            </w:pPr>
          </w:p>
        </w:tc>
        <w:tc>
          <w:tcPr>
            <w:tcW w:w="324" w:type="pct"/>
            <w:vAlign w:val="center"/>
            <w:hideMark/>
          </w:tcPr>
          <w:p w14:paraId="209976D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3A71FD6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$3.792</w:t>
            </w:r>
          </w:p>
        </w:tc>
        <w:tc>
          <w:tcPr>
            <w:tcW w:w="333" w:type="pct"/>
            <w:vAlign w:val="center"/>
            <w:hideMark/>
          </w:tcPr>
          <w:p w14:paraId="4212978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$1.238</w:t>
            </w:r>
          </w:p>
        </w:tc>
        <w:tc>
          <w:tcPr>
            <w:tcW w:w="262" w:type="pct"/>
            <w:vAlign w:val="center"/>
            <w:hideMark/>
          </w:tcPr>
          <w:p w14:paraId="5E4C0AB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32,7%</w:t>
            </w:r>
          </w:p>
        </w:tc>
        <w:tc>
          <w:tcPr>
            <w:tcW w:w="468" w:type="pct"/>
            <w:vAlign w:val="center"/>
            <w:hideMark/>
          </w:tcPr>
          <w:p w14:paraId="2643947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$1.114</w:t>
            </w:r>
          </w:p>
        </w:tc>
        <w:tc>
          <w:tcPr>
            <w:tcW w:w="262" w:type="pct"/>
            <w:vAlign w:val="center"/>
            <w:hideMark/>
          </w:tcPr>
          <w:p w14:paraId="09A3D42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29,4%</w:t>
            </w:r>
          </w:p>
        </w:tc>
        <w:tc>
          <w:tcPr>
            <w:tcW w:w="444" w:type="pct"/>
            <w:vAlign w:val="center"/>
            <w:hideMark/>
          </w:tcPr>
          <w:p w14:paraId="6D0FA39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$824</w:t>
            </w:r>
          </w:p>
        </w:tc>
        <w:tc>
          <w:tcPr>
            <w:tcW w:w="262" w:type="pct"/>
            <w:vAlign w:val="center"/>
            <w:hideMark/>
          </w:tcPr>
          <w:p w14:paraId="0C04424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21,7%</w:t>
            </w:r>
          </w:p>
        </w:tc>
        <w:tc>
          <w:tcPr>
            <w:tcW w:w="303" w:type="pct"/>
            <w:vAlign w:val="center"/>
            <w:hideMark/>
          </w:tcPr>
          <w:p w14:paraId="1A7091D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$795</w:t>
            </w:r>
          </w:p>
        </w:tc>
        <w:tc>
          <w:tcPr>
            <w:tcW w:w="409" w:type="pct"/>
            <w:vAlign w:val="center"/>
            <w:hideMark/>
          </w:tcPr>
          <w:p w14:paraId="6B96AC7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21,0%</w:t>
            </w:r>
          </w:p>
        </w:tc>
      </w:tr>
      <w:tr w:rsidR="00DC4D58" w:rsidRPr="00F52B99" w14:paraId="20691653" w14:textId="77777777" w:rsidTr="00C23D09">
        <w:trPr>
          <w:trHeight w:val="323"/>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26FAFD76" w14:textId="77777777" w:rsidR="00DC4D58" w:rsidRPr="00F52B99" w:rsidRDefault="00DC4D58" w:rsidP="00C23D09">
            <w:pPr>
              <w:jc w:val="center"/>
              <w:textAlignment w:val="baseline"/>
              <w:rPr>
                <w:sz w:val="12"/>
                <w:lang w:eastAsia="es-CO"/>
              </w:rPr>
            </w:pPr>
            <w:r w:rsidRPr="00F52B99">
              <w:rPr>
                <w:rFonts w:cs="Arial"/>
                <w:color w:val="000000"/>
                <w:sz w:val="12"/>
                <w:szCs w:val="14"/>
                <w:lang w:eastAsia="es-CO"/>
              </w:rPr>
              <w:t>FORTALECIMIENTO DE LA GESTIÓN INSTITUCIONAL DEL IGAC A NIVEL   NACIONAL</w:t>
            </w:r>
          </w:p>
        </w:tc>
        <w:tc>
          <w:tcPr>
            <w:tcW w:w="324" w:type="pct"/>
            <w:vAlign w:val="center"/>
            <w:hideMark/>
          </w:tcPr>
          <w:p w14:paraId="05DA4F7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2327598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$2.563</w:t>
            </w:r>
          </w:p>
        </w:tc>
        <w:tc>
          <w:tcPr>
            <w:tcW w:w="333" w:type="pct"/>
            <w:vAlign w:val="center"/>
            <w:hideMark/>
          </w:tcPr>
          <w:p w14:paraId="37A26CF4"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$2.246</w:t>
            </w:r>
          </w:p>
        </w:tc>
        <w:tc>
          <w:tcPr>
            <w:tcW w:w="262" w:type="pct"/>
            <w:vAlign w:val="center"/>
            <w:hideMark/>
          </w:tcPr>
          <w:p w14:paraId="6D3AAF7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87,6%</w:t>
            </w:r>
          </w:p>
        </w:tc>
        <w:tc>
          <w:tcPr>
            <w:tcW w:w="468" w:type="pct"/>
            <w:vAlign w:val="center"/>
            <w:hideMark/>
          </w:tcPr>
          <w:p w14:paraId="7F6A7ED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$2.161</w:t>
            </w:r>
          </w:p>
        </w:tc>
        <w:tc>
          <w:tcPr>
            <w:tcW w:w="262" w:type="pct"/>
            <w:vAlign w:val="center"/>
            <w:hideMark/>
          </w:tcPr>
          <w:p w14:paraId="3390B57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84,3%</w:t>
            </w:r>
          </w:p>
        </w:tc>
        <w:tc>
          <w:tcPr>
            <w:tcW w:w="444" w:type="pct"/>
            <w:vAlign w:val="center"/>
            <w:hideMark/>
          </w:tcPr>
          <w:p w14:paraId="518EEC2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$1.688</w:t>
            </w:r>
          </w:p>
        </w:tc>
        <w:tc>
          <w:tcPr>
            <w:tcW w:w="262" w:type="pct"/>
            <w:vAlign w:val="center"/>
            <w:hideMark/>
          </w:tcPr>
          <w:p w14:paraId="73065E0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65,9%</w:t>
            </w:r>
          </w:p>
        </w:tc>
        <w:tc>
          <w:tcPr>
            <w:tcW w:w="303" w:type="pct"/>
            <w:vAlign w:val="center"/>
            <w:hideMark/>
          </w:tcPr>
          <w:p w14:paraId="5652CFF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$1.685</w:t>
            </w:r>
          </w:p>
        </w:tc>
        <w:tc>
          <w:tcPr>
            <w:tcW w:w="409" w:type="pct"/>
            <w:vAlign w:val="center"/>
            <w:hideMark/>
          </w:tcPr>
          <w:p w14:paraId="42004BC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65,7%</w:t>
            </w:r>
          </w:p>
        </w:tc>
      </w:tr>
      <w:tr w:rsidR="00DC4D58" w:rsidRPr="00F52B99" w14:paraId="3752FA43" w14:textId="77777777" w:rsidTr="00C23D09">
        <w:trPr>
          <w:cnfStyle w:val="000000100000" w:firstRow="0" w:lastRow="0" w:firstColumn="0" w:lastColumn="0" w:oddVBand="0" w:evenVBand="0" w:oddHBand="1" w:evenHBand="0" w:firstRowFirstColumn="0" w:firstRowLastColumn="0" w:lastRowFirstColumn="0" w:lastRowLastColumn="0"/>
          <w:trHeight w:val="285"/>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7A8A249F" w14:textId="77777777" w:rsidR="00DC4D58" w:rsidRPr="00F52B99" w:rsidRDefault="00DC4D58" w:rsidP="00C23D09">
            <w:pPr>
              <w:jc w:val="center"/>
              <w:rPr>
                <w:sz w:val="12"/>
                <w:lang w:eastAsia="es-CO"/>
              </w:rPr>
            </w:pPr>
          </w:p>
        </w:tc>
        <w:tc>
          <w:tcPr>
            <w:tcW w:w="324" w:type="pct"/>
            <w:vAlign w:val="center"/>
            <w:hideMark/>
          </w:tcPr>
          <w:p w14:paraId="20ABE9FD"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7E3C5D0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$3.402</w:t>
            </w:r>
          </w:p>
        </w:tc>
        <w:tc>
          <w:tcPr>
            <w:tcW w:w="333" w:type="pct"/>
            <w:vAlign w:val="center"/>
            <w:hideMark/>
          </w:tcPr>
          <w:p w14:paraId="6CCAF39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$3.226</w:t>
            </w:r>
          </w:p>
        </w:tc>
        <w:tc>
          <w:tcPr>
            <w:tcW w:w="262" w:type="pct"/>
            <w:vAlign w:val="center"/>
            <w:hideMark/>
          </w:tcPr>
          <w:p w14:paraId="40F004D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94,8%</w:t>
            </w:r>
          </w:p>
        </w:tc>
        <w:tc>
          <w:tcPr>
            <w:tcW w:w="468" w:type="pct"/>
            <w:vAlign w:val="center"/>
            <w:hideMark/>
          </w:tcPr>
          <w:p w14:paraId="52F6278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$3.226</w:t>
            </w:r>
          </w:p>
        </w:tc>
        <w:tc>
          <w:tcPr>
            <w:tcW w:w="262" w:type="pct"/>
            <w:vAlign w:val="center"/>
            <w:hideMark/>
          </w:tcPr>
          <w:p w14:paraId="4857898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94,8%</w:t>
            </w:r>
          </w:p>
        </w:tc>
        <w:tc>
          <w:tcPr>
            <w:tcW w:w="444" w:type="pct"/>
            <w:vAlign w:val="center"/>
            <w:hideMark/>
          </w:tcPr>
          <w:p w14:paraId="614433A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$2.569</w:t>
            </w:r>
          </w:p>
        </w:tc>
        <w:tc>
          <w:tcPr>
            <w:tcW w:w="262" w:type="pct"/>
            <w:vAlign w:val="center"/>
            <w:hideMark/>
          </w:tcPr>
          <w:p w14:paraId="107E29D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75,5%</w:t>
            </w:r>
          </w:p>
        </w:tc>
        <w:tc>
          <w:tcPr>
            <w:tcW w:w="303" w:type="pct"/>
            <w:vAlign w:val="center"/>
            <w:hideMark/>
          </w:tcPr>
          <w:p w14:paraId="5318025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$2.516</w:t>
            </w:r>
          </w:p>
        </w:tc>
        <w:tc>
          <w:tcPr>
            <w:tcW w:w="409" w:type="pct"/>
            <w:vAlign w:val="center"/>
            <w:hideMark/>
          </w:tcPr>
          <w:p w14:paraId="5B1E5FED"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73,9%</w:t>
            </w:r>
          </w:p>
        </w:tc>
      </w:tr>
      <w:tr w:rsidR="00DC4D58" w:rsidRPr="00F52B99" w14:paraId="0C10CCB6" w14:textId="77777777" w:rsidTr="00C23D09">
        <w:trPr>
          <w:trHeight w:val="275"/>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0557BD27" w14:textId="77777777" w:rsidR="00DC4D58" w:rsidRPr="00F52B99" w:rsidRDefault="00DC4D58" w:rsidP="00C23D09">
            <w:pPr>
              <w:jc w:val="center"/>
              <w:rPr>
                <w:sz w:val="12"/>
                <w:lang w:eastAsia="es-CO"/>
              </w:rPr>
            </w:pPr>
          </w:p>
        </w:tc>
        <w:tc>
          <w:tcPr>
            <w:tcW w:w="324" w:type="pct"/>
            <w:vAlign w:val="center"/>
            <w:hideMark/>
          </w:tcPr>
          <w:p w14:paraId="1200285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2B1904D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$5.965</w:t>
            </w:r>
          </w:p>
        </w:tc>
        <w:tc>
          <w:tcPr>
            <w:tcW w:w="333" w:type="pct"/>
            <w:vAlign w:val="center"/>
            <w:hideMark/>
          </w:tcPr>
          <w:p w14:paraId="79DADD5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$5.471</w:t>
            </w:r>
          </w:p>
        </w:tc>
        <w:tc>
          <w:tcPr>
            <w:tcW w:w="262" w:type="pct"/>
            <w:vAlign w:val="center"/>
            <w:hideMark/>
          </w:tcPr>
          <w:p w14:paraId="5C6AC99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91,7%</w:t>
            </w:r>
          </w:p>
        </w:tc>
        <w:tc>
          <w:tcPr>
            <w:tcW w:w="468" w:type="pct"/>
            <w:vAlign w:val="center"/>
            <w:hideMark/>
          </w:tcPr>
          <w:p w14:paraId="07C3B3E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$5.386</w:t>
            </w:r>
          </w:p>
        </w:tc>
        <w:tc>
          <w:tcPr>
            <w:tcW w:w="262" w:type="pct"/>
            <w:vAlign w:val="center"/>
            <w:hideMark/>
          </w:tcPr>
          <w:p w14:paraId="79D9011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90,3%</w:t>
            </w:r>
          </w:p>
        </w:tc>
        <w:tc>
          <w:tcPr>
            <w:tcW w:w="444" w:type="pct"/>
            <w:vAlign w:val="center"/>
            <w:hideMark/>
          </w:tcPr>
          <w:p w14:paraId="150C230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$4.258</w:t>
            </w:r>
          </w:p>
        </w:tc>
        <w:tc>
          <w:tcPr>
            <w:tcW w:w="262" w:type="pct"/>
            <w:vAlign w:val="center"/>
            <w:hideMark/>
          </w:tcPr>
          <w:p w14:paraId="0DA8A2A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71,4%</w:t>
            </w:r>
          </w:p>
        </w:tc>
        <w:tc>
          <w:tcPr>
            <w:tcW w:w="303" w:type="pct"/>
            <w:vAlign w:val="center"/>
            <w:hideMark/>
          </w:tcPr>
          <w:p w14:paraId="1973C13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$4.200</w:t>
            </w:r>
          </w:p>
        </w:tc>
        <w:tc>
          <w:tcPr>
            <w:tcW w:w="409" w:type="pct"/>
            <w:vAlign w:val="center"/>
            <w:hideMark/>
          </w:tcPr>
          <w:p w14:paraId="08C86D2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70,4%</w:t>
            </w:r>
          </w:p>
        </w:tc>
      </w:tr>
      <w:tr w:rsidR="00DC4D58" w:rsidRPr="00F52B99" w14:paraId="187EAB9F" w14:textId="77777777" w:rsidTr="00C23D09">
        <w:trPr>
          <w:cnfStyle w:val="000000100000" w:firstRow="0" w:lastRow="0" w:firstColumn="0" w:lastColumn="0" w:oddVBand="0" w:evenVBand="0" w:oddHBand="1" w:evenHBand="0" w:firstRowFirstColumn="0" w:firstRowLastColumn="0" w:lastRowFirstColumn="0" w:lastRowLastColumn="0"/>
          <w:trHeight w:val="265"/>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7B8A1D88" w14:textId="2B15749E" w:rsidR="00DC4D58" w:rsidRPr="00F52B99" w:rsidRDefault="00DC4D58" w:rsidP="00C23D09">
            <w:pPr>
              <w:jc w:val="center"/>
              <w:textAlignment w:val="baseline"/>
              <w:rPr>
                <w:sz w:val="12"/>
                <w:lang w:eastAsia="es-CO"/>
              </w:rPr>
            </w:pPr>
            <w:r w:rsidRPr="00F52B99">
              <w:rPr>
                <w:rFonts w:cs="Arial"/>
                <w:color w:val="000000"/>
                <w:sz w:val="12"/>
                <w:szCs w:val="14"/>
                <w:lang w:eastAsia="es-CO"/>
              </w:rPr>
              <w:t>FORTALECIMIENTO DE LA INFRAESTRUCTURA FÍSICA DEL IGAC A NIVEL NACIONAL</w:t>
            </w:r>
          </w:p>
        </w:tc>
        <w:tc>
          <w:tcPr>
            <w:tcW w:w="324" w:type="pct"/>
            <w:vAlign w:val="center"/>
            <w:hideMark/>
          </w:tcPr>
          <w:p w14:paraId="7C9BEC2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04C091A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$1.000</w:t>
            </w:r>
          </w:p>
        </w:tc>
        <w:tc>
          <w:tcPr>
            <w:tcW w:w="333" w:type="pct"/>
            <w:vAlign w:val="center"/>
            <w:hideMark/>
          </w:tcPr>
          <w:p w14:paraId="6A9F9D2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$730</w:t>
            </w:r>
          </w:p>
        </w:tc>
        <w:tc>
          <w:tcPr>
            <w:tcW w:w="262" w:type="pct"/>
            <w:vAlign w:val="center"/>
            <w:hideMark/>
          </w:tcPr>
          <w:p w14:paraId="085C24C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73,0%</w:t>
            </w:r>
          </w:p>
        </w:tc>
        <w:tc>
          <w:tcPr>
            <w:tcW w:w="468" w:type="pct"/>
            <w:vAlign w:val="center"/>
            <w:hideMark/>
          </w:tcPr>
          <w:p w14:paraId="51FBB0B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$294</w:t>
            </w:r>
          </w:p>
        </w:tc>
        <w:tc>
          <w:tcPr>
            <w:tcW w:w="262" w:type="pct"/>
            <w:vAlign w:val="center"/>
            <w:hideMark/>
          </w:tcPr>
          <w:p w14:paraId="3FB684A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29,4%</w:t>
            </w:r>
          </w:p>
        </w:tc>
        <w:tc>
          <w:tcPr>
            <w:tcW w:w="444" w:type="pct"/>
            <w:vAlign w:val="center"/>
            <w:hideMark/>
          </w:tcPr>
          <w:p w14:paraId="580C4C1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$186</w:t>
            </w:r>
          </w:p>
        </w:tc>
        <w:tc>
          <w:tcPr>
            <w:tcW w:w="262" w:type="pct"/>
            <w:vAlign w:val="center"/>
            <w:hideMark/>
          </w:tcPr>
          <w:p w14:paraId="6AD0027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18,6%</w:t>
            </w:r>
          </w:p>
        </w:tc>
        <w:tc>
          <w:tcPr>
            <w:tcW w:w="303" w:type="pct"/>
            <w:vAlign w:val="center"/>
            <w:hideMark/>
          </w:tcPr>
          <w:p w14:paraId="48FC8A7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$178</w:t>
            </w:r>
          </w:p>
        </w:tc>
        <w:tc>
          <w:tcPr>
            <w:tcW w:w="409" w:type="pct"/>
            <w:vAlign w:val="center"/>
            <w:hideMark/>
          </w:tcPr>
          <w:p w14:paraId="1B57F5D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17,8%</w:t>
            </w:r>
          </w:p>
        </w:tc>
      </w:tr>
      <w:tr w:rsidR="00DC4D58" w:rsidRPr="00F52B99" w14:paraId="7ED3463B" w14:textId="77777777" w:rsidTr="00C23D09">
        <w:trPr>
          <w:trHeight w:val="282"/>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4E8AB1ED" w14:textId="77777777" w:rsidR="00DC4D58" w:rsidRPr="00F52B99" w:rsidRDefault="00DC4D58" w:rsidP="00C23D09">
            <w:pPr>
              <w:jc w:val="center"/>
              <w:rPr>
                <w:sz w:val="12"/>
                <w:lang w:eastAsia="es-CO"/>
              </w:rPr>
            </w:pPr>
          </w:p>
        </w:tc>
        <w:tc>
          <w:tcPr>
            <w:tcW w:w="324" w:type="pct"/>
            <w:vAlign w:val="center"/>
            <w:hideMark/>
          </w:tcPr>
          <w:p w14:paraId="39D8AFA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48D7A2B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$794</w:t>
            </w:r>
          </w:p>
        </w:tc>
        <w:tc>
          <w:tcPr>
            <w:tcW w:w="333" w:type="pct"/>
            <w:vAlign w:val="center"/>
            <w:hideMark/>
          </w:tcPr>
          <w:p w14:paraId="138A026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$104</w:t>
            </w:r>
          </w:p>
        </w:tc>
        <w:tc>
          <w:tcPr>
            <w:tcW w:w="262" w:type="pct"/>
            <w:vAlign w:val="center"/>
            <w:hideMark/>
          </w:tcPr>
          <w:p w14:paraId="308BCF1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13,1%</w:t>
            </w:r>
          </w:p>
        </w:tc>
        <w:tc>
          <w:tcPr>
            <w:tcW w:w="468" w:type="pct"/>
            <w:vAlign w:val="center"/>
            <w:hideMark/>
          </w:tcPr>
          <w:p w14:paraId="7E936CE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$104</w:t>
            </w:r>
          </w:p>
        </w:tc>
        <w:tc>
          <w:tcPr>
            <w:tcW w:w="262" w:type="pct"/>
            <w:vAlign w:val="center"/>
            <w:hideMark/>
          </w:tcPr>
          <w:p w14:paraId="78C4EC4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13,1%</w:t>
            </w:r>
          </w:p>
        </w:tc>
        <w:tc>
          <w:tcPr>
            <w:tcW w:w="444" w:type="pct"/>
            <w:vAlign w:val="center"/>
            <w:hideMark/>
          </w:tcPr>
          <w:p w14:paraId="35AA037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$77</w:t>
            </w:r>
          </w:p>
        </w:tc>
        <w:tc>
          <w:tcPr>
            <w:tcW w:w="262" w:type="pct"/>
            <w:vAlign w:val="center"/>
            <w:hideMark/>
          </w:tcPr>
          <w:p w14:paraId="5654B13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9,7%</w:t>
            </w:r>
          </w:p>
        </w:tc>
        <w:tc>
          <w:tcPr>
            <w:tcW w:w="303" w:type="pct"/>
            <w:vAlign w:val="center"/>
            <w:hideMark/>
          </w:tcPr>
          <w:p w14:paraId="0A1E9C64"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$77</w:t>
            </w:r>
          </w:p>
        </w:tc>
        <w:tc>
          <w:tcPr>
            <w:tcW w:w="409" w:type="pct"/>
            <w:vAlign w:val="center"/>
            <w:hideMark/>
          </w:tcPr>
          <w:p w14:paraId="536257E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9,7%</w:t>
            </w:r>
          </w:p>
        </w:tc>
      </w:tr>
      <w:tr w:rsidR="00DC4D58" w:rsidRPr="00F52B99" w14:paraId="189366C1" w14:textId="77777777" w:rsidTr="00C23D09">
        <w:trPr>
          <w:cnfStyle w:val="000000100000" w:firstRow="0" w:lastRow="0" w:firstColumn="0" w:lastColumn="0" w:oddVBand="0" w:evenVBand="0" w:oddHBand="1" w:evenHBand="0" w:firstRowFirstColumn="0" w:firstRowLastColumn="0" w:lastRowFirstColumn="0" w:lastRowLastColumn="0"/>
          <w:trHeight w:val="273"/>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0A3A354E" w14:textId="77777777" w:rsidR="00DC4D58" w:rsidRPr="00F52B99" w:rsidRDefault="00DC4D58" w:rsidP="00C23D09">
            <w:pPr>
              <w:jc w:val="center"/>
              <w:rPr>
                <w:sz w:val="12"/>
                <w:lang w:eastAsia="es-CO"/>
              </w:rPr>
            </w:pPr>
          </w:p>
        </w:tc>
        <w:tc>
          <w:tcPr>
            <w:tcW w:w="324" w:type="pct"/>
            <w:vAlign w:val="center"/>
            <w:hideMark/>
          </w:tcPr>
          <w:p w14:paraId="761BAC2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1EA8449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$1.794</w:t>
            </w:r>
          </w:p>
        </w:tc>
        <w:tc>
          <w:tcPr>
            <w:tcW w:w="333" w:type="pct"/>
            <w:vAlign w:val="center"/>
            <w:hideMark/>
          </w:tcPr>
          <w:p w14:paraId="385B0D7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$834</w:t>
            </w:r>
          </w:p>
        </w:tc>
        <w:tc>
          <w:tcPr>
            <w:tcW w:w="262" w:type="pct"/>
            <w:vAlign w:val="center"/>
            <w:hideMark/>
          </w:tcPr>
          <w:p w14:paraId="1820A78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46,5%</w:t>
            </w:r>
          </w:p>
        </w:tc>
        <w:tc>
          <w:tcPr>
            <w:tcW w:w="468" w:type="pct"/>
            <w:vAlign w:val="center"/>
            <w:hideMark/>
          </w:tcPr>
          <w:p w14:paraId="37C7FEA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$398</w:t>
            </w:r>
          </w:p>
        </w:tc>
        <w:tc>
          <w:tcPr>
            <w:tcW w:w="262" w:type="pct"/>
            <w:vAlign w:val="center"/>
            <w:hideMark/>
          </w:tcPr>
          <w:p w14:paraId="0E81E66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22,2%</w:t>
            </w:r>
          </w:p>
        </w:tc>
        <w:tc>
          <w:tcPr>
            <w:tcW w:w="444" w:type="pct"/>
            <w:vAlign w:val="center"/>
            <w:hideMark/>
          </w:tcPr>
          <w:p w14:paraId="2870AFB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$262</w:t>
            </w:r>
          </w:p>
        </w:tc>
        <w:tc>
          <w:tcPr>
            <w:tcW w:w="262" w:type="pct"/>
            <w:vAlign w:val="center"/>
            <w:hideMark/>
          </w:tcPr>
          <w:p w14:paraId="061114F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14,6%</w:t>
            </w:r>
          </w:p>
        </w:tc>
        <w:tc>
          <w:tcPr>
            <w:tcW w:w="303" w:type="pct"/>
            <w:vAlign w:val="center"/>
            <w:hideMark/>
          </w:tcPr>
          <w:p w14:paraId="585CE36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$255</w:t>
            </w:r>
          </w:p>
        </w:tc>
        <w:tc>
          <w:tcPr>
            <w:tcW w:w="409" w:type="pct"/>
            <w:vAlign w:val="center"/>
            <w:hideMark/>
          </w:tcPr>
          <w:p w14:paraId="7E8D94D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14,2%</w:t>
            </w:r>
          </w:p>
        </w:tc>
      </w:tr>
      <w:tr w:rsidR="00DC4D58" w:rsidRPr="00F52B99" w14:paraId="4474A49E" w14:textId="77777777" w:rsidTr="00C23D09">
        <w:trPr>
          <w:trHeight w:val="557"/>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69D9B694" w14:textId="77777777" w:rsidR="00DC4D58" w:rsidRPr="00F52B99" w:rsidRDefault="00DC4D58" w:rsidP="00C23D09">
            <w:pPr>
              <w:jc w:val="center"/>
              <w:textAlignment w:val="baseline"/>
              <w:rPr>
                <w:sz w:val="12"/>
                <w:lang w:eastAsia="es-CO"/>
              </w:rPr>
            </w:pPr>
            <w:r w:rsidRPr="00F52B99">
              <w:rPr>
                <w:rFonts w:cs="Arial"/>
                <w:color w:val="000000"/>
                <w:sz w:val="12"/>
                <w:szCs w:val="14"/>
                <w:lang w:eastAsia="es-CO"/>
              </w:rPr>
              <w:lastRenderedPageBreak/>
              <w:t>FORTALECIMIENTO DE LOS PROCESOS DE DIFUSIÓN Y ACCESO A LA INFORMACIÓN GEOGRÁFICA A NIVEL   NACIONAL</w:t>
            </w:r>
          </w:p>
        </w:tc>
        <w:tc>
          <w:tcPr>
            <w:tcW w:w="324" w:type="pct"/>
            <w:vAlign w:val="center"/>
            <w:hideMark/>
          </w:tcPr>
          <w:p w14:paraId="603E3C0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4E90F65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$54</w:t>
            </w:r>
          </w:p>
        </w:tc>
        <w:tc>
          <w:tcPr>
            <w:tcW w:w="333" w:type="pct"/>
            <w:vAlign w:val="center"/>
            <w:hideMark/>
          </w:tcPr>
          <w:p w14:paraId="2A462FE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$24</w:t>
            </w:r>
          </w:p>
        </w:tc>
        <w:tc>
          <w:tcPr>
            <w:tcW w:w="262" w:type="pct"/>
            <w:vAlign w:val="center"/>
            <w:hideMark/>
          </w:tcPr>
          <w:p w14:paraId="61A7BC4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45,3%</w:t>
            </w:r>
          </w:p>
        </w:tc>
        <w:tc>
          <w:tcPr>
            <w:tcW w:w="468" w:type="pct"/>
            <w:vAlign w:val="center"/>
            <w:hideMark/>
          </w:tcPr>
          <w:p w14:paraId="7AEDEA9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$23</w:t>
            </w:r>
          </w:p>
        </w:tc>
        <w:tc>
          <w:tcPr>
            <w:tcW w:w="262" w:type="pct"/>
            <w:vAlign w:val="center"/>
            <w:hideMark/>
          </w:tcPr>
          <w:p w14:paraId="144CBE8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43,0%</w:t>
            </w:r>
          </w:p>
        </w:tc>
        <w:tc>
          <w:tcPr>
            <w:tcW w:w="444" w:type="pct"/>
            <w:vAlign w:val="center"/>
            <w:hideMark/>
          </w:tcPr>
          <w:p w14:paraId="5F3612A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$8,7</w:t>
            </w:r>
          </w:p>
        </w:tc>
        <w:tc>
          <w:tcPr>
            <w:tcW w:w="262" w:type="pct"/>
            <w:vAlign w:val="center"/>
            <w:hideMark/>
          </w:tcPr>
          <w:p w14:paraId="3875F00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16,2%</w:t>
            </w:r>
          </w:p>
        </w:tc>
        <w:tc>
          <w:tcPr>
            <w:tcW w:w="303" w:type="pct"/>
            <w:vAlign w:val="center"/>
            <w:hideMark/>
          </w:tcPr>
          <w:p w14:paraId="1F85025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$8,7</w:t>
            </w:r>
          </w:p>
        </w:tc>
        <w:tc>
          <w:tcPr>
            <w:tcW w:w="409" w:type="pct"/>
            <w:vAlign w:val="center"/>
            <w:hideMark/>
          </w:tcPr>
          <w:p w14:paraId="4CB7DBB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16,2%</w:t>
            </w:r>
          </w:p>
        </w:tc>
      </w:tr>
      <w:tr w:rsidR="00DC4D58" w:rsidRPr="00F52B99" w14:paraId="2C83FC8A" w14:textId="77777777" w:rsidTr="00C23D09">
        <w:trPr>
          <w:cnfStyle w:val="000000100000" w:firstRow="0" w:lastRow="0" w:firstColumn="0" w:lastColumn="0" w:oddVBand="0" w:evenVBand="0" w:oddHBand="1" w:evenHBand="0" w:firstRowFirstColumn="0" w:firstRowLastColumn="0" w:lastRowFirstColumn="0" w:lastRowLastColumn="0"/>
          <w:trHeight w:val="264"/>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49DC1086" w14:textId="77777777" w:rsidR="00DC4D58" w:rsidRPr="00F52B99" w:rsidRDefault="00DC4D58" w:rsidP="00C23D09">
            <w:pPr>
              <w:jc w:val="center"/>
              <w:rPr>
                <w:sz w:val="12"/>
                <w:lang w:eastAsia="es-CO"/>
              </w:rPr>
            </w:pPr>
          </w:p>
        </w:tc>
        <w:tc>
          <w:tcPr>
            <w:tcW w:w="324" w:type="pct"/>
            <w:vAlign w:val="center"/>
            <w:hideMark/>
          </w:tcPr>
          <w:p w14:paraId="1A72B75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3DEFD26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$969</w:t>
            </w:r>
          </w:p>
        </w:tc>
        <w:tc>
          <w:tcPr>
            <w:tcW w:w="333" w:type="pct"/>
            <w:vAlign w:val="center"/>
            <w:hideMark/>
          </w:tcPr>
          <w:p w14:paraId="34679EC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$933</w:t>
            </w:r>
          </w:p>
        </w:tc>
        <w:tc>
          <w:tcPr>
            <w:tcW w:w="262" w:type="pct"/>
            <w:vAlign w:val="center"/>
            <w:hideMark/>
          </w:tcPr>
          <w:p w14:paraId="0643C8B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96,3%</w:t>
            </w:r>
          </w:p>
        </w:tc>
        <w:tc>
          <w:tcPr>
            <w:tcW w:w="468" w:type="pct"/>
            <w:vAlign w:val="center"/>
            <w:hideMark/>
          </w:tcPr>
          <w:p w14:paraId="717898D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$925</w:t>
            </w:r>
          </w:p>
        </w:tc>
        <w:tc>
          <w:tcPr>
            <w:tcW w:w="262" w:type="pct"/>
            <w:vAlign w:val="center"/>
            <w:hideMark/>
          </w:tcPr>
          <w:p w14:paraId="3A8CEB1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95,5%</w:t>
            </w:r>
          </w:p>
        </w:tc>
        <w:tc>
          <w:tcPr>
            <w:tcW w:w="444" w:type="pct"/>
            <w:vAlign w:val="center"/>
            <w:hideMark/>
          </w:tcPr>
          <w:p w14:paraId="4B24A48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$709,6</w:t>
            </w:r>
          </w:p>
        </w:tc>
        <w:tc>
          <w:tcPr>
            <w:tcW w:w="262" w:type="pct"/>
            <w:vAlign w:val="center"/>
            <w:hideMark/>
          </w:tcPr>
          <w:p w14:paraId="57C9C07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73,2%</w:t>
            </w:r>
          </w:p>
        </w:tc>
        <w:tc>
          <w:tcPr>
            <w:tcW w:w="303" w:type="pct"/>
            <w:vAlign w:val="center"/>
            <w:hideMark/>
          </w:tcPr>
          <w:p w14:paraId="71E8754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$704,7</w:t>
            </w:r>
          </w:p>
        </w:tc>
        <w:tc>
          <w:tcPr>
            <w:tcW w:w="409" w:type="pct"/>
            <w:vAlign w:val="center"/>
            <w:hideMark/>
          </w:tcPr>
          <w:p w14:paraId="7DE7466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72,7%</w:t>
            </w:r>
          </w:p>
        </w:tc>
      </w:tr>
      <w:tr w:rsidR="00DC4D58" w:rsidRPr="00F52B99" w14:paraId="17F5DDBE" w14:textId="77777777" w:rsidTr="00C23D09">
        <w:trPr>
          <w:trHeight w:val="282"/>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5E7BF300" w14:textId="77777777" w:rsidR="00DC4D58" w:rsidRPr="00F52B99" w:rsidRDefault="00DC4D58" w:rsidP="00C23D09">
            <w:pPr>
              <w:jc w:val="center"/>
              <w:rPr>
                <w:sz w:val="12"/>
                <w:lang w:eastAsia="es-CO"/>
              </w:rPr>
            </w:pPr>
          </w:p>
        </w:tc>
        <w:tc>
          <w:tcPr>
            <w:tcW w:w="324" w:type="pct"/>
            <w:vAlign w:val="center"/>
            <w:hideMark/>
          </w:tcPr>
          <w:p w14:paraId="5426420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5AC0107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$1.023</w:t>
            </w:r>
          </w:p>
        </w:tc>
        <w:tc>
          <w:tcPr>
            <w:tcW w:w="333" w:type="pct"/>
            <w:vAlign w:val="center"/>
            <w:hideMark/>
          </w:tcPr>
          <w:p w14:paraId="15454E4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$957</w:t>
            </w:r>
          </w:p>
        </w:tc>
        <w:tc>
          <w:tcPr>
            <w:tcW w:w="262" w:type="pct"/>
            <w:vAlign w:val="center"/>
            <w:hideMark/>
          </w:tcPr>
          <w:p w14:paraId="1ED7A1A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93,6%</w:t>
            </w:r>
          </w:p>
        </w:tc>
        <w:tc>
          <w:tcPr>
            <w:tcW w:w="468" w:type="pct"/>
            <w:vAlign w:val="center"/>
            <w:hideMark/>
          </w:tcPr>
          <w:p w14:paraId="51604FB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$948</w:t>
            </w:r>
          </w:p>
        </w:tc>
        <w:tc>
          <w:tcPr>
            <w:tcW w:w="262" w:type="pct"/>
            <w:vAlign w:val="center"/>
            <w:hideMark/>
          </w:tcPr>
          <w:p w14:paraId="76DE079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92,7%</w:t>
            </w:r>
          </w:p>
        </w:tc>
        <w:tc>
          <w:tcPr>
            <w:tcW w:w="444" w:type="pct"/>
            <w:vAlign w:val="center"/>
            <w:hideMark/>
          </w:tcPr>
          <w:p w14:paraId="3ED671A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$ 718</w:t>
            </w:r>
          </w:p>
        </w:tc>
        <w:tc>
          <w:tcPr>
            <w:tcW w:w="262" w:type="pct"/>
            <w:vAlign w:val="center"/>
            <w:hideMark/>
          </w:tcPr>
          <w:p w14:paraId="43D374F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70,2%</w:t>
            </w:r>
          </w:p>
        </w:tc>
        <w:tc>
          <w:tcPr>
            <w:tcW w:w="303" w:type="pct"/>
            <w:vAlign w:val="center"/>
            <w:hideMark/>
          </w:tcPr>
          <w:p w14:paraId="223B7C14"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$713</w:t>
            </w:r>
          </w:p>
        </w:tc>
        <w:tc>
          <w:tcPr>
            <w:tcW w:w="409" w:type="pct"/>
            <w:vAlign w:val="center"/>
            <w:hideMark/>
          </w:tcPr>
          <w:p w14:paraId="5F13DC4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69,7%</w:t>
            </w:r>
          </w:p>
        </w:tc>
      </w:tr>
      <w:tr w:rsidR="00DC4D58" w:rsidRPr="00F52B99" w14:paraId="4365D489" w14:textId="77777777" w:rsidTr="00C23D09">
        <w:trPr>
          <w:cnfStyle w:val="000000100000" w:firstRow="0" w:lastRow="0" w:firstColumn="0" w:lastColumn="0" w:oddVBand="0" w:evenVBand="0" w:oddHBand="1" w:evenHBand="0" w:firstRowFirstColumn="0" w:firstRowLastColumn="0" w:lastRowFirstColumn="0" w:lastRowLastColumn="0"/>
          <w:trHeight w:val="271"/>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4E488EF9" w14:textId="77777777" w:rsidR="00DC4D58" w:rsidRPr="00F52B99" w:rsidRDefault="00DC4D58" w:rsidP="00C23D09">
            <w:pPr>
              <w:jc w:val="center"/>
              <w:textAlignment w:val="baseline"/>
              <w:rPr>
                <w:sz w:val="12"/>
                <w:lang w:eastAsia="es-CO"/>
              </w:rPr>
            </w:pPr>
            <w:r w:rsidRPr="00F52B99">
              <w:rPr>
                <w:rFonts w:cs="Arial"/>
                <w:color w:val="000000"/>
                <w:sz w:val="12"/>
                <w:szCs w:val="14"/>
                <w:lang w:eastAsia="es-CO"/>
              </w:rPr>
              <w:t>GENERACIÓN DE ESTUDIOS DE SUELOS, TIERRAS Y APLICACIONES AGROLÓGICAS COMO INSUMO PARA EL ORDENAMIENTO INTEGRAL Y EL MANEJO SOS</w:t>
            </w:r>
            <w:r>
              <w:rPr>
                <w:rFonts w:cs="Arial"/>
                <w:color w:val="000000"/>
                <w:sz w:val="12"/>
                <w:szCs w:val="14"/>
                <w:lang w:eastAsia="es-CO"/>
              </w:rPr>
              <w:t>TENIBLE DEL TERRITORIO A NIVEL </w:t>
            </w:r>
            <w:r w:rsidRPr="00F52B99">
              <w:rPr>
                <w:rFonts w:cs="Arial"/>
                <w:color w:val="000000"/>
                <w:sz w:val="12"/>
                <w:szCs w:val="14"/>
                <w:lang w:eastAsia="es-CO"/>
              </w:rPr>
              <w:t>NACIONAL</w:t>
            </w:r>
          </w:p>
        </w:tc>
        <w:tc>
          <w:tcPr>
            <w:tcW w:w="324" w:type="pct"/>
            <w:vAlign w:val="center"/>
            <w:hideMark/>
          </w:tcPr>
          <w:p w14:paraId="50A1D53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6B7CF13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$1.171</w:t>
            </w:r>
          </w:p>
        </w:tc>
        <w:tc>
          <w:tcPr>
            <w:tcW w:w="333" w:type="pct"/>
            <w:vAlign w:val="center"/>
            <w:hideMark/>
          </w:tcPr>
          <w:p w14:paraId="333E0C0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$1.169</w:t>
            </w:r>
          </w:p>
        </w:tc>
        <w:tc>
          <w:tcPr>
            <w:tcW w:w="262" w:type="pct"/>
            <w:vAlign w:val="center"/>
            <w:hideMark/>
          </w:tcPr>
          <w:p w14:paraId="6E60C5A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99,9%</w:t>
            </w:r>
          </w:p>
        </w:tc>
        <w:tc>
          <w:tcPr>
            <w:tcW w:w="468" w:type="pct"/>
            <w:vAlign w:val="center"/>
            <w:hideMark/>
          </w:tcPr>
          <w:p w14:paraId="118B98B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$1.169</w:t>
            </w:r>
          </w:p>
        </w:tc>
        <w:tc>
          <w:tcPr>
            <w:tcW w:w="262" w:type="pct"/>
            <w:vAlign w:val="center"/>
            <w:hideMark/>
          </w:tcPr>
          <w:p w14:paraId="336DB66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99,9%</w:t>
            </w:r>
          </w:p>
        </w:tc>
        <w:tc>
          <w:tcPr>
            <w:tcW w:w="444" w:type="pct"/>
            <w:vAlign w:val="center"/>
            <w:hideMark/>
          </w:tcPr>
          <w:p w14:paraId="12FBBA8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$1.109</w:t>
            </w:r>
          </w:p>
        </w:tc>
        <w:tc>
          <w:tcPr>
            <w:tcW w:w="262" w:type="pct"/>
            <w:vAlign w:val="center"/>
            <w:hideMark/>
          </w:tcPr>
          <w:p w14:paraId="5E2EB0F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94,7%</w:t>
            </w:r>
          </w:p>
        </w:tc>
        <w:tc>
          <w:tcPr>
            <w:tcW w:w="303" w:type="pct"/>
            <w:vAlign w:val="center"/>
            <w:hideMark/>
          </w:tcPr>
          <w:p w14:paraId="4047E63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$1.104</w:t>
            </w:r>
          </w:p>
        </w:tc>
        <w:tc>
          <w:tcPr>
            <w:tcW w:w="409" w:type="pct"/>
            <w:vAlign w:val="center"/>
            <w:hideMark/>
          </w:tcPr>
          <w:p w14:paraId="2157E12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94,4%</w:t>
            </w:r>
          </w:p>
        </w:tc>
      </w:tr>
      <w:tr w:rsidR="00DC4D58" w:rsidRPr="00F52B99" w14:paraId="14549427" w14:textId="77777777" w:rsidTr="00C23D09">
        <w:trPr>
          <w:trHeight w:val="41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3497622A" w14:textId="77777777" w:rsidR="00DC4D58" w:rsidRPr="00F52B99" w:rsidRDefault="00DC4D58" w:rsidP="00C23D09">
            <w:pPr>
              <w:jc w:val="center"/>
              <w:rPr>
                <w:sz w:val="12"/>
                <w:lang w:eastAsia="es-CO"/>
              </w:rPr>
            </w:pPr>
          </w:p>
        </w:tc>
        <w:tc>
          <w:tcPr>
            <w:tcW w:w="324" w:type="pct"/>
            <w:vAlign w:val="center"/>
            <w:hideMark/>
          </w:tcPr>
          <w:p w14:paraId="2E9DA94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7174796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$11.116</w:t>
            </w:r>
          </w:p>
        </w:tc>
        <w:tc>
          <w:tcPr>
            <w:tcW w:w="333" w:type="pct"/>
            <w:vAlign w:val="center"/>
            <w:hideMark/>
          </w:tcPr>
          <w:p w14:paraId="1C61AE5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$515</w:t>
            </w:r>
          </w:p>
        </w:tc>
        <w:tc>
          <w:tcPr>
            <w:tcW w:w="262" w:type="pct"/>
            <w:vAlign w:val="center"/>
            <w:hideMark/>
          </w:tcPr>
          <w:p w14:paraId="6A69543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4,6%</w:t>
            </w:r>
          </w:p>
        </w:tc>
        <w:tc>
          <w:tcPr>
            <w:tcW w:w="468" w:type="pct"/>
            <w:vAlign w:val="center"/>
            <w:hideMark/>
          </w:tcPr>
          <w:p w14:paraId="65D1507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$332</w:t>
            </w:r>
          </w:p>
        </w:tc>
        <w:tc>
          <w:tcPr>
            <w:tcW w:w="262" w:type="pct"/>
            <w:vAlign w:val="center"/>
            <w:hideMark/>
          </w:tcPr>
          <w:p w14:paraId="2A09012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3,0%</w:t>
            </w:r>
          </w:p>
        </w:tc>
        <w:tc>
          <w:tcPr>
            <w:tcW w:w="444" w:type="pct"/>
            <w:vAlign w:val="center"/>
            <w:hideMark/>
          </w:tcPr>
          <w:p w14:paraId="367E352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$156</w:t>
            </w:r>
          </w:p>
        </w:tc>
        <w:tc>
          <w:tcPr>
            <w:tcW w:w="262" w:type="pct"/>
            <w:vAlign w:val="center"/>
            <w:hideMark/>
          </w:tcPr>
          <w:p w14:paraId="22C9AF9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1,4%</w:t>
            </w:r>
          </w:p>
        </w:tc>
        <w:tc>
          <w:tcPr>
            <w:tcW w:w="303" w:type="pct"/>
            <w:vAlign w:val="center"/>
            <w:hideMark/>
          </w:tcPr>
          <w:p w14:paraId="2E6159C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$156</w:t>
            </w:r>
          </w:p>
        </w:tc>
        <w:tc>
          <w:tcPr>
            <w:tcW w:w="409" w:type="pct"/>
            <w:vAlign w:val="center"/>
            <w:hideMark/>
          </w:tcPr>
          <w:p w14:paraId="67BE8DD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1,4%</w:t>
            </w:r>
          </w:p>
        </w:tc>
      </w:tr>
      <w:tr w:rsidR="00DC4D58" w:rsidRPr="00F52B99" w14:paraId="0860ADF8" w14:textId="77777777" w:rsidTr="00C23D09">
        <w:trPr>
          <w:cnfStyle w:val="000000100000" w:firstRow="0" w:lastRow="0" w:firstColumn="0" w:lastColumn="0" w:oddVBand="0" w:evenVBand="0" w:oddHBand="1" w:evenHBand="0" w:firstRowFirstColumn="0" w:firstRowLastColumn="0" w:lastRowFirstColumn="0" w:lastRowLastColumn="0"/>
          <w:trHeight w:val="409"/>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0BC4593D" w14:textId="77777777" w:rsidR="00DC4D58" w:rsidRPr="00F52B99" w:rsidRDefault="00DC4D58" w:rsidP="00C23D09">
            <w:pPr>
              <w:jc w:val="center"/>
              <w:rPr>
                <w:sz w:val="12"/>
                <w:lang w:eastAsia="es-CO"/>
              </w:rPr>
            </w:pPr>
          </w:p>
        </w:tc>
        <w:tc>
          <w:tcPr>
            <w:tcW w:w="324" w:type="pct"/>
            <w:vAlign w:val="center"/>
            <w:hideMark/>
          </w:tcPr>
          <w:p w14:paraId="06A02E1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4A13D86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$12.287</w:t>
            </w:r>
          </w:p>
        </w:tc>
        <w:tc>
          <w:tcPr>
            <w:tcW w:w="333" w:type="pct"/>
            <w:vAlign w:val="center"/>
            <w:hideMark/>
          </w:tcPr>
          <w:p w14:paraId="7662CBC6"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$1.684</w:t>
            </w:r>
          </w:p>
        </w:tc>
        <w:tc>
          <w:tcPr>
            <w:tcW w:w="262" w:type="pct"/>
            <w:vAlign w:val="center"/>
            <w:hideMark/>
          </w:tcPr>
          <w:p w14:paraId="473066A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13,7%</w:t>
            </w:r>
          </w:p>
        </w:tc>
        <w:tc>
          <w:tcPr>
            <w:tcW w:w="468" w:type="pct"/>
            <w:vAlign w:val="center"/>
            <w:hideMark/>
          </w:tcPr>
          <w:p w14:paraId="26DE50D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$1.501</w:t>
            </w:r>
          </w:p>
        </w:tc>
        <w:tc>
          <w:tcPr>
            <w:tcW w:w="262" w:type="pct"/>
            <w:vAlign w:val="center"/>
            <w:hideMark/>
          </w:tcPr>
          <w:p w14:paraId="39D0D30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12,2%</w:t>
            </w:r>
          </w:p>
        </w:tc>
        <w:tc>
          <w:tcPr>
            <w:tcW w:w="444" w:type="pct"/>
            <w:vAlign w:val="center"/>
            <w:hideMark/>
          </w:tcPr>
          <w:p w14:paraId="1B3B80F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$1.265</w:t>
            </w:r>
          </w:p>
        </w:tc>
        <w:tc>
          <w:tcPr>
            <w:tcW w:w="262" w:type="pct"/>
            <w:vAlign w:val="center"/>
            <w:hideMark/>
          </w:tcPr>
          <w:p w14:paraId="54D0498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10,3%</w:t>
            </w:r>
          </w:p>
        </w:tc>
        <w:tc>
          <w:tcPr>
            <w:tcW w:w="303" w:type="pct"/>
            <w:vAlign w:val="center"/>
            <w:hideMark/>
          </w:tcPr>
          <w:p w14:paraId="55A14476"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$1.260</w:t>
            </w:r>
          </w:p>
        </w:tc>
        <w:tc>
          <w:tcPr>
            <w:tcW w:w="409" w:type="pct"/>
            <w:vAlign w:val="center"/>
            <w:hideMark/>
          </w:tcPr>
          <w:p w14:paraId="26CC583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10,3%</w:t>
            </w:r>
          </w:p>
        </w:tc>
      </w:tr>
      <w:tr w:rsidR="00DC4D58" w:rsidRPr="00F52B99" w14:paraId="57CD232D" w14:textId="77777777" w:rsidTr="00C23D09">
        <w:trPr>
          <w:trHeight w:val="272"/>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7FFEA5DB" w14:textId="77777777" w:rsidR="00DC4D58" w:rsidRPr="00F52B99" w:rsidRDefault="00DC4D58" w:rsidP="00C23D09">
            <w:pPr>
              <w:jc w:val="center"/>
              <w:textAlignment w:val="baseline"/>
              <w:rPr>
                <w:sz w:val="12"/>
                <w:lang w:eastAsia="es-CO"/>
              </w:rPr>
            </w:pPr>
            <w:r w:rsidRPr="00F52B99">
              <w:rPr>
                <w:rFonts w:cs="Arial"/>
                <w:color w:val="000000"/>
                <w:sz w:val="12"/>
                <w:szCs w:val="14"/>
                <w:lang w:eastAsia="es-CO"/>
              </w:rPr>
              <w:t>GENERACIÓN DE ESTUDIOS GEOGRÁFICOS E INVESTIGACIONES PARA LA CARACTERIZACIÓN, ANÁLISIS Y DELIMITA</w:t>
            </w:r>
            <w:r>
              <w:rPr>
                <w:rFonts w:cs="Arial"/>
                <w:color w:val="000000"/>
                <w:sz w:val="12"/>
                <w:szCs w:val="14"/>
                <w:lang w:eastAsia="es-CO"/>
              </w:rPr>
              <w:t>CIÓN GEOGRÁFICA DEL TERRITORIO </w:t>
            </w:r>
            <w:r w:rsidRPr="00F52B99">
              <w:rPr>
                <w:rFonts w:cs="Arial"/>
                <w:color w:val="000000"/>
                <w:sz w:val="12"/>
                <w:szCs w:val="14"/>
                <w:lang w:eastAsia="es-CO"/>
              </w:rPr>
              <w:t>NACIONAL</w:t>
            </w:r>
          </w:p>
        </w:tc>
        <w:tc>
          <w:tcPr>
            <w:tcW w:w="324" w:type="pct"/>
            <w:vAlign w:val="center"/>
            <w:hideMark/>
          </w:tcPr>
          <w:p w14:paraId="672DCD8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633371F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$1.037</w:t>
            </w:r>
          </w:p>
        </w:tc>
        <w:tc>
          <w:tcPr>
            <w:tcW w:w="333" w:type="pct"/>
            <w:vAlign w:val="center"/>
            <w:hideMark/>
          </w:tcPr>
          <w:p w14:paraId="47A7DF1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$1.006</w:t>
            </w:r>
          </w:p>
        </w:tc>
        <w:tc>
          <w:tcPr>
            <w:tcW w:w="262" w:type="pct"/>
            <w:vAlign w:val="center"/>
            <w:hideMark/>
          </w:tcPr>
          <w:p w14:paraId="0E26E88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97,0%</w:t>
            </w:r>
          </w:p>
        </w:tc>
        <w:tc>
          <w:tcPr>
            <w:tcW w:w="468" w:type="pct"/>
            <w:vAlign w:val="center"/>
            <w:hideMark/>
          </w:tcPr>
          <w:p w14:paraId="05B23A3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$994</w:t>
            </w:r>
          </w:p>
        </w:tc>
        <w:tc>
          <w:tcPr>
            <w:tcW w:w="262" w:type="pct"/>
            <w:vAlign w:val="center"/>
            <w:hideMark/>
          </w:tcPr>
          <w:p w14:paraId="2170F16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95,9%</w:t>
            </w:r>
          </w:p>
        </w:tc>
        <w:tc>
          <w:tcPr>
            <w:tcW w:w="444" w:type="pct"/>
            <w:vAlign w:val="center"/>
            <w:hideMark/>
          </w:tcPr>
          <w:p w14:paraId="04EAD67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$759</w:t>
            </w:r>
          </w:p>
        </w:tc>
        <w:tc>
          <w:tcPr>
            <w:tcW w:w="262" w:type="pct"/>
            <w:vAlign w:val="center"/>
            <w:hideMark/>
          </w:tcPr>
          <w:p w14:paraId="4031597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73,2%</w:t>
            </w:r>
          </w:p>
        </w:tc>
        <w:tc>
          <w:tcPr>
            <w:tcW w:w="303" w:type="pct"/>
            <w:vAlign w:val="center"/>
            <w:hideMark/>
          </w:tcPr>
          <w:p w14:paraId="4042B8DF"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$747</w:t>
            </w:r>
          </w:p>
        </w:tc>
        <w:tc>
          <w:tcPr>
            <w:tcW w:w="409" w:type="pct"/>
            <w:vAlign w:val="center"/>
            <w:hideMark/>
          </w:tcPr>
          <w:p w14:paraId="5ABB202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72,0%</w:t>
            </w:r>
          </w:p>
        </w:tc>
      </w:tr>
      <w:tr w:rsidR="00DC4D58" w:rsidRPr="00F52B99" w14:paraId="6FBD8635" w14:textId="77777777" w:rsidTr="00C23D09">
        <w:trPr>
          <w:cnfStyle w:val="000000100000" w:firstRow="0" w:lastRow="0" w:firstColumn="0" w:lastColumn="0" w:oddVBand="0" w:evenVBand="0" w:oddHBand="1" w:evenHBand="0" w:firstRowFirstColumn="0" w:firstRowLastColumn="0" w:lastRowFirstColumn="0" w:lastRowLastColumn="0"/>
          <w:trHeight w:val="419"/>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73CB5939" w14:textId="77777777" w:rsidR="00DC4D58" w:rsidRPr="00F52B99" w:rsidRDefault="00DC4D58" w:rsidP="00C23D09">
            <w:pPr>
              <w:jc w:val="center"/>
              <w:rPr>
                <w:sz w:val="12"/>
                <w:lang w:eastAsia="es-CO"/>
              </w:rPr>
            </w:pPr>
          </w:p>
        </w:tc>
        <w:tc>
          <w:tcPr>
            <w:tcW w:w="324" w:type="pct"/>
            <w:vAlign w:val="center"/>
            <w:hideMark/>
          </w:tcPr>
          <w:p w14:paraId="5B2AE4C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179796E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$835</w:t>
            </w:r>
          </w:p>
        </w:tc>
        <w:tc>
          <w:tcPr>
            <w:tcW w:w="333" w:type="pct"/>
            <w:vAlign w:val="center"/>
            <w:hideMark/>
          </w:tcPr>
          <w:p w14:paraId="2D8542B6"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$798</w:t>
            </w:r>
          </w:p>
        </w:tc>
        <w:tc>
          <w:tcPr>
            <w:tcW w:w="262" w:type="pct"/>
            <w:vAlign w:val="center"/>
            <w:hideMark/>
          </w:tcPr>
          <w:p w14:paraId="6C5D005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95,6%</w:t>
            </w:r>
          </w:p>
        </w:tc>
        <w:tc>
          <w:tcPr>
            <w:tcW w:w="468" w:type="pct"/>
            <w:vAlign w:val="center"/>
            <w:hideMark/>
          </w:tcPr>
          <w:p w14:paraId="46E289E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$768</w:t>
            </w:r>
          </w:p>
        </w:tc>
        <w:tc>
          <w:tcPr>
            <w:tcW w:w="262" w:type="pct"/>
            <w:vAlign w:val="center"/>
            <w:hideMark/>
          </w:tcPr>
          <w:p w14:paraId="7BD158A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92,0%</w:t>
            </w:r>
          </w:p>
        </w:tc>
        <w:tc>
          <w:tcPr>
            <w:tcW w:w="444" w:type="pct"/>
            <w:vAlign w:val="center"/>
            <w:hideMark/>
          </w:tcPr>
          <w:p w14:paraId="2942000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$617</w:t>
            </w:r>
          </w:p>
        </w:tc>
        <w:tc>
          <w:tcPr>
            <w:tcW w:w="262" w:type="pct"/>
            <w:vAlign w:val="center"/>
            <w:hideMark/>
          </w:tcPr>
          <w:p w14:paraId="64085AA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73,9%</w:t>
            </w:r>
          </w:p>
        </w:tc>
        <w:tc>
          <w:tcPr>
            <w:tcW w:w="303" w:type="pct"/>
            <w:vAlign w:val="center"/>
            <w:hideMark/>
          </w:tcPr>
          <w:p w14:paraId="2F8B469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$593</w:t>
            </w:r>
          </w:p>
        </w:tc>
        <w:tc>
          <w:tcPr>
            <w:tcW w:w="409" w:type="pct"/>
            <w:vAlign w:val="center"/>
            <w:hideMark/>
          </w:tcPr>
          <w:p w14:paraId="0D1EC02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71,1%</w:t>
            </w:r>
          </w:p>
        </w:tc>
      </w:tr>
      <w:tr w:rsidR="00DC4D58" w:rsidRPr="00F52B99" w14:paraId="1BE8A37B" w14:textId="77777777" w:rsidTr="00C23D09">
        <w:trPr>
          <w:trHeight w:val="422"/>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54D27F63" w14:textId="77777777" w:rsidR="00DC4D58" w:rsidRPr="00F52B99" w:rsidRDefault="00DC4D58" w:rsidP="00C23D09">
            <w:pPr>
              <w:jc w:val="center"/>
              <w:rPr>
                <w:sz w:val="12"/>
                <w:lang w:eastAsia="es-CO"/>
              </w:rPr>
            </w:pPr>
          </w:p>
        </w:tc>
        <w:tc>
          <w:tcPr>
            <w:tcW w:w="324" w:type="pct"/>
            <w:vAlign w:val="center"/>
            <w:hideMark/>
          </w:tcPr>
          <w:p w14:paraId="2A6DD49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5281F767"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$1.871</w:t>
            </w:r>
          </w:p>
        </w:tc>
        <w:tc>
          <w:tcPr>
            <w:tcW w:w="333" w:type="pct"/>
            <w:vAlign w:val="center"/>
            <w:hideMark/>
          </w:tcPr>
          <w:p w14:paraId="5EFD13F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$1.804</w:t>
            </w:r>
          </w:p>
        </w:tc>
        <w:tc>
          <w:tcPr>
            <w:tcW w:w="262" w:type="pct"/>
            <w:vAlign w:val="center"/>
            <w:hideMark/>
          </w:tcPr>
          <w:p w14:paraId="2DF4CE7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96,4%</w:t>
            </w:r>
          </w:p>
        </w:tc>
        <w:tc>
          <w:tcPr>
            <w:tcW w:w="468" w:type="pct"/>
            <w:vAlign w:val="center"/>
            <w:hideMark/>
          </w:tcPr>
          <w:p w14:paraId="23A27BB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$1.762</w:t>
            </w:r>
          </w:p>
        </w:tc>
        <w:tc>
          <w:tcPr>
            <w:tcW w:w="262" w:type="pct"/>
            <w:vAlign w:val="center"/>
            <w:hideMark/>
          </w:tcPr>
          <w:p w14:paraId="2B71AB7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94,2%</w:t>
            </w:r>
          </w:p>
        </w:tc>
        <w:tc>
          <w:tcPr>
            <w:tcW w:w="444" w:type="pct"/>
            <w:vAlign w:val="center"/>
            <w:hideMark/>
          </w:tcPr>
          <w:p w14:paraId="42CC021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$1.376</w:t>
            </w:r>
          </w:p>
        </w:tc>
        <w:tc>
          <w:tcPr>
            <w:tcW w:w="262" w:type="pct"/>
            <w:vAlign w:val="center"/>
            <w:hideMark/>
          </w:tcPr>
          <w:p w14:paraId="2778407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73,5%</w:t>
            </w:r>
          </w:p>
        </w:tc>
        <w:tc>
          <w:tcPr>
            <w:tcW w:w="303" w:type="pct"/>
            <w:vAlign w:val="center"/>
            <w:hideMark/>
          </w:tcPr>
          <w:p w14:paraId="4B4DB32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$1.340</w:t>
            </w:r>
          </w:p>
        </w:tc>
        <w:tc>
          <w:tcPr>
            <w:tcW w:w="409" w:type="pct"/>
            <w:vAlign w:val="center"/>
            <w:hideMark/>
          </w:tcPr>
          <w:p w14:paraId="7EDDBEA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71,6%</w:t>
            </w:r>
          </w:p>
        </w:tc>
      </w:tr>
      <w:tr w:rsidR="00DC4D58" w:rsidRPr="00F52B99" w14:paraId="0A271C3F" w14:textId="77777777" w:rsidTr="00C23D09">
        <w:trPr>
          <w:cnfStyle w:val="000000100000" w:firstRow="0" w:lastRow="0" w:firstColumn="0" w:lastColumn="0" w:oddVBand="0" w:evenVBand="0" w:oddHBand="1" w:evenHBand="0" w:firstRowFirstColumn="0" w:firstRowLastColumn="0" w:lastRowFirstColumn="0" w:lastRowLastColumn="0"/>
          <w:trHeight w:val="416"/>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46D454D0" w14:textId="77777777" w:rsidR="00DC4D58" w:rsidRPr="00F52B99" w:rsidRDefault="00DC4D58" w:rsidP="00C23D09">
            <w:pPr>
              <w:jc w:val="center"/>
              <w:textAlignment w:val="baseline"/>
              <w:rPr>
                <w:sz w:val="12"/>
                <w:lang w:eastAsia="es-CO"/>
              </w:rPr>
            </w:pPr>
            <w:r w:rsidRPr="00F52B99">
              <w:rPr>
                <w:rFonts w:cs="Arial"/>
                <w:color w:val="000000"/>
                <w:sz w:val="12"/>
                <w:szCs w:val="14"/>
                <w:lang w:eastAsia="es-CO"/>
              </w:rPr>
              <w:t>IMPLEMENTACIÓN DE UN SISTEMA DE GESTIÓN</w:t>
            </w:r>
            <w:r>
              <w:rPr>
                <w:rFonts w:cs="Arial"/>
                <w:color w:val="000000"/>
                <w:sz w:val="12"/>
                <w:szCs w:val="14"/>
                <w:lang w:eastAsia="es-CO"/>
              </w:rPr>
              <w:t xml:space="preserve"> DOCUMENTAL EN EL IGAC A NIVEL</w:t>
            </w:r>
            <w:r w:rsidRPr="00F52B99">
              <w:rPr>
                <w:rFonts w:cs="Arial"/>
                <w:color w:val="000000"/>
                <w:sz w:val="12"/>
                <w:szCs w:val="14"/>
                <w:lang w:eastAsia="es-CO"/>
              </w:rPr>
              <w:t xml:space="preserve"> NACIONAL</w:t>
            </w:r>
          </w:p>
        </w:tc>
        <w:tc>
          <w:tcPr>
            <w:tcW w:w="324" w:type="pct"/>
            <w:vAlign w:val="center"/>
            <w:hideMark/>
          </w:tcPr>
          <w:p w14:paraId="5AC6931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0F04D56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$207</w:t>
            </w:r>
          </w:p>
        </w:tc>
        <w:tc>
          <w:tcPr>
            <w:tcW w:w="333" w:type="pct"/>
            <w:vAlign w:val="center"/>
            <w:hideMark/>
          </w:tcPr>
          <w:p w14:paraId="477BD5A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$204</w:t>
            </w:r>
          </w:p>
        </w:tc>
        <w:tc>
          <w:tcPr>
            <w:tcW w:w="262" w:type="pct"/>
            <w:vAlign w:val="center"/>
            <w:hideMark/>
          </w:tcPr>
          <w:p w14:paraId="74BFCCC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98,8%</w:t>
            </w:r>
          </w:p>
        </w:tc>
        <w:tc>
          <w:tcPr>
            <w:tcW w:w="468" w:type="pct"/>
            <w:vAlign w:val="center"/>
            <w:hideMark/>
          </w:tcPr>
          <w:p w14:paraId="7D1F736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$204</w:t>
            </w:r>
          </w:p>
        </w:tc>
        <w:tc>
          <w:tcPr>
            <w:tcW w:w="262" w:type="pct"/>
            <w:vAlign w:val="center"/>
            <w:hideMark/>
          </w:tcPr>
          <w:p w14:paraId="3A9A844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98,8%</w:t>
            </w:r>
          </w:p>
        </w:tc>
        <w:tc>
          <w:tcPr>
            <w:tcW w:w="444" w:type="pct"/>
            <w:vAlign w:val="center"/>
            <w:hideMark/>
          </w:tcPr>
          <w:p w14:paraId="54D1F74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$164</w:t>
            </w:r>
          </w:p>
        </w:tc>
        <w:tc>
          <w:tcPr>
            <w:tcW w:w="262" w:type="pct"/>
            <w:vAlign w:val="center"/>
            <w:hideMark/>
          </w:tcPr>
          <w:p w14:paraId="16093EC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79,2%</w:t>
            </w:r>
          </w:p>
        </w:tc>
        <w:tc>
          <w:tcPr>
            <w:tcW w:w="303" w:type="pct"/>
            <w:vAlign w:val="center"/>
            <w:hideMark/>
          </w:tcPr>
          <w:p w14:paraId="7BBB4C0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$164</w:t>
            </w:r>
          </w:p>
        </w:tc>
        <w:tc>
          <w:tcPr>
            <w:tcW w:w="409" w:type="pct"/>
            <w:vAlign w:val="center"/>
            <w:hideMark/>
          </w:tcPr>
          <w:p w14:paraId="5B5FED8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79,1%</w:t>
            </w:r>
          </w:p>
        </w:tc>
      </w:tr>
      <w:tr w:rsidR="00DC4D58" w:rsidRPr="00F52B99" w14:paraId="4C54D7A3" w14:textId="77777777" w:rsidTr="00C23D09">
        <w:trPr>
          <w:trHeight w:val="409"/>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19736113" w14:textId="77777777" w:rsidR="00DC4D58" w:rsidRPr="00F52B99" w:rsidRDefault="00DC4D58" w:rsidP="00C23D09">
            <w:pPr>
              <w:jc w:val="center"/>
              <w:rPr>
                <w:sz w:val="12"/>
                <w:lang w:eastAsia="es-CO"/>
              </w:rPr>
            </w:pPr>
          </w:p>
        </w:tc>
        <w:tc>
          <w:tcPr>
            <w:tcW w:w="324" w:type="pct"/>
            <w:vAlign w:val="center"/>
            <w:hideMark/>
          </w:tcPr>
          <w:p w14:paraId="7A5FD49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496C8C8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$207</w:t>
            </w:r>
          </w:p>
        </w:tc>
        <w:tc>
          <w:tcPr>
            <w:tcW w:w="333" w:type="pct"/>
            <w:vAlign w:val="center"/>
            <w:hideMark/>
          </w:tcPr>
          <w:p w14:paraId="645752A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$204</w:t>
            </w:r>
          </w:p>
        </w:tc>
        <w:tc>
          <w:tcPr>
            <w:tcW w:w="262" w:type="pct"/>
            <w:vAlign w:val="center"/>
            <w:hideMark/>
          </w:tcPr>
          <w:p w14:paraId="0509F0E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98,8%</w:t>
            </w:r>
          </w:p>
        </w:tc>
        <w:tc>
          <w:tcPr>
            <w:tcW w:w="468" w:type="pct"/>
            <w:vAlign w:val="center"/>
            <w:hideMark/>
          </w:tcPr>
          <w:p w14:paraId="696BEF3D"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$204</w:t>
            </w:r>
          </w:p>
        </w:tc>
        <w:tc>
          <w:tcPr>
            <w:tcW w:w="262" w:type="pct"/>
            <w:vAlign w:val="center"/>
            <w:hideMark/>
          </w:tcPr>
          <w:p w14:paraId="6CC5D3C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98,8%</w:t>
            </w:r>
          </w:p>
        </w:tc>
        <w:tc>
          <w:tcPr>
            <w:tcW w:w="444" w:type="pct"/>
            <w:vAlign w:val="center"/>
            <w:hideMark/>
          </w:tcPr>
          <w:p w14:paraId="7C5A19E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$164</w:t>
            </w:r>
          </w:p>
        </w:tc>
        <w:tc>
          <w:tcPr>
            <w:tcW w:w="262" w:type="pct"/>
            <w:vAlign w:val="center"/>
            <w:hideMark/>
          </w:tcPr>
          <w:p w14:paraId="279FF3E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79,2%</w:t>
            </w:r>
          </w:p>
        </w:tc>
        <w:tc>
          <w:tcPr>
            <w:tcW w:w="303" w:type="pct"/>
            <w:vAlign w:val="center"/>
            <w:hideMark/>
          </w:tcPr>
          <w:p w14:paraId="3E5CC80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$164</w:t>
            </w:r>
          </w:p>
        </w:tc>
        <w:tc>
          <w:tcPr>
            <w:tcW w:w="409" w:type="pct"/>
            <w:vAlign w:val="center"/>
            <w:hideMark/>
          </w:tcPr>
          <w:p w14:paraId="08735A1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b/>
                <w:bCs/>
                <w:color w:val="000000"/>
                <w:sz w:val="12"/>
                <w:szCs w:val="14"/>
                <w:lang w:eastAsia="es-CO"/>
              </w:rPr>
              <w:t>79,1%</w:t>
            </w:r>
          </w:p>
        </w:tc>
      </w:tr>
      <w:tr w:rsidR="00DC4D58" w:rsidRPr="00F52B99" w14:paraId="79E65CC8" w14:textId="77777777" w:rsidTr="00C23D09">
        <w:trPr>
          <w:cnfStyle w:val="000000100000" w:firstRow="0" w:lastRow="0" w:firstColumn="0" w:lastColumn="0" w:oddVBand="0" w:evenVBand="0" w:oddHBand="1"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6DE15E88" w14:textId="00B28B09" w:rsidR="00DC4D58" w:rsidRPr="00F52B99" w:rsidRDefault="00DC4D58" w:rsidP="00C23D09">
            <w:pPr>
              <w:jc w:val="center"/>
              <w:textAlignment w:val="baseline"/>
              <w:rPr>
                <w:sz w:val="12"/>
                <w:lang w:eastAsia="es-CO"/>
              </w:rPr>
            </w:pPr>
            <w:r w:rsidRPr="00F52B99">
              <w:rPr>
                <w:rFonts w:cs="Arial"/>
                <w:color w:val="000000"/>
                <w:sz w:val="12"/>
                <w:szCs w:val="14"/>
                <w:lang w:eastAsia="es-CO"/>
              </w:rPr>
              <w:t xml:space="preserve">LEVANTAMIENTO, GENERACIÓN Y ACTUALIZACIÓN DE LA RED GEODÉSICA Y </w:t>
            </w:r>
            <w:r>
              <w:rPr>
                <w:rFonts w:cs="Arial"/>
                <w:color w:val="000000"/>
                <w:sz w:val="12"/>
                <w:szCs w:val="14"/>
                <w:lang w:eastAsia="es-CO"/>
              </w:rPr>
              <w:t>LA CARTOGRAFÍA BÁSICA A NIVEL </w:t>
            </w:r>
            <w:r w:rsidRPr="00F52B99">
              <w:rPr>
                <w:rFonts w:cs="Arial"/>
                <w:color w:val="000000"/>
                <w:sz w:val="12"/>
                <w:szCs w:val="14"/>
                <w:lang w:eastAsia="es-CO"/>
              </w:rPr>
              <w:t>NACIONAL</w:t>
            </w:r>
          </w:p>
        </w:tc>
        <w:tc>
          <w:tcPr>
            <w:tcW w:w="324" w:type="pct"/>
            <w:vAlign w:val="center"/>
            <w:hideMark/>
          </w:tcPr>
          <w:p w14:paraId="79F46AD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30B36F15"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$3.839</w:t>
            </w:r>
          </w:p>
        </w:tc>
        <w:tc>
          <w:tcPr>
            <w:tcW w:w="333" w:type="pct"/>
            <w:vAlign w:val="center"/>
            <w:hideMark/>
          </w:tcPr>
          <w:p w14:paraId="6EB93C4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$3.696</w:t>
            </w:r>
          </w:p>
        </w:tc>
        <w:tc>
          <w:tcPr>
            <w:tcW w:w="262" w:type="pct"/>
            <w:vAlign w:val="center"/>
            <w:hideMark/>
          </w:tcPr>
          <w:p w14:paraId="534ABD8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96,3%</w:t>
            </w:r>
          </w:p>
        </w:tc>
        <w:tc>
          <w:tcPr>
            <w:tcW w:w="468" w:type="pct"/>
            <w:vAlign w:val="center"/>
            <w:hideMark/>
          </w:tcPr>
          <w:p w14:paraId="7556759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$3.628</w:t>
            </w:r>
          </w:p>
        </w:tc>
        <w:tc>
          <w:tcPr>
            <w:tcW w:w="262" w:type="pct"/>
            <w:vAlign w:val="center"/>
            <w:hideMark/>
          </w:tcPr>
          <w:p w14:paraId="10EA9BA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94,5%</w:t>
            </w:r>
          </w:p>
        </w:tc>
        <w:tc>
          <w:tcPr>
            <w:tcW w:w="444" w:type="pct"/>
            <w:vAlign w:val="center"/>
            <w:hideMark/>
          </w:tcPr>
          <w:p w14:paraId="1362B96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$2.839</w:t>
            </w:r>
          </w:p>
        </w:tc>
        <w:tc>
          <w:tcPr>
            <w:tcW w:w="262" w:type="pct"/>
            <w:vAlign w:val="center"/>
            <w:hideMark/>
          </w:tcPr>
          <w:p w14:paraId="4D6E71F0"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73,9%</w:t>
            </w:r>
          </w:p>
        </w:tc>
        <w:tc>
          <w:tcPr>
            <w:tcW w:w="303" w:type="pct"/>
            <w:vAlign w:val="center"/>
            <w:hideMark/>
          </w:tcPr>
          <w:p w14:paraId="2115EAC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$2.743</w:t>
            </w:r>
          </w:p>
        </w:tc>
        <w:tc>
          <w:tcPr>
            <w:tcW w:w="409" w:type="pct"/>
            <w:vAlign w:val="center"/>
            <w:hideMark/>
          </w:tcPr>
          <w:p w14:paraId="60DC2E3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71,4%</w:t>
            </w:r>
          </w:p>
        </w:tc>
      </w:tr>
      <w:tr w:rsidR="00DC4D58" w:rsidRPr="00F52B99" w14:paraId="6E657A62" w14:textId="77777777" w:rsidTr="00C23D09">
        <w:trPr>
          <w:trHeight w:val="321"/>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15824C36" w14:textId="77777777" w:rsidR="00DC4D58" w:rsidRPr="00F52B99" w:rsidRDefault="00DC4D58" w:rsidP="00C23D09">
            <w:pPr>
              <w:jc w:val="center"/>
              <w:rPr>
                <w:sz w:val="12"/>
                <w:lang w:eastAsia="es-CO"/>
              </w:rPr>
            </w:pPr>
          </w:p>
        </w:tc>
        <w:tc>
          <w:tcPr>
            <w:tcW w:w="324" w:type="pct"/>
            <w:vAlign w:val="center"/>
            <w:hideMark/>
          </w:tcPr>
          <w:p w14:paraId="42B2684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5157D35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$5.991</w:t>
            </w:r>
          </w:p>
        </w:tc>
        <w:tc>
          <w:tcPr>
            <w:tcW w:w="333" w:type="pct"/>
            <w:vAlign w:val="center"/>
            <w:hideMark/>
          </w:tcPr>
          <w:p w14:paraId="3152D4F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$5.343</w:t>
            </w:r>
          </w:p>
        </w:tc>
        <w:tc>
          <w:tcPr>
            <w:tcW w:w="262" w:type="pct"/>
            <w:vAlign w:val="center"/>
            <w:hideMark/>
          </w:tcPr>
          <w:p w14:paraId="51C10250"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89,2%</w:t>
            </w:r>
          </w:p>
        </w:tc>
        <w:tc>
          <w:tcPr>
            <w:tcW w:w="468" w:type="pct"/>
            <w:vAlign w:val="center"/>
            <w:hideMark/>
          </w:tcPr>
          <w:p w14:paraId="7482973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$4.645</w:t>
            </w:r>
          </w:p>
        </w:tc>
        <w:tc>
          <w:tcPr>
            <w:tcW w:w="262" w:type="pct"/>
            <w:vAlign w:val="center"/>
            <w:hideMark/>
          </w:tcPr>
          <w:p w14:paraId="50EF34B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77,5%</w:t>
            </w:r>
          </w:p>
        </w:tc>
        <w:tc>
          <w:tcPr>
            <w:tcW w:w="444" w:type="pct"/>
            <w:vAlign w:val="center"/>
            <w:hideMark/>
          </w:tcPr>
          <w:p w14:paraId="03C69C37"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$2.612</w:t>
            </w:r>
          </w:p>
        </w:tc>
        <w:tc>
          <w:tcPr>
            <w:tcW w:w="262" w:type="pct"/>
            <w:vAlign w:val="center"/>
            <w:hideMark/>
          </w:tcPr>
          <w:p w14:paraId="756398E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43,6%</w:t>
            </w:r>
          </w:p>
        </w:tc>
        <w:tc>
          <w:tcPr>
            <w:tcW w:w="303" w:type="pct"/>
            <w:vAlign w:val="center"/>
            <w:hideMark/>
          </w:tcPr>
          <w:p w14:paraId="08ED0B1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$2.580</w:t>
            </w:r>
          </w:p>
        </w:tc>
        <w:tc>
          <w:tcPr>
            <w:tcW w:w="409" w:type="pct"/>
            <w:vAlign w:val="center"/>
            <w:hideMark/>
          </w:tcPr>
          <w:p w14:paraId="08CE537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43,1%</w:t>
            </w:r>
          </w:p>
        </w:tc>
      </w:tr>
      <w:tr w:rsidR="00DC4D58" w:rsidRPr="00F52B99" w14:paraId="135D2D70" w14:textId="77777777" w:rsidTr="00C23D09">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46150699" w14:textId="77777777" w:rsidR="00DC4D58" w:rsidRPr="00F52B99" w:rsidRDefault="00DC4D58" w:rsidP="00C23D09">
            <w:pPr>
              <w:jc w:val="center"/>
              <w:rPr>
                <w:sz w:val="12"/>
                <w:lang w:eastAsia="es-CO"/>
              </w:rPr>
            </w:pPr>
          </w:p>
        </w:tc>
        <w:tc>
          <w:tcPr>
            <w:tcW w:w="324" w:type="pct"/>
            <w:vAlign w:val="center"/>
            <w:hideMark/>
          </w:tcPr>
          <w:p w14:paraId="2FAB054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4EF7667D"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$9.830</w:t>
            </w:r>
          </w:p>
        </w:tc>
        <w:tc>
          <w:tcPr>
            <w:tcW w:w="333" w:type="pct"/>
            <w:vAlign w:val="center"/>
            <w:hideMark/>
          </w:tcPr>
          <w:p w14:paraId="0423AB7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$9.040</w:t>
            </w:r>
          </w:p>
        </w:tc>
        <w:tc>
          <w:tcPr>
            <w:tcW w:w="262" w:type="pct"/>
            <w:vAlign w:val="center"/>
            <w:hideMark/>
          </w:tcPr>
          <w:p w14:paraId="6776D1B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92,0%</w:t>
            </w:r>
          </w:p>
        </w:tc>
        <w:tc>
          <w:tcPr>
            <w:tcW w:w="468" w:type="pct"/>
            <w:vAlign w:val="center"/>
            <w:hideMark/>
          </w:tcPr>
          <w:p w14:paraId="54577A1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$8.273</w:t>
            </w:r>
          </w:p>
        </w:tc>
        <w:tc>
          <w:tcPr>
            <w:tcW w:w="262" w:type="pct"/>
            <w:vAlign w:val="center"/>
            <w:hideMark/>
          </w:tcPr>
          <w:p w14:paraId="3AF3E22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84,2%</w:t>
            </w:r>
          </w:p>
        </w:tc>
        <w:tc>
          <w:tcPr>
            <w:tcW w:w="444" w:type="pct"/>
            <w:vAlign w:val="center"/>
            <w:hideMark/>
          </w:tcPr>
          <w:p w14:paraId="3937E08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$5.451</w:t>
            </w:r>
          </w:p>
        </w:tc>
        <w:tc>
          <w:tcPr>
            <w:tcW w:w="262" w:type="pct"/>
            <w:vAlign w:val="center"/>
            <w:hideMark/>
          </w:tcPr>
          <w:p w14:paraId="2FADD6F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55,5%</w:t>
            </w:r>
          </w:p>
        </w:tc>
        <w:tc>
          <w:tcPr>
            <w:tcW w:w="303" w:type="pct"/>
            <w:vAlign w:val="center"/>
            <w:hideMark/>
          </w:tcPr>
          <w:p w14:paraId="3B1C8A7D"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$5.322</w:t>
            </w:r>
          </w:p>
        </w:tc>
        <w:tc>
          <w:tcPr>
            <w:tcW w:w="409" w:type="pct"/>
            <w:vAlign w:val="center"/>
            <w:hideMark/>
          </w:tcPr>
          <w:p w14:paraId="50F99F3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54,1%</w:t>
            </w:r>
          </w:p>
        </w:tc>
      </w:tr>
      <w:tr w:rsidR="00DC4D58" w:rsidRPr="00F52B99" w14:paraId="77921447" w14:textId="77777777" w:rsidTr="00C23D09">
        <w:trPr>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restart"/>
            <w:vAlign w:val="center"/>
            <w:hideMark/>
          </w:tcPr>
          <w:p w14:paraId="78A4E738" w14:textId="5C8C927D" w:rsidR="00DC4D58" w:rsidRPr="00C97D6D" w:rsidRDefault="00DC4D58" w:rsidP="00C23D09">
            <w:pPr>
              <w:jc w:val="center"/>
              <w:textAlignment w:val="baseline"/>
              <w:rPr>
                <w:sz w:val="12"/>
                <w:lang w:eastAsia="es-CO"/>
              </w:rPr>
            </w:pPr>
            <w:r w:rsidRPr="00C97D6D">
              <w:rPr>
                <w:rFonts w:cs="Arial"/>
                <w:bCs w:val="0"/>
                <w:sz w:val="12"/>
                <w:szCs w:val="14"/>
                <w:lang w:eastAsia="es-CO"/>
              </w:rPr>
              <w:t>TOTA GENERAL</w:t>
            </w:r>
          </w:p>
        </w:tc>
        <w:tc>
          <w:tcPr>
            <w:tcW w:w="324" w:type="pct"/>
            <w:vAlign w:val="center"/>
            <w:hideMark/>
          </w:tcPr>
          <w:p w14:paraId="69473EC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Nación</w:t>
            </w:r>
          </w:p>
        </w:tc>
        <w:tc>
          <w:tcPr>
            <w:tcW w:w="421" w:type="pct"/>
            <w:vAlign w:val="center"/>
            <w:hideMark/>
          </w:tcPr>
          <w:p w14:paraId="6D3F9C9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$20.322</w:t>
            </w:r>
          </w:p>
        </w:tc>
        <w:tc>
          <w:tcPr>
            <w:tcW w:w="333" w:type="pct"/>
            <w:vAlign w:val="center"/>
            <w:hideMark/>
          </w:tcPr>
          <w:p w14:paraId="3C66962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$18.905</w:t>
            </w:r>
          </w:p>
        </w:tc>
        <w:tc>
          <w:tcPr>
            <w:tcW w:w="262" w:type="pct"/>
            <w:vAlign w:val="center"/>
            <w:hideMark/>
          </w:tcPr>
          <w:p w14:paraId="469B65F5"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93,0%</w:t>
            </w:r>
          </w:p>
        </w:tc>
        <w:tc>
          <w:tcPr>
            <w:tcW w:w="468" w:type="pct"/>
            <w:vAlign w:val="center"/>
            <w:hideMark/>
          </w:tcPr>
          <w:p w14:paraId="52A3314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$17.544</w:t>
            </w:r>
          </w:p>
        </w:tc>
        <w:tc>
          <w:tcPr>
            <w:tcW w:w="262" w:type="pct"/>
            <w:vAlign w:val="center"/>
            <w:hideMark/>
          </w:tcPr>
          <w:p w14:paraId="59A689B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86,3%</w:t>
            </w:r>
          </w:p>
        </w:tc>
        <w:tc>
          <w:tcPr>
            <w:tcW w:w="444" w:type="pct"/>
            <w:vAlign w:val="center"/>
            <w:hideMark/>
          </w:tcPr>
          <w:p w14:paraId="64FE4DA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$13.385</w:t>
            </w:r>
          </w:p>
        </w:tc>
        <w:tc>
          <w:tcPr>
            <w:tcW w:w="262" w:type="pct"/>
            <w:vAlign w:val="center"/>
            <w:hideMark/>
          </w:tcPr>
          <w:p w14:paraId="0AF50803"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65,9%</w:t>
            </w:r>
          </w:p>
        </w:tc>
        <w:tc>
          <w:tcPr>
            <w:tcW w:w="303" w:type="pct"/>
            <w:vAlign w:val="center"/>
            <w:hideMark/>
          </w:tcPr>
          <w:p w14:paraId="75410B7E"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$13.197</w:t>
            </w:r>
          </w:p>
        </w:tc>
        <w:tc>
          <w:tcPr>
            <w:tcW w:w="409" w:type="pct"/>
            <w:vAlign w:val="center"/>
            <w:hideMark/>
          </w:tcPr>
          <w:p w14:paraId="5B62C7A6"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64,9%</w:t>
            </w:r>
          </w:p>
        </w:tc>
      </w:tr>
      <w:tr w:rsidR="00DC4D58" w:rsidRPr="00F52B99" w14:paraId="5A7818C6" w14:textId="77777777" w:rsidTr="00C23D09">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3A20D3FD" w14:textId="77777777" w:rsidR="00DC4D58" w:rsidRPr="00F52B99" w:rsidRDefault="00DC4D58" w:rsidP="00C23D09">
            <w:pPr>
              <w:jc w:val="center"/>
              <w:rPr>
                <w:sz w:val="12"/>
                <w:lang w:eastAsia="es-CO"/>
              </w:rPr>
            </w:pPr>
          </w:p>
        </w:tc>
        <w:tc>
          <w:tcPr>
            <w:tcW w:w="324" w:type="pct"/>
            <w:vAlign w:val="center"/>
            <w:hideMark/>
          </w:tcPr>
          <w:p w14:paraId="187175D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Propios</w:t>
            </w:r>
          </w:p>
        </w:tc>
        <w:tc>
          <w:tcPr>
            <w:tcW w:w="421" w:type="pct"/>
            <w:vAlign w:val="center"/>
            <w:hideMark/>
          </w:tcPr>
          <w:p w14:paraId="53C2864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$55.295</w:t>
            </w:r>
          </w:p>
        </w:tc>
        <w:tc>
          <w:tcPr>
            <w:tcW w:w="333" w:type="pct"/>
            <w:vAlign w:val="center"/>
            <w:hideMark/>
          </w:tcPr>
          <w:p w14:paraId="68A65571"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$29.843</w:t>
            </w:r>
          </w:p>
        </w:tc>
        <w:tc>
          <w:tcPr>
            <w:tcW w:w="262" w:type="pct"/>
            <w:vAlign w:val="center"/>
            <w:hideMark/>
          </w:tcPr>
          <w:p w14:paraId="5028AF5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54,0%</w:t>
            </w:r>
          </w:p>
        </w:tc>
        <w:tc>
          <w:tcPr>
            <w:tcW w:w="468" w:type="pct"/>
            <w:vAlign w:val="center"/>
            <w:hideMark/>
          </w:tcPr>
          <w:p w14:paraId="43DC380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$26.443</w:t>
            </w:r>
          </w:p>
        </w:tc>
        <w:tc>
          <w:tcPr>
            <w:tcW w:w="262" w:type="pct"/>
            <w:vAlign w:val="center"/>
            <w:hideMark/>
          </w:tcPr>
          <w:p w14:paraId="725F76E8"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47,8%</w:t>
            </w:r>
          </w:p>
        </w:tc>
        <w:tc>
          <w:tcPr>
            <w:tcW w:w="444" w:type="pct"/>
            <w:vAlign w:val="center"/>
            <w:hideMark/>
          </w:tcPr>
          <w:p w14:paraId="53618BDB"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$17.143</w:t>
            </w:r>
          </w:p>
        </w:tc>
        <w:tc>
          <w:tcPr>
            <w:tcW w:w="262" w:type="pct"/>
            <w:vAlign w:val="center"/>
            <w:hideMark/>
          </w:tcPr>
          <w:p w14:paraId="603F27D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31,0%</w:t>
            </w:r>
          </w:p>
        </w:tc>
        <w:tc>
          <w:tcPr>
            <w:tcW w:w="303" w:type="pct"/>
            <w:vAlign w:val="center"/>
            <w:hideMark/>
          </w:tcPr>
          <w:p w14:paraId="71E8A11F"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$16.806</w:t>
            </w:r>
          </w:p>
        </w:tc>
        <w:tc>
          <w:tcPr>
            <w:tcW w:w="409" w:type="pct"/>
            <w:vAlign w:val="center"/>
            <w:hideMark/>
          </w:tcPr>
          <w:p w14:paraId="047A14AE"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color w:val="000000"/>
                <w:sz w:val="12"/>
                <w:szCs w:val="14"/>
                <w:lang w:eastAsia="es-CO"/>
              </w:rPr>
              <w:t>30,4%</w:t>
            </w:r>
          </w:p>
        </w:tc>
      </w:tr>
      <w:tr w:rsidR="00DC4D58" w:rsidRPr="00F52B99" w14:paraId="161AA48F" w14:textId="77777777" w:rsidTr="00C23D09">
        <w:trPr>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4C5B3B4C" w14:textId="77777777" w:rsidR="00DC4D58" w:rsidRPr="00F52B99" w:rsidRDefault="00DC4D58" w:rsidP="00C23D09">
            <w:pPr>
              <w:jc w:val="center"/>
              <w:rPr>
                <w:sz w:val="12"/>
                <w:lang w:eastAsia="es-CO"/>
              </w:rPr>
            </w:pPr>
          </w:p>
        </w:tc>
        <w:tc>
          <w:tcPr>
            <w:tcW w:w="324" w:type="pct"/>
            <w:vAlign w:val="center"/>
            <w:hideMark/>
          </w:tcPr>
          <w:p w14:paraId="62FEA48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Crédito</w:t>
            </w:r>
          </w:p>
        </w:tc>
        <w:tc>
          <w:tcPr>
            <w:tcW w:w="421" w:type="pct"/>
            <w:vAlign w:val="center"/>
            <w:hideMark/>
          </w:tcPr>
          <w:p w14:paraId="5DF9D728"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$134.446</w:t>
            </w:r>
          </w:p>
        </w:tc>
        <w:tc>
          <w:tcPr>
            <w:tcW w:w="333" w:type="pct"/>
            <w:vAlign w:val="center"/>
            <w:hideMark/>
          </w:tcPr>
          <w:p w14:paraId="54C001C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$60.209</w:t>
            </w:r>
          </w:p>
        </w:tc>
        <w:tc>
          <w:tcPr>
            <w:tcW w:w="262" w:type="pct"/>
            <w:vAlign w:val="center"/>
            <w:hideMark/>
          </w:tcPr>
          <w:p w14:paraId="65103C5A"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44,8%</w:t>
            </w:r>
          </w:p>
        </w:tc>
        <w:tc>
          <w:tcPr>
            <w:tcW w:w="468" w:type="pct"/>
            <w:vAlign w:val="center"/>
            <w:hideMark/>
          </w:tcPr>
          <w:p w14:paraId="3AE83079"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$29.493</w:t>
            </w:r>
          </w:p>
        </w:tc>
        <w:tc>
          <w:tcPr>
            <w:tcW w:w="262" w:type="pct"/>
            <w:vAlign w:val="center"/>
            <w:hideMark/>
          </w:tcPr>
          <w:p w14:paraId="78985B62"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21,9%</w:t>
            </w:r>
          </w:p>
        </w:tc>
        <w:tc>
          <w:tcPr>
            <w:tcW w:w="444" w:type="pct"/>
            <w:vAlign w:val="center"/>
            <w:hideMark/>
          </w:tcPr>
          <w:p w14:paraId="07F6BF1B"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$6.471</w:t>
            </w:r>
          </w:p>
        </w:tc>
        <w:tc>
          <w:tcPr>
            <w:tcW w:w="262" w:type="pct"/>
            <w:vAlign w:val="center"/>
            <w:hideMark/>
          </w:tcPr>
          <w:p w14:paraId="200E3611"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4,8%</w:t>
            </w:r>
          </w:p>
        </w:tc>
        <w:tc>
          <w:tcPr>
            <w:tcW w:w="303" w:type="pct"/>
            <w:vAlign w:val="center"/>
            <w:hideMark/>
          </w:tcPr>
          <w:p w14:paraId="5C3CFA0C"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$6.431</w:t>
            </w:r>
          </w:p>
        </w:tc>
        <w:tc>
          <w:tcPr>
            <w:tcW w:w="409" w:type="pct"/>
            <w:vAlign w:val="center"/>
            <w:hideMark/>
          </w:tcPr>
          <w:p w14:paraId="2A519054" w14:textId="77777777" w:rsidR="00DC4D58" w:rsidRPr="00F52B99" w:rsidRDefault="00DC4D58"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2"/>
                <w:lang w:eastAsia="es-CO"/>
              </w:rPr>
            </w:pPr>
            <w:r w:rsidRPr="00F52B99">
              <w:rPr>
                <w:rFonts w:cs="Arial"/>
                <w:color w:val="000000"/>
                <w:sz w:val="12"/>
                <w:szCs w:val="14"/>
                <w:lang w:eastAsia="es-CO"/>
              </w:rPr>
              <w:t>4,8%</w:t>
            </w:r>
          </w:p>
        </w:tc>
      </w:tr>
      <w:tr w:rsidR="00DC4D58" w:rsidRPr="00F52B99" w14:paraId="7C11E57E" w14:textId="77777777" w:rsidTr="00C23D09">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1511" w:type="pct"/>
            <w:vMerge/>
            <w:vAlign w:val="center"/>
            <w:hideMark/>
          </w:tcPr>
          <w:p w14:paraId="1727C4B7" w14:textId="77777777" w:rsidR="00DC4D58" w:rsidRPr="00F52B99" w:rsidRDefault="00DC4D58" w:rsidP="00C23D09">
            <w:pPr>
              <w:jc w:val="center"/>
              <w:rPr>
                <w:sz w:val="12"/>
                <w:lang w:eastAsia="es-CO"/>
              </w:rPr>
            </w:pPr>
          </w:p>
        </w:tc>
        <w:tc>
          <w:tcPr>
            <w:tcW w:w="324" w:type="pct"/>
            <w:vAlign w:val="center"/>
            <w:hideMark/>
          </w:tcPr>
          <w:p w14:paraId="6BB24DE2"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Total</w:t>
            </w:r>
          </w:p>
        </w:tc>
        <w:tc>
          <w:tcPr>
            <w:tcW w:w="421" w:type="pct"/>
            <w:vAlign w:val="center"/>
            <w:hideMark/>
          </w:tcPr>
          <w:p w14:paraId="3262DA27"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$210.064</w:t>
            </w:r>
          </w:p>
        </w:tc>
        <w:tc>
          <w:tcPr>
            <w:tcW w:w="333" w:type="pct"/>
            <w:vAlign w:val="center"/>
            <w:hideMark/>
          </w:tcPr>
          <w:p w14:paraId="1557D82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$108.957</w:t>
            </w:r>
          </w:p>
        </w:tc>
        <w:tc>
          <w:tcPr>
            <w:tcW w:w="262" w:type="pct"/>
            <w:vAlign w:val="center"/>
            <w:hideMark/>
          </w:tcPr>
          <w:p w14:paraId="660CC6D4"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51,9%</w:t>
            </w:r>
          </w:p>
        </w:tc>
        <w:tc>
          <w:tcPr>
            <w:tcW w:w="468" w:type="pct"/>
            <w:vAlign w:val="center"/>
            <w:hideMark/>
          </w:tcPr>
          <w:p w14:paraId="1334B1B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$73.479</w:t>
            </w:r>
          </w:p>
        </w:tc>
        <w:tc>
          <w:tcPr>
            <w:tcW w:w="262" w:type="pct"/>
            <w:vAlign w:val="center"/>
            <w:hideMark/>
          </w:tcPr>
          <w:p w14:paraId="6792BF9A"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35,0%</w:t>
            </w:r>
          </w:p>
        </w:tc>
        <w:tc>
          <w:tcPr>
            <w:tcW w:w="444" w:type="pct"/>
            <w:vAlign w:val="center"/>
            <w:hideMark/>
          </w:tcPr>
          <w:p w14:paraId="03CD560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$36.999</w:t>
            </w:r>
          </w:p>
        </w:tc>
        <w:tc>
          <w:tcPr>
            <w:tcW w:w="262" w:type="pct"/>
            <w:vAlign w:val="center"/>
            <w:hideMark/>
          </w:tcPr>
          <w:p w14:paraId="776A37A3"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17,6%</w:t>
            </w:r>
          </w:p>
        </w:tc>
        <w:tc>
          <w:tcPr>
            <w:tcW w:w="303" w:type="pct"/>
            <w:vAlign w:val="center"/>
            <w:hideMark/>
          </w:tcPr>
          <w:p w14:paraId="40E55409"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$36.434</w:t>
            </w:r>
          </w:p>
        </w:tc>
        <w:tc>
          <w:tcPr>
            <w:tcW w:w="409" w:type="pct"/>
            <w:vAlign w:val="center"/>
            <w:hideMark/>
          </w:tcPr>
          <w:p w14:paraId="38D5C5CC" w14:textId="77777777" w:rsidR="00DC4D58" w:rsidRPr="00F52B99" w:rsidRDefault="00DC4D58"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2"/>
                <w:lang w:eastAsia="es-CO"/>
              </w:rPr>
            </w:pPr>
            <w:r w:rsidRPr="00F52B99">
              <w:rPr>
                <w:rFonts w:cs="Arial"/>
                <w:b/>
                <w:bCs/>
                <w:color w:val="000000"/>
                <w:sz w:val="12"/>
                <w:szCs w:val="14"/>
                <w:lang w:eastAsia="es-CO"/>
              </w:rPr>
              <w:t>17,3%</w:t>
            </w:r>
          </w:p>
        </w:tc>
      </w:tr>
    </w:tbl>
    <w:p w14:paraId="559E106D" w14:textId="77777777" w:rsidR="00DC4D58" w:rsidRPr="00912343" w:rsidRDefault="00DC4D58" w:rsidP="00DC4D58">
      <w:pPr>
        <w:jc w:val="center"/>
        <w:textAlignment w:val="baseline"/>
        <w:rPr>
          <w:rFonts w:cs="Arial"/>
          <w:b/>
          <w:sz w:val="16"/>
          <w:lang w:eastAsia="es-CO"/>
        </w:rPr>
      </w:pPr>
      <w:r w:rsidRPr="00912343">
        <w:rPr>
          <w:rFonts w:cs="Arial"/>
          <w:b/>
          <w:bCs/>
          <w:sz w:val="16"/>
          <w:lang w:eastAsia="es-CO"/>
        </w:rPr>
        <w:t>Fuente</w:t>
      </w:r>
      <w:r w:rsidRPr="00912343">
        <w:rPr>
          <w:rFonts w:cs="Arial"/>
          <w:b/>
          <w:sz w:val="16"/>
          <w:lang w:eastAsia="es-CO"/>
        </w:rPr>
        <w:t>: Oficina Asesora de Planeación </w:t>
      </w:r>
    </w:p>
    <w:p w14:paraId="2BE916F7" w14:textId="17DCA46C" w:rsidR="00DC4D58" w:rsidRDefault="00DC4D58" w:rsidP="00DC4D58">
      <w:pPr>
        <w:textAlignment w:val="baseline"/>
        <w:rPr>
          <w:rFonts w:cs="Arial"/>
          <w:sz w:val="16"/>
          <w:lang w:eastAsia="es-CO"/>
        </w:rPr>
      </w:pPr>
    </w:p>
    <w:p w14:paraId="374D3F1D" w14:textId="6AD97167" w:rsidR="00904634" w:rsidRDefault="00904634" w:rsidP="00DC4D58">
      <w:pPr>
        <w:textAlignment w:val="baseline"/>
        <w:rPr>
          <w:rFonts w:cs="Arial"/>
          <w:sz w:val="16"/>
          <w:lang w:eastAsia="es-CO"/>
        </w:rPr>
      </w:pPr>
    </w:p>
    <w:p w14:paraId="6C1FBBA2" w14:textId="083E388E" w:rsidR="00904634" w:rsidRPr="00BE484F" w:rsidRDefault="00904634" w:rsidP="000A20EE">
      <w:pPr>
        <w:pStyle w:val="Prrafodelista"/>
        <w:numPr>
          <w:ilvl w:val="1"/>
          <w:numId w:val="22"/>
        </w:numPr>
        <w:suppressAutoHyphens w:val="0"/>
        <w:spacing w:after="160" w:line="256" w:lineRule="auto"/>
        <w:contextualSpacing/>
        <w:rPr>
          <w:rFonts w:cs="Arial"/>
          <w:lang w:eastAsia="es-CO"/>
        </w:rPr>
      </w:pPr>
      <w:r w:rsidRPr="00BE484F">
        <w:rPr>
          <w:rFonts w:cs="Arial"/>
          <w:b/>
          <w:bCs/>
          <w:lang w:eastAsia="es-CO"/>
        </w:rPr>
        <w:t>ANÁLISIS DE INGRESOS 2021</w:t>
      </w:r>
      <w:r w:rsidRPr="00BE484F">
        <w:rPr>
          <w:rFonts w:cs="Arial"/>
          <w:lang w:eastAsia="es-CO"/>
        </w:rPr>
        <w:t> </w:t>
      </w:r>
    </w:p>
    <w:p w14:paraId="186E22BA" w14:textId="77777777" w:rsidR="00904634" w:rsidRDefault="00904634" w:rsidP="00904634">
      <w:pPr>
        <w:jc w:val="both"/>
        <w:textAlignment w:val="baseline"/>
        <w:rPr>
          <w:rFonts w:cs="Arial"/>
          <w:sz w:val="22"/>
          <w:lang w:eastAsia="es-CO"/>
        </w:rPr>
      </w:pPr>
      <w:r>
        <w:rPr>
          <w:rFonts w:cs="Arial"/>
          <w:sz w:val="22"/>
          <w:lang w:eastAsia="es-CO"/>
        </w:rPr>
        <w:t>El 21,8% del presupuesto corresponde a recursos propios, los cuales se generan por la venta de contado, contratos y convenios. Para el 2021 la meta de ingresos es de $64.554, de los cuales el 85,6% corresponde a contratos y convenios y el 14,3% a ventas de contado.</w:t>
      </w:r>
    </w:p>
    <w:p w14:paraId="5436EA33" w14:textId="77777777" w:rsidR="00904634" w:rsidRDefault="00904634" w:rsidP="00904634">
      <w:pPr>
        <w:jc w:val="both"/>
        <w:textAlignment w:val="baseline"/>
        <w:rPr>
          <w:rFonts w:cs="Arial"/>
          <w:sz w:val="22"/>
          <w:lang w:eastAsia="es-CO"/>
        </w:rPr>
      </w:pPr>
    </w:p>
    <w:p w14:paraId="59C37BF2" w14:textId="77777777" w:rsidR="00904634" w:rsidRDefault="00904634" w:rsidP="00904634">
      <w:pPr>
        <w:jc w:val="both"/>
        <w:textAlignment w:val="baseline"/>
        <w:rPr>
          <w:rFonts w:cs="Arial"/>
          <w:sz w:val="22"/>
          <w:lang w:eastAsia="es-CO"/>
        </w:rPr>
      </w:pPr>
      <w:r w:rsidRPr="00DF4C79">
        <w:rPr>
          <w:rFonts w:cs="Arial"/>
          <w:sz w:val="22"/>
          <w:lang w:eastAsia="es-CO"/>
        </w:rPr>
        <w:t>Los ingresos para el año 2021 con corte a 3</w:t>
      </w:r>
      <w:r>
        <w:rPr>
          <w:rFonts w:cs="Arial"/>
          <w:sz w:val="22"/>
          <w:lang w:eastAsia="es-CO"/>
        </w:rPr>
        <w:t>1</w:t>
      </w:r>
      <w:r w:rsidRPr="00DF4C79">
        <w:rPr>
          <w:rFonts w:cs="Arial"/>
          <w:sz w:val="22"/>
          <w:lang w:eastAsia="es-CO"/>
        </w:rPr>
        <w:t xml:space="preserve"> de </w:t>
      </w:r>
      <w:r>
        <w:rPr>
          <w:rFonts w:cs="Arial"/>
          <w:sz w:val="22"/>
          <w:lang w:eastAsia="es-CO"/>
        </w:rPr>
        <w:t>octubre</w:t>
      </w:r>
      <w:r w:rsidRPr="00DF4C79">
        <w:rPr>
          <w:rFonts w:cs="Arial"/>
          <w:sz w:val="22"/>
          <w:lang w:eastAsia="es-CO"/>
        </w:rPr>
        <w:t xml:space="preserve"> son de $1</w:t>
      </w:r>
      <w:r>
        <w:rPr>
          <w:rFonts w:cs="Arial"/>
          <w:sz w:val="22"/>
          <w:lang w:eastAsia="es-CO"/>
        </w:rPr>
        <w:t>7</w:t>
      </w:r>
      <w:r w:rsidRPr="00DF4C79">
        <w:rPr>
          <w:rFonts w:cs="Arial"/>
          <w:sz w:val="22"/>
          <w:lang w:eastAsia="es-CO"/>
        </w:rPr>
        <w:t>.</w:t>
      </w:r>
      <w:r>
        <w:rPr>
          <w:rFonts w:cs="Arial"/>
          <w:sz w:val="22"/>
          <w:lang w:eastAsia="es-CO"/>
        </w:rPr>
        <w:t>004</w:t>
      </w:r>
      <w:r w:rsidRPr="00DF4C79">
        <w:rPr>
          <w:rFonts w:cs="Arial"/>
          <w:sz w:val="22"/>
          <w:lang w:eastAsia="es-CO"/>
        </w:rPr>
        <w:t xml:space="preserve"> discriminados de la siguiente manera: </w:t>
      </w:r>
    </w:p>
    <w:p w14:paraId="3B76CF73" w14:textId="77777777" w:rsidR="00904634" w:rsidRPr="006A2F15" w:rsidRDefault="00904634" w:rsidP="006A2F15">
      <w:pPr>
        <w:jc w:val="center"/>
        <w:textAlignment w:val="baseline"/>
        <w:rPr>
          <w:rFonts w:cs="Arial"/>
          <w:b/>
          <w:color w:val="000000" w:themeColor="text1"/>
          <w:sz w:val="14"/>
          <w:szCs w:val="18"/>
          <w:lang w:eastAsia="es-CO"/>
        </w:rPr>
      </w:pPr>
    </w:p>
    <w:p w14:paraId="7C44397D" w14:textId="421B8821" w:rsidR="009B56D9" w:rsidRPr="006A2F15" w:rsidRDefault="006A2F15" w:rsidP="006A2F15">
      <w:pPr>
        <w:pStyle w:val="Descripcin"/>
        <w:jc w:val="center"/>
        <w:rPr>
          <w:rFonts w:ascii="Arial" w:hAnsi="Arial" w:cs="Arial"/>
          <w:b/>
          <w:i w:val="0"/>
          <w:color w:val="000000" w:themeColor="text1"/>
          <w:sz w:val="16"/>
          <w:lang w:eastAsia="es-CO"/>
        </w:rPr>
      </w:pPr>
      <w:bookmarkStart w:id="216" w:name="_Toc88677151"/>
      <w:r w:rsidRPr="006A2F15">
        <w:rPr>
          <w:rFonts w:ascii="Arial" w:hAnsi="Arial" w:cs="Arial"/>
          <w:b/>
          <w:i w:val="0"/>
          <w:color w:val="000000" w:themeColor="text1"/>
          <w:sz w:val="16"/>
        </w:rPr>
        <w:t xml:space="preserve">Tabla </w:t>
      </w:r>
      <w:r w:rsidRPr="006A2F15">
        <w:rPr>
          <w:rFonts w:ascii="Arial" w:hAnsi="Arial" w:cs="Arial"/>
          <w:b/>
          <w:i w:val="0"/>
          <w:color w:val="000000" w:themeColor="text1"/>
          <w:sz w:val="16"/>
        </w:rPr>
        <w:fldChar w:fldCharType="begin"/>
      </w:r>
      <w:r w:rsidRPr="006A2F15">
        <w:rPr>
          <w:rFonts w:ascii="Arial" w:hAnsi="Arial" w:cs="Arial"/>
          <w:b/>
          <w:i w:val="0"/>
          <w:color w:val="000000" w:themeColor="text1"/>
          <w:sz w:val="16"/>
        </w:rPr>
        <w:instrText xml:space="preserve"> SEQ Tabla \* ARABIC </w:instrText>
      </w:r>
      <w:r w:rsidRPr="006A2F1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82</w:t>
      </w:r>
      <w:r w:rsidRPr="006A2F15">
        <w:rPr>
          <w:rFonts w:ascii="Arial" w:hAnsi="Arial" w:cs="Arial"/>
          <w:b/>
          <w:i w:val="0"/>
          <w:color w:val="000000" w:themeColor="text1"/>
          <w:sz w:val="16"/>
        </w:rPr>
        <w:fldChar w:fldCharType="end"/>
      </w:r>
      <w:r w:rsidRPr="006A2F15">
        <w:rPr>
          <w:rFonts w:ascii="Arial" w:hAnsi="Arial" w:cs="Arial"/>
          <w:b/>
          <w:i w:val="0"/>
          <w:color w:val="000000" w:themeColor="text1"/>
          <w:sz w:val="16"/>
        </w:rPr>
        <w:t>. Ingresos del</w:t>
      </w:r>
      <w:r>
        <w:rPr>
          <w:rFonts w:ascii="Arial" w:hAnsi="Arial" w:cs="Arial"/>
          <w:b/>
          <w:i w:val="0"/>
          <w:color w:val="000000" w:themeColor="text1"/>
          <w:sz w:val="16"/>
        </w:rPr>
        <w:t xml:space="preserve"> I</w:t>
      </w:r>
      <w:r w:rsidRPr="006A2F15">
        <w:rPr>
          <w:rFonts w:ascii="Arial" w:hAnsi="Arial" w:cs="Arial"/>
          <w:b/>
          <w:i w:val="0"/>
          <w:color w:val="000000" w:themeColor="text1"/>
          <w:sz w:val="16"/>
        </w:rPr>
        <w:t>GAC por concepto</w:t>
      </w:r>
      <w:bookmarkEnd w:id="216"/>
    </w:p>
    <w:tbl>
      <w:tblPr>
        <w:tblStyle w:val="Tabladecuadrcula4-nfasis1"/>
        <w:tblW w:w="76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3"/>
        <w:gridCol w:w="1743"/>
        <w:gridCol w:w="2080"/>
        <w:gridCol w:w="2080"/>
      </w:tblGrid>
      <w:tr w:rsidR="00904634" w:rsidRPr="009B56D9" w14:paraId="7BF9DCCD" w14:textId="77777777" w:rsidTr="00C23D09">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43" w:type="dxa"/>
            <w:tcBorders>
              <w:top w:val="single" w:sz="4" w:space="0" w:color="8DB3E2"/>
              <w:left w:val="single" w:sz="4" w:space="0" w:color="8DB3E2"/>
              <w:bottom w:val="single" w:sz="4" w:space="0" w:color="8DB3E2"/>
              <w:right w:val="single" w:sz="4" w:space="0" w:color="8DB3E2"/>
            </w:tcBorders>
          </w:tcPr>
          <w:p w14:paraId="462BB179" w14:textId="77777777" w:rsidR="00904634" w:rsidRPr="009B56D9" w:rsidRDefault="00904634" w:rsidP="00C23D09">
            <w:pPr>
              <w:jc w:val="center"/>
              <w:textAlignment w:val="baseline"/>
              <w:rPr>
                <w:rFonts w:cs="Arial"/>
                <w:color w:val="FFFFFF"/>
                <w:sz w:val="18"/>
                <w:szCs w:val="18"/>
                <w:lang w:eastAsia="es-CO"/>
              </w:rPr>
            </w:pPr>
            <w:r w:rsidRPr="009B56D9">
              <w:rPr>
                <w:rFonts w:cs="Arial"/>
                <w:color w:val="FFFFFF"/>
                <w:sz w:val="18"/>
                <w:szCs w:val="18"/>
                <w:lang w:eastAsia="es-CO"/>
              </w:rPr>
              <w:t>CONCEPTO</w:t>
            </w:r>
          </w:p>
        </w:tc>
        <w:tc>
          <w:tcPr>
            <w:tcW w:w="1743" w:type="dxa"/>
            <w:tcBorders>
              <w:top w:val="single" w:sz="4" w:space="0" w:color="8DB3E2"/>
              <w:left w:val="single" w:sz="4" w:space="0" w:color="8DB3E2"/>
              <w:bottom w:val="single" w:sz="4" w:space="0" w:color="8DB3E2"/>
              <w:right w:val="single" w:sz="4" w:space="0" w:color="8DB3E2"/>
            </w:tcBorders>
            <w:hideMark/>
          </w:tcPr>
          <w:p w14:paraId="15444AAC" w14:textId="77777777" w:rsidR="00904634" w:rsidRPr="009B56D9" w:rsidRDefault="00904634"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9B56D9">
              <w:rPr>
                <w:rFonts w:cs="Arial"/>
                <w:bCs w:val="0"/>
                <w:color w:val="FFFFFF"/>
                <w:sz w:val="18"/>
                <w:szCs w:val="18"/>
                <w:lang w:eastAsia="es-CO"/>
              </w:rPr>
              <w:t>VENTAS DE CONTADO</w:t>
            </w:r>
            <w:r w:rsidRPr="009B56D9">
              <w:rPr>
                <w:rFonts w:cs="Arial"/>
                <w:color w:val="FFFFFF"/>
                <w:sz w:val="18"/>
                <w:szCs w:val="18"/>
                <w:lang w:eastAsia="es-CO"/>
              </w:rPr>
              <w:t> </w:t>
            </w:r>
          </w:p>
        </w:tc>
        <w:tc>
          <w:tcPr>
            <w:tcW w:w="2080" w:type="dxa"/>
            <w:tcBorders>
              <w:top w:val="single" w:sz="4" w:space="0" w:color="8DB3E2"/>
              <w:left w:val="single" w:sz="4" w:space="0" w:color="8DB3E2"/>
              <w:bottom w:val="single" w:sz="4" w:space="0" w:color="8DB3E2"/>
              <w:right w:val="single" w:sz="4" w:space="0" w:color="8DB3E2"/>
            </w:tcBorders>
            <w:hideMark/>
          </w:tcPr>
          <w:p w14:paraId="77F1688C" w14:textId="77777777" w:rsidR="00904634" w:rsidRPr="009B56D9" w:rsidRDefault="00904634"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sz w:val="18"/>
                <w:szCs w:val="18"/>
                <w:lang w:eastAsia="es-CO"/>
              </w:rPr>
            </w:pPr>
            <w:r w:rsidRPr="009B56D9">
              <w:rPr>
                <w:rFonts w:cs="Arial"/>
                <w:bCs w:val="0"/>
                <w:color w:val="FFFFFF"/>
                <w:sz w:val="18"/>
                <w:szCs w:val="18"/>
                <w:lang w:eastAsia="es-CO"/>
              </w:rPr>
              <w:t>CONVENIOS Y CONTRATOS</w:t>
            </w:r>
            <w:r w:rsidRPr="009B56D9">
              <w:rPr>
                <w:rFonts w:cs="Arial"/>
                <w:color w:val="FFFFFF"/>
                <w:sz w:val="18"/>
                <w:szCs w:val="18"/>
                <w:lang w:eastAsia="es-CO"/>
              </w:rPr>
              <w:t> </w:t>
            </w:r>
          </w:p>
        </w:tc>
        <w:tc>
          <w:tcPr>
            <w:tcW w:w="2080" w:type="dxa"/>
            <w:tcBorders>
              <w:top w:val="single" w:sz="4" w:space="0" w:color="8DB3E2"/>
              <w:left w:val="single" w:sz="4" w:space="0" w:color="8DB3E2"/>
              <w:bottom w:val="single" w:sz="4" w:space="0" w:color="8DB3E2"/>
              <w:right w:val="single" w:sz="4" w:space="0" w:color="8DB3E2"/>
            </w:tcBorders>
          </w:tcPr>
          <w:p w14:paraId="0344A851" w14:textId="77777777" w:rsidR="00904634" w:rsidRPr="009B56D9" w:rsidRDefault="00904634"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18"/>
                <w:szCs w:val="18"/>
                <w:lang w:eastAsia="es-CO"/>
              </w:rPr>
            </w:pPr>
            <w:r w:rsidRPr="009B56D9">
              <w:rPr>
                <w:rFonts w:cs="Arial"/>
                <w:color w:val="FFFFFF"/>
                <w:sz w:val="18"/>
                <w:szCs w:val="18"/>
                <w:lang w:eastAsia="es-CO"/>
              </w:rPr>
              <w:t>TOTAL</w:t>
            </w:r>
          </w:p>
        </w:tc>
      </w:tr>
      <w:tr w:rsidR="00904634" w:rsidRPr="00E504E3" w14:paraId="580421EE" w14:textId="77777777" w:rsidTr="00C23D09">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43" w:type="dxa"/>
            <w:tcBorders>
              <w:top w:val="single" w:sz="4" w:space="0" w:color="8DB3E2"/>
              <w:left w:val="single" w:sz="4" w:space="0" w:color="8DB3E2"/>
              <w:bottom w:val="single" w:sz="4" w:space="0" w:color="8DB3E2"/>
              <w:right w:val="single" w:sz="4" w:space="0" w:color="8DB3E2"/>
            </w:tcBorders>
          </w:tcPr>
          <w:p w14:paraId="3B989937" w14:textId="77777777" w:rsidR="00904634" w:rsidRPr="00CF4D6E" w:rsidRDefault="00904634" w:rsidP="00C23D09">
            <w:pPr>
              <w:jc w:val="center"/>
              <w:textAlignment w:val="baseline"/>
              <w:rPr>
                <w:rFonts w:cs="Arial"/>
                <w:color w:val="000000"/>
                <w:sz w:val="18"/>
                <w:szCs w:val="18"/>
                <w:lang w:eastAsia="es-CO"/>
              </w:rPr>
            </w:pPr>
            <w:r w:rsidRPr="00CF4D6E">
              <w:rPr>
                <w:rFonts w:cs="Arial"/>
                <w:b w:val="0"/>
                <w:bCs w:val="0"/>
                <w:color w:val="000000"/>
                <w:sz w:val="18"/>
                <w:szCs w:val="18"/>
                <w:lang w:eastAsia="es-CO"/>
              </w:rPr>
              <w:t>INGRESOS</w:t>
            </w:r>
          </w:p>
        </w:tc>
        <w:tc>
          <w:tcPr>
            <w:tcW w:w="1743" w:type="dxa"/>
            <w:tcBorders>
              <w:top w:val="single" w:sz="4" w:space="0" w:color="8DB3E2"/>
              <w:left w:val="single" w:sz="4" w:space="0" w:color="8DB3E2"/>
              <w:bottom w:val="single" w:sz="4" w:space="0" w:color="8DB3E2"/>
              <w:right w:val="single" w:sz="4" w:space="0" w:color="8DB3E2"/>
            </w:tcBorders>
            <w:hideMark/>
          </w:tcPr>
          <w:p w14:paraId="683A9D62" w14:textId="77777777" w:rsidR="00904634" w:rsidRPr="00E504E3"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sz w:val="18"/>
                <w:lang w:eastAsia="es-CO"/>
              </w:rPr>
            </w:pPr>
            <w:r w:rsidRPr="00E504E3">
              <w:rPr>
                <w:rFonts w:cs="Arial"/>
                <w:color w:val="000000"/>
                <w:sz w:val="18"/>
                <w:szCs w:val="18"/>
                <w:lang w:eastAsia="es-CO"/>
              </w:rPr>
              <w:t>$3.</w:t>
            </w:r>
            <w:r>
              <w:rPr>
                <w:rFonts w:cs="Arial"/>
                <w:color w:val="000000"/>
                <w:sz w:val="18"/>
                <w:szCs w:val="18"/>
                <w:lang w:eastAsia="es-CO"/>
              </w:rPr>
              <w:t>829</w:t>
            </w:r>
            <w:r w:rsidRPr="00E504E3">
              <w:rPr>
                <w:rFonts w:cs="Arial"/>
                <w:color w:val="000000"/>
                <w:sz w:val="18"/>
                <w:szCs w:val="18"/>
                <w:lang w:eastAsia="es-CO"/>
              </w:rPr>
              <w:t> </w:t>
            </w:r>
          </w:p>
        </w:tc>
        <w:tc>
          <w:tcPr>
            <w:tcW w:w="2080" w:type="dxa"/>
            <w:tcBorders>
              <w:top w:val="single" w:sz="4" w:space="0" w:color="8DB3E2"/>
              <w:left w:val="single" w:sz="4" w:space="0" w:color="8DB3E2"/>
              <w:bottom w:val="single" w:sz="4" w:space="0" w:color="8DB3E2"/>
              <w:right w:val="single" w:sz="4" w:space="0" w:color="8DB3E2"/>
            </w:tcBorders>
            <w:hideMark/>
          </w:tcPr>
          <w:p w14:paraId="2BB4A09B" w14:textId="77777777" w:rsidR="00904634" w:rsidRPr="00E504E3"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b/>
                <w:sz w:val="18"/>
                <w:lang w:eastAsia="es-CO"/>
              </w:rPr>
            </w:pPr>
            <w:r w:rsidRPr="009D023C">
              <w:rPr>
                <w:rFonts w:cs="Arial"/>
                <w:color w:val="000000"/>
                <w:sz w:val="18"/>
                <w:szCs w:val="18"/>
                <w:lang w:eastAsia="es-CO"/>
              </w:rPr>
              <w:t>$13.</w:t>
            </w:r>
            <w:r>
              <w:rPr>
                <w:rFonts w:cs="Arial"/>
                <w:color w:val="000000"/>
                <w:sz w:val="18"/>
                <w:szCs w:val="18"/>
                <w:lang w:eastAsia="es-CO"/>
              </w:rPr>
              <w:t>522</w:t>
            </w:r>
            <w:r w:rsidRPr="00E504E3">
              <w:rPr>
                <w:rFonts w:cs="Arial"/>
                <w:b/>
                <w:color w:val="000000"/>
                <w:sz w:val="18"/>
                <w:szCs w:val="18"/>
                <w:lang w:eastAsia="es-CO"/>
              </w:rPr>
              <w:t> </w:t>
            </w:r>
          </w:p>
        </w:tc>
        <w:tc>
          <w:tcPr>
            <w:tcW w:w="2080" w:type="dxa"/>
            <w:tcBorders>
              <w:top w:val="single" w:sz="4" w:space="0" w:color="8DB3E2"/>
              <w:left w:val="single" w:sz="4" w:space="0" w:color="8DB3E2"/>
              <w:bottom w:val="single" w:sz="4" w:space="0" w:color="8DB3E2"/>
              <w:right w:val="single" w:sz="4" w:space="0" w:color="8DB3E2"/>
            </w:tcBorders>
          </w:tcPr>
          <w:p w14:paraId="4B821248" w14:textId="77777777" w:rsidR="00904634" w:rsidRPr="009D023C"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8"/>
                <w:szCs w:val="18"/>
                <w:lang w:eastAsia="es-CO"/>
              </w:rPr>
            </w:pPr>
            <w:r>
              <w:rPr>
                <w:rFonts w:cs="Arial"/>
                <w:color w:val="000000"/>
                <w:sz w:val="18"/>
                <w:szCs w:val="18"/>
                <w:lang w:eastAsia="es-CO"/>
              </w:rPr>
              <w:t>$17.351</w:t>
            </w:r>
          </w:p>
        </w:tc>
      </w:tr>
      <w:tr w:rsidR="00904634" w:rsidRPr="00E504E3" w14:paraId="65069A03" w14:textId="77777777" w:rsidTr="00C23D09">
        <w:trPr>
          <w:trHeight w:val="315"/>
          <w:jc w:val="center"/>
        </w:trPr>
        <w:tc>
          <w:tcPr>
            <w:cnfStyle w:val="001000000000" w:firstRow="0" w:lastRow="0" w:firstColumn="1" w:lastColumn="0" w:oddVBand="0" w:evenVBand="0" w:oddHBand="0" w:evenHBand="0" w:firstRowFirstColumn="0" w:firstRowLastColumn="0" w:lastRowFirstColumn="0" w:lastRowLastColumn="0"/>
            <w:tcW w:w="1743" w:type="dxa"/>
            <w:tcBorders>
              <w:top w:val="single" w:sz="4" w:space="0" w:color="8DB3E2"/>
              <w:left w:val="single" w:sz="4" w:space="0" w:color="8DB3E2"/>
              <w:bottom w:val="single" w:sz="4" w:space="0" w:color="8DB3E2"/>
              <w:right w:val="single" w:sz="4" w:space="0" w:color="8DB3E2"/>
            </w:tcBorders>
          </w:tcPr>
          <w:p w14:paraId="31969622" w14:textId="77777777" w:rsidR="00904634" w:rsidRPr="00CF4D6E" w:rsidRDefault="00904634" w:rsidP="00C23D09">
            <w:pPr>
              <w:jc w:val="center"/>
              <w:textAlignment w:val="baseline"/>
              <w:rPr>
                <w:rFonts w:cs="Arial"/>
                <w:b w:val="0"/>
                <w:bCs w:val="0"/>
                <w:color w:val="000000"/>
                <w:sz w:val="18"/>
                <w:szCs w:val="18"/>
                <w:lang w:eastAsia="es-CO"/>
              </w:rPr>
            </w:pPr>
            <w:r w:rsidRPr="00CF4D6E">
              <w:rPr>
                <w:rFonts w:cs="Arial"/>
                <w:b w:val="0"/>
                <w:bCs w:val="0"/>
                <w:color w:val="000000"/>
                <w:sz w:val="18"/>
                <w:szCs w:val="18"/>
                <w:lang w:eastAsia="es-CO"/>
              </w:rPr>
              <w:t>META</w:t>
            </w:r>
          </w:p>
        </w:tc>
        <w:tc>
          <w:tcPr>
            <w:tcW w:w="1743" w:type="dxa"/>
            <w:tcBorders>
              <w:top w:val="single" w:sz="4" w:space="0" w:color="8DB3E2"/>
              <w:left w:val="single" w:sz="4" w:space="0" w:color="8DB3E2"/>
              <w:bottom w:val="single" w:sz="4" w:space="0" w:color="8DB3E2"/>
              <w:right w:val="single" w:sz="4" w:space="0" w:color="8DB3E2"/>
            </w:tcBorders>
          </w:tcPr>
          <w:p w14:paraId="790A54B0" w14:textId="77777777" w:rsidR="00904634" w:rsidRPr="00E504E3" w:rsidRDefault="00904634"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Pr>
                <w:rFonts w:cs="Arial"/>
                <w:color w:val="000000"/>
                <w:sz w:val="18"/>
                <w:szCs w:val="18"/>
                <w:lang w:eastAsia="es-CO"/>
              </w:rPr>
              <w:t>$9.259</w:t>
            </w:r>
          </w:p>
        </w:tc>
        <w:tc>
          <w:tcPr>
            <w:tcW w:w="2080" w:type="dxa"/>
            <w:tcBorders>
              <w:top w:val="single" w:sz="4" w:space="0" w:color="8DB3E2"/>
              <w:left w:val="single" w:sz="4" w:space="0" w:color="8DB3E2"/>
              <w:bottom w:val="single" w:sz="4" w:space="0" w:color="8DB3E2"/>
              <w:right w:val="single" w:sz="4" w:space="0" w:color="8DB3E2"/>
            </w:tcBorders>
          </w:tcPr>
          <w:p w14:paraId="1C5FE8F0" w14:textId="77777777" w:rsidR="00904634" w:rsidRPr="00E504E3" w:rsidRDefault="00904634"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b/>
                <w:color w:val="000000"/>
                <w:sz w:val="18"/>
                <w:szCs w:val="18"/>
                <w:lang w:eastAsia="es-CO"/>
              </w:rPr>
            </w:pPr>
            <w:r w:rsidRPr="009E16BA">
              <w:rPr>
                <w:rFonts w:cs="Arial"/>
                <w:color w:val="000000"/>
                <w:sz w:val="18"/>
                <w:szCs w:val="18"/>
                <w:lang w:eastAsia="es-CO"/>
              </w:rPr>
              <w:t>$55.295</w:t>
            </w:r>
          </w:p>
        </w:tc>
        <w:tc>
          <w:tcPr>
            <w:tcW w:w="2080" w:type="dxa"/>
            <w:tcBorders>
              <w:top w:val="single" w:sz="4" w:space="0" w:color="8DB3E2"/>
              <w:left w:val="single" w:sz="4" w:space="0" w:color="8DB3E2"/>
              <w:bottom w:val="single" w:sz="4" w:space="0" w:color="8DB3E2"/>
              <w:right w:val="single" w:sz="4" w:space="0" w:color="8DB3E2"/>
            </w:tcBorders>
          </w:tcPr>
          <w:p w14:paraId="2678028D" w14:textId="77777777" w:rsidR="00904634" w:rsidRPr="009E16BA" w:rsidRDefault="00904634"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8"/>
                <w:szCs w:val="18"/>
                <w:lang w:eastAsia="es-CO"/>
              </w:rPr>
            </w:pPr>
            <w:r>
              <w:rPr>
                <w:rFonts w:cs="Arial"/>
                <w:color w:val="000000"/>
                <w:sz w:val="18"/>
                <w:szCs w:val="18"/>
                <w:lang w:eastAsia="es-CO"/>
              </w:rPr>
              <w:t>$64.554</w:t>
            </w:r>
          </w:p>
        </w:tc>
      </w:tr>
      <w:tr w:rsidR="00904634" w:rsidRPr="00E504E3" w14:paraId="5A35070E" w14:textId="77777777" w:rsidTr="00C23D09">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43" w:type="dxa"/>
            <w:tcBorders>
              <w:top w:val="single" w:sz="4" w:space="0" w:color="8DB3E2"/>
              <w:left w:val="single" w:sz="4" w:space="0" w:color="8DB3E2"/>
              <w:bottom w:val="single" w:sz="4" w:space="0" w:color="8DB3E2"/>
              <w:right w:val="single" w:sz="4" w:space="0" w:color="8DB3E2"/>
            </w:tcBorders>
          </w:tcPr>
          <w:p w14:paraId="494F472C" w14:textId="77777777" w:rsidR="00904634" w:rsidRDefault="00904634" w:rsidP="00C23D09">
            <w:pPr>
              <w:jc w:val="center"/>
              <w:textAlignment w:val="baseline"/>
              <w:rPr>
                <w:rFonts w:cs="Arial"/>
                <w:color w:val="000000"/>
                <w:sz w:val="18"/>
                <w:szCs w:val="18"/>
                <w:lang w:eastAsia="es-CO"/>
              </w:rPr>
            </w:pPr>
            <w:r>
              <w:rPr>
                <w:rFonts w:cs="Arial"/>
                <w:color w:val="000000"/>
                <w:sz w:val="18"/>
                <w:szCs w:val="18"/>
                <w:lang w:eastAsia="es-CO"/>
              </w:rPr>
              <w:t>AVANCE</w:t>
            </w:r>
          </w:p>
        </w:tc>
        <w:tc>
          <w:tcPr>
            <w:tcW w:w="1743" w:type="dxa"/>
            <w:tcBorders>
              <w:top w:val="single" w:sz="4" w:space="0" w:color="8DB3E2"/>
              <w:left w:val="single" w:sz="4" w:space="0" w:color="8DB3E2"/>
              <w:bottom w:val="single" w:sz="4" w:space="0" w:color="8DB3E2"/>
              <w:right w:val="single" w:sz="4" w:space="0" w:color="8DB3E2"/>
            </w:tcBorders>
          </w:tcPr>
          <w:p w14:paraId="016A33E9" w14:textId="77777777" w:rsidR="00904634" w:rsidRPr="000F18C8"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eastAsia="es-CO"/>
              </w:rPr>
            </w:pPr>
            <w:r w:rsidRPr="000F18C8">
              <w:rPr>
                <w:rFonts w:cs="Arial"/>
                <w:b/>
                <w:bCs/>
                <w:color w:val="000000"/>
                <w:sz w:val="18"/>
                <w:szCs w:val="18"/>
                <w:lang w:eastAsia="es-CO"/>
              </w:rPr>
              <w:t>41,3%</w:t>
            </w:r>
          </w:p>
        </w:tc>
        <w:tc>
          <w:tcPr>
            <w:tcW w:w="2080" w:type="dxa"/>
            <w:tcBorders>
              <w:top w:val="single" w:sz="4" w:space="0" w:color="8DB3E2"/>
              <w:left w:val="single" w:sz="4" w:space="0" w:color="8DB3E2"/>
              <w:bottom w:val="single" w:sz="4" w:space="0" w:color="8DB3E2"/>
              <w:right w:val="single" w:sz="4" w:space="0" w:color="8DB3E2"/>
            </w:tcBorders>
          </w:tcPr>
          <w:p w14:paraId="62562BB6" w14:textId="77777777" w:rsidR="00904634" w:rsidRPr="000F18C8"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eastAsia="es-CO"/>
              </w:rPr>
            </w:pPr>
            <w:r w:rsidRPr="000F18C8">
              <w:rPr>
                <w:rFonts w:cs="Arial"/>
                <w:b/>
                <w:bCs/>
                <w:color w:val="000000"/>
                <w:sz w:val="18"/>
                <w:szCs w:val="18"/>
                <w:lang w:eastAsia="es-CO"/>
              </w:rPr>
              <w:t>2</w:t>
            </w:r>
            <w:r>
              <w:rPr>
                <w:rFonts w:cs="Arial"/>
                <w:b/>
                <w:bCs/>
                <w:color w:val="000000"/>
                <w:sz w:val="18"/>
                <w:szCs w:val="18"/>
                <w:lang w:eastAsia="es-CO"/>
              </w:rPr>
              <w:t>4</w:t>
            </w:r>
            <w:r w:rsidRPr="000F18C8">
              <w:rPr>
                <w:rFonts w:cs="Arial"/>
                <w:b/>
                <w:bCs/>
                <w:color w:val="000000"/>
                <w:sz w:val="18"/>
                <w:szCs w:val="18"/>
                <w:lang w:eastAsia="es-CO"/>
              </w:rPr>
              <w:t>,</w:t>
            </w:r>
            <w:r>
              <w:rPr>
                <w:rFonts w:cs="Arial"/>
                <w:b/>
                <w:bCs/>
                <w:color w:val="000000"/>
                <w:sz w:val="18"/>
                <w:szCs w:val="18"/>
                <w:lang w:eastAsia="es-CO"/>
              </w:rPr>
              <w:t>4</w:t>
            </w:r>
            <w:r w:rsidRPr="000F18C8">
              <w:rPr>
                <w:rFonts w:cs="Arial"/>
                <w:b/>
                <w:bCs/>
                <w:color w:val="000000"/>
                <w:sz w:val="18"/>
                <w:szCs w:val="18"/>
                <w:lang w:eastAsia="es-CO"/>
              </w:rPr>
              <w:t>%</w:t>
            </w:r>
          </w:p>
        </w:tc>
        <w:tc>
          <w:tcPr>
            <w:tcW w:w="2080" w:type="dxa"/>
            <w:tcBorders>
              <w:top w:val="single" w:sz="4" w:space="0" w:color="8DB3E2"/>
              <w:left w:val="single" w:sz="4" w:space="0" w:color="8DB3E2"/>
              <w:bottom w:val="single" w:sz="4" w:space="0" w:color="8DB3E2"/>
              <w:right w:val="single" w:sz="4" w:space="0" w:color="8DB3E2"/>
            </w:tcBorders>
          </w:tcPr>
          <w:p w14:paraId="1ED7DC8E" w14:textId="77777777" w:rsidR="00904634" w:rsidRPr="000F18C8" w:rsidRDefault="00904634"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eastAsia="es-CO"/>
              </w:rPr>
            </w:pPr>
            <w:r>
              <w:rPr>
                <w:rFonts w:cs="Arial"/>
                <w:b/>
                <w:bCs/>
                <w:color w:val="000000"/>
                <w:sz w:val="18"/>
                <w:szCs w:val="18"/>
                <w:lang w:eastAsia="es-CO"/>
              </w:rPr>
              <w:t>26,8%</w:t>
            </w:r>
          </w:p>
        </w:tc>
      </w:tr>
    </w:tbl>
    <w:p w14:paraId="5C5767C0" w14:textId="06C68414" w:rsidR="00904634" w:rsidRPr="006A2F15" w:rsidRDefault="00904634" w:rsidP="006A2F15">
      <w:pPr>
        <w:jc w:val="center"/>
        <w:textAlignment w:val="baseline"/>
        <w:rPr>
          <w:rFonts w:cs="Arial"/>
          <w:b/>
          <w:sz w:val="16"/>
          <w:szCs w:val="16"/>
          <w:lang w:eastAsia="es-CO"/>
        </w:rPr>
      </w:pPr>
      <w:r w:rsidRPr="006A2F15">
        <w:rPr>
          <w:rFonts w:cs="Arial"/>
          <w:b/>
          <w:sz w:val="16"/>
          <w:szCs w:val="16"/>
          <w:lang w:eastAsia="es-CO"/>
        </w:rPr>
        <w:t>Fuente: SIIF Nación (cifras expresadas en millones)</w:t>
      </w:r>
    </w:p>
    <w:p w14:paraId="2034057F" w14:textId="77777777" w:rsidR="00904634" w:rsidRDefault="00904634" w:rsidP="00904634">
      <w:pPr>
        <w:jc w:val="both"/>
        <w:textAlignment w:val="baseline"/>
        <w:rPr>
          <w:rFonts w:cs="Arial"/>
          <w:sz w:val="22"/>
          <w:szCs w:val="22"/>
          <w:lang w:eastAsia="es-CO"/>
        </w:rPr>
      </w:pPr>
      <w:r w:rsidRPr="00A9783B">
        <w:rPr>
          <w:rFonts w:cs="Arial"/>
          <w:sz w:val="22"/>
          <w:szCs w:val="22"/>
          <w:lang w:eastAsia="es-CO"/>
        </w:rPr>
        <w:t xml:space="preserve"> </w:t>
      </w:r>
    </w:p>
    <w:p w14:paraId="06C39D53" w14:textId="08C5A446" w:rsidR="00904634" w:rsidRDefault="00904634" w:rsidP="00904634">
      <w:pPr>
        <w:jc w:val="both"/>
        <w:textAlignment w:val="baseline"/>
        <w:rPr>
          <w:rFonts w:cs="Arial"/>
          <w:sz w:val="22"/>
          <w:szCs w:val="22"/>
          <w:lang w:eastAsia="es-CO"/>
        </w:rPr>
      </w:pPr>
      <w:r>
        <w:rPr>
          <w:rFonts w:cs="Arial"/>
          <w:sz w:val="22"/>
          <w:szCs w:val="22"/>
          <w:lang w:eastAsia="es-CO"/>
        </w:rPr>
        <w:t>En la siguiente gráfica se puede observar el comportamiento histórico de los ingresos generados por ventas de contado en el periodo de enero a octubre desde el año 2017.</w:t>
      </w:r>
    </w:p>
    <w:p w14:paraId="213BBCF7" w14:textId="77777777" w:rsidR="006A2F15" w:rsidRDefault="006A2F15" w:rsidP="00904634">
      <w:pPr>
        <w:jc w:val="both"/>
        <w:textAlignment w:val="baseline"/>
        <w:rPr>
          <w:rFonts w:cs="Arial"/>
          <w:sz w:val="22"/>
          <w:szCs w:val="22"/>
          <w:lang w:eastAsia="es-CO"/>
        </w:rPr>
      </w:pPr>
    </w:p>
    <w:p w14:paraId="214F9194" w14:textId="7278BD9F" w:rsidR="009B56D9" w:rsidRDefault="009B56D9" w:rsidP="00904634">
      <w:pPr>
        <w:jc w:val="both"/>
        <w:textAlignment w:val="baseline"/>
        <w:rPr>
          <w:rFonts w:cs="Arial"/>
          <w:sz w:val="22"/>
          <w:szCs w:val="22"/>
          <w:lang w:eastAsia="es-CO"/>
        </w:rPr>
      </w:pPr>
    </w:p>
    <w:p w14:paraId="0602BED4" w14:textId="7FCB6C8F" w:rsidR="00912343" w:rsidRDefault="00912343" w:rsidP="00904634">
      <w:pPr>
        <w:jc w:val="both"/>
        <w:textAlignment w:val="baseline"/>
        <w:rPr>
          <w:rFonts w:cs="Arial"/>
          <w:sz w:val="22"/>
          <w:szCs w:val="22"/>
          <w:lang w:eastAsia="es-CO"/>
        </w:rPr>
      </w:pPr>
    </w:p>
    <w:p w14:paraId="3A10A4C2" w14:textId="77777777" w:rsidR="00912343" w:rsidRDefault="00912343" w:rsidP="00904634">
      <w:pPr>
        <w:jc w:val="both"/>
        <w:textAlignment w:val="baseline"/>
        <w:rPr>
          <w:rFonts w:cs="Arial"/>
          <w:sz w:val="22"/>
          <w:szCs w:val="22"/>
          <w:lang w:eastAsia="es-CO"/>
        </w:rPr>
      </w:pPr>
    </w:p>
    <w:p w14:paraId="134E076A" w14:textId="65053FE2" w:rsidR="00912343" w:rsidRPr="00912343" w:rsidRDefault="00912343" w:rsidP="00912343">
      <w:pPr>
        <w:pStyle w:val="Descripcin"/>
        <w:jc w:val="center"/>
        <w:rPr>
          <w:rFonts w:ascii="Arial" w:hAnsi="Arial" w:cs="Arial"/>
          <w:b/>
          <w:i w:val="0"/>
          <w:color w:val="000000" w:themeColor="text1"/>
          <w:sz w:val="20"/>
          <w:szCs w:val="22"/>
          <w:lang w:eastAsia="es-CO"/>
        </w:rPr>
      </w:pPr>
      <w:bookmarkStart w:id="217" w:name="_Toc88677228"/>
      <w:r w:rsidRPr="00912343">
        <w:rPr>
          <w:rFonts w:ascii="Arial" w:hAnsi="Arial" w:cs="Arial"/>
          <w:b/>
          <w:i w:val="0"/>
          <w:color w:val="000000" w:themeColor="text1"/>
          <w:sz w:val="16"/>
        </w:rPr>
        <w:t xml:space="preserve">Ilustración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Ilustración \* ARABIC </w:instrText>
      </w:r>
      <w:r w:rsidRPr="00912343">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72</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Histórico ingresos generados</w:t>
      </w:r>
      <w:bookmarkEnd w:id="217"/>
    </w:p>
    <w:p w14:paraId="197737DF" w14:textId="77777777" w:rsidR="00904634" w:rsidRDefault="00904634" w:rsidP="00904634">
      <w:pPr>
        <w:pStyle w:val="Prrafodelista"/>
        <w:ind w:left="90"/>
        <w:jc w:val="center"/>
        <w:rPr>
          <w:rFonts w:ascii="Segoe UI" w:hAnsi="Segoe UI" w:cs="Segoe UI"/>
          <w:sz w:val="18"/>
          <w:szCs w:val="18"/>
          <w:lang w:eastAsia="es-CO"/>
        </w:rPr>
      </w:pPr>
      <w:r w:rsidRPr="009E410E">
        <w:rPr>
          <w:noProof/>
          <w:shd w:val="clear" w:color="auto" w:fill="17365D" w:themeFill="text2" w:themeFillShade="BF"/>
          <w:lang w:val="es-CO" w:eastAsia="es-CO"/>
        </w:rPr>
        <w:drawing>
          <wp:inline distT="0" distB="0" distL="0" distR="0" wp14:anchorId="1F8E9FF6" wp14:editId="3D9B75F0">
            <wp:extent cx="5943600" cy="5273749"/>
            <wp:effectExtent l="0" t="0" r="12700" b="9525"/>
            <wp:docPr id="29" name="Chart 14">
              <a:extLst xmlns:a="http://schemas.openxmlformats.org/drawingml/2006/main">
                <a:ext uri="{FF2B5EF4-FFF2-40B4-BE49-F238E27FC236}">
                  <a16:creationId xmlns:a16="http://schemas.microsoft.com/office/drawing/2014/main" id="{8A5501FD-9C4B-9B4D-9C7A-F1B4E7F3929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7"/>
              </a:graphicData>
            </a:graphic>
          </wp:inline>
        </w:drawing>
      </w:r>
    </w:p>
    <w:p w14:paraId="0DA71AC4" w14:textId="77777777" w:rsidR="00904634" w:rsidRPr="006A2F15" w:rsidRDefault="00904634" w:rsidP="00904634">
      <w:pPr>
        <w:jc w:val="center"/>
        <w:textAlignment w:val="baseline"/>
        <w:rPr>
          <w:rFonts w:cs="Arial"/>
          <w:b/>
          <w:sz w:val="16"/>
          <w:szCs w:val="16"/>
          <w:lang w:eastAsia="es-CO"/>
        </w:rPr>
      </w:pPr>
      <w:r w:rsidRPr="006A2F15">
        <w:rPr>
          <w:rFonts w:cs="Arial"/>
          <w:b/>
          <w:sz w:val="16"/>
          <w:szCs w:val="16"/>
          <w:lang w:eastAsia="es-CO"/>
        </w:rPr>
        <w:t>Fuente: SIIF Nación (cifras expresadas en millones)</w:t>
      </w:r>
    </w:p>
    <w:p w14:paraId="33C8E129" w14:textId="51E88BB0" w:rsidR="00904634" w:rsidRPr="002019F0" w:rsidRDefault="00904634" w:rsidP="006A2F15">
      <w:pPr>
        <w:textAlignment w:val="baseline"/>
        <w:rPr>
          <w:rFonts w:ascii="Segoe UI" w:hAnsi="Segoe UI" w:cs="Segoe UI"/>
          <w:sz w:val="18"/>
          <w:szCs w:val="18"/>
          <w:lang w:eastAsia="es-CO"/>
        </w:rPr>
      </w:pPr>
    </w:p>
    <w:p w14:paraId="3C72B67D" w14:textId="525505AF" w:rsidR="00904634" w:rsidRDefault="00904634" w:rsidP="00904634">
      <w:pPr>
        <w:jc w:val="both"/>
        <w:textAlignment w:val="baseline"/>
        <w:rPr>
          <w:rFonts w:cs="Arial"/>
          <w:sz w:val="22"/>
          <w:szCs w:val="22"/>
          <w:lang w:eastAsia="es-CO"/>
        </w:rPr>
      </w:pPr>
      <w:r>
        <w:rPr>
          <w:rFonts w:cs="Arial"/>
          <w:sz w:val="22"/>
          <w:szCs w:val="22"/>
          <w:lang w:eastAsia="es-CO"/>
        </w:rPr>
        <w:t xml:space="preserve">Con un avance del 41,3% frente a la meta, </w:t>
      </w:r>
      <w:r w:rsidRPr="62A214FA">
        <w:rPr>
          <w:rFonts w:cs="Arial"/>
          <w:sz w:val="22"/>
          <w:szCs w:val="22"/>
          <w:lang w:eastAsia="es-CO"/>
        </w:rPr>
        <w:t>las ventas de contado han registrado ingresos por $3.829, comparado con el año inmediatamente anterior se puede evidenciar en la gráfica una variación positiva del 19,4% en el mismo periodo de tiempo. Siendo marzo y mayo los meses con mayor registro de ingresos en el 2021, enero y abril fueron los meses de menor ingresos por ventas de contado.</w:t>
      </w:r>
      <w:r>
        <w:rPr>
          <w:rFonts w:cs="Arial"/>
          <w:sz w:val="22"/>
          <w:szCs w:val="22"/>
          <w:lang w:eastAsia="es-CO"/>
        </w:rPr>
        <w:t xml:space="preserve"> </w:t>
      </w:r>
    </w:p>
    <w:p w14:paraId="22C7E2D8" w14:textId="69562AE5" w:rsidR="009B56D9" w:rsidRDefault="009B56D9" w:rsidP="00904634">
      <w:pPr>
        <w:jc w:val="both"/>
        <w:textAlignment w:val="baseline"/>
        <w:rPr>
          <w:rFonts w:cs="Arial"/>
          <w:sz w:val="22"/>
          <w:szCs w:val="22"/>
          <w:lang w:eastAsia="es-CO"/>
        </w:rPr>
      </w:pPr>
    </w:p>
    <w:p w14:paraId="29B87666" w14:textId="24A2ED6A" w:rsidR="009B56D9" w:rsidRDefault="009B56D9" w:rsidP="00904634">
      <w:pPr>
        <w:jc w:val="both"/>
        <w:textAlignment w:val="baseline"/>
        <w:rPr>
          <w:rFonts w:cs="Arial"/>
          <w:sz w:val="22"/>
          <w:szCs w:val="22"/>
          <w:lang w:eastAsia="es-CO"/>
        </w:rPr>
      </w:pPr>
    </w:p>
    <w:p w14:paraId="197AC47E" w14:textId="15D0C61B" w:rsidR="009B56D9" w:rsidRDefault="009B56D9" w:rsidP="00904634">
      <w:pPr>
        <w:jc w:val="both"/>
        <w:textAlignment w:val="baseline"/>
        <w:rPr>
          <w:rFonts w:cs="Arial"/>
          <w:sz w:val="22"/>
          <w:szCs w:val="22"/>
          <w:lang w:eastAsia="es-CO"/>
        </w:rPr>
      </w:pPr>
    </w:p>
    <w:p w14:paraId="054CB35C" w14:textId="6A8970B7" w:rsidR="009B56D9" w:rsidRDefault="009B56D9" w:rsidP="00904634">
      <w:pPr>
        <w:jc w:val="both"/>
        <w:textAlignment w:val="baseline"/>
        <w:rPr>
          <w:rFonts w:cs="Arial"/>
          <w:sz w:val="22"/>
          <w:szCs w:val="22"/>
          <w:lang w:eastAsia="es-CO"/>
        </w:rPr>
      </w:pPr>
    </w:p>
    <w:p w14:paraId="35B60156" w14:textId="225E0674" w:rsidR="009B56D9" w:rsidRDefault="009B56D9" w:rsidP="00904634">
      <w:pPr>
        <w:jc w:val="both"/>
        <w:textAlignment w:val="baseline"/>
        <w:rPr>
          <w:rFonts w:cs="Arial"/>
          <w:sz w:val="22"/>
          <w:szCs w:val="22"/>
          <w:lang w:eastAsia="es-CO"/>
        </w:rPr>
      </w:pPr>
    </w:p>
    <w:p w14:paraId="0C2A4B30" w14:textId="4D932902" w:rsidR="009B56D9" w:rsidRDefault="009B56D9" w:rsidP="00904634">
      <w:pPr>
        <w:jc w:val="both"/>
        <w:textAlignment w:val="baseline"/>
        <w:rPr>
          <w:rFonts w:cs="Arial"/>
          <w:sz w:val="22"/>
          <w:szCs w:val="22"/>
          <w:lang w:eastAsia="es-CO"/>
        </w:rPr>
      </w:pPr>
    </w:p>
    <w:p w14:paraId="4DE0FBD4" w14:textId="6143B494" w:rsidR="009B56D9" w:rsidRDefault="009B56D9" w:rsidP="009B56D9">
      <w:pPr>
        <w:jc w:val="both"/>
        <w:textAlignment w:val="baseline"/>
        <w:rPr>
          <w:rFonts w:cs="Arial"/>
          <w:sz w:val="22"/>
          <w:szCs w:val="22"/>
          <w:lang w:eastAsia="es-CO"/>
        </w:rPr>
      </w:pPr>
    </w:p>
    <w:p w14:paraId="7D738334" w14:textId="537D623E" w:rsidR="006A2F15" w:rsidRDefault="006A2F15" w:rsidP="009B56D9">
      <w:pPr>
        <w:jc w:val="both"/>
        <w:textAlignment w:val="baseline"/>
        <w:rPr>
          <w:rFonts w:cs="Arial"/>
          <w:sz w:val="22"/>
          <w:szCs w:val="22"/>
          <w:lang w:eastAsia="es-CO"/>
        </w:rPr>
      </w:pPr>
    </w:p>
    <w:p w14:paraId="0C2EC436" w14:textId="7929FD5E" w:rsidR="006A2F15" w:rsidRDefault="006A2F15" w:rsidP="009B56D9">
      <w:pPr>
        <w:jc w:val="both"/>
        <w:textAlignment w:val="baseline"/>
        <w:rPr>
          <w:rFonts w:cs="Arial"/>
          <w:sz w:val="22"/>
          <w:szCs w:val="22"/>
          <w:lang w:eastAsia="es-CO"/>
        </w:rPr>
      </w:pPr>
    </w:p>
    <w:p w14:paraId="5AE9F05D" w14:textId="77777777" w:rsidR="006A2F15" w:rsidRDefault="006A2F15" w:rsidP="009B56D9">
      <w:pPr>
        <w:jc w:val="both"/>
        <w:textAlignment w:val="baseline"/>
        <w:rPr>
          <w:rFonts w:cs="Arial"/>
          <w:sz w:val="22"/>
          <w:szCs w:val="22"/>
          <w:lang w:eastAsia="es-CO"/>
        </w:rPr>
      </w:pPr>
    </w:p>
    <w:p w14:paraId="403F0CF5" w14:textId="48E10307" w:rsidR="009B56D9" w:rsidRPr="00912343" w:rsidRDefault="00912343" w:rsidP="00912343">
      <w:pPr>
        <w:pStyle w:val="Descripcin"/>
        <w:jc w:val="center"/>
        <w:rPr>
          <w:rFonts w:ascii="Arial" w:hAnsi="Arial" w:cs="Arial"/>
          <w:b/>
          <w:i w:val="0"/>
          <w:color w:val="000000" w:themeColor="text1"/>
          <w:szCs w:val="22"/>
          <w:lang w:eastAsia="es-CO"/>
        </w:rPr>
      </w:pPr>
      <w:bookmarkStart w:id="218" w:name="_Toc88677229"/>
      <w:r w:rsidRPr="00912343">
        <w:rPr>
          <w:rFonts w:ascii="Arial" w:hAnsi="Arial" w:cs="Arial"/>
          <w:b/>
          <w:i w:val="0"/>
          <w:color w:val="000000" w:themeColor="text1"/>
          <w:sz w:val="16"/>
        </w:rPr>
        <w:t xml:space="preserve">Ilustración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Ilustración \* ARABIC </w:instrText>
      </w:r>
      <w:r w:rsidRPr="00912343">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73</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Histórico de ventas por contratos y convenios</w:t>
      </w:r>
      <w:bookmarkEnd w:id="218"/>
    </w:p>
    <w:p w14:paraId="17CFB606" w14:textId="77777777" w:rsidR="00904634" w:rsidRDefault="00904634" w:rsidP="00904634">
      <w:pPr>
        <w:textAlignment w:val="baseline"/>
        <w:rPr>
          <w:rFonts w:ascii="MS Mincho" w:eastAsia="MS Mincho" w:hAnsi="Verdana" w:cs="Segoe UI"/>
          <w:sz w:val="22"/>
          <w:szCs w:val="22"/>
          <w:lang w:eastAsia="es-CO"/>
        </w:rPr>
      </w:pPr>
      <w:r>
        <w:rPr>
          <w:noProof/>
          <w:lang w:val="es-CO" w:eastAsia="es-CO"/>
        </w:rPr>
        <w:drawing>
          <wp:inline distT="0" distB="0" distL="0" distR="0" wp14:anchorId="10083C4D" wp14:editId="21CEE6BC">
            <wp:extent cx="5861050" cy="4064000"/>
            <wp:effectExtent l="0" t="0" r="6350" b="12700"/>
            <wp:docPr id="34" name="Chart 21">
              <a:extLst xmlns:a="http://schemas.openxmlformats.org/drawingml/2006/main">
                <a:ext uri="{FF2B5EF4-FFF2-40B4-BE49-F238E27FC236}">
                  <a16:creationId xmlns:a16="http://schemas.microsoft.com/office/drawing/2014/main" id="{233AD6C9-4B58-1A4B-A6E9-88265A7C499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8"/>
              </a:graphicData>
            </a:graphic>
          </wp:inline>
        </w:drawing>
      </w:r>
    </w:p>
    <w:p w14:paraId="490D535A" w14:textId="5DBC0887" w:rsidR="00904634" w:rsidRDefault="00904634" w:rsidP="006A2F15">
      <w:pPr>
        <w:jc w:val="center"/>
        <w:textAlignment w:val="baseline"/>
        <w:rPr>
          <w:rFonts w:cs="Arial"/>
          <w:b/>
          <w:sz w:val="16"/>
          <w:szCs w:val="16"/>
          <w:lang w:eastAsia="es-CO"/>
        </w:rPr>
      </w:pPr>
      <w:r w:rsidRPr="006A2F15">
        <w:rPr>
          <w:rFonts w:cs="Arial"/>
          <w:b/>
          <w:sz w:val="16"/>
          <w:szCs w:val="16"/>
          <w:lang w:eastAsia="es-CO"/>
        </w:rPr>
        <w:t>Fuente: SIIF Nación (cifras expresadas en millones)</w:t>
      </w:r>
    </w:p>
    <w:p w14:paraId="119FFA30" w14:textId="77777777" w:rsidR="006A2F15" w:rsidRPr="006A2F15" w:rsidRDefault="006A2F15" w:rsidP="006A2F15">
      <w:pPr>
        <w:jc w:val="center"/>
        <w:textAlignment w:val="baseline"/>
        <w:rPr>
          <w:rFonts w:cs="Arial"/>
          <w:b/>
          <w:sz w:val="16"/>
          <w:szCs w:val="16"/>
          <w:lang w:eastAsia="es-CO"/>
        </w:rPr>
      </w:pPr>
    </w:p>
    <w:p w14:paraId="7C8F92CA" w14:textId="3D7100B7" w:rsidR="00904634" w:rsidRDefault="00904634" w:rsidP="00904634">
      <w:pPr>
        <w:jc w:val="both"/>
        <w:textAlignment w:val="baseline"/>
        <w:rPr>
          <w:rFonts w:ascii="MS Mincho" w:eastAsia="MS Mincho" w:hAnsi="Verdana" w:cs="Segoe UI"/>
          <w:sz w:val="22"/>
          <w:szCs w:val="22"/>
          <w:lang w:eastAsia="es-CO"/>
        </w:rPr>
      </w:pPr>
      <w:r w:rsidRPr="62A214FA">
        <w:rPr>
          <w:rFonts w:eastAsia="MS Mincho" w:cs="Arial"/>
          <w:sz w:val="22"/>
          <w:szCs w:val="22"/>
          <w:lang w:eastAsia="es-CO"/>
        </w:rPr>
        <w:t>En cuanto a las ventas por convenios y contratos</w:t>
      </w:r>
      <w:r>
        <w:rPr>
          <w:rFonts w:eastAsia="MS Mincho" w:cs="Arial"/>
          <w:sz w:val="22"/>
          <w:szCs w:val="22"/>
          <w:lang w:eastAsia="es-CO"/>
        </w:rPr>
        <w:t xml:space="preserve"> se puede evidenciar un avance del 24,4% frente a la meta y</w:t>
      </w:r>
      <w:r w:rsidRPr="62A214FA">
        <w:rPr>
          <w:rFonts w:eastAsia="MS Mincho" w:cs="Arial"/>
          <w:sz w:val="22"/>
          <w:szCs w:val="22"/>
          <w:lang w:eastAsia="es-CO"/>
        </w:rPr>
        <w:t xml:space="preserve"> se han recaudado $1</w:t>
      </w:r>
      <w:r>
        <w:rPr>
          <w:rFonts w:eastAsia="MS Mincho" w:cs="Arial"/>
          <w:sz w:val="22"/>
          <w:szCs w:val="22"/>
          <w:lang w:eastAsia="es-CO"/>
        </w:rPr>
        <w:t>3</w:t>
      </w:r>
      <w:r w:rsidRPr="62A214FA">
        <w:rPr>
          <w:rFonts w:eastAsia="MS Mincho" w:cs="Arial"/>
          <w:sz w:val="22"/>
          <w:szCs w:val="22"/>
          <w:lang w:eastAsia="es-CO"/>
        </w:rPr>
        <w:t>.</w:t>
      </w:r>
      <w:r>
        <w:rPr>
          <w:rFonts w:eastAsia="MS Mincho" w:cs="Arial"/>
          <w:sz w:val="22"/>
          <w:szCs w:val="22"/>
          <w:lang w:eastAsia="es-CO"/>
        </w:rPr>
        <w:t>522</w:t>
      </w:r>
      <w:r w:rsidRPr="62A214FA">
        <w:rPr>
          <w:rFonts w:eastAsia="MS Mincho" w:cs="Arial"/>
          <w:sz w:val="22"/>
          <w:szCs w:val="22"/>
          <w:lang w:eastAsia="es-CO"/>
        </w:rPr>
        <w:t xml:space="preserve"> a 3</w:t>
      </w:r>
      <w:r>
        <w:rPr>
          <w:rFonts w:eastAsia="MS Mincho" w:cs="Arial"/>
          <w:sz w:val="22"/>
          <w:szCs w:val="22"/>
          <w:lang w:eastAsia="es-CO"/>
        </w:rPr>
        <w:t xml:space="preserve">1 </w:t>
      </w:r>
      <w:r w:rsidRPr="62A214FA">
        <w:rPr>
          <w:rFonts w:eastAsia="MS Mincho" w:cs="Arial"/>
          <w:sz w:val="22"/>
          <w:szCs w:val="22"/>
          <w:lang w:eastAsia="es-CO"/>
        </w:rPr>
        <w:t xml:space="preserve">de </w:t>
      </w:r>
      <w:r>
        <w:rPr>
          <w:rFonts w:eastAsia="MS Mincho" w:cs="Arial"/>
          <w:sz w:val="22"/>
          <w:szCs w:val="22"/>
          <w:lang w:eastAsia="es-CO"/>
        </w:rPr>
        <w:t>octubre</w:t>
      </w:r>
      <w:r w:rsidRPr="62A214FA">
        <w:rPr>
          <w:rFonts w:eastAsia="MS Mincho" w:cs="Arial"/>
          <w:sz w:val="22"/>
          <w:szCs w:val="22"/>
          <w:lang w:eastAsia="es-CO"/>
        </w:rPr>
        <w:t xml:space="preserve"> de 2021</w:t>
      </w:r>
      <w:r>
        <w:rPr>
          <w:rFonts w:eastAsia="MS Mincho" w:cs="Arial"/>
          <w:sz w:val="22"/>
          <w:szCs w:val="22"/>
          <w:lang w:eastAsia="es-CO"/>
        </w:rPr>
        <w:t>.S</w:t>
      </w:r>
      <w:r w:rsidRPr="62A214FA">
        <w:rPr>
          <w:rFonts w:eastAsia="MS Mincho" w:cs="Arial"/>
          <w:sz w:val="22"/>
          <w:szCs w:val="22"/>
          <w:lang w:eastAsia="es-CO"/>
        </w:rPr>
        <w:t xml:space="preserve">e puede analizar en la gráfica </w:t>
      </w:r>
      <w:r>
        <w:rPr>
          <w:rFonts w:eastAsia="MS Mincho" w:cs="Arial"/>
          <w:sz w:val="22"/>
          <w:szCs w:val="22"/>
          <w:lang w:eastAsia="es-CO"/>
        </w:rPr>
        <w:t>una variación del 82,3% en los ingresos en el periodo de enero a octubre comparado con el año inmediatamente anterior.</w:t>
      </w:r>
    </w:p>
    <w:p w14:paraId="04E1F925" w14:textId="77777777" w:rsidR="00904634" w:rsidRDefault="00904634" w:rsidP="00DC4D58">
      <w:pPr>
        <w:textAlignment w:val="baseline"/>
        <w:rPr>
          <w:rFonts w:cs="Arial"/>
          <w:sz w:val="16"/>
          <w:lang w:eastAsia="es-CO"/>
        </w:rPr>
      </w:pPr>
    </w:p>
    <w:p w14:paraId="70BF2341" w14:textId="76F7EF8A" w:rsidR="00904634" w:rsidRPr="006A2F15" w:rsidRDefault="006A2F15" w:rsidP="006A2F15">
      <w:pPr>
        <w:pStyle w:val="Descripcin"/>
        <w:jc w:val="center"/>
        <w:rPr>
          <w:rFonts w:ascii="Arial" w:hAnsi="Arial" w:cs="Arial"/>
          <w:b/>
          <w:i w:val="0"/>
          <w:color w:val="000000" w:themeColor="text1"/>
          <w:sz w:val="14"/>
          <w:lang w:eastAsia="es-CO"/>
        </w:rPr>
      </w:pPr>
      <w:bookmarkStart w:id="219" w:name="_Toc88677152"/>
      <w:r w:rsidRPr="006A2F15">
        <w:rPr>
          <w:rFonts w:ascii="Arial" w:hAnsi="Arial" w:cs="Arial"/>
          <w:b/>
          <w:i w:val="0"/>
          <w:color w:val="000000" w:themeColor="text1"/>
          <w:sz w:val="16"/>
        </w:rPr>
        <w:t xml:space="preserve">Tabla </w:t>
      </w:r>
      <w:r w:rsidRPr="006A2F15">
        <w:rPr>
          <w:rFonts w:ascii="Arial" w:hAnsi="Arial" w:cs="Arial"/>
          <w:b/>
          <w:i w:val="0"/>
          <w:color w:val="000000" w:themeColor="text1"/>
          <w:sz w:val="16"/>
        </w:rPr>
        <w:fldChar w:fldCharType="begin"/>
      </w:r>
      <w:r w:rsidRPr="006A2F15">
        <w:rPr>
          <w:rFonts w:ascii="Arial" w:hAnsi="Arial" w:cs="Arial"/>
          <w:b/>
          <w:i w:val="0"/>
          <w:color w:val="000000" w:themeColor="text1"/>
          <w:sz w:val="16"/>
        </w:rPr>
        <w:instrText xml:space="preserve"> SEQ Tabla \* ARABIC </w:instrText>
      </w:r>
      <w:r w:rsidRPr="006A2F15">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83</w:t>
      </w:r>
      <w:r w:rsidRPr="006A2F15">
        <w:rPr>
          <w:rFonts w:ascii="Arial" w:hAnsi="Arial" w:cs="Arial"/>
          <w:b/>
          <w:i w:val="0"/>
          <w:color w:val="000000" w:themeColor="text1"/>
          <w:sz w:val="16"/>
        </w:rPr>
        <w:fldChar w:fldCharType="end"/>
      </w:r>
      <w:r w:rsidRPr="006A2F15">
        <w:rPr>
          <w:rFonts w:ascii="Arial" w:hAnsi="Arial" w:cs="Arial"/>
          <w:b/>
          <w:i w:val="0"/>
          <w:color w:val="000000" w:themeColor="text1"/>
          <w:sz w:val="16"/>
        </w:rPr>
        <w:t>.Proyección de contratos en ejecución y/o con saldo</w:t>
      </w:r>
      <w:bookmarkEnd w:id="219"/>
    </w:p>
    <w:tbl>
      <w:tblPr>
        <w:tblStyle w:val="Tabladecuadrcula4-nfasis1"/>
        <w:tblW w:w="9781" w:type="dxa"/>
        <w:tblInd w:w="-147" w:type="dxa"/>
        <w:tblLayout w:type="fixed"/>
        <w:tblLook w:val="04A0" w:firstRow="1" w:lastRow="0" w:firstColumn="1" w:lastColumn="0" w:noHBand="0" w:noVBand="1"/>
      </w:tblPr>
      <w:tblGrid>
        <w:gridCol w:w="1382"/>
        <w:gridCol w:w="1545"/>
        <w:gridCol w:w="3856"/>
        <w:gridCol w:w="919"/>
        <w:gridCol w:w="900"/>
        <w:gridCol w:w="1179"/>
      </w:tblGrid>
      <w:tr w:rsidR="00BE484F" w:rsidRPr="00BD273F" w14:paraId="32164917" w14:textId="77777777" w:rsidTr="006A2F15">
        <w:trPr>
          <w:cnfStyle w:val="100000000000" w:firstRow="1" w:lastRow="0" w:firstColumn="0" w:lastColumn="0" w:oddVBand="0" w:evenVBand="0" w:oddHBand="0" w:evenHBand="0" w:firstRowFirstColumn="0" w:firstRowLastColumn="0" w:lastRowFirstColumn="0" w:lastRowLastColumn="0"/>
          <w:trHeight w:val="320"/>
          <w:tblHeader/>
        </w:trPr>
        <w:tc>
          <w:tcPr>
            <w:cnfStyle w:val="001000000000" w:firstRow="0" w:lastRow="0" w:firstColumn="1" w:lastColumn="0" w:oddVBand="0" w:evenVBand="0" w:oddHBand="0" w:evenHBand="0" w:firstRowFirstColumn="0" w:firstRowLastColumn="0" w:lastRowFirstColumn="0" w:lastRowLastColumn="0"/>
            <w:tcW w:w="1382" w:type="dxa"/>
            <w:tcBorders>
              <w:top w:val="single" w:sz="4" w:space="0" w:color="8DB3E2"/>
              <w:left w:val="single" w:sz="4" w:space="0" w:color="8DB3E2"/>
              <w:bottom w:val="single" w:sz="4" w:space="0" w:color="8DB3E2"/>
              <w:right w:val="single" w:sz="4" w:space="0" w:color="8DB3E2"/>
            </w:tcBorders>
            <w:noWrap/>
            <w:vAlign w:val="center"/>
            <w:hideMark/>
          </w:tcPr>
          <w:p w14:paraId="2F7A3CF2" w14:textId="77777777" w:rsidR="00BE484F" w:rsidRPr="00BD273F" w:rsidRDefault="00BE484F" w:rsidP="006A2F15">
            <w:pPr>
              <w:suppressAutoHyphens w:val="0"/>
              <w:jc w:val="center"/>
              <w:rPr>
                <w:rFonts w:cs="Arial"/>
                <w:sz w:val="13"/>
                <w:szCs w:val="13"/>
                <w:lang w:val="en-US" w:eastAsia="en-US"/>
              </w:rPr>
            </w:pPr>
            <w:r w:rsidRPr="00BD273F">
              <w:rPr>
                <w:rFonts w:cs="Arial"/>
                <w:sz w:val="13"/>
                <w:szCs w:val="13"/>
                <w:lang w:val="en-US" w:eastAsia="en-US"/>
              </w:rPr>
              <w:t>DEPENDENCIA</w:t>
            </w:r>
          </w:p>
        </w:tc>
        <w:tc>
          <w:tcPr>
            <w:tcW w:w="1545" w:type="dxa"/>
            <w:tcBorders>
              <w:top w:val="single" w:sz="4" w:space="0" w:color="8DB3E2"/>
              <w:left w:val="single" w:sz="4" w:space="0" w:color="8DB3E2"/>
              <w:bottom w:val="single" w:sz="4" w:space="0" w:color="8DB3E2"/>
              <w:right w:val="single" w:sz="4" w:space="0" w:color="8DB3E2"/>
            </w:tcBorders>
            <w:noWrap/>
            <w:vAlign w:val="center"/>
            <w:hideMark/>
          </w:tcPr>
          <w:p w14:paraId="7F80E3FB" w14:textId="77777777" w:rsidR="00BE484F" w:rsidRPr="00BD273F" w:rsidRDefault="00BE484F" w:rsidP="006A2F15">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3"/>
                <w:szCs w:val="13"/>
                <w:lang w:val="en-US" w:eastAsia="en-US"/>
              </w:rPr>
            </w:pPr>
            <w:r w:rsidRPr="00BD273F">
              <w:rPr>
                <w:rFonts w:cs="Arial"/>
                <w:sz w:val="13"/>
                <w:szCs w:val="13"/>
                <w:lang w:val="en-US" w:eastAsia="en-US"/>
              </w:rPr>
              <w:t>CONTRATO</w:t>
            </w:r>
          </w:p>
        </w:tc>
        <w:tc>
          <w:tcPr>
            <w:tcW w:w="3856" w:type="dxa"/>
            <w:tcBorders>
              <w:top w:val="single" w:sz="4" w:space="0" w:color="8DB3E2"/>
              <w:left w:val="single" w:sz="4" w:space="0" w:color="8DB3E2"/>
              <w:bottom w:val="single" w:sz="4" w:space="0" w:color="8DB3E2"/>
              <w:right w:val="single" w:sz="4" w:space="0" w:color="8DB3E2"/>
            </w:tcBorders>
            <w:noWrap/>
            <w:vAlign w:val="center"/>
            <w:hideMark/>
          </w:tcPr>
          <w:p w14:paraId="0EB70CBF" w14:textId="77777777" w:rsidR="00BE484F" w:rsidRPr="00BD273F" w:rsidRDefault="00BE484F" w:rsidP="006A2F15">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3"/>
                <w:szCs w:val="13"/>
                <w:lang w:val="en-US" w:eastAsia="en-US"/>
              </w:rPr>
            </w:pPr>
            <w:r w:rsidRPr="00BD273F">
              <w:rPr>
                <w:rFonts w:cs="Arial"/>
                <w:sz w:val="13"/>
                <w:szCs w:val="13"/>
                <w:lang w:val="en-US" w:eastAsia="en-US"/>
              </w:rPr>
              <w:t>CLIENTE</w:t>
            </w:r>
          </w:p>
        </w:tc>
        <w:tc>
          <w:tcPr>
            <w:tcW w:w="919" w:type="dxa"/>
            <w:tcBorders>
              <w:top w:val="single" w:sz="4" w:space="0" w:color="8DB3E2"/>
              <w:left w:val="single" w:sz="4" w:space="0" w:color="8DB3E2"/>
              <w:bottom w:val="single" w:sz="4" w:space="0" w:color="8DB3E2"/>
              <w:right w:val="single" w:sz="4" w:space="0" w:color="8DB3E2"/>
            </w:tcBorders>
            <w:noWrap/>
            <w:vAlign w:val="center"/>
            <w:hideMark/>
          </w:tcPr>
          <w:p w14:paraId="1F70B8E8" w14:textId="77777777" w:rsidR="00BE484F" w:rsidRPr="00BD273F" w:rsidRDefault="00BE484F" w:rsidP="006A2F15">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3"/>
                <w:szCs w:val="13"/>
                <w:lang w:val="en-US" w:eastAsia="en-US"/>
              </w:rPr>
            </w:pPr>
            <w:r w:rsidRPr="00BD273F">
              <w:rPr>
                <w:rFonts w:cs="Arial"/>
                <w:sz w:val="13"/>
                <w:szCs w:val="13"/>
                <w:lang w:val="en-US" w:eastAsia="en-US"/>
              </w:rPr>
              <w:t>NOV</w:t>
            </w:r>
          </w:p>
        </w:tc>
        <w:tc>
          <w:tcPr>
            <w:tcW w:w="900" w:type="dxa"/>
            <w:tcBorders>
              <w:top w:val="single" w:sz="4" w:space="0" w:color="8DB3E2"/>
              <w:left w:val="single" w:sz="4" w:space="0" w:color="8DB3E2"/>
              <w:bottom w:val="single" w:sz="4" w:space="0" w:color="8DB3E2"/>
              <w:right w:val="single" w:sz="4" w:space="0" w:color="8DB3E2"/>
            </w:tcBorders>
            <w:noWrap/>
            <w:vAlign w:val="center"/>
            <w:hideMark/>
          </w:tcPr>
          <w:p w14:paraId="427254A1" w14:textId="77777777" w:rsidR="00BE484F" w:rsidRPr="00BD273F" w:rsidRDefault="00BE484F" w:rsidP="006A2F15">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3"/>
                <w:szCs w:val="13"/>
                <w:lang w:val="en-US" w:eastAsia="en-US"/>
              </w:rPr>
            </w:pPr>
            <w:r w:rsidRPr="00BD273F">
              <w:rPr>
                <w:rFonts w:cs="Arial"/>
                <w:sz w:val="13"/>
                <w:szCs w:val="13"/>
                <w:lang w:val="en-US" w:eastAsia="en-US"/>
              </w:rPr>
              <w:t>DIC</w:t>
            </w:r>
          </w:p>
        </w:tc>
        <w:tc>
          <w:tcPr>
            <w:tcW w:w="1179" w:type="dxa"/>
            <w:tcBorders>
              <w:top w:val="single" w:sz="4" w:space="0" w:color="8DB3E2"/>
              <w:left w:val="single" w:sz="4" w:space="0" w:color="8DB3E2"/>
              <w:bottom w:val="single" w:sz="4" w:space="0" w:color="8DB3E2"/>
              <w:right w:val="single" w:sz="4" w:space="0" w:color="8DB3E2"/>
            </w:tcBorders>
            <w:noWrap/>
            <w:vAlign w:val="center"/>
            <w:hideMark/>
          </w:tcPr>
          <w:p w14:paraId="37256EBE" w14:textId="77777777" w:rsidR="00BE484F" w:rsidRPr="00BD273F" w:rsidRDefault="00BE484F" w:rsidP="006A2F15">
            <w:pPr>
              <w:suppressAutoHyphens w:val="0"/>
              <w:jc w:val="center"/>
              <w:cnfStyle w:val="100000000000" w:firstRow="1" w:lastRow="0" w:firstColumn="0" w:lastColumn="0" w:oddVBand="0" w:evenVBand="0" w:oddHBand="0" w:evenHBand="0" w:firstRowFirstColumn="0" w:firstRowLastColumn="0" w:lastRowFirstColumn="0" w:lastRowLastColumn="0"/>
              <w:rPr>
                <w:rFonts w:cs="Arial"/>
                <w:sz w:val="13"/>
                <w:szCs w:val="13"/>
                <w:lang w:val="en-US" w:eastAsia="en-US"/>
              </w:rPr>
            </w:pPr>
            <w:r w:rsidRPr="00BD273F">
              <w:rPr>
                <w:rFonts w:cs="Arial"/>
                <w:sz w:val="13"/>
                <w:szCs w:val="13"/>
                <w:lang w:val="en-US" w:eastAsia="en-US"/>
              </w:rPr>
              <w:t>TOTAL</w:t>
            </w:r>
          </w:p>
        </w:tc>
      </w:tr>
      <w:tr w:rsidR="00BE484F" w:rsidRPr="00BD273F" w14:paraId="2CBC77A4"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restart"/>
            <w:tcBorders>
              <w:top w:val="single" w:sz="4" w:space="0" w:color="8DB3E2"/>
            </w:tcBorders>
            <w:vAlign w:val="center"/>
            <w:hideMark/>
          </w:tcPr>
          <w:p w14:paraId="1BFEB792" w14:textId="77777777" w:rsidR="00BE484F" w:rsidRDefault="00BE484F" w:rsidP="006A2F15">
            <w:pPr>
              <w:suppressAutoHyphens w:val="0"/>
              <w:jc w:val="center"/>
              <w:rPr>
                <w:rFonts w:cs="Arial"/>
                <w:b w:val="0"/>
                <w:bCs w:val="0"/>
                <w:color w:val="000000"/>
                <w:sz w:val="13"/>
                <w:szCs w:val="13"/>
                <w:lang w:val="en-US" w:eastAsia="en-US"/>
              </w:rPr>
            </w:pPr>
          </w:p>
          <w:p w14:paraId="15D52911" w14:textId="77777777" w:rsidR="00BE484F" w:rsidRDefault="00BE484F" w:rsidP="006A2F15">
            <w:pPr>
              <w:suppressAutoHyphens w:val="0"/>
              <w:jc w:val="center"/>
              <w:rPr>
                <w:rFonts w:cs="Arial"/>
                <w:b w:val="0"/>
                <w:bCs w:val="0"/>
                <w:color w:val="000000"/>
                <w:sz w:val="13"/>
                <w:szCs w:val="13"/>
                <w:lang w:val="en-US" w:eastAsia="en-US"/>
              </w:rPr>
            </w:pPr>
          </w:p>
          <w:p w14:paraId="2D954087" w14:textId="77777777" w:rsidR="00BE484F" w:rsidRDefault="00BE484F" w:rsidP="006A2F15">
            <w:pPr>
              <w:suppressAutoHyphens w:val="0"/>
              <w:jc w:val="center"/>
              <w:rPr>
                <w:rFonts w:cs="Arial"/>
                <w:b w:val="0"/>
                <w:bCs w:val="0"/>
                <w:color w:val="000000"/>
                <w:sz w:val="13"/>
                <w:szCs w:val="13"/>
                <w:lang w:val="en-US" w:eastAsia="en-US"/>
              </w:rPr>
            </w:pPr>
          </w:p>
          <w:p w14:paraId="51D93C3B" w14:textId="77777777" w:rsidR="00BE484F" w:rsidRDefault="00BE484F" w:rsidP="006A2F15">
            <w:pPr>
              <w:suppressAutoHyphens w:val="0"/>
              <w:jc w:val="center"/>
              <w:rPr>
                <w:rFonts w:cs="Arial"/>
                <w:b w:val="0"/>
                <w:bCs w:val="0"/>
                <w:color w:val="000000"/>
                <w:sz w:val="13"/>
                <w:szCs w:val="13"/>
                <w:lang w:val="en-US" w:eastAsia="en-US"/>
              </w:rPr>
            </w:pPr>
          </w:p>
          <w:p w14:paraId="15E87E53" w14:textId="77777777" w:rsidR="00BE484F" w:rsidRDefault="00BE484F" w:rsidP="006A2F15">
            <w:pPr>
              <w:suppressAutoHyphens w:val="0"/>
              <w:jc w:val="center"/>
              <w:rPr>
                <w:rFonts w:cs="Arial"/>
                <w:b w:val="0"/>
                <w:bCs w:val="0"/>
                <w:color w:val="000000"/>
                <w:sz w:val="13"/>
                <w:szCs w:val="13"/>
                <w:lang w:val="en-US" w:eastAsia="en-US"/>
              </w:rPr>
            </w:pPr>
          </w:p>
          <w:p w14:paraId="1342F64B" w14:textId="77777777" w:rsidR="00BE484F" w:rsidRDefault="00BE484F" w:rsidP="006A2F15">
            <w:pPr>
              <w:suppressAutoHyphens w:val="0"/>
              <w:jc w:val="center"/>
              <w:rPr>
                <w:rFonts w:cs="Arial"/>
                <w:b w:val="0"/>
                <w:bCs w:val="0"/>
                <w:color w:val="000000"/>
                <w:sz w:val="13"/>
                <w:szCs w:val="13"/>
                <w:lang w:val="en-US" w:eastAsia="en-US"/>
              </w:rPr>
            </w:pPr>
          </w:p>
          <w:p w14:paraId="0AEF614F" w14:textId="77777777" w:rsidR="00BE484F" w:rsidRDefault="00BE484F" w:rsidP="006A2F15">
            <w:pPr>
              <w:suppressAutoHyphens w:val="0"/>
              <w:jc w:val="center"/>
              <w:rPr>
                <w:rFonts w:cs="Arial"/>
                <w:color w:val="000000"/>
                <w:sz w:val="13"/>
                <w:szCs w:val="13"/>
                <w:lang w:val="en-US" w:eastAsia="en-US"/>
              </w:rPr>
            </w:pPr>
          </w:p>
          <w:p w14:paraId="1C74C0CF" w14:textId="77777777" w:rsidR="00BE484F" w:rsidRDefault="00BE484F" w:rsidP="006A2F15">
            <w:pPr>
              <w:suppressAutoHyphens w:val="0"/>
              <w:jc w:val="center"/>
              <w:rPr>
                <w:rFonts w:cs="Arial"/>
                <w:color w:val="000000"/>
                <w:sz w:val="13"/>
                <w:szCs w:val="13"/>
                <w:lang w:val="en-US" w:eastAsia="en-US"/>
              </w:rPr>
            </w:pPr>
          </w:p>
          <w:p w14:paraId="46158603" w14:textId="77777777" w:rsidR="00BE484F" w:rsidRDefault="00BE484F" w:rsidP="006A2F15">
            <w:pPr>
              <w:suppressAutoHyphens w:val="0"/>
              <w:jc w:val="center"/>
              <w:rPr>
                <w:rFonts w:cs="Arial"/>
                <w:color w:val="000000"/>
                <w:sz w:val="13"/>
                <w:szCs w:val="13"/>
                <w:lang w:val="en-US" w:eastAsia="en-US"/>
              </w:rPr>
            </w:pPr>
          </w:p>
          <w:p w14:paraId="42C2FF80" w14:textId="77777777" w:rsidR="00BE484F" w:rsidRDefault="00BE484F" w:rsidP="006A2F15">
            <w:pPr>
              <w:suppressAutoHyphens w:val="0"/>
              <w:jc w:val="center"/>
              <w:rPr>
                <w:rFonts w:cs="Arial"/>
                <w:b w:val="0"/>
                <w:bCs w:val="0"/>
                <w:color w:val="000000"/>
                <w:sz w:val="13"/>
                <w:szCs w:val="13"/>
                <w:lang w:val="en-US" w:eastAsia="en-US"/>
              </w:rPr>
            </w:pPr>
          </w:p>
          <w:p w14:paraId="4DD0A63E" w14:textId="77777777" w:rsidR="00BE484F" w:rsidRDefault="00BE484F" w:rsidP="006A2F15">
            <w:pPr>
              <w:suppressAutoHyphens w:val="0"/>
              <w:jc w:val="center"/>
              <w:rPr>
                <w:rFonts w:cs="Arial"/>
                <w:b w:val="0"/>
                <w:bCs w:val="0"/>
                <w:color w:val="000000"/>
                <w:sz w:val="13"/>
                <w:szCs w:val="13"/>
                <w:lang w:val="en-US" w:eastAsia="en-US"/>
              </w:rPr>
            </w:pPr>
          </w:p>
          <w:p w14:paraId="58868312" w14:textId="77777777" w:rsidR="00BE484F" w:rsidRDefault="00BE484F" w:rsidP="006A2F15">
            <w:pPr>
              <w:suppressAutoHyphens w:val="0"/>
              <w:jc w:val="center"/>
              <w:rPr>
                <w:rFonts w:cs="Arial"/>
                <w:b w:val="0"/>
                <w:bCs w:val="0"/>
                <w:color w:val="000000"/>
                <w:sz w:val="13"/>
                <w:szCs w:val="13"/>
                <w:lang w:val="en-US" w:eastAsia="en-US"/>
              </w:rPr>
            </w:pPr>
          </w:p>
          <w:p w14:paraId="3B5F2E9E" w14:textId="77777777" w:rsidR="00BE484F" w:rsidRDefault="00BE484F" w:rsidP="006A2F15">
            <w:pPr>
              <w:suppressAutoHyphens w:val="0"/>
              <w:jc w:val="center"/>
              <w:rPr>
                <w:rFonts w:cs="Arial"/>
                <w:b w:val="0"/>
                <w:bCs w:val="0"/>
                <w:color w:val="000000"/>
                <w:sz w:val="13"/>
                <w:szCs w:val="13"/>
                <w:lang w:val="en-US" w:eastAsia="en-US"/>
              </w:rPr>
            </w:pPr>
          </w:p>
          <w:p w14:paraId="4D8C3E83" w14:textId="77777777" w:rsidR="00BE484F" w:rsidRDefault="00BE484F" w:rsidP="006A2F15">
            <w:pPr>
              <w:suppressAutoHyphens w:val="0"/>
              <w:jc w:val="center"/>
              <w:rPr>
                <w:rFonts w:cs="Arial"/>
                <w:b w:val="0"/>
                <w:bCs w:val="0"/>
                <w:color w:val="000000"/>
                <w:sz w:val="13"/>
                <w:szCs w:val="13"/>
                <w:lang w:val="en-US" w:eastAsia="en-US"/>
              </w:rPr>
            </w:pPr>
          </w:p>
          <w:p w14:paraId="1846FCA3" w14:textId="77777777" w:rsidR="00BE484F" w:rsidRDefault="00BE484F" w:rsidP="006A2F15">
            <w:pPr>
              <w:suppressAutoHyphens w:val="0"/>
              <w:jc w:val="center"/>
              <w:rPr>
                <w:rFonts w:cs="Arial"/>
                <w:b w:val="0"/>
                <w:bCs w:val="0"/>
                <w:color w:val="000000"/>
                <w:sz w:val="13"/>
                <w:szCs w:val="13"/>
                <w:lang w:val="en-US" w:eastAsia="en-US"/>
              </w:rPr>
            </w:pPr>
          </w:p>
          <w:p w14:paraId="7656B2E8" w14:textId="77777777" w:rsidR="00BE484F" w:rsidRDefault="00BE484F" w:rsidP="006A2F15">
            <w:pPr>
              <w:suppressAutoHyphens w:val="0"/>
              <w:jc w:val="center"/>
              <w:rPr>
                <w:rFonts w:cs="Arial"/>
                <w:b w:val="0"/>
                <w:bCs w:val="0"/>
                <w:color w:val="000000"/>
                <w:sz w:val="13"/>
                <w:szCs w:val="13"/>
                <w:lang w:val="en-US" w:eastAsia="en-US"/>
              </w:rPr>
            </w:pPr>
          </w:p>
          <w:p w14:paraId="771A693C" w14:textId="77777777" w:rsidR="00BE484F" w:rsidRDefault="00BE484F" w:rsidP="006A2F15">
            <w:pPr>
              <w:suppressAutoHyphens w:val="0"/>
              <w:jc w:val="center"/>
              <w:rPr>
                <w:rFonts w:cs="Arial"/>
                <w:b w:val="0"/>
                <w:bCs w:val="0"/>
                <w:color w:val="000000"/>
                <w:sz w:val="13"/>
                <w:szCs w:val="13"/>
                <w:lang w:val="en-US" w:eastAsia="en-US"/>
              </w:rPr>
            </w:pPr>
          </w:p>
          <w:p w14:paraId="4B4425D9" w14:textId="77777777" w:rsidR="00BE484F" w:rsidRDefault="00BE484F" w:rsidP="006A2F15">
            <w:pPr>
              <w:suppressAutoHyphens w:val="0"/>
              <w:jc w:val="center"/>
              <w:rPr>
                <w:rFonts w:cs="Arial"/>
                <w:b w:val="0"/>
                <w:bCs w:val="0"/>
                <w:color w:val="000000"/>
                <w:sz w:val="13"/>
                <w:szCs w:val="13"/>
                <w:lang w:val="en-US" w:eastAsia="en-US"/>
              </w:rPr>
            </w:pPr>
          </w:p>
          <w:p w14:paraId="106CC3D6" w14:textId="77777777" w:rsidR="00BE484F" w:rsidRPr="00BD273F" w:rsidRDefault="00BE484F" w:rsidP="006A2F15">
            <w:pPr>
              <w:suppressAutoHyphens w:val="0"/>
              <w:jc w:val="center"/>
              <w:rPr>
                <w:rFonts w:cs="Arial"/>
                <w:color w:val="000000"/>
                <w:sz w:val="13"/>
                <w:szCs w:val="13"/>
                <w:lang w:val="en-US" w:eastAsia="en-US"/>
              </w:rPr>
            </w:pPr>
            <w:r w:rsidRPr="00BD273F">
              <w:rPr>
                <w:rFonts w:cs="Arial"/>
                <w:color w:val="000000"/>
                <w:sz w:val="13"/>
                <w:szCs w:val="13"/>
                <w:lang w:val="en-US" w:eastAsia="en-US"/>
              </w:rPr>
              <w:t>DIRECCIÓN DE GESTIÓN CATASTRAL</w:t>
            </w:r>
          </w:p>
        </w:tc>
        <w:tc>
          <w:tcPr>
            <w:tcW w:w="1545" w:type="dxa"/>
            <w:tcBorders>
              <w:top w:val="single" w:sz="4" w:space="0" w:color="8DB3E2"/>
            </w:tcBorders>
            <w:noWrap/>
            <w:vAlign w:val="center"/>
            <w:hideMark/>
          </w:tcPr>
          <w:p w14:paraId="37A19F9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5174/2019</w:t>
            </w:r>
          </w:p>
        </w:tc>
        <w:tc>
          <w:tcPr>
            <w:tcW w:w="3856" w:type="dxa"/>
            <w:tcBorders>
              <w:top w:val="single" w:sz="4" w:space="0" w:color="8DB3E2"/>
            </w:tcBorders>
            <w:noWrap/>
            <w:vAlign w:val="center"/>
            <w:hideMark/>
          </w:tcPr>
          <w:p w14:paraId="4E743C3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CENTRAL DE INVERSIONES S.A.- CISA</w:t>
            </w:r>
          </w:p>
        </w:tc>
        <w:tc>
          <w:tcPr>
            <w:tcW w:w="919" w:type="dxa"/>
            <w:tcBorders>
              <w:top w:val="single" w:sz="4" w:space="0" w:color="8DB3E2"/>
            </w:tcBorders>
            <w:noWrap/>
            <w:vAlign w:val="center"/>
            <w:hideMark/>
          </w:tcPr>
          <w:p w14:paraId="5C3629E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Pr>
                <w:rFonts w:cs="Arial"/>
                <w:color w:val="000000"/>
                <w:sz w:val="13"/>
                <w:szCs w:val="13"/>
                <w:lang w:val="en-US" w:eastAsia="en-US"/>
              </w:rPr>
              <w:t>$</w:t>
            </w:r>
            <w:r w:rsidRPr="00BD273F">
              <w:rPr>
                <w:rFonts w:cs="Arial"/>
                <w:color w:val="000000"/>
                <w:sz w:val="13"/>
                <w:szCs w:val="13"/>
                <w:lang w:val="en-US" w:eastAsia="en-US"/>
              </w:rPr>
              <w:t>12</w:t>
            </w:r>
          </w:p>
        </w:tc>
        <w:tc>
          <w:tcPr>
            <w:tcW w:w="900" w:type="dxa"/>
            <w:tcBorders>
              <w:top w:val="single" w:sz="4" w:space="0" w:color="8DB3E2"/>
            </w:tcBorders>
            <w:noWrap/>
            <w:vAlign w:val="center"/>
            <w:hideMark/>
          </w:tcPr>
          <w:p w14:paraId="24F321D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Pr>
                <w:rFonts w:cs="Arial"/>
                <w:color w:val="000000"/>
                <w:sz w:val="13"/>
                <w:szCs w:val="13"/>
                <w:lang w:val="en-US" w:eastAsia="en-US"/>
              </w:rPr>
              <w:t>$0</w:t>
            </w:r>
          </w:p>
        </w:tc>
        <w:tc>
          <w:tcPr>
            <w:tcW w:w="1179" w:type="dxa"/>
            <w:tcBorders>
              <w:top w:val="single" w:sz="4" w:space="0" w:color="8DB3E2"/>
            </w:tcBorders>
            <w:noWrap/>
            <w:vAlign w:val="center"/>
            <w:hideMark/>
          </w:tcPr>
          <w:p w14:paraId="1E653C0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$12</w:t>
            </w:r>
          </w:p>
        </w:tc>
      </w:tr>
      <w:tr w:rsidR="00BE484F" w:rsidRPr="00BD273F" w14:paraId="437B3979"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54690AA"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F28AB8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0001/2020</w:t>
            </w:r>
          </w:p>
        </w:tc>
        <w:tc>
          <w:tcPr>
            <w:tcW w:w="3856" w:type="dxa"/>
            <w:noWrap/>
            <w:vAlign w:val="center"/>
            <w:hideMark/>
          </w:tcPr>
          <w:p w14:paraId="2649A88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AGENCIA NACIONAL INMOBILIARIA VIRGILIO BARCO</w:t>
            </w:r>
          </w:p>
        </w:tc>
        <w:tc>
          <w:tcPr>
            <w:tcW w:w="919" w:type="dxa"/>
            <w:noWrap/>
            <w:vAlign w:val="center"/>
            <w:hideMark/>
          </w:tcPr>
          <w:p w14:paraId="72D3CD6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$175</w:t>
            </w:r>
          </w:p>
        </w:tc>
        <w:tc>
          <w:tcPr>
            <w:tcW w:w="900" w:type="dxa"/>
            <w:noWrap/>
            <w:vAlign w:val="center"/>
            <w:hideMark/>
          </w:tcPr>
          <w:p w14:paraId="427C2B1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$60</w:t>
            </w:r>
          </w:p>
        </w:tc>
        <w:tc>
          <w:tcPr>
            <w:tcW w:w="1179" w:type="dxa"/>
            <w:noWrap/>
            <w:vAlign w:val="center"/>
            <w:hideMark/>
          </w:tcPr>
          <w:p w14:paraId="308D9AD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$235</w:t>
            </w:r>
          </w:p>
        </w:tc>
      </w:tr>
      <w:tr w:rsidR="00BE484F" w:rsidRPr="00BD273F" w14:paraId="03207779"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6958B65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B580A3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5210/2020</w:t>
            </w:r>
          </w:p>
        </w:tc>
        <w:tc>
          <w:tcPr>
            <w:tcW w:w="3856" w:type="dxa"/>
            <w:noWrap/>
            <w:vAlign w:val="center"/>
            <w:hideMark/>
          </w:tcPr>
          <w:p w14:paraId="4B8C94F4" w14:textId="76BC4EFE"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 xml:space="preserve">ADMINISTRADORA COLOMBIANA DE PENSIONES </w:t>
            </w:r>
            <w:r>
              <w:rPr>
                <w:rFonts w:cs="Arial"/>
                <w:color w:val="000000"/>
                <w:sz w:val="13"/>
                <w:szCs w:val="13"/>
                <w:lang w:eastAsia="en-US"/>
              </w:rPr>
              <w:t>–</w:t>
            </w:r>
            <w:r w:rsidRPr="00BD273F">
              <w:rPr>
                <w:rFonts w:cs="Arial"/>
                <w:color w:val="000000"/>
                <w:sz w:val="13"/>
                <w:szCs w:val="13"/>
                <w:lang w:eastAsia="en-US"/>
              </w:rPr>
              <w:t xml:space="preserve"> COLPENSIONES</w:t>
            </w:r>
          </w:p>
        </w:tc>
        <w:tc>
          <w:tcPr>
            <w:tcW w:w="919" w:type="dxa"/>
            <w:noWrap/>
            <w:vAlign w:val="center"/>
            <w:hideMark/>
          </w:tcPr>
          <w:p w14:paraId="6B3B3E9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$30</w:t>
            </w:r>
          </w:p>
        </w:tc>
        <w:tc>
          <w:tcPr>
            <w:tcW w:w="900" w:type="dxa"/>
            <w:noWrap/>
            <w:vAlign w:val="center"/>
            <w:hideMark/>
          </w:tcPr>
          <w:p w14:paraId="5ADCFA8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$150</w:t>
            </w:r>
          </w:p>
        </w:tc>
        <w:tc>
          <w:tcPr>
            <w:tcW w:w="1179" w:type="dxa"/>
            <w:noWrap/>
            <w:vAlign w:val="center"/>
            <w:hideMark/>
          </w:tcPr>
          <w:p w14:paraId="6A84C90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$180</w:t>
            </w:r>
          </w:p>
        </w:tc>
      </w:tr>
      <w:tr w:rsidR="00BE484F" w:rsidRPr="00BD273F" w14:paraId="026F08B1"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0F940858"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D10D1F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5219/2020</w:t>
            </w:r>
          </w:p>
        </w:tc>
        <w:tc>
          <w:tcPr>
            <w:tcW w:w="3856" w:type="dxa"/>
            <w:noWrap/>
            <w:vAlign w:val="center"/>
            <w:hideMark/>
          </w:tcPr>
          <w:p w14:paraId="4953D1D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UNIDAD ADMINISTRATIVA ESPECIAL DE AERONÁUTICA CIVIL</w:t>
            </w:r>
          </w:p>
        </w:tc>
        <w:tc>
          <w:tcPr>
            <w:tcW w:w="919" w:type="dxa"/>
            <w:noWrap/>
            <w:vAlign w:val="center"/>
            <w:hideMark/>
          </w:tcPr>
          <w:p w14:paraId="2FA5E82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$28</w:t>
            </w:r>
          </w:p>
        </w:tc>
        <w:tc>
          <w:tcPr>
            <w:tcW w:w="900" w:type="dxa"/>
            <w:noWrap/>
            <w:vAlign w:val="center"/>
            <w:hideMark/>
          </w:tcPr>
          <w:p w14:paraId="0AC882E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4952A41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$28</w:t>
            </w:r>
          </w:p>
        </w:tc>
      </w:tr>
      <w:tr w:rsidR="00BE484F" w:rsidRPr="00BD273F" w14:paraId="42F1FDE1"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78AD101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24F3F7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5247/2020</w:t>
            </w:r>
          </w:p>
        </w:tc>
        <w:tc>
          <w:tcPr>
            <w:tcW w:w="3856" w:type="dxa"/>
            <w:noWrap/>
            <w:vAlign w:val="center"/>
            <w:hideMark/>
          </w:tcPr>
          <w:p w14:paraId="55437600"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SEÑORES JOSE DE LA CRUZ CARMONA Y ANA LUCIA CARMONA DE ZULETA</w:t>
            </w:r>
          </w:p>
        </w:tc>
        <w:tc>
          <w:tcPr>
            <w:tcW w:w="919" w:type="dxa"/>
            <w:noWrap/>
            <w:vAlign w:val="center"/>
            <w:hideMark/>
          </w:tcPr>
          <w:p w14:paraId="1812C4CE"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w:t>
            </w:r>
          </w:p>
        </w:tc>
        <w:tc>
          <w:tcPr>
            <w:tcW w:w="900" w:type="dxa"/>
            <w:noWrap/>
            <w:vAlign w:val="center"/>
            <w:hideMark/>
          </w:tcPr>
          <w:p w14:paraId="2314CE6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703F2EC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w:t>
            </w:r>
          </w:p>
        </w:tc>
      </w:tr>
      <w:tr w:rsidR="00BE484F" w:rsidRPr="00BD273F" w14:paraId="5241AD3C"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8A57123"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DF221B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5271/2021</w:t>
            </w:r>
          </w:p>
        </w:tc>
        <w:tc>
          <w:tcPr>
            <w:tcW w:w="3856" w:type="dxa"/>
            <w:noWrap/>
            <w:vAlign w:val="center"/>
            <w:hideMark/>
          </w:tcPr>
          <w:p w14:paraId="2D04F0D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UNIDAD DE RESTITUCION DE TIERRAS DESPOJADAS</w:t>
            </w:r>
          </w:p>
        </w:tc>
        <w:tc>
          <w:tcPr>
            <w:tcW w:w="919" w:type="dxa"/>
            <w:noWrap/>
            <w:vAlign w:val="center"/>
            <w:hideMark/>
          </w:tcPr>
          <w:p w14:paraId="3198C6F2"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$710</w:t>
            </w:r>
          </w:p>
        </w:tc>
        <w:tc>
          <w:tcPr>
            <w:tcW w:w="900" w:type="dxa"/>
            <w:noWrap/>
            <w:vAlign w:val="center"/>
            <w:hideMark/>
          </w:tcPr>
          <w:p w14:paraId="4D14ED0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$800</w:t>
            </w:r>
          </w:p>
        </w:tc>
        <w:tc>
          <w:tcPr>
            <w:tcW w:w="1179" w:type="dxa"/>
            <w:noWrap/>
            <w:vAlign w:val="center"/>
            <w:hideMark/>
          </w:tcPr>
          <w:p w14:paraId="36D631C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w:t>
            </w:r>
            <w:r>
              <w:rPr>
                <w:rFonts w:cs="Arial"/>
                <w:color w:val="000000"/>
                <w:sz w:val="13"/>
                <w:szCs w:val="13"/>
                <w:lang w:val="en-US" w:eastAsia="en-US"/>
              </w:rPr>
              <w:t>.</w:t>
            </w:r>
            <w:r w:rsidRPr="00BD273F">
              <w:rPr>
                <w:rFonts w:cs="Arial"/>
                <w:color w:val="000000"/>
                <w:sz w:val="13"/>
                <w:szCs w:val="13"/>
                <w:lang w:val="en-US" w:eastAsia="en-US"/>
              </w:rPr>
              <w:t>510</w:t>
            </w:r>
          </w:p>
        </w:tc>
      </w:tr>
      <w:tr w:rsidR="00BE484F" w:rsidRPr="00BD273F" w14:paraId="2D652EFF"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C9FCB3C"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944A0F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1204-2021</w:t>
            </w:r>
          </w:p>
        </w:tc>
        <w:tc>
          <w:tcPr>
            <w:tcW w:w="3856" w:type="dxa"/>
            <w:noWrap/>
            <w:vAlign w:val="center"/>
            <w:hideMark/>
          </w:tcPr>
          <w:p w14:paraId="38E06B0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AGENCIA NACIONAL DE TIERRAS</w:t>
            </w:r>
          </w:p>
        </w:tc>
        <w:tc>
          <w:tcPr>
            <w:tcW w:w="919" w:type="dxa"/>
            <w:noWrap/>
            <w:vAlign w:val="center"/>
            <w:hideMark/>
          </w:tcPr>
          <w:p w14:paraId="14773EC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$150</w:t>
            </w:r>
          </w:p>
        </w:tc>
        <w:tc>
          <w:tcPr>
            <w:tcW w:w="900" w:type="dxa"/>
            <w:noWrap/>
            <w:vAlign w:val="center"/>
            <w:hideMark/>
          </w:tcPr>
          <w:p w14:paraId="3DAFC0C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$800</w:t>
            </w:r>
          </w:p>
        </w:tc>
        <w:tc>
          <w:tcPr>
            <w:tcW w:w="1179" w:type="dxa"/>
            <w:noWrap/>
            <w:vAlign w:val="center"/>
            <w:hideMark/>
          </w:tcPr>
          <w:p w14:paraId="1A82F7B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$950</w:t>
            </w:r>
          </w:p>
        </w:tc>
      </w:tr>
      <w:tr w:rsidR="00BE484F" w:rsidRPr="00BD273F" w14:paraId="4FD583FB"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1DC8C37B"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A000D2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5248/2020</w:t>
            </w:r>
          </w:p>
        </w:tc>
        <w:tc>
          <w:tcPr>
            <w:tcW w:w="3856" w:type="dxa"/>
            <w:noWrap/>
            <w:vAlign w:val="center"/>
            <w:hideMark/>
          </w:tcPr>
          <w:p w14:paraId="2F05E90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VILLAVICENCIO</w:t>
            </w:r>
          </w:p>
        </w:tc>
        <w:tc>
          <w:tcPr>
            <w:tcW w:w="919" w:type="dxa"/>
            <w:noWrap/>
            <w:vAlign w:val="center"/>
            <w:hideMark/>
          </w:tcPr>
          <w:p w14:paraId="10C9E3E0"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w:t>
            </w:r>
            <w:r>
              <w:rPr>
                <w:rFonts w:cs="Arial"/>
                <w:color w:val="000000"/>
                <w:sz w:val="13"/>
                <w:szCs w:val="13"/>
                <w:lang w:val="en-US" w:eastAsia="en-US"/>
              </w:rPr>
              <w:t>.</w:t>
            </w:r>
            <w:r w:rsidRPr="00BD273F">
              <w:rPr>
                <w:rFonts w:cs="Arial"/>
                <w:color w:val="000000"/>
                <w:sz w:val="13"/>
                <w:szCs w:val="13"/>
                <w:lang w:val="en-US" w:eastAsia="en-US"/>
              </w:rPr>
              <w:t>000</w:t>
            </w:r>
          </w:p>
        </w:tc>
        <w:tc>
          <w:tcPr>
            <w:tcW w:w="900" w:type="dxa"/>
            <w:noWrap/>
            <w:vAlign w:val="center"/>
            <w:hideMark/>
          </w:tcPr>
          <w:p w14:paraId="2C37C78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w:t>
            </w:r>
            <w:r>
              <w:rPr>
                <w:rFonts w:cs="Arial"/>
                <w:color w:val="000000"/>
                <w:sz w:val="13"/>
                <w:szCs w:val="13"/>
                <w:lang w:val="en-US" w:eastAsia="en-US"/>
              </w:rPr>
              <w:t>.</w:t>
            </w:r>
            <w:r w:rsidRPr="00BD273F">
              <w:rPr>
                <w:rFonts w:cs="Arial"/>
                <w:color w:val="000000"/>
                <w:sz w:val="13"/>
                <w:szCs w:val="13"/>
                <w:lang w:val="en-US" w:eastAsia="en-US"/>
              </w:rPr>
              <w:t>000</w:t>
            </w:r>
          </w:p>
        </w:tc>
        <w:tc>
          <w:tcPr>
            <w:tcW w:w="1179" w:type="dxa"/>
            <w:noWrap/>
            <w:vAlign w:val="center"/>
            <w:hideMark/>
          </w:tcPr>
          <w:p w14:paraId="72EED7B1"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r>
              <w:rPr>
                <w:rFonts w:cs="Arial"/>
                <w:color w:val="000000"/>
                <w:sz w:val="13"/>
                <w:szCs w:val="13"/>
                <w:lang w:val="en-US" w:eastAsia="en-US"/>
              </w:rPr>
              <w:t>.</w:t>
            </w:r>
            <w:r w:rsidRPr="00BD273F">
              <w:rPr>
                <w:rFonts w:cs="Arial"/>
                <w:color w:val="000000"/>
                <w:sz w:val="13"/>
                <w:szCs w:val="13"/>
                <w:lang w:val="en-US" w:eastAsia="en-US"/>
              </w:rPr>
              <w:t>000</w:t>
            </w:r>
          </w:p>
        </w:tc>
      </w:tr>
      <w:tr w:rsidR="00BE484F" w:rsidRPr="00BD273F" w14:paraId="31C1D871"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4D351690"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8AF7F1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5267/2020</w:t>
            </w:r>
          </w:p>
        </w:tc>
        <w:tc>
          <w:tcPr>
            <w:tcW w:w="3856" w:type="dxa"/>
            <w:noWrap/>
            <w:vAlign w:val="center"/>
            <w:hideMark/>
          </w:tcPr>
          <w:p w14:paraId="4FAC251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POPAYÁN</w:t>
            </w:r>
          </w:p>
        </w:tc>
        <w:tc>
          <w:tcPr>
            <w:tcW w:w="919" w:type="dxa"/>
            <w:noWrap/>
            <w:vAlign w:val="center"/>
            <w:hideMark/>
          </w:tcPr>
          <w:p w14:paraId="1A18E8D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r>
              <w:rPr>
                <w:rFonts w:cs="Arial"/>
                <w:color w:val="000000"/>
                <w:sz w:val="13"/>
                <w:szCs w:val="13"/>
                <w:lang w:val="en-US" w:eastAsia="en-US"/>
              </w:rPr>
              <w:t>.</w:t>
            </w:r>
            <w:r w:rsidRPr="00BD273F">
              <w:rPr>
                <w:rFonts w:cs="Arial"/>
                <w:color w:val="000000"/>
                <w:sz w:val="13"/>
                <w:szCs w:val="13"/>
                <w:lang w:val="en-US" w:eastAsia="en-US"/>
              </w:rPr>
              <w:t>360</w:t>
            </w:r>
          </w:p>
        </w:tc>
        <w:tc>
          <w:tcPr>
            <w:tcW w:w="900" w:type="dxa"/>
            <w:noWrap/>
            <w:vAlign w:val="center"/>
            <w:hideMark/>
          </w:tcPr>
          <w:p w14:paraId="48A913A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r>
              <w:rPr>
                <w:rFonts w:cs="Arial"/>
                <w:color w:val="000000"/>
                <w:sz w:val="13"/>
                <w:szCs w:val="13"/>
                <w:lang w:val="en-US" w:eastAsia="en-US"/>
              </w:rPr>
              <w:t>.</w:t>
            </w:r>
            <w:r w:rsidRPr="00BD273F">
              <w:rPr>
                <w:rFonts w:cs="Arial"/>
                <w:color w:val="000000"/>
                <w:sz w:val="13"/>
                <w:szCs w:val="13"/>
                <w:lang w:val="en-US" w:eastAsia="en-US"/>
              </w:rPr>
              <w:t>882</w:t>
            </w:r>
          </w:p>
        </w:tc>
        <w:tc>
          <w:tcPr>
            <w:tcW w:w="1179" w:type="dxa"/>
            <w:noWrap/>
            <w:vAlign w:val="center"/>
            <w:hideMark/>
          </w:tcPr>
          <w:p w14:paraId="196423E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$7</w:t>
            </w:r>
            <w:r>
              <w:rPr>
                <w:rFonts w:cs="Arial"/>
                <w:color w:val="000000"/>
                <w:sz w:val="13"/>
                <w:szCs w:val="13"/>
                <w:lang w:val="en-US" w:eastAsia="en-US"/>
              </w:rPr>
              <w:t>.</w:t>
            </w:r>
            <w:r w:rsidRPr="00BD273F">
              <w:rPr>
                <w:rFonts w:cs="Arial"/>
                <w:color w:val="000000"/>
                <w:sz w:val="13"/>
                <w:szCs w:val="13"/>
                <w:lang w:val="en-US" w:eastAsia="en-US"/>
              </w:rPr>
              <w:t>242</w:t>
            </w:r>
          </w:p>
        </w:tc>
      </w:tr>
      <w:tr w:rsidR="00BE484F" w:rsidRPr="00BD273F" w14:paraId="0E657126"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74992F21"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3B1FB2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002/2021</w:t>
            </w:r>
          </w:p>
        </w:tc>
        <w:tc>
          <w:tcPr>
            <w:tcW w:w="3856" w:type="dxa"/>
            <w:noWrap/>
            <w:vAlign w:val="center"/>
            <w:hideMark/>
          </w:tcPr>
          <w:p w14:paraId="4DFCCBE0"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Sociedad Fiduciaria de Desarrollo Agropecuario S.A.- FIDUAGRARIA S.A</w:t>
            </w:r>
          </w:p>
        </w:tc>
        <w:tc>
          <w:tcPr>
            <w:tcW w:w="919" w:type="dxa"/>
            <w:noWrap/>
            <w:vAlign w:val="center"/>
            <w:hideMark/>
          </w:tcPr>
          <w:p w14:paraId="76263FD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$835</w:t>
            </w:r>
          </w:p>
        </w:tc>
        <w:tc>
          <w:tcPr>
            <w:tcW w:w="900" w:type="dxa"/>
            <w:noWrap/>
            <w:vAlign w:val="center"/>
            <w:hideMark/>
          </w:tcPr>
          <w:p w14:paraId="346D0C4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$851</w:t>
            </w:r>
          </w:p>
        </w:tc>
        <w:tc>
          <w:tcPr>
            <w:tcW w:w="1179" w:type="dxa"/>
            <w:noWrap/>
            <w:vAlign w:val="center"/>
            <w:hideMark/>
          </w:tcPr>
          <w:p w14:paraId="567CD78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w:t>
            </w:r>
            <w:r>
              <w:rPr>
                <w:rFonts w:cs="Arial"/>
                <w:color w:val="000000"/>
                <w:sz w:val="13"/>
                <w:szCs w:val="13"/>
                <w:lang w:val="en-US" w:eastAsia="en-US"/>
              </w:rPr>
              <w:t>.</w:t>
            </w:r>
            <w:r w:rsidRPr="00BD273F">
              <w:rPr>
                <w:rFonts w:cs="Arial"/>
                <w:color w:val="000000"/>
                <w:sz w:val="13"/>
                <w:szCs w:val="13"/>
                <w:lang w:val="en-US" w:eastAsia="en-US"/>
              </w:rPr>
              <w:t>686</w:t>
            </w:r>
          </w:p>
        </w:tc>
      </w:tr>
      <w:tr w:rsidR="00BE484F" w:rsidRPr="00BD273F" w14:paraId="23E604C0"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64B27221"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CD1461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5215/2020</w:t>
            </w:r>
          </w:p>
        </w:tc>
        <w:tc>
          <w:tcPr>
            <w:tcW w:w="3856" w:type="dxa"/>
            <w:noWrap/>
            <w:vAlign w:val="center"/>
            <w:hideMark/>
          </w:tcPr>
          <w:p w14:paraId="737A9B9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ORDENAMIENTO TERRITORIAL DEL MUNICIPIO DE SOACHA</w:t>
            </w:r>
          </w:p>
        </w:tc>
        <w:tc>
          <w:tcPr>
            <w:tcW w:w="919" w:type="dxa"/>
            <w:noWrap/>
            <w:vAlign w:val="center"/>
            <w:hideMark/>
          </w:tcPr>
          <w:p w14:paraId="41B1169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$350</w:t>
            </w:r>
          </w:p>
        </w:tc>
        <w:tc>
          <w:tcPr>
            <w:tcW w:w="900" w:type="dxa"/>
            <w:noWrap/>
            <w:vAlign w:val="center"/>
            <w:hideMark/>
          </w:tcPr>
          <w:p w14:paraId="41BCE4E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06A5DB9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$350</w:t>
            </w:r>
          </w:p>
        </w:tc>
      </w:tr>
      <w:tr w:rsidR="00BE484F" w:rsidRPr="00BD273F" w14:paraId="49C25215"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4A510BDF"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24146D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371/2021</w:t>
            </w:r>
          </w:p>
        </w:tc>
        <w:tc>
          <w:tcPr>
            <w:tcW w:w="3856" w:type="dxa"/>
            <w:noWrap/>
            <w:vAlign w:val="center"/>
            <w:hideMark/>
          </w:tcPr>
          <w:p w14:paraId="3D47CEB2"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CONTRALORIA GENERAL DE LA REPUBLICA</w:t>
            </w:r>
          </w:p>
        </w:tc>
        <w:tc>
          <w:tcPr>
            <w:tcW w:w="919" w:type="dxa"/>
            <w:noWrap/>
            <w:vAlign w:val="center"/>
            <w:hideMark/>
          </w:tcPr>
          <w:p w14:paraId="06D150A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$10</w:t>
            </w:r>
          </w:p>
        </w:tc>
        <w:tc>
          <w:tcPr>
            <w:tcW w:w="900" w:type="dxa"/>
            <w:noWrap/>
            <w:vAlign w:val="center"/>
            <w:hideMark/>
          </w:tcPr>
          <w:p w14:paraId="271066F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$24</w:t>
            </w:r>
          </w:p>
        </w:tc>
        <w:tc>
          <w:tcPr>
            <w:tcW w:w="1179" w:type="dxa"/>
            <w:noWrap/>
            <w:vAlign w:val="center"/>
            <w:hideMark/>
          </w:tcPr>
          <w:p w14:paraId="3B4B106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$34</w:t>
            </w:r>
          </w:p>
        </w:tc>
      </w:tr>
      <w:tr w:rsidR="00BE484F" w:rsidRPr="00BD273F" w14:paraId="5537BFC6"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ED3CEB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EAE093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ORDEN 8000004151 de 2021</w:t>
            </w:r>
          </w:p>
        </w:tc>
        <w:tc>
          <w:tcPr>
            <w:tcW w:w="3856" w:type="dxa"/>
            <w:noWrap/>
            <w:vAlign w:val="center"/>
            <w:hideMark/>
          </w:tcPr>
          <w:p w14:paraId="55A44870" w14:textId="557A18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HOSPITAL GENERAL DE MEDELLÍN</w:t>
            </w:r>
          </w:p>
        </w:tc>
        <w:tc>
          <w:tcPr>
            <w:tcW w:w="919" w:type="dxa"/>
            <w:noWrap/>
            <w:vAlign w:val="center"/>
            <w:hideMark/>
          </w:tcPr>
          <w:p w14:paraId="1A7BD92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w:t>
            </w:r>
          </w:p>
        </w:tc>
        <w:tc>
          <w:tcPr>
            <w:tcW w:w="900" w:type="dxa"/>
            <w:noWrap/>
            <w:vAlign w:val="center"/>
            <w:hideMark/>
          </w:tcPr>
          <w:p w14:paraId="1C45F580"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42E7E48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w:t>
            </w:r>
          </w:p>
        </w:tc>
      </w:tr>
      <w:tr w:rsidR="00BE484F" w:rsidRPr="00BD273F" w14:paraId="57EC4D67"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6C504DE"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F588EBD"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5303/2021</w:t>
            </w:r>
          </w:p>
        </w:tc>
        <w:tc>
          <w:tcPr>
            <w:tcW w:w="3856" w:type="dxa"/>
            <w:noWrap/>
            <w:vAlign w:val="center"/>
            <w:hideMark/>
          </w:tcPr>
          <w:p w14:paraId="6368DD8C" w14:textId="48095F80"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I.D.C. INVERSIONES S.A.S.</w:t>
            </w:r>
          </w:p>
        </w:tc>
        <w:tc>
          <w:tcPr>
            <w:tcW w:w="919" w:type="dxa"/>
            <w:noWrap/>
            <w:vAlign w:val="center"/>
            <w:hideMark/>
          </w:tcPr>
          <w:p w14:paraId="49082B7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900" w:type="dxa"/>
            <w:noWrap/>
            <w:vAlign w:val="center"/>
            <w:hideMark/>
          </w:tcPr>
          <w:p w14:paraId="597915E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$23</w:t>
            </w:r>
          </w:p>
        </w:tc>
        <w:tc>
          <w:tcPr>
            <w:tcW w:w="1179" w:type="dxa"/>
            <w:noWrap/>
            <w:vAlign w:val="center"/>
            <w:hideMark/>
          </w:tcPr>
          <w:p w14:paraId="154A214D"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$23</w:t>
            </w:r>
          </w:p>
        </w:tc>
      </w:tr>
      <w:tr w:rsidR="00BE484F" w:rsidRPr="00BD273F" w14:paraId="49585B62"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1F625EBB"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1BD8FE8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5306/2021</w:t>
            </w:r>
          </w:p>
        </w:tc>
        <w:tc>
          <w:tcPr>
            <w:tcW w:w="3856" w:type="dxa"/>
            <w:noWrap/>
            <w:vAlign w:val="center"/>
            <w:hideMark/>
          </w:tcPr>
          <w:p w14:paraId="6EA87B2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OLEODUCTO DE LOS LLANOS ORIENTALES S.A.</w:t>
            </w:r>
          </w:p>
        </w:tc>
        <w:tc>
          <w:tcPr>
            <w:tcW w:w="919" w:type="dxa"/>
            <w:noWrap/>
            <w:vAlign w:val="center"/>
            <w:hideMark/>
          </w:tcPr>
          <w:p w14:paraId="508923F1"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w:t>
            </w:r>
          </w:p>
        </w:tc>
        <w:tc>
          <w:tcPr>
            <w:tcW w:w="900" w:type="dxa"/>
            <w:noWrap/>
            <w:vAlign w:val="center"/>
            <w:hideMark/>
          </w:tcPr>
          <w:p w14:paraId="3834A4C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w:t>
            </w:r>
          </w:p>
        </w:tc>
        <w:tc>
          <w:tcPr>
            <w:tcW w:w="1179" w:type="dxa"/>
            <w:noWrap/>
            <w:vAlign w:val="center"/>
            <w:hideMark/>
          </w:tcPr>
          <w:p w14:paraId="56A3148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$10</w:t>
            </w:r>
          </w:p>
        </w:tc>
      </w:tr>
      <w:tr w:rsidR="00BE484F" w:rsidRPr="00BD273F" w14:paraId="06C89EA8"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DB6A999"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43953B1B" w14:textId="2AA19C46"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p>
        </w:tc>
        <w:tc>
          <w:tcPr>
            <w:tcW w:w="3856" w:type="dxa"/>
            <w:noWrap/>
            <w:vAlign w:val="center"/>
            <w:hideMark/>
          </w:tcPr>
          <w:p w14:paraId="4F09638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OLEODUCTO BICENTENARIO DE COLOMBIA S.A.S. No.4100404</w:t>
            </w:r>
          </w:p>
        </w:tc>
        <w:tc>
          <w:tcPr>
            <w:tcW w:w="919" w:type="dxa"/>
            <w:noWrap/>
            <w:vAlign w:val="center"/>
            <w:hideMark/>
          </w:tcPr>
          <w:p w14:paraId="363D3C3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w:t>
            </w:r>
          </w:p>
        </w:tc>
        <w:tc>
          <w:tcPr>
            <w:tcW w:w="900" w:type="dxa"/>
            <w:noWrap/>
            <w:vAlign w:val="center"/>
            <w:hideMark/>
          </w:tcPr>
          <w:p w14:paraId="663CE173"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w:t>
            </w:r>
          </w:p>
        </w:tc>
        <w:tc>
          <w:tcPr>
            <w:tcW w:w="1179" w:type="dxa"/>
            <w:noWrap/>
            <w:vAlign w:val="center"/>
            <w:hideMark/>
          </w:tcPr>
          <w:p w14:paraId="48A1EB31"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$10</w:t>
            </w:r>
          </w:p>
        </w:tc>
      </w:tr>
      <w:tr w:rsidR="00BE484F" w:rsidRPr="00BD273F" w14:paraId="1409AB22"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97B3D11"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67E28B31"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5308/2021</w:t>
            </w:r>
          </w:p>
        </w:tc>
        <w:tc>
          <w:tcPr>
            <w:tcW w:w="3856" w:type="dxa"/>
            <w:noWrap/>
            <w:vAlign w:val="center"/>
            <w:hideMark/>
          </w:tcPr>
          <w:p w14:paraId="7902C4B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CONCAY S.A. N° 226-2021 DE 2021</w:t>
            </w:r>
          </w:p>
        </w:tc>
        <w:tc>
          <w:tcPr>
            <w:tcW w:w="919" w:type="dxa"/>
            <w:noWrap/>
            <w:vAlign w:val="center"/>
            <w:hideMark/>
          </w:tcPr>
          <w:p w14:paraId="7A41B29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$45</w:t>
            </w:r>
          </w:p>
        </w:tc>
        <w:tc>
          <w:tcPr>
            <w:tcW w:w="900" w:type="dxa"/>
            <w:noWrap/>
            <w:vAlign w:val="center"/>
            <w:hideMark/>
          </w:tcPr>
          <w:p w14:paraId="456D2C7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085084F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$45</w:t>
            </w:r>
          </w:p>
        </w:tc>
      </w:tr>
      <w:tr w:rsidR="00BE484F" w:rsidRPr="00BD273F" w14:paraId="4700E6D5"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1F7020E"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C16B09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ENV-07-09-1014-21</w:t>
            </w:r>
          </w:p>
        </w:tc>
        <w:tc>
          <w:tcPr>
            <w:tcW w:w="3856" w:type="dxa"/>
            <w:noWrap/>
            <w:vAlign w:val="center"/>
            <w:hideMark/>
          </w:tcPr>
          <w:p w14:paraId="5D81AB6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eastAsia="en-US"/>
              </w:rPr>
              <w:t xml:space="preserve">ALCALDIA MUNICIPAL DE ENVIGADO No. </w:t>
            </w:r>
            <w:r w:rsidRPr="00BD273F">
              <w:rPr>
                <w:rFonts w:cs="Arial"/>
                <w:color w:val="000000"/>
                <w:sz w:val="13"/>
                <w:szCs w:val="13"/>
                <w:lang w:val="en-US" w:eastAsia="en-US"/>
              </w:rPr>
              <w:t>ENV-07-09-1014-21</w:t>
            </w:r>
          </w:p>
        </w:tc>
        <w:tc>
          <w:tcPr>
            <w:tcW w:w="919" w:type="dxa"/>
            <w:noWrap/>
            <w:vAlign w:val="center"/>
            <w:hideMark/>
          </w:tcPr>
          <w:p w14:paraId="529A909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p>
        </w:tc>
        <w:tc>
          <w:tcPr>
            <w:tcW w:w="900" w:type="dxa"/>
            <w:noWrap/>
            <w:vAlign w:val="center"/>
            <w:hideMark/>
          </w:tcPr>
          <w:p w14:paraId="0EAA1E2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2F54104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p>
        </w:tc>
      </w:tr>
      <w:tr w:rsidR="00BE484F" w:rsidRPr="00BD273F" w14:paraId="0EFDC746"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08A442F6"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0A9991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5314/2021</w:t>
            </w:r>
          </w:p>
        </w:tc>
        <w:tc>
          <w:tcPr>
            <w:tcW w:w="3856" w:type="dxa"/>
            <w:noWrap/>
            <w:vAlign w:val="center"/>
            <w:hideMark/>
          </w:tcPr>
          <w:p w14:paraId="2562799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FONDO DE PASIVO SOCIAL DE FERROCARRILES NACIONALES</w:t>
            </w:r>
          </w:p>
        </w:tc>
        <w:tc>
          <w:tcPr>
            <w:tcW w:w="919" w:type="dxa"/>
            <w:noWrap/>
            <w:vAlign w:val="center"/>
            <w:hideMark/>
          </w:tcPr>
          <w:p w14:paraId="4DDE9FB1"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$26</w:t>
            </w:r>
          </w:p>
        </w:tc>
        <w:tc>
          <w:tcPr>
            <w:tcW w:w="900" w:type="dxa"/>
            <w:noWrap/>
            <w:vAlign w:val="center"/>
            <w:hideMark/>
          </w:tcPr>
          <w:p w14:paraId="70A1385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73FB692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$26</w:t>
            </w:r>
          </w:p>
        </w:tc>
      </w:tr>
      <w:tr w:rsidR="00BE484F" w:rsidRPr="00BD273F" w14:paraId="7BB1082E"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8D294A2"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19CDA4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005/2021</w:t>
            </w:r>
          </w:p>
        </w:tc>
        <w:tc>
          <w:tcPr>
            <w:tcW w:w="3856" w:type="dxa"/>
            <w:noWrap/>
            <w:vAlign w:val="center"/>
            <w:hideMark/>
          </w:tcPr>
          <w:p w14:paraId="796E9DF2" w14:textId="14F4FD0D"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INSTITUTO DE FOMENTO Y DESARROLLO DE BOYACÁ</w:t>
            </w:r>
          </w:p>
        </w:tc>
        <w:tc>
          <w:tcPr>
            <w:tcW w:w="919" w:type="dxa"/>
            <w:noWrap/>
            <w:vAlign w:val="center"/>
            <w:hideMark/>
          </w:tcPr>
          <w:p w14:paraId="23AE4A0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$35</w:t>
            </w:r>
          </w:p>
        </w:tc>
        <w:tc>
          <w:tcPr>
            <w:tcW w:w="900" w:type="dxa"/>
            <w:noWrap/>
            <w:vAlign w:val="center"/>
            <w:hideMark/>
          </w:tcPr>
          <w:p w14:paraId="705B7A6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0073F600"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$35</w:t>
            </w:r>
          </w:p>
        </w:tc>
      </w:tr>
      <w:tr w:rsidR="00BE484F" w:rsidRPr="00BD273F" w14:paraId="1CC7BF8B"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193D70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FAD18C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"095 mupio- 5287 IGAC"</w:t>
            </w:r>
          </w:p>
        </w:tc>
        <w:tc>
          <w:tcPr>
            <w:tcW w:w="3856" w:type="dxa"/>
            <w:noWrap/>
            <w:vAlign w:val="center"/>
            <w:hideMark/>
          </w:tcPr>
          <w:p w14:paraId="1E9BB5E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ALCALDÍA MUNICIPAL DE CHINÁCOTA- CONSERVACIÓN</w:t>
            </w:r>
          </w:p>
        </w:tc>
        <w:tc>
          <w:tcPr>
            <w:tcW w:w="919" w:type="dxa"/>
            <w:noWrap/>
            <w:vAlign w:val="center"/>
            <w:hideMark/>
          </w:tcPr>
          <w:p w14:paraId="569F0AB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$111</w:t>
            </w:r>
          </w:p>
        </w:tc>
        <w:tc>
          <w:tcPr>
            <w:tcW w:w="900" w:type="dxa"/>
            <w:noWrap/>
            <w:vAlign w:val="center"/>
            <w:hideMark/>
          </w:tcPr>
          <w:p w14:paraId="2E6A91C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$28</w:t>
            </w:r>
          </w:p>
        </w:tc>
        <w:tc>
          <w:tcPr>
            <w:tcW w:w="1179" w:type="dxa"/>
            <w:noWrap/>
            <w:vAlign w:val="center"/>
            <w:hideMark/>
          </w:tcPr>
          <w:p w14:paraId="496758D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$139</w:t>
            </w:r>
          </w:p>
        </w:tc>
      </w:tr>
      <w:tr w:rsidR="00BE484F" w:rsidRPr="00BD273F" w14:paraId="6129BF65"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60BFB02"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4A9487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"439 mupio- 5305 IGAC"</w:t>
            </w:r>
          </w:p>
        </w:tc>
        <w:tc>
          <w:tcPr>
            <w:tcW w:w="3856" w:type="dxa"/>
            <w:noWrap/>
            <w:vAlign w:val="center"/>
            <w:hideMark/>
          </w:tcPr>
          <w:p w14:paraId="6D4D63F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ALCALDÍA MUNICIPAL DE VILLAMARIA / CALDAS- ACTUALIZACIÓN</w:t>
            </w:r>
          </w:p>
        </w:tc>
        <w:tc>
          <w:tcPr>
            <w:tcW w:w="919" w:type="dxa"/>
            <w:noWrap/>
            <w:vAlign w:val="center"/>
            <w:hideMark/>
          </w:tcPr>
          <w:p w14:paraId="4D0165D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$84</w:t>
            </w:r>
          </w:p>
        </w:tc>
        <w:tc>
          <w:tcPr>
            <w:tcW w:w="900" w:type="dxa"/>
            <w:noWrap/>
            <w:vAlign w:val="center"/>
            <w:hideMark/>
          </w:tcPr>
          <w:p w14:paraId="49AD5C1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$42</w:t>
            </w:r>
          </w:p>
        </w:tc>
        <w:tc>
          <w:tcPr>
            <w:tcW w:w="1179" w:type="dxa"/>
            <w:noWrap/>
            <w:vAlign w:val="center"/>
            <w:hideMark/>
          </w:tcPr>
          <w:p w14:paraId="1AB3073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$126</w:t>
            </w:r>
          </w:p>
        </w:tc>
      </w:tr>
      <w:tr w:rsidR="00BE484F" w:rsidRPr="00BD273F" w14:paraId="705A3A78"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19A078C9"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C466A7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003-2021</w:t>
            </w:r>
          </w:p>
        </w:tc>
        <w:tc>
          <w:tcPr>
            <w:tcW w:w="3856" w:type="dxa"/>
            <w:noWrap/>
            <w:vAlign w:val="center"/>
            <w:hideMark/>
          </w:tcPr>
          <w:p w14:paraId="74705BCE" w14:textId="3B3F4152"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 xml:space="preserve">MUNICIPIO DE SAN CARLOS </w:t>
            </w:r>
            <w:r>
              <w:rPr>
                <w:rFonts w:cs="Arial"/>
                <w:color w:val="000000"/>
                <w:sz w:val="13"/>
                <w:szCs w:val="13"/>
                <w:lang w:eastAsia="en-US"/>
              </w:rPr>
              <w:t>–</w:t>
            </w:r>
            <w:r w:rsidRPr="00BD273F">
              <w:rPr>
                <w:rFonts w:cs="Arial"/>
                <w:color w:val="000000"/>
                <w:sz w:val="13"/>
                <w:szCs w:val="13"/>
                <w:lang w:eastAsia="en-US"/>
              </w:rPr>
              <w:t xml:space="preserve"> ACTUALIZACIÓN</w:t>
            </w:r>
          </w:p>
        </w:tc>
        <w:tc>
          <w:tcPr>
            <w:tcW w:w="919" w:type="dxa"/>
            <w:noWrap/>
            <w:vAlign w:val="center"/>
            <w:hideMark/>
          </w:tcPr>
          <w:p w14:paraId="157EED9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$298</w:t>
            </w:r>
          </w:p>
        </w:tc>
        <w:tc>
          <w:tcPr>
            <w:tcW w:w="900" w:type="dxa"/>
            <w:noWrap/>
            <w:vAlign w:val="center"/>
            <w:hideMark/>
          </w:tcPr>
          <w:p w14:paraId="416D882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$596</w:t>
            </w:r>
          </w:p>
        </w:tc>
        <w:tc>
          <w:tcPr>
            <w:tcW w:w="1179" w:type="dxa"/>
            <w:noWrap/>
            <w:vAlign w:val="center"/>
            <w:hideMark/>
          </w:tcPr>
          <w:p w14:paraId="220D3941"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$894</w:t>
            </w:r>
          </w:p>
        </w:tc>
      </w:tr>
      <w:tr w:rsidR="00BE484F" w:rsidRPr="00BD273F" w14:paraId="5D53F0F3"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081EEDA"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3B4F25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CI-002-2021</w:t>
            </w:r>
          </w:p>
        </w:tc>
        <w:tc>
          <w:tcPr>
            <w:tcW w:w="3856" w:type="dxa"/>
            <w:noWrap/>
            <w:vAlign w:val="center"/>
            <w:hideMark/>
          </w:tcPr>
          <w:p w14:paraId="6FC1E8F1"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BARANOA- CONSERVACIÓN</w:t>
            </w:r>
          </w:p>
        </w:tc>
        <w:tc>
          <w:tcPr>
            <w:tcW w:w="919" w:type="dxa"/>
            <w:noWrap/>
            <w:vAlign w:val="center"/>
            <w:hideMark/>
          </w:tcPr>
          <w:p w14:paraId="7D12509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900" w:type="dxa"/>
            <w:noWrap/>
            <w:vAlign w:val="center"/>
            <w:hideMark/>
          </w:tcPr>
          <w:p w14:paraId="42ABD35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$37</w:t>
            </w:r>
          </w:p>
        </w:tc>
        <w:tc>
          <w:tcPr>
            <w:tcW w:w="1179" w:type="dxa"/>
            <w:noWrap/>
            <w:vAlign w:val="center"/>
            <w:hideMark/>
          </w:tcPr>
          <w:p w14:paraId="54D72930"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$37</w:t>
            </w:r>
          </w:p>
        </w:tc>
      </w:tr>
      <w:tr w:rsidR="00BE484F" w:rsidRPr="00BD273F" w14:paraId="35FC320E"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restart"/>
            <w:vAlign w:val="center"/>
            <w:hideMark/>
          </w:tcPr>
          <w:p w14:paraId="784F844C" w14:textId="77777777" w:rsidR="00BE484F" w:rsidRDefault="00BE484F" w:rsidP="006A2F15">
            <w:pPr>
              <w:suppressAutoHyphens w:val="0"/>
              <w:jc w:val="center"/>
              <w:rPr>
                <w:rFonts w:cs="Arial"/>
                <w:b w:val="0"/>
                <w:bCs w:val="0"/>
                <w:color w:val="000000"/>
                <w:sz w:val="13"/>
                <w:szCs w:val="13"/>
                <w:lang w:val="en-US" w:eastAsia="en-US"/>
              </w:rPr>
            </w:pPr>
          </w:p>
          <w:p w14:paraId="1D9358A3" w14:textId="77777777" w:rsidR="00BE484F" w:rsidRDefault="00BE484F" w:rsidP="006A2F15">
            <w:pPr>
              <w:suppressAutoHyphens w:val="0"/>
              <w:jc w:val="center"/>
              <w:rPr>
                <w:rFonts w:cs="Arial"/>
                <w:b w:val="0"/>
                <w:bCs w:val="0"/>
                <w:color w:val="000000"/>
                <w:sz w:val="13"/>
                <w:szCs w:val="13"/>
                <w:lang w:val="en-US" w:eastAsia="en-US"/>
              </w:rPr>
            </w:pPr>
          </w:p>
          <w:p w14:paraId="38BC36F6" w14:textId="77777777" w:rsidR="00BE484F" w:rsidRDefault="00BE484F" w:rsidP="006A2F15">
            <w:pPr>
              <w:suppressAutoHyphens w:val="0"/>
              <w:jc w:val="center"/>
              <w:rPr>
                <w:rFonts w:cs="Arial"/>
                <w:b w:val="0"/>
                <w:bCs w:val="0"/>
                <w:color w:val="000000"/>
                <w:sz w:val="13"/>
                <w:szCs w:val="13"/>
                <w:lang w:val="en-US" w:eastAsia="en-US"/>
              </w:rPr>
            </w:pPr>
          </w:p>
          <w:p w14:paraId="27955BBA" w14:textId="77777777" w:rsidR="00BE484F" w:rsidRDefault="00BE484F" w:rsidP="006A2F15">
            <w:pPr>
              <w:suppressAutoHyphens w:val="0"/>
              <w:jc w:val="center"/>
              <w:rPr>
                <w:rFonts w:cs="Arial"/>
                <w:b w:val="0"/>
                <w:bCs w:val="0"/>
                <w:color w:val="000000"/>
                <w:sz w:val="13"/>
                <w:szCs w:val="13"/>
                <w:lang w:val="en-US" w:eastAsia="en-US"/>
              </w:rPr>
            </w:pPr>
          </w:p>
          <w:p w14:paraId="27ECB8AD" w14:textId="77777777" w:rsidR="00BE484F" w:rsidRDefault="00BE484F" w:rsidP="006A2F15">
            <w:pPr>
              <w:suppressAutoHyphens w:val="0"/>
              <w:jc w:val="center"/>
              <w:rPr>
                <w:rFonts w:cs="Arial"/>
                <w:b w:val="0"/>
                <w:bCs w:val="0"/>
                <w:color w:val="000000"/>
                <w:sz w:val="13"/>
                <w:szCs w:val="13"/>
                <w:lang w:val="en-US" w:eastAsia="en-US"/>
              </w:rPr>
            </w:pPr>
          </w:p>
          <w:p w14:paraId="3F7590FA" w14:textId="77777777" w:rsidR="00BE484F" w:rsidRDefault="00BE484F" w:rsidP="006A2F15">
            <w:pPr>
              <w:suppressAutoHyphens w:val="0"/>
              <w:jc w:val="center"/>
              <w:rPr>
                <w:rFonts w:cs="Arial"/>
                <w:b w:val="0"/>
                <w:bCs w:val="0"/>
                <w:color w:val="000000"/>
                <w:sz w:val="13"/>
                <w:szCs w:val="13"/>
                <w:lang w:val="en-US" w:eastAsia="en-US"/>
              </w:rPr>
            </w:pPr>
          </w:p>
          <w:p w14:paraId="1C478F47" w14:textId="77777777" w:rsidR="00BE484F" w:rsidRDefault="00BE484F" w:rsidP="006A2F15">
            <w:pPr>
              <w:suppressAutoHyphens w:val="0"/>
              <w:jc w:val="center"/>
              <w:rPr>
                <w:rFonts w:cs="Arial"/>
                <w:b w:val="0"/>
                <w:bCs w:val="0"/>
                <w:color w:val="000000"/>
                <w:sz w:val="13"/>
                <w:szCs w:val="13"/>
                <w:lang w:val="en-US" w:eastAsia="en-US"/>
              </w:rPr>
            </w:pPr>
          </w:p>
          <w:p w14:paraId="00506313" w14:textId="77777777" w:rsidR="00BE484F" w:rsidRDefault="00BE484F" w:rsidP="006A2F15">
            <w:pPr>
              <w:suppressAutoHyphens w:val="0"/>
              <w:jc w:val="center"/>
              <w:rPr>
                <w:rFonts w:cs="Arial"/>
                <w:b w:val="0"/>
                <w:bCs w:val="0"/>
                <w:color w:val="000000"/>
                <w:sz w:val="13"/>
                <w:szCs w:val="13"/>
                <w:lang w:val="en-US" w:eastAsia="en-US"/>
              </w:rPr>
            </w:pPr>
          </w:p>
          <w:p w14:paraId="26F57FEF" w14:textId="77777777" w:rsidR="00BE484F" w:rsidRDefault="00BE484F" w:rsidP="006A2F15">
            <w:pPr>
              <w:suppressAutoHyphens w:val="0"/>
              <w:jc w:val="center"/>
              <w:rPr>
                <w:rFonts w:cs="Arial"/>
                <w:b w:val="0"/>
                <w:bCs w:val="0"/>
                <w:color w:val="000000"/>
                <w:sz w:val="13"/>
                <w:szCs w:val="13"/>
                <w:lang w:val="en-US" w:eastAsia="en-US"/>
              </w:rPr>
            </w:pPr>
          </w:p>
          <w:p w14:paraId="3339B7DD" w14:textId="77777777" w:rsidR="00BE484F" w:rsidRDefault="00BE484F" w:rsidP="006A2F15">
            <w:pPr>
              <w:suppressAutoHyphens w:val="0"/>
              <w:jc w:val="center"/>
              <w:rPr>
                <w:rFonts w:cs="Arial"/>
                <w:b w:val="0"/>
                <w:bCs w:val="0"/>
                <w:color w:val="000000"/>
                <w:sz w:val="13"/>
                <w:szCs w:val="13"/>
                <w:lang w:val="en-US" w:eastAsia="en-US"/>
              </w:rPr>
            </w:pPr>
          </w:p>
          <w:p w14:paraId="484F5873" w14:textId="77777777" w:rsidR="00BE484F" w:rsidRDefault="00BE484F" w:rsidP="006A2F15">
            <w:pPr>
              <w:suppressAutoHyphens w:val="0"/>
              <w:jc w:val="center"/>
              <w:rPr>
                <w:rFonts w:cs="Arial"/>
                <w:b w:val="0"/>
                <w:bCs w:val="0"/>
                <w:color w:val="000000"/>
                <w:sz w:val="13"/>
                <w:szCs w:val="13"/>
                <w:lang w:val="en-US" w:eastAsia="en-US"/>
              </w:rPr>
            </w:pPr>
          </w:p>
          <w:p w14:paraId="27011257" w14:textId="77777777" w:rsidR="00BE484F" w:rsidRDefault="00BE484F" w:rsidP="006A2F15">
            <w:pPr>
              <w:suppressAutoHyphens w:val="0"/>
              <w:jc w:val="center"/>
              <w:rPr>
                <w:rFonts w:cs="Arial"/>
                <w:b w:val="0"/>
                <w:bCs w:val="0"/>
                <w:color w:val="000000"/>
                <w:sz w:val="13"/>
                <w:szCs w:val="13"/>
                <w:lang w:val="en-US" w:eastAsia="en-US"/>
              </w:rPr>
            </w:pPr>
          </w:p>
          <w:p w14:paraId="6F294FEC" w14:textId="77777777" w:rsidR="00BE484F" w:rsidRDefault="00BE484F" w:rsidP="006A2F15">
            <w:pPr>
              <w:suppressAutoHyphens w:val="0"/>
              <w:jc w:val="center"/>
              <w:rPr>
                <w:rFonts w:cs="Arial"/>
                <w:b w:val="0"/>
                <w:bCs w:val="0"/>
                <w:color w:val="000000"/>
                <w:sz w:val="13"/>
                <w:szCs w:val="13"/>
                <w:lang w:val="en-US" w:eastAsia="en-US"/>
              </w:rPr>
            </w:pPr>
          </w:p>
          <w:p w14:paraId="1EEBF30B" w14:textId="77777777" w:rsidR="00BE484F" w:rsidRPr="00BD273F" w:rsidRDefault="00BE484F" w:rsidP="006A2F15">
            <w:pPr>
              <w:suppressAutoHyphens w:val="0"/>
              <w:jc w:val="center"/>
              <w:rPr>
                <w:rFonts w:cs="Arial"/>
                <w:color w:val="000000"/>
                <w:sz w:val="13"/>
                <w:szCs w:val="13"/>
                <w:lang w:val="en-US" w:eastAsia="en-US"/>
              </w:rPr>
            </w:pPr>
            <w:r w:rsidRPr="00BD273F">
              <w:rPr>
                <w:rFonts w:cs="Arial"/>
                <w:color w:val="000000"/>
                <w:sz w:val="13"/>
                <w:szCs w:val="13"/>
                <w:lang w:val="en-US" w:eastAsia="en-US"/>
              </w:rPr>
              <w:t>DIRECCIÓN DE INFORMACIÓN GEOGRÁFICA</w:t>
            </w:r>
          </w:p>
        </w:tc>
        <w:tc>
          <w:tcPr>
            <w:tcW w:w="1545" w:type="dxa"/>
            <w:noWrap/>
            <w:vAlign w:val="center"/>
            <w:hideMark/>
          </w:tcPr>
          <w:p w14:paraId="5CD7AC7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4925/2017</w:t>
            </w:r>
          </w:p>
        </w:tc>
        <w:tc>
          <w:tcPr>
            <w:tcW w:w="3856" w:type="dxa"/>
            <w:noWrap/>
            <w:vAlign w:val="center"/>
            <w:hideMark/>
          </w:tcPr>
          <w:p w14:paraId="58FFFEE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GOBERNACIÓN DE CHOCÓ</w:t>
            </w:r>
          </w:p>
        </w:tc>
        <w:tc>
          <w:tcPr>
            <w:tcW w:w="919" w:type="dxa"/>
            <w:noWrap/>
            <w:vAlign w:val="center"/>
            <w:hideMark/>
          </w:tcPr>
          <w:p w14:paraId="6FE40F6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900" w:type="dxa"/>
            <w:noWrap/>
            <w:vAlign w:val="center"/>
            <w:hideMark/>
          </w:tcPr>
          <w:p w14:paraId="1B2F066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$60</w:t>
            </w:r>
          </w:p>
        </w:tc>
        <w:tc>
          <w:tcPr>
            <w:tcW w:w="1179" w:type="dxa"/>
            <w:noWrap/>
            <w:vAlign w:val="center"/>
            <w:hideMark/>
          </w:tcPr>
          <w:p w14:paraId="76159B8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$60</w:t>
            </w:r>
          </w:p>
        </w:tc>
      </w:tr>
      <w:tr w:rsidR="00BE484F" w:rsidRPr="00BD273F" w14:paraId="47E86B8A"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27191CED"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97781C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003/2017</w:t>
            </w:r>
          </w:p>
        </w:tc>
        <w:tc>
          <w:tcPr>
            <w:tcW w:w="3856" w:type="dxa"/>
            <w:noWrap/>
            <w:vAlign w:val="center"/>
            <w:hideMark/>
          </w:tcPr>
          <w:p w14:paraId="48BA3BF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ALCALDÍA DE IBAGUÉ</w:t>
            </w:r>
          </w:p>
        </w:tc>
        <w:tc>
          <w:tcPr>
            <w:tcW w:w="919" w:type="dxa"/>
            <w:noWrap/>
            <w:vAlign w:val="center"/>
            <w:hideMark/>
          </w:tcPr>
          <w:p w14:paraId="2B9AF43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$243</w:t>
            </w:r>
          </w:p>
        </w:tc>
        <w:tc>
          <w:tcPr>
            <w:tcW w:w="900" w:type="dxa"/>
            <w:noWrap/>
            <w:vAlign w:val="center"/>
            <w:hideMark/>
          </w:tcPr>
          <w:p w14:paraId="7298472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56EFC86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$243</w:t>
            </w:r>
          </w:p>
        </w:tc>
      </w:tr>
      <w:tr w:rsidR="00BE484F" w:rsidRPr="00BD273F" w14:paraId="0A58B854"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A726F9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32FC141"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5248/2020</w:t>
            </w:r>
          </w:p>
        </w:tc>
        <w:tc>
          <w:tcPr>
            <w:tcW w:w="3856" w:type="dxa"/>
            <w:noWrap/>
            <w:vAlign w:val="center"/>
            <w:hideMark/>
          </w:tcPr>
          <w:p w14:paraId="6A15CCC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VILLAVICENCIO</w:t>
            </w:r>
          </w:p>
        </w:tc>
        <w:tc>
          <w:tcPr>
            <w:tcW w:w="919" w:type="dxa"/>
            <w:noWrap/>
            <w:vAlign w:val="center"/>
            <w:hideMark/>
          </w:tcPr>
          <w:p w14:paraId="615ECDC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$334</w:t>
            </w:r>
          </w:p>
        </w:tc>
        <w:tc>
          <w:tcPr>
            <w:tcW w:w="900" w:type="dxa"/>
            <w:noWrap/>
            <w:vAlign w:val="center"/>
            <w:hideMark/>
          </w:tcPr>
          <w:p w14:paraId="0D094E6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391233C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$334</w:t>
            </w:r>
          </w:p>
        </w:tc>
      </w:tr>
      <w:tr w:rsidR="00BE484F" w:rsidRPr="00BD273F" w14:paraId="2BACC03B"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08A424FE"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1C2BD9C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002/2021</w:t>
            </w:r>
          </w:p>
        </w:tc>
        <w:tc>
          <w:tcPr>
            <w:tcW w:w="3856" w:type="dxa"/>
            <w:noWrap/>
            <w:vAlign w:val="center"/>
            <w:hideMark/>
          </w:tcPr>
          <w:p w14:paraId="594E4EE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FIDUAGRARIA S.A (ARAUQUITA)</w:t>
            </w:r>
          </w:p>
        </w:tc>
        <w:tc>
          <w:tcPr>
            <w:tcW w:w="919" w:type="dxa"/>
            <w:noWrap/>
            <w:vAlign w:val="center"/>
            <w:hideMark/>
          </w:tcPr>
          <w:p w14:paraId="2C36DDA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w:t>
            </w:r>
            <w:r>
              <w:rPr>
                <w:rFonts w:cs="Arial"/>
                <w:color w:val="000000"/>
                <w:sz w:val="13"/>
                <w:szCs w:val="13"/>
                <w:lang w:val="en-US" w:eastAsia="en-US"/>
              </w:rPr>
              <w:t>.</w:t>
            </w:r>
            <w:r w:rsidRPr="00BD273F">
              <w:rPr>
                <w:rFonts w:cs="Arial"/>
                <w:color w:val="000000"/>
                <w:sz w:val="13"/>
                <w:szCs w:val="13"/>
                <w:lang w:val="en-US" w:eastAsia="en-US"/>
              </w:rPr>
              <w:t>229</w:t>
            </w:r>
          </w:p>
        </w:tc>
        <w:tc>
          <w:tcPr>
            <w:tcW w:w="900" w:type="dxa"/>
            <w:noWrap/>
            <w:vAlign w:val="center"/>
            <w:hideMark/>
          </w:tcPr>
          <w:p w14:paraId="4FE2E7D3"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$65</w:t>
            </w:r>
          </w:p>
        </w:tc>
        <w:tc>
          <w:tcPr>
            <w:tcW w:w="1179" w:type="dxa"/>
            <w:noWrap/>
            <w:vAlign w:val="center"/>
            <w:hideMark/>
          </w:tcPr>
          <w:p w14:paraId="4EE4696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w:t>
            </w:r>
            <w:r>
              <w:rPr>
                <w:rFonts w:cs="Arial"/>
                <w:color w:val="000000"/>
                <w:sz w:val="13"/>
                <w:szCs w:val="13"/>
                <w:lang w:val="en-US" w:eastAsia="en-US"/>
              </w:rPr>
              <w:t>.</w:t>
            </w:r>
            <w:r w:rsidRPr="00BD273F">
              <w:rPr>
                <w:rFonts w:cs="Arial"/>
                <w:color w:val="000000"/>
                <w:sz w:val="13"/>
                <w:szCs w:val="13"/>
                <w:lang w:val="en-US" w:eastAsia="en-US"/>
              </w:rPr>
              <w:t>294</w:t>
            </w:r>
          </w:p>
        </w:tc>
      </w:tr>
      <w:tr w:rsidR="00BE484F" w:rsidRPr="00BD273F" w14:paraId="0B5EFA97"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1D575E2B"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BC45D1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5267/2020</w:t>
            </w:r>
          </w:p>
        </w:tc>
        <w:tc>
          <w:tcPr>
            <w:tcW w:w="3856" w:type="dxa"/>
            <w:noWrap/>
            <w:vAlign w:val="center"/>
            <w:hideMark/>
          </w:tcPr>
          <w:p w14:paraId="7733B0B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POPAYAN</w:t>
            </w:r>
          </w:p>
        </w:tc>
        <w:tc>
          <w:tcPr>
            <w:tcW w:w="919" w:type="dxa"/>
            <w:noWrap/>
            <w:vAlign w:val="center"/>
            <w:hideMark/>
          </w:tcPr>
          <w:p w14:paraId="150F3E4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$250</w:t>
            </w:r>
          </w:p>
        </w:tc>
        <w:tc>
          <w:tcPr>
            <w:tcW w:w="900" w:type="dxa"/>
            <w:noWrap/>
            <w:vAlign w:val="center"/>
            <w:hideMark/>
          </w:tcPr>
          <w:p w14:paraId="04D46BD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6439758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$250</w:t>
            </w:r>
          </w:p>
        </w:tc>
      </w:tr>
      <w:tr w:rsidR="00BE484F" w:rsidRPr="00BD273F" w14:paraId="2E3F0F99"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55C022F5"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470A025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359-2021</w:t>
            </w:r>
          </w:p>
        </w:tc>
        <w:tc>
          <w:tcPr>
            <w:tcW w:w="3856" w:type="dxa"/>
            <w:noWrap/>
            <w:vAlign w:val="center"/>
            <w:hideMark/>
          </w:tcPr>
          <w:p w14:paraId="6609C98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FONDO PASIVO SOCIAL</w:t>
            </w:r>
          </w:p>
        </w:tc>
        <w:tc>
          <w:tcPr>
            <w:tcW w:w="919" w:type="dxa"/>
            <w:noWrap/>
            <w:vAlign w:val="center"/>
            <w:hideMark/>
          </w:tcPr>
          <w:p w14:paraId="20854A23"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Pr>
                <w:rFonts w:cs="Arial"/>
                <w:color w:val="000000"/>
                <w:sz w:val="13"/>
                <w:szCs w:val="13"/>
                <w:lang w:val="en-US" w:eastAsia="en-US"/>
              </w:rPr>
              <w:t>$0</w:t>
            </w:r>
          </w:p>
        </w:tc>
        <w:tc>
          <w:tcPr>
            <w:tcW w:w="900" w:type="dxa"/>
            <w:noWrap/>
            <w:vAlign w:val="center"/>
            <w:hideMark/>
          </w:tcPr>
          <w:p w14:paraId="3479F17D"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$47</w:t>
            </w:r>
          </w:p>
        </w:tc>
        <w:tc>
          <w:tcPr>
            <w:tcW w:w="1179" w:type="dxa"/>
            <w:noWrap/>
            <w:vAlign w:val="center"/>
            <w:hideMark/>
          </w:tcPr>
          <w:p w14:paraId="45321AE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$47</w:t>
            </w:r>
          </w:p>
        </w:tc>
      </w:tr>
      <w:tr w:rsidR="00BE484F" w:rsidRPr="00BD273F" w14:paraId="1428567D"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444627D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27332F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SP-CDCTI-060-2021</w:t>
            </w:r>
          </w:p>
        </w:tc>
        <w:tc>
          <w:tcPr>
            <w:tcW w:w="3856" w:type="dxa"/>
            <w:noWrap/>
            <w:vAlign w:val="center"/>
            <w:hideMark/>
          </w:tcPr>
          <w:p w14:paraId="287792C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GOBERNACIÓN DE CUNDINAMARCA</w:t>
            </w:r>
          </w:p>
        </w:tc>
        <w:tc>
          <w:tcPr>
            <w:tcW w:w="919" w:type="dxa"/>
            <w:noWrap/>
            <w:vAlign w:val="center"/>
            <w:hideMark/>
          </w:tcPr>
          <w:p w14:paraId="0E470D6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w:t>
            </w:r>
          </w:p>
        </w:tc>
        <w:tc>
          <w:tcPr>
            <w:tcW w:w="900" w:type="dxa"/>
            <w:noWrap/>
            <w:vAlign w:val="center"/>
            <w:hideMark/>
          </w:tcPr>
          <w:p w14:paraId="56DAD15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$449</w:t>
            </w:r>
          </w:p>
        </w:tc>
        <w:tc>
          <w:tcPr>
            <w:tcW w:w="1179" w:type="dxa"/>
            <w:noWrap/>
            <w:vAlign w:val="center"/>
            <w:hideMark/>
          </w:tcPr>
          <w:p w14:paraId="239E8A3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$499</w:t>
            </w:r>
          </w:p>
        </w:tc>
      </w:tr>
      <w:tr w:rsidR="00BE484F" w:rsidRPr="00BD273F" w14:paraId="2D6250F0"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6A8AC755"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690E047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5153/2019</w:t>
            </w:r>
          </w:p>
        </w:tc>
        <w:tc>
          <w:tcPr>
            <w:tcW w:w="3856" w:type="dxa"/>
            <w:noWrap/>
            <w:vAlign w:val="center"/>
            <w:hideMark/>
          </w:tcPr>
          <w:p w14:paraId="59CEE582" w14:textId="023BEAEB"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 xml:space="preserve">CORPORACIÓN AUTONOMA REGIONAL DE CUNDINAMARCA </w:t>
            </w:r>
            <w:r>
              <w:rPr>
                <w:rFonts w:cs="Arial"/>
                <w:color w:val="000000"/>
                <w:sz w:val="13"/>
                <w:szCs w:val="13"/>
                <w:lang w:eastAsia="en-US"/>
              </w:rPr>
              <w:t>–</w:t>
            </w:r>
            <w:r w:rsidRPr="00BD273F">
              <w:rPr>
                <w:rFonts w:cs="Arial"/>
                <w:color w:val="000000"/>
                <w:sz w:val="13"/>
                <w:szCs w:val="13"/>
                <w:lang w:eastAsia="en-US"/>
              </w:rPr>
              <w:t xml:space="preserve"> CAR</w:t>
            </w:r>
          </w:p>
        </w:tc>
        <w:tc>
          <w:tcPr>
            <w:tcW w:w="919" w:type="dxa"/>
            <w:noWrap/>
            <w:vAlign w:val="center"/>
            <w:hideMark/>
          </w:tcPr>
          <w:p w14:paraId="71478B9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900" w:type="dxa"/>
            <w:noWrap/>
            <w:vAlign w:val="center"/>
            <w:hideMark/>
          </w:tcPr>
          <w:p w14:paraId="60C3C24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$609</w:t>
            </w:r>
          </w:p>
        </w:tc>
        <w:tc>
          <w:tcPr>
            <w:tcW w:w="1179" w:type="dxa"/>
            <w:noWrap/>
            <w:vAlign w:val="center"/>
            <w:hideMark/>
          </w:tcPr>
          <w:p w14:paraId="5100F921"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$609</w:t>
            </w:r>
          </w:p>
        </w:tc>
      </w:tr>
      <w:tr w:rsidR="00BE484F" w:rsidRPr="00BD273F" w14:paraId="4D2B2543"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2FC7DAE2"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124E5D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0100/2021</w:t>
            </w:r>
          </w:p>
        </w:tc>
        <w:tc>
          <w:tcPr>
            <w:tcW w:w="3856" w:type="dxa"/>
            <w:noWrap/>
            <w:vAlign w:val="center"/>
            <w:hideMark/>
          </w:tcPr>
          <w:p w14:paraId="1F917B5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ALCALDIA DEL MUNICIPIO DE PEREIRA</w:t>
            </w:r>
          </w:p>
        </w:tc>
        <w:tc>
          <w:tcPr>
            <w:tcW w:w="919" w:type="dxa"/>
            <w:noWrap/>
            <w:vAlign w:val="center"/>
            <w:hideMark/>
          </w:tcPr>
          <w:p w14:paraId="2B35681D"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$228</w:t>
            </w:r>
          </w:p>
        </w:tc>
        <w:tc>
          <w:tcPr>
            <w:tcW w:w="900" w:type="dxa"/>
            <w:noWrap/>
            <w:vAlign w:val="center"/>
            <w:hideMark/>
          </w:tcPr>
          <w:p w14:paraId="3AE7DA2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$38</w:t>
            </w:r>
          </w:p>
        </w:tc>
        <w:tc>
          <w:tcPr>
            <w:tcW w:w="1179" w:type="dxa"/>
            <w:noWrap/>
            <w:vAlign w:val="center"/>
            <w:hideMark/>
          </w:tcPr>
          <w:p w14:paraId="6BA8FE2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$266</w:t>
            </w:r>
          </w:p>
        </w:tc>
      </w:tr>
      <w:tr w:rsidR="00BE484F" w:rsidRPr="00BD273F" w14:paraId="580FE147"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0B41685D"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674D764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5122 de 2021</w:t>
            </w:r>
          </w:p>
        </w:tc>
        <w:tc>
          <w:tcPr>
            <w:tcW w:w="3856" w:type="dxa"/>
            <w:noWrap/>
            <w:vAlign w:val="center"/>
            <w:hideMark/>
          </w:tcPr>
          <w:p w14:paraId="21BF4801"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SECRETARIA DE AGRICULTURA -GOBERNACIÓN DE CUNDINAMARCA</w:t>
            </w:r>
          </w:p>
        </w:tc>
        <w:tc>
          <w:tcPr>
            <w:tcW w:w="919" w:type="dxa"/>
            <w:noWrap/>
            <w:vAlign w:val="center"/>
            <w:hideMark/>
          </w:tcPr>
          <w:p w14:paraId="423A096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$65</w:t>
            </w:r>
          </w:p>
        </w:tc>
        <w:tc>
          <w:tcPr>
            <w:tcW w:w="900" w:type="dxa"/>
            <w:noWrap/>
            <w:vAlign w:val="center"/>
            <w:hideMark/>
          </w:tcPr>
          <w:p w14:paraId="4787B9B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$47</w:t>
            </w:r>
          </w:p>
        </w:tc>
        <w:tc>
          <w:tcPr>
            <w:tcW w:w="1179" w:type="dxa"/>
            <w:noWrap/>
            <w:vAlign w:val="center"/>
            <w:hideMark/>
          </w:tcPr>
          <w:p w14:paraId="3CEC80A4"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$112</w:t>
            </w:r>
          </w:p>
        </w:tc>
      </w:tr>
      <w:tr w:rsidR="00BE484F" w:rsidRPr="00BD273F" w14:paraId="5CB81602"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7442487E"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DE3F29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230421-FY21-474 - IGAC 5300 de 2021.</w:t>
            </w:r>
          </w:p>
        </w:tc>
        <w:tc>
          <w:tcPr>
            <w:tcW w:w="3856" w:type="dxa"/>
            <w:noWrap/>
            <w:vAlign w:val="center"/>
            <w:hideMark/>
          </w:tcPr>
          <w:p w14:paraId="1CDEB5EB"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CORPORACIÓN AUTONOMA REGIONAL DEL MAGDALENA</w:t>
            </w:r>
          </w:p>
        </w:tc>
        <w:tc>
          <w:tcPr>
            <w:tcW w:w="919" w:type="dxa"/>
            <w:noWrap/>
            <w:vAlign w:val="center"/>
            <w:hideMark/>
          </w:tcPr>
          <w:p w14:paraId="26F5C62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$16</w:t>
            </w:r>
          </w:p>
        </w:tc>
        <w:tc>
          <w:tcPr>
            <w:tcW w:w="900" w:type="dxa"/>
            <w:noWrap/>
            <w:vAlign w:val="center"/>
            <w:hideMark/>
          </w:tcPr>
          <w:p w14:paraId="3DBF681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7309DED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$16</w:t>
            </w:r>
          </w:p>
        </w:tc>
      </w:tr>
      <w:tr w:rsidR="00BE484F" w:rsidRPr="00BD273F" w14:paraId="6BDC6B05"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1D313474"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03B604E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5307 de 2021</w:t>
            </w:r>
          </w:p>
        </w:tc>
        <w:tc>
          <w:tcPr>
            <w:tcW w:w="3856" w:type="dxa"/>
            <w:noWrap/>
            <w:vAlign w:val="center"/>
            <w:hideMark/>
          </w:tcPr>
          <w:p w14:paraId="78E8008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UNIVERSIDAD DEL TOLIMA</w:t>
            </w:r>
          </w:p>
        </w:tc>
        <w:tc>
          <w:tcPr>
            <w:tcW w:w="919" w:type="dxa"/>
            <w:noWrap/>
            <w:vAlign w:val="center"/>
            <w:hideMark/>
          </w:tcPr>
          <w:p w14:paraId="7769A56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w:t>
            </w:r>
          </w:p>
        </w:tc>
        <w:tc>
          <w:tcPr>
            <w:tcW w:w="900" w:type="dxa"/>
            <w:noWrap/>
            <w:vAlign w:val="center"/>
            <w:hideMark/>
          </w:tcPr>
          <w:p w14:paraId="2AFBDA4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1AF2B37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$6</w:t>
            </w:r>
          </w:p>
        </w:tc>
      </w:tr>
      <w:tr w:rsidR="00BE484F" w:rsidRPr="00BD273F" w14:paraId="40F06555"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020289E5"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670B90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5402 de 2021</w:t>
            </w:r>
          </w:p>
        </w:tc>
        <w:tc>
          <w:tcPr>
            <w:tcW w:w="3856" w:type="dxa"/>
            <w:noWrap/>
            <w:vAlign w:val="center"/>
            <w:hideMark/>
          </w:tcPr>
          <w:p w14:paraId="1D77538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INSTITUTO ALEXANDER VO HUMBOLDT</w:t>
            </w:r>
          </w:p>
        </w:tc>
        <w:tc>
          <w:tcPr>
            <w:tcW w:w="919" w:type="dxa"/>
            <w:noWrap/>
            <w:vAlign w:val="center"/>
            <w:hideMark/>
          </w:tcPr>
          <w:p w14:paraId="05CB666A"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p>
        </w:tc>
        <w:tc>
          <w:tcPr>
            <w:tcW w:w="900" w:type="dxa"/>
            <w:noWrap/>
            <w:vAlign w:val="center"/>
            <w:hideMark/>
          </w:tcPr>
          <w:p w14:paraId="6724AF39"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0562F8D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w:t>
            </w:r>
          </w:p>
        </w:tc>
      </w:tr>
      <w:tr w:rsidR="00BE484F" w:rsidRPr="00BD273F" w14:paraId="050A3543"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restart"/>
            <w:vAlign w:val="center"/>
            <w:hideMark/>
          </w:tcPr>
          <w:p w14:paraId="616C4DEF" w14:textId="77777777" w:rsidR="00BE484F" w:rsidRDefault="00BE484F" w:rsidP="006A2F15">
            <w:pPr>
              <w:suppressAutoHyphens w:val="0"/>
              <w:jc w:val="center"/>
              <w:rPr>
                <w:rFonts w:cs="Arial"/>
                <w:b w:val="0"/>
                <w:bCs w:val="0"/>
                <w:color w:val="000000"/>
                <w:sz w:val="13"/>
                <w:szCs w:val="13"/>
                <w:lang w:eastAsia="en-US"/>
              </w:rPr>
            </w:pPr>
          </w:p>
          <w:p w14:paraId="12F6C4C9" w14:textId="77777777" w:rsidR="00BE484F" w:rsidRDefault="00BE484F" w:rsidP="006A2F15">
            <w:pPr>
              <w:suppressAutoHyphens w:val="0"/>
              <w:jc w:val="center"/>
              <w:rPr>
                <w:rFonts w:cs="Arial"/>
                <w:b w:val="0"/>
                <w:bCs w:val="0"/>
                <w:color w:val="000000"/>
                <w:sz w:val="13"/>
                <w:szCs w:val="13"/>
                <w:lang w:eastAsia="en-US"/>
              </w:rPr>
            </w:pPr>
          </w:p>
          <w:p w14:paraId="1FE80945" w14:textId="77777777" w:rsidR="00BE484F" w:rsidRDefault="00BE484F" w:rsidP="006A2F15">
            <w:pPr>
              <w:suppressAutoHyphens w:val="0"/>
              <w:jc w:val="center"/>
              <w:rPr>
                <w:rFonts w:cs="Arial"/>
                <w:b w:val="0"/>
                <w:bCs w:val="0"/>
                <w:color w:val="000000"/>
                <w:sz w:val="13"/>
                <w:szCs w:val="13"/>
                <w:lang w:eastAsia="en-US"/>
              </w:rPr>
            </w:pPr>
          </w:p>
          <w:p w14:paraId="23B86307" w14:textId="77777777" w:rsidR="00BE484F" w:rsidRPr="00BD273F" w:rsidRDefault="00BE484F" w:rsidP="006A2F15">
            <w:pPr>
              <w:suppressAutoHyphens w:val="0"/>
              <w:jc w:val="center"/>
              <w:rPr>
                <w:rFonts w:cs="Arial"/>
                <w:color w:val="000000"/>
                <w:sz w:val="13"/>
                <w:szCs w:val="13"/>
                <w:lang w:eastAsia="en-US"/>
              </w:rPr>
            </w:pPr>
            <w:r w:rsidRPr="00BD273F">
              <w:rPr>
                <w:rFonts w:cs="Arial"/>
                <w:color w:val="000000"/>
                <w:sz w:val="13"/>
                <w:szCs w:val="13"/>
                <w:lang w:eastAsia="en-US"/>
              </w:rPr>
              <w:t>DIRECCIÓN DE INVESTIGACIÓN Y PROESPECTIVA</w:t>
            </w:r>
          </w:p>
        </w:tc>
        <w:tc>
          <w:tcPr>
            <w:tcW w:w="1545" w:type="dxa"/>
            <w:noWrap/>
            <w:vAlign w:val="center"/>
            <w:hideMark/>
          </w:tcPr>
          <w:p w14:paraId="73BBB78A"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5268/2020</w:t>
            </w:r>
          </w:p>
        </w:tc>
        <w:tc>
          <w:tcPr>
            <w:tcW w:w="3856" w:type="dxa"/>
            <w:noWrap/>
            <w:vAlign w:val="center"/>
            <w:hideMark/>
          </w:tcPr>
          <w:p w14:paraId="037D2B9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PATRIMINIO NATURAL FONDO PARA LA BIODIVERSIDAD Y AREAS PROTEGIDAS</w:t>
            </w:r>
          </w:p>
        </w:tc>
        <w:tc>
          <w:tcPr>
            <w:tcW w:w="919" w:type="dxa"/>
            <w:noWrap/>
            <w:vAlign w:val="center"/>
            <w:hideMark/>
          </w:tcPr>
          <w:p w14:paraId="73FDD61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$86</w:t>
            </w:r>
          </w:p>
        </w:tc>
        <w:tc>
          <w:tcPr>
            <w:tcW w:w="900" w:type="dxa"/>
            <w:noWrap/>
            <w:vAlign w:val="center"/>
            <w:hideMark/>
          </w:tcPr>
          <w:p w14:paraId="6C0BC7F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$171</w:t>
            </w:r>
          </w:p>
        </w:tc>
        <w:tc>
          <w:tcPr>
            <w:tcW w:w="1179" w:type="dxa"/>
            <w:noWrap/>
            <w:vAlign w:val="center"/>
            <w:hideMark/>
          </w:tcPr>
          <w:p w14:paraId="1B040A42"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$257</w:t>
            </w:r>
          </w:p>
        </w:tc>
      </w:tr>
      <w:tr w:rsidR="00BE484F" w:rsidRPr="00BD273F" w14:paraId="54B4B399"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73A9F00D"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596B231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En proceso</w:t>
            </w:r>
          </w:p>
        </w:tc>
        <w:tc>
          <w:tcPr>
            <w:tcW w:w="3856" w:type="dxa"/>
            <w:noWrap/>
            <w:vAlign w:val="center"/>
            <w:hideMark/>
          </w:tcPr>
          <w:p w14:paraId="7E2D6F9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CORPORACIÓN AUTÓNOMA REGIONAL DEL QUINDÍO</w:t>
            </w:r>
          </w:p>
        </w:tc>
        <w:tc>
          <w:tcPr>
            <w:tcW w:w="919" w:type="dxa"/>
            <w:noWrap/>
            <w:vAlign w:val="center"/>
            <w:hideMark/>
          </w:tcPr>
          <w:p w14:paraId="301EA59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$14</w:t>
            </w:r>
          </w:p>
        </w:tc>
        <w:tc>
          <w:tcPr>
            <w:tcW w:w="900" w:type="dxa"/>
            <w:noWrap/>
            <w:vAlign w:val="center"/>
            <w:hideMark/>
          </w:tcPr>
          <w:p w14:paraId="22C41C8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58872C20"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$14</w:t>
            </w:r>
          </w:p>
        </w:tc>
      </w:tr>
      <w:tr w:rsidR="00BE484F" w:rsidRPr="00BD273F" w14:paraId="49E69C8F"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335AC49B"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C3547D9"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"587/2021 N° Chia"</w:t>
            </w:r>
          </w:p>
        </w:tc>
        <w:tc>
          <w:tcPr>
            <w:tcW w:w="3856" w:type="dxa"/>
            <w:noWrap/>
            <w:vAlign w:val="center"/>
            <w:hideMark/>
          </w:tcPr>
          <w:p w14:paraId="63122BF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CHIA</w:t>
            </w:r>
          </w:p>
        </w:tc>
        <w:tc>
          <w:tcPr>
            <w:tcW w:w="919" w:type="dxa"/>
            <w:noWrap/>
            <w:vAlign w:val="center"/>
            <w:hideMark/>
          </w:tcPr>
          <w:p w14:paraId="4B2E9926"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$40</w:t>
            </w:r>
          </w:p>
        </w:tc>
        <w:tc>
          <w:tcPr>
            <w:tcW w:w="900" w:type="dxa"/>
            <w:noWrap/>
            <w:vAlign w:val="center"/>
            <w:hideMark/>
          </w:tcPr>
          <w:p w14:paraId="55B6138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$20</w:t>
            </w:r>
          </w:p>
        </w:tc>
        <w:tc>
          <w:tcPr>
            <w:tcW w:w="1179" w:type="dxa"/>
            <w:noWrap/>
            <w:vAlign w:val="center"/>
            <w:hideMark/>
          </w:tcPr>
          <w:p w14:paraId="4518223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$59</w:t>
            </w:r>
          </w:p>
        </w:tc>
      </w:tr>
      <w:tr w:rsidR="00BE484F" w:rsidRPr="00BD273F" w14:paraId="4804760C"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2F10F357"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8541ED5"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229/2021 N° Corpouraba</w:t>
            </w:r>
          </w:p>
        </w:tc>
        <w:tc>
          <w:tcPr>
            <w:tcW w:w="3856" w:type="dxa"/>
            <w:noWrap/>
            <w:vAlign w:val="center"/>
            <w:hideMark/>
          </w:tcPr>
          <w:p w14:paraId="0E2F9D2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CORPOURABA</w:t>
            </w:r>
          </w:p>
        </w:tc>
        <w:tc>
          <w:tcPr>
            <w:tcW w:w="919" w:type="dxa"/>
            <w:noWrap/>
            <w:vAlign w:val="center"/>
            <w:hideMark/>
          </w:tcPr>
          <w:p w14:paraId="53ABED5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$30</w:t>
            </w:r>
          </w:p>
        </w:tc>
        <w:tc>
          <w:tcPr>
            <w:tcW w:w="900" w:type="dxa"/>
            <w:noWrap/>
            <w:vAlign w:val="center"/>
            <w:hideMark/>
          </w:tcPr>
          <w:p w14:paraId="05BC9067"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2DFC6D93"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$30</w:t>
            </w:r>
          </w:p>
        </w:tc>
      </w:tr>
      <w:tr w:rsidR="00BE484F" w:rsidRPr="00BD273F" w14:paraId="4F86AA5E"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6E31756F"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7A7323AC"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710/2021 N° Minminas</w:t>
            </w:r>
          </w:p>
        </w:tc>
        <w:tc>
          <w:tcPr>
            <w:tcW w:w="3856" w:type="dxa"/>
            <w:noWrap/>
            <w:vAlign w:val="center"/>
            <w:hideMark/>
          </w:tcPr>
          <w:p w14:paraId="2E2C838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MINISTERIO DE MINAS Y ENERGIA</w:t>
            </w:r>
          </w:p>
        </w:tc>
        <w:tc>
          <w:tcPr>
            <w:tcW w:w="919" w:type="dxa"/>
            <w:noWrap/>
            <w:vAlign w:val="center"/>
            <w:hideMark/>
          </w:tcPr>
          <w:p w14:paraId="7CBED09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$112</w:t>
            </w:r>
          </w:p>
        </w:tc>
        <w:tc>
          <w:tcPr>
            <w:tcW w:w="900" w:type="dxa"/>
            <w:noWrap/>
            <w:vAlign w:val="center"/>
            <w:hideMark/>
          </w:tcPr>
          <w:p w14:paraId="3F554F6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$90</w:t>
            </w:r>
          </w:p>
        </w:tc>
        <w:tc>
          <w:tcPr>
            <w:tcW w:w="1179" w:type="dxa"/>
            <w:noWrap/>
            <w:vAlign w:val="center"/>
            <w:hideMark/>
          </w:tcPr>
          <w:p w14:paraId="46D409BE"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$202</w:t>
            </w:r>
          </w:p>
        </w:tc>
      </w:tr>
      <w:tr w:rsidR="00BE484F" w:rsidRPr="00BD273F" w14:paraId="1249767B"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restart"/>
            <w:vAlign w:val="center"/>
            <w:hideMark/>
          </w:tcPr>
          <w:p w14:paraId="7C42CB03" w14:textId="77777777" w:rsidR="00BE484F" w:rsidRDefault="00BE484F" w:rsidP="006A2F15">
            <w:pPr>
              <w:suppressAutoHyphens w:val="0"/>
              <w:jc w:val="center"/>
              <w:rPr>
                <w:rFonts w:cs="Arial"/>
                <w:b w:val="0"/>
                <w:bCs w:val="0"/>
                <w:color w:val="000000"/>
                <w:sz w:val="13"/>
                <w:szCs w:val="13"/>
                <w:lang w:eastAsia="en-US"/>
              </w:rPr>
            </w:pPr>
          </w:p>
          <w:p w14:paraId="29731D64" w14:textId="77777777" w:rsidR="00BE484F" w:rsidRPr="00BD273F" w:rsidRDefault="00BE484F" w:rsidP="006A2F15">
            <w:pPr>
              <w:suppressAutoHyphens w:val="0"/>
              <w:jc w:val="center"/>
              <w:rPr>
                <w:rFonts w:cs="Arial"/>
                <w:color w:val="000000"/>
                <w:sz w:val="13"/>
                <w:szCs w:val="13"/>
                <w:lang w:eastAsia="en-US"/>
              </w:rPr>
            </w:pPr>
            <w:r w:rsidRPr="00BD273F">
              <w:rPr>
                <w:rFonts w:cs="Arial"/>
                <w:color w:val="000000"/>
                <w:sz w:val="13"/>
                <w:szCs w:val="13"/>
                <w:lang w:eastAsia="en-US"/>
              </w:rPr>
              <w:t>DIRECCIÓN TECNOLOGÍAS DE LA INFORMACIÓN</w:t>
            </w:r>
          </w:p>
        </w:tc>
        <w:tc>
          <w:tcPr>
            <w:tcW w:w="1545" w:type="dxa"/>
            <w:noWrap/>
            <w:vAlign w:val="center"/>
            <w:hideMark/>
          </w:tcPr>
          <w:p w14:paraId="403B3D00"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05215 DEL 17 DE JULIO DE 2020</w:t>
            </w:r>
          </w:p>
        </w:tc>
        <w:tc>
          <w:tcPr>
            <w:tcW w:w="3856" w:type="dxa"/>
            <w:noWrap/>
            <w:vAlign w:val="center"/>
            <w:hideMark/>
          </w:tcPr>
          <w:p w14:paraId="3BA00144"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MUNICIPIO DE SOACHA</w:t>
            </w:r>
          </w:p>
        </w:tc>
        <w:tc>
          <w:tcPr>
            <w:tcW w:w="919" w:type="dxa"/>
            <w:noWrap/>
            <w:vAlign w:val="center"/>
            <w:hideMark/>
          </w:tcPr>
          <w:p w14:paraId="045D667F"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900" w:type="dxa"/>
            <w:noWrap/>
            <w:vAlign w:val="center"/>
            <w:hideMark/>
          </w:tcPr>
          <w:p w14:paraId="0E31D2FB"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$513</w:t>
            </w:r>
          </w:p>
        </w:tc>
        <w:tc>
          <w:tcPr>
            <w:tcW w:w="1179" w:type="dxa"/>
            <w:noWrap/>
            <w:vAlign w:val="center"/>
            <w:hideMark/>
          </w:tcPr>
          <w:p w14:paraId="2877AD8B"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$513</w:t>
            </w:r>
          </w:p>
        </w:tc>
      </w:tr>
      <w:tr w:rsidR="00BE484F" w:rsidRPr="00BD273F" w14:paraId="02F7B5B6"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2752FD04"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35C13C00"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2084 (IGAC) DEL 23-02-2021</w:t>
            </w:r>
          </w:p>
        </w:tc>
        <w:tc>
          <w:tcPr>
            <w:tcW w:w="3856" w:type="dxa"/>
            <w:noWrap/>
            <w:vAlign w:val="center"/>
            <w:hideMark/>
          </w:tcPr>
          <w:p w14:paraId="512792A8"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ALCALDÍA DE CÚCUTA</w:t>
            </w:r>
          </w:p>
        </w:tc>
        <w:tc>
          <w:tcPr>
            <w:tcW w:w="919" w:type="dxa"/>
            <w:noWrap/>
            <w:vAlign w:val="center"/>
            <w:hideMark/>
          </w:tcPr>
          <w:p w14:paraId="76321BE2"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$57</w:t>
            </w:r>
          </w:p>
        </w:tc>
        <w:tc>
          <w:tcPr>
            <w:tcW w:w="900" w:type="dxa"/>
            <w:noWrap/>
            <w:vAlign w:val="center"/>
            <w:hideMark/>
          </w:tcPr>
          <w:p w14:paraId="7B6499AB"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w:t>
            </w:r>
            <w:r>
              <w:rPr>
                <w:rFonts w:cs="Arial"/>
                <w:color w:val="000000"/>
                <w:sz w:val="13"/>
                <w:szCs w:val="13"/>
                <w:lang w:val="en-US" w:eastAsia="en-US"/>
              </w:rPr>
              <w:t>0</w:t>
            </w:r>
          </w:p>
        </w:tc>
        <w:tc>
          <w:tcPr>
            <w:tcW w:w="1179" w:type="dxa"/>
            <w:noWrap/>
            <w:vAlign w:val="center"/>
            <w:hideMark/>
          </w:tcPr>
          <w:p w14:paraId="5D683CF7"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$57</w:t>
            </w:r>
          </w:p>
        </w:tc>
      </w:tr>
      <w:tr w:rsidR="00BE484F" w:rsidRPr="00BD273F" w14:paraId="2362D835" w14:textId="77777777" w:rsidTr="006A2F1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382" w:type="dxa"/>
            <w:vMerge/>
            <w:vAlign w:val="center"/>
            <w:hideMark/>
          </w:tcPr>
          <w:p w14:paraId="7402C2C2"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28F67CCC"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2260 (IGAC) DEL 24-08-2021</w:t>
            </w:r>
          </w:p>
        </w:tc>
        <w:tc>
          <w:tcPr>
            <w:tcW w:w="3856" w:type="dxa"/>
            <w:noWrap/>
            <w:vAlign w:val="center"/>
            <w:hideMark/>
          </w:tcPr>
          <w:p w14:paraId="131E734E"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eastAsia="en-US"/>
              </w:rPr>
            </w:pPr>
            <w:r w:rsidRPr="00BD273F">
              <w:rPr>
                <w:rFonts w:cs="Arial"/>
                <w:color w:val="000000"/>
                <w:sz w:val="13"/>
                <w:szCs w:val="13"/>
                <w:lang w:eastAsia="en-US"/>
              </w:rPr>
              <w:t>MUNICIPIO SAN JOSÉ DE CÚCUTA</w:t>
            </w:r>
          </w:p>
        </w:tc>
        <w:tc>
          <w:tcPr>
            <w:tcW w:w="919" w:type="dxa"/>
            <w:noWrap/>
            <w:vAlign w:val="center"/>
            <w:hideMark/>
          </w:tcPr>
          <w:p w14:paraId="123A3EF8"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$170</w:t>
            </w:r>
          </w:p>
        </w:tc>
        <w:tc>
          <w:tcPr>
            <w:tcW w:w="900" w:type="dxa"/>
            <w:noWrap/>
            <w:vAlign w:val="center"/>
            <w:hideMark/>
          </w:tcPr>
          <w:p w14:paraId="5F8E7C72"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$227</w:t>
            </w:r>
          </w:p>
        </w:tc>
        <w:tc>
          <w:tcPr>
            <w:tcW w:w="1179" w:type="dxa"/>
            <w:noWrap/>
            <w:vAlign w:val="center"/>
            <w:hideMark/>
          </w:tcPr>
          <w:p w14:paraId="7848FEC6" w14:textId="77777777" w:rsidR="00BE484F" w:rsidRPr="00BD273F" w:rsidRDefault="00BE484F" w:rsidP="006A2F15">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3"/>
                <w:szCs w:val="13"/>
                <w:lang w:val="en-US" w:eastAsia="en-US"/>
              </w:rPr>
            </w:pPr>
            <w:r w:rsidRPr="00BD273F">
              <w:rPr>
                <w:rFonts w:cs="Arial"/>
                <w:color w:val="000000"/>
                <w:sz w:val="13"/>
                <w:szCs w:val="13"/>
                <w:lang w:val="en-US" w:eastAsia="en-US"/>
              </w:rPr>
              <w:t>$397</w:t>
            </w:r>
          </w:p>
        </w:tc>
      </w:tr>
      <w:tr w:rsidR="00BE484F" w:rsidRPr="00BD273F" w14:paraId="4B545906" w14:textId="77777777" w:rsidTr="006A2F15">
        <w:trPr>
          <w:trHeight w:val="320"/>
        </w:trPr>
        <w:tc>
          <w:tcPr>
            <w:cnfStyle w:val="001000000000" w:firstRow="0" w:lastRow="0" w:firstColumn="1" w:lastColumn="0" w:oddVBand="0" w:evenVBand="0" w:oddHBand="0" w:evenHBand="0" w:firstRowFirstColumn="0" w:firstRowLastColumn="0" w:lastRowFirstColumn="0" w:lastRowLastColumn="0"/>
            <w:tcW w:w="1382" w:type="dxa"/>
            <w:noWrap/>
            <w:vAlign w:val="center"/>
            <w:hideMark/>
          </w:tcPr>
          <w:p w14:paraId="220D40D9" w14:textId="77777777" w:rsidR="00BE484F" w:rsidRPr="00BD273F" w:rsidRDefault="00BE484F" w:rsidP="006A2F15">
            <w:pPr>
              <w:suppressAutoHyphens w:val="0"/>
              <w:jc w:val="center"/>
              <w:rPr>
                <w:rFonts w:cs="Arial"/>
                <w:color w:val="000000"/>
                <w:sz w:val="13"/>
                <w:szCs w:val="13"/>
                <w:lang w:val="en-US" w:eastAsia="en-US"/>
              </w:rPr>
            </w:pPr>
          </w:p>
        </w:tc>
        <w:tc>
          <w:tcPr>
            <w:tcW w:w="1545" w:type="dxa"/>
            <w:noWrap/>
            <w:vAlign w:val="center"/>
            <w:hideMark/>
          </w:tcPr>
          <w:p w14:paraId="717D8545"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3"/>
                <w:szCs w:val="13"/>
                <w:lang w:val="en-US" w:eastAsia="en-US"/>
              </w:rPr>
            </w:pPr>
          </w:p>
        </w:tc>
        <w:tc>
          <w:tcPr>
            <w:tcW w:w="3856" w:type="dxa"/>
            <w:noWrap/>
            <w:vAlign w:val="center"/>
            <w:hideMark/>
          </w:tcPr>
          <w:p w14:paraId="776E89F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3"/>
                <w:szCs w:val="13"/>
                <w:lang w:val="en-US" w:eastAsia="en-US"/>
              </w:rPr>
            </w:pPr>
          </w:p>
        </w:tc>
        <w:tc>
          <w:tcPr>
            <w:tcW w:w="919" w:type="dxa"/>
            <w:noWrap/>
            <w:vAlign w:val="center"/>
            <w:hideMark/>
          </w:tcPr>
          <w:p w14:paraId="66B0E50F"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sz w:val="13"/>
                <w:szCs w:val="13"/>
                <w:lang w:val="en-US" w:eastAsia="en-US"/>
              </w:rPr>
            </w:pPr>
          </w:p>
        </w:tc>
        <w:tc>
          <w:tcPr>
            <w:tcW w:w="900" w:type="dxa"/>
            <w:noWrap/>
            <w:vAlign w:val="center"/>
            <w:hideMark/>
          </w:tcPr>
          <w:p w14:paraId="2B50602B" w14:textId="77777777" w:rsidR="00BE484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3"/>
                <w:szCs w:val="13"/>
                <w:lang w:val="en-US" w:eastAsia="en-US"/>
              </w:rPr>
            </w:pPr>
            <w:r w:rsidRPr="00BD273F">
              <w:rPr>
                <w:rFonts w:cs="Arial"/>
                <w:b/>
                <w:bCs/>
                <w:color w:val="000000"/>
                <w:sz w:val="13"/>
                <w:szCs w:val="13"/>
                <w:lang w:val="en-US" w:eastAsia="en-US"/>
              </w:rPr>
              <w:t>TOTAL</w:t>
            </w:r>
          </w:p>
          <w:p w14:paraId="458624CB" w14:textId="77777777" w:rsidR="00BE484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3"/>
                <w:szCs w:val="13"/>
                <w:lang w:val="en-US" w:eastAsia="en-US"/>
              </w:rPr>
            </w:pPr>
          </w:p>
          <w:p w14:paraId="463E4B0D"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3"/>
                <w:szCs w:val="13"/>
                <w:lang w:val="en-US" w:eastAsia="en-US"/>
              </w:rPr>
            </w:pPr>
            <w:r>
              <w:rPr>
                <w:rFonts w:cs="Arial"/>
                <w:b/>
                <w:bCs/>
                <w:color w:val="000000"/>
                <w:sz w:val="13"/>
                <w:szCs w:val="13"/>
                <w:lang w:val="en-US" w:eastAsia="en-US"/>
              </w:rPr>
              <w:t>TOTAL SIN IVA</w:t>
            </w:r>
          </w:p>
        </w:tc>
        <w:tc>
          <w:tcPr>
            <w:tcW w:w="1179" w:type="dxa"/>
            <w:noWrap/>
            <w:vAlign w:val="center"/>
            <w:hideMark/>
          </w:tcPr>
          <w:p w14:paraId="5ED1FA40" w14:textId="77777777" w:rsidR="00BE484F" w:rsidRPr="006A2F15"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color w:val="000000"/>
                <w:sz w:val="13"/>
                <w:szCs w:val="13"/>
                <w:lang w:val="en-US" w:eastAsia="en-US"/>
              </w:rPr>
            </w:pPr>
            <w:r w:rsidRPr="006A2F15">
              <w:rPr>
                <w:rFonts w:cs="Arial"/>
                <w:b/>
                <w:color w:val="000000"/>
                <w:sz w:val="13"/>
                <w:szCs w:val="13"/>
                <w:lang w:val="en-US" w:eastAsia="en-US"/>
              </w:rPr>
              <w:t>$21.868</w:t>
            </w:r>
          </w:p>
          <w:p w14:paraId="387A62DC" w14:textId="77777777" w:rsidR="00BE484F" w:rsidRPr="006A2F15"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color w:val="000000"/>
                <w:sz w:val="13"/>
                <w:szCs w:val="13"/>
                <w:lang w:val="en-US" w:eastAsia="en-US"/>
              </w:rPr>
            </w:pPr>
          </w:p>
          <w:p w14:paraId="4A2F6431" w14:textId="77777777" w:rsidR="00BE484F" w:rsidRPr="006A2F15"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b/>
                <w:color w:val="000000"/>
                <w:sz w:val="13"/>
                <w:szCs w:val="13"/>
                <w:lang w:val="en-US" w:eastAsia="en-US"/>
              </w:rPr>
            </w:pPr>
            <w:r w:rsidRPr="006A2F15">
              <w:rPr>
                <w:rFonts w:cs="Arial"/>
                <w:b/>
                <w:color w:val="000000"/>
                <w:sz w:val="13"/>
                <w:szCs w:val="13"/>
                <w:lang w:val="en-US" w:eastAsia="en-US"/>
              </w:rPr>
              <w:t>$18.376</w:t>
            </w:r>
          </w:p>
          <w:p w14:paraId="17239694" w14:textId="77777777" w:rsidR="00BE484F" w:rsidRPr="00BD273F" w:rsidRDefault="00BE484F" w:rsidP="006A2F15">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3"/>
                <w:szCs w:val="13"/>
                <w:lang w:val="en-US" w:eastAsia="en-US"/>
              </w:rPr>
            </w:pPr>
          </w:p>
        </w:tc>
      </w:tr>
    </w:tbl>
    <w:p w14:paraId="0ECE710F" w14:textId="28411F3D" w:rsidR="00904634" w:rsidRPr="006A2F15" w:rsidRDefault="00BE484F" w:rsidP="00BE484F">
      <w:pPr>
        <w:jc w:val="center"/>
        <w:textAlignment w:val="baseline"/>
        <w:rPr>
          <w:rFonts w:cs="Arial"/>
          <w:b/>
          <w:sz w:val="16"/>
          <w:lang w:eastAsia="es-CO"/>
        </w:rPr>
      </w:pPr>
      <w:r w:rsidRPr="006A2F15">
        <w:rPr>
          <w:rFonts w:cs="Arial"/>
          <w:b/>
          <w:sz w:val="16"/>
          <w:lang w:eastAsia="es-CO"/>
        </w:rPr>
        <w:t>Fuente: Oficina Asesora de Planeación</w:t>
      </w:r>
    </w:p>
    <w:p w14:paraId="0332D490" w14:textId="08FE9704" w:rsidR="00904634" w:rsidRDefault="00904634" w:rsidP="00DC4D58">
      <w:pPr>
        <w:textAlignment w:val="baseline"/>
        <w:rPr>
          <w:rFonts w:cs="Arial"/>
          <w:sz w:val="16"/>
          <w:lang w:eastAsia="es-CO"/>
        </w:rPr>
      </w:pPr>
    </w:p>
    <w:p w14:paraId="29F4187F" w14:textId="62A00F4A" w:rsidR="006250EF" w:rsidRDefault="006250EF" w:rsidP="00DC4D58">
      <w:pPr>
        <w:textAlignment w:val="baseline"/>
        <w:rPr>
          <w:rFonts w:cs="Arial"/>
          <w:sz w:val="16"/>
          <w:lang w:eastAsia="es-CO"/>
        </w:rPr>
      </w:pPr>
    </w:p>
    <w:p w14:paraId="317784EB" w14:textId="5132E896" w:rsidR="00BE484F" w:rsidRDefault="00BE484F" w:rsidP="00DC4D58">
      <w:pPr>
        <w:textAlignment w:val="baseline"/>
        <w:rPr>
          <w:rFonts w:cs="Arial"/>
          <w:sz w:val="16"/>
          <w:lang w:eastAsia="es-CO"/>
        </w:rPr>
      </w:pPr>
    </w:p>
    <w:p w14:paraId="25F4800A" w14:textId="77777777" w:rsidR="00BE484F" w:rsidRDefault="00BE484F" w:rsidP="00BE484F">
      <w:pPr>
        <w:jc w:val="both"/>
        <w:textAlignment w:val="baseline"/>
        <w:rPr>
          <w:rFonts w:eastAsia="MS Mincho" w:cs="Arial"/>
          <w:sz w:val="22"/>
          <w:szCs w:val="22"/>
          <w:lang w:eastAsia="es-CO"/>
        </w:rPr>
      </w:pPr>
      <w:r>
        <w:rPr>
          <w:rFonts w:eastAsia="MS Mincho" w:cs="Arial"/>
          <w:sz w:val="22"/>
          <w:szCs w:val="22"/>
          <w:lang w:eastAsia="es-CO"/>
        </w:rPr>
        <w:t>Por lo que obtenemos una proyección de Recursos Propios a 31 de diciembre de 2021 de $36.627, siendo el 57% de avance respecto a la meta.</w:t>
      </w:r>
    </w:p>
    <w:p w14:paraId="2FE0D833" w14:textId="4D3CC30B" w:rsidR="00BE484F" w:rsidRDefault="00BE484F" w:rsidP="00BE484F">
      <w:pPr>
        <w:jc w:val="both"/>
        <w:textAlignment w:val="baseline"/>
        <w:rPr>
          <w:rFonts w:eastAsia="MS Mincho" w:cs="Arial"/>
          <w:sz w:val="22"/>
          <w:szCs w:val="22"/>
          <w:lang w:eastAsia="es-CO"/>
        </w:rPr>
      </w:pPr>
    </w:p>
    <w:p w14:paraId="096CA382" w14:textId="09222DBE" w:rsidR="00BE484F" w:rsidRPr="006A2F15" w:rsidRDefault="006A2F15" w:rsidP="006A2F15">
      <w:pPr>
        <w:pStyle w:val="Descripcin"/>
        <w:jc w:val="center"/>
        <w:rPr>
          <w:rFonts w:ascii="Arial" w:eastAsia="MS Mincho" w:hAnsi="Arial" w:cs="Arial"/>
          <w:b/>
          <w:i w:val="0"/>
          <w:color w:val="000000" w:themeColor="text1"/>
          <w:sz w:val="20"/>
          <w:szCs w:val="22"/>
          <w:lang w:eastAsia="es-CO"/>
        </w:rPr>
      </w:pPr>
      <w:bookmarkStart w:id="220" w:name="_Toc88677230"/>
      <w:r w:rsidRPr="006A2F15">
        <w:rPr>
          <w:rFonts w:ascii="Arial" w:hAnsi="Arial" w:cs="Arial"/>
          <w:b/>
          <w:i w:val="0"/>
          <w:color w:val="000000" w:themeColor="text1"/>
          <w:sz w:val="16"/>
        </w:rPr>
        <w:t xml:space="preserve">Ilustración </w:t>
      </w:r>
      <w:r w:rsidRPr="006A2F15">
        <w:rPr>
          <w:rFonts w:ascii="Arial" w:hAnsi="Arial" w:cs="Arial"/>
          <w:b/>
          <w:i w:val="0"/>
          <w:color w:val="000000" w:themeColor="text1"/>
          <w:sz w:val="16"/>
        </w:rPr>
        <w:fldChar w:fldCharType="begin"/>
      </w:r>
      <w:r w:rsidRPr="006A2F15">
        <w:rPr>
          <w:rFonts w:ascii="Arial" w:hAnsi="Arial" w:cs="Arial"/>
          <w:b/>
          <w:i w:val="0"/>
          <w:color w:val="000000" w:themeColor="text1"/>
          <w:sz w:val="16"/>
        </w:rPr>
        <w:instrText xml:space="preserve"> SEQ Ilustración \* ARABIC </w:instrText>
      </w:r>
      <w:r w:rsidRPr="006A2F15">
        <w:rPr>
          <w:rFonts w:ascii="Arial" w:hAnsi="Arial" w:cs="Arial"/>
          <w:b/>
          <w:i w:val="0"/>
          <w:color w:val="000000" w:themeColor="text1"/>
          <w:sz w:val="16"/>
        </w:rPr>
        <w:fldChar w:fldCharType="separate"/>
      </w:r>
      <w:r w:rsidR="005D5B0E">
        <w:rPr>
          <w:rFonts w:ascii="Arial" w:hAnsi="Arial" w:cs="Arial"/>
          <w:b/>
          <w:i w:val="0"/>
          <w:noProof/>
          <w:color w:val="000000" w:themeColor="text1"/>
          <w:sz w:val="16"/>
        </w:rPr>
        <w:t>74</w:t>
      </w:r>
      <w:r w:rsidRPr="006A2F15">
        <w:rPr>
          <w:rFonts w:ascii="Arial" w:hAnsi="Arial" w:cs="Arial"/>
          <w:b/>
          <w:i w:val="0"/>
          <w:color w:val="000000" w:themeColor="text1"/>
          <w:sz w:val="16"/>
        </w:rPr>
        <w:fldChar w:fldCharType="end"/>
      </w:r>
      <w:r w:rsidRPr="006A2F15">
        <w:rPr>
          <w:rFonts w:ascii="Arial" w:hAnsi="Arial" w:cs="Arial"/>
          <w:b/>
          <w:i w:val="0"/>
          <w:color w:val="000000" w:themeColor="text1"/>
          <w:sz w:val="16"/>
        </w:rPr>
        <w:t>. Proyección de ingresos por recursos propios a 31 de diciembre 2021</w:t>
      </w:r>
      <w:bookmarkEnd w:id="220"/>
    </w:p>
    <w:p w14:paraId="5FD2EAD3" w14:textId="77777777" w:rsidR="00BE484F" w:rsidRPr="00F4543D" w:rsidRDefault="00BE484F" w:rsidP="00BE484F">
      <w:pPr>
        <w:jc w:val="both"/>
        <w:textAlignment w:val="baseline"/>
        <w:rPr>
          <w:rFonts w:eastAsia="MS Mincho" w:cs="Arial"/>
          <w:sz w:val="22"/>
          <w:szCs w:val="22"/>
          <w:lang w:eastAsia="es-CO"/>
        </w:rPr>
      </w:pPr>
      <w:r>
        <w:rPr>
          <w:noProof/>
          <w:lang w:val="es-CO" w:eastAsia="es-CO"/>
        </w:rPr>
        <w:drawing>
          <wp:inline distT="0" distB="0" distL="0" distR="0" wp14:anchorId="4BF3EB24" wp14:editId="67909B25">
            <wp:extent cx="5904689" cy="2821940"/>
            <wp:effectExtent l="0" t="0" r="13970" b="10160"/>
            <wp:docPr id="35" name="Chart 20">
              <a:extLst xmlns:a="http://schemas.openxmlformats.org/drawingml/2006/main">
                <a:ext uri="{FF2B5EF4-FFF2-40B4-BE49-F238E27FC236}">
                  <a16:creationId xmlns:a16="http://schemas.microsoft.com/office/drawing/2014/main" id="{2EFC91E6-B74E-D741-840E-590198782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9"/>
              </a:graphicData>
            </a:graphic>
          </wp:inline>
        </w:drawing>
      </w:r>
    </w:p>
    <w:p w14:paraId="398799BD" w14:textId="0F94E728" w:rsidR="00BE484F" w:rsidRPr="006A2F15" w:rsidRDefault="00BE484F" w:rsidP="00BE484F">
      <w:pPr>
        <w:jc w:val="center"/>
        <w:textAlignment w:val="baseline"/>
        <w:rPr>
          <w:b/>
          <w:sz w:val="18"/>
          <w:szCs w:val="22"/>
          <w:lang w:eastAsia="es-CO"/>
        </w:rPr>
      </w:pPr>
      <w:r w:rsidRPr="00912343">
        <w:rPr>
          <w:b/>
          <w:sz w:val="16"/>
          <w:szCs w:val="22"/>
          <w:lang w:eastAsia="es-CO"/>
        </w:rPr>
        <w:t>Fuente: Oficina Asesora de Planeación</w:t>
      </w:r>
    </w:p>
    <w:p w14:paraId="01573C37" w14:textId="4ADF2171" w:rsidR="00BE484F" w:rsidRPr="00D428A7" w:rsidRDefault="00BE484F" w:rsidP="00912343">
      <w:pPr>
        <w:textAlignment w:val="baseline"/>
        <w:rPr>
          <w:rFonts w:ascii="Segoe UI" w:hAnsi="Segoe UI" w:cs="Segoe UI"/>
          <w:sz w:val="16"/>
          <w:szCs w:val="18"/>
          <w:lang w:eastAsia="es-CO"/>
        </w:rPr>
      </w:pPr>
      <w:r w:rsidRPr="00D428A7">
        <w:rPr>
          <w:sz w:val="22"/>
          <w:lang w:eastAsia="es-CO"/>
        </w:rPr>
        <w:t> </w:t>
      </w:r>
    </w:p>
    <w:p w14:paraId="0AADB49E" w14:textId="7D35C2B4" w:rsidR="00BE484F" w:rsidRPr="00BE484F" w:rsidRDefault="00BE484F" w:rsidP="000A20EE">
      <w:pPr>
        <w:pStyle w:val="Prrafodelista"/>
        <w:numPr>
          <w:ilvl w:val="1"/>
          <w:numId w:val="22"/>
        </w:numPr>
        <w:suppressAutoHyphens w:val="0"/>
        <w:spacing w:after="160" w:line="256" w:lineRule="auto"/>
        <w:contextualSpacing/>
        <w:rPr>
          <w:rFonts w:cs="Arial"/>
          <w:lang w:eastAsia="es-CO"/>
        </w:rPr>
      </w:pPr>
      <w:r w:rsidRPr="00BE484F">
        <w:rPr>
          <w:rFonts w:cs="Arial"/>
          <w:b/>
          <w:bCs/>
          <w:lang w:eastAsia="es-CO"/>
        </w:rPr>
        <w:t>PRESUPUESTO 2022</w:t>
      </w:r>
      <w:r w:rsidRPr="00BE484F">
        <w:rPr>
          <w:rFonts w:cs="Arial"/>
          <w:lang w:eastAsia="es-CO"/>
        </w:rPr>
        <w:t> </w:t>
      </w:r>
    </w:p>
    <w:p w14:paraId="44F6D270" w14:textId="77777777" w:rsidR="00BE484F" w:rsidRPr="00D428A7" w:rsidRDefault="00BE484F" w:rsidP="00BE484F">
      <w:pPr>
        <w:jc w:val="both"/>
        <w:textAlignment w:val="baseline"/>
        <w:rPr>
          <w:rFonts w:ascii="Segoe UI" w:hAnsi="Segoe UI" w:cs="Segoe UI"/>
          <w:sz w:val="16"/>
          <w:szCs w:val="18"/>
          <w:lang w:eastAsia="es-CO"/>
        </w:rPr>
      </w:pPr>
      <w:r w:rsidRPr="00D428A7">
        <w:rPr>
          <w:rFonts w:cs="Arial"/>
          <w:sz w:val="22"/>
          <w:lang w:eastAsia="es-CO"/>
        </w:rPr>
        <w:t>Para la vigencia 2022, se tiene</w:t>
      </w:r>
      <w:r>
        <w:rPr>
          <w:rFonts w:cs="Arial"/>
          <w:sz w:val="22"/>
          <w:lang w:eastAsia="es-CO"/>
        </w:rPr>
        <w:t xml:space="preserve"> una cuota de recursos de inversión de $314.151 millones de pesos, dentro de esta cuota se tienen asignados $80.000 millones </w:t>
      </w:r>
      <w:r w:rsidRPr="00D428A7">
        <w:rPr>
          <w:rFonts w:cs="Arial"/>
          <w:sz w:val="22"/>
          <w:lang w:eastAsia="es-CO"/>
        </w:rPr>
        <w:t xml:space="preserve">de </w:t>
      </w:r>
      <w:r>
        <w:rPr>
          <w:rFonts w:cs="Arial"/>
          <w:sz w:val="22"/>
          <w:lang w:eastAsia="es-CO"/>
        </w:rPr>
        <w:t xml:space="preserve">pesos de </w:t>
      </w:r>
      <w:r w:rsidRPr="00D428A7">
        <w:rPr>
          <w:rFonts w:cs="Arial"/>
          <w:sz w:val="22"/>
          <w:lang w:eastAsia="es-CO"/>
        </w:rPr>
        <w:t>recursos nación</w:t>
      </w:r>
      <w:r>
        <w:rPr>
          <w:rFonts w:cs="Arial"/>
          <w:sz w:val="22"/>
          <w:lang w:eastAsia="es-CO"/>
        </w:rPr>
        <w:t>,</w:t>
      </w:r>
      <w:r w:rsidRPr="00D428A7">
        <w:rPr>
          <w:rFonts w:cs="Arial"/>
          <w:sz w:val="22"/>
          <w:lang w:eastAsia="es-CO"/>
        </w:rPr>
        <w:t xml:space="preserve"> destinados específicamente para</w:t>
      </w:r>
      <w:r>
        <w:rPr>
          <w:rFonts w:cs="Arial"/>
          <w:sz w:val="22"/>
          <w:lang w:eastAsia="es-CO"/>
        </w:rPr>
        <w:t xml:space="preserve"> adelantar la estrategia que desde Gobierno Nacional se proyectó para la cofinanciación de la actualización catastral por medio del otorgamiento de tasas compensadas a los municipios susceptibles de crédito por medio de</w:t>
      </w:r>
      <w:r w:rsidRPr="00D428A7">
        <w:rPr>
          <w:rFonts w:cs="Arial"/>
          <w:sz w:val="22"/>
          <w:lang w:eastAsia="es-CO"/>
        </w:rPr>
        <w:t xml:space="preserve"> FINDETER:  </w:t>
      </w:r>
    </w:p>
    <w:p w14:paraId="2911ABB1" w14:textId="77777777" w:rsidR="00BE484F" w:rsidRDefault="00BE484F" w:rsidP="00DC4D58">
      <w:pPr>
        <w:textAlignment w:val="baseline"/>
        <w:rPr>
          <w:rFonts w:cs="Arial"/>
          <w:sz w:val="16"/>
          <w:lang w:eastAsia="es-CO"/>
        </w:rPr>
      </w:pPr>
    </w:p>
    <w:p w14:paraId="7EFD526A" w14:textId="15496D77" w:rsidR="00912343" w:rsidRPr="00912343" w:rsidRDefault="00912343" w:rsidP="00912343">
      <w:pPr>
        <w:pStyle w:val="Descripcin"/>
        <w:jc w:val="center"/>
        <w:rPr>
          <w:rFonts w:ascii="Arial" w:hAnsi="Arial" w:cs="Arial"/>
          <w:b/>
          <w:i w:val="0"/>
          <w:color w:val="000000" w:themeColor="text1"/>
          <w:sz w:val="20"/>
          <w:szCs w:val="22"/>
          <w:lang w:eastAsia="es-CO"/>
        </w:rPr>
      </w:pPr>
      <w:bookmarkStart w:id="221" w:name="_Toc88677153"/>
      <w:r w:rsidRPr="00912343">
        <w:rPr>
          <w:rFonts w:ascii="Arial" w:hAnsi="Arial" w:cs="Arial"/>
          <w:b/>
          <w:i w:val="0"/>
          <w:color w:val="000000" w:themeColor="text1"/>
          <w:sz w:val="16"/>
        </w:rPr>
        <w:t xml:space="preserve">Tabla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Tabla \* ARABIC </w:instrText>
      </w:r>
      <w:r w:rsidRPr="00912343">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84</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Cuota presupuestal de inversión 2022</w:t>
      </w:r>
      <w:bookmarkEnd w:id="221"/>
    </w:p>
    <w:p w14:paraId="7091A9C8" w14:textId="77777777" w:rsidR="003F793E" w:rsidRPr="002019F0" w:rsidRDefault="003F793E" w:rsidP="003F793E">
      <w:pPr>
        <w:ind w:left="5670"/>
        <w:jc w:val="both"/>
        <w:textAlignment w:val="baseline"/>
        <w:rPr>
          <w:rFonts w:ascii="Segoe UI" w:hAnsi="Segoe UI" w:cs="Segoe UI"/>
          <w:sz w:val="18"/>
          <w:szCs w:val="18"/>
          <w:lang w:eastAsia="es-CO"/>
        </w:rPr>
      </w:pPr>
      <w:r w:rsidRPr="00F95F74">
        <w:rPr>
          <w:rFonts w:cs="Arial"/>
          <w:sz w:val="16"/>
          <w:szCs w:val="16"/>
          <w:lang w:eastAsia="es-CO"/>
        </w:rPr>
        <w:t>Cifras en millones de pesos</w:t>
      </w:r>
    </w:p>
    <w:tbl>
      <w:tblPr>
        <w:tblStyle w:val="Tabladecuadrcula4-nfasis1"/>
        <w:tblW w:w="6000" w:type="dxa"/>
        <w:jc w:val="center"/>
        <w:tblLook w:val="04A0" w:firstRow="1" w:lastRow="0" w:firstColumn="1" w:lastColumn="0" w:noHBand="0" w:noVBand="1"/>
      </w:tblPr>
      <w:tblGrid>
        <w:gridCol w:w="1555"/>
        <w:gridCol w:w="2015"/>
        <w:gridCol w:w="2430"/>
      </w:tblGrid>
      <w:tr w:rsidR="003F793E" w:rsidRPr="00D428A7" w14:paraId="4520288A" w14:textId="77777777" w:rsidTr="00C23D09">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55" w:type="dxa"/>
            <w:vAlign w:val="center"/>
            <w:hideMark/>
          </w:tcPr>
          <w:p w14:paraId="1F2B571E" w14:textId="77777777" w:rsidR="003F793E" w:rsidRPr="009B2991" w:rsidRDefault="003F793E" w:rsidP="00C23D09">
            <w:pPr>
              <w:jc w:val="center"/>
              <w:textAlignment w:val="baseline"/>
              <w:rPr>
                <w:sz w:val="20"/>
                <w:szCs w:val="20"/>
                <w:lang w:eastAsia="es-CO"/>
              </w:rPr>
            </w:pPr>
            <w:r w:rsidRPr="009B2991">
              <w:rPr>
                <w:rFonts w:cs="Arial"/>
                <w:color w:val="FFFFFF"/>
                <w:sz w:val="20"/>
                <w:szCs w:val="20"/>
                <w:lang w:eastAsia="es-CO"/>
              </w:rPr>
              <w:t>Gasto</w:t>
            </w:r>
          </w:p>
        </w:tc>
        <w:tc>
          <w:tcPr>
            <w:tcW w:w="2015" w:type="dxa"/>
            <w:vAlign w:val="center"/>
            <w:hideMark/>
          </w:tcPr>
          <w:p w14:paraId="5CB9DE4E"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Recurso</w:t>
            </w:r>
          </w:p>
        </w:tc>
        <w:tc>
          <w:tcPr>
            <w:tcW w:w="2430" w:type="dxa"/>
            <w:vAlign w:val="center"/>
            <w:hideMark/>
          </w:tcPr>
          <w:p w14:paraId="61925051"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Asignación presupuestal</w:t>
            </w:r>
          </w:p>
        </w:tc>
      </w:tr>
      <w:tr w:rsidR="003F793E" w:rsidRPr="00D428A7" w14:paraId="0C0A9967" w14:textId="77777777" w:rsidTr="00C23D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55" w:type="dxa"/>
            <w:vMerge w:val="restart"/>
            <w:vAlign w:val="center"/>
            <w:hideMark/>
          </w:tcPr>
          <w:p w14:paraId="7DC00C4C" w14:textId="77777777" w:rsidR="003F793E" w:rsidRPr="009B2991" w:rsidRDefault="003F793E" w:rsidP="00C23D09">
            <w:pPr>
              <w:jc w:val="center"/>
              <w:textAlignment w:val="baseline"/>
              <w:rPr>
                <w:sz w:val="20"/>
                <w:szCs w:val="20"/>
                <w:lang w:eastAsia="es-CO"/>
              </w:rPr>
            </w:pPr>
            <w:r w:rsidRPr="009B2991">
              <w:rPr>
                <w:rFonts w:cs="Arial"/>
                <w:color w:val="000000"/>
                <w:sz w:val="20"/>
                <w:szCs w:val="20"/>
                <w:lang w:eastAsia="es-CO"/>
              </w:rPr>
              <w:t>Inversión</w:t>
            </w:r>
          </w:p>
        </w:tc>
        <w:tc>
          <w:tcPr>
            <w:tcW w:w="2015" w:type="dxa"/>
            <w:vAlign w:val="center"/>
            <w:hideMark/>
          </w:tcPr>
          <w:p w14:paraId="4BA4BB77" w14:textId="77777777" w:rsidR="003F793E" w:rsidRPr="009B2991"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b/>
                <w:sz w:val="20"/>
                <w:szCs w:val="20"/>
                <w:lang w:eastAsia="es-CO"/>
              </w:rPr>
            </w:pPr>
            <w:r w:rsidRPr="009B2991">
              <w:rPr>
                <w:rFonts w:cs="Arial"/>
                <w:b/>
                <w:color w:val="000000"/>
                <w:sz w:val="20"/>
                <w:szCs w:val="20"/>
                <w:lang w:eastAsia="es-CO"/>
              </w:rPr>
              <w:t>Nación</w:t>
            </w:r>
          </w:p>
        </w:tc>
        <w:tc>
          <w:tcPr>
            <w:tcW w:w="2430" w:type="dxa"/>
            <w:vAlign w:val="center"/>
            <w:hideMark/>
          </w:tcPr>
          <w:p w14:paraId="09B8A7D0" w14:textId="77777777" w:rsidR="003F793E" w:rsidRPr="009B2991"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b/>
                <w:sz w:val="20"/>
                <w:szCs w:val="20"/>
                <w:lang w:eastAsia="es-CO"/>
              </w:rPr>
            </w:pPr>
            <w:r w:rsidRPr="009B2991">
              <w:rPr>
                <w:rFonts w:cs="Arial"/>
                <w:b/>
                <w:color w:val="000000"/>
                <w:sz w:val="20"/>
                <w:szCs w:val="20"/>
                <w:lang w:eastAsia="es-CO"/>
              </w:rPr>
              <w:t>$116.869</w:t>
            </w:r>
          </w:p>
        </w:tc>
      </w:tr>
      <w:tr w:rsidR="003F793E" w:rsidRPr="00D428A7" w14:paraId="37857D82" w14:textId="77777777" w:rsidTr="00C23D09">
        <w:trPr>
          <w:trHeight w:val="300"/>
          <w:jc w:val="center"/>
        </w:trPr>
        <w:tc>
          <w:tcPr>
            <w:cnfStyle w:val="001000000000" w:firstRow="0" w:lastRow="0" w:firstColumn="1" w:lastColumn="0" w:oddVBand="0" w:evenVBand="0" w:oddHBand="0" w:evenHBand="0" w:firstRowFirstColumn="0" w:firstRowLastColumn="0" w:lastRowFirstColumn="0" w:lastRowLastColumn="0"/>
            <w:tcW w:w="1555" w:type="dxa"/>
            <w:vMerge/>
            <w:vAlign w:val="center"/>
            <w:hideMark/>
          </w:tcPr>
          <w:p w14:paraId="0DABB8CC" w14:textId="77777777" w:rsidR="003F793E" w:rsidRPr="009B2991" w:rsidRDefault="003F793E" w:rsidP="00C23D09">
            <w:pPr>
              <w:jc w:val="center"/>
              <w:rPr>
                <w:sz w:val="20"/>
                <w:szCs w:val="20"/>
                <w:lang w:eastAsia="es-CO"/>
              </w:rPr>
            </w:pPr>
          </w:p>
        </w:tc>
        <w:tc>
          <w:tcPr>
            <w:tcW w:w="2015" w:type="dxa"/>
            <w:vAlign w:val="center"/>
            <w:hideMark/>
          </w:tcPr>
          <w:p w14:paraId="0FDD1C51" w14:textId="77777777" w:rsidR="003F793E" w:rsidRPr="009B2991"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b/>
                <w:sz w:val="20"/>
                <w:szCs w:val="20"/>
                <w:lang w:eastAsia="es-CO"/>
              </w:rPr>
            </w:pPr>
            <w:r w:rsidRPr="009B2991">
              <w:rPr>
                <w:rFonts w:cs="Arial"/>
                <w:b/>
                <w:color w:val="000000"/>
                <w:sz w:val="20"/>
                <w:szCs w:val="20"/>
                <w:lang w:eastAsia="es-CO"/>
              </w:rPr>
              <w:t>Propios</w:t>
            </w:r>
          </w:p>
        </w:tc>
        <w:tc>
          <w:tcPr>
            <w:tcW w:w="2430" w:type="dxa"/>
            <w:vAlign w:val="center"/>
            <w:hideMark/>
          </w:tcPr>
          <w:p w14:paraId="3093F75D" w14:textId="77777777" w:rsidR="003F793E" w:rsidRPr="009B2991"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b/>
                <w:sz w:val="20"/>
                <w:szCs w:val="20"/>
                <w:lang w:eastAsia="es-CO"/>
              </w:rPr>
            </w:pPr>
            <w:r w:rsidRPr="009B2991">
              <w:rPr>
                <w:rFonts w:cs="Arial"/>
                <w:b/>
                <w:color w:val="000000"/>
                <w:sz w:val="20"/>
                <w:szCs w:val="20"/>
                <w:lang w:eastAsia="es-CO"/>
              </w:rPr>
              <w:t>$56.527</w:t>
            </w:r>
          </w:p>
        </w:tc>
      </w:tr>
      <w:tr w:rsidR="003F793E" w:rsidRPr="00D428A7" w14:paraId="1B020945" w14:textId="77777777" w:rsidTr="00C23D09">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55" w:type="dxa"/>
            <w:vMerge/>
            <w:vAlign w:val="center"/>
            <w:hideMark/>
          </w:tcPr>
          <w:p w14:paraId="172CAC16" w14:textId="77777777" w:rsidR="003F793E" w:rsidRPr="009B2991" w:rsidRDefault="003F793E" w:rsidP="00C23D09">
            <w:pPr>
              <w:jc w:val="center"/>
              <w:rPr>
                <w:sz w:val="20"/>
                <w:szCs w:val="20"/>
                <w:lang w:eastAsia="es-CO"/>
              </w:rPr>
            </w:pPr>
          </w:p>
        </w:tc>
        <w:tc>
          <w:tcPr>
            <w:tcW w:w="2015" w:type="dxa"/>
            <w:vAlign w:val="center"/>
            <w:hideMark/>
          </w:tcPr>
          <w:p w14:paraId="27D282E3" w14:textId="77777777" w:rsidR="003F793E" w:rsidRPr="009B2991"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b/>
                <w:sz w:val="20"/>
                <w:szCs w:val="20"/>
                <w:lang w:eastAsia="es-CO"/>
              </w:rPr>
            </w:pPr>
            <w:r w:rsidRPr="009B2991">
              <w:rPr>
                <w:rFonts w:cs="Arial"/>
                <w:b/>
                <w:color w:val="000000"/>
                <w:sz w:val="20"/>
                <w:szCs w:val="20"/>
                <w:lang w:eastAsia="es-CO"/>
              </w:rPr>
              <w:t>Créditos</w:t>
            </w:r>
          </w:p>
        </w:tc>
        <w:tc>
          <w:tcPr>
            <w:tcW w:w="2430" w:type="dxa"/>
            <w:vAlign w:val="center"/>
            <w:hideMark/>
          </w:tcPr>
          <w:p w14:paraId="51F40F76" w14:textId="77777777" w:rsidR="003F793E" w:rsidRPr="009B2991"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b/>
                <w:sz w:val="20"/>
                <w:szCs w:val="20"/>
                <w:lang w:eastAsia="es-CO"/>
              </w:rPr>
            </w:pPr>
            <w:r w:rsidRPr="009B2991">
              <w:rPr>
                <w:rFonts w:cs="Arial"/>
                <w:b/>
                <w:color w:val="000000"/>
                <w:sz w:val="20"/>
                <w:szCs w:val="20"/>
                <w:lang w:eastAsia="es-CO"/>
              </w:rPr>
              <w:t>$140.754</w:t>
            </w:r>
          </w:p>
        </w:tc>
      </w:tr>
      <w:tr w:rsidR="003F793E" w:rsidRPr="00D428A7" w14:paraId="7210E641" w14:textId="77777777" w:rsidTr="00C23D09">
        <w:trPr>
          <w:trHeight w:val="300"/>
          <w:jc w:val="center"/>
        </w:trPr>
        <w:tc>
          <w:tcPr>
            <w:cnfStyle w:val="001000000000" w:firstRow="0" w:lastRow="0" w:firstColumn="1" w:lastColumn="0" w:oddVBand="0" w:evenVBand="0" w:oddHBand="0" w:evenHBand="0" w:firstRowFirstColumn="0" w:firstRowLastColumn="0" w:lastRowFirstColumn="0" w:lastRowLastColumn="0"/>
            <w:tcW w:w="1555" w:type="dxa"/>
            <w:vMerge/>
            <w:vAlign w:val="center"/>
            <w:hideMark/>
          </w:tcPr>
          <w:p w14:paraId="382A6905" w14:textId="77777777" w:rsidR="003F793E" w:rsidRPr="009B2991" w:rsidRDefault="003F793E" w:rsidP="00C23D09">
            <w:pPr>
              <w:jc w:val="center"/>
              <w:rPr>
                <w:sz w:val="20"/>
                <w:szCs w:val="20"/>
                <w:lang w:eastAsia="es-CO"/>
              </w:rPr>
            </w:pPr>
          </w:p>
        </w:tc>
        <w:tc>
          <w:tcPr>
            <w:tcW w:w="2015" w:type="dxa"/>
            <w:vAlign w:val="center"/>
            <w:hideMark/>
          </w:tcPr>
          <w:p w14:paraId="4E0BAD32" w14:textId="77777777" w:rsidR="003F793E" w:rsidRPr="009B2991"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b/>
                <w:sz w:val="20"/>
                <w:szCs w:val="20"/>
                <w:lang w:eastAsia="es-CO"/>
              </w:rPr>
            </w:pPr>
            <w:r w:rsidRPr="009B2991">
              <w:rPr>
                <w:rFonts w:cs="Arial"/>
                <w:b/>
                <w:bCs/>
                <w:color w:val="000000"/>
                <w:sz w:val="20"/>
                <w:szCs w:val="20"/>
                <w:lang w:eastAsia="es-CO"/>
              </w:rPr>
              <w:t>Total</w:t>
            </w:r>
          </w:p>
        </w:tc>
        <w:tc>
          <w:tcPr>
            <w:tcW w:w="2430" w:type="dxa"/>
            <w:vAlign w:val="center"/>
            <w:hideMark/>
          </w:tcPr>
          <w:p w14:paraId="310042D6" w14:textId="77777777" w:rsidR="003F793E" w:rsidRPr="009B2991"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b/>
                <w:sz w:val="20"/>
                <w:szCs w:val="20"/>
                <w:lang w:eastAsia="es-CO"/>
              </w:rPr>
            </w:pPr>
            <w:r w:rsidRPr="009B2991">
              <w:rPr>
                <w:rFonts w:cs="Arial"/>
                <w:b/>
                <w:bCs/>
                <w:color w:val="000000"/>
                <w:sz w:val="20"/>
                <w:szCs w:val="20"/>
                <w:lang w:eastAsia="es-CO"/>
              </w:rPr>
              <w:t>$314.151</w:t>
            </w:r>
          </w:p>
        </w:tc>
      </w:tr>
    </w:tbl>
    <w:p w14:paraId="175ED135" w14:textId="16156E87" w:rsidR="003F793E" w:rsidRPr="00912343" w:rsidRDefault="003F793E" w:rsidP="00912343">
      <w:pPr>
        <w:jc w:val="center"/>
        <w:textAlignment w:val="baseline"/>
        <w:rPr>
          <w:rFonts w:ascii="Segoe UI" w:hAnsi="Segoe UI" w:cs="Segoe UI"/>
          <w:b/>
          <w:sz w:val="10"/>
          <w:szCs w:val="18"/>
          <w:lang w:eastAsia="es-CO"/>
        </w:rPr>
      </w:pPr>
      <w:r w:rsidRPr="00912343">
        <w:rPr>
          <w:rFonts w:cs="Arial"/>
          <w:b/>
          <w:bCs/>
          <w:sz w:val="16"/>
          <w:lang w:eastAsia="es-CO"/>
        </w:rPr>
        <w:t xml:space="preserve">Fuente: </w:t>
      </w:r>
      <w:r w:rsidRPr="00912343">
        <w:rPr>
          <w:rFonts w:cs="Arial"/>
          <w:b/>
          <w:sz w:val="16"/>
          <w:lang w:eastAsia="es-CO"/>
        </w:rPr>
        <w:t>Oficina Asesora de Planeación</w:t>
      </w:r>
    </w:p>
    <w:p w14:paraId="2B8CACB5" w14:textId="77777777" w:rsidR="003F793E" w:rsidRPr="00BB11E1" w:rsidRDefault="003F793E" w:rsidP="003F793E">
      <w:pPr>
        <w:textAlignment w:val="baseline"/>
        <w:rPr>
          <w:rFonts w:ascii="Segoe UI" w:hAnsi="Segoe UI" w:cs="Segoe UI"/>
          <w:sz w:val="18"/>
          <w:szCs w:val="18"/>
          <w:lang w:eastAsia="es-CO"/>
        </w:rPr>
      </w:pPr>
    </w:p>
    <w:p w14:paraId="4ECA560C" w14:textId="3A6D8A18" w:rsidR="003F793E" w:rsidRDefault="003F793E" w:rsidP="003F793E">
      <w:pPr>
        <w:jc w:val="both"/>
        <w:textAlignment w:val="baseline"/>
        <w:rPr>
          <w:rFonts w:cs="Arial"/>
          <w:sz w:val="22"/>
          <w:lang w:eastAsia="es-CO"/>
        </w:rPr>
      </w:pPr>
      <w:r w:rsidRPr="00D428A7">
        <w:rPr>
          <w:rFonts w:cs="Arial"/>
          <w:sz w:val="22"/>
          <w:lang w:eastAsia="es-CO"/>
        </w:rPr>
        <w:t>El presupuesto de la vigencia 2022, se distribuyó de la siguiente manera:  </w:t>
      </w:r>
    </w:p>
    <w:p w14:paraId="17579A1B" w14:textId="4F3DE9D7" w:rsidR="00A711F2" w:rsidRDefault="00A711F2" w:rsidP="003F793E">
      <w:pPr>
        <w:jc w:val="both"/>
        <w:textAlignment w:val="baseline"/>
        <w:rPr>
          <w:rFonts w:cs="Arial"/>
          <w:sz w:val="22"/>
          <w:lang w:eastAsia="es-CO"/>
        </w:rPr>
      </w:pPr>
    </w:p>
    <w:p w14:paraId="1540AACF" w14:textId="6CE58889" w:rsidR="00912343" w:rsidRDefault="00912343" w:rsidP="003F793E">
      <w:pPr>
        <w:jc w:val="both"/>
        <w:textAlignment w:val="baseline"/>
        <w:rPr>
          <w:rFonts w:cs="Arial"/>
          <w:sz w:val="22"/>
          <w:lang w:eastAsia="es-CO"/>
        </w:rPr>
      </w:pPr>
    </w:p>
    <w:p w14:paraId="3CB3D898" w14:textId="5A891D8D" w:rsidR="00912343" w:rsidRDefault="00912343" w:rsidP="003F793E">
      <w:pPr>
        <w:jc w:val="both"/>
        <w:textAlignment w:val="baseline"/>
        <w:rPr>
          <w:rFonts w:cs="Arial"/>
          <w:sz w:val="22"/>
          <w:lang w:eastAsia="es-CO"/>
        </w:rPr>
      </w:pPr>
    </w:p>
    <w:p w14:paraId="593F9E5C" w14:textId="78AB1E16" w:rsidR="00912343" w:rsidRDefault="00912343" w:rsidP="003F793E">
      <w:pPr>
        <w:jc w:val="both"/>
        <w:textAlignment w:val="baseline"/>
        <w:rPr>
          <w:rFonts w:cs="Arial"/>
          <w:sz w:val="22"/>
          <w:lang w:eastAsia="es-CO"/>
        </w:rPr>
      </w:pPr>
    </w:p>
    <w:p w14:paraId="57AE3D0F" w14:textId="52694715" w:rsidR="00912343" w:rsidRDefault="00912343" w:rsidP="003F793E">
      <w:pPr>
        <w:jc w:val="both"/>
        <w:textAlignment w:val="baseline"/>
        <w:rPr>
          <w:rFonts w:cs="Arial"/>
          <w:sz w:val="22"/>
          <w:lang w:eastAsia="es-CO"/>
        </w:rPr>
      </w:pPr>
    </w:p>
    <w:p w14:paraId="2BD8DA48" w14:textId="5AA7B2BC" w:rsidR="00912343" w:rsidRDefault="00912343" w:rsidP="003F793E">
      <w:pPr>
        <w:jc w:val="both"/>
        <w:textAlignment w:val="baseline"/>
        <w:rPr>
          <w:rFonts w:cs="Arial"/>
          <w:sz w:val="22"/>
          <w:lang w:eastAsia="es-CO"/>
        </w:rPr>
      </w:pPr>
    </w:p>
    <w:p w14:paraId="6E80C7D0" w14:textId="77777777" w:rsidR="00912343" w:rsidRDefault="00912343" w:rsidP="003F793E">
      <w:pPr>
        <w:jc w:val="both"/>
        <w:textAlignment w:val="baseline"/>
        <w:rPr>
          <w:rFonts w:cs="Arial"/>
          <w:sz w:val="22"/>
          <w:lang w:eastAsia="es-CO"/>
        </w:rPr>
      </w:pPr>
    </w:p>
    <w:p w14:paraId="4353F056" w14:textId="2A2F9CBE" w:rsidR="003F793E" w:rsidRPr="00912343" w:rsidRDefault="00912343" w:rsidP="00912343">
      <w:pPr>
        <w:pStyle w:val="Descripcin"/>
        <w:jc w:val="center"/>
        <w:rPr>
          <w:rFonts w:ascii="Arial" w:hAnsi="Arial" w:cs="Arial"/>
          <w:b/>
          <w:color w:val="000000" w:themeColor="text1"/>
          <w:sz w:val="20"/>
          <w:lang w:eastAsia="es-CO"/>
        </w:rPr>
      </w:pPr>
      <w:bookmarkStart w:id="222" w:name="_Toc88677154"/>
      <w:r w:rsidRPr="00912343">
        <w:rPr>
          <w:rFonts w:ascii="Arial" w:hAnsi="Arial" w:cs="Arial"/>
          <w:b/>
          <w:color w:val="000000" w:themeColor="text1"/>
          <w:sz w:val="16"/>
        </w:rPr>
        <w:t xml:space="preserve">Tabla </w:t>
      </w:r>
      <w:r w:rsidRPr="00912343">
        <w:rPr>
          <w:rFonts w:ascii="Arial" w:hAnsi="Arial" w:cs="Arial"/>
          <w:b/>
          <w:color w:val="000000" w:themeColor="text1"/>
          <w:sz w:val="16"/>
        </w:rPr>
        <w:fldChar w:fldCharType="begin"/>
      </w:r>
      <w:r w:rsidRPr="00912343">
        <w:rPr>
          <w:rFonts w:ascii="Arial" w:hAnsi="Arial" w:cs="Arial"/>
          <w:b/>
          <w:color w:val="000000" w:themeColor="text1"/>
          <w:sz w:val="16"/>
        </w:rPr>
        <w:instrText xml:space="preserve"> SEQ Tabla \* ARABIC </w:instrText>
      </w:r>
      <w:r w:rsidRPr="00912343">
        <w:rPr>
          <w:rFonts w:ascii="Arial" w:hAnsi="Arial" w:cs="Arial"/>
          <w:b/>
          <w:color w:val="000000" w:themeColor="text1"/>
          <w:sz w:val="16"/>
        </w:rPr>
        <w:fldChar w:fldCharType="separate"/>
      </w:r>
      <w:r w:rsidR="004D4C6A">
        <w:rPr>
          <w:rFonts w:ascii="Arial" w:hAnsi="Arial" w:cs="Arial"/>
          <w:b/>
          <w:noProof/>
          <w:color w:val="000000" w:themeColor="text1"/>
          <w:sz w:val="16"/>
        </w:rPr>
        <w:t>85</w:t>
      </w:r>
      <w:r w:rsidRPr="00912343">
        <w:rPr>
          <w:rFonts w:ascii="Arial" w:hAnsi="Arial" w:cs="Arial"/>
          <w:b/>
          <w:color w:val="000000" w:themeColor="text1"/>
          <w:sz w:val="16"/>
        </w:rPr>
        <w:fldChar w:fldCharType="end"/>
      </w:r>
      <w:r w:rsidRPr="00912343">
        <w:rPr>
          <w:rFonts w:ascii="Arial" w:hAnsi="Arial" w:cs="Arial"/>
          <w:b/>
          <w:color w:val="000000" w:themeColor="text1"/>
          <w:sz w:val="16"/>
        </w:rPr>
        <w:t>. Proyectos de inversión 2022</w:t>
      </w:r>
      <w:bookmarkEnd w:id="222"/>
    </w:p>
    <w:tbl>
      <w:tblPr>
        <w:tblStyle w:val="Tabladecuadrcula4-nfasis1"/>
        <w:tblW w:w="9922" w:type="dxa"/>
        <w:jc w:val="center"/>
        <w:tblLook w:val="04A0" w:firstRow="1" w:lastRow="0" w:firstColumn="1" w:lastColumn="0" w:noHBand="0" w:noVBand="1"/>
      </w:tblPr>
      <w:tblGrid>
        <w:gridCol w:w="2195"/>
        <w:gridCol w:w="2728"/>
        <w:gridCol w:w="1251"/>
        <w:gridCol w:w="1102"/>
        <w:gridCol w:w="1007"/>
        <w:gridCol w:w="1639"/>
      </w:tblGrid>
      <w:tr w:rsidR="003F793E" w:rsidRPr="00D428A7" w14:paraId="07A91023" w14:textId="77777777" w:rsidTr="00C23D09">
        <w:trPr>
          <w:cnfStyle w:val="100000000000" w:firstRow="1" w:lastRow="0" w:firstColumn="0" w:lastColumn="0" w:oddVBand="0" w:evenVBand="0" w:oddHBand="0" w:evenHBand="0" w:firstRowFirstColumn="0" w:firstRowLastColumn="0" w:lastRowFirstColumn="0" w:lastRowLastColumn="0"/>
          <w:trHeight w:val="338"/>
          <w:tblHeader/>
          <w:jc w:val="center"/>
        </w:trPr>
        <w:tc>
          <w:tcPr>
            <w:cnfStyle w:val="001000000000" w:firstRow="0" w:lastRow="0" w:firstColumn="1" w:lastColumn="0" w:oddVBand="0" w:evenVBand="0" w:oddHBand="0" w:evenHBand="0" w:firstRowFirstColumn="0" w:firstRowLastColumn="0" w:lastRowFirstColumn="0" w:lastRowLastColumn="0"/>
            <w:tcW w:w="2195" w:type="dxa"/>
            <w:vAlign w:val="center"/>
            <w:hideMark/>
          </w:tcPr>
          <w:p w14:paraId="0637F541" w14:textId="77777777" w:rsidR="003F793E" w:rsidRPr="009B2991" w:rsidRDefault="003F793E" w:rsidP="00C23D09">
            <w:pPr>
              <w:jc w:val="center"/>
              <w:textAlignment w:val="baseline"/>
              <w:rPr>
                <w:sz w:val="20"/>
                <w:szCs w:val="20"/>
                <w:lang w:eastAsia="es-CO"/>
              </w:rPr>
            </w:pPr>
            <w:r w:rsidRPr="009B2991">
              <w:rPr>
                <w:rFonts w:cs="Arial"/>
                <w:color w:val="FFFFFF"/>
                <w:sz w:val="20"/>
                <w:szCs w:val="20"/>
                <w:lang w:eastAsia="es-CO"/>
              </w:rPr>
              <w:t>Código BPIN</w:t>
            </w:r>
          </w:p>
        </w:tc>
        <w:tc>
          <w:tcPr>
            <w:tcW w:w="2728" w:type="dxa"/>
            <w:vAlign w:val="center"/>
            <w:hideMark/>
          </w:tcPr>
          <w:p w14:paraId="2BC86235"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Proyecto</w:t>
            </w:r>
          </w:p>
        </w:tc>
        <w:tc>
          <w:tcPr>
            <w:tcW w:w="1251" w:type="dxa"/>
            <w:vAlign w:val="center"/>
            <w:hideMark/>
          </w:tcPr>
          <w:p w14:paraId="416C4972"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Nación</w:t>
            </w:r>
          </w:p>
        </w:tc>
        <w:tc>
          <w:tcPr>
            <w:tcW w:w="1102" w:type="dxa"/>
            <w:vAlign w:val="center"/>
            <w:hideMark/>
          </w:tcPr>
          <w:p w14:paraId="724A6B1C"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Crédito</w:t>
            </w:r>
          </w:p>
        </w:tc>
        <w:tc>
          <w:tcPr>
            <w:tcW w:w="1007" w:type="dxa"/>
            <w:vAlign w:val="center"/>
            <w:hideMark/>
          </w:tcPr>
          <w:p w14:paraId="2BFC0310"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Propios</w:t>
            </w:r>
          </w:p>
        </w:tc>
        <w:tc>
          <w:tcPr>
            <w:tcW w:w="1639" w:type="dxa"/>
            <w:vAlign w:val="center"/>
            <w:hideMark/>
          </w:tcPr>
          <w:p w14:paraId="7E0E5A3F"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FFFFFF"/>
                <w:sz w:val="20"/>
                <w:szCs w:val="20"/>
                <w:lang w:eastAsia="es-CO"/>
              </w:rPr>
              <w:t>Total</w:t>
            </w:r>
          </w:p>
        </w:tc>
      </w:tr>
      <w:tr w:rsidR="003F793E" w:rsidRPr="00D428A7" w14:paraId="3C1450AA" w14:textId="77777777" w:rsidTr="00C23D09">
        <w:trPr>
          <w:cnfStyle w:val="100000000000" w:firstRow="1" w:lastRow="0" w:firstColumn="0" w:lastColumn="0" w:oddVBand="0" w:evenVBand="0" w:oddHBand="0" w:evenHBand="0" w:firstRowFirstColumn="0" w:firstRowLastColumn="0" w:lastRowFirstColumn="0" w:lastRowLastColumn="0"/>
          <w:trHeight w:val="338"/>
          <w:tblHeader/>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7BDCBBE5" w14:textId="77777777" w:rsidR="003F793E" w:rsidRDefault="003F793E" w:rsidP="00C23D09">
            <w:pPr>
              <w:jc w:val="center"/>
              <w:textAlignment w:val="baseline"/>
              <w:rPr>
                <w:rStyle w:val="Refdecomentario"/>
              </w:rPr>
            </w:pPr>
          </w:p>
        </w:tc>
        <w:tc>
          <w:tcPr>
            <w:tcW w:w="2728" w:type="dxa"/>
            <w:vAlign w:val="center"/>
          </w:tcPr>
          <w:p w14:paraId="5E212E56"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20"/>
                <w:szCs w:val="20"/>
                <w:lang w:eastAsia="es-CO"/>
              </w:rPr>
            </w:pPr>
          </w:p>
        </w:tc>
        <w:tc>
          <w:tcPr>
            <w:tcW w:w="1251" w:type="dxa"/>
            <w:vAlign w:val="center"/>
          </w:tcPr>
          <w:p w14:paraId="39FB73AE"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20"/>
                <w:szCs w:val="20"/>
                <w:lang w:eastAsia="es-CO"/>
              </w:rPr>
            </w:pPr>
          </w:p>
        </w:tc>
        <w:tc>
          <w:tcPr>
            <w:tcW w:w="1102" w:type="dxa"/>
            <w:vAlign w:val="center"/>
          </w:tcPr>
          <w:p w14:paraId="7E91BD43"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20"/>
                <w:szCs w:val="20"/>
                <w:lang w:eastAsia="es-CO"/>
              </w:rPr>
            </w:pPr>
          </w:p>
        </w:tc>
        <w:tc>
          <w:tcPr>
            <w:tcW w:w="1007" w:type="dxa"/>
            <w:vAlign w:val="center"/>
          </w:tcPr>
          <w:p w14:paraId="3816B87D"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20"/>
                <w:szCs w:val="20"/>
                <w:lang w:eastAsia="es-CO"/>
              </w:rPr>
            </w:pPr>
          </w:p>
        </w:tc>
        <w:tc>
          <w:tcPr>
            <w:tcW w:w="1639" w:type="dxa"/>
            <w:vAlign w:val="center"/>
          </w:tcPr>
          <w:p w14:paraId="5AB064B5" w14:textId="77777777" w:rsidR="003F793E" w:rsidRPr="009B2991"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FFFFFF"/>
                <w:sz w:val="20"/>
                <w:szCs w:val="20"/>
                <w:lang w:eastAsia="es-CO"/>
              </w:rPr>
            </w:pPr>
          </w:p>
        </w:tc>
      </w:tr>
      <w:tr w:rsidR="003F793E" w:rsidRPr="00D428A7" w14:paraId="1EDDA73E" w14:textId="77777777" w:rsidTr="00C23D09">
        <w:trPr>
          <w:cnfStyle w:val="000000100000" w:firstRow="0" w:lastRow="0" w:firstColumn="0" w:lastColumn="0" w:oddVBand="0" w:evenVBand="0" w:oddHBand="1" w:evenHBand="0" w:firstRowFirstColumn="0" w:firstRowLastColumn="0" w:lastRowFirstColumn="0" w:lastRowLastColumn="0"/>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72676C96" w14:textId="77777777" w:rsidR="003F793E" w:rsidRPr="009B2991"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2018011000692</w:t>
            </w:r>
          </w:p>
        </w:tc>
        <w:tc>
          <w:tcPr>
            <w:tcW w:w="2728" w:type="dxa"/>
            <w:vAlign w:val="center"/>
          </w:tcPr>
          <w:p w14:paraId="04BDA6BD" w14:textId="77777777" w:rsidR="003F793E" w:rsidRPr="009B2991"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Actualización y gestión catastral nacional</w:t>
            </w:r>
          </w:p>
        </w:tc>
        <w:tc>
          <w:tcPr>
            <w:tcW w:w="1251" w:type="dxa"/>
            <w:vAlign w:val="center"/>
          </w:tcPr>
          <w:p w14:paraId="7AB25807"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$98.229</w:t>
            </w:r>
          </w:p>
        </w:tc>
        <w:tc>
          <w:tcPr>
            <w:tcW w:w="1102" w:type="dxa"/>
            <w:vAlign w:val="center"/>
          </w:tcPr>
          <w:p w14:paraId="26E80DAA"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$140.754</w:t>
            </w:r>
          </w:p>
        </w:tc>
        <w:tc>
          <w:tcPr>
            <w:tcW w:w="1007" w:type="dxa"/>
            <w:vAlign w:val="center"/>
          </w:tcPr>
          <w:p w14:paraId="2F60F5D2"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$33.868</w:t>
            </w:r>
          </w:p>
        </w:tc>
        <w:tc>
          <w:tcPr>
            <w:tcW w:w="1639" w:type="dxa"/>
            <w:vAlign w:val="center"/>
          </w:tcPr>
          <w:p w14:paraId="35C34292"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$272.852</w:t>
            </w:r>
          </w:p>
        </w:tc>
      </w:tr>
      <w:tr w:rsidR="003F793E" w:rsidRPr="00D428A7" w14:paraId="5795CC9E" w14:textId="77777777" w:rsidTr="00C23D09">
        <w:trPr>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3865C4F3" w14:textId="77777777" w:rsidR="003F793E" w:rsidRPr="009B2991"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2021011000079</w:t>
            </w:r>
          </w:p>
        </w:tc>
        <w:tc>
          <w:tcPr>
            <w:tcW w:w="2728" w:type="dxa"/>
            <w:vAlign w:val="center"/>
          </w:tcPr>
          <w:p w14:paraId="3341666F" w14:textId="77777777" w:rsidR="003F793E" w:rsidRPr="009B2991"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Levantamiento, generación y actualización de la red geodésica y la cartografía básica a nivel Nacional</w:t>
            </w:r>
          </w:p>
        </w:tc>
        <w:tc>
          <w:tcPr>
            <w:tcW w:w="1251" w:type="dxa"/>
            <w:vAlign w:val="center"/>
          </w:tcPr>
          <w:p w14:paraId="6F038717"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$8.019</w:t>
            </w:r>
          </w:p>
        </w:tc>
        <w:tc>
          <w:tcPr>
            <w:tcW w:w="1102" w:type="dxa"/>
            <w:vAlign w:val="center"/>
          </w:tcPr>
          <w:p w14:paraId="7562643B"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 </w:t>
            </w:r>
          </w:p>
        </w:tc>
        <w:tc>
          <w:tcPr>
            <w:tcW w:w="1007" w:type="dxa"/>
            <w:vAlign w:val="center"/>
          </w:tcPr>
          <w:p w14:paraId="5AAC1468"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$6.084</w:t>
            </w:r>
          </w:p>
        </w:tc>
        <w:tc>
          <w:tcPr>
            <w:tcW w:w="1639" w:type="dxa"/>
            <w:vAlign w:val="center"/>
          </w:tcPr>
          <w:p w14:paraId="1697C60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$14.104</w:t>
            </w:r>
          </w:p>
        </w:tc>
      </w:tr>
      <w:tr w:rsidR="003F793E" w:rsidRPr="00D428A7" w14:paraId="42D905F7" w14:textId="77777777" w:rsidTr="00C23D09">
        <w:trPr>
          <w:cnfStyle w:val="000000100000" w:firstRow="0" w:lastRow="0" w:firstColumn="0" w:lastColumn="0" w:oddVBand="0" w:evenVBand="0" w:oddHBand="1" w:evenHBand="0" w:firstRowFirstColumn="0" w:firstRowLastColumn="0" w:lastRowFirstColumn="0" w:lastRowLastColumn="0"/>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28D7B8D2" w14:textId="77777777" w:rsidR="003F793E"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2021011000082</w:t>
            </w:r>
          </w:p>
        </w:tc>
        <w:tc>
          <w:tcPr>
            <w:tcW w:w="2728" w:type="dxa"/>
            <w:vAlign w:val="center"/>
          </w:tcPr>
          <w:p w14:paraId="76DA0795" w14:textId="77777777" w:rsidR="003F793E" w:rsidRPr="009B2991"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Desarrollo de estudios de suelos, tierras y aplicaciones agrológicas como insumo para el ordenamiento integral y el manejo sostenible del territorio a nivel Nacional</w:t>
            </w:r>
          </w:p>
        </w:tc>
        <w:tc>
          <w:tcPr>
            <w:tcW w:w="1251" w:type="dxa"/>
            <w:vAlign w:val="center"/>
          </w:tcPr>
          <w:p w14:paraId="2561E148"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$2.500</w:t>
            </w:r>
          </w:p>
        </w:tc>
        <w:tc>
          <w:tcPr>
            <w:tcW w:w="1102" w:type="dxa"/>
            <w:vAlign w:val="center"/>
          </w:tcPr>
          <w:p w14:paraId="370C4E44"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p>
        </w:tc>
        <w:tc>
          <w:tcPr>
            <w:tcW w:w="1007" w:type="dxa"/>
            <w:vAlign w:val="center"/>
          </w:tcPr>
          <w:p w14:paraId="6E2348A3"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$5.630</w:t>
            </w:r>
          </w:p>
        </w:tc>
        <w:tc>
          <w:tcPr>
            <w:tcW w:w="1639" w:type="dxa"/>
            <w:vAlign w:val="center"/>
          </w:tcPr>
          <w:p w14:paraId="5AA68F6C"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$8.130</w:t>
            </w:r>
          </w:p>
        </w:tc>
      </w:tr>
      <w:tr w:rsidR="003F793E" w:rsidRPr="00D428A7" w14:paraId="141BE1D1" w14:textId="77777777" w:rsidTr="00C23D09">
        <w:trPr>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1AC6A581" w14:textId="77777777" w:rsidR="003F793E" w:rsidRPr="009B2991"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2018011000194</w:t>
            </w:r>
          </w:p>
        </w:tc>
        <w:tc>
          <w:tcPr>
            <w:tcW w:w="2728" w:type="dxa"/>
            <w:vAlign w:val="center"/>
          </w:tcPr>
          <w:p w14:paraId="51C8185C" w14:textId="77777777" w:rsidR="003F793E" w:rsidRPr="009B2991"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Fortalecimiento de la gestión institucional del IGAC a nivel Nacional</w:t>
            </w:r>
          </w:p>
        </w:tc>
        <w:tc>
          <w:tcPr>
            <w:tcW w:w="1251" w:type="dxa"/>
            <w:vAlign w:val="center"/>
          </w:tcPr>
          <w:p w14:paraId="045B5AB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$3.125</w:t>
            </w:r>
          </w:p>
        </w:tc>
        <w:tc>
          <w:tcPr>
            <w:tcW w:w="1102" w:type="dxa"/>
            <w:vAlign w:val="center"/>
          </w:tcPr>
          <w:p w14:paraId="3FB4CBEB"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 </w:t>
            </w:r>
          </w:p>
        </w:tc>
        <w:tc>
          <w:tcPr>
            <w:tcW w:w="1007" w:type="dxa"/>
            <w:vAlign w:val="center"/>
          </w:tcPr>
          <w:p w14:paraId="15FFC63F"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$3.455</w:t>
            </w:r>
          </w:p>
        </w:tc>
        <w:tc>
          <w:tcPr>
            <w:tcW w:w="1639" w:type="dxa"/>
            <w:vAlign w:val="center"/>
          </w:tcPr>
          <w:p w14:paraId="10652A7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$6.581</w:t>
            </w:r>
          </w:p>
        </w:tc>
      </w:tr>
      <w:tr w:rsidR="003F793E" w:rsidRPr="00D428A7" w14:paraId="4F4AB3AF" w14:textId="77777777" w:rsidTr="00C23D09">
        <w:trPr>
          <w:cnfStyle w:val="000000100000" w:firstRow="0" w:lastRow="0" w:firstColumn="0" w:lastColumn="0" w:oddVBand="0" w:evenVBand="0" w:oddHBand="1" w:evenHBand="0" w:firstRowFirstColumn="0" w:firstRowLastColumn="0" w:lastRowFirstColumn="0" w:lastRowLastColumn="0"/>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0CB2D1B1" w14:textId="77777777" w:rsidR="003F793E"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2021011000081</w:t>
            </w:r>
          </w:p>
        </w:tc>
        <w:tc>
          <w:tcPr>
            <w:tcW w:w="2728" w:type="dxa"/>
            <w:vAlign w:val="center"/>
          </w:tcPr>
          <w:p w14:paraId="432320B5" w14:textId="77777777" w:rsidR="003F793E" w:rsidRPr="009B2991"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Fortalecimiento de la gestión del conocimiento y la innovación en el ámbito geográfico del territorio Nacional</w:t>
            </w:r>
          </w:p>
        </w:tc>
        <w:tc>
          <w:tcPr>
            <w:tcW w:w="1251" w:type="dxa"/>
            <w:vAlign w:val="center"/>
          </w:tcPr>
          <w:p w14:paraId="35AA9C71"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$935</w:t>
            </w:r>
          </w:p>
        </w:tc>
        <w:tc>
          <w:tcPr>
            <w:tcW w:w="1102" w:type="dxa"/>
            <w:vAlign w:val="center"/>
          </w:tcPr>
          <w:p w14:paraId="6D4068F9"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 </w:t>
            </w:r>
          </w:p>
        </w:tc>
        <w:tc>
          <w:tcPr>
            <w:tcW w:w="1007" w:type="dxa"/>
            <w:vAlign w:val="center"/>
          </w:tcPr>
          <w:p w14:paraId="5B081510"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$3.731</w:t>
            </w:r>
          </w:p>
        </w:tc>
        <w:tc>
          <w:tcPr>
            <w:tcW w:w="1639" w:type="dxa"/>
            <w:vAlign w:val="center"/>
          </w:tcPr>
          <w:p w14:paraId="601CE359"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$4.666</w:t>
            </w:r>
          </w:p>
        </w:tc>
      </w:tr>
      <w:tr w:rsidR="003F793E" w:rsidRPr="00D428A7" w14:paraId="7DE0462C" w14:textId="77777777" w:rsidTr="00C23D09">
        <w:trPr>
          <w:trHeight w:val="750"/>
          <w:jc w:val="center"/>
        </w:trPr>
        <w:tc>
          <w:tcPr>
            <w:cnfStyle w:val="001000000000" w:firstRow="0" w:lastRow="0" w:firstColumn="1" w:lastColumn="0" w:oddVBand="0" w:evenVBand="0" w:oddHBand="0" w:evenHBand="0" w:firstRowFirstColumn="0" w:firstRowLastColumn="0" w:lastRowFirstColumn="0" w:lastRowLastColumn="0"/>
            <w:tcW w:w="2195" w:type="dxa"/>
            <w:vAlign w:val="center"/>
            <w:hideMark/>
          </w:tcPr>
          <w:p w14:paraId="7FDC1F0E" w14:textId="77777777" w:rsidR="003F793E" w:rsidRPr="009B2991" w:rsidRDefault="003F793E" w:rsidP="00C23D09">
            <w:pPr>
              <w:jc w:val="center"/>
              <w:textAlignment w:val="baseline"/>
              <w:rPr>
                <w:sz w:val="20"/>
                <w:szCs w:val="20"/>
                <w:lang w:eastAsia="es-CO"/>
              </w:rPr>
            </w:pPr>
            <w:r w:rsidRPr="009B2991">
              <w:rPr>
                <w:rFonts w:cs="Arial"/>
                <w:color w:val="000000"/>
                <w:sz w:val="20"/>
                <w:szCs w:val="20"/>
                <w:lang w:eastAsia="es-CO"/>
              </w:rPr>
              <w:t>2021011000096</w:t>
            </w:r>
          </w:p>
        </w:tc>
        <w:tc>
          <w:tcPr>
            <w:tcW w:w="2728" w:type="dxa"/>
            <w:vAlign w:val="center"/>
            <w:hideMark/>
          </w:tcPr>
          <w:p w14:paraId="3AA05E29" w14:textId="77777777" w:rsidR="003F793E" w:rsidRPr="009B2991"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000000"/>
                <w:sz w:val="20"/>
                <w:szCs w:val="20"/>
                <w:lang w:eastAsia="es-CO"/>
              </w:rPr>
              <w:t>Generación de estudios geográficos e investigaciones para la caracterización, análisis y delimitación geográfica del territorio Nacional</w:t>
            </w:r>
          </w:p>
        </w:tc>
        <w:tc>
          <w:tcPr>
            <w:tcW w:w="1251" w:type="dxa"/>
            <w:vAlign w:val="center"/>
            <w:hideMark/>
          </w:tcPr>
          <w:p w14:paraId="35493153"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000000"/>
                <w:sz w:val="20"/>
                <w:szCs w:val="20"/>
                <w:lang w:eastAsia="es-CO"/>
              </w:rPr>
              <w:t>$2.238</w:t>
            </w:r>
          </w:p>
        </w:tc>
        <w:tc>
          <w:tcPr>
            <w:tcW w:w="1102" w:type="dxa"/>
            <w:vAlign w:val="center"/>
            <w:hideMark/>
          </w:tcPr>
          <w:p w14:paraId="53F5FC3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000000"/>
                <w:sz w:val="20"/>
                <w:szCs w:val="20"/>
                <w:lang w:eastAsia="es-CO"/>
              </w:rPr>
              <w:t> </w:t>
            </w:r>
          </w:p>
        </w:tc>
        <w:tc>
          <w:tcPr>
            <w:tcW w:w="1007" w:type="dxa"/>
            <w:vAlign w:val="center"/>
            <w:hideMark/>
          </w:tcPr>
          <w:p w14:paraId="1EDAAE1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000000"/>
                <w:sz w:val="20"/>
                <w:szCs w:val="20"/>
                <w:lang w:eastAsia="es-CO"/>
              </w:rPr>
              <w:t>$847</w:t>
            </w:r>
          </w:p>
        </w:tc>
        <w:tc>
          <w:tcPr>
            <w:tcW w:w="1639" w:type="dxa"/>
            <w:vAlign w:val="center"/>
            <w:hideMark/>
          </w:tcPr>
          <w:p w14:paraId="46567556"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color w:val="000000"/>
                <w:sz w:val="20"/>
                <w:szCs w:val="20"/>
                <w:lang w:eastAsia="es-CO"/>
              </w:rPr>
              <w:t>$3.085</w:t>
            </w:r>
          </w:p>
        </w:tc>
      </w:tr>
      <w:tr w:rsidR="003F793E" w:rsidRPr="00D428A7" w14:paraId="09FFDA0C" w14:textId="77777777" w:rsidTr="00C23D09">
        <w:trPr>
          <w:cnfStyle w:val="000000100000" w:firstRow="0" w:lastRow="0" w:firstColumn="0" w:lastColumn="0" w:oddVBand="0" w:evenVBand="0" w:oddHBand="1" w:evenHBand="0" w:firstRowFirstColumn="0" w:firstRowLastColumn="0" w:lastRowFirstColumn="0" w:lastRowLastColumn="0"/>
          <w:trHeight w:val="540"/>
          <w:jc w:val="center"/>
        </w:trPr>
        <w:tc>
          <w:tcPr>
            <w:cnfStyle w:val="001000000000" w:firstRow="0" w:lastRow="0" w:firstColumn="1" w:lastColumn="0" w:oddVBand="0" w:evenVBand="0" w:oddHBand="0" w:evenHBand="0" w:firstRowFirstColumn="0" w:firstRowLastColumn="0" w:lastRowFirstColumn="0" w:lastRowLastColumn="0"/>
            <w:tcW w:w="2195" w:type="dxa"/>
            <w:vAlign w:val="center"/>
            <w:hideMark/>
          </w:tcPr>
          <w:p w14:paraId="1FF0EF56" w14:textId="77777777" w:rsidR="003F793E" w:rsidRPr="009B2991" w:rsidRDefault="003F793E" w:rsidP="00C23D09">
            <w:pPr>
              <w:jc w:val="center"/>
              <w:textAlignment w:val="baseline"/>
              <w:rPr>
                <w:sz w:val="20"/>
                <w:szCs w:val="20"/>
                <w:lang w:eastAsia="es-CO"/>
              </w:rPr>
            </w:pPr>
            <w:r w:rsidRPr="009B2991">
              <w:rPr>
                <w:rFonts w:cs="Arial"/>
                <w:color w:val="000000"/>
                <w:sz w:val="20"/>
                <w:szCs w:val="20"/>
                <w:lang w:eastAsia="es-CO"/>
              </w:rPr>
              <w:t>2018011000194</w:t>
            </w:r>
          </w:p>
        </w:tc>
        <w:tc>
          <w:tcPr>
            <w:tcW w:w="2728" w:type="dxa"/>
            <w:vAlign w:val="center"/>
            <w:hideMark/>
          </w:tcPr>
          <w:p w14:paraId="791A78B3" w14:textId="77777777" w:rsidR="003F793E" w:rsidRPr="009B2991"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Fortalecimiento de la infraestructura física del IGAC a nivel Nacional</w:t>
            </w:r>
          </w:p>
        </w:tc>
        <w:tc>
          <w:tcPr>
            <w:tcW w:w="1251" w:type="dxa"/>
            <w:vAlign w:val="center"/>
            <w:hideMark/>
          </w:tcPr>
          <w:p w14:paraId="07956FA7"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$1.000</w:t>
            </w:r>
          </w:p>
        </w:tc>
        <w:tc>
          <w:tcPr>
            <w:tcW w:w="1102" w:type="dxa"/>
            <w:vAlign w:val="center"/>
            <w:hideMark/>
          </w:tcPr>
          <w:p w14:paraId="0AE920A1"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 </w:t>
            </w:r>
          </w:p>
        </w:tc>
        <w:tc>
          <w:tcPr>
            <w:tcW w:w="1007" w:type="dxa"/>
            <w:vAlign w:val="center"/>
            <w:hideMark/>
          </w:tcPr>
          <w:p w14:paraId="2C95747D"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$1.805</w:t>
            </w:r>
          </w:p>
        </w:tc>
        <w:tc>
          <w:tcPr>
            <w:tcW w:w="1639" w:type="dxa"/>
            <w:vAlign w:val="center"/>
            <w:hideMark/>
          </w:tcPr>
          <w:p w14:paraId="7CA2BB7E"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$2.805</w:t>
            </w:r>
          </w:p>
        </w:tc>
      </w:tr>
      <w:tr w:rsidR="003F793E" w:rsidRPr="00D428A7" w14:paraId="221E83D0" w14:textId="77777777" w:rsidTr="00C23D09">
        <w:trPr>
          <w:trHeight w:val="540"/>
          <w:jc w:val="center"/>
        </w:trPr>
        <w:tc>
          <w:tcPr>
            <w:cnfStyle w:val="001000000000" w:firstRow="0" w:lastRow="0" w:firstColumn="1" w:lastColumn="0" w:oddVBand="0" w:evenVBand="0" w:oddHBand="0" w:evenHBand="0" w:firstRowFirstColumn="0" w:firstRowLastColumn="0" w:lastRowFirstColumn="0" w:lastRowLastColumn="0"/>
            <w:tcW w:w="2195" w:type="dxa"/>
            <w:vAlign w:val="center"/>
          </w:tcPr>
          <w:p w14:paraId="375CA8D8" w14:textId="77777777" w:rsidR="003F793E" w:rsidRPr="009B2991" w:rsidRDefault="003F793E" w:rsidP="00C23D09">
            <w:pPr>
              <w:jc w:val="center"/>
              <w:textAlignment w:val="baseline"/>
              <w:rPr>
                <w:rFonts w:cs="Arial"/>
                <w:color w:val="000000"/>
                <w:sz w:val="20"/>
                <w:szCs w:val="20"/>
                <w:lang w:eastAsia="es-CO"/>
              </w:rPr>
            </w:pPr>
            <w:r w:rsidRPr="009B2991">
              <w:rPr>
                <w:rFonts w:cs="Arial"/>
                <w:color w:val="000000"/>
                <w:sz w:val="20"/>
                <w:szCs w:val="20"/>
                <w:lang w:eastAsia="es-CO"/>
              </w:rPr>
              <w:t>2018011001028</w:t>
            </w:r>
          </w:p>
        </w:tc>
        <w:tc>
          <w:tcPr>
            <w:tcW w:w="2728" w:type="dxa"/>
            <w:vAlign w:val="center"/>
          </w:tcPr>
          <w:p w14:paraId="78C63FEE" w14:textId="77777777" w:rsidR="003F793E" w:rsidRPr="009B2991"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Fortalecimiento de los procesos de difusión y acceso a la información geográfica a nivel Nacional</w:t>
            </w:r>
          </w:p>
        </w:tc>
        <w:tc>
          <w:tcPr>
            <w:tcW w:w="1251" w:type="dxa"/>
            <w:vAlign w:val="center"/>
          </w:tcPr>
          <w:p w14:paraId="688F8904"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$408</w:t>
            </w:r>
          </w:p>
        </w:tc>
        <w:tc>
          <w:tcPr>
            <w:tcW w:w="1102" w:type="dxa"/>
            <w:vAlign w:val="center"/>
          </w:tcPr>
          <w:p w14:paraId="65884C85"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 </w:t>
            </w:r>
          </w:p>
        </w:tc>
        <w:tc>
          <w:tcPr>
            <w:tcW w:w="1007" w:type="dxa"/>
            <w:vAlign w:val="center"/>
          </w:tcPr>
          <w:p w14:paraId="38EC8400"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$1.102</w:t>
            </w:r>
          </w:p>
        </w:tc>
        <w:tc>
          <w:tcPr>
            <w:tcW w:w="1639" w:type="dxa"/>
            <w:vAlign w:val="center"/>
          </w:tcPr>
          <w:p w14:paraId="6490CD3D"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20"/>
                <w:szCs w:val="20"/>
                <w:lang w:eastAsia="es-CO"/>
              </w:rPr>
            </w:pPr>
            <w:r w:rsidRPr="009B2991">
              <w:rPr>
                <w:rFonts w:cs="Arial"/>
                <w:color w:val="000000"/>
                <w:sz w:val="20"/>
                <w:szCs w:val="20"/>
                <w:lang w:eastAsia="es-CO"/>
              </w:rPr>
              <w:t>$1.510</w:t>
            </w:r>
          </w:p>
        </w:tc>
      </w:tr>
      <w:tr w:rsidR="003F793E" w:rsidRPr="00D428A7" w14:paraId="30A17242" w14:textId="77777777" w:rsidTr="00C23D09">
        <w:trPr>
          <w:cnfStyle w:val="000000100000" w:firstRow="0" w:lastRow="0" w:firstColumn="0" w:lastColumn="0" w:oddVBand="0" w:evenVBand="0" w:oddHBand="1" w:evenHBand="0" w:firstRowFirstColumn="0" w:firstRowLastColumn="0" w:lastRowFirstColumn="0" w:lastRowLastColumn="0"/>
          <w:trHeight w:val="555"/>
          <w:jc w:val="center"/>
        </w:trPr>
        <w:tc>
          <w:tcPr>
            <w:cnfStyle w:val="001000000000" w:firstRow="0" w:lastRow="0" w:firstColumn="1" w:lastColumn="0" w:oddVBand="0" w:evenVBand="0" w:oddHBand="0" w:evenHBand="0" w:firstRowFirstColumn="0" w:firstRowLastColumn="0" w:lastRowFirstColumn="0" w:lastRowLastColumn="0"/>
            <w:tcW w:w="2195" w:type="dxa"/>
            <w:vAlign w:val="center"/>
            <w:hideMark/>
          </w:tcPr>
          <w:p w14:paraId="07B39690" w14:textId="77777777" w:rsidR="003F793E" w:rsidRPr="009B2991" w:rsidRDefault="003F793E" w:rsidP="00C23D09">
            <w:pPr>
              <w:jc w:val="center"/>
              <w:textAlignment w:val="baseline"/>
              <w:rPr>
                <w:sz w:val="20"/>
                <w:szCs w:val="20"/>
                <w:lang w:eastAsia="es-CO"/>
              </w:rPr>
            </w:pPr>
            <w:r w:rsidRPr="009B2991">
              <w:rPr>
                <w:rFonts w:cs="Arial"/>
                <w:color w:val="000000"/>
                <w:sz w:val="20"/>
                <w:szCs w:val="20"/>
                <w:lang w:eastAsia="es-CO"/>
              </w:rPr>
              <w:t>2018011000723</w:t>
            </w:r>
          </w:p>
        </w:tc>
        <w:tc>
          <w:tcPr>
            <w:tcW w:w="2728" w:type="dxa"/>
            <w:vAlign w:val="center"/>
            <w:hideMark/>
          </w:tcPr>
          <w:p w14:paraId="0FA3B72E" w14:textId="77777777" w:rsidR="003F793E" w:rsidRPr="009B2991"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Implementación de un sistema de gestión documental en el IGAC a nivel Nacional</w:t>
            </w:r>
          </w:p>
        </w:tc>
        <w:tc>
          <w:tcPr>
            <w:tcW w:w="1251" w:type="dxa"/>
            <w:vAlign w:val="center"/>
            <w:hideMark/>
          </w:tcPr>
          <w:p w14:paraId="16B72147"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$413</w:t>
            </w:r>
          </w:p>
        </w:tc>
        <w:tc>
          <w:tcPr>
            <w:tcW w:w="1102" w:type="dxa"/>
            <w:vAlign w:val="center"/>
            <w:hideMark/>
          </w:tcPr>
          <w:p w14:paraId="0A8451CD"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 </w:t>
            </w:r>
          </w:p>
        </w:tc>
        <w:tc>
          <w:tcPr>
            <w:tcW w:w="1007" w:type="dxa"/>
            <w:vAlign w:val="center"/>
            <w:hideMark/>
          </w:tcPr>
          <w:p w14:paraId="1142D102"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 </w:t>
            </w:r>
          </w:p>
        </w:tc>
        <w:tc>
          <w:tcPr>
            <w:tcW w:w="1639" w:type="dxa"/>
            <w:vAlign w:val="center"/>
            <w:hideMark/>
          </w:tcPr>
          <w:p w14:paraId="4B5901A8" w14:textId="77777777" w:rsidR="003F793E" w:rsidRPr="009B2991"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20"/>
                <w:szCs w:val="20"/>
                <w:lang w:eastAsia="es-CO"/>
              </w:rPr>
            </w:pPr>
            <w:r w:rsidRPr="009B2991">
              <w:rPr>
                <w:rFonts w:cs="Arial"/>
                <w:color w:val="000000"/>
                <w:sz w:val="20"/>
                <w:szCs w:val="20"/>
                <w:lang w:eastAsia="es-CO"/>
              </w:rPr>
              <w:t>$413</w:t>
            </w:r>
          </w:p>
        </w:tc>
      </w:tr>
      <w:tr w:rsidR="003F793E" w:rsidRPr="00D428A7" w14:paraId="732616AD" w14:textId="77777777" w:rsidTr="00C23D09">
        <w:trPr>
          <w:trHeight w:val="300"/>
          <w:jc w:val="center"/>
        </w:trPr>
        <w:tc>
          <w:tcPr>
            <w:cnfStyle w:val="001000000000" w:firstRow="0" w:lastRow="0" w:firstColumn="1" w:lastColumn="0" w:oddVBand="0" w:evenVBand="0" w:oddHBand="0" w:evenHBand="0" w:firstRowFirstColumn="0" w:firstRowLastColumn="0" w:lastRowFirstColumn="0" w:lastRowLastColumn="0"/>
            <w:tcW w:w="4923" w:type="dxa"/>
            <w:gridSpan w:val="2"/>
            <w:vAlign w:val="center"/>
            <w:hideMark/>
          </w:tcPr>
          <w:p w14:paraId="3CA91ADB" w14:textId="77777777" w:rsidR="003F793E" w:rsidRPr="009B2991" w:rsidRDefault="003F793E" w:rsidP="00C23D09">
            <w:pPr>
              <w:jc w:val="center"/>
              <w:textAlignment w:val="baseline"/>
              <w:rPr>
                <w:sz w:val="20"/>
                <w:szCs w:val="20"/>
                <w:lang w:eastAsia="es-CO"/>
              </w:rPr>
            </w:pPr>
            <w:r w:rsidRPr="009B2991">
              <w:rPr>
                <w:rFonts w:cs="Arial"/>
                <w:color w:val="000000"/>
                <w:sz w:val="20"/>
                <w:szCs w:val="20"/>
                <w:lang w:eastAsia="es-CO"/>
              </w:rPr>
              <w:t>TOTAL INVERSIÓN</w:t>
            </w:r>
          </w:p>
        </w:tc>
        <w:tc>
          <w:tcPr>
            <w:tcW w:w="1251" w:type="dxa"/>
            <w:vAlign w:val="center"/>
            <w:hideMark/>
          </w:tcPr>
          <w:p w14:paraId="3E7804F9"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b/>
                <w:bCs/>
                <w:color w:val="000000"/>
                <w:sz w:val="20"/>
                <w:szCs w:val="20"/>
                <w:lang w:eastAsia="es-CO"/>
              </w:rPr>
              <w:t>$116.869</w:t>
            </w:r>
          </w:p>
        </w:tc>
        <w:tc>
          <w:tcPr>
            <w:tcW w:w="1102" w:type="dxa"/>
            <w:vAlign w:val="center"/>
            <w:hideMark/>
          </w:tcPr>
          <w:p w14:paraId="1D638DE4"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b/>
                <w:bCs/>
                <w:color w:val="000000"/>
                <w:sz w:val="20"/>
                <w:szCs w:val="20"/>
                <w:lang w:eastAsia="es-CO"/>
              </w:rPr>
              <w:t>$140.754</w:t>
            </w:r>
          </w:p>
        </w:tc>
        <w:tc>
          <w:tcPr>
            <w:tcW w:w="1007" w:type="dxa"/>
            <w:vAlign w:val="center"/>
            <w:hideMark/>
          </w:tcPr>
          <w:p w14:paraId="0F47179B"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b/>
                <w:bCs/>
                <w:color w:val="000000"/>
                <w:sz w:val="20"/>
                <w:szCs w:val="20"/>
                <w:lang w:eastAsia="es-CO"/>
              </w:rPr>
              <w:t>$56.527</w:t>
            </w:r>
          </w:p>
        </w:tc>
        <w:tc>
          <w:tcPr>
            <w:tcW w:w="1639" w:type="dxa"/>
            <w:vAlign w:val="center"/>
            <w:hideMark/>
          </w:tcPr>
          <w:p w14:paraId="35615C7E" w14:textId="77777777" w:rsidR="003F793E" w:rsidRPr="009B2991"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20"/>
                <w:szCs w:val="20"/>
                <w:lang w:eastAsia="es-CO"/>
              </w:rPr>
            </w:pPr>
            <w:r w:rsidRPr="009B2991">
              <w:rPr>
                <w:rFonts w:cs="Arial"/>
                <w:b/>
                <w:bCs/>
                <w:color w:val="000000"/>
                <w:sz w:val="20"/>
                <w:szCs w:val="20"/>
                <w:lang w:eastAsia="es-CO"/>
              </w:rPr>
              <w:t>$314.151</w:t>
            </w:r>
          </w:p>
        </w:tc>
      </w:tr>
    </w:tbl>
    <w:p w14:paraId="1740E0F0" w14:textId="77777777" w:rsidR="003F793E" w:rsidRPr="00912343" w:rsidRDefault="003F793E" w:rsidP="003F793E">
      <w:pPr>
        <w:jc w:val="center"/>
        <w:textAlignment w:val="baseline"/>
        <w:rPr>
          <w:rFonts w:ascii="Segoe UI" w:hAnsi="Segoe UI" w:cs="Segoe UI"/>
          <w:b/>
          <w:sz w:val="12"/>
          <w:szCs w:val="18"/>
          <w:lang w:eastAsia="es-CO"/>
        </w:rPr>
      </w:pPr>
      <w:r w:rsidRPr="00912343">
        <w:rPr>
          <w:rFonts w:cs="Arial"/>
          <w:b/>
          <w:bCs/>
          <w:sz w:val="18"/>
          <w:lang w:eastAsia="es-CO"/>
        </w:rPr>
        <w:t xml:space="preserve">Fuente: </w:t>
      </w:r>
      <w:r w:rsidRPr="00912343">
        <w:rPr>
          <w:rFonts w:cs="Arial"/>
          <w:b/>
          <w:sz w:val="18"/>
          <w:lang w:eastAsia="es-CO"/>
        </w:rPr>
        <w:t>Oficina Asesora de Planeación</w:t>
      </w:r>
    </w:p>
    <w:p w14:paraId="2F0214DB" w14:textId="77777777" w:rsidR="003F793E" w:rsidRDefault="003F793E" w:rsidP="003F793E">
      <w:pPr>
        <w:jc w:val="center"/>
        <w:textAlignment w:val="baseline"/>
        <w:rPr>
          <w:rFonts w:cs="Arial"/>
          <w:lang w:eastAsia="es-CO"/>
        </w:rPr>
      </w:pPr>
    </w:p>
    <w:p w14:paraId="7DE6DBD6" w14:textId="625AB55C" w:rsidR="003F793E" w:rsidRDefault="003F793E" w:rsidP="003F793E">
      <w:pPr>
        <w:textAlignment w:val="baseline"/>
        <w:rPr>
          <w:rFonts w:cs="Arial"/>
          <w:sz w:val="22"/>
          <w:szCs w:val="22"/>
          <w:lang w:eastAsia="es-CO"/>
        </w:rPr>
      </w:pPr>
    </w:p>
    <w:p w14:paraId="4CEC6E60" w14:textId="25533E8E" w:rsidR="00912343" w:rsidRDefault="00912343" w:rsidP="003F793E">
      <w:pPr>
        <w:textAlignment w:val="baseline"/>
        <w:rPr>
          <w:rFonts w:cs="Arial"/>
          <w:sz w:val="22"/>
          <w:szCs w:val="22"/>
          <w:lang w:eastAsia="es-CO"/>
        </w:rPr>
      </w:pPr>
    </w:p>
    <w:p w14:paraId="059393B9" w14:textId="0996D449" w:rsidR="00912343" w:rsidRDefault="00912343" w:rsidP="003F793E">
      <w:pPr>
        <w:textAlignment w:val="baseline"/>
        <w:rPr>
          <w:rFonts w:cs="Arial"/>
          <w:sz w:val="22"/>
          <w:szCs w:val="22"/>
          <w:lang w:eastAsia="es-CO"/>
        </w:rPr>
      </w:pPr>
    </w:p>
    <w:p w14:paraId="7A5AB135" w14:textId="044D4368" w:rsidR="00912343" w:rsidRDefault="00912343" w:rsidP="003F793E">
      <w:pPr>
        <w:textAlignment w:val="baseline"/>
        <w:rPr>
          <w:rFonts w:cs="Arial"/>
          <w:sz w:val="22"/>
          <w:szCs w:val="22"/>
          <w:lang w:eastAsia="es-CO"/>
        </w:rPr>
      </w:pPr>
    </w:p>
    <w:p w14:paraId="231F97B8" w14:textId="77777777" w:rsidR="00912343" w:rsidRPr="00912343" w:rsidRDefault="00912343" w:rsidP="003F793E">
      <w:pPr>
        <w:textAlignment w:val="baseline"/>
        <w:rPr>
          <w:rFonts w:cs="Arial"/>
          <w:sz w:val="22"/>
          <w:szCs w:val="22"/>
          <w:lang w:eastAsia="es-CO"/>
        </w:rPr>
      </w:pPr>
    </w:p>
    <w:p w14:paraId="1C8CAF7C" w14:textId="77777777" w:rsidR="003F793E" w:rsidRPr="00912343" w:rsidRDefault="003F793E" w:rsidP="003F793E">
      <w:pPr>
        <w:jc w:val="center"/>
        <w:textAlignment w:val="baseline"/>
        <w:rPr>
          <w:rFonts w:ascii="Segoe UI" w:hAnsi="Segoe UI" w:cs="Segoe UI"/>
          <w:sz w:val="22"/>
          <w:szCs w:val="22"/>
          <w:lang w:eastAsia="es-CO"/>
        </w:rPr>
      </w:pPr>
      <w:r w:rsidRPr="00912343">
        <w:rPr>
          <w:rFonts w:cs="Arial"/>
          <w:sz w:val="22"/>
          <w:szCs w:val="22"/>
          <w:lang w:eastAsia="es-CO"/>
        </w:rPr>
        <w:t> </w:t>
      </w:r>
    </w:p>
    <w:p w14:paraId="5C34DC92" w14:textId="0DB86616" w:rsidR="003F793E" w:rsidRPr="00912343" w:rsidRDefault="003F793E" w:rsidP="00912343">
      <w:pPr>
        <w:pStyle w:val="Prrafodelista"/>
        <w:numPr>
          <w:ilvl w:val="1"/>
          <w:numId w:val="183"/>
        </w:numPr>
        <w:suppressAutoHyphens w:val="0"/>
        <w:overflowPunct/>
        <w:autoSpaceDE/>
        <w:spacing w:after="160" w:line="256" w:lineRule="auto"/>
        <w:contextualSpacing/>
        <w:rPr>
          <w:rFonts w:cs="Arial"/>
          <w:sz w:val="22"/>
          <w:szCs w:val="22"/>
          <w:lang w:eastAsia="es-CO"/>
        </w:rPr>
      </w:pPr>
      <w:r w:rsidRPr="00912343">
        <w:rPr>
          <w:rFonts w:cs="Arial"/>
          <w:b/>
          <w:bCs/>
          <w:sz w:val="22"/>
          <w:szCs w:val="22"/>
          <w:lang w:eastAsia="es-CO"/>
        </w:rPr>
        <w:lastRenderedPageBreak/>
        <w:t>VIGENCIAS FUTURAS </w:t>
      </w:r>
      <w:r w:rsidRPr="00912343">
        <w:rPr>
          <w:rFonts w:cs="Arial"/>
          <w:sz w:val="22"/>
          <w:szCs w:val="22"/>
          <w:lang w:eastAsia="es-CO"/>
        </w:rPr>
        <w:t> </w:t>
      </w:r>
    </w:p>
    <w:p w14:paraId="72FEB38A" w14:textId="55C9E4A4" w:rsidR="003F793E" w:rsidRDefault="003F793E" w:rsidP="003F793E">
      <w:pPr>
        <w:jc w:val="both"/>
        <w:textAlignment w:val="baseline"/>
        <w:rPr>
          <w:rFonts w:cs="Arial"/>
          <w:b/>
          <w:bCs/>
          <w:sz w:val="22"/>
          <w:szCs w:val="22"/>
          <w:lang w:eastAsia="es-CO"/>
        </w:rPr>
      </w:pPr>
      <w:r w:rsidRPr="00912343">
        <w:rPr>
          <w:rFonts w:cs="Arial"/>
          <w:sz w:val="22"/>
          <w:szCs w:val="22"/>
          <w:lang w:eastAsia="es-CO"/>
        </w:rPr>
        <w:t>Para la vigencia 2022, se han gestionado las siguientes vigencias futuras por recursos de inversión y funcionamiento</w:t>
      </w:r>
      <w:r w:rsidRPr="00912343">
        <w:rPr>
          <w:rFonts w:cs="Arial"/>
          <w:b/>
          <w:bCs/>
          <w:sz w:val="22"/>
          <w:szCs w:val="22"/>
          <w:lang w:eastAsia="es-CO"/>
        </w:rPr>
        <w:t>:</w:t>
      </w:r>
    </w:p>
    <w:p w14:paraId="3D5543D1" w14:textId="0B177368" w:rsidR="00912343" w:rsidRPr="00912343" w:rsidRDefault="00912343" w:rsidP="00912343">
      <w:pPr>
        <w:jc w:val="center"/>
        <w:textAlignment w:val="baseline"/>
        <w:rPr>
          <w:rFonts w:cs="Arial"/>
          <w:b/>
          <w:bCs/>
          <w:color w:val="000000" w:themeColor="text1"/>
          <w:sz w:val="20"/>
          <w:szCs w:val="22"/>
          <w:lang w:eastAsia="es-CO"/>
        </w:rPr>
      </w:pPr>
    </w:p>
    <w:p w14:paraId="303AA18E" w14:textId="4A11B0CD" w:rsidR="003F793E" w:rsidRPr="00912343" w:rsidRDefault="00912343" w:rsidP="00912343">
      <w:pPr>
        <w:pStyle w:val="Descripcin"/>
        <w:jc w:val="center"/>
        <w:rPr>
          <w:rFonts w:ascii="Arial" w:hAnsi="Arial" w:cs="Arial"/>
          <w:b/>
          <w:bCs/>
          <w:i w:val="0"/>
          <w:color w:val="000000" w:themeColor="text1"/>
          <w:sz w:val="20"/>
          <w:szCs w:val="22"/>
          <w:lang w:eastAsia="es-CO"/>
        </w:rPr>
      </w:pPr>
      <w:bookmarkStart w:id="223" w:name="_Toc88677155"/>
      <w:r w:rsidRPr="00912343">
        <w:rPr>
          <w:rFonts w:ascii="Arial" w:hAnsi="Arial" w:cs="Arial"/>
          <w:b/>
          <w:i w:val="0"/>
          <w:color w:val="000000" w:themeColor="text1"/>
          <w:sz w:val="16"/>
        </w:rPr>
        <w:t xml:space="preserve">Tabla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Tabla \* ARABIC </w:instrText>
      </w:r>
      <w:r w:rsidRPr="00912343">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86</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Vigencias futuras</w:t>
      </w:r>
      <w:bookmarkEnd w:id="223"/>
    </w:p>
    <w:p w14:paraId="2A73AAA4" w14:textId="77777777" w:rsidR="003F793E" w:rsidRPr="009B2991" w:rsidRDefault="003F793E" w:rsidP="003F793E">
      <w:pPr>
        <w:ind w:left="7371" w:right="-279"/>
        <w:jc w:val="both"/>
        <w:textAlignment w:val="baseline"/>
        <w:rPr>
          <w:rFonts w:ascii="Segoe UI" w:hAnsi="Segoe UI" w:cs="Segoe UI"/>
          <w:sz w:val="16"/>
          <w:szCs w:val="16"/>
          <w:lang w:eastAsia="es-CO"/>
        </w:rPr>
      </w:pPr>
      <w:r w:rsidRPr="009B2991">
        <w:rPr>
          <w:rFonts w:cs="Arial"/>
          <w:sz w:val="16"/>
          <w:szCs w:val="16"/>
          <w:lang w:eastAsia="es-CO"/>
        </w:rPr>
        <w:t>Cifras en millones de pesos</w:t>
      </w:r>
    </w:p>
    <w:tbl>
      <w:tblPr>
        <w:tblStyle w:val="Tabladecuadrcula4-nfasis1"/>
        <w:tblW w:w="9586" w:type="dxa"/>
        <w:tblLook w:val="04A0" w:firstRow="1" w:lastRow="0" w:firstColumn="1" w:lastColumn="0" w:noHBand="0" w:noVBand="1"/>
      </w:tblPr>
      <w:tblGrid>
        <w:gridCol w:w="1299"/>
        <w:gridCol w:w="1134"/>
        <w:gridCol w:w="878"/>
        <w:gridCol w:w="2638"/>
        <w:gridCol w:w="1412"/>
        <w:gridCol w:w="1401"/>
        <w:gridCol w:w="824"/>
      </w:tblGrid>
      <w:tr w:rsidR="003F793E" w:rsidRPr="00F9195E" w14:paraId="649B67E5" w14:textId="77777777" w:rsidTr="00C23D09">
        <w:trPr>
          <w:cnfStyle w:val="100000000000" w:firstRow="1" w:lastRow="0" w:firstColumn="0" w:lastColumn="0" w:oddVBand="0" w:evenVBand="0" w:oddHBand="0" w:evenHBand="0" w:firstRowFirstColumn="0" w:firstRowLastColumn="0" w:lastRowFirstColumn="0" w:lastRowLastColumn="0"/>
          <w:trHeight w:val="206"/>
          <w:tblHeader/>
        </w:trPr>
        <w:tc>
          <w:tcPr>
            <w:cnfStyle w:val="001000000000" w:firstRow="0" w:lastRow="0" w:firstColumn="1" w:lastColumn="0" w:oddVBand="0" w:evenVBand="0" w:oddHBand="0" w:evenHBand="0" w:firstRowFirstColumn="0" w:firstRowLastColumn="0" w:lastRowFirstColumn="0" w:lastRowLastColumn="0"/>
            <w:tcW w:w="1299" w:type="dxa"/>
            <w:vAlign w:val="center"/>
            <w:hideMark/>
          </w:tcPr>
          <w:p w14:paraId="32662AB3" w14:textId="77777777" w:rsidR="003F793E" w:rsidRPr="00F9195E" w:rsidRDefault="003F793E" w:rsidP="00C23D09">
            <w:pPr>
              <w:jc w:val="center"/>
              <w:textAlignment w:val="baseline"/>
              <w:rPr>
                <w:sz w:val="14"/>
                <w:lang w:eastAsia="es-CO"/>
              </w:rPr>
            </w:pPr>
            <w:r w:rsidRPr="00F9195E">
              <w:rPr>
                <w:rFonts w:cs="Arial"/>
                <w:bCs w:val="0"/>
                <w:color w:val="FFFFFF"/>
                <w:sz w:val="14"/>
                <w:szCs w:val="20"/>
                <w:lang w:eastAsia="es-CO"/>
              </w:rPr>
              <w:t>Fuente</w:t>
            </w:r>
          </w:p>
        </w:tc>
        <w:tc>
          <w:tcPr>
            <w:tcW w:w="1134" w:type="dxa"/>
            <w:vAlign w:val="center"/>
            <w:hideMark/>
          </w:tcPr>
          <w:p w14:paraId="1480D5B2"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Proyecto de inversión</w:t>
            </w:r>
          </w:p>
        </w:tc>
        <w:tc>
          <w:tcPr>
            <w:tcW w:w="878" w:type="dxa"/>
            <w:vAlign w:val="center"/>
            <w:hideMark/>
          </w:tcPr>
          <w:p w14:paraId="2D92B7C6"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Recurso</w:t>
            </w:r>
          </w:p>
        </w:tc>
        <w:tc>
          <w:tcPr>
            <w:tcW w:w="2638" w:type="dxa"/>
            <w:vAlign w:val="center"/>
            <w:hideMark/>
          </w:tcPr>
          <w:p w14:paraId="70A103EA"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Objeto</w:t>
            </w:r>
          </w:p>
        </w:tc>
        <w:tc>
          <w:tcPr>
            <w:tcW w:w="1412" w:type="dxa"/>
            <w:vAlign w:val="center"/>
            <w:hideMark/>
          </w:tcPr>
          <w:p w14:paraId="6C2011CE"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Valor</w:t>
            </w:r>
          </w:p>
        </w:tc>
        <w:tc>
          <w:tcPr>
            <w:tcW w:w="1401" w:type="dxa"/>
            <w:vAlign w:val="center"/>
            <w:hideMark/>
          </w:tcPr>
          <w:p w14:paraId="2557F7F6"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Fecha de fin</w:t>
            </w:r>
          </w:p>
        </w:tc>
        <w:tc>
          <w:tcPr>
            <w:tcW w:w="824" w:type="dxa"/>
            <w:vAlign w:val="center"/>
            <w:hideMark/>
          </w:tcPr>
          <w:p w14:paraId="3AD0500A" w14:textId="77777777" w:rsidR="003F793E" w:rsidRPr="00F9195E" w:rsidRDefault="003F793E" w:rsidP="00C23D09">
            <w:pPr>
              <w:jc w:val="center"/>
              <w:textAlignment w:val="baseline"/>
              <w:cnfStyle w:val="100000000000" w:firstRow="1" w:lastRow="0" w:firstColumn="0" w:lastColumn="0" w:oddVBand="0" w:evenVBand="0" w:oddHBand="0" w:evenHBand="0" w:firstRowFirstColumn="0" w:firstRowLastColumn="0" w:lastRowFirstColumn="0" w:lastRowLastColumn="0"/>
              <w:rPr>
                <w:sz w:val="14"/>
                <w:lang w:eastAsia="es-CO"/>
              </w:rPr>
            </w:pPr>
            <w:r w:rsidRPr="00F9195E">
              <w:rPr>
                <w:rFonts w:cs="Arial"/>
                <w:bCs w:val="0"/>
                <w:color w:val="FFFFFF"/>
                <w:sz w:val="14"/>
                <w:szCs w:val="20"/>
                <w:lang w:eastAsia="es-CO"/>
              </w:rPr>
              <w:t>Estado</w:t>
            </w:r>
          </w:p>
        </w:tc>
      </w:tr>
      <w:tr w:rsidR="003F793E" w:rsidRPr="00F9195E" w14:paraId="7DCD66A7" w14:textId="77777777" w:rsidTr="00C23D09">
        <w:trPr>
          <w:cnfStyle w:val="000000100000" w:firstRow="0" w:lastRow="0" w:firstColumn="0" w:lastColumn="0" w:oddVBand="0" w:evenVBand="0" w:oddHBand="1" w:evenHBand="0" w:firstRowFirstColumn="0" w:firstRowLastColumn="0" w:lastRowFirstColumn="0" w:lastRowLastColumn="0"/>
          <w:trHeight w:val="414"/>
        </w:trPr>
        <w:tc>
          <w:tcPr>
            <w:cnfStyle w:val="001000000000" w:firstRow="0" w:lastRow="0" w:firstColumn="1" w:lastColumn="0" w:oddVBand="0" w:evenVBand="0" w:oddHBand="0" w:evenHBand="0" w:firstRowFirstColumn="0" w:firstRowLastColumn="0" w:lastRowFirstColumn="0" w:lastRowLastColumn="0"/>
            <w:tcW w:w="1299" w:type="dxa"/>
            <w:vMerge w:val="restart"/>
            <w:shd w:val="clear" w:color="auto" w:fill="auto"/>
            <w:vAlign w:val="center"/>
          </w:tcPr>
          <w:p w14:paraId="38EDBB58" w14:textId="77777777" w:rsidR="003F793E" w:rsidRDefault="003F793E" w:rsidP="00C23D09">
            <w:pPr>
              <w:jc w:val="center"/>
              <w:textAlignment w:val="baseline"/>
              <w:rPr>
                <w:rFonts w:cs="Arial"/>
                <w:b w:val="0"/>
                <w:bCs w:val="0"/>
                <w:color w:val="000000"/>
                <w:sz w:val="14"/>
                <w:szCs w:val="20"/>
                <w:lang w:eastAsia="es-CO"/>
              </w:rPr>
            </w:pPr>
            <w:r w:rsidRPr="00F9195E">
              <w:rPr>
                <w:rFonts w:cs="Arial"/>
                <w:color w:val="000000"/>
                <w:sz w:val="14"/>
                <w:szCs w:val="20"/>
                <w:lang w:eastAsia="es-CO"/>
              </w:rPr>
              <w:t>Inversión</w:t>
            </w:r>
          </w:p>
          <w:p w14:paraId="1339022D" w14:textId="77777777" w:rsidR="003F793E" w:rsidRDefault="003F793E" w:rsidP="00C23D09">
            <w:pPr>
              <w:jc w:val="center"/>
              <w:textAlignment w:val="baseline"/>
              <w:rPr>
                <w:rFonts w:cs="Arial"/>
                <w:color w:val="000000"/>
                <w:sz w:val="14"/>
                <w:szCs w:val="20"/>
                <w:lang w:eastAsia="es-CO"/>
              </w:rPr>
            </w:pPr>
          </w:p>
        </w:tc>
        <w:tc>
          <w:tcPr>
            <w:tcW w:w="1134" w:type="dxa"/>
            <w:vMerge w:val="restart"/>
            <w:shd w:val="clear" w:color="auto" w:fill="auto"/>
            <w:vAlign w:val="center"/>
          </w:tcPr>
          <w:p w14:paraId="0D153EB5"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Actualización y gestión catastral</w:t>
            </w:r>
          </w:p>
          <w:p w14:paraId="03136EBD"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p>
        </w:tc>
        <w:tc>
          <w:tcPr>
            <w:tcW w:w="878" w:type="dxa"/>
            <w:vMerge w:val="restart"/>
            <w:shd w:val="clear" w:color="auto" w:fill="auto"/>
            <w:vAlign w:val="center"/>
          </w:tcPr>
          <w:p w14:paraId="1B8BF8FE" w14:textId="77777777" w:rsidR="003F793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Nación – Crédito</w:t>
            </w:r>
          </w:p>
          <w:p w14:paraId="63DBE1D2" w14:textId="77777777" w:rsidR="003F793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p>
        </w:tc>
        <w:tc>
          <w:tcPr>
            <w:tcW w:w="2638" w:type="dxa"/>
            <w:shd w:val="clear" w:color="auto" w:fill="auto"/>
            <w:vAlign w:val="center"/>
          </w:tcPr>
          <w:p w14:paraId="057312F4"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Realizar el levantamiento de la información catastral multipropósito, en treinta y cuatro (34) municipios priorizados en el crédito de catastro multipropósito para el periodo 2021-2022, con las cuales se actualizarán un total de 3.447.316 Has.</w:t>
            </w:r>
          </w:p>
        </w:tc>
        <w:tc>
          <w:tcPr>
            <w:tcW w:w="1412" w:type="dxa"/>
            <w:vMerge w:val="restart"/>
            <w:shd w:val="clear" w:color="auto" w:fill="auto"/>
            <w:vAlign w:val="center"/>
          </w:tcPr>
          <w:p w14:paraId="2AAAD011" w14:textId="77777777" w:rsidR="003F793E" w:rsidRPr="00F9195E"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$91.099</w:t>
            </w:r>
          </w:p>
        </w:tc>
        <w:tc>
          <w:tcPr>
            <w:tcW w:w="1401" w:type="dxa"/>
            <w:vMerge w:val="restart"/>
            <w:shd w:val="clear" w:color="auto" w:fill="auto"/>
            <w:vAlign w:val="center"/>
          </w:tcPr>
          <w:p w14:paraId="75FCE334"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30 de julio de 2022.</w:t>
            </w:r>
          </w:p>
        </w:tc>
        <w:tc>
          <w:tcPr>
            <w:tcW w:w="824" w:type="dxa"/>
            <w:vMerge w:val="restart"/>
            <w:shd w:val="clear" w:color="auto" w:fill="auto"/>
            <w:vAlign w:val="center"/>
          </w:tcPr>
          <w:p w14:paraId="01A54997" w14:textId="77777777" w:rsidR="003F793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Aprobada</w:t>
            </w:r>
          </w:p>
          <w:p w14:paraId="3D04D789" w14:textId="77777777" w:rsidR="003F793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p>
        </w:tc>
      </w:tr>
      <w:tr w:rsidR="003F793E" w:rsidRPr="00F9195E" w14:paraId="1726E998" w14:textId="77777777" w:rsidTr="00C23D09">
        <w:trPr>
          <w:trHeight w:val="414"/>
        </w:trPr>
        <w:tc>
          <w:tcPr>
            <w:cnfStyle w:val="001000000000" w:firstRow="0" w:lastRow="0" w:firstColumn="1" w:lastColumn="0" w:oddVBand="0" w:evenVBand="0" w:oddHBand="0" w:evenHBand="0" w:firstRowFirstColumn="0" w:firstRowLastColumn="0" w:lastRowFirstColumn="0" w:lastRowLastColumn="0"/>
            <w:tcW w:w="1299" w:type="dxa"/>
            <w:vMerge/>
            <w:vAlign w:val="center"/>
          </w:tcPr>
          <w:p w14:paraId="4BE80FB3" w14:textId="77777777" w:rsidR="003F793E" w:rsidRPr="00F9195E" w:rsidRDefault="003F793E" w:rsidP="00C23D09">
            <w:pPr>
              <w:jc w:val="center"/>
              <w:textAlignment w:val="baseline"/>
              <w:rPr>
                <w:rFonts w:cs="Arial"/>
                <w:color w:val="000000"/>
                <w:sz w:val="14"/>
                <w:szCs w:val="20"/>
                <w:lang w:eastAsia="es-CO"/>
              </w:rPr>
            </w:pPr>
          </w:p>
        </w:tc>
        <w:tc>
          <w:tcPr>
            <w:tcW w:w="1134" w:type="dxa"/>
            <w:vMerge/>
            <w:vAlign w:val="center"/>
          </w:tcPr>
          <w:p w14:paraId="20AF29C2"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p>
        </w:tc>
        <w:tc>
          <w:tcPr>
            <w:tcW w:w="878" w:type="dxa"/>
            <w:vMerge/>
            <w:vAlign w:val="center"/>
          </w:tcPr>
          <w:p w14:paraId="7AE1C83F" w14:textId="77777777" w:rsidR="003F793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p>
        </w:tc>
        <w:tc>
          <w:tcPr>
            <w:tcW w:w="2638" w:type="dxa"/>
            <w:vAlign w:val="center"/>
          </w:tcPr>
          <w:p w14:paraId="42CC11BF"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Implementar el componente tecnológico para el catastro multipropósito y su integración con el registro de la propiedad a través de una solución integral de comunicaciones gestionada por software que contemple equipos de redes LAN y WLAN; una solución integral de gestión de copias de respaldo y copias de recuperación; y el suministro, implementación, soporte y mantenimiento de equipos tecnológicos.</w:t>
            </w:r>
          </w:p>
        </w:tc>
        <w:tc>
          <w:tcPr>
            <w:tcW w:w="1412" w:type="dxa"/>
            <w:vMerge/>
            <w:vAlign w:val="center"/>
          </w:tcPr>
          <w:p w14:paraId="29D1A5C7" w14:textId="77777777" w:rsidR="003F793E" w:rsidRPr="00F9195E"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p>
        </w:tc>
        <w:tc>
          <w:tcPr>
            <w:tcW w:w="1401" w:type="dxa"/>
            <w:vMerge/>
            <w:vAlign w:val="center"/>
          </w:tcPr>
          <w:p w14:paraId="6AD19184"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p>
        </w:tc>
        <w:tc>
          <w:tcPr>
            <w:tcW w:w="824" w:type="dxa"/>
            <w:vMerge/>
            <w:shd w:val="clear" w:color="auto" w:fill="auto"/>
            <w:vAlign w:val="center"/>
          </w:tcPr>
          <w:p w14:paraId="04C86713"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p>
        </w:tc>
      </w:tr>
      <w:tr w:rsidR="003F793E" w:rsidRPr="00F9195E" w14:paraId="1B3A05A1" w14:textId="77777777" w:rsidTr="00C23D09">
        <w:trPr>
          <w:cnfStyle w:val="000000100000" w:firstRow="0" w:lastRow="0" w:firstColumn="0" w:lastColumn="0" w:oddVBand="0" w:evenVBand="0" w:oddHBand="1" w:evenHBand="0" w:firstRowFirstColumn="0" w:firstRowLastColumn="0" w:lastRowFirstColumn="0" w:lastRowLastColumn="0"/>
          <w:trHeight w:val="414"/>
        </w:trPr>
        <w:tc>
          <w:tcPr>
            <w:cnfStyle w:val="001000000000" w:firstRow="0" w:lastRow="0" w:firstColumn="1" w:lastColumn="0" w:oddVBand="0" w:evenVBand="0" w:oddHBand="0" w:evenHBand="0" w:firstRowFirstColumn="0" w:firstRowLastColumn="0" w:lastRowFirstColumn="0" w:lastRowLastColumn="0"/>
            <w:tcW w:w="1299" w:type="dxa"/>
            <w:vAlign w:val="center"/>
          </w:tcPr>
          <w:p w14:paraId="4ADC2DB5" w14:textId="77777777" w:rsidR="003F793E" w:rsidRPr="00F9195E" w:rsidRDefault="003F793E" w:rsidP="00C23D09">
            <w:pPr>
              <w:jc w:val="center"/>
              <w:textAlignment w:val="baseline"/>
              <w:rPr>
                <w:rFonts w:cs="Arial"/>
                <w:color w:val="000000"/>
                <w:sz w:val="14"/>
                <w:szCs w:val="20"/>
                <w:lang w:eastAsia="es-CO"/>
              </w:rPr>
            </w:pPr>
            <w:r w:rsidRPr="00F9195E">
              <w:rPr>
                <w:rFonts w:cs="Arial"/>
                <w:color w:val="000000"/>
                <w:sz w:val="14"/>
                <w:szCs w:val="20"/>
                <w:lang w:eastAsia="es-CO"/>
              </w:rPr>
              <w:t>Funcionamiento</w:t>
            </w:r>
          </w:p>
        </w:tc>
        <w:tc>
          <w:tcPr>
            <w:tcW w:w="1134" w:type="dxa"/>
            <w:vAlign w:val="center"/>
          </w:tcPr>
          <w:p w14:paraId="7BD24926"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w:t>
            </w:r>
          </w:p>
        </w:tc>
        <w:tc>
          <w:tcPr>
            <w:tcW w:w="878" w:type="dxa"/>
            <w:vAlign w:val="center"/>
          </w:tcPr>
          <w:p w14:paraId="4D4D332F" w14:textId="77777777" w:rsidR="003F793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Nación</w:t>
            </w:r>
          </w:p>
        </w:tc>
        <w:tc>
          <w:tcPr>
            <w:tcW w:w="2638" w:type="dxa"/>
            <w:vAlign w:val="center"/>
          </w:tcPr>
          <w:p w14:paraId="25B17FFF"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Vigencias Futuras 2021 Seguridad y Vigilancia - orden de compra 22046</w:t>
            </w:r>
          </w:p>
        </w:tc>
        <w:tc>
          <w:tcPr>
            <w:tcW w:w="1412" w:type="dxa"/>
            <w:vAlign w:val="center"/>
          </w:tcPr>
          <w:p w14:paraId="25881F06" w14:textId="77777777" w:rsidR="003F793E" w:rsidRPr="00F9195E"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$10.834,25</w:t>
            </w:r>
          </w:p>
        </w:tc>
        <w:tc>
          <w:tcPr>
            <w:tcW w:w="1401" w:type="dxa"/>
            <w:vAlign w:val="center"/>
          </w:tcPr>
          <w:p w14:paraId="721AE44C"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30 de junio 2022</w:t>
            </w:r>
          </w:p>
        </w:tc>
        <w:tc>
          <w:tcPr>
            <w:tcW w:w="824" w:type="dxa"/>
            <w:vAlign w:val="center"/>
          </w:tcPr>
          <w:p w14:paraId="0CB51D84"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Aprobada</w:t>
            </w:r>
          </w:p>
        </w:tc>
      </w:tr>
      <w:tr w:rsidR="003F793E" w:rsidRPr="00F9195E" w14:paraId="6350BA5E" w14:textId="77777777" w:rsidTr="00C23D09">
        <w:trPr>
          <w:trHeight w:val="414"/>
        </w:trPr>
        <w:tc>
          <w:tcPr>
            <w:cnfStyle w:val="001000000000" w:firstRow="0" w:lastRow="0" w:firstColumn="1" w:lastColumn="0" w:oddVBand="0" w:evenVBand="0" w:oddHBand="0" w:evenHBand="0" w:firstRowFirstColumn="0" w:firstRowLastColumn="0" w:lastRowFirstColumn="0" w:lastRowLastColumn="0"/>
            <w:tcW w:w="1299" w:type="dxa"/>
            <w:vMerge w:val="restart"/>
            <w:vAlign w:val="center"/>
            <w:hideMark/>
          </w:tcPr>
          <w:p w14:paraId="1BF6BF91" w14:textId="77777777" w:rsidR="003F793E" w:rsidRPr="00F9195E" w:rsidRDefault="003F793E" w:rsidP="00C23D09">
            <w:pPr>
              <w:jc w:val="center"/>
              <w:textAlignment w:val="baseline"/>
              <w:rPr>
                <w:sz w:val="14"/>
                <w:lang w:eastAsia="es-CO"/>
              </w:rPr>
            </w:pPr>
            <w:r w:rsidRPr="00F9195E">
              <w:rPr>
                <w:rFonts w:cs="Arial"/>
                <w:color w:val="000000"/>
                <w:sz w:val="14"/>
                <w:szCs w:val="20"/>
                <w:lang w:eastAsia="es-CO"/>
              </w:rPr>
              <w:t>Inversión</w:t>
            </w:r>
          </w:p>
        </w:tc>
        <w:tc>
          <w:tcPr>
            <w:tcW w:w="1134" w:type="dxa"/>
            <w:vMerge w:val="restart"/>
            <w:vAlign w:val="center"/>
            <w:hideMark/>
          </w:tcPr>
          <w:p w14:paraId="641FDB7D"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Actualización y gestión catastral</w:t>
            </w:r>
          </w:p>
        </w:tc>
        <w:tc>
          <w:tcPr>
            <w:tcW w:w="878" w:type="dxa"/>
            <w:vMerge w:val="restart"/>
            <w:vAlign w:val="center"/>
            <w:hideMark/>
          </w:tcPr>
          <w:p w14:paraId="353444FE"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Pr>
                <w:rFonts w:cs="Arial"/>
                <w:color w:val="000000"/>
                <w:sz w:val="14"/>
                <w:szCs w:val="20"/>
                <w:lang w:eastAsia="es-CO"/>
              </w:rPr>
              <w:t>Nación –</w:t>
            </w:r>
            <w:r w:rsidRPr="00F9195E">
              <w:rPr>
                <w:rFonts w:cs="Arial"/>
                <w:color w:val="000000"/>
                <w:sz w:val="14"/>
                <w:szCs w:val="20"/>
                <w:lang w:eastAsia="es-CO"/>
              </w:rPr>
              <w:t>Crédito</w:t>
            </w:r>
          </w:p>
        </w:tc>
        <w:tc>
          <w:tcPr>
            <w:tcW w:w="2638" w:type="dxa"/>
            <w:vAlign w:val="center"/>
            <w:hideMark/>
          </w:tcPr>
          <w:p w14:paraId="3147A468"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Generar los productos cartográficos en los municipios priorizados para la actualización de la información</w:t>
            </w:r>
          </w:p>
        </w:tc>
        <w:tc>
          <w:tcPr>
            <w:tcW w:w="1412" w:type="dxa"/>
            <w:vMerge w:val="restart"/>
            <w:vAlign w:val="center"/>
            <w:hideMark/>
          </w:tcPr>
          <w:p w14:paraId="247B0558" w14:textId="77777777" w:rsidR="003F793E" w:rsidRPr="00F9195E"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$8.551</w:t>
            </w:r>
          </w:p>
        </w:tc>
        <w:tc>
          <w:tcPr>
            <w:tcW w:w="1401" w:type="dxa"/>
            <w:vMerge w:val="restart"/>
            <w:vAlign w:val="center"/>
            <w:hideMark/>
          </w:tcPr>
          <w:p w14:paraId="1E88D976"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30 de mayo de 2022</w:t>
            </w:r>
          </w:p>
        </w:tc>
        <w:tc>
          <w:tcPr>
            <w:tcW w:w="824" w:type="dxa"/>
            <w:vMerge w:val="restart"/>
            <w:vAlign w:val="center"/>
            <w:hideMark/>
          </w:tcPr>
          <w:p w14:paraId="030B4B34"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Aprobada</w:t>
            </w:r>
          </w:p>
        </w:tc>
      </w:tr>
      <w:tr w:rsidR="003F793E" w:rsidRPr="00F9195E" w14:paraId="06A5B420" w14:textId="77777777" w:rsidTr="00C23D09">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1299" w:type="dxa"/>
            <w:vMerge/>
            <w:vAlign w:val="center"/>
            <w:hideMark/>
          </w:tcPr>
          <w:p w14:paraId="2B0A95FF" w14:textId="77777777" w:rsidR="003F793E" w:rsidRPr="00F9195E" w:rsidRDefault="003F793E" w:rsidP="00C23D09">
            <w:pPr>
              <w:jc w:val="center"/>
              <w:rPr>
                <w:sz w:val="14"/>
                <w:lang w:eastAsia="es-CO"/>
              </w:rPr>
            </w:pPr>
          </w:p>
        </w:tc>
        <w:tc>
          <w:tcPr>
            <w:tcW w:w="1134" w:type="dxa"/>
            <w:vMerge/>
            <w:vAlign w:val="center"/>
            <w:hideMark/>
          </w:tcPr>
          <w:p w14:paraId="50292D0E" w14:textId="77777777" w:rsidR="003F793E" w:rsidRPr="00F9195E" w:rsidRDefault="003F793E" w:rsidP="00C23D09">
            <w:pPr>
              <w:jc w:val="center"/>
              <w:cnfStyle w:val="000000100000" w:firstRow="0" w:lastRow="0" w:firstColumn="0" w:lastColumn="0" w:oddVBand="0" w:evenVBand="0" w:oddHBand="1" w:evenHBand="0" w:firstRowFirstColumn="0" w:firstRowLastColumn="0" w:lastRowFirstColumn="0" w:lastRowLastColumn="0"/>
              <w:rPr>
                <w:sz w:val="14"/>
                <w:lang w:eastAsia="es-CO"/>
              </w:rPr>
            </w:pPr>
          </w:p>
        </w:tc>
        <w:tc>
          <w:tcPr>
            <w:tcW w:w="0" w:type="auto"/>
            <w:vMerge/>
            <w:vAlign w:val="center"/>
            <w:hideMark/>
          </w:tcPr>
          <w:p w14:paraId="56B24E9F" w14:textId="77777777" w:rsidR="003F793E" w:rsidRPr="00F9195E" w:rsidRDefault="003F793E" w:rsidP="00C23D09">
            <w:pPr>
              <w:jc w:val="center"/>
              <w:cnfStyle w:val="000000100000" w:firstRow="0" w:lastRow="0" w:firstColumn="0" w:lastColumn="0" w:oddVBand="0" w:evenVBand="0" w:oddHBand="1" w:evenHBand="0" w:firstRowFirstColumn="0" w:firstRowLastColumn="0" w:lastRowFirstColumn="0" w:lastRowLastColumn="0"/>
              <w:rPr>
                <w:sz w:val="14"/>
                <w:lang w:eastAsia="es-CO"/>
              </w:rPr>
            </w:pPr>
          </w:p>
        </w:tc>
        <w:tc>
          <w:tcPr>
            <w:tcW w:w="2638" w:type="dxa"/>
            <w:vAlign w:val="center"/>
            <w:hideMark/>
          </w:tcPr>
          <w:p w14:paraId="117F101E"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Establecimiento y puesta en operación de estaciones de Referencia de Operación Continua CORS</w:t>
            </w:r>
          </w:p>
        </w:tc>
        <w:tc>
          <w:tcPr>
            <w:tcW w:w="1412" w:type="dxa"/>
            <w:vMerge/>
            <w:vAlign w:val="center"/>
            <w:hideMark/>
          </w:tcPr>
          <w:p w14:paraId="529A0705" w14:textId="77777777" w:rsidR="003F793E" w:rsidRPr="00F9195E" w:rsidRDefault="003F793E" w:rsidP="00C23D09">
            <w:pPr>
              <w:jc w:val="right"/>
              <w:cnfStyle w:val="000000100000" w:firstRow="0" w:lastRow="0" w:firstColumn="0" w:lastColumn="0" w:oddVBand="0" w:evenVBand="0" w:oddHBand="1" w:evenHBand="0" w:firstRowFirstColumn="0" w:firstRowLastColumn="0" w:lastRowFirstColumn="0" w:lastRowLastColumn="0"/>
              <w:rPr>
                <w:sz w:val="14"/>
                <w:lang w:eastAsia="es-CO"/>
              </w:rPr>
            </w:pPr>
          </w:p>
        </w:tc>
        <w:tc>
          <w:tcPr>
            <w:tcW w:w="1401" w:type="dxa"/>
            <w:vMerge/>
            <w:vAlign w:val="center"/>
            <w:hideMark/>
          </w:tcPr>
          <w:p w14:paraId="7A0C2687" w14:textId="77777777" w:rsidR="003F793E" w:rsidRPr="00F9195E" w:rsidRDefault="003F793E" w:rsidP="00C23D09">
            <w:pPr>
              <w:jc w:val="both"/>
              <w:cnfStyle w:val="000000100000" w:firstRow="0" w:lastRow="0" w:firstColumn="0" w:lastColumn="0" w:oddVBand="0" w:evenVBand="0" w:oddHBand="1" w:evenHBand="0" w:firstRowFirstColumn="0" w:firstRowLastColumn="0" w:lastRowFirstColumn="0" w:lastRowLastColumn="0"/>
              <w:rPr>
                <w:sz w:val="14"/>
                <w:lang w:eastAsia="es-CO"/>
              </w:rPr>
            </w:pPr>
          </w:p>
        </w:tc>
        <w:tc>
          <w:tcPr>
            <w:tcW w:w="824" w:type="dxa"/>
            <w:vMerge/>
            <w:vAlign w:val="center"/>
            <w:hideMark/>
          </w:tcPr>
          <w:p w14:paraId="3F2EEF78" w14:textId="77777777" w:rsidR="003F793E" w:rsidRPr="00F9195E" w:rsidRDefault="003F793E" w:rsidP="00C23D09">
            <w:pPr>
              <w:jc w:val="center"/>
              <w:cnfStyle w:val="000000100000" w:firstRow="0" w:lastRow="0" w:firstColumn="0" w:lastColumn="0" w:oddVBand="0" w:evenVBand="0" w:oddHBand="1" w:evenHBand="0" w:firstRowFirstColumn="0" w:firstRowLastColumn="0" w:lastRowFirstColumn="0" w:lastRowLastColumn="0"/>
              <w:rPr>
                <w:sz w:val="14"/>
                <w:lang w:eastAsia="es-CO"/>
              </w:rPr>
            </w:pPr>
          </w:p>
        </w:tc>
      </w:tr>
      <w:tr w:rsidR="003F793E" w:rsidRPr="00F9195E" w14:paraId="2C1FFCA9" w14:textId="77777777" w:rsidTr="00C23D09">
        <w:trPr>
          <w:trHeight w:val="838"/>
        </w:trPr>
        <w:tc>
          <w:tcPr>
            <w:cnfStyle w:val="001000000000" w:firstRow="0" w:lastRow="0" w:firstColumn="1" w:lastColumn="0" w:oddVBand="0" w:evenVBand="0" w:oddHBand="0" w:evenHBand="0" w:firstRowFirstColumn="0" w:firstRowLastColumn="0" w:lastRowFirstColumn="0" w:lastRowLastColumn="0"/>
            <w:tcW w:w="1299" w:type="dxa"/>
            <w:vMerge/>
            <w:vAlign w:val="center"/>
            <w:hideMark/>
          </w:tcPr>
          <w:p w14:paraId="1DFBE7D3" w14:textId="77777777" w:rsidR="003F793E" w:rsidRPr="00F9195E" w:rsidRDefault="003F793E" w:rsidP="00C23D09">
            <w:pPr>
              <w:jc w:val="center"/>
              <w:rPr>
                <w:sz w:val="14"/>
                <w:lang w:eastAsia="es-CO"/>
              </w:rPr>
            </w:pPr>
          </w:p>
        </w:tc>
        <w:tc>
          <w:tcPr>
            <w:tcW w:w="1134" w:type="dxa"/>
            <w:vMerge/>
            <w:vAlign w:val="center"/>
            <w:hideMark/>
          </w:tcPr>
          <w:p w14:paraId="63F945F8" w14:textId="77777777" w:rsidR="003F793E" w:rsidRPr="00F9195E" w:rsidRDefault="003F793E" w:rsidP="00C23D09">
            <w:pPr>
              <w:jc w:val="center"/>
              <w:cnfStyle w:val="000000000000" w:firstRow="0" w:lastRow="0" w:firstColumn="0" w:lastColumn="0" w:oddVBand="0" w:evenVBand="0" w:oddHBand="0" w:evenHBand="0" w:firstRowFirstColumn="0" w:firstRowLastColumn="0" w:lastRowFirstColumn="0" w:lastRowLastColumn="0"/>
              <w:rPr>
                <w:sz w:val="14"/>
                <w:lang w:eastAsia="es-CO"/>
              </w:rPr>
            </w:pPr>
          </w:p>
        </w:tc>
        <w:tc>
          <w:tcPr>
            <w:tcW w:w="0" w:type="auto"/>
            <w:vMerge/>
            <w:vAlign w:val="center"/>
            <w:hideMark/>
          </w:tcPr>
          <w:p w14:paraId="6CFE1D66" w14:textId="77777777" w:rsidR="003F793E" w:rsidRPr="00F9195E" w:rsidRDefault="003F793E" w:rsidP="00C23D09">
            <w:pPr>
              <w:jc w:val="center"/>
              <w:cnfStyle w:val="000000000000" w:firstRow="0" w:lastRow="0" w:firstColumn="0" w:lastColumn="0" w:oddVBand="0" w:evenVBand="0" w:oddHBand="0" w:evenHBand="0" w:firstRowFirstColumn="0" w:firstRowLastColumn="0" w:lastRowFirstColumn="0" w:lastRowLastColumn="0"/>
              <w:rPr>
                <w:sz w:val="14"/>
                <w:lang w:eastAsia="es-CO"/>
              </w:rPr>
            </w:pPr>
          </w:p>
        </w:tc>
        <w:tc>
          <w:tcPr>
            <w:tcW w:w="2638" w:type="dxa"/>
            <w:vAlign w:val="center"/>
            <w:hideMark/>
          </w:tcPr>
          <w:p w14:paraId="6BBAB7E1"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Diseño e implementación de un Centro de Control que permitirá la operación y monitoreo eficiente de la red geodésica nacional, así como integrar, gestionar y publicar información geodésica de calidad y en tiempo real</w:t>
            </w:r>
          </w:p>
        </w:tc>
        <w:tc>
          <w:tcPr>
            <w:tcW w:w="1412" w:type="dxa"/>
            <w:vMerge/>
            <w:vAlign w:val="center"/>
            <w:hideMark/>
          </w:tcPr>
          <w:p w14:paraId="752D2D3E" w14:textId="77777777" w:rsidR="003F793E" w:rsidRPr="00F9195E" w:rsidRDefault="003F793E" w:rsidP="00C23D09">
            <w:pPr>
              <w:jc w:val="right"/>
              <w:cnfStyle w:val="000000000000" w:firstRow="0" w:lastRow="0" w:firstColumn="0" w:lastColumn="0" w:oddVBand="0" w:evenVBand="0" w:oddHBand="0" w:evenHBand="0" w:firstRowFirstColumn="0" w:firstRowLastColumn="0" w:lastRowFirstColumn="0" w:lastRowLastColumn="0"/>
              <w:rPr>
                <w:sz w:val="14"/>
                <w:lang w:eastAsia="es-CO"/>
              </w:rPr>
            </w:pPr>
          </w:p>
        </w:tc>
        <w:tc>
          <w:tcPr>
            <w:tcW w:w="1401" w:type="dxa"/>
            <w:vMerge/>
            <w:vAlign w:val="center"/>
            <w:hideMark/>
          </w:tcPr>
          <w:p w14:paraId="612DA320" w14:textId="77777777" w:rsidR="003F793E" w:rsidRPr="00F9195E" w:rsidRDefault="003F793E" w:rsidP="00C23D09">
            <w:pPr>
              <w:jc w:val="both"/>
              <w:cnfStyle w:val="000000000000" w:firstRow="0" w:lastRow="0" w:firstColumn="0" w:lastColumn="0" w:oddVBand="0" w:evenVBand="0" w:oddHBand="0" w:evenHBand="0" w:firstRowFirstColumn="0" w:firstRowLastColumn="0" w:lastRowFirstColumn="0" w:lastRowLastColumn="0"/>
              <w:rPr>
                <w:sz w:val="14"/>
                <w:lang w:eastAsia="es-CO"/>
              </w:rPr>
            </w:pPr>
          </w:p>
        </w:tc>
        <w:tc>
          <w:tcPr>
            <w:tcW w:w="824" w:type="dxa"/>
            <w:vMerge/>
            <w:vAlign w:val="center"/>
            <w:hideMark/>
          </w:tcPr>
          <w:p w14:paraId="2ED7E95A" w14:textId="77777777" w:rsidR="003F793E" w:rsidRPr="00F9195E" w:rsidRDefault="003F793E" w:rsidP="00C23D09">
            <w:pPr>
              <w:jc w:val="center"/>
              <w:cnfStyle w:val="000000000000" w:firstRow="0" w:lastRow="0" w:firstColumn="0" w:lastColumn="0" w:oddVBand="0" w:evenVBand="0" w:oddHBand="0" w:evenHBand="0" w:firstRowFirstColumn="0" w:firstRowLastColumn="0" w:lastRowFirstColumn="0" w:lastRowLastColumn="0"/>
              <w:rPr>
                <w:sz w:val="14"/>
                <w:lang w:eastAsia="es-CO"/>
              </w:rPr>
            </w:pPr>
          </w:p>
        </w:tc>
      </w:tr>
      <w:tr w:rsidR="003F793E" w:rsidRPr="00F9195E" w14:paraId="0FBC6E72" w14:textId="77777777" w:rsidTr="00C23D09">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299" w:type="dxa"/>
            <w:vAlign w:val="center"/>
            <w:hideMark/>
          </w:tcPr>
          <w:p w14:paraId="622CA680" w14:textId="77777777" w:rsidR="003F793E" w:rsidRPr="00F9195E" w:rsidRDefault="003F793E" w:rsidP="00C23D09">
            <w:pPr>
              <w:jc w:val="center"/>
              <w:textAlignment w:val="baseline"/>
              <w:rPr>
                <w:sz w:val="14"/>
                <w:lang w:eastAsia="es-CO"/>
              </w:rPr>
            </w:pPr>
            <w:r w:rsidRPr="00F9195E">
              <w:rPr>
                <w:rFonts w:cs="Arial"/>
                <w:color w:val="000000"/>
                <w:sz w:val="14"/>
                <w:szCs w:val="20"/>
                <w:lang w:eastAsia="es-CO"/>
              </w:rPr>
              <w:t>Inversión</w:t>
            </w:r>
          </w:p>
        </w:tc>
        <w:tc>
          <w:tcPr>
            <w:tcW w:w="1134" w:type="dxa"/>
            <w:vAlign w:val="center"/>
            <w:hideMark/>
          </w:tcPr>
          <w:p w14:paraId="65FC64CC"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Actualización y gestión catastral</w:t>
            </w:r>
          </w:p>
        </w:tc>
        <w:tc>
          <w:tcPr>
            <w:tcW w:w="878" w:type="dxa"/>
            <w:vAlign w:val="center"/>
            <w:hideMark/>
          </w:tcPr>
          <w:p w14:paraId="1EB3E052"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Nación-Crédito</w:t>
            </w:r>
          </w:p>
        </w:tc>
        <w:tc>
          <w:tcPr>
            <w:tcW w:w="2638" w:type="dxa"/>
            <w:vAlign w:val="center"/>
            <w:hideMark/>
          </w:tcPr>
          <w:p w14:paraId="75B16714"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Contratar el componente tecnológico para el catastro multipropósito y su integración con el registro de la propiedad a través de la adquisición y operación de una solución para el sistema de información nacional catastral y una solución para el repositorio de datos maestro – RMD, bajo el modelo de la fábrica de software.</w:t>
            </w:r>
          </w:p>
        </w:tc>
        <w:tc>
          <w:tcPr>
            <w:tcW w:w="1412" w:type="dxa"/>
            <w:vAlign w:val="center"/>
            <w:hideMark/>
          </w:tcPr>
          <w:p w14:paraId="31CC5A6F" w14:textId="77777777" w:rsidR="003F793E" w:rsidRPr="00F9195E"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$5.513</w:t>
            </w:r>
          </w:p>
        </w:tc>
        <w:tc>
          <w:tcPr>
            <w:tcW w:w="1401" w:type="dxa"/>
            <w:vAlign w:val="center"/>
            <w:hideMark/>
          </w:tcPr>
          <w:p w14:paraId="07B62B05"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30 de diciembre de 2022</w:t>
            </w:r>
          </w:p>
        </w:tc>
        <w:tc>
          <w:tcPr>
            <w:tcW w:w="824" w:type="dxa"/>
            <w:vAlign w:val="center"/>
            <w:hideMark/>
          </w:tcPr>
          <w:p w14:paraId="729D185C"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Aprobada</w:t>
            </w:r>
          </w:p>
        </w:tc>
      </w:tr>
      <w:tr w:rsidR="003F793E" w:rsidRPr="00F9195E" w14:paraId="46620219" w14:textId="77777777" w:rsidTr="00C23D09">
        <w:trPr>
          <w:trHeight w:val="490"/>
        </w:trPr>
        <w:tc>
          <w:tcPr>
            <w:cnfStyle w:val="001000000000" w:firstRow="0" w:lastRow="0" w:firstColumn="1" w:lastColumn="0" w:oddVBand="0" w:evenVBand="0" w:oddHBand="0" w:evenHBand="0" w:firstRowFirstColumn="0" w:firstRowLastColumn="0" w:lastRowFirstColumn="0" w:lastRowLastColumn="0"/>
            <w:tcW w:w="1299" w:type="dxa"/>
            <w:vAlign w:val="center"/>
          </w:tcPr>
          <w:p w14:paraId="4AE5C9FB" w14:textId="77777777" w:rsidR="003F793E" w:rsidRPr="00F9195E" w:rsidRDefault="003F793E" w:rsidP="00C23D09">
            <w:pPr>
              <w:jc w:val="center"/>
              <w:textAlignment w:val="baseline"/>
              <w:rPr>
                <w:rFonts w:cs="Arial"/>
                <w:color w:val="000000"/>
                <w:sz w:val="14"/>
                <w:szCs w:val="20"/>
                <w:lang w:eastAsia="es-CO"/>
              </w:rPr>
            </w:pPr>
            <w:r w:rsidRPr="00F9195E">
              <w:rPr>
                <w:rFonts w:cs="Arial"/>
                <w:color w:val="000000"/>
                <w:sz w:val="14"/>
                <w:szCs w:val="20"/>
                <w:lang w:eastAsia="es-CO"/>
              </w:rPr>
              <w:t>Funcionamiento</w:t>
            </w:r>
          </w:p>
        </w:tc>
        <w:tc>
          <w:tcPr>
            <w:tcW w:w="1134" w:type="dxa"/>
            <w:vAlign w:val="center"/>
          </w:tcPr>
          <w:p w14:paraId="6C826F5B"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w:t>
            </w:r>
          </w:p>
        </w:tc>
        <w:tc>
          <w:tcPr>
            <w:tcW w:w="878" w:type="dxa"/>
            <w:vAlign w:val="center"/>
          </w:tcPr>
          <w:p w14:paraId="62F6F9B5"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Nación</w:t>
            </w:r>
          </w:p>
        </w:tc>
        <w:tc>
          <w:tcPr>
            <w:tcW w:w="2638" w:type="dxa"/>
            <w:vAlign w:val="center"/>
          </w:tcPr>
          <w:p w14:paraId="37D67423"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 xml:space="preserve">Vigencias Futuras 2021 Aseo y Cafetería </w:t>
            </w:r>
          </w:p>
        </w:tc>
        <w:tc>
          <w:tcPr>
            <w:tcW w:w="1412" w:type="dxa"/>
            <w:vAlign w:val="center"/>
          </w:tcPr>
          <w:p w14:paraId="39324552" w14:textId="77777777" w:rsidR="003F793E" w:rsidRPr="00F9195E"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$2.924,38</w:t>
            </w:r>
          </w:p>
        </w:tc>
        <w:tc>
          <w:tcPr>
            <w:tcW w:w="1401" w:type="dxa"/>
            <w:vAlign w:val="center"/>
          </w:tcPr>
          <w:p w14:paraId="589A3620"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Pr>
                <w:rFonts w:cs="Arial"/>
                <w:color w:val="000000"/>
                <w:sz w:val="14"/>
                <w:szCs w:val="20"/>
                <w:lang w:eastAsia="es-CO"/>
              </w:rPr>
              <w:t>La orden de sede central venc</w:t>
            </w:r>
            <w:r w:rsidRPr="00F9195E">
              <w:rPr>
                <w:rFonts w:cs="Arial"/>
                <w:color w:val="000000"/>
                <w:sz w:val="14"/>
                <w:szCs w:val="20"/>
                <w:lang w:eastAsia="es-CO"/>
              </w:rPr>
              <w:t>e en abril del 2022 y las</w:t>
            </w:r>
            <w:r>
              <w:rPr>
                <w:rFonts w:cs="Arial"/>
                <w:color w:val="000000"/>
                <w:sz w:val="14"/>
                <w:szCs w:val="20"/>
                <w:lang w:eastAsia="es-CO"/>
              </w:rPr>
              <w:t xml:space="preserve"> </w:t>
            </w:r>
            <w:r w:rsidRPr="00F9195E">
              <w:rPr>
                <w:rFonts w:cs="Arial"/>
                <w:color w:val="000000"/>
                <w:sz w:val="14"/>
                <w:szCs w:val="20"/>
                <w:lang w:eastAsia="es-CO"/>
              </w:rPr>
              <w:t>demás</w:t>
            </w:r>
            <w:r>
              <w:rPr>
                <w:rFonts w:cs="Arial"/>
                <w:color w:val="000000"/>
                <w:sz w:val="14"/>
                <w:szCs w:val="20"/>
                <w:lang w:eastAsia="es-CO"/>
              </w:rPr>
              <w:t xml:space="preserve"> </w:t>
            </w:r>
            <w:r w:rsidRPr="00F9195E">
              <w:rPr>
                <w:rFonts w:cs="Arial"/>
                <w:color w:val="000000"/>
                <w:sz w:val="14"/>
                <w:szCs w:val="20"/>
                <w:lang w:eastAsia="es-CO"/>
              </w:rPr>
              <w:t>en junio del 2022</w:t>
            </w:r>
          </w:p>
        </w:tc>
        <w:tc>
          <w:tcPr>
            <w:tcW w:w="824" w:type="dxa"/>
            <w:vAlign w:val="center"/>
          </w:tcPr>
          <w:p w14:paraId="2F1B5393"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Aprobada</w:t>
            </w:r>
          </w:p>
        </w:tc>
      </w:tr>
      <w:tr w:rsidR="003F793E" w:rsidRPr="00F9195E" w14:paraId="6EF6D651" w14:textId="77777777" w:rsidTr="00C23D09">
        <w:trPr>
          <w:cnfStyle w:val="000000100000" w:firstRow="0" w:lastRow="0" w:firstColumn="0" w:lastColumn="0" w:oddVBand="0" w:evenVBand="0" w:oddHBand="1" w:evenHBand="0" w:firstRowFirstColumn="0" w:firstRowLastColumn="0" w:lastRowFirstColumn="0" w:lastRowLastColumn="0"/>
          <w:trHeight w:val="389"/>
        </w:trPr>
        <w:tc>
          <w:tcPr>
            <w:cnfStyle w:val="001000000000" w:firstRow="0" w:lastRow="0" w:firstColumn="1" w:lastColumn="0" w:oddVBand="0" w:evenVBand="0" w:oddHBand="0" w:evenHBand="0" w:firstRowFirstColumn="0" w:firstRowLastColumn="0" w:lastRowFirstColumn="0" w:lastRowLastColumn="0"/>
            <w:tcW w:w="1299" w:type="dxa"/>
            <w:vAlign w:val="center"/>
          </w:tcPr>
          <w:p w14:paraId="38F74ECD" w14:textId="77777777" w:rsidR="003F793E" w:rsidRPr="00F9195E" w:rsidRDefault="003F793E" w:rsidP="00C23D09">
            <w:pPr>
              <w:jc w:val="center"/>
              <w:textAlignment w:val="baseline"/>
              <w:rPr>
                <w:sz w:val="14"/>
                <w:lang w:eastAsia="es-CO"/>
              </w:rPr>
            </w:pPr>
            <w:r w:rsidRPr="00F9195E">
              <w:rPr>
                <w:rFonts w:cs="Arial"/>
                <w:color w:val="000000"/>
                <w:sz w:val="14"/>
                <w:szCs w:val="20"/>
                <w:lang w:eastAsia="es-CO"/>
              </w:rPr>
              <w:t>Funcionamiento</w:t>
            </w:r>
          </w:p>
        </w:tc>
        <w:tc>
          <w:tcPr>
            <w:tcW w:w="1134" w:type="dxa"/>
            <w:vAlign w:val="center"/>
          </w:tcPr>
          <w:p w14:paraId="0296E086"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N/A</w:t>
            </w:r>
          </w:p>
        </w:tc>
        <w:tc>
          <w:tcPr>
            <w:tcW w:w="878" w:type="dxa"/>
            <w:vAlign w:val="center"/>
          </w:tcPr>
          <w:p w14:paraId="7130242E"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Nación</w:t>
            </w:r>
          </w:p>
        </w:tc>
        <w:tc>
          <w:tcPr>
            <w:tcW w:w="2638" w:type="dxa"/>
            <w:vAlign w:val="center"/>
          </w:tcPr>
          <w:p w14:paraId="5EE8FF0F"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Vigencias Futuras 2021 Contrato de Seguros - orden de compra 23226</w:t>
            </w:r>
          </w:p>
        </w:tc>
        <w:tc>
          <w:tcPr>
            <w:tcW w:w="1412" w:type="dxa"/>
            <w:vAlign w:val="center"/>
          </w:tcPr>
          <w:p w14:paraId="2B8DC714" w14:textId="77777777" w:rsidR="003F793E" w:rsidRPr="00F9195E"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$2.247,32</w:t>
            </w:r>
          </w:p>
        </w:tc>
        <w:tc>
          <w:tcPr>
            <w:tcW w:w="1401" w:type="dxa"/>
            <w:vAlign w:val="center"/>
          </w:tcPr>
          <w:p w14:paraId="791B21EE"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Pr>
                <w:rFonts w:cs="Arial"/>
                <w:color w:val="000000"/>
                <w:sz w:val="14"/>
                <w:szCs w:val="20"/>
                <w:lang w:eastAsia="es-CO"/>
              </w:rPr>
              <w:t xml:space="preserve">31 de julio de </w:t>
            </w:r>
            <w:r w:rsidRPr="00F9195E">
              <w:rPr>
                <w:rFonts w:cs="Arial"/>
                <w:color w:val="000000"/>
                <w:sz w:val="14"/>
                <w:szCs w:val="20"/>
                <w:lang w:eastAsia="es-CO"/>
              </w:rPr>
              <w:t>2022</w:t>
            </w:r>
          </w:p>
        </w:tc>
        <w:tc>
          <w:tcPr>
            <w:tcW w:w="824" w:type="dxa"/>
            <w:vAlign w:val="center"/>
          </w:tcPr>
          <w:p w14:paraId="20F1953C"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Aprobada</w:t>
            </w:r>
          </w:p>
        </w:tc>
      </w:tr>
      <w:tr w:rsidR="003F793E" w:rsidRPr="00F9195E" w14:paraId="309E8B88" w14:textId="77777777" w:rsidTr="00C23D09">
        <w:trPr>
          <w:trHeight w:val="145"/>
        </w:trPr>
        <w:tc>
          <w:tcPr>
            <w:cnfStyle w:val="001000000000" w:firstRow="0" w:lastRow="0" w:firstColumn="1" w:lastColumn="0" w:oddVBand="0" w:evenVBand="0" w:oddHBand="0" w:evenHBand="0" w:firstRowFirstColumn="0" w:firstRowLastColumn="0" w:lastRowFirstColumn="0" w:lastRowLastColumn="0"/>
            <w:tcW w:w="1299" w:type="dxa"/>
            <w:vAlign w:val="center"/>
            <w:hideMark/>
          </w:tcPr>
          <w:p w14:paraId="0E88D21F" w14:textId="77777777" w:rsidR="003F793E" w:rsidRPr="00F9195E" w:rsidRDefault="003F793E" w:rsidP="00C23D09">
            <w:pPr>
              <w:jc w:val="center"/>
              <w:textAlignment w:val="baseline"/>
              <w:rPr>
                <w:sz w:val="14"/>
                <w:lang w:eastAsia="es-CO"/>
              </w:rPr>
            </w:pPr>
            <w:r w:rsidRPr="00F9195E">
              <w:rPr>
                <w:rFonts w:cs="Arial"/>
                <w:color w:val="000000"/>
                <w:sz w:val="14"/>
                <w:szCs w:val="20"/>
                <w:lang w:eastAsia="es-CO"/>
              </w:rPr>
              <w:t>Funcionamiento</w:t>
            </w:r>
          </w:p>
        </w:tc>
        <w:tc>
          <w:tcPr>
            <w:tcW w:w="1134" w:type="dxa"/>
            <w:vAlign w:val="center"/>
            <w:hideMark/>
          </w:tcPr>
          <w:p w14:paraId="31F1A9EF"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N/A</w:t>
            </w:r>
          </w:p>
        </w:tc>
        <w:tc>
          <w:tcPr>
            <w:tcW w:w="878" w:type="dxa"/>
            <w:vAlign w:val="center"/>
            <w:hideMark/>
          </w:tcPr>
          <w:p w14:paraId="1F10F1EB"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Nación</w:t>
            </w:r>
          </w:p>
        </w:tc>
        <w:tc>
          <w:tcPr>
            <w:tcW w:w="2638" w:type="dxa"/>
            <w:vAlign w:val="center"/>
            <w:hideMark/>
          </w:tcPr>
          <w:p w14:paraId="681D91C5"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Vigencias Futuras 2021 Seguro de vehículos - orden de compra 34593</w:t>
            </w:r>
          </w:p>
        </w:tc>
        <w:tc>
          <w:tcPr>
            <w:tcW w:w="1412" w:type="dxa"/>
            <w:vAlign w:val="center"/>
            <w:hideMark/>
          </w:tcPr>
          <w:p w14:paraId="516E24C2" w14:textId="77777777" w:rsidR="003F793E" w:rsidRPr="00F9195E"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Pr>
                <w:rFonts w:cs="Arial"/>
                <w:color w:val="000000"/>
                <w:sz w:val="14"/>
                <w:szCs w:val="20"/>
                <w:lang w:eastAsia="es-CO"/>
              </w:rPr>
              <w:t>$ 437,5</w:t>
            </w:r>
          </w:p>
        </w:tc>
        <w:tc>
          <w:tcPr>
            <w:tcW w:w="1401" w:type="dxa"/>
            <w:vAlign w:val="center"/>
            <w:hideMark/>
          </w:tcPr>
          <w:p w14:paraId="0984F96D"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30 de junio 2022</w:t>
            </w:r>
          </w:p>
        </w:tc>
        <w:tc>
          <w:tcPr>
            <w:tcW w:w="824" w:type="dxa"/>
            <w:vAlign w:val="center"/>
            <w:hideMark/>
          </w:tcPr>
          <w:p w14:paraId="4D6180FF"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sz w:val="14"/>
                <w:lang w:eastAsia="es-CO"/>
              </w:rPr>
            </w:pPr>
            <w:r w:rsidRPr="00F9195E">
              <w:rPr>
                <w:rFonts w:cs="Arial"/>
                <w:color w:val="000000"/>
                <w:sz w:val="14"/>
                <w:szCs w:val="20"/>
                <w:lang w:eastAsia="es-CO"/>
              </w:rPr>
              <w:t>Aprobada</w:t>
            </w:r>
          </w:p>
        </w:tc>
      </w:tr>
      <w:tr w:rsidR="003F793E" w:rsidRPr="00F9195E" w14:paraId="04215280" w14:textId="77777777" w:rsidTr="00C23D0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1299" w:type="dxa"/>
            <w:vAlign w:val="center"/>
            <w:hideMark/>
          </w:tcPr>
          <w:p w14:paraId="4D5BB287" w14:textId="77777777" w:rsidR="003F793E" w:rsidRPr="00F9195E" w:rsidRDefault="003F793E" w:rsidP="00C23D09">
            <w:pPr>
              <w:jc w:val="center"/>
              <w:textAlignment w:val="baseline"/>
              <w:rPr>
                <w:sz w:val="14"/>
                <w:lang w:eastAsia="es-CO"/>
              </w:rPr>
            </w:pPr>
            <w:r w:rsidRPr="00F9195E">
              <w:rPr>
                <w:rFonts w:cs="Arial"/>
                <w:color w:val="000000"/>
                <w:sz w:val="14"/>
                <w:szCs w:val="20"/>
                <w:lang w:eastAsia="es-CO"/>
              </w:rPr>
              <w:t>Funcionamiento</w:t>
            </w:r>
          </w:p>
        </w:tc>
        <w:tc>
          <w:tcPr>
            <w:tcW w:w="1134" w:type="dxa"/>
            <w:vAlign w:val="center"/>
            <w:hideMark/>
          </w:tcPr>
          <w:p w14:paraId="51DCC1E1"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N/A</w:t>
            </w:r>
          </w:p>
        </w:tc>
        <w:tc>
          <w:tcPr>
            <w:tcW w:w="878" w:type="dxa"/>
            <w:vAlign w:val="center"/>
            <w:hideMark/>
          </w:tcPr>
          <w:p w14:paraId="1D06B09A"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Nación</w:t>
            </w:r>
          </w:p>
        </w:tc>
        <w:tc>
          <w:tcPr>
            <w:tcW w:w="2638" w:type="dxa"/>
            <w:vAlign w:val="center"/>
            <w:hideMark/>
          </w:tcPr>
          <w:p w14:paraId="24B1D1F3"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Vigencias Futuras 2021 orden de compra 23225</w:t>
            </w:r>
          </w:p>
        </w:tc>
        <w:tc>
          <w:tcPr>
            <w:tcW w:w="1412" w:type="dxa"/>
            <w:vAlign w:val="center"/>
            <w:hideMark/>
          </w:tcPr>
          <w:p w14:paraId="54D00E20" w14:textId="77777777" w:rsidR="003F793E" w:rsidRPr="00F9195E" w:rsidRDefault="003F793E" w:rsidP="00C23D09">
            <w:pPr>
              <w:jc w:val="right"/>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$141,23</w:t>
            </w:r>
          </w:p>
        </w:tc>
        <w:tc>
          <w:tcPr>
            <w:tcW w:w="1401" w:type="dxa"/>
            <w:vAlign w:val="center"/>
            <w:hideMark/>
          </w:tcPr>
          <w:p w14:paraId="4CBAB9F7" w14:textId="77777777" w:rsidR="003F793E" w:rsidRPr="00F9195E" w:rsidRDefault="003F793E" w:rsidP="00C23D09">
            <w:pPr>
              <w:jc w:val="both"/>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Pr>
                <w:rFonts w:cs="Arial"/>
                <w:color w:val="000000"/>
                <w:sz w:val="14"/>
                <w:szCs w:val="20"/>
                <w:lang w:eastAsia="es-CO"/>
              </w:rPr>
              <w:t>Diciembre de 2021.</w:t>
            </w:r>
          </w:p>
        </w:tc>
        <w:tc>
          <w:tcPr>
            <w:tcW w:w="824" w:type="dxa"/>
            <w:vAlign w:val="center"/>
            <w:hideMark/>
          </w:tcPr>
          <w:p w14:paraId="327D187D" w14:textId="77777777" w:rsidR="003F793E" w:rsidRPr="00F9195E" w:rsidRDefault="003F793E" w:rsidP="00C23D09">
            <w:pPr>
              <w:jc w:val="center"/>
              <w:textAlignment w:val="baseline"/>
              <w:cnfStyle w:val="000000100000" w:firstRow="0" w:lastRow="0" w:firstColumn="0" w:lastColumn="0" w:oddVBand="0" w:evenVBand="0" w:oddHBand="1" w:evenHBand="0" w:firstRowFirstColumn="0" w:firstRowLastColumn="0" w:lastRowFirstColumn="0" w:lastRowLastColumn="0"/>
              <w:rPr>
                <w:sz w:val="14"/>
                <w:lang w:eastAsia="es-CO"/>
              </w:rPr>
            </w:pPr>
            <w:r w:rsidRPr="00F9195E">
              <w:rPr>
                <w:rFonts w:cs="Arial"/>
                <w:color w:val="000000"/>
                <w:sz w:val="14"/>
                <w:szCs w:val="20"/>
                <w:lang w:eastAsia="es-CO"/>
              </w:rPr>
              <w:t>Aprobada</w:t>
            </w:r>
          </w:p>
        </w:tc>
      </w:tr>
      <w:tr w:rsidR="003F793E" w:rsidRPr="00F9195E" w14:paraId="11889600" w14:textId="77777777" w:rsidTr="00C23D09">
        <w:trPr>
          <w:trHeight w:val="54"/>
        </w:trPr>
        <w:tc>
          <w:tcPr>
            <w:cnfStyle w:val="001000000000" w:firstRow="0" w:lastRow="0" w:firstColumn="1" w:lastColumn="0" w:oddVBand="0" w:evenVBand="0" w:oddHBand="0" w:evenHBand="0" w:firstRowFirstColumn="0" w:firstRowLastColumn="0" w:lastRowFirstColumn="0" w:lastRowLastColumn="0"/>
            <w:tcW w:w="1299" w:type="dxa"/>
            <w:vAlign w:val="center"/>
          </w:tcPr>
          <w:p w14:paraId="0D6698DF" w14:textId="77777777" w:rsidR="003F793E" w:rsidRPr="00F9195E" w:rsidRDefault="003F793E" w:rsidP="00C23D09">
            <w:pPr>
              <w:jc w:val="center"/>
              <w:textAlignment w:val="baseline"/>
              <w:rPr>
                <w:rFonts w:cs="Arial"/>
                <w:color w:val="000000"/>
                <w:sz w:val="14"/>
                <w:szCs w:val="20"/>
                <w:lang w:eastAsia="es-CO"/>
              </w:rPr>
            </w:pPr>
            <w:r w:rsidRPr="00F9195E">
              <w:rPr>
                <w:rFonts w:cs="Arial"/>
                <w:color w:val="000000"/>
                <w:sz w:val="14"/>
                <w:szCs w:val="20"/>
                <w:lang w:eastAsia="es-CO"/>
              </w:rPr>
              <w:t>Funcionamiento</w:t>
            </w:r>
          </w:p>
        </w:tc>
        <w:tc>
          <w:tcPr>
            <w:tcW w:w="1134" w:type="dxa"/>
            <w:vAlign w:val="center"/>
          </w:tcPr>
          <w:p w14:paraId="34036879"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w:t>
            </w:r>
          </w:p>
        </w:tc>
        <w:tc>
          <w:tcPr>
            <w:tcW w:w="878" w:type="dxa"/>
            <w:vAlign w:val="center"/>
          </w:tcPr>
          <w:p w14:paraId="01CBAC0C"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Nación- propios</w:t>
            </w:r>
          </w:p>
        </w:tc>
        <w:tc>
          <w:tcPr>
            <w:tcW w:w="2638" w:type="dxa"/>
            <w:vAlign w:val="center"/>
          </w:tcPr>
          <w:p w14:paraId="7D9403C6"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Garantizar la continuidad en la prestación del servicio de distribución y entrega de la correspondencia postal y especializada a nivel nacional e internacional</w:t>
            </w:r>
          </w:p>
        </w:tc>
        <w:tc>
          <w:tcPr>
            <w:tcW w:w="1412" w:type="dxa"/>
            <w:vAlign w:val="center"/>
          </w:tcPr>
          <w:p w14:paraId="3261C4B6" w14:textId="77777777" w:rsidR="003F793E" w:rsidRPr="00F9195E" w:rsidRDefault="003F793E" w:rsidP="00C23D09">
            <w:pPr>
              <w:jc w:val="right"/>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w:t>
            </w:r>
            <w:r>
              <w:rPr>
                <w:rFonts w:cs="Arial"/>
                <w:color w:val="000000"/>
                <w:sz w:val="14"/>
                <w:szCs w:val="20"/>
                <w:lang w:eastAsia="es-CO"/>
              </w:rPr>
              <w:t>1</w:t>
            </w:r>
            <w:r w:rsidRPr="00F9195E">
              <w:rPr>
                <w:rFonts w:cs="Arial"/>
                <w:color w:val="000000"/>
                <w:sz w:val="14"/>
                <w:szCs w:val="20"/>
                <w:lang w:eastAsia="es-CO"/>
              </w:rPr>
              <w:t>93,85</w:t>
            </w:r>
          </w:p>
        </w:tc>
        <w:tc>
          <w:tcPr>
            <w:tcW w:w="1401" w:type="dxa"/>
            <w:vAlign w:val="center"/>
          </w:tcPr>
          <w:p w14:paraId="6BC43562" w14:textId="77777777" w:rsidR="003F793E" w:rsidRPr="00F9195E" w:rsidRDefault="003F793E" w:rsidP="00C23D09">
            <w:pPr>
              <w:jc w:val="both"/>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sidRPr="00F9195E">
              <w:rPr>
                <w:rFonts w:cs="Arial"/>
                <w:color w:val="000000"/>
                <w:sz w:val="14"/>
                <w:szCs w:val="20"/>
                <w:lang w:eastAsia="es-CO"/>
              </w:rPr>
              <w:t>30 de julio de 2022</w:t>
            </w:r>
          </w:p>
        </w:tc>
        <w:tc>
          <w:tcPr>
            <w:tcW w:w="824" w:type="dxa"/>
            <w:vAlign w:val="center"/>
          </w:tcPr>
          <w:p w14:paraId="6140E470" w14:textId="77777777" w:rsidR="003F793E" w:rsidRPr="00F9195E" w:rsidRDefault="003F793E" w:rsidP="00C23D09">
            <w:pPr>
              <w:jc w:val="center"/>
              <w:textAlignment w:val="baseline"/>
              <w:cnfStyle w:val="000000000000" w:firstRow="0" w:lastRow="0" w:firstColumn="0" w:lastColumn="0" w:oddVBand="0" w:evenVBand="0" w:oddHBand="0" w:evenHBand="0" w:firstRowFirstColumn="0" w:firstRowLastColumn="0" w:lastRowFirstColumn="0" w:lastRowLastColumn="0"/>
              <w:rPr>
                <w:rFonts w:cs="Arial"/>
                <w:color w:val="000000"/>
                <w:sz w:val="14"/>
                <w:szCs w:val="20"/>
                <w:lang w:eastAsia="es-CO"/>
              </w:rPr>
            </w:pPr>
            <w:r>
              <w:rPr>
                <w:rFonts w:cs="Arial"/>
                <w:color w:val="000000"/>
                <w:sz w:val="14"/>
                <w:szCs w:val="20"/>
                <w:lang w:eastAsia="es-CO"/>
              </w:rPr>
              <w:t>En trámite</w:t>
            </w:r>
          </w:p>
        </w:tc>
      </w:tr>
    </w:tbl>
    <w:p w14:paraId="4586820A" w14:textId="0145EFA7" w:rsidR="00DD48DD" w:rsidRPr="00912343" w:rsidRDefault="003F793E" w:rsidP="00912343">
      <w:pPr>
        <w:jc w:val="center"/>
        <w:textAlignment w:val="baseline"/>
        <w:rPr>
          <w:rFonts w:ascii="Segoe UI" w:hAnsi="Segoe UI" w:cs="Segoe UI"/>
          <w:b/>
          <w:sz w:val="16"/>
          <w:szCs w:val="16"/>
          <w:lang w:eastAsia="es-CO"/>
        </w:rPr>
        <w:sectPr w:rsidR="00DD48DD" w:rsidRPr="00912343" w:rsidSect="00067275">
          <w:headerReference w:type="default" r:id="rId230"/>
          <w:footerReference w:type="default" r:id="rId231"/>
          <w:footnotePr>
            <w:pos w:val="beneathText"/>
          </w:footnotePr>
          <w:pgSz w:w="12240" w:h="15840"/>
          <w:pgMar w:top="1440" w:right="1440" w:bottom="1440" w:left="1440" w:header="0" w:footer="335" w:gutter="0"/>
          <w:cols w:space="720"/>
          <w:docGrid w:linePitch="360"/>
        </w:sectPr>
      </w:pPr>
      <w:r w:rsidRPr="00912343">
        <w:rPr>
          <w:rFonts w:cs="Arial"/>
          <w:b/>
          <w:bCs/>
          <w:sz w:val="16"/>
          <w:szCs w:val="16"/>
          <w:lang w:eastAsia="es-CO"/>
        </w:rPr>
        <w:t>Fuente</w:t>
      </w:r>
      <w:r w:rsidRPr="00912343">
        <w:rPr>
          <w:rFonts w:cs="Arial"/>
          <w:b/>
          <w:sz w:val="16"/>
          <w:szCs w:val="16"/>
          <w:lang w:eastAsia="es-CO"/>
        </w:rPr>
        <w:t>: Oficina Asesora de Planeación </w:t>
      </w:r>
    </w:p>
    <w:p w14:paraId="56BECE01" w14:textId="080E1456" w:rsidR="006A7D6A" w:rsidRPr="00912343" w:rsidRDefault="006A7D6A" w:rsidP="000A20EE">
      <w:pPr>
        <w:pStyle w:val="Ttulo1"/>
        <w:numPr>
          <w:ilvl w:val="0"/>
          <w:numId w:val="22"/>
        </w:numPr>
        <w:rPr>
          <w:rFonts w:eastAsia="Times New Roman" w:cs="Arial"/>
          <w:sz w:val="22"/>
          <w:szCs w:val="22"/>
        </w:rPr>
      </w:pPr>
      <w:bookmarkStart w:id="224" w:name="_Toc88677066"/>
      <w:r w:rsidRPr="00912343">
        <w:rPr>
          <w:rFonts w:eastAsia="Times New Roman" w:cs="Arial"/>
          <w:sz w:val="22"/>
          <w:szCs w:val="22"/>
        </w:rPr>
        <w:lastRenderedPageBreak/>
        <w:t>CONTRATACIÓN</w:t>
      </w:r>
      <w:bookmarkEnd w:id="224"/>
      <w:r w:rsidR="00524E8F" w:rsidRPr="00912343">
        <w:rPr>
          <w:rFonts w:eastAsia="Times New Roman" w:cs="Arial"/>
          <w:sz w:val="22"/>
          <w:szCs w:val="22"/>
        </w:rPr>
        <w:t xml:space="preserve"> </w:t>
      </w:r>
    </w:p>
    <w:p w14:paraId="51D96289" w14:textId="3068F91B" w:rsidR="00DD48DD" w:rsidRDefault="00912343" w:rsidP="00912343">
      <w:pPr>
        <w:pStyle w:val="Descripcin"/>
        <w:jc w:val="center"/>
        <w:rPr>
          <w:rFonts w:ascii="Arial" w:hAnsi="Arial" w:cs="Arial"/>
          <w:b/>
          <w:i w:val="0"/>
          <w:color w:val="000000" w:themeColor="text1"/>
          <w:sz w:val="16"/>
        </w:rPr>
      </w:pPr>
      <w:bookmarkStart w:id="225" w:name="_Toc88677156"/>
      <w:r w:rsidRPr="00912343">
        <w:rPr>
          <w:rFonts w:ascii="Arial" w:hAnsi="Arial" w:cs="Arial"/>
          <w:b/>
          <w:i w:val="0"/>
          <w:color w:val="000000" w:themeColor="text1"/>
          <w:sz w:val="16"/>
        </w:rPr>
        <w:t xml:space="preserve">Tabla </w:t>
      </w:r>
      <w:r w:rsidRPr="00912343">
        <w:rPr>
          <w:rFonts w:ascii="Arial" w:hAnsi="Arial" w:cs="Arial"/>
          <w:b/>
          <w:i w:val="0"/>
          <w:color w:val="000000" w:themeColor="text1"/>
          <w:sz w:val="16"/>
        </w:rPr>
        <w:fldChar w:fldCharType="begin"/>
      </w:r>
      <w:r w:rsidRPr="00912343">
        <w:rPr>
          <w:rFonts w:ascii="Arial" w:hAnsi="Arial" w:cs="Arial"/>
          <w:b/>
          <w:i w:val="0"/>
          <w:color w:val="000000" w:themeColor="text1"/>
          <w:sz w:val="16"/>
        </w:rPr>
        <w:instrText xml:space="preserve"> SEQ Tabla \* ARABIC </w:instrText>
      </w:r>
      <w:r w:rsidRPr="00912343">
        <w:rPr>
          <w:rFonts w:ascii="Arial" w:hAnsi="Arial" w:cs="Arial"/>
          <w:b/>
          <w:i w:val="0"/>
          <w:color w:val="000000" w:themeColor="text1"/>
          <w:sz w:val="16"/>
        </w:rPr>
        <w:fldChar w:fldCharType="separate"/>
      </w:r>
      <w:r w:rsidR="004D4C6A">
        <w:rPr>
          <w:rFonts w:ascii="Arial" w:hAnsi="Arial" w:cs="Arial"/>
          <w:b/>
          <w:i w:val="0"/>
          <w:noProof/>
          <w:color w:val="000000" w:themeColor="text1"/>
          <w:sz w:val="16"/>
        </w:rPr>
        <w:t>87</w:t>
      </w:r>
      <w:r w:rsidRPr="00912343">
        <w:rPr>
          <w:rFonts w:ascii="Arial" w:hAnsi="Arial" w:cs="Arial"/>
          <w:b/>
          <w:i w:val="0"/>
          <w:color w:val="000000" w:themeColor="text1"/>
          <w:sz w:val="16"/>
        </w:rPr>
        <w:fldChar w:fldCharType="end"/>
      </w:r>
      <w:r w:rsidRPr="00912343">
        <w:rPr>
          <w:rFonts w:ascii="Arial" w:hAnsi="Arial" w:cs="Arial"/>
          <w:b/>
          <w:i w:val="0"/>
          <w:color w:val="000000" w:themeColor="text1"/>
          <w:sz w:val="16"/>
        </w:rPr>
        <w:t>. Detalle contratación IGAC</w:t>
      </w:r>
      <w:bookmarkEnd w:id="225"/>
    </w:p>
    <w:p w14:paraId="6A4B6881" w14:textId="03B4134C" w:rsidR="00912343" w:rsidRPr="00912343" w:rsidRDefault="00912343" w:rsidP="00912343">
      <w:pPr>
        <w:ind w:left="7371" w:right="-279"/>
        <w:jc w:val="both"/>
        <w:textAlignment w:val="baseline"/>
        <w:rPr>
          <w:rFonts w:ascii="Segoe UI" w:hAnsi="Segoe UI" w:cs="Segoe UI"/>
          <w:sz w:val="16"/>
          <w:szCs w:val="16"/>
          <w:lang w:eastAsia="es-CO"/>
        </w:rPr>
      </w:pPr>
      <w:r>
        <w:rPr>
          <w:rFonts w:cs="Arial"/>
          <w:sz w:val="16"/>
          <w:szCs w:val="16"/>
          <w:lang w:eastAsia="es-CO"/>
        </w:rPr>
        <w:t xml:space="preserve"> </w:t>
      </w:r>
      <w:r>
        <w:rPr>
          <w:rFonts w:cs="Arial"/>
          <w:sz w:val="16"/>
          <w:szCs w:val="16"/>
          <w:lang w:eastAsia="es-CO"/>
        </w:rPr>
        <w:tab/>
      </w:r>
      <w:r>
        <w:rPr>
          <w:rFonts w:cs="Arial"/>
          <w:sz w:val="16"/>
          <w:szCs w:val="16"/>
          <w:lang w:eastAsia="es-CO"/>
        </w:rPr>
        <w:tab/>
      </w:r>
      <w:r>
        <w:rPr>
          <w:rFonts w:cs="Arial"/>
          <w:sz w:val="16"/>
          <w:szCs w:val="16"/>
          <w:lang w:eastAsia="es-CO"/>
        </w:rPr>
        <w:tab/>
      </w:r>
      <w:r>
        <w:rPr>
          <w:rFonts w:cs="Arial"/>
          <w:sz w:val="16"/>
          <w:szCs w:val="16"/>
          <w:lang w:eastAsia="es-CO"/>
        </w:rPr>
        <w:tab/>
      </w:r>
      <w:r>
        <w:rPr>
          <w:rFonts w:cs="Arial"/>
          <w:sz w:val="16"/>
          <w:szCs w:val="16"/>
          <w:lang w:eastAsia="es-CO"/>
        </w:rPr>
        <w:tab/>
        <w:t xml:space="preserve">      </w:t>
      </w:r>
      <w:r w:rsidRPr="009B2991">
        <w:rPr>
          <w:rFonts w:cs="Arial"/>
          <w:sz w:val="16"/>
          <w:szCs w:val="16"/>
          <w:lang w:eastAsia="es-CO"/>
        </w:rPr>
        <w:t>Cifras en millones de pesos</w:t>
      </w:r>
    </w:p>
    <w:tbl>
      <w:tblPr>
        <w:tblStyle w:val="Tabladecuadrcula4-nfasis1"/>
        <w:tblW w:w="13751" w:type="dxa"/>
        <w:tblInd w:w="-431" w:type="dxa"/>
        <w:tblLook w:val="04A0" w:firstRow="1" w:lastRow="0" w:firstColumn="1" w:lastColumn="0" w:noHBand="0" w:noVBand="1"/>
      </w:tblPr>
      <w:tblGrid>
        <w:gridCol w:w="1964"/>
        <w:gridCol w:w="2051"/>
        <w:gridCol w:w="1037"/>
        <w:gridCol w:w="5508"/>
        <w:gridCol w:w="1490"/>
        <w:gridCol w:w="1701"/>
      </w:tblGrid>
      <w:tr w:rsidR="009F10CE" w:rsidRPr="00912343" w14:paraId="05ED8B20" w14:textId="77777777" w:rsidTr="00912343">
        <w:trPr>
          <w:cnfStyle w:val="100000000000" w:firstRow="1" w:lastRow="0" w:firstColumn="0" w:lastColumn="0" w:oddVBand="0" w:evenVBand="0" w:oddHBand="0" w:evenHBand="0" w:firstRowFirstColumn="0" w:firstRowLastColumn="0" w:lastRowFirstColumn="0" w:lastRowLastColumn="0"/>
          <w:trHeight w:val="570"/>
          <w:tblHeader/>
        </w:trPr>
        <w:tc>
          <w:tcPr>
            <w:cnfStyle w:val="001000000000" w:firstRow="0" w:lastRow="0" w:firstColumn="1" w:lastColumn="0" w:oddVBand="0" w:evenVBand="0" w:oddHBand="0" w:evenHBand="0" w:firstRowFirstColumn="0" w:firstRowLastColumn="0" w:lastRowFirstColumn="0" w:lastRowLastColumn="0"/>
            <w:tcW w:w="1964" w:type="dxa"/>
            <w:vAlign w:val="center"/>
            <w:hideMark/>
          </w:tcPr>
          <w:p w14:paraId="1DBFA3FB" w14:textId="77777777" w:rsidR="00422B0D" w:rsidRPr="00912343" w:rsidRDefault="00422B0D" w:rsidP="006D4A1D">
            <w:pPr>
              <w:suppressAutoHyphens w:val="0"/>
              <w:jc w:val="center"/>
              <w:rPr>
                <w:rFonts w:cs="Arial"/>
                <w:color w:val="FFFFFF"/>
                <w:sz w:val="18"/>
                <w:szCs w:val="18"/>
                <w:lang w:val="es-CO" w:eastAsia="es-CO"/>
              </w:rPr>
            </w:pPr>
            <w:r w:rsidRPr="00912343">
              <w:rPr>
                <w:rFonts w:cs="Arial"/>
                <w:color w:val="FFFFFF"/>
                <w:sz w:val="18"/>
                <w:szCs w:val="18"/>
                <w:lang w:val="es-CO" w:eastAsia="es-CO"/>
              </w:rPr>
              <w:t>DEPENDENCIA</w:t>
            </w:r>
          </w:p>
        </w:tc>
        <w:tc>
          <w:tcPr>
            <w:tcW w:w="2051" w:type="dxa"/>
            <w:vAlign w:val="center"/>
            <w:hideMark/>
          </w:tcPr>
          <w:p w14:paraId="5C0290CD" w14:textId="77777777" w:rsidR="00422B0D" w:rsidRPr="00912343" w:rsidRDefault="00422B0D" w:rsidP="006D4A1D">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912343">
              <w:rPr>
                <w:rFonts w:cs="Arial"/>
                <w:color w:val="FFFFFF"/>
                <w:sz w:val="18"/>
                <w:szCs w:val="18"/>
                <w:lang w:val="es-CO" w:eastAsia="es-CO"/>
              </w:rPr>
              <w:t>RECURSO</w:t>
            </w:r>
          </w:p>
        </w:tc>
        <w:tc>
          <w:tcPr>
            <w:tcW w:w="0" w:type="auto"/>
            <w:vAlign w:val="center"/>
            <w:hideMark/>
          </w:tcPr>
          <w:p w14:paraId="6979E049" w14:textId="77777777" w:rsidR="00422B0D" w:rsidRPr="00912343" w:rsidRDefault="00422B0D" w:rsidP="006D4A1D">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912343">
              <w:rPr>
                <w:rFonts w:cs="Arial"/>
                <w:color w:val="FFFFFF"/>
                <w:sz w:val="18"/>
                <w:szCs w:val="18"/>
                <w:lang w:val="es-CO" w:eastAsia="es-CO"/>
              </w:rPr>
              <w:t>FUENTE</w:t>
            </w:r>
          </w:p>
        </w:tc>
        <w:tc>
          <w:tcPr>
            <w:tcW w:w="0" w:type="auto"/>
            <w:vAlign w:val="center"/>
            <w:hideMark/>
          </w:tcPr>
          <w:p w14:paraId="039E4C3B" w14:textId="77777777" w:rsidR="00422B0D" w:rsidRPr="00912343" w:rsidRDefault="00422B0D" w:rsidP="006D4A1D">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912343">
              <w:rPr>
                <w:rFonts w:cs="Arial"/>
                <w:color w:val="FFFFFF"/>
                <w:sz w:val="18"/>
                <w:szCs w:val="18"/>
                <w:lang w:val="es-CO" w:eastAsia="es-CO"/>
              </w:rPr>
              <w:t>MODALIDAD DE CONTRATACIÓN</w:t>
            </w:r>
          </w:p>
        </w:tc>
        <w:tc>
          <w:tcPr>
            <w:tcW w:w="1490" w:type="dxa"/>
            <w:vAlign w:val="center"/>
            <w:hideMark/>
          </w:tcPr>
          <w:p w14:paraId="6ADF22A3" w14:textId="77777777" w:rsidR="00422B0D" w:rsidRPr="00912343" w:rsidRDefault="00422B0D" w:rsidP="006D4A1D">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912343">
              <w:rPr>
                <w:rFonts w:cs="Arial"/>
                <w:color w:val="FFFFFF"/>
                <w:sz w:val="18"/>
                <w:szCs w:val="18"/>
                <w:lang w:val="es-CO" w:eastAsia="es-CO"/>
              </w:rPr>
              <w:t>CANTIDAD DE CONTRATOS</w:t>
            </w:r>
          </w:p>
        </w:tc>
        <w:tc>
          <w:tcPr>
            <w:tcW w:w="1701" w:type="dxa"/>
            <w:vAlign w:val="center"/>
            <w:hideMark/>
          </w:tcPr>
          <w:p w14:paraId="0D40B1B1" w14:textId="37E6E9D7" w:rsidR="00422B0D" w:rsidRPr="00912343" w:rsidRDefault="00422B0D" w:rsidP="006D4A1D">
            <w:pPr>
              <w:suppressAutoHyphens w:val="0"/>
              <w:jc w:val="center"/>
              <w:cnfStyle w:val="100000000000" w:firstRow="1" w:lastRow="0" w:firstColumn="0" w:lastColumn="0" w:oddVBand="0" w:evenVBand="0" w:oddHBand="0" w:evenHBand="0" w:firstRowFirstColumn="0" w:firstRowLastColumn="0" w:lastRowFirstColumn="0" w:lastRowLastColumn="0"/>
              <w:rPr>
                <w:rFonts w:cs="Arial"/>
                <w:color w:val="FFFFFF"/>
                <w:sz w:val="18"/>
                <w:szCs w:val="18"/>
                <w:lang w:val="es-CO" w:eastAsia="es-CO"/>
              </w:rPr>
            </w:pPr>
            <w:r w:rsidRPr="00912343">
              <w:rPr>
                <w:rFonts w:cs="Arial"/>
                <w:color w:val="FFFFFF"/>
                <w:sz w:val="18"/>
                <w:szCs w:val="18"/>
                <w:lang w:val="es-CO" w:eastAsia="es-CO"/>
              </w:rPr>
              <w:t>VALOR CONTRATOS</w:t>
            </w:r>
          </w:p>
        </w:tc>
      </w:tr>
      <w:tr w:rsidR="006D4A1D" w:rsidRPr="00912343" w14:paraId="6710D245"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4FF0A78"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GENERAL</w:t>
            </w:r>
          </w:p>
        </w:tc>
        <w:tc>
          <w:tcPr>
            <w:tcW w:w="2051" w:type="dxa"/>
            <w:noWrap/>
            <w:vAlign w:val="center"/>
            <w:hideMark/>
          </w:tcPr>
          <w:p w14:paraId="474147C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2E6B814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D4A3390" w14:textId="30A5B99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2A907C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w:t>
            </w:r>
          </w:p>
        </w:tc>
        <w:tc>
          <w:tcPr>
            <w:tcW w:w="1701" w:type="dxa"/>
            <w:noWrap/>
            <w:vAlign w:val="center"/>
            <w:hideMark/>
          </w:tcPr>
          <w:p w14:paraId="399D6AA3" w14:textId="2C30550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997,53</w:t>
            </w:r>
          </w:p>
        </w:tc>
      </w:tr>
      <w:tr w:rsidR="006D4A1D" w:rsidRPr="00912343" w14:paraId="2E70E6E1"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B5F7FD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vAlign w:val="center"/>
            <w:hideMark/>
          </w:tcPr>
          <w:p w14:paraId="69B89F6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6AC8A1D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2DF48F84" w14:textId="553BD56C"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A32849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1F161D5B" w14:textId="499730C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437,95</w:t>
            </w:r>
          </w:p>
        </w:tc>
      </w:tr>
      <w:tr w:rsidR="006D4A1D" w:rsidRPr="00912343" w14:paraId="6FADFD1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C560FC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CA7BDB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5A26552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0B9D5EB6" w14:textId="4836CB5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F471FA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5696BBC3" w14:textId="03BAD77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573,74</w:t>
            </w:r>
          </w:p>
        </w:tc>
      </w:tr>
      <w:tr w:rsidR="006D4A1D" w:rsidRPr="00912343" w14:paraId="4901004D"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0D3E9C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CBC193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720F78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06C3D39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2199763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1758E976" w14:textId="1D9BEC8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1.305,64</w:t>
            </w:r>
          </w:p>
        </w:tc>
      </w:tr>
      <w:tr w:rsidR="006D4A1D" w:rsidRPr="00912343" w14:paraId="5C8870ED"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67558CC"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EDC673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0871AD4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C10A0DC" w14:textId="01CEA53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74F7D04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85</w:t>
            </w:r>
          </w:p>
        </w:tc>
        <w:tc>
          <w:tcPr>
            <w:tcW w:w="1701" w:type="dxa"/>
            <w:noWrap/>
            <w:vAlign w:val="center"/>
            <w:hideMark/>
          </w:tcPr>
          <w:p w14:paraId="61FDB152" w14:textId="3DC2A67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4.718,22</w:t>
            </w:r>
          </w:p>
        </w:tc>
      </w:tr>
      <w:tr w:rsidR="006D4A1D" w:rsidRPr="00912343" w14:paraId="38AFEB93"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96121A4"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1E547FD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2AB977A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110</w:t>
            </w:r>
          </w:p>
        </w:tc>
        <w:tc>
          <w:tcPr>
            <w:tcW w:w="1701" w:type="dxa"/>
            <w:noWrap/>
            <w:vAlign w:val="center"/>
            <w:hideMark/>
          </w:tcPr>
          <w:p w14:paraId="282F467D" w14:textId="09A9713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8.033,08</w:t>
            </w:r>
          </w:p>
        </w:tc>
      </w:tr>
      <w:tr w:rsidR="006D4A1D" w:rsidRPr="00912343" w14:paraId="0A07BDF5"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4FED28CA"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SECRETARIA GENERAL</w:t>
            </w:r>
          </w:p>
        </w:tc>
        <w:tc>
          <w:tcPr>
            <w:tcW w:w="2051" w:type="dxa"/>
            <w:vMerge w:val="restart"/>
            <w:noWrap/>
            <w:vAlign w:val="center"/>
            <w:hideMark/>
          </w:tcPr>
          <w:p w14:paraId="5842A4A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vMerge w:val="restart"/>
            <w:noWrap/>
            <w:vAlign w:val="center"/>
            <w:hideMark/>
          </w:tcPr>
          <w:p w14:paraId="0FB44BC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2CBDD59" w14:textId="4469F78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1F760D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12</w:t>
            </w:r>
          </w:p>
        </w:tc>
        <w:tc>
          <w:tcPr>
            <w:tcW w:w="1701" w:type="dxa"/>
            <w:noWrap/>
            <w:vAlign w:val="center"/>
            <w:hideMark/>
          </w:tcPr>
          <w:p w14:paraId="7A4A28AF" w14:textId="0CB2A44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804,26</w:t>
            </w:r>
          </w:p>
        </w:tc>
      </w:tr>
      <w:tr w:rsidR="006D4A1D" w:rsidRPr="00912343" w14:paraId="5152C2BF"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60F278F"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E6D84B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7A88822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61F5AB6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28BE09F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w:t>
            </w:r>
          </w:p>
        </w:tc>
        <w:tc>
          <w:tcPr>
            <w:tcW w:w="1701" w:type="dxa"/>
            <w:noWrap/>
            <w:vAlign w:val="center"/>
            <w:hideMark/>
          </w:tcPr>
          <w:p w14:paraId="1D90A691" w14:textId="49F98DC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405,31</w:t>
            </w:r>
          </w:p>
        </w:tc>
      </w:tr>
      <w:tr w:rsidR="006D4A1D" w:rsidRPr="00912343" w14:paraId="344DEE35"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F05EA7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10078D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1A29F24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564083E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SUBASTA INVERSA ELECTRONICA</w:t>
            </w:r>
          </w:p>
        </w:tc>
        <w:tc>
          <w:tcPr>
            <w:tcW w:w="1490" w:type="dxa"/>
            <w:noWrap/>
            <w:vAlign w:val="center"/>
            <w:hideMark/>
          </w:tcPr>
          <w:p w14:paraId="041032C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7C7875D9" w14:textId="390AF31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109,17</w:t>
            </w:r>
          </w:p>
        </w:tc>
      </w:tr>
      <w:tr w:rsidR="006D4A1D" w:rsidRPr="00912343" w14:paraId="6B4F65C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CB8422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33CE459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0B502B3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1D95A3E9" w14:textId="741C746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0BDE27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57</w:t>
            </w:r>
          </w:p>
        </w:tc>
        <w:tc>
          <w:tcPr>
            <w:tcW w:w="1701" w:type="dxa"/>
            <w:noWrap/>
            <w:vAlign w:val="center"/>
            <w:hideMark/>
          </w:tcPr>
          <w:p w14:paraId="5FA580E9" w14:textId="5A32082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3.227,22</w:t>
            </w:r>
          </w:p>
        </w:tc>
      </w:tr>
      <w:tr w:rsidR="006D4A1D" w:rsidRPr="00912343" w14:paraId="778F7F3F"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FFF614C"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34485D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56CF4BC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699B778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0C4616A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77E06BAB" w14:textId="642E54C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48,43</w:t>
            </w:r>
          </w:p>
        </w:tc>
      </w:tr>
      <w:tr w:rsidR="006D4A1D" w:rsidRPr="00912343" w14:paraId="4746BC66"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711851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62C21F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761FF3A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2D3D96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544784F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56C46440" w14:textId="35F15C7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147,42</w:t>
            </w:r>
          </w:p>
        </w:tc>
      </w:tr>
      <w:tr w:rsidR="006D4A1D" w:rsidRPr="00912343" w14:paraId="4796ED95"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FB6640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3284B9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0BE9B59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1FE8C08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SUBASTA INVERSA ELECTRONICA</w:t>
            </w:r>
          </w:p>
        </w:tc>
        <w:tc>
          <w:tcPr>
            <w:tcW w:w="1490" w:type="dxa"/>
            <w:noWrap/>
            <w:vAlign w:val="center"/>
            <w:hideMark/>
          </w:tcPr>
          <w:p w14:paraId="3F2F680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8B735C8" w14:textId="1B699E6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1.421,31</w:t>
            </w:r>
          </w:p>
        </w:tc>
      </w:tr>
      <w:tr w:rsidR="006D4A1D" w:rsidRPr="00912343" w14:paraId="11DD2CD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425424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246B51E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44324E7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58F9A1AB" w14:textId="3DEE85E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7BBC06E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7762517D" w14:textId="72098E0C"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900,38</w:t>
            </w:r>
          </w:p>
        </w:tc>
      </w:tr>
      <w:tr w:rsidR="006D4A1D" w:rsidRPr="00912343" w14:paraId="546E0BA7"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D0CD98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10262E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398A40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1DACE7B" w14:textId="739B47F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230286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9</w:t>
            </w:r>
          </w:p>
        </w:tc>
        <w:tc>
          <w:tcPr>
            <w:tcW w:w="1701" w:type="dxa"/>
            <w:noWrap/>
            <w:vAlign w:val="center"/>
            <w:hideMark/>
          </w:tcPr>
          <w:p w14:paraId="0C8B3B49" w14:textId="43D9C0F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403,68</w:t>
            </w:r>
          </w:p>
        </w:tc>
      </w:tr>
      <w:tr w:rsidR="006D4A1D" w:rsidRPr="00912343" w14:paraId="28ADB952"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CC1F5F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8064D1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04C839F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1064343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6F34BF8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5A4A729" w14:textId="55E3F69C"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165,71</w:t>
            </w:r>
          </w:p>
        </w:tc>
      </w:tr>
      <w:tr w:rsidR="006D4A1D" w:rsidRPr="00912343" w14:paraId="3E4C9DE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BAB481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4F8A6B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3221967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4D9581EF" w14:textId="25789A63"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7BA6849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3E397BBC" w14:textId="67BA59F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258,47</w:t>
            </w:r>
          </w:p>
        </w:tc>
      </w:tr>
      <w:tr w:rsidR="006D4A1D" w:rsidRPr="00912343" w14:paraId="57EBDA01"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C52B97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CA2624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6C9FFE6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50F078E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345A557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088E58A8" w14:textId="7CBA8ED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w:t>
            </w:r>
          </w:p>
        </w:tc>
      </w:tr>
      <w:tr w:rsidR="006D4A1D" w:rsidRPr="00912343" w14:paraId="48529088"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E17425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D57CAC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1C0A4A3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51CD323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480C177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2EDD008" w14:textId="759A20F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739,85</w:t>
            </w:r>
          </w:p>
        </w:tc>
      </w:tr>
      <w:tr w:rsidR="006D4A1D" w:rsidRPr="00912343" w14:paraId="6CA8BC14"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27F9224"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131635A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5615724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116</w:t>
            </w:r>
          </w:p>
        </w:tc>
        <w:tc>
          <w:tcPr>
            <w:tcW w:w="1701" w:type="dxa"/>
            <w:noWrap/>
            <w:vAlign w:val="center"/>
            <w:hideMark/>
          </w:tcPr>
          <w:p w14:paraId="0FCDFE7D" w14:textId="717511C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8.631,20</w:t>
            </w:r>
          </w:p>
        </w:tc>
      </w:tr>
      <w:tr w:rsidR="006D4A1D" w:rsidRPr="00912343" w14:paraId="5D5F0FDD"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20442DB9"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DE GESTION CATASTRAL</w:t>
            </w:r>
          </w:p>
        </w:tc>
        <w:tc>
          <w:tcPr>
            <w:tcW w:w="2051" w:type="dxa"/>
            <w:vMerge w:val="restart"/>
            <w:noWrap/>
            <w:vAlign w:val="center"/>
            <w:hideMark/>
          </w:tcPr>
          <w:p w14:paraId="729ADFC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3A86EF3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6594E860" w14:textId="33389C7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CA3965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4ACAB3C3" w14:textId="71703B4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883,17</w:t>
            </w:r>
          </w:p>
        </w:tc>
      </w:tr>
      <w:tr w:rsidR="006D4A1D" w:rsidRPr="00912343" w14:paraId="2AF0CDF5"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2F06AD4"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C3EFCD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1775A17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6BF127E" w14:textId="799E9DA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B35263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16</w:t>
            </w:r>
          </w:p>
        </w:tc>
        <w:tc>
          <w:tcPr>
            <w:tcW w:w="1701" w:type="dxa"/>
            <w:noWrap/>
            <w:vAlign w:val="center"/>
            <w:hideMark/>
          </w:tcPr>
          <w:p w14:paraId="0107FFE6" w14:textId="5948D94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191,58</w:t>
            </w:r>
          </w:p>
        </w:tc>
      </w:tr>
      <w:tr w:rsidR="006D4A1D" w:rsidRPr="00912343" w14:paraId="79643CBE"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319FAB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6B3DAC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7CDC6DB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F6AD203" w14:textId="5AC37EC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0079BB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20</w:t>
            </w:r>
          </w:p>
        </w:tc>
        <w:tc>
          <w:tcPr>
            <w:tcW w:w="1701" w:type="dxa"/>
            <w:noWrap/>
            <w:vAlign w:val="center"/>
            <w:hideMark/>
          </w:tcPr>
          <w:p w14:paraId="2EEDF1DB" w14:textId="1845AF2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330,38</w:t>
            </w:r>
          </w:p>
        </w:tc>
      </w:tr>
      <w:tr w:rsidR="006D4A1D" w:rsidRPr="00912343" w14:paraId="7B0E3C01"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57B2B3B"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136209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048E315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43</w:t>
            </w:r>
          </w:p>
        </w:tc>
        <w:tc>
          <w:tcPr>
            <w:tcW w:w="1701" w:type="dxa"/>
            <w:noWrap/>
            <w:vAlign w:val="center"/>
            <w:hideMark/>
          </w:tcPr>
          <w:p w14:paraId="5E082F5F" w14:textId="5AF0A2C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1.405,13</w:t>
            </w:r>
          </w:p>
        </w:tc>
      </w:tr>
      <w:tr w:rsidR="006D4A1D" w:rsidRPr="00912343" w14:paraId="392583C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6C20F32A"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SUBDIRECCION DE CATASTRO</w:t>
            </w:r>
          </w:p>
        </w:tc>
        <w:tc>
          <w:tcPr>
            <w:tcW w:w="2051" w:type="dxa"/>
            <w:vMerge w:val="restart"/>
            <w:noWrap/>
            <w:vAlign w:val="center"/>
            <w:hideMark/>
          </w:tcPr>
          <w:p w14:paraId="471D756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502D3CC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72820BD0" w14:textId="5CA2947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20C232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26AC4025" w14:textId="3E705D1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3.233,92</w:t>
            </w:r>
          </w:p>
        </w:tc>
      </w:tr>
      <w:tr w:rsidR="006D4A1D" w:rsidRPr="00912343" w14:paraId="642C4A79"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F3DBDA3"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EA10D9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392A7E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C3F36A8" w14:textId="77AFC5D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020B5A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64</w:t>
            </w:r>
          </w:p>
        </w:tc>
        <w:tc>
          <w:tcPr>
            <w:tcW w:w="1701" w:type="dxa"/>
            <w:noWrap/>
            <w:vAlign w:val="center"/>
            <w:hideMark/>
          </w:tcPr>
          <w:p w14:paraId="01E5B3B8" w14:textId="6BC110F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3.186,02</w:t>
            </w:r>
          </w:p>
        </w:tc>
      </w:tr>
      <w:tr w:rsidR="006D4A1D" w:rsidRPr="00912343" w14:paraId="16801854"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231E7C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F94889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047F80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0402AD6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75C2731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FC57E03" w14:textId="21C838C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19,23</w:t>
            </w:r>
          </w:p>
        </w:tc>
      </w:tr>
      <w:tr w:rsidR="006D4A1D" w:rsidRPr="00912343" w14:paraId="69B1CF64"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B31FCD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7BCE7D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051818D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87E1793" w14:textId="1937965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85B149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88</w:t>
            </w:r>
          </w:p>
        </w:tc>
        <w:tc>
          <w:tcPr>
            <w:tcW w:w="1701" w:type="dxa"/>
            <w:noWrap/>
            <w:vAlign w:val="center"/>
            <w:hideMark/>
          </w:tcPr>
          <w:p w14:paraId="09324C9D" w14:textId="6A12E64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4.501,96</w:t>
            </w:r>
          </w:p>
        </w:tc>
      </w:tr>
      <w:tr w:rsidR="006D4A1D" w:rsidRPr="00912343" w14:paraId="029EEC2D"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56E1D8C"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4C70651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0EE400E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160</w:t>
            </w:r>
          </w:p>
        </w:tc>
        <w:tc>
          <w:tcPr>
            <w:tcW w:w="1701" w:type="dxa"/>
            <w:noWrap/>
            <w:vAlign w:val="center"/>
            <w:hideMark/>
          </w:tcPr>
          <w:p w14:paraId="5C033897" w14:textId="21F1B55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10.941,13</w:t>
            </w:r>
          </w:p>
        </w:tc>
      </w:tr>
      <w:tr w:rsidR="006D4A1D" w:rsidRPr="00912343" w14:paraId="12B05426"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25D71C5E"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lastRenderedPageBreak/>
              <w:t>DIRECCION DE GESTION DE INFORMACION GEOGRAFICA</w:t>
            </w:r>
          </w:p>
        </w:tc>
        <w:tc>
          <w:tcPr>
            <w:tcW w:w="2051" w:type="dxa"/>
            <w:vMerge w:val="restart"/>
            <w:noWrap/>
            <w:vAlign w:val="center"/>
            <w:hideMark/>
          </w:tcPr>
          <w:p w14:paraId="4868077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59F3050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5B1471C6" w14:textId="50C7A71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A5D946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9</w:t>
            </w:r>
          </w:p>
        </w:tc>
        <w:tc>
          <w:tcPr>
            <w:tcW w:w="1701" w:type="dxa"/>
            <w:noWrap/>
            <w:vAlign w:val="center"/>
            <w:hideMark/>
          </w:tcPr>
          <w:p w14:paraId="33139E65" w14:textId="51BDB2F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132,48</w:t>
            </w:r>
          </w:p>
        </w:tc>
      </w:tr>
      <w:tr w:rsidR="006D4A1D" w:rsidRPr="00912343" w14:paraId="110E8954"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198E5E9"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31B8E6A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1D75415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3657F0E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LICITACIÓN PUBLICA</w:t>
            </w:r>
          </w:p>
        </w:tc>
        <w:tc>
          <w:tcPr>
            <w:tcW w:w="1490" w:type="dxa"/>
            <w:noWrap/>
            <w:vAlign w:val="center"/>
            <w:hideMark/>
          </w:tcPr>
          <w:p w14:paraId="66C0DED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03309E0" w14:textId="56C28B8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4.633,05</w:t>
            </w:r>
          </w:p>
        </w:tc>
      </w:tr>
      <w:tr w:rsidR="006D4A1D" w:rsidRPr="00912343" w14:paraId="137FB691"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5B722C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DBDD5C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6C00B9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0896BD5" w14:textId="00701BA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2FAAB4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2588FDDC" w14:textId="57A1053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99,26</w:t>
            </w:r>
          </w:p>
        </w:tc>
      </w:tr>
      <w:tr w:rsidR="006D4A1D" w:rsidRPr="00912343" w14:paraId="0F249874"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58BA3C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915FD19"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5B9BAE0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7E71203B" w14:textId="575169E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4EE6CC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w:t>
            </w:r>
          </w:p>
        </w:tc>
        <w:tc>
          <w:tcPr>
            <w:tcW w:w="1701" w:type="dxa"/>
            <w:noWrap/>
            <w:vAlign w:val="center"/>
            <w:hideMark/>
          </w:tcPr>
          <w:p w14:paraId="59CFACCA" w14:textId="76C4B0F8"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70,82</w:t>
            </w:r>
          </w:p>
        </w:tc>
      </w:tr>
      <w:tr w:rsidR="006D4A1D" w:rsidRPr="00912343" w14:paraId="4733D93C"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9F9502B"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C8533A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5D1C343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24</w:t>
            </w:r>
          </w:p>
        </w:tc>
        <w:tc>
          <w:tcPr>
            <w:tcW w:w="1701" w:type="dxa"/>
            <w:noWrap/>
            <w:vAlign w:val="center"/>
            <w:hideMark/>
          </w:tcPr>
          <w:p w14:paraId="1E0BD695" w14:textId="35CEBD3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4.935,61</w:t>
            </w:r>
          </w:p>
        </w:tc>
      </w:tr>
      <w:tr w:rsidR="006D4A1D" w:rsidRPr="00912343" w14:paraId="1DB531F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2B21BB19"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SUBDIR GEOGRAFIA Y CARTOGRAFIA</w:t>
            </w:r>
          </w:p>
        </w:tc>
        <w:tc>
          <w:tcPr>
            <w:tcW w:w="2051" w:type="dxa"/>
            <w:vMerge w:val="restart"/>
            <w:noWrap/>
            <w:vAlign w:val="center"/>
            <w:hideMark/>
          </w:tcPr>
          <w:p w14:paraId="481381E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vMerge w:val="restart"/>
            <w:noWrap/>
            <w:vAlign w:val="center"/>
            <w:hideMark/>
          </w:tcPr>
          <w:p w14:paraId="2F6C44C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679669EA" w14:textId="573DBBB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06A32F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532ECD9" w14:textId="18A5DB32"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17,27</w:t>
            </w:r>
          </w:p>
        </w:tc>
      </w:tr>
      <w:tr w:rsidR="006D4A1D" w:rsidRPr="00912343" w14:paraId="1B9E5862"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B4B01EF"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7961DE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7506900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17CFECE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1EBF3E4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3</w:t>
            </w:r>
          </w:p>
        </w:tc>
        <w:tc>
          <w:tcPr>
            <w:tcW w:w="1701" w:type="dxa"/>
            <w:noWrap/>
            <w:vAlign w:val="center"/>
            <w:hideMark/>
          </w:tcPr>
          <w:p w14:paraId="29C592D2" w14:textId="22DCE2E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66,71</w:t>
            </w:r>
          </w:p>
        </w:tc>
      </w:tr>
      <w:tr w:rsidR="006D4A1D" w:rsidRPr="00912343" w14:paraId="1B128ED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4B1762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70D914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6E8A261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44E4BC31" w14:textId="0EFA53AD"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6146A5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283F2F9E" w14:textId="31F8B53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10,44</w:t>
            </w:r>
          </w:p>
        </w:tc>
      </w:tr>
      <w:tr w:rsidR="006D4A1D" w:rsidRPr="00912343" w14:paraId="10876524"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1FEFB7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1E02D06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6D0147F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6532E569" w14:textId="2D4D712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C97D1C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7577099" w14:textId="3F1ABF7A"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93,72</w:t>
            </w:r>
          </w:p>
        </w:tc>
      </w:tr>
      <w:tr w:rsidR="006D4A1D" w:rsidRPr="00912343" w14:paraId="79F67C06"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53FDB76"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DD31F59"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57667F3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122BFBD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LICITACIÓN PUBLICA</w:t>
            </w:r>
          </w:p>
        </w:tc>
        <w:tc>
          <w:tcPr>
            <w:tcW w:w="1490" w:type="dxa"/>
            <w:noWrap/>
            <w:vAlign w:val="center"/>
            <w:hideMark/>
          </w:tcPr>
          <w:p w14:paraId="3C690ED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256A4C1B" w14:textId="5DDC254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9.312,14</w:t>
            </w:r>
          </w:p>
        </w:tc>
      </w:tr>
      <w:tr w:rsidR="006D4A1D" w:rsidRPr="00912343" w14:paraId="5FAF4CDC"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000F8A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050E07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9C0D48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75A5504C" w14:textId="61903C3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206622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102</w:t>
            </w:r>
          </w:p>
        </w:tc>
        <w:tc>
          <w:tcPr>
            <w:tcW w:w="1701" w:type="dxa"/>
            <w:noWrap/>
            <w:vAlign w:val="center"/>
            <w:hideMark/>
          </w:tcPr>
          <w:p w14:paraId="29EF62D5" w14:textId="6CCAEC7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3.873,89</w:t>
            </w:r>
          </w:p>
        </w:tc>
      </w:tr>
      <w:tr w:rsidR="006D4A1D" w:rsidRPr="00912343" w14:paraId="0FB4C6D8"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32478B3"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93750A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A1D160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38E2760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2D633C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4E8CEEDF" w14:textId="5BA8BC9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0,62</w:t>
            </w:r>
          </w:p>
        </w:tc>
      </w:tr>
      <w:tr w:rsidR="006D4A1D" w:rsidRPr="00912343" w14:paraId="2A38DAFD"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53CFA2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F56628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200F524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6D52BB8" w14:textId="7358351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AFAD9D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66</w:t>
            </w:r>
          </w:p>
        </w:tc>
        <w:tc>
          <w:tcPr>
            <w:tcW w:w="1701" w:type="dxa"/>
            <w:noWrap/>
            <w:vAlign w:val="center"/>
            <w:hideMark/>
          </w:tcPr>
          <w:p w14:paraId="4484803F" w14:textId="6F6641A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2.964,11</w:t>
            </w:r>
          </w:p>
        </w:tc>
      </w:tr>
      <w:tr w:rsidR="006D4A1D" w:rsidRPr="00912343" w14:paraId="1E71C8F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235D72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68CCD3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2A87D3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34D9359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0BEAF1E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4F4ED5ED" w14:textId="0CECC498"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15,34</w:t>
            </w:r>
          </w:p>
        </w:tc>
      </w:tr>
      <w:tr w:rsidR="006D4A1D" w:rsidRPr="00912343" w14:paraId="25656ACB"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E37FD88"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50614A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553717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0D347C1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SELECCIÓN ABREVIADA  - ACUERDO MARCO DE PRECIOS</w:t>
            </w:r>
          </w:p>
        </w:tc>
        <w:tc>
          <w:tcPr>
            <w:tcW w:w="1490" w:type="dxa"/>
            <w:noWrap/>
            <w:vAlign w:val="center"/>
            <w:hideMark/>
          </w:tcPr>
          <w:p w14:paraId="3188FEA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6F9E4261" w14:textId="68E35E4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467,09</w:t>
            </w:r>
          </w:p>
        </w:tc>
      </w:tr>
      <w:tr w:rsidR="006D4A1D" w:rsidRPr="00912343" w14:paraId="12815324"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EBEA26C"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269D75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2175D5E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180</w:t>
            </w:r>
          </w:p>
        </w:tc>
        <w:tc>
          <w:tcPr>
            <w:tcW w:w="1701" w:type="dxa"/>
            <w:noWrap/>
            <w:vAlign w:val="center"/>
            <w:hideMark/>
          </w:tcPr>
          <w:p w14:paraId="409AECF5" w14:textId="60A6755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16.821,33</w:t>
            </w:r>
          </w:p>
        </w:tc>
      </w:tr>
      <w:tr w:rsidR="006D4A1D" w:rsidRPr="00912343" w14:paraId="6A66E0AA"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65F4148"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SUBDIRECCION DE AGROLOGIA</w:t>
            </w:r>
          </w:p>
        </w:tc>
        <w:tc>
          <w:tcPr>
            <w:tcW w:w="2051" w:type="dxa"/>
            <w:vMerge w:val="restart"/>
            <w:noWrap/>
            <w:vAlign w:val="center"/>
            <w:hideMark/>
          </w:tcPr>
          <w:p w14:paraId="0F58194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41CECCD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35959E0A" w14:textId="6CF02E7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7DCAD1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11</w:t>
            </w:r>
          </w:p>
        </w:tc>
        <w:tc>
          <w:tcPr>
            <w:tcW w:w="1701" w:type="dxa"/>
            <w:noWrap/>
            <w:vAlign w:val="center"/>
            <w:hideMark/>
          </w:tcPr>
          <w:p w14:paraId="77EA1650" w14:textId="5DBFC34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417,78</w:t>
            </w:r>
          </w:p>
        </w:tc>
      </w:tr>
      <w:tr w:rsidR="006D4A1D" w:rsidRPr="00912343" w14:paraId="4B2FFA48"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7C5BF4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848321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14B60BF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6F52539" w14:textId="20B26F9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5A1BB2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45</w:t>
            </w:r>
          </w:p>
        </w:tc>
        <w:tc>
          <w:tcPr>
            <w:tcW w:w="1701" w:type="dxa"/>
            <w:noWrap/>
            <w:vAlign w:val="center"/>
            <w:hideMark/>
          </w:tcPr>
          <w:p w14:paraId="48965B0E" w14:textId="60251E4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1.131,76</w:t>
            </w:r>
          </w:p>
        </w:tc>
      </w:tr>
      <w:tr w:rsidR="006D4A1D" w:rsidRPr="00912343" w14:paraId="5F523318"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AA17FF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0B6D81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18D788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1B566CB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5D94E0B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37D0C6B" w14:textId="685DC5E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6,51</w:t>
            </w:r>
          </w:p>
        </w:tc>
      </w:tr>
      <w:tr w:rsidR="006D4A1D" w:rsidRPr="00912343" w14:paraId="2C19C832"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F7F11D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8DC0AB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2C9415E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481814E8" w14:textId="707F51FD"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EE6DCA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59ABBA60" w14:textId="4C942AC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54,73</w:t>
            </w:r>
          </w:p>
        </w:tc>
      </w:tr>
      <w:tr w:rsidR="006D4A1D" w:rsidRPr="00912343" w14:paraId="5E3CCF58"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421FF67"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574FF91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212FBA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62</w:t>
            </w:r>
          </w:p>
        </w:tc>
        <w:tc>
          <w:tcPr>
            <w:tcW w:w="1701" w:type="dxa"/>
            <w:noWrap/>
            <w:vAlign w:val="center"/>
            <w:hideMark/>
          </w:tcPr>
          <w:p w14:paraId="1D4E41BE" w14:textId="1AB01E7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1.610,78</w:t>
            </w:r>
          </w:p>
        </w:tc>
      </w:tr>
      <w:tr w:rsidR="006D4A1D" w:rsidRPr="00912343" w14:paraId="75E1E4E8"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5DEB3B15"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OFIC CENTRO INVESTIG DES INF. GEO</w:t>
            </w:r>
          </w:p>
        </w:tc>
        <w:tc>
          <w:tcPr>
            <w:tcW w:w="2051" w:type="dxa"/>
            <w:vMerge w:val="restart"/>
            <w:noWrap/>
            <w:vAlign w:val="center"/>
            <w:hideMark/>
          </w:tcPr>
          <w:p w14:paraId="244685D9"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40899AE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7A08EEFA" w14:textId="718CEB9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3C4E33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13</w:t>
            </w:r>
          </w:p>
        </w:tc>
        <w:tc>
          <w:tcPr>
            <w:tcW w:w="1701" w:type="dxa"/>
            <w:noWrap/>
            <w:vAlign w:val="center"/>
            <w:hideMark/>
          </w:tcPr>
          <w:p w14:paraId="734D41CA" w14:textId="354F3D5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796,18</w:t>
            </w:r>
          </w:p>
        </w:tc>
      </w:tr>
      <w:tr w:rsidR="006D4A1D" w:rsidRPr="00912343" w14:paraId="6AC6E91D"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617824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EEEC51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290B428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004A3D7" w14:textId="3BF08A4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D0E44A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3</w:t>
            </w:r>
          </w:p>
        </w:tc>
        <w:tc>
          <w:tcPr>
            <w:tcW w:w="1701" w:type="dxa"/>
            <w:noWrap/>
            <w:vAlign w:val="center"/>
            <w:hideMark/>
          </w:tcPr>
          <w:p w14:paraId="676D64F5" w14:textId="2391004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95,37</w:t>
            </w:r>
          </w:p>
        </w:tc>
      </w:tr>
      <w:tr w:rsidR="006D4A1D" w:rsidRPr="00912343" w14:paraId="06644D06"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BE9DCC4"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5C7465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8E12F5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1E148D7" w14:textId="0CC559A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AB410B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17</w:t>
            </w:r>
          </w:p>
        </w:tc>
        <w:tc>
          <w:tcPr>
            <w:tcW w:w="1701" w:type="dxa"/>
            <w:noWrap/>
            <w:vAlign w:val="center"/>
            <w:hideMark/>
          </w:tcPr>
          <w:p w14:paraId="28F2D1B8" w14:textId="0A483A0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734,80</w:t>
            </w:r>
          </w:p>
        </w:tc>
      </w:tr>
      <w:tr w:rsidR="006D4A1D" w:rsidRPr="00912343" w14:paraId="129234B4"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0EB961A"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78EA42C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4E0FC1C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33</w:t>
            </w:r>
          </w:p>
        </w:tc>
        <w:tc>
          <w:tcPr>
            <w:tcW w:w="1701" w:type="dxa"/>
            <w:noWrap/>
            <w:vAlign w:val="center"/>
            <w:hideMark/>
          </w:tcPr>
          <w:p w14:paraId="4D88C248" w14:textId="5531115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1.626,35</w:t>
            </w:r>
          </w:p>
        </w:tc>
      </w:tr>
      <w:tr w:rsidR="006D4A1D" w:rsidRPr="00912343" w14:paraId="01C8D3CF" w14:textId="77777777" w:rsidTr="00912343">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964" w:type="dxa"/>
            <w:vAlign w:val="center"/>
            <w:hideMark/>
          </w:tcPr>
          <w:p w14:paraId="0DFC8A20"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DE TECNOLOGIAS DE LA INFORMACION Y COMUNICACIONES</w:t>
            </w:r>
          </w:p>
        </w:tc>
        <w:tc>
          <w:tcPr>
            <w:tcW w:w="2051" w:type="dxa"/>
            <w:noWrap/>
            <w:vAlign w:val="center"/>
            <w:hideMark/>
          </w:tcPr>
          <w:p w14:paraId="2C4BB1F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6EF6F70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CRÉDITO</w:t>
            </w:r>
          </w:p>
        </w:tc>
        <w:tc>
          <w:tcPr>
            <w:tcW w:w="0" w:type="auto"/>
            <w:noWrap/>
            <w:vAlign w:val="center"/>
            <w:hideMark/>
          </w:tcPr>
          <w:p w14:paraId="136F4DB1" w14:textId="5672914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0042EE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2B8754B1" w14:textId="279AAFE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75,47</w:t>
            </w:r>
          </w:p>
        </w:tc>
      </w:tr>
      <w:tr w:rsidR="006D4A1D" w:rsidRPr="00912343" w14:paraId="5B5B0567"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07266F2"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ATLANTICO</w:t>
            </w:r>
          </w:p>
        </w:tc>
        <w:tc>
          <w:tcPr>
            <w:tcW w:w="2051" w:type="dxa"/>
            <w:vMerge w:val="restart"/>
            <w:noWrap/>
            <w:vAlign w:val="center"/>
            <w:hideMark/>
          </w:tcPr>
          <w:p w14:paraId="0FE414F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3C059B1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E1C1DF2" w14:textId="745BF5B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7B59D2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6D5B1C56" w14:textId="179062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104,89</w:t>
            </w:r>
          </w:p>
        </w:tc>
      </w:tr>
      <w:tr w:rsidR="006D4A1D" w:rsidRPr="00912343" w14:paraId="1E0CDC38"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DEB2B7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1F049E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0A50078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3B3E5D87" w14:textId="191E3D02"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296CB7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4E07D896" w14:textId="6EB39D9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49,53</w:t>
            </w:r>
          </w:p>
        </w:tc>
      </w:tr>
      <w:tr w:rsidR="006D4A1D" w:rsidRPr="00912343" w14:paraId="3B2A1664"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E690F2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F766D6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0D510C5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79528D3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EFF5DC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5BC7D91" w14:textId="018CC21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18,50</w:t>
            </w:r>
          </w:p>
        </w:tc>
      </w:tr>
      <w:tr w:rsidR="006D4A1D" w:rsidRPr="00912343" w14:paraId="31BF5D26"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8A9D7B0"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06C4613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6D2527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16</w:t>
            </w:r>
          </w:p>
        </w:tc>
        <w:tc>
          <w:tcPr>
            <w:tcW w:w="1701" w:type="dxa"/>
            <w:noWrap/>
            <w:vAlign w:val="center"/>
            <w:hideMark/>
          </w:tcPr>
          <w:p w14:paraId="3DB3B1F8" w14:textId="0FBD3BE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172,92</w:t>
            </w:r>
          </w:p>
        </w:tc>
      </w:tr>
      <w:tr w:rsidR="006D4A1D" w:rsidRPr="00912343" w14:paraId="02198C5A"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5653D6B"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lastRenderedPageBreak/>
              <w:t>DIRECCION TERRITORIAL BOYACA</w:t>
            </w:r>
          </w:p>
        </w:tc>
        <w:tc>
          <w:tcPr>
            <w:tcW w:w="2051" w:type="dxa"/>
            <w:vMerge w:val="restart"/>
            <w:noWrap/>
            <w:vAlign w:val="center"/>
            <w:hideMark/>
          </w:tcPr>
          <w:p w14:paraId="67F1F7B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48B8995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6CDEABF6" w14:textId="69AFBED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578000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7A578D6" w14:textId="4194B26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4,67</w:t>
            </w:r>
          </w:p>
        </w:tc>
      </w:tr>
      <w:tr w:rsidR="006D4A1D" w:rsidRPr="00912343" w14:paraId="4E2F41E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92A0DAC"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D5B431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128F43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5B2E94CF" w14:textId="008C097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50FC26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68A2F21D" w14:textId="222ABAD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38,50</w:t>
            </w:r>
          </w:p>
        </w:tc>
      </w:tr>
      <w:tr w:rsidR="006D4A1D" w:rsidRPr="00912343" w14:paraId="46AF040D"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6007FC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5C31EF7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02BCBF1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DFA94F1" w14:textId="5C4E1EC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130AA0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11</w:t>
            </w:r>
          </w:p>
        </w:tc>
        <w:tc>
          <w:tcPr>
            <w:tcW w:w="1701" w:type="dxa"/>
            <w:noWrap/>
            <w:vAlign w:val="center"/>
            <w:hideMark/>
          </w:tcPr>
          <w:p w14:paraId="32F6F202" w14:textId="3C42B344"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278,77</w:t>
            </w:r>
          </w:p>
        </w:tc>
      </w:tr>
      <w:tr w:rsidR="006D4A1D" w:rsidRPr="00912343" w14:paraId="36AF7A25"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33B51F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5C387F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4944849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649EAD7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367121D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2D2D1C9D" w14:textId="791A57D2"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21,88</w:t>
            </w:r>
          </w:p>
        </w:tc>
      </w:tr>
      <w:tr w:rsidR="006D4A1D" w:rsidRPr="00912343" w14:paraId="73CA46C3"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4ED9F6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B08201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1C3A94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7A421F52" w14:textId="02A80DF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5B889D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238D0374" w14:textId="22DA24C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36,75</w:t>
            </w:r>
          </w:p>
        </w:tc>
      </w:tr>
      <w:tr w:rsidR="006D4A1D" w:rsidRPr="00912343" w14:paraId="770F996F"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209ADF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386296D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941C15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2AA2535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3064D1D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26D290F4" w14:textId="066415C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10,31</w:t>
            </w:r>
          </w:p>
        </w:tc>
      </w:tr>
      <w:tr w:rsidR="006D4A1D" w:rsidRPr="00912343" w14:paraId="699AFB56"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C7E2B64"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7F535CB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C19AE7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21</w:t>
            </w:r>
          </w:p>
        </w:tc>
        <w:tc>
          <w:tcPr>
            <w:tcW w:w="1701" w:type="dxa"/>
            <w:noWrap/>
            <w:vAlign w:val="center"/>
            <w:hideMark/>
          </w:tcPr>
          <w:p w14:paraId="40467248" w14:textId="6CD3787C"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390,87</w:t>
            </w:r>
          </w:p>
        </w:tc>
      </w:tr>
      <w:tr w:rsidR="006D4A1D" w:rsidRPr="00912343" w14:paraId="313DB258"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79A90182"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CASANARE</w:t>
            </w:r>
          </w:p>
        </w:tc>
        <w:tc>
          <w:tcPr>
            <w:tcW w:w="2051" w:type="dxa"/>
            <w:noWrap/>
            <w:vAlign w:val="center"/>
            <w:hideMark/>
          </w:tcPr>
          <w:p w14:paraId="63ABCE5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5116B71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F7ADA00" w14:textId="07C221F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70A1A6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9A2AFC4" w14:textId="3FE9DEA2"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14,69</w:t>
            </w:r>
          </w:p>
        </w:tc>
      </w:tr>
      <w:tr w:rsidR="006D4A1D" w:rsidRPr="00912343" w14:paraId="2C789EAF"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6EFA00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51DB000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599C5A4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E3FC11C" w14:textId="0A0ECF3C"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EE04A4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0D8E7058" w14:textId="7289626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25,48</w:t>
            </w:r>
          </w:p>
        </w:tc>
      </w:tr>
      <w:tr w:rsidR="006D4A1D" w:rsidRPr="00912343" w14:paraId="2B83C63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A6C7AB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EAB86F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35662B3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B95BE1E" w14:textId="1B901C4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AAB618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0BC8A58D" w14:textId="3014F7F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9,91</w:t>
            </w:r>
          </w:p>
        </w:tc>
      </w:tr>
      <w:tr w:rsidR="006D4A1D" w:rsidRPr="00912343" w14:paraId="38FF4411"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95854CA"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4CB9D2A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0FD3218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3</w:t>
            </w:r>
          </w:p>
        </w:tc>
        <w:tc>
          <w:tcPr>
            <w:tcW w:w="1701" w:type="dxa"/>
            <w:noWrap/>
            <w:vAlign w:val="center"/>
            <w:hideMark/>
          </w:tcPr>
          <w:p w14:paraId="31B99E6B" w14:textId="64DF58B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50,08</w:t>
            </w:r>
          </w:p>
        </w:tc>
      </w:tr>
      <w:tr w:rsidR="006D4A1D" w:rsidRPr="00912343" w14:paraId="21856D1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33E307CF" w14:textId="675BF943"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 TERRITORIAL CUNDINAMARCA</w:t>
            </w:r>
          </w:p>
        </w:tc>
        <w:tc>
          <w:tcPr>
            <w:tcW w:w="2051" w:type="dxa"/>
            <w:vMerge w:val="restart"/>
            <w:noWrap/>
            <w:vAlign w:val="center"/>
            <w:hideMark/>
          </w:tcPr>
          <w:p w14:paraId="27AF5C8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0D7E6A9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5CBBC68" w14:textId="4E767EC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407B94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36</w:t>
            </w:r>
          </w:p>
        </w:tc>
        <w:tc>
          <w:tcPr>
            <w:tcW w:w="1701" w:type="dxa"/>
            <w:noWrap/>
            <w:vAlign w:val="center"/>
            <w:hideMark/>
          </w:tcPr>
          <w:p w14:paraId="275C7872" w14:textId="7DFD2D1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480,56</w:t>
            </w:r>
          </w:p>
        </w:tc>
      </w:tr>
      <w:tr w:rsidR="006D4A1D" w:rsidRPr="00912343" w14:paraId="03C29694"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6B7676C"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507601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56FD511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4F1D45FC" w14:textId="74B82F4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112B1D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41</w:t>
            </w:r>
          </w:p>
        </w:tc>
        <w:tc>
          <w:tcPr>
            <w:tcW w:w="1701" w:type="dxa"/>
            <w:noWrap/>
            <w:vAlign w:val="center"/>
            <w:hideMark/>
          </w:tcPr>
          <w:p w14:paraId="353D17B0" w14:textId="2E3B3F7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705,56</w:t>
            </w:r>
          </w:p>
        </w:tc>
      </w:tr>
      <w:tr w:rsidR="006D4A1D" w:rsidRPr="00912343" w14:paraId="2D9A1AFE"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B1764DC"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2B85357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062205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77</w:t>
            </w:r>
          </w:p>
        </w:tc>
        <w:tc>
          <w:tcPr>
            <w:tcW w:w="1701" w:type="dxa"/>
            <w:noWrap/>
            <w:vAlign w:val="center"/>
            <w:hideMark/>
          </w:tcPr>
          <w:p w14:paraId="3F800705" w14:textId="69C6D1D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1.186,12</w:t>
            </w:r>
          </w:p>
        </w:tc>
      </w:tr>
      <w:tr w:rsidR="006D4A1D" w:rsidRPr="00912343" w14:paraId="3137624A" w14:textId="77777777" w:rsidTr="00912343">
        <w:trPr>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C0A4364"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BOLIVAR</w:t>
            </w:r>
          </w:p>
        </w:tc>
        <w:tc>
          <w:tcPr>
            <w:tcW w:w="2051" w:type="dxa"/>
            <w:noWrap/>
            <w:vAlign w:val="center"/>
            <w:hideMark/>
          </w:tcPr>
          <w:p w14:paraId="00C800E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13D6C8B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1DF4D42" w14:textId="0B6E47C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EA3991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453584E0" w14:textId="5464D50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78,72</w:t>
            </w:r>
          </w:p>
        </w:tc>
      </w:tr>
      <w:tr w:rsidR="006D4A1D" w:rsidRPr="00912343" w14:paraId="69DFA7C3"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4C26D5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21E9DF9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2432E7F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FFAA9BA" w14:textId="3B4C504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E4E361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15</w:t>
            </w:r>
          </w:p>
        </w:tc>
        <w:tc>
          <w:tcPr>
            <w:tcW w:w="1701" w:type="dxa"/>
            <w:noWrap/>
            <w:vAlign w:val="center"/>
            <w:hideMark/>
          </w:tcPr>
          <w:p w14:paraId="797DCAF2" w14:textId="7832C76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217,89</w:t>
            </w:r>
          </w:p>
        </w:tc>
      </w:tr>
      <w:tr w:rsidR="006D4A1D" w:rsidRPr="00912343" w14:paraId="58F9AC54"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433DBC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48419E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AE2388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39FD18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5355E1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3</w:t>
            </w:r>
          </w:p>
        </w:tc>
        <w:tc>
          <w:tcPr>
            <w:tcW w:w="1701" w:type="dxa"/>
            <w:noWrap/>
            <w:vAlign w:val="center"/>
            <w:hideMark/>
          </w:tcPr>
          <w:p w14:paraId="4B67677B" w14:textId="0B5054B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10,90</w:t>
            </w:r>
          </w:p>
        </w:tc>
      </w:tr>
      <w:tr w:rsidR="006D4A1D" w:rsidRPr="00912343" w14:paraId="4E92573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D54F9C3"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3FFEB99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2A2259D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2DCE58C" w14:textId="23CE5B0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F5EE2E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20</w:t>
            </w:r>
          </w:p>
        </w:tc>
        <w:tc>
          <w:tcPr>
            <w:tcW w:w="1701" w:type="dxa"/>
            <w:noWrap/>
            <w:vAlign w:val="center"/>
            <w:hideMark/>
          </w:tcPr>
          <w:p w14:paraId="2634B1B6" w14:textId="7D49B19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167,99</w:t>
            </w:r>
          </w:p>
        </w:tc>
      </w:tr>
      <w:tr w:rsidR="006D4A1D" w:rsidRPr="00912343" w14:paraId="2B50D4CE"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F292A2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94405F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51A4E99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3EA1DCB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29CF4F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3A6E0F61" w14:textId="3FCD2AC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8,39</w:t>
            </w:r>
          </w:p>
        </w:tc>
      </w:tr>
      <w:tr w:rsidR="006D4A1D" w:rsidRPr="00912343" w14:paraId="1B36641D"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700B123"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50985E6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006BB68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41</w:t>
            </w:r>
          </w:p>
        </w:tc>
        <w:tc>
          <w:tcPr>
            <w:tcW w:w="1701" w:type="dxa"/>
            <w:noWrap/>
            <w:vAlign w:val="center"/>
            <w:hideMark/>
          </w:tcPr>
          <w:p w14:paraId="3F46D3C1" w14:textId="1AE92EC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483,89</w:t>
            </w:r>
          </w:p>
        </w:tc>
      </w:tr>
      <w:tr w:rsidR="006D4A1D" w:rsidRPr="00912343" w14:paraId="65338C2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0AB790A"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CALDAS</w:t>
            </w:r>
          </w:p>
        </w:tc>
        <w:tc>
          <w:tcPr>
            <w:tcW w:w="2051" w:type="dxa"/>
            <w:vMerge w:val="restart"/>
            <w:noWrap/>
            <w:vAlign w:val="center"/>
            <w:hideMark/>
          </w:tcPr>
          <w:p w14:paraId="1D4F399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03604DB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0921763" w14:textId="7EB44D8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F97E36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13</w:t>
            </w:r>
          </w:p>
        </w:tc>
        <w:tc>
          <w:tcPr>
            <w:tcW w:w="1701" w:type="dxa"/>
            <w:noWrap/>
            <w:vAlign w:val="center"/>
            <w:hideMark/>
          </w:tcPr>
          <w:p w14:paraId="20FB5689" w14:textId="69A2F3B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300,07</w:t>
            </w:r>
          </w:p>
        </w:tc>
      </w:tr>
      <w:tr w:rsidR="006D4A1D" w:rsidRPr="00912343" w14:paraId="2381C933"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59396F9"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A137EC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28F3C4E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AD6A51F" w14:textId="2B6C6E6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78954C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w:t>
            </w:r>
          </w:p>
        </w:tc>
        <w:tc>
          <w:tcPr>
            <w:tcW w:w="1701" w:type="dxa"/>
            <w:noWrap/>
            <w:vAlign w:val="center"/>
            <w:hideMark/>
          </w:tcPr>
          <w:p w14:paraId="3A853652" w14:textId="34FA376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122,90</w:t>
            </w:r>
          </w:p>
        </w:tc>
      </w:tr>
      <w:tr w:rsidR="006D4A1D" w:rsidRPr="00912343" w14:paraId="1374D89C"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5106219"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2090383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57CA703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23</w:t>
            </w:r>
          </w:p>
        </w:tc>
        <w:tc>
          <w:tcPr>
            <w:tcW w:w="1701" w:type="dxa"/>
            <w:noWrap/>
            <w:vAlign w:val="center"/>
            <w:hideMark/>
          </w:tcPr>
          <w:p w14:paraId="0C402269" w14:textId="1294394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422,98</w:t>
            </w:r>
          </w:p>
        </w:tc>
      </w:tr>
      <w:tr w:rsidR="006D4A1D" w:rsidRPr="00912343" w14:paraId="677BE111"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4A69093"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CORDOBA</w:t>
            </w:r>
          </w:p>
        </w:tc>
        <w:tc>
          <w:tcPr>
            <w:tcW w:w="2051" w:type="dxa"/>
            <w:vMerge w:val="restart"/>
            <w:noWrap/>
            <w:vAlign w:val="center"/>
            <w:hideMark/>
          </w:tcPr>
          <w:p w14:paraId="0504F7D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2AA50C4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8D4244F" w14:textId="5B6511B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D81A67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11DD07AB" w14:textId="78B6EDA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186,40</w:t>
            </w:r>
          </w:p>
        </w:tc>
      </w:tr>
      <w:tr w:rsidR="006D4A1D" w:rsidRPr="00912343" w14:paraId="0B4FF16C"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67640FD"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1A7EE6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271734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5605BC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1CAE049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AF1DA48" w14:textId="5BB6D41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4,90</w:t>
            </w:r>
          </w:p>
        </w:tc>
      </w:tr>
      <w:tr w:rsidR="006D4A1D" w:rsidRPr="00912343" w14:paraId="064EB07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4ED79F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56D391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A334BC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1CEF8616" w14:textId="0FF405C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BF7BDA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4</w:t>
            </w:r>
          </w:p>
        </w:tc>
        <w:tc>
          <w:tcPr>
            <w:tcW w:w="1701" w:type="dxa"/>
            <w:noWrap/>
            <w:vAlign w:val="center"/>
            <w:hideMark/>
          </w:tcPr>
          <w:p w14:paraId="5A338A54" w14:textId="09D5AB3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59,61</w:t>
            </w:r>
          </w:p>
        </w:tc>
      </w:tr>
      <w:tr w:rsidR="006D4A1D" w:rsidRPr="00912343" w14:paraId="3188D941"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3D50ABF"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F09ED5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6AE420E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CCE9A7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2D09177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0D5B4E0" w14:textId="16D3549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7,07</w:t>
            </w:r>
          </w:p>
        </w:tc>
      </w:tr>
      <w:tr w:rsidR="006D4A1D" w:rsidRPr="00912343" w14:paraId="65193462"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A037152"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211F4769"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48033AD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14</w:t>
            </w:r>
          </w:p>
        </w:tc>
        <w:tc>
          <w:tcPr>
            <w:tcW w:w="1701" w:type="dxa"/>
            <w:noWrap/>
            <w:vAlign w:val="center"/>
            <w:hideMark/>
          </w:tcPr>
          <w:p w14:paraId="3EF5570C" w14:textId="5F1F336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257,99</w:t>
            </w:r>
          </w:p>
        </w:tc>
      </w:tr>
      <w:tr w:rsidR="006D4A1D" w:rsidRPr="00912343" w14:paraId="112BA19D"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2FB8951"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LA GUAJIRA</w:t>
            </w:r>
          </w:p>
        </w:tc>
        <w:tc>
          <w:tcPr>
            <w:tcW w:w="2051" w:type="dxa"/>
            <w:vMerge w:val="restart"/>
            <w:noWrap/>
            <w:vAlign w:val="center"/>
            <w:hideMark/>
          </w:tcPr>
          <w:p w14:paraId="56CFA99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77AAC6E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6D9E323C" w14:textId="4B02E03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8FA143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5CE67BE3" w14:textId="0E8C810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116,11</w:t>
            </w:r>
          </w:p>
        </w:tc>
      </w:tr>
      <w:tr w:rsidR="006D4A1D" w:rsidRPr="00912343" w14:paraId="4DB5E4F7"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1E3B7F6"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8152D7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4F7ED51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FC10A6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3BB7E1D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8609EB9" w14:textId="4B74685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26,89</w:t>
            </w:r>
          </w:p>
        </w:tc>
      </w:tr>
      <w:tr w:rsidR="006D4A1D" w:rsidRPr="00912343" w14:paraId="3F4F4813"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61DB5B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CD0189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664C827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036FE9B" w14:textId="4BD2D9D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78D24A2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8</w:t>
            </w:r>
          </w:p>
        </w:tc>
        <w:tc>
          <w:tcPr>
            <w:tcW w:w="1701" w:type="dxa"/>
            <w:noWrap/>
            <w:vAlign w:val="center"/>
            <w:hideMark/>
          </w:tcPr>
          <w:p w14:paraId="3674F106" w14:textId="7154633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73,78</w:t>
            </w:r>
          </w:p>
        </w:tc>
      </w:tr>
      <w:tr w:rsidR="006D4A1D" w:rsidRPr="00912343" w14:paraId="2A5EAECF"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F8CD306"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8886A0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6457F75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17</w:t>
            </w:r>
          </w:p>
        </w:tc>
        <w:tc>
          <w:tcPr>
            <w:tcW w:w="1701" w:type="dxa"/>
            <w:noWrap/>
            <w:vAlign w:val="center"/>
            <w:hideMark/>
          </w:tcPr>
          <w:p w14:paraId="1DB7AC6E" w14:textId="1E0D11C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216,78</w:t>
            </w:r>
          </w:p>
        </w:tc>
      </w:tr>
      <w:tr w:rsidR="006D4A1D" w:rsidRPr="00912343" w14:paraId="67A98355"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D65138B"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lastRenderedPageBreak/>
              <w:t>DIRECCION TERRITORIAL DE NARIÑO</w:t>
            </w:r>
          </w:p>
        </w:tc>
        <w:tc>
          <w:tcPr>
            <w:tcW w:w="2051" w:type="dxa"/>
            <w:vMerge w:val="restart"/>
            <w:noWrap/>
            <w:vAlign w:val="center"/>
            <w:hideMark/>
          </w:tcPr>
          <w:p w14:paraId="79AB74E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41B02DE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EDE30D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4D038E5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C78F707" w14:textId="2594604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1,00</w:t>
            </w:r>
          </w:p>
        </w:tc>
      </w:tr>
      <w:tr w:rsidR="006D4A1D" w:rsidRPr="00912343" w14:paraId="0319CA4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D20522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BFBBEA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53CE513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D0E22BD" w14:textId="483D6A1D"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257874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42EC6CE1" w14:textId="25DE5A6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49,50</w:t>
            </w:r>
          </w:p>
        </w:tc>
      </w:tr>
      <w:tr w:rsidR="006D4A1D" w:rsidRPr="00912343" w14:paraId="1BAF4437"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F71FE2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232F06E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5E282D9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6692496" w14:textId="5E3F6CD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AAD739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12</w:t>
            </w:r>
          </w:p>
        </w:tc>
        <w:tc>
          <w:tcPr>
            <w:tcW w:w="1701" w:type="dxa"/>
            <w:noWrap/>
            <w:vAlign w:val="center"/>
            <w:hideMark/>
          </w:tcPr>
          <w:p w14:paraId="7B378326" w14:textId="1E009FF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276,70</w:t>
            </w:r>
          </w:p>
        </w:tc>
      </w:tr>
      <w:tr w:rsidR="006D4A1D" w:rsidRPr="00912343" w14:paraId="444E9DD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DD8ABC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C41C04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317B958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D252FFD" w14:textId="1904A74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6AF011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18</w:t>
            </w:r>
          </w:p>
        </w:tc>
        <w:tc>
          <w:tcPr>
            <w:tcW w:w="1701" w:type="dxa"/>
            <w:noWrap/>
            <w:vAlign w:val="center"/>
            <w:hideMark/>
          </w:tcPr>
          <w:p w14:paraId="42C96C5A" w14:textId="249F3F4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244,04</w:t>
            </w:r>
          </w:p>
        </w:tc>
      </w:tr>
      <w:tr w:rsidR="006D4A1D" w:rsidRPr="00912343" w14:paraId="2F597909"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70A6FE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67434E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31F6EE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57EE184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425B0B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14F8FEF3" w14:textId="38782F3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6,51</w:t>
            </w:r>
          </w:p>
        </w:tc>
      </w:tr>
      <w:tr w:rsidR="006D4A1D" w:rsidRPr="00912343" w14:paraId="77FF441B"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685100F"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09C5D55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0596EFF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33</w:t>
            </w:r>
          </w:p>
        </w:tc>
        <w:tc>
          <w:tcPr>
            <w:tcW w:w="1701" w:type="dxa"/>
            <w:noWrap/>
            <w:vAlign w:val="center"/>
            <w:hideMark/>
          </w:tcPr>
          <w:p w14:paraId="0A805310" w14:textId="6103149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577,75</w:t>
            </w:r>
          </w:p>
        </w:tc>
      </w:tr>
      <w:tr w:rsidR="006D4A1D" w:rsidRPr="00912343" w14:paraId="323CFF76" w14:textId="77777777" w:rsidTr="00912343">
        <w:trPr>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6E4C1F6"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RISARALDA</w:t>
            </w:r>
          </w:p>
        </w:tc>
        <w:tc>
          <w:tcPr>
            <w:tcW w:w="2051" w:type="dxa"/>
            <w:noWrap/>
            <w:vAlign w:val="center"/>
            <w:hideMark/>
          </w:tcPr>
          <w:p w14:paraId="60F1C17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3598274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926E2D3" w14:textId="4E3B145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3D875F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32318EB8" w14:textId="6A00DE0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12,25</w:t>
            </w:r>
          </w:p>
        </w:tc>
      </w:tr>
      <w:tr w:rsidR="006D4A1D" w:rsidRPr="00912343" w14:paraId="0FA35B12"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9212AC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387411F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57E2884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893BBB4" w14:textId="3E53A1B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694B80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526534B1" w14:textId="1D5FFD2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85,02</w:t>
            </w:r>
          </w:p>
        </w:tc>
      </w:tr>
      <w:tr w:rsidR="006D4A1D" w:rsidRPr="00912343" w14:paraId="57BD8FC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8E9832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15A33B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7C7D8E5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77CADB00" w14:textId="068007F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C407F5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w:t>
            </w:r>
          </w:p>
        </w:tc>
        <w:tc>
          <w:tcPr>
            <w:tcW w:w="1701" w:type="dxa"/>
            <w:noWrap/>
            <w:vAlign w:val="center"/>
            <w:hideMark/>
          </w:tcPr>
          <w:p w14:paraId="11612B0F" w14:textId="29E1287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54,19</w:t>
            </w:r>
          </w:p>
        </w:tc>
      </w:tr>
      <w:tr w:rsidR="006D4A1D" w:rsidRPr="00912343" w14:paraId="77868520"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E40A686"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1411A2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2994275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13</w:t>
            </w:r>
          </w:p>
        </w:tc>
        <w:tc>
          <w:tcPr>
            <w:tcW w:w="1701" w:type="dxa"/>
            <w:noWrap/>
            <w:vAlign w:val="center"/>
            <w:hideMark/>
          </w:tcPr>
          <w:p w14:paraId="33B6667C" w14:textId="7CA9C3B8"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151,46</w:t>
            </w:r>
          </w:p>
        </w:tc>
      </w:tr>
      <w:tr w:rsidR="006D4A1D" w:rsidRPr="00912343" w14:paraId="3FABFC87"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7EAE13E8"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 SUCRE</w:t>
            </w:r>
          </w:p>
        </w:tc>
        <w:tc>
          <w:tcPr>
            <w:tcW w:w="2051" w:type="dxa"/>
            <w:vMerge w:val="restart"/>
            <w:noWrap/>
            <w:vAlign w:val="center"/>
            <w:hideMark/>
          </w:tcPr>
          <w:p w14:paraId="773EB21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3B427A6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005F039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581850A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7D9F580" w14:textId="2F6C7C4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7,10</w:t>
            </w:r>
          </w:p>
        </w:tc>
      </w:tr>
      <w:tr w:rsidR="006D4A1D" w:rsidRPr="00912343" w14:paraId="20F648B2"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4039664"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8AD61E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0E90CFA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47A13A0" w14:textId="6FE9600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A4FCD8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228D4755" w14:textId="23D0A05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4,61</w:t>
            </w:r>
          </w:p>
        </w:tc>
      </w:tr>
      <w:tr w:rsidR="006D4A1D" w:rsidRPr="00912343" w14:paraId="7BDA5D41"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34F8CB6"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3DD5F6D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546C407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7F220AC" w14:textId="15A3AFC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7EDC419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62CD5FA0" w14:textId="0CF86384"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117,58</w:t>
            </w:r>
          </w:p>
        </w:tc>
      </w:tr>
      <w:tr w:rsidR="006D4A1D" w:rsidRPr="00912343" w14:paraId="14A4FA6C"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338888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ADAEEC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2C06F73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2246452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7CD6E88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BA2EE83" w14:textId="3412459A"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7,49</w:t>
            </w:r>
          </w:p>
        </w:tc>
      </w:tr>
      <w:tr w:rsidR="006D4A1D" w:rsidRPr="00912343" w14:paraId="7651FC33"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827CB1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9A7F51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B737B1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8459FC9" w14:textId="3C04EF0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20F9C9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w:t>
            </w:r>
          </w:p>
        </w:tc>
        <w:tc>
          <w:tcPr>
            <w:tcW w:w="1701" w:type="dxa"/>
            <w:noWrap/>
            <w:vAlign w:val="center"/>
            <w:hideMark/>
          </w:tcPr>
          <w:p w14:paraId="7BF80E85" w14:textId="350F20A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117,48</w:t>
            </w:r>
          </w:p>
        </w:tc>
      </w:tr>
      <w:tr w:rsidR="006D4A1D" w:rsidRPr="00912343" w14:paraId="18FCDD77"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2452258"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7143608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40DA539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18</w:t>
            </w:r>
          </w:p>
        </w:tc>
        <w:tc>
          <w:tcPr>
            <w:tcW w:w="1701" w:type="dxa"/>
            <w:noWrap/>
            <w:vAlign w:val="center"/>
            <w:hideMark/>
          </w:tcPr>
          <w:p w14:paraId="12C48A5D" w14:textId="489A844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254,26</w:t>
            </w:r>
          </w:p>
        </w:tc>
      </w:tr>
      <w:tr w:rsidR="006D4A1D" w:rsidRPr="00912343" w14:paraId="78D3371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37C8E33E" w14:textId="6AD28EBB"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CAQUETA</w:t>
            </w:r>
          </w:p>
        </w:tc>
        <w:tc>
          <w:tcPr>
            <w:tcW w:w="2051" w:type="dxa"/>
            <w:vMerge w:val="restart"/>
            <w:noWrap/>
            <w:vAlign w:val="center"/>
            <w:hideMark/>
          </w:tcPr>
          <w:p w14:paraId="30C2802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30BB9F6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8DF0B96" w14:textId="2ABA997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FCC32D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4</w:t>
            </w:r>
          </w:p>
        </w:tc>
        <w:tc>
          <w:tcPr>
            <w:tcW w:w="1701" w:type="dxa"/>
            <w:noWrap/>
            <w:vAlign w:val="center"/>
            <w:hideMark/>
          </w:tcPr>
          <w:p w14:paraId="27C62DAE" w14:textId="52D7F72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79,88</w:t>
            </w:r>
          </w:p>
        </w:tc>
      </w:tr>
      <w:tr w:rsidR="006D4A1D" w:rsidRPr="00912343" w14:paraId="7DF05CA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9F44C4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C1E6C1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0625D90C" w14:textId="4231C2E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75044C4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40EFB62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472BFF5D" w14:textId="51D1A42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5,58</w:t>
            </w:r>
          </w:p>
        </w:tc>
      </w:tr>
      <w:tr w:rsidR="006D4A1D" w:rsidRPr="00912343" w14:paraId="248F988F"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91FC359"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295DBD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6A207F6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7BC4959D" w14:textId="7292F50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FACAA4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E0C9A7D" w14:textId="244EDAB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20,00</w:t>
            </w:r>
          </w:p>
        </w:tc>
      </w:tr>
      <w:tr w:rsidR="006D4A1D" w:rsidRPr="00912343" w14:paraId="1F558AA5"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3DC760C"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2BA98AD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22413EB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7</w:t>
            </w:r>
          </w:p>
        </w:tc>
        <w:tc>
          <w:tcPr>
            <w:tcW w:w="1701" w:type="dxa"/>
            <w:noWrap/>
            <w:vAlign w:val="center"/>
            <w:hideMark/>
          </w:tcPr>
          <w:p w14:paraId="3C0ED030" w14:textId="4E14405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105,46</w:t>
            </w:r>
          </w:p>
        </w:tc>
      </w:tr>
      <w:tr w:rsidR="006D4A1D" w:rsidRPr="00912343" w14:paraId="41C8DE4D" w14:textId="77777777" w:rsidTr="00912343">
        <w:trPr>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2FB4A12D"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CAUCA</w:t>
            </w:r>
          </w:p>
        </w:tc>
        <w:tc>
          <w:tcPr>
            <w:tcW w:w="2051" w:type="dxa"/>
            <w:noWrap/>
            <w:vAlign w:val="center"/>
            <w:hideMark/>
          </w:tcPr>
          <w:p w14:paraId="3F980EE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47802EF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1B96E0C0" w14:textId="79F5073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638D48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4D3D3FE4" w14:textId="5AFC81D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30,80</w:t>
            </w:r>
          </w:p>
        </w:tc>
      </w:tr>
      <w:tr w:rsidR="006D4A1D" w:rsidRPr="00912343" w14:paraId="2D4E57D4"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2050CF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26CEFCC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6DC5309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0E6152E" w14:textId="240E2B4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5C7572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6</w:t>
            </w:r>
          </w:p>
        </w:tc>
        <w:tc>
          <w:tcPr>
            <w:tcW w:w="1701" w:type="dxa"/>
            <w:noWrap/>
            <w:vAlign w:val="center"/>
            <w:hideMark/>
          </w:tcPr>
          <w:p w14:paraId="5B678461" w14:textId="3226CCD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119,08</w:t>
            </w:r>
          </w:p>
        </w:tc>
      </w:tr>
      <w:tr w:rsidR="006D4A1D" w:rsidRPr="00912343" w14:paraId="6AD93F5A"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18C2AA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94CD27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4333B10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311ADBB8" w14:textId="158E298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E6BDF9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167</w:t>
            </w:r>
          </w:p>
        </w:tc>
        <w:tc>
          <w:tcPr>
            <w:tcW w:w="1701" w:type="dxa"/>
            <w:noWrap/>
            <w:vAlign w:val="center"/>
            <w:hideMark/>
          </w:tcPr>
          <w:p w14:paraId="3B6D4ABE" w14:textId="7DC846BA"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2.690,08</w:t>
            </w:r>
          </w:p>
        </w:tc>
      </w:tr>
      <w:tr w:rsidR="006D4A1D" w:rsidRPr="00912343" w14:paraId="15F0CDA9"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B6041D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6CB203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59A0880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7E8FFD9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74FF68E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05688632" w14:textId="5F1C388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23,97</w:t>
            </w:r>
          </w:p>
        </w:tc>
      </w:tr>
      <w:tr w:rsidR="006D4A1D" w:rsidRPr="00912343" w14:paraId="5730B649"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20E874A"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1268F2E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5F3A892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176</w:t>
            </w:r>
          </w:p>
        </w:tc>
        <w:tc>
          <w:tcPr>
            <w:tcW w:w="1701" w:type="dxa"/>
            <w:noWrap/>
            <w:vAlign w:val="center"/>
            <w:hideMark/>
          </w:tcPr>
          <w:p w14:paraId="63ABF707" w14:textId="09687F5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2.863,93</w:t>
            </w:r>
          </w:p>
        </w:tc>
      </w:tr>
      <w:tr w:rsidR="006D4A1D" w:rsidRPr="00912343" w14:paraId="28544C3E"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02CDFA32"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CESAR</w:t>
            </w:r>
          </w:p>
        </w:tc>
        <w:tc>
          <w:tcPr>
            <w:tcW w:w="2051" w:type="dxa"/>
            <w:noWrap/>
            <w:vAlign w:val="center"/>
            <w:hideMark/>
          </w:tcPr>
          <w:p w14:paraId="3304045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3C265B1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6814CA9" w14:textId="08E98473"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966B7E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04AAD259" w14:textId="462C1E1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37,62</w:t>
            </w:r>
          </w:p>
        </w:tc>
      </w:tr>
      <w:tr w:rsidR="006D4A1D" w:rsidRPr="00912343" w14:paraId="7C9588EE"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4FDAAEF"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5293667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7BCDF22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6D00B6D" w14:textId="258ADC0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6532A3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9</w:t>
            </w:r>
          </w:p>
        </w:tc>
        <w:tc>
          <w:tcPr>
            <w:tcW w:w="1701" w:type="dxa"/>
            <w:noWrap/>
            <w:vAlign w:val="center"/>
            <w:hideMark/>
          </w:tcPr>
          <w:p w14:paraId="0F88579B" w14:textId="22E3FE1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200,36</w:t>
            </w:r>
          </w:p>
        </w:tc>
      </w:tr>
      <w:tr w:rsidR="006D4A1D" w:rsidRPr="00912343" w14:paraId="6309C6BD"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FB3187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4BD2B7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8398FE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3538888" w14:textId="1F9746A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6A9B8E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14</w:t>
            </w:r>
          </w:p>
        </w:tc>
        <w:tc>
          <w:tcPr>
            <w:tcW w:w="1701" w:type="dxa"/>
            <w:noWrap/>
            <w:vAlign w:val="center"/>
            <w:hideMark/>
          </w:tcPr>
          <w:p w14:paraId="08273430" w14:textId="62D24E5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198,66</w:t>
            </w:r>
          </w:p>
        </w:tc>
      </w:tr>
      <w:tr w:rsidR="006D4A1D" w:rsidRPr="00912343" w14:paraId="026D395B"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91A2E6F"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4C740FC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1B8DE24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25</w:t>
            </w:r>
          </w:p>
        </w:tc>
        <w:tc>
          <w:tcPr>
            <w:tcW w:w="1701" w:type="dxa"/>
            <w:noWrap/>
            <w:vAlign w:val="center"/>
            <w:hideMark/>
          </w:tcPr>
          <w:p w14:paraId="2D2F160A" w14:textId="5CD4C39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436,65</w:t>
            </w:r>
          </w:p>
        </w:tc>
      </w:tr>
      <w:tr w:rsidR="006D4A1D" w:rsidRPr="00912343" w14:paraId="7FF7BCB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333E029E" w14:textId="695F9399"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HUILA</w:t>
            </w:r>
          </w:p>
        </w:tc>
        <w:tc>
          <w:tcPr>
            <w:tcW w:w="2051" w:type="dxa"/>
            <w:vMerge w:val="restart"/>
            <w:noWrap/>
            <w:vAlign w:val="center"/>
            <w:hideMark/>
          </w:tcPr>
          <w:p w14:paraId="6CF747D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658B9E74"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84AAD85" w14:textId="12AE537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3EF97F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39A4BD1C" w14:textId="235111A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126,45</w:t>
            </w:r>
          </w:p>
        </w:tc>
      </w:tr>
      <w:tr w:rsidR="006D4A1D" w:rsidRPr="00912343" w14:paraId="4252C9A3"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E10187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A867E0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049E416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46405C0B" w14:textId="781F47D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E17F859"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w:t>
            </w:r>
          </w:p>
        </w:tc>
        <w:tc>
          <w:tcPr>
            <w:tcW w:w="1701" w:type="dxa"/>
            <w:noWrap/>
            <w:vAlign w:val="center"/>
            <w:hideMark/>
          </w:tcPr>
          <w:p w14:paraId="689F4CD1" w14:textId="41715AD9"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79,06</w:t>
            </w:r>
          </w:p>
        </w:tc>
      </w:tr>
      <w:tr w:rsidR="006D4A1D" w:rsidRPr="00912343" w14:paraId="0874320E"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D0E58A3"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2A6B710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76DC17A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17</w:t>
            </w:r>
          </w:p>
        </w:tc>
        <w:tc>
          <w:tcPr>
            <w:tcW w:w="1701" w:type="dxa"/>
            <w:noWrap/>
            <w:vAlign w:val="center"/>
            <w:hideMark/>
          </w:tcPr>
          <w:p w14:paraId="748409AD" w14:textId="6B136A2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205,51</w:t>
            </w:r>
          </w:p>
        </w:tc>
      </w:tr>
      <w:tr w:rsidR="006D4A1D" w:rsidRPr="00912343" w14:paraId="0AC0BA5E"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6CB0EE78" w14:textId="62DCD6AD"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META</w:t>
            </w:r>
          </w:p>
        </w:tc>
        <w:tc>
          <w:tcPr>
            <w:tcW w:w="2051" w:type="dxa"/>
            <w:vMerge w:val="restart"/>
            <w:noWrap/>
            <w:vAlign w:val="center"/>
            <w:hideMark/>
          </w:tcPr>
          <w:p w14:paraId="5AB951F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1289C7E6"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AC67641" w14:textId="4D2489C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AB3823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15</w:t>
            </w:r>
          </w:p>
        </w:tc>
        <w:tc>
          <w:tcPr>
            <w:tcW w:w="1701" w:type="dxa"/>
            <w:noWrap/>
            <w:vAlign w:val="center"/>
            <w:hideMark/>
          </w:tcPr>
          <w:p w14:paraId="13965ED5" w14:textId="177ACBA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263,73</w:t>
            </w:r>
          </w:p>
        </w:tc>
      </w:tr>
      <w:tr w:rsidR="006D4A1D" w:rsidRPr="00912343" w14:paraId="2C6D5723"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EBA695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067E32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5C814F7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7D35AD4" w14:textId="5CE2A0D3"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25070D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125</w:t>
            </w:r>
          </w:p>
        </w:tc>
        <w:tc>
          <w:tcPr>
            <w:tcW w:w="1701" w:type="dxa"/>
            <w:noWrap/>
            <w:vAlign w:val="center"/>
            <w:hideMark/>
          </w:tcPr>
          <w:p w14:paraId="53061C02" w14:textId="3465D195"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1.429,65</w:t>
            </w:r>
          </w:p>
        </w:tc>
      </w:tr>
      <w:tr w:rsidR="006D4A1D" w:rsidRPr="00912343" w14:paraId="2CE09559"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9B4AE7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395A90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F833CF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28C61F5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53ACA65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3</w:t>
            </w:r>
          </w:p>
        </w:tc>
        <w:tc>
          <w:tcPr>
            <w:tcW w:w="1701" w:type="dxa"/>
            <w:noWrap/>
            <w:vAlign w:val="center"/>
            <w:hideMark/>
          </w:tcPr>
          <w:p w14:paraId="2175523C" w14:textId="6B110E5A"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60,50</w:t>
            </w:r>
          </w:p>
        </w:tc>
      </w:tr>
      <w:tr w:rsidR="006D4A1D" w:rsidRPr="00912343" w14:paraId="3E4C7053"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ECE5119"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0C09F6C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754D5A8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143</w:t>
            </w:r>
          </w:p>
        </w:tc>
        <w:tc>
          <w:tcPr>
            <w:tcW w:w="1701" w:type="dxa"/>
            <w:noWrap/>
            <w:vAlign w:val="center"/>
            <w:hideMark/>
          </w:tcPr>
          <w:p w14:paraId="3396E142" w14:textId="7C468F6B"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1.753,88</w:t>
            </w:r>
          </w:p>
        </w:tc>
      </w:tr>
      <w:tr w:rsidR="006D4A1D" w:rsidRPr="00912343" w14:paraId="650FEE0E"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57E07B5"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QUINDIO</w:t>
            </w:r>
          </w:p>
        </w:tc>
        <w:tc>
          <w:tcPr>
            <w:tcW w:w="2051" w:type="dxa"/>
            <w:vMerge w:val="restart"/>
            <w:noWrap/>
            <w:vAlign w:val="center"/>
            <w:hideMark/>
          </w:tcPr>
          <w:p w14:paraId="1EFA5F4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06260D4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7CD8E2AA" w14:textId="39F8FA0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77C8D9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7050C12E" w14:textId="7C2C53B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101,23</w:t>
            </w:r>
          </w:p>
        </w:tc>
      </w:tr>
      <w:tr w:rsidR="006D4A1D" w:rsidRPr="00912343" w14:paraId="46C70B4A"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2F2C821A"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987F25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4F67E33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5F84B45B" w14:textId="4B958A7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107FF2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2AD4F4FB" w14:textId="671F17FD"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16,98</w:t>
            </w:r>
          </w:p>
        </w:tc>
      </w:tr>
      <w:tr w:rsidR="006D4A1D" w:rsidRPr="00912343" w14:paraId="53847A3F"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D08ED83"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A8C91A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DBCB66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7</w:t>
            </w:r>
          </w:p>
        </w:tc>
        <w:tc>
          <w:tcPr>
            <w:tcW w:w="1701" w:type="dxa"/>
            <w:noWrap/>
            <w:vAlign w:val="center"/>
            <w:hideMark/>
          </w:tcPr>
          <w:p w14:paraId="0BAEFF4A" w14:textId="1E4BCB3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118,21</w:t>
            </w:r>
          </w:p>
        </w:tc>
      </w:tr>
      <w:tr w:rsidR="006D4A1D" w:rsidRPr="00912343" w14:paraId="6A14B8B9"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1C529DDA"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TOLIMA</w:t>
            </w:r>
          </w:p>
        </w:tc>
        <w:tc>
          <w:tcPr>
            <w:tcW w:w="2051" w:type="dxa"/>
            <w:noWrap/>
            <w:vAlign w:val="center"/>
            <w:hideMark/>
          </w:tcPr>
          <w:p w14:paraId="287E7B4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174D214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05024E47" w14:textId="5CC0EF33"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4481B71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3F5990CC" w14:textId="13FB149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5,33</w:t>
            </w:r>
          </w:p>
        </w:tc>
      </w:tr>
      <w:tr w:rsidR="006D4A1D" w:rsidRPr="00912343" w14:paraId="3C8189A6"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7FF9083"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6257BC5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5AE246A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5BC5838" w14:textId="2252D48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5912BF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19</w:t>
            </w:r>
          </w:p>
        </w:tc>
        <w:tc>
          <w:tcPr>
            <w:tcW w:w="1701" w:type="dxa"/>
            <w:noWrap/>
            <w:vAlign w:val="center"/>
            <w:hideMark/>
          </w:tcPr>
          <w:p w14:paraId="7D518C55" w14:textId="2680733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435,39</w:t>
            </w:r>
          </w:p>
        </w:tc>
      </w:tr>
      <w:tr w:rsidR="006D4A1D" w:rsidRPr="00912343" w14:paraId="4AC9B0FE"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08A6704"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89EE9C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337A812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7DB8BE07" w14:textId="28D0B4F0"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35F1A1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10</w:t>
            </w:r>
          </w:p>
        </w:tc>
        <w:tc>
          <w:tcPr>
            <w:tcW w:w="1701" w:type="dxa"/>
            <w:noWrap/>
            <w:vAlign w:val="center"/>
            <w:hideMark/>
          </w:tcPr>
          <w:p w14:paraId="6278AE75" w14:textId="234150E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123,18</w:t>
            </w:r>
          </w:p>
        </w:tc>
      </w:tr>
      <w:tr w:rsidR="006D4A1D" w:rsidRPr="00912343" w14:paraId="151D7A91"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697EF18"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7DBC37FE"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8BD080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31</w:t>
            </w:r>
          </w:p>
        </w:tc>
        <w:tc>
          <w:tcPr>
            <w:tcW w:w="1701" w:type="dxa"/>
            <w:noWrap/>
            <w:vAlign w:val="center"/>
            <w:hideMark/>
          </w:tcPr>
          <w:p w14:paraId="46E9DF04" w14:textId="768A6ED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563,91</w:t>
            </w:r>
          </w:p>
        </w:tc>
      </w:tr>
      <w:tr w:rsidR="006D4A1D" w:rsidRPr="00912343" w14:paraId="0F25D762"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26F3C58C" w14:textId="77777777"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DEL VALLE</w:t>
            </w:r>
          </w:p>
        </w:tc>
        <w:tc>
          <w:tcPr>
            <w:tcW w:w="2051" w:type="dxa"/>
            <w:noWrap/>
            <w:vAlign w:val="center"/>
            <w:hideMark/>
          </w:tcPr>
          <w:p w14:paraId="70EE608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03F9FEA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28AA030A" w14:textId="37CC5CB8"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D4351F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AACB844" w14:textId="4B9D8A7D"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9,60</w:t>
            </w:r>
          </w:p>
        </w:tc>
      </w:tr>
      <w:tr w:rsidR="006D4A1D" w:rsidRPr="00912343" w14:paraId="2157E223"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9C47370"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408D694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0C0D921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7FAAD532" w14:textId="75D6B765"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7C1D2A1"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41BA40E1" w14:textId="360181E8"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130,23</w:t>
            </w:r>
          </w:p>
        </w:tc>
      </w:tr>
      <w:tr w:rsidR="006D4A1D" w:rsidRPr="00912343" w14:paraId="7A59528D"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38B2FD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DB7C7E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1E7D304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43B2E11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40716D5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5A7CA1D5" w14:textId="4D9C58A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0,45</w:t>
            </w:r>
          </w:p>
        </w:tc>
      </w:tr>
      <w:tr w:rsidR="006D4A1D" w:rsidRPr="00912343" w14:paraId="5C518F20"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4FC0D3D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338B0F0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8CB92E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34CF4CDC" w14:textId="0203212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0FC45C8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7</w:t>
            </w:r>
          </w:p>
        </w:tc>
        <w:tc>
          <w:tcPr>
            <w:tcW w:w="1701" w:type="dxa"/>
            <w:noWrap/>
            <w:vAlign w:val="center"/>
            <w:hideMark/>
          </w:tcPr>
          <w:p w14:paraId="7B1E8141" w14:textId="2B7FB966"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72,61</w:t>
            </w:r>
          </w:p>
        </w:tc>
      </w:tr>
      <w:tr w:rsidR="006D4A1D" w:rsidRPr="00912343" w14:paraId="3DBC0FF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FECA9D9"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753CC0E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6C113F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2826DD0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75FAB65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2E318B5C" w14:textId="164EB78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6,83</w:t>
            </w:r>
          </w:p>
        </w:tc>
      </w:tr>
      <w:tr w:rsidR="006D4A1D" w:rsidRPr="00912343" w14:paraId="670C659F"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72BDD590"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77B6FD28"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421ACD8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15</w:t>
            </w:r>
          </w:p>
        </w:tc>
        <w:tc>
          <w:tcPr>
            <w:tcW w:w="1701" w:type="dxa"/>
            <w:noWrap/>
            <w:vAlign w:val="center"/>
            <w:hideMark/>
          </w:tcPr>
          <w:p w14:paraId="194AD64F" w14:textId="1F7D20A4"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219,72</w:t>
            </w:r>
          </w:p>
        </w:tc>
      </w:tr>
      <w:tr w:rsidR="006D4A1D" w:rsidRPr="00912343" w14:paraId="1EC872E1"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61A36531" w14:textId="1E59FD16"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MAGDALENA</w:t>
            </w:r>
          </w:p>
        </w:tc>
        <w:tc>
          <w:tcPr>
            <w:tcW w:w="2051" w:type="dxa"/>
            <w:noWrap/>
            <w:vAlign w:val="center"/>
            <w:hideMark/>
          </w:tcPr>
          <w:p w14:paraId="546E003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1B0BEC2B"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336FF674" w14:textId="7D4EEFB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94E88E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04E6A158" w14:textId="0C9FCA91"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26,00</w:t>
            </w:r>
          </w:p>
        </w:tc>
      </w:tr>
      <w:tr w:rsidR="006D4A1D" w:rsidRPr="00912343" w14:paraId="4079D9BB"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0AEBE746"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1714317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7CBB3FB4"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3687DE8B" w14:textId="692AC97B"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571419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5</w:t>
            </w:r>
          </w:p>
        </w:tc>
        <w:tc>
          <w:tcPr>
            <w:tcW w:w="1701" w:type="dxa"/>
            <w:noWrap/>
            <w:vAlign w:val="center"/>
            <w:hideMark/>
          </w:tcPr>
          <w:p w14:paraId="34EE993F" w14:textId="3DBCF63A"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119,49</w:t>
            </w:r>
          </w:p>
        </w:tc>
      </w:tr>
      <w:tr w:rsidR="006D4A1D" w:rsidRPr="00912343" w14:paraId="7219A38E"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DA2BE97"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077670AA"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65CCDA02"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7ED47E0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38F3C3A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7AA6F533" w14:textId="287D0FB3"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1,70</w:t>
            </w:r>
          </w:p>
        </w:tc>
      </w:tr>
      <w:tr w:rsidR="006D4A1D" w:rsidRPr="00912343" w14:paraId="1CBF1116"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CA46C81"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2AE37CB0"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vMerge w:val="restart"/>
            <w:noWrap/>
            <w:vAlign w:val="center"/>
            <w:hideMark/>
          </w:tcPr>
          <w:p w14:paraId="74332E0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6A797DF5" w14:textId="60D00A6F"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51E221D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12</w:t>
            </w:r>
          </w:p>
        </w:tc>
        <w:tc>
          <w:tcPr>
            <w:tcW w:w="1701" w:type="dxa"/>
            <w:noWrap/>
            <w:vAlign w:val="center"/>
            <w:hideMark/>
          </w:tcPr>
          <w:p w14:paraId="6B39A014" w14:textId="6ABC2B72"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142,45</w:t>
            </w:r>
          </w:p>
        </w:tc>
      </w:tr>
      <w:tr w:rsidR="006D4A1D" w:rsidRPr="00912343" w14:paraId="53A9B91D"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68FF292B"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1FDB4EF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3B70DBE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73B11105"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6AE6E06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363CC04A" w14:textId="3A200968"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5,67</w:t>
            </w:r>
          </w:p>
        </w:tc>
      </w:tr>
      <w:tr w:rsidR="006D4A1D" w:rsidRPr="00912343" w14:paraId="32B7B1CC"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312F6C65"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035E36E3"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506C4DE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20</w:t>
            </w:r>
          </w:p>
        </w:tc>
        <w:tc>
          <w:tcPr>
            <w:tcW w:w="1701" w:type="dxa"/>
            <w:noWrap/>
            <w:vAlign w:val="center"/>
            <w:hideMark/>
          </w:tcPr>
          <w:p w14:paraId="65F63E0F" w14:textId="2F31D8C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295,30</w:t>
            </w:r>
          </w:p>
        </w:tc>
      </w:tr>
      <w:tr w:rsidR="006D4A1D" w:rsidRPr="00912343" w14:paraId="1847EC7C" w14:textId="77777777" w:rsidTr="00912343">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4C2CAB9C" w14:textId="26551CB0"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 TERRITORIAL NORTE STDER</w:t>
            </w:r>
          </w:p>
        </w:tc>
        <w:tc>
          <w:tcPr>
            <w:tcW w:w="2051" w:type="dxa"/>
            <w:noWrap/>
            <w:vAlign w:val="center"/>
            <w:hideMark/>
          </w:tcPr>
          <w:p w14:paraId="68C06AF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FUNCIONAMIENTO</w:t>
            </w:r>
          </w:p>
        </w:tc>
        <w:tc>
          <w:tcPr>
            <w:tcW w:w="0" w:type="auto"/>
            <w:noWrap/>
            <w:vAlign w:val="center"/>
            <w:hideMark/>
          </w:tcPr>
          <w:p w14:paraId="38D48A21"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4CC3EC41" w14:textId="2A3A44BC"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34B5268"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2</w:t>
            </w:r>
          </w:p>
        </w:tc>
        <w:tc>
          <w:tcPr>
            <w:tcW w:w="1701" w:type="dxa"/>
            <w:noWrap/>
            <w:vAlign w:val="center"/>
            <w:hideMark/>
          </w:tcPr>
          <w:p w14:paraId="4BA51C9F" w14:textId="75FEF75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33,32</w:t>
            </w:r>
          </w:p>
        </w:tc>
      </w:tr>
      <w:tr w:rsidR="006D4A1D" w:rsidRPr="00912343" w14:paraId="5E69C5A9"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A481A08"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restart"/>
            <w:noWrap/>
            <w:vAlign w:val="center"/>
            <w:hideMark/>
          </w:tcPr>
          <w:p w14:paraId="5B1B553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vMerge w:val="restart"/>
            <w:noWrap/>
            <w:vAlign w:val="center"/>
            <w:hideMark/>
          </w:tcPr>
          <w:p w14:paraId="42A1BEB5"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21DEC69" w14:textId="5163871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61035CFF"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9</w:t>
            </w:r>
          </w:p>
        </w:tc>
        <w:tc>
          <w:tcPr>
            <w:tcW w:w="1701" w:type="dxa"/>
            <w:noWrap/>
            <w:vAlign w:val="center"/>
            <w:hideMark/>
          </w:tcPr>
          <w:p w14:paraId="59138F35" w14:textId="5445F05D"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201,42</w:t>
            </w:r>
          </w:p>
        </w:tc>
      </w:tr>
      <w:tr w:rsidR="006D4A1D" w:rsidRPr="00912343" w14:paraId="3B78467B"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AD0C355"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55E24CA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vMerge/>
            <w:vAlign w:val="center"/>
            <w:hideMark/>
          </w:tcPr>
          <w:p w14:paraId="65A4568C"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p>
        </w:tc>
        <w:tc>
          <w:tcPr>
            <w:tcW w:w="0" w:type="auto"/>
            <w:noWrap/>
            <w:vAlign w:val="center"/>
            <w:hideMark/>
          </w:tcPr>
          <w:p w14:paraId="6C99208F"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MÍNIMA CUANTÍA</w:t>
            </w:r>
          </w:p>
        </w:tc>
        <w:tc>
          <w:tcPr>
            <w:tcW w:w="1490" w:type="dxa"/>
            <w:noWrap/>
            <w:vAlign w:val="center"/>
            <w:hideMark/>
          </w:tcPr>
          <w:p w14:paraId="4982F6C6"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4041E844" w14:textId="4DF41C96"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3,49</w:t>
            </w:r>
          </w:p>
        </w:tc>
      </w:tr>
      <w:tr w:rsidR="006D4A1D" w:rsidRPr="00912343" w14:paraId="0C78EAF9"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034A4FE"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4EAA629D"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7995FFAB"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0A7E2CC6" w14:textId="28F97CE3"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25885FE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19</w:t>
            </w:r>
          </w:p>
        </w:tc>
        <w:tc>
          <w:tcPr>
            <w:tcW w:w="1701" w:type="dxa"/>
            <w:noWrap/>
            <w:vAlign w:val="center"/>
            <w:hideMark/>
          </w:tcPr>
          <w:p w14:paraId="7BD3EEB1" w14:textId="4D3D09A4"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170,48</w:t>
            </w:r>
          </w:p>
        </w:tc>
      </w:tr>
      <w:tr w:rsidR="006D4A1D" w:rsidRPr="00912343" w14:paraId="7CA223B0"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5DB10E0"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1023209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2EA70C90"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31</w:t>
            </w:r>
          </w:p>
        </w:tc>
        <w:tc>
          <w:tcPr>
            <w:tcW w:w="1701" w:type="dxa"/>
            <w:noWrap/>
            <w:vAlign w:val="center"/>
            <w:hideMark/>
          </w:tcPr>
          <w:p w14:paraId="5999CEDF" w14:textId="72E1941E"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408,71</w:t>
            </w:r>
          </w:p>
        </w:tc>
      </w:tr>
      <w:tr w:rsidR="006D4A1D" w:rsidRPr="00912343" w14:paraId="13AC83CA" w14:textId="77777777" w:rsidTr="00912343">
        <w:trPr>
          <w:trHeight w:val="250"/>
        </w:trPr>
        <w:tc>
          <w:tcPr>
            <w:cnfStyle w:val="001000000000" w:firstRow="0" w:lastRow="0" w:firstColumn="1" w:lastColumn="0" w:oddVBand="0" w:evenVBand="0" w:oddHBand="0" w:evenHBand="0" w:firstRowFirstColumn="0" w:firstRowLastColumn="0" w:lastRowFirstColumn="0" w:lastRowLastColumn="0"/>
            <w:tcW w:w="1964" w:type="dxa"/>
            <w:vMerge w:val="restart"/>
            <w:vAlign w:val="center"/>
            <w:hideMark/>
          </w:tcPr>
          <w:p w14:paraId="73401F9B" w14:textId="52FC2A00" w:rsidR="00422B0D" w:rsidRPr="00912343" w:rsidRDefault="00422B0D" w:rsidP="006D4A1D">
            <w:pPr>
              <w:suppressAutoHyphens w:val="0"/>
              <w:jc w:val="center"/>
              <w:rPr>
                <w:rFonts w:cs="Arial"/>
                <w:color w:val="000000"/>
                <w:sz w:val="18"/>
                <w:szCs w:val="18"/>
                <w:lang w:val="es-CO" w:eastAsia="es-CO"/>
              </w:rPr>
            </w:pPr>
            <w:r w:rsidRPr="00912343">
              <w:rPr>
                <w:rFonts w:cs="Arial"/>
                <w:color w:val="000000"/>
                <w:sz w:val="18"/>
                <w:szCs w:val="18"/>
                <w:lang w:val="es-CO" w:eastAsia="es-CO"/>
              </w:rPr>
              <w:t>DIRECCION TERRITORIAL SANTANDER</w:t>
            </w:r>
          </w:p>
        </w:tc>
        <w:tc>
          <w:tcPr>
            <w:tcW w:w="2051" w:type="dxa"/>
            <w:vMerge w:val="restart"/>
            <w:noWrap/>
            <w:vAlign w:val="center"/>
            <w:hideMark/>
          </w:tcPr>
          <w:p w14:paraId="7E096322"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INVERSIÓN</w:t>
            </w:r>
          </w:p>
        </w:tc>
        <w:tc>
          <w:tcPr>
            <w:tcW w:w="0" w:type="auto"/>
            <w:noWrap/>
            <w:vAlign w:val="center"/>
            <w:hideMark/>
          </w:tcPr>
          <w:p w14:paraId="492D09D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NACIÓN</w:t>
            </w:r>
          </w:p>
        </w:tc>
        <w:tc>
          <w:tcPr>
            <w:tcW w:w="0" w:type="auto"/>
            <w:noWrap/>
            <w:vAlign w:val="center"/>
            <w:hideMark/>
          </w:tcPr>
          <w:p w14:paraId="5FE01629" w14:textId="2EE41971"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32BF098C"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18</w:t>
            </w:r>
          </w:p>
        </w:tc>
        <w:tc>
          <w:tcPr>
            <w:tcW w:w="1701" w:type="dxa"/>
            <w:noWrap/>
            <w:vAlign w:val="center"/>
            <w:hideMark/>
          </w:tcPr>
          <w:p w14:paraId="65DE13DA" w14:textId="3F17E72E"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319,84</w:t>
            </w:r>
          </w:p>
        </w:tc>
      </w:tr>
      <w:tr w:rsidR="006D4A1D" w:rsidRPr="00912343" w14:paraId="1454F1C5" w14:textId="77777777" w:rsidTr="00912343">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5C489DF2" w14:textId="77777777" w:rsidR="00422B0D" w:rsidRPr="00912343" w:rsidRDefault="00422B0D" w:rsidP="006D4A1D">
            <w:pPr>
              <w:suppressAutoHyphens w:val="0"/>
              <w:jc w:val="center"/>
              <w:rPr>
                <w:rFonts w:cs="Arial"/>
                <w:color w:val="000000"/>
                <w:sz w:val="18"/>
                <w:szCs w:val="18"/>
                <w:lang w:val="es-CO" w:eastAsia="es-CO"/>
              </w:rPr>
            </w:pPr>
          </w:p>
        </w:tc>
        <w:tc>
          <w:tcPr>
            <w:tcW w:w="2051" w:type="dxa"/>
            <w:vMerge/>
            <w:vAlign w:val="center"/>
            <w:hideMark/>
          </w:tcPr>
          <w:p w14:paraId="68E02447"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sz w:val="18"/>
                <w:szCs w:val="18"/>
                <w:lang w:val="es-CO" w:eastAsia="es-CO"/>
              </w:rPr>
            </w:pPr>
          </w:p>
        </w:tc>
        <w:tc>
          <w:tcPr>
            <w:tcW w:w="0" w:type="auto"/>
            <w:noWrap/>
            <w:vAlign w:val="center"/>
            <w:hideMark/>
          </w:tcPr>
          <w:p w14:paraId="79DCB00D"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PROPIOS</w:t>
            </w:r>
          </w:p>
        </w:tc>
        <w:tc>
          <w:tcPr>
            <w:tcW w:w="0" w:type="auto"/>
            <w:noWrap/>
            <w:vAlign w:val="center"/>
            <w:hideMark/>
          </w:tcPr>
          <w:p w14:paraId="225AD105" w14:textId="130CB864"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CONTRATACIÓN DIRECTA</w:t>
            </w:r>
          </w:p>
        </w:tc>
        <w:tc>
          <w:tcPr>
            <w:tcW w:w="1490" w:type="dxa"/>
            <w:noWrap/>
            <w:vAlign w:val="center"/>
            <w:hideMark/>
          </w:tcPr>
          <w:p w14:paraId="11116EAE"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1</w:t>
            </w:r>
          </w:p>
        </w:tc>
        <w:tc>
          <w:tcPr>
            <w:tcW w:w="1701" w:type="dxa"/>
            <w:noWrap/>
            <w:vAlign w:val="center"/>
            <w:hideMark/>
          </w:tcPr>
          <w:p w14:paraId="64CFD616" w14:textId="2F9BABEF"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color w:val="000000"/>
                <w:sz w:val="18"/>
                <w:szCs w:val="18"/>
                <w:lang w:val="es-CO" w:eastAsia="es-CO"/>
              </w:rPr>
            </w:pPr>
            <w:r w:rsidRPr="00912343">
              <w:rPr>
                <w:rFonts w:cs="Arial"/>
                <w:color w:val="000000"/>
                <w:sz w:val="18"/>
                <w:szCs w:val="18"/>
                <w:lang w:val="es-CO" w:eastAsia="es-CO"/>
              </w:rPr>
              <w:t>$             17,50</w:t>
            </w:r>
          </w:p>
        </w:tc>
      </w:tr>
      <w:tr w:rsidR="006D4A1D" w:rsidRPr="00912343" w14:paraId="1155E9CC" w14:textId="77777777" w:rsidTr="00912343">
        <w:trPr>
          <w:trHeight w:val="270"/>
        </w:trPr>
        <w:tc>
          <w:tcPr>
            <w:cnfStyle w:val="001000000000" w:firstRow="0" w:lastRow="0" w:firstColumn="1" w:lastColumn="0" w:oddVBand="0" w:evenVBand="0" w:oddHBand="0" w:evenHBand="0" w:firstRowFirstColumn="0" w:firstRowLastColumn="0" w:lastRowFirstColumn="0" w:lastRowLastColumn="0"/>
            <w:tcW w:w="1964" w:type="dxa"/>
            <w:vMerge/>
            <w:vAlign w:val="center"/>
            <w:hideMark/>
          </w:tcPr>
          <w:p w14:paraId="19CBDC00" w14:textId="77777777" w:rsidR="00422B0D" w:rsidRPr="00912343" w:rsidRDefault="00422B0D" w:rsidP="006D4A1D">
            <w:pPr>
              <w:suppressAutoHyphens w:val="0"/>
              <w:jc w:val="center"/>
              <w:rPr>
                <w:rFonts w:cs="Arial"/>
                <w:color w:val="000000"/>
                <w:sz w:val="18"/>
                <w:szCs w:val="18"/>
                <w:lang w:val="es-CO" w:eastAsia="es-CO"/>
              </w:rPr>
            </w:pPr>
          </w:p>
        </w:tc>
        <w:tc>
          <w:tcPr>
            <w:tcW w:w="8596" w:type="dxa"/>
            <w:gridSpan w:val="3"/>
            <w:noWrap/>
            <w:vAlign w:val="center"/>
            <w:hideMark/>
          </w:tcPr>
          <w:p w14:paraId="3CC39FC7"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TOTAL</w:t>
            </w:r>
          </w:p>
        </w:tc>
        <w:tc>
          <w:tcPr>
            <w:tcW w:w="1490" w:type="dxa"/>
            <w:noWrap/>
            <w:vAlign w:val="center"/>
            <w:hideMark/>
          </w:tcPr>
          <w:p w14:paraId="37D55C7A" w14:textId="77777777"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19</w:t>
            </w:r>
          </w:p>
        </w:tc>
        <w:tc>
          <w:tcPr>
            <w:tcW w:w="1701" w:type="dxa"/>
            <w:noWrap/>
            <w:vAlign w:val="center"/>
            <w:hideMark/>
          </w:tcPr>
          <w:p w14:paraId="0F497D3B" w14:textId="166908E0" w:rsidR="00422B0D" w:rsidRPr="00912343" w:rsidRDefault="00422B0D" w:rsidP="006D4A1D">
            <w:pPr>
              <w:suppressAutoHyphens w:val="0"/>
              <w:jc w:val="center"/>
              <w:cnfStyle w:val="000000000000" w:firstRow="0" w:lastRow="0" w:firstColumn="0" w:lastColumn="0" w:oddVBand="0" w:evenVBand="0" w:oddHBand="0" w:evenHBand="0" w:firstRowFirstColumn="0" w:firstRowLastColumn="0" w:lastRowFirstColumn="0" w:lastRowLastColumn="0"/>
              <w:rPr>
                <w:rFonts w:cs="Arial"/>
                <w:b/>
                <w:bCs/>
                <w:color w:val="000000"/>
                <w:sz w:val="18"/>
                <w:szCs w:val="18"/>
                <w:lang w:val="es-CO" w:eastAsia="es-CO"/>
              </w:rPr>
            </w:pPr>
            <w:r w:rsidRPr="00912343">
              <w:rPr>
                <w:rFonts w:cs="Arial"/>
                <w:b/>
                <w:bCs/>
                <w:color w:val="000000"/>
                <w:sz w:val="18"/>
                <w:szCs w:val="18"/>
                <w:lang w:val="es-CO" w:eastAsia="es-CO"/>
              </w:rPr>
              <w:t>$           337,34</w:t>
            </w:r>
          </w:p>
        </w:tc>
      </w:tr>
      <w:tr w:rsidR="006D4A1D" w:rsidRPr="00912343" w14:paraId="27719C1C" w14:textId="77777777" w:rsidTr="00912343">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0560" w:type="dxa"/>
            <w:gridSpan w:val="4"/>
            <w:noWrap/>
            <w:vAlign w:val="center"/>
            <w:hideMark/>
          </w:tcPr>
          <w:p w14:paraId="27F6F4C7" w14:textId="77777777" w:rsidR="00422B0D" w:rsidRPr="00912343" w:rsidRDefault="00422B0D" w:rsidP="006D4A1D">
            <w:pPr>
              <w:suppressAutoHyphens w:val="0"/>
              <w:jc w:val="center"/>
              <w:rPr>
                <w:rFonts w:cs="Arial"/>
                <w:color w:val="000000" w:themeColor="text1"/>
                <w:sz w:val="18"/>
                <w:szCs w:val="18"/>
                <w:lang w:val="es-CO" w:eastAsia="es-CO"/>
              </w:rPr>
            </w:pPr>
            <w:r w:rsidRPr="00912343">
              <w:rPr>
                <w:rFonts w:cs="Arial"/>
                <w:color w:val="000000" w:themeColor="text1"/>
                <w:sz w:val="18"/>
                <w:szCs w:val="18"/>
                <w:lang w:val="es-CO" w:eastAsia="es-CO"/>
              </w:rPr>
              <w:t>TOTAL GENERAL</w:t>
            </w:r>
          </w:p>
        </w:tc>
        <w:tc>
          <w:tcPr>
            <w:tcW w:w="1490" w:type="dxa"/>
            <w:noWrap/>
            <w:vAlign w:val="center"/>
            <w:hideMark/>
          </w:tcPr>
          <w:p w14:paraId="48193C93" w14:textId="77777777"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themeColor="text1"/>
                <w:sz w:val="18"/>
                <w:szCs w:val="18"/>
                <w:lang w:val="es-CO" w:eastAsia="es-CO"/>
              </w:rPr>
            </w:pPr>
            <w:r w:rsidRPr="00912343">
              <w:rPr>
                <w:rFonts w:cs="Arial"/>
                <w:b/>
                <w:bCs/>
                <w:color w:val="000000" w:themeColor="text1"/>
                <w:sz w:val="18"/>
                <w:szCs w:val="18"/>
                <w:lang w:val="es-CO" w:eastAsia="es-CO"/>
              </w:rPr>
              <w:t>1497</w:t>
            </w:r>
          </w:p>
        </w:tc>
        <w:tc>
          <w:tcPr>
            <w:tcW w:w="1701" w:type="dxa"/>
            <w:noWrap/>
            <w:vAlign w:val="center"/>
            <w:hideMark/>
          </w:tcPr>
          <w:p w14:paraId="0B35BBC8" w14:textId="761FDC99" w:rsidR="00422B0D" w:rsidRPr="00912343" w:rsidRDefault="00422B0D" w:rsidP="006D4A1D">
            <w:pPr>
              <w:suppressAutoHyphens w:val="0"/>
              <w:jc w:val="center"/>
              <w:cnfStyle w:val="000000100000" w:firstRow="0" w:lastRow="0" w:firstColumn="0" w:lastColumn="0" w:oddVBand="0" w:evenVBand="0" w:oddHBand="1" w:evenHBand="0" w:firstRowFirstColumn="0" w:firstRowLastColumn="0" w:lastRowFirstColumn="0" w:lastRowLastColumn="0"/>
              <w:rPr>
                <w:rFonts w:cs="Arial"/>
                <w:b/>
                <w:bCs/>
                <w:color w:val="000000" w:themeColor="text1"/>
                <w:sz w:val="18"/>
                <w:szCs w:val="18"/>
                <w:lang w:val="es-CO" w:eastAsia="es-CO"/>
              </w:rPr>
            </w:pPr>
            <w:r w:rsidRPr="00912343">
              <w:rPr>
                <w:rFonts w:cs="Arial"/>
                <w:b/>
                <w:bCs/>
                <w:color w:val="000000" w:themeColor="text1"/>
                <w:sz w:val="18"/>
                <w:szCs w:val="18"/>
                <w:lang w:val="es-CO" w:eastAsia="es-CO"/>
              </w:rPr>
              <w:t>$       65.553,79</w:t>
            </w:r>
          </w:p>
        </w:tc>
      </w:tr>
      <w:bookmarkEnd w:id="212"/>
    </w:tbl>
    <w:p w14:paraId="798A72C3" w14:textId="0F2FB8E4" w:rsidR="00647B10" w:rsidRDefault="00647B10" w:rsidP="00912343">
      <w:pPr>
        <w:rPr>
          <w:rFonts w:cs="Arial"/>
          <w:b/>
          <w:bCs/>
          <w:sz w:val="32"/>
          <w:szCs w:val="32"/>
        </w:rPr>
      </w:pPr>
    </w:p>
    <w:sectPr w:rsidR="00647B10" w:rsidSect="001B4D3C">
      <w:footnotePr>
        <w:pos w:val="beneathText"/>
      </w:footnotePr>
      <w:pgSz w:w="15840" w:h="12240" w:orient="landscape"/>
      <w:pgMar w:top="1440" w:right="1440" w:bottom="1440" w:left="1440" w:header="0" w:footer="335"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BF744E" w14:textId="77777777" w:rsidR="008E590A" w:rsidRDefault="008E590A">
      <w:r>
        <w:separator/>
      </w:r>
    </w:p>
  </w:endnote>
  <w:endnote w:type="continuationSeparator" w:id="0">
    <w:p w14:paraId="63502771" w14:textId="77777777" w:rsidR="008E590A" w:rsidRDefault="008E590A">
      <w:r>
        <w:continuationSeparator/>
      </w:r>
    </w:p>
  </w:endnote>
  <w:endnote w:type="continuationNotice" w:id="1">
    <w:p w14:paraId="21645840" w14:textId="77777777" w:rsidR="008E590A" w:rsidRDefault="008E59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sans-serif">
    <w:altName w:val="Arial"/>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quot;Courier New&quot;">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Univers">
    <w:altName w:val="Arial"/>
    <w:charset w:val="00"/>
    <w:family w:val="swiss"/>
    <w:pitch w:val="variable"/>
    <w:sig w:usb0="80000287" w:usb1="00000000" w:usb2="00000000" w:usb3="00000000" w:csb0="0000000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wis721 Cn BT">
    <w:altName w:val="Arial Narrow"/>
    <w:charset w:val="00"/>
    <w:family w:val="auto"/>
    <w:pitch w:val="default"/>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sl">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D1115A" w14:textId="77777777" w:rsidR="000D4401" w:rsidRDefault="000D4401" w:rsidP="004A4644">
    <w:pPr>
      <w:pStyle w:val="Piedepgina"/>
      <w:rPr>
        <w:rFonts w:ascii="Swis721 Cn BT" w:hAnsi="Swis721 Cn BT"/>
        <w:sz w:val="14"/>
        <w:szCs w:val="14"/>
      </w:rPr>
    </w:pPr>
    <w:r>
      <w:rPr>
        <w:rFonts w:ascii="Swis721 Cn BT" w:hAnsi="Swis721 Cn BT"/>
        <w:sz w:val="14"/>
        <w:szCs w:val="14"/>
      </w:rPr>
      <w:t>Carrera 30 N.</w:t>
    </w:r>
    <w:r w:rsidRPr="00B51E3A">
      <w:rPr>
        <w:rFonts w:ascii="Swis721 Cn BT" w:hAnsi="Swis721 Cn BT"/>
        <w:sz w:val="14"/>
        <w:szCs w:val="14"/>
      </w:rPr>
      <w:t xml:space="preserve">º 48-51  </w:t>
    </w:r>
  </w:p>
  <w:p w14:paraId="3793A34E" w14:textId="77777777" w:rsidR="000D4401" w:rsidRDefault="000D4401" w:rsidP="004A4644">
    <w:pPr>
      <w:pStyle w:val="Piedepgina"/>
      <w:rPr>
        <w:rFonts w:ascii="Swis721 Cn BT" w:hAnsi="Swis721 Cn BT"/>
        <w:sz w:val="14"/>
        <w:szCs w:val="14"/>
      </w:rPr>
    </w:pPr>
    <w:r>
      <w:rPr>
        <w:rFonts w:ascii="Swis721 Cn BT" w:hAnsi="Swis721 Cn BT"/>
        <w:sz w:val="14"/>
        <w:szCs w:val="14"/>
      </w:rPr>
      <w:t>Servicio al Ciudadano</w:t>
    </w:r>
    <w:r w:rsidRPr="00B51E3A">
      <w:rPr>
        <w:rFonts w:ascii="Swis721 Cn BT" w:hAnsi="Swis721 Cn BT"/>
        <w:sz w:val="14"/>
        <w:szCs w:val="14"/>
      </w:rPr>
      <w:t>: 36</w:t>
    </w:r>
    <w:r>
      <w:rPr>
        <w:rFonts w:ascii="Swis721 Cn BT" w:hAnsi="Swis721 Cn BT"/>
        <w:sz w:val="14"/>
        <w:szCs w:val="14"/>
      </w:rPr>
      <w:t>9</w:t>
    </w:r>
    <w:r w:rsidRPr="00B51E3A">
      <w:rPr>
        <w:rFonts w:ascii="Swis721 Cn BT" w:hAnsi="Swis721 Cn BT"/>
        <w:sz w:val="14"/>
        <w:szCs w:val="14"/>
      </w:rPr>
      <w:t xml:space="preserve"> </w:t>
    </w:r>
    <w:r>
      <w:rPr>
        <w:rFonts w:ascii="Swis721 Cn BT" w:hAnsi="Swis721 Cn BT"/>
        <w:sz w:val="14"/>
        <w:szCs w:val="14"/>
      </w:rPr>
      <w:t>4000</w:t>
    </w:r>
    <w:r w:rsidRPr="00B51E3A">
      <w:rPr>
        <w:rFonts w:ascii="Swis721 Cn BT" w:hAnsi="Swis721 Cn BT"/>
        <w:sz w:val="14"/>
        <w:szCs w:val="14"/>
      </w:rPr>
      <w:t xml:space="preserve"> </w:t>
    </w:r>
    <w:r>
      <w:rPr>
        <w:rFonts w:ascii="Swis721 Cn BT" w:hAnsi="Swis721 Cn BT"/>
        <w:sz w:val="14"/>
        <w:szCs w:val="14"/>
      </w:rPr>
      <w:t xml:space="preserve">Ext. 91026 - 91023  </w:t>
    </w:r>
  </w:p>
  <w:p w14:paraId="35ECB99C" w14:textId="77777777" w:rsidR="000D4401" w:rsidRPr="00F72933" w:rsidRDefault="000D4401" w:rsidP="004A4644">
    <w:pPr>
      <w:pStyle w:val="Piedepgina"/>
      <w:rPr>
        <w:rFonts w:ascii="Swis721 Cn BT" w:hAnsi="Swis721 Cn BT"/>
        <w:sz w:val="14"/>
        <w:szCs w:val="14"/>
        <w:lang w:val="es-CO"/>
      </w:rPr>
    </w:pPr>
    <w:r w:rsidRPr="00F72933">
      <w:rPr>
        <w:rFonts w:ascii="Swis721 Cn BT" w:hAnsi="Swis721 Cn BT"/>
        <w:sz w:val="14"/>
        <w:szCs w:val="14"/>
        <w:lang w:val="es-CO"/>
      </w:rPr>
      <w:t>Bogotá D.C</w:t>
    </w:r>
  </w:p>
  <w:p w14:paraId="55995A15" w14:textId="77777777" w:rsidR="000D4401" w:rsidRPr="000009A4" w:rsidRDefault="000D4401" w:rsidP="004A4644">
    <w:pPr>
      <w:pStyle w:val="Piedepgina"/>
      <w:rPr>
        <w:rFonts w:ascii="Swis721 Cn BT" w:hAnsi="Swis721 Cn BT"/>
        <w:b/>
        <w:bCs/>
        <w:sz w:val="14"/>
        <w:szCs w:val="14"/>
      </w:rPr>
    </w:pPr>
    <w:hyperlink r:id="rId1" w:history="1">
      <w:r w:rsidRPr="000009A4">
        <w:rPr>
          <w:rStyle w:val="Hipervnculo"/>
          <w:rFonts w:ascii="Swis721 Cn BT" w:hAnsi="Swis721 Cn BT"/>
          <w:b/>
          <w:bCs/>
          <w:color w:val="auto"/>
          <w:sz w:val="14"/>
          <w:szCs w:val="14"/>
          <w:u w:val="none"/>
        </w:rPr>
        <w:t>www.igac.gov.co</w:t>
      </w:r>
    </w:hyperlink>
  </w:p>
  <w:p w14:paraId="7721AB3F" w14:textId="77777777" w:rsidR="000D4401" w:rsidRPr="007D716C" w:rsidRDefault="000D4401" w:rsidP="007D716C">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BFA2E8" w14:textId="77777777" w:rsidR="000D4401" w:rsidRDefault="000D4401" w:rsidP="004A4644">
    <w:pPr>
      <w:pStyle w:val="Piedepgina"/>
      <w:rPr>
        <w:rFonts w:ascii="Swis721 Cn BT" w:hAnsi="Swis721 Cn BT"/>
        <w:sz w:val="14"/>
        <w:szCs w:val="14"/>
      </w:rPr>
    </w:pPr>
    <w:r>
      <w:rPr>
        <w:rFonts w:ascii="Swis721 Cn BT" w:hAnsi="Swis721 Cn BT"/>
        <w:sz w:val="14"/>
        <w:szCs w:val="14"/>
      </w:rPr>
      <w:t>Carrera 30 N.</w:t>
    </w:r>
    <w:r w:rsidRPr="00B51E3A">
      <w:rPr>
        <w:rFonts w:ascii="Swis721 Cn BT" w:hAnsi="Swis721 Cn BT"/>
        <w:sz w:val="14"/>
        <w:szCs w:val="14"/>
      </w:rPr>
      <w:t xml:space="preserve">º 48-51  </w:t>
    </w:r>
  </w:p>
  <w:p w14:paraId="76D9969D" w14:textId="77777777" w:rsidR="000D4401" w:rsidRDefault="000D4401" w:rsidP="004A4644">
    <w:pPr>
      <w:pStyle w:val="Piedepgina"/>
      <w:rPr>
        <w:rFonts w:ascii="Swis721 Cn BT" w:hAnsi="Swis721 Cn BT"/>
        <w:sz w:val="14"/>
        <w:szCs w:val="14"/>
      </w:rPr>
    </w:pPr>
    <w:r>
      <w:rPr>
        <w:rFonts w:ascii="Swis721 Cn BT" w:hAnsi="Swis721 Cn BT"/>
        <w:sz w:val="14"/>
        <w:szCs w:val="14"/>
      </w:rPr>
      <w:t>Servicio al Ciudadano</w:t>
    </w:r>
    <w:r w:rsidRPr="00B51E3A">
      <w:rPr>
        <w:rFonts w:ascii="Swis721 Cn BT" w:hAnsi="Swis721 Cn BT"/>
        <w:sz w:val="14"/>
        <w:szCs w:val="14"/>
      </w:rPr>
      <w:t>: 36</w:t>
    </w:r>
    <w:r>
      <w:rPr>
        <w:rFonts w:ascii="Swis721 Cn BT" w:hAnsi="Swis721 Cn BT"/>
        <w:sz w:val="14"/>
        <w:szCs w:val="14"/>
      </w:rPr>
      <w:t>9</w:t>
    </w:r>
    <w:r w:rsidRPr="00B51E3A">
      <w:rPr>
        <w:rFonts w:ascii="Swis721 Cn BT" w:hAnsi="Swis721 Cn BT"/>
        <w:sz w:val="14"/>
        <w:szCs w:val="14"/>
      </w:rPr>
      <w:t xml:space="preserve"> </w:t>
    </w:r>
    <w:r>
      <w:rPr>
        <w:rFonts w:ascii="Swis721 Cn BT" w:hAnsi="Swis721 Cn BT"/>
        <w:sz w:val="14"/>
        <w:szCs w:val="14"/>
      </w:rPr>
      <w:t>4000</w:t>
    </w:r>
    <w:r w:rsidRPr="00B51E3A">
      <w:rPr>
        <w:rFonts w:ascii="Swis721 Cn BT" w:hAnsi="Swis721 Cn BT"/>
        <w:sz w:val="14"/>
        <w:szCs w:val="14"/>
      </w:rPr>
      <w:t xml:space="preserve"> </w:t>
    </w:r>
    <w:r>
      <w:rPr>
        <w:rFonts w:ascii="Swis721 Cn BT" w:hAnsi="Swis721 Cn BT"/>
        <w:sz w:val="14"/>
        <w:szCs w:val="14"/>
      </w:rPr>
      <w:t xml:space="preserve">Ext. 91026 - 91023  </w:t>
    </w:r>
  </w:p>
  <w:p w14:paraId="1473FA73" w14:textId="77777777" w:rsidR="000D4401" w:rsidRPr="00F72933" w:rsidRDefault="000D4401" w:rsidP="004A4644">
    <w:pPr>
      <w:pStyle w:val="Piedepgina"/>
      <w:rPr>
        <w:rFonts w:ascii="Swis721 Cn BT" w:hAnsi="Swis721 Cn BT"/>
        <w:sz w:val="14"/>
        <w:szCs w:val="14"/>
        <w:lang w:val="es-CO"/>
      </w:rPr>
    </w:pPr>
    <w:r w:rsidRPr="00F72933">
      <w:rPr>
        <w:rFonts w:ascii="Swis721 Cn BT" w:hAnsi="Swis721 Cn BT"/>
        <w:sz w:val="14"/>
        <w:szCs w:val="14"/>
        <w:lang w:val="es-CO"/>
      </w:rPr>
      <w:t>Bogotá D.C</w:t>
    </w:r>
  </w:p>
  <w:p w14:paraId="405BD988" w14:textId="77777777" w:rsidR="000D4401" w:rsidRPr="000009A4" w:rsidRDefault="000D4401" w:rsidP="004A4644">
    <w:pPr>
      <w:pStyle w:val="Piedepgina"/>
      <w:rPr>
        <w:rFonts w:ascii="Swis721 Cn BT" w:hAnsi="Swis721 Cn BT"/>
        <w:b/>
        <w:bCs/>
        <w:sz w:val="14"/>
        <w:szCs w:val="14"/>
      </w:rPr>
    </w:pPr>
    <w:hyperlink r:id="rId1" w:history="1">
      <w:r w:rsidRPr="000009A4">
        <w:rPr>
          <w:rStyle w:val="Hipervnculo"/>
          <w:rFonts w:ascii="Swis721 Cn BT" w:hAnsi="Swis721 Cn BT"/>
          <w:b/>
          <w:bCs/>
          <w:color w:val="auto"/>
          <w:sz w:val="14"/>
          <w:szCs w:val="14"/>
          <w:u w:val="none"/>
        </w:rPr>
        <w:t>www.igac.gov.co</w:t>
      </w:r>
    </w:hyperlink>
  </w:p>
  <w:p w14:paraId="3B8E55BF" w14:textId="44A2F0A3" w:rsidR="000D4401" w:rsidRDefault="000D440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1129F2" w14:textId="77777777" w:rsidR="008E590A" w:rsidRDefault="008E590A">
      <w:bookmarkStart w:id="0" w:name="_Hlk31617641"/>
      <w:bookmarkEnd w:id="0"/>
      <w:r>
        <w:separator/>
      </w:r>
    </w:p>
  </w:footnote>
  <w:footnote w:type="continuationSeparator" w:id="0">
    <w:p w14:paraId="7C676D53" w14:textId="77777777" w:rsidR="008E590A" w:rsidRDefault="008E590A">
      <w:r>
        <w:continuationSeparator/>
      </w:r>
    </w:p>
  </w:footnote>
  <w:footnote w:type="continuationNotice" w:id="1">
    <w:p w14:paraId="128C5D81" w14:textId="77777777" w:rsidR="008E590A" w:rsidRDefault="008E590A"/>
  </w:footnote>
  <w:footnote w:id="2">
    <w:p w14:paraId="4ADD3C70" w14:textId="77777777" w:rsidR="000D4401" w:rsidRPr="008B787D" w:rsidRDefault="000D4401" w:rsidP="00C651DD">
      <w:pPr>
        <w:pStyle w:val="Textocomentario"/>
        <w:rPr>
          <w:sz w:val="18"/>
          <w:szCs w:val="18"/>
        </w:rPr>
      </w:pPr>
      <w:r>
        <w:rPr>
          <w:rStyle w:val="Refdenotaalpie"/>
        </w:rPr>
        <w:footnoteRef/>
      </w:r>
      <w:r>
        <w:t xml:space="preserve"> </w:t>
      </w:r>
      <w:r w:rsidRPr="008B787D">
        <w:rPr>
          <w:sz w:val="18"/>
          <w:szCs w:val="18"/>
        </w:rPr>
        <w:t>Se incluye funcionario de libre nombramiento y remoción</w:t>
      </w:r>
    </w:p>
    <w:p w14:paraId="246471FA" w14:textId="77777777" w:rsidR="000D4401" w:rsidRDefault="000D4401" w:rsidP="00C651DD">
      <w:pPr>
        <w:pStyle w:val="Textonotapie"/>
      </w:pPr>
    </w:p>
  </w:footnote>
  <w:footnote w:id="3">
    <w:p w14:paraId="1839E896" w14:textId="77777777" w:rsidR="000D4401" w:rsidRPr="00FB13A0" w:rsidRDefault="000D4401" w:rsidP="00E13867">
      <w:pPr>
        <w:pStyle w:val="Textonotapie"/>
        <w:jc w:val="both"/>
        <w:rPr>
          <w:rFonts w:cs="Arial"/>
          <w:sz w:val="18"/>
          <w:szCs w:val="18"/>
          <w:lang w:val="es-CO"/>
        </w:rPr>
      </w:pPr>
      <w:r w:rsidRPr="00FB13A0">
        <w:rPr>
          <w:rStyle w:val="Refdenotaalpie"/>
          <w:rFonts w:cs="Arial"/>
          <w:sz w:val="18"/>
          <w:szCs w:val="18"/>
        </w:rPr>
        <w:footnoteRef/>
      </w:r>
      <w:r w:rsidRPr="00FB13A0">
        <w:rPr>
          <w:rFonts w:cs="Arial"/>
          <w:sz w:val="18"/>
          <w:szCs w:val="18"/>
        </w:rPr>
        <w:t xml:space="preserve"> </w:t>
      </w:r>
      <w:r w:rsidRPr="00FB13A0">
        <w:rPr>
          <w:rFonts w:cs="Arial"/>
          <w:sz w:val="18"/>
          <w:szCs w:val="18"/>
          <w:lang w:val="es-CO"/>
        </w:rPr>
        <w:t>Caracterización catastral: Documento</w:t>
      </w:r>
      <w:r w:rsidRPr="00FB13A0">
        <w:rPr>
          <w:rFonts w:cs="Arial"/>
          <w:color w:val="201F1E"/>
          <w:sz w:val="18"/>
          <w:szCs w:val="18"/>
          <w:bdr w:val="none" w:sz="0" w:space="0" w:color="auto" w:frame="1"/>
          <w:shd w:val="clear" w:color="auto" w:fill="FFFFFF"/>
        </w:rPr>
        <w:t xml:space="preserve"> técnico que refleja el estado de la información catastral, gestión de la atención de trámites (atendidos y pendientes por atender) y la calidad de la información gráfica y alfanumérica del municipio con base en los registros del IGAC.</w:t>
      </w:r>
    </w:p>
  </w:footnote>
  <w:footnote w:id="4">
    <w:p w14:paraId="5F9E712E" w14:textId="3E73E7D2" w:rsidR="000D4401" w:rsidRPr="007F5AED" w:rsidRDefault="000D4401">
      <w:pPr>
        <w:pStyle w:val="Textonotapie"/>
        <w:rPr>
          <w:lang w:val="es-MX"/>
        </w:rPr>
      </w:pPr>
      <w:r>
        <w:rPr>
          <w:rStyle w:val="Refdenotaalpie"/>
        </w:rPr>
        <w:footnoteRef/>
      </w:r>
      <w:r>
        <w:t xml:space="preserve"> </w:t>
      </w:r>
      <w:hyperlink r:id="rId1" w:anchor="_ftnref1">
        <w:r w:rsidRPr="31FF9146">
          <w:rPr>
            <w:rStyle w:val="Hipervnculo"/>
            <w:rFonts w:eastAsia="Arial" w:cs="Arial"/>
            <w:sz w:val="16"/>
            <w:szCs w:val="16"/>
            <w:vertAlign w:val="superscript"/>
            <w:lang w:val="es"/>
          </w:rPr>
          <w:t>[1]</w:t>
        </w:r>
      </w:hyperlink>
      <w:r w:rsidRPr="31FF9146">
        <w:rPr>
          <w:rFonts w:eastAsia="Arial" w:cs="Arial"/>
          <w:color w:val="000000" w:themeColor="text1"/>
          <w:sz w:val="16"/>
          <w:szCs w:val="16"/>
          <w:lang w:val="es"/>
        </w:rPr>
        <w:t xml:space="preserve"> </w:t>
      </w:r>
      <w:hyperlink r:id="rId2">
        <w:r w:rsidRPr="31FF9146">
          <w:rPr>
            <w:rStyle w:val="Hipervnculo"/>
            <w:rFonts w:eastAsia="Arial" w:cs="Arial"/>
            <w:sz w:val="16"/>
            <w:szCs w:val="16"/>
            <w:lang w:val="es-MX"/>
          </w:rPr>
          <w:t>https://www.igac.gov.co/sites/igac.gov.co/files/normograma/resolucion_1421_de_2021.pdf</w:t>
        </w:r>
      </w:hyperlink>
    </w:p>
  </w:footnote>
  <w:footnote w:id="5">
    <w:p w14:paraId="38BC314F" w14:textId="77777777" w:rsidR="000D4401" w:rsidRDefault="000D4401" w:rsidP="005325D9">
      <w:pPr>
        <w:pStyle w:val="Textonotapie"/>
      </w:pPr>
      <w:r w:rsidRPr="33F1B6AA">
        <w:rPr>
          <w:rStyle w:val="Refdenotaalpie"/>
        </w:rPr>
        <w:footnoteRef/>
      </w:r>
      <w:r w:rsidRPr="33F1B6AA">
        <w:t xml:space="preserve"> Sistema de Gestión Documental</w:t>
      </w:r>
    </w:p>
  </w:footnote>
  <w:footnote w:id="6">
    <w:p w14:paraId="1CDBFD16" w14:textId="77777777" w:rsidR="000D4401" w:rsidRDefault="000D4401" w:rsidP="00D2767F">
      <w:pPr>
        <w:pStyle w:val="Textonotapie"/>
      </w:pPr>
      <w:r>
        <w:rPr>
          <w:rStyle w:val="Refdenotaalpie"/>
          <w:rFonts w:eastAsia="Calibri"/>
        </w:rPr>
        <w:footnoteRef/>
      </w:r>
      <w:r>
        <w:t xml:space="preserve"> Matriz de gestión del cambio previsto para la vigencia 2022</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0D4401" w14:paraId="2FDFC7FD" w14:textId="77777777" w:rsidTr="00DC2440">
      <w:trPr>
        <w:trHeight w:val="567"/>
        <w:jc w:val="center"/>
      </w:trPr>
      <w:tc>
        <w:tcPr>
          <w:tcW w:w="729" w:type="dxa"/>
        </w:tcPr>
        <w:p w14:paraId="42E8D3E8" w14:textId="77777777" w:rsidR="000D4401" w:rsidRDefault="000D4401" w:rsidP="00DB0363">
          <w:pPr>
            <w:pStyle w:val="Encabezado"/>
            <w:snapToGrid w:val="0"/>
            <w:spacing w:before="120"/>
            <w:rPr>
              <w:rFonts w:ascii="Franklin Gothic Book" w:hAnsi="Franklin Gothic Book"/>
              <w:spacing w:val="8"/>
              <w:kern w:val="1"/>
              <w:sz w:val="30"/>
            </w:rPr>
          </w:pPr>
        </w:p>
      </w:tc>
      <w:tc>
        <w:tcPr>
          <w:tcW w:w="7766" w:type="dxa"/>
          <w:vAlign w:val="center"/>
        </w:tcPr>
        <w:p w14:paraId="79164352" w14:textId="77777777" w:rsidR="000D4401" w:rsidRDefault="000D4401">
          <w:pPr>
            <w:pStyle w:val="Encabezado"/>
            <w:spacing w:before="40"/>
            <w:jc w:val="center"/>
            <w:rPr>
              <w:rFonts w:ascii="Arial Narrow" w:hAnsi="Arial Narrow"/>
              <w:spacing w:val="90"/>
              <w:sz w:val="22"/>
            </w:rPr>
          </w:pPr>
        </w:p>
      </w:tc>
      <w:tc>
        <w:tcPr>
          <w:tcW w:w="815" w:type="dxa"/>
        </w:tcPr>
        <w:p w14:paraId="66218B09" w14:textId="77777777" w:rsidR="000D4401" w:rsidRDefault="000D4401">
          <w:pPr>
            <w:pStyle w:val="Encabezado"/>
            <w:snapToGrid w:val="0"/>
            <w:spacing w:before="120"/>
            <w:jc w:val="center"/>
          </w:pPr>
        </w:p>
      </w:tc>
    </w:tr>
  </w:tbl>
  <w:p w14:paraId="37080815" w14:textId="77777777" w:rsidR="000D4401" w:rsidRDefault="000D4401" w:rsidP="001C4A7D">
    <w:pPr>
      <w:pStyle w:val="Encabezado"/>
      <w:tabs>
        <w:tab w:val="clear" w:pos="4419"/>
        <w:tab w:val="clear" w:pos="8838"/>
        <w:tab w:val="center" w:pos="4536"/>
        <w:tab w:val="right" w:pos="10206"/>
      </w:tabs>
    </w:pPr>
    <w:r>
      <w:rPr>
        <w:noProof/>
        <w:lang w:val="es-CO" w:eastAsia="es-CO"/>
      </w:rPr>
      <w:drawing>
        <wp:anchor distT="0" distB="0" distL="114300" distR="114300" simplePos="0" relativeHeight="251658243" behindDoc="1" locked="0" layoutInCell="1" allowOverlap="1" wp14:anchorId="3F02273E" wp14:editId="50A851FC">
          <wp:simplePos x="0" y="0"/>
          <wp:positionH relativeFrom="column">
            <wp:posOffset>2552700</wp:posOffset>
          </wp:positionH>
          <wp:positionV relativeFrom="paragraph">
            <wp:posOffset>-43815</wp:posOffset>
          </wp:positionV>
          <wp:extent cx="1130300" cy="553720"/>
          <wp:effectExtent l="0" t="0" r="0" b="0"/>
          <wp:wrapNone/>
          <wp:docPr id="54"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logo_grises_png_cmyk.png"/>
                  <pic:cNvPicPr/>
                </pic:nvPicPr>
                <pic:blipFill rotWithShape="1">
                  <a:blip r:embed="rId1">
                    <a:extLst>
                      <a:ext uri="{28A0092B-C50C-407E-A947-70E740481C1C}">
                        <a14:useLocalDpi xmlns:a14="http://schemas.microsoft.com/office/drawing/2010/main" val="0"/>
                      </a:ext>
                    </a:extLst>
                  </a:blip>
                  <a:srcRect r="70741"/>
                  <a:stretch/>
                </pic:blipFill>
                <pic:spPr bwMode="auto">
                  <a:xfrm>
                    <a:off x="0" y="0"/>
                    <a:ext cx="1130300" cy="553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58242" behindDoc="1" locked="0" layoutInCell="1" allowOverlap="1" wp14:anchorId="645E0FEE" wp14:editId="07960012">
          <wp:simplePos x="0" y="0"/>
          <wp:positionH relativeFrom="column">
            <wp:posOffset>0</wp:posOffset>
          </wp:positionH>
          <wp:positionV relativeFrom="paragraph">
            <wp:posOffset>13970</wp:posOffset>
          </wp:positionV>
          <wp:extent cx="2214245" cy="466725"/>
          <wp:effectExtent l="0" t="0" r="0" b="9525"/>
          <wp:wrapNone/>
          <wp:docPr id="179370310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ris.png"/>
                  <pic:cNvPicPr/>
                </pic:nvPicPr>
                <pic:blipFill>
                  <a:blip r:embed="rId2">
                    <a:extLst>
                      <a:ext uri="{28A0092B-C50C-407E-A947-70E740481C1C}">
                        <a14:useLocalDpi xmlns:a14="http://schemas.microsoft.com/office/drawing/2010/main" val="0"/>
                      </a:ext>
                    </a:extLst>
                  </a:blip>
                  <a:stretch>
                    <a:fillRect/>
                  </a:stretch>
                </pic:blipFill>
                <pic:spPr>
                  <a:xfrm>
                    <a:off x="0" y="0"/>
                    <a:ext cx="2214245" cy="466725"/>
                  </a:xfrm>
                  <a:prstGeom prst="rect">
                    <a:avLst/>
                  </a:prstGeom>
                </pic:spPr>
              </pic:pic>
            </a:graphicData>
          </a:graphic>
          <wp14:sizeRelH relativeFrom="page">
            <wp14:pctWidth>0</wp14:pctWidth>
          </wp14:sizeRelH>
          <wp14:sizeRelV relativeFrom="page">
            <wp14:pctHeight>0</wp14:pctHeight>
          </wp14:sizeRelV>
        </wp:anchor>
      </w:drawing>
    </w:r>
    <w: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0D4401" w14:paraId="748BDE7B" w14:textId="77777777" w:rsidTr="00DC2440">
      <w:trPr>
        <w:trHeight w:val="567"/>
        <w:jc w:val="center"/>
      </w:trPr>
      <w:tc>
        <w:tcPr>
          <w:tcW w:w="729" w:type="dxa"/>
        </w:tcPr>
        <w:p w14:paraId="5875AA32" w14:textId="77777777" w:rsidR="000D4401" w:rsidRDefault="000D4401" w:rsidP="00DB0363">
          <w:pPr>
            <w:pStyle w:val="Encabezado"/>
            <w:snapToGrid w:val="0"/>
            <w:spacing w:before="120"/>
            <w:rPr>
              <w:rFonts w:ascii="Franklin Gothic Book" w:hAnsi="Franklin Gothic Book"/>
              <w:spacing w:val="8"/>
              <w:kern w:val="1"/>
              <w:sz w:val="30"/>
            </w:rPr>
          </w:pPr>
        </w:p>
      </w:tc>
      <w:tc>
        <w:tcPr>
          <w:tcW w:w="7766" w:type="dxa"/>
          <w:vAlign w:val="center"/>
        </w:tcPr>
        <w:p w14:paraId="350F2EAF" w14:textId="4FF59DE1" w:rsidR="000D4401" w:rsidRDefault="000D4401">
          <w:pPr>
            <w:pStyle w:val="Encabezado"/>
            <w:spacing w:before="40"/>
            <w:jc w:val="center"/>
            <w:rPr>
              <w:rFonts w:ascii="Arial Narrow" w:hAnsi="Arial Narrow"/>
              <w:spacing w:val="90"/>
              <w:sz w:val="22"/>
            </w:rPr>
          </w:pPr>
        </w:p>
      </w:tc>
      <w:tc>
        <w:tcPr>
          <w:tcW w:w="815" w:type="dxa"/>
        </w:tcPr>
        <w:p w14:paraId="227EC658" w14:textId="77777777" w:rsidR="000D4401" w:rsidRDefault="000D4401">
          <w:pPr>
            <w:pStyle w:val="Encabezado"/>
            <w:snapToGrid w:val="0"/>
            <w:spacing w:before="120"/>
            <w:jc w:val="center"/>
          </w:pPr>
        </w:p>
      </w:tc>
    </w:tr>
  </w:tbl>
  <w:p w14:paraId="34E2FD96" w14:textId="1CB6AD63" w:rsidR="000D4401" w:rsidRDefault="000D4401" w:rsidP="001C4A7D">
    <w:pPr>
      <w:pStyle w:val="Encabezado"/>
      <w:tabs>
        <w:tab w:val="clear" w:pos="4419"/>
        <w:tab w:val="clear" w:pos="8838"/>
        <w:tab w:val="center" w:pos="4536"/>
        <w:tab w:val="right" w:pos="10206"/>
      </w:tabs>
    </w:pPr>
    <w:r>
      <w:rPr>
        <w:noProof/>
        <w:lang w:val="es-CO" w:eastAsia="es-CO"/>
      </w:rPr>
      <w:drawing>
        <wp:anchor distT="0" distB="0" distL="114300" distR="114300" simplePos="0" relativeHeight="251658241" behindDoc="1" locked="0" layoutInCell="1" allowOverlap="1" wp14:anchorId="21C0F774" wp14:editId="6EA62A38">
          <wp:simplePos x="0" y="0"/>
          <wp:positionH relativeFrom="column">
            <wp:posOffset>2552700</wp:posOffset>
          </wp:positionH>
          <wp:positionV relativeFrom="paragraph">
            <wp:posOffset>-43815</wp:posOffset>
          </wp:positionV>
          <wp:extent cx="1130300" cy="553720"/>
          <wp:effectExtent l="0" t="0" r="0" b="0"/>
          <wp:wrapNone/>
          <wp:docPr id="1793703108" name="Imagen 1793703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logo_grises_png_cmyk.png"/>
                  <pic:cNvPicPr/>
                </pic:nvPicPr>
                <pic:blipFill rotWithShape="1">
                  <a:blip r:embed="rId1">
                    <a:extLst>
                      <a:ext uri="{28A0092B-C50C-407E-A947-70E740481C1C}">
                        <a14:useLocalDpi xmlns:a14="http://schemas.microsoft.com/office/drawing/2010/main" val="0"/>
                      </a:ext>
                    </a:extLst>
                  </a:blip>
                  <a:srcRect r="70741"/>
                  <a:stretch/>
                </pic:blipFill>
                <pic:spPr bwMode="auto">
                  <a:xfrm>
                    <a:off x="0" y="0"/>
                    <a:ext cx="1130300" cy="553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58240" behindDoc="1" locked="0" layoutInCell="1" allowOverlap="1" wp14:anchorId="0F6FB411" wp14:editId="654BC66F">
          <wp:simplePos x="0" y="0"/>
          <wp:positionH relativeFrom="column">
            <wp:posOffset>0</wp:posOffset>
          </wp:positionH>
          <wp:positionV relativeFrom="paragraph">
            <wp:posOffset>13970</wp:posOffset>
          </wp:positionV>
          <wp:extent cx="2214245" cy="466725"/>
          <wp:effectExtent l="0" t="0" r="0" b="9525"/>
          <wp:wrapNone/>
          <wp:docPr id="179370310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ris.png"/>
                  <pic:cNvPicPr/>
                </pic:nvPicPr>
                <pic:blipFill>
                  <a:blip r:embed="rId2">
                    <a:extLst>
                      <a:ext uri="{28A0092B-C50C-407E-A947-70E740481C1C}">
                        <a14:useLocalDpi xmlns:a14="http://schemas.microsoft.com/office/drawing/2010/main" val="0"/>
                      </a:ext>
                    </a:extLst>
                  </a:blip>
                  <a:stretch>
                    <a:fillRect/>
                  </a:stretch>
                </pic:blipFill>
                <pic:spPr>
                  <a:xfrm>
                    <a:off x="0" y="0"/>
                    <a:ext cx="2214245" cy="466725"/>
                  </a:xfrm>
                  <a:prstGeom prst="rect">
                    <a:avLst/>
                  </a:prstGeom>
                </pic:spPr>
              </pic:pic>
            </a:graphicData>
          </a:graphic>
          <wp14:sizeRelH relativeFrom="page">
            <wp14:pctWidth>0</wp14:pctWidth>
          </wp14:sizeRelH>
          <wp14:sizeRelV relativeFrom="page">
            <wp14:pctHeight>0</wp14:pctHeight>
          </wp14:sizeRelV>
        </wp:anchor>
      </w:drawing>
    </w:r>
    <w:r>
      <w:t xml:space="preserve">      </w:t>
    </w:r>
  </w:p>
</w:hdr>
</file>

<file path=word/intelligence.xml><?xml version="1.0" encoding="utf-8"?>
<int:Intelligence xmlns:int="http://schemas.microsoft.com/office/intelligence/2019/intelligence">
  <int:IntelligenceSettings/>
  <int:Manifest>
    <int:WordHash hashCode="2QbULpTPGnqAwY" id="LkzrlwDz"/>
    <int:WordHash hashCode="RRJMBQQx70vteL" id="p/moYdTb"/>
    <int:WordHash hashCode="PrIN9QAnNzHWTr" id="YFKlycEp"/>
    <int:WordHash hashCode="12oSflYzdSV/jV" id="y90BufDl"/>
    <int:WordHash hashCode="oqJxJYxUnMFaJt" id="zwzuNORC"/>
  </int:Manifest>
  <int:Observations>
    <int:Content id="LkzrlwDz">
      <int:Rejection type="LegacyProofing"/>
    </int:Content>
    <int:Content id="p/moYdTb">
      <int:Rejection type="LegacyProofing"/>
    </int:Content>
    <int:Content id="YFKlycEp">
      <int:Rejection type="LegacyProofing"/>
    </int:Content>
    <int:Content id="y90BufDl">
      <int:Rejection type="LegacyProofing"/>
    </int:Content>
    <int:Content id="zwzuNORC">
      <int:Rejection type="LegacyProofing"/>
    </int:Content>
  </int:Observations>
</int: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D57FB"/>
    <w:multiLevelType w:val="hybridMultilevel"/>
    <w:tmpl w:val="F9582716"/>
    <w:lvl w:ilvl="0" w:tplc="6A804874">
      <w:start w:val="9"/>
      <w:numFmt w:val="bullet"/>
      <w:lvlText w:val="-"/>
      <w:lvlJc w:val="left"/>
      <w:pPr>
        <w:ind w:left="861" w:hanging="360"/>
      </w:pPr>
      <w:rPr>
        <w:rFonts w:ascii="Times New Roman" w:eastAsiaTheme="minorEastAsia" w:hAnsi="Times New Roman" w:cs="Times New Roman" w:hint="default"/>
      </w:rPr>
    </w:lvl>
    <w:lvl w:ilvl="1" w:tplc="240A0003" w:tentative="1">
      <w:start w:val="1"/>
      <w:numFmt w:val="bullet"/>
      <w:lvlText w:val="o"/>
      <w:lvlJc w:val="left"/>
      <w:pPr>
        <w:ind w:left="1581" w:hanging="360"/>
      </w:pPr>
      <w:rPr>
        <w:rFonts w:ascii="Courier New" w:hAnsi="Courier New" w:cs="Courier New" w:hint="default"/>
      </w:rPr>
    </w:lvl>
    <w:lvl w:ilvl="2" w:tplc="240A0005" w:tentative="1">
      <w:start w:val="1"/>
      <w:numFmt w:val="bullet"/>
      <w:lvlText w:val=""/>
      <w:lvlJc w:val="left"/>
      <w:pPr>
        <w:ind w:left="2301" w:hanging="360"/>
      </w:pPr>
      <w:rPr>
        <w:rFonts w:ascii="Wingdings" w:hAnsi="Wingdings" w:hint="default"/>
      </w:rPr>
    </w:lvl>
    <w:lvl w:ilvl="3" w:tplc="240A0001" w:tentative="1">
      <w:start w:val="1"/>
      <w:numFmt w:val="bullet"/>
      <w:lvlText w:val=""/>
      <w:lvlJc w:val="left"/>
      <w:pPr>
        <w:ind w:left="3021" w:hanging="360"/>
      </w:pPr>
      <w:rPr>
        <w:rFonts w:ascii="Symbol" w:hAnsi="Symbol" w:hint="default"/>
      </w:rPr>
    </w:lvl>
    <w:lvl w:ilvl="4" w:tplc="240A0003" w:tentative="1">
      <w:start w:val="1"/>
      <w:numFmt w:val="bullet"/>
      <w:lvlText w:val="o"/>
      <w:lvlJc w:val="left"/>
      <w:pPr>
        <w:ind w:left="3741" w:hanging="360"/>
      </w:pPr>
      <w:rPr>
        <w:rFonts w:ascii="Courier New" w:hAnsi="Courier New" w:cs="Courier New" w:hint="default"/>
      </w:rPr>
    </w:lvl>
    <w:lvl w:ilvl="5" w:tplc="240A0005" w:tentative="1">
      <w:start w:val="1"/>
      <w:numFmt w:val="bullet"/>
      <w:lvlText w:val=""/>
      <w:lvlJc w:val="left"/>
      <w:pPr>
        <w:ind w:left="4461" w:hanging="360"/>
      </w:pPr>
      <w:rPr>
        <w:rFonts w:ascii="Wingdings" w:hAnsi="Wingdings" w:hint="default"/>
      </w:rPr>
    </w:lvl>
    <w:lvl w:ilvl="6" w:tplc="240A0001" w:tentative="1">
      <w:start w:val="1"/>
      <w:numFmt w:val="bullet"/>
      <w:lvlText w:val=""/>
      <w:lvlJc w:val="left"/>
      <w:pPr>
        <w:ind w:left="5181" w:hanging="360"/>
      </w:pPr>
      <w:rPr>
        <w:rFonts w:ascii="Symbol" w:hAnsi="Symbol" w:hint="default"/>
      </w:rPr>
    </w:lvl>
    <w:lvl w:ilvl="7" w:tplc="240A0003" w:tentative="1">
      <w:start w:val="1"/>
      <w:numFmt w:val="bullet"/>
      <w:lvlText w:val="o"/>
      <w:lvlJc w:val="left"/>
      <w:pPr>
        <w:ind w:left="5901" w:hanging="360"/>
      </w:pPr>
      <w:rPr>
        <w:rFonts w:ascii="Courier New" w:hAnsi="Courier New" w:cs="Courier New" w:hint="default"/>
      </w:rPr>
    </w:lvl>
    <w:lvl w:ilvl="8" w:tplc="240A0005" w:tentative="1">
      <w:start w:val="1"/>
      <w:numFmt w:val="bullet"/>
      <w:lvlText w:val=""/>
      <w:lvlJc w:val="left"/>
      <w:pPr>
        <w:ind w:left="6621" w:hanging="360"/>
      </w:pPr>
      <w:rPr>
        <w:rFonts w:ascii="Wingdings" w:hAnsi="Wingdings" w:hint="default"/>
      </w:rPr>
    </w:lvl>
  </w:abstractNum>
  <w:abstractNum w:abstractNumId="1" w15:restartNumberingAfterBreak="0">
    <w:nsid w:val="030C21B1"/>
    <w:multiLevelType w:val="hybridMultilevel"/>
    <w:tmpl w:val="159A15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42373A3"/>
    <w:multiLevelType w:val="hybridMultilevel"/>
    <w:tmpl w:val="FFFFFFFF"/>
    <w:lvl w:ilvl="0" w:tplc="1DD8385E">
      <w:start w:val="1"/>
      <w:numFmt w:val="bullet"/>
      <w:lvlText w:val="·"/>
      <w:lvlJc w:val="left"/>
      <w:pPr>
        <w:ind w:left="720" w:hanging="360"/>
      </w:pPr>
      <w:rPr>
        <w:rFonts w:ascii="Symbol" w:hAnsi="Symbol" w:hint="default"/>
      </w:rPr>
    </w:lvl>
    <w:lvl w:ilvl="1" w:tplc="C60C5ED2">
      <w:start w:val="1"/>
      <w:numFmt w:val="bullet"/>
      <w:lvlText w:val="o"/>
      <w:lvlJc w:val="left"/>
      <w:pPr>
        <w:ind w:left="1440" w:hanging="360"/>
      </w:pPr>
      <w:rPr>
        <w:rFonts w:ascii="Courier New" w:hAnsi="Courier New" w:hint="default"/>
      </w:rPr>
    </w:lvl>
    <w:lvl w:ilvl="2" w:tplc="15907D96">
      <w:start w:val="1"/>
      <w:numFmt w:val="bullet"/>
      <w:lvlText w:val=""/>
      <w:lvlJc w:val="left"/>
      <w:pPr>
        <w:ind w:left="2160" w:hanging="360"/>
      </w:pPr>
      <w:rPr>
        <w:rFonts w:ascii="Wingdings" w:hAnsi="Wingdings" w:hint="default"/>
      </w:rPr>
    </w:lvl>
    <w:lvl w:ilvl="3" w:tplc="6C243E0A">
      <w:start w:val="1"/>
      <w:numFmt w:val="bullet"/>
      <w:lvlText w:val=""/>
      <w:lvlJc w:val="left"/>
      <w:pPr>
        <w:ind w:left="2880" w:hanging="360"/>
      </w:pPr>
      <w:rPr>
        <w:rFonts w:ascii="Symbol" w:hAnsi="Symbol" w:hint="default"/>
      </w:rPr>
    </w:lvl>
    <w:lvl w:ilvl="4" w:tplc="5352D70E">
      <w:start w:val="1"/>
      <w:numFmt w:val="bullet"/>
      <w:lvlText w:val="o"/>
      <w:lvlJc w:val="left"/>
      <w:pPr>
        <w:ind w:left="3600" w:hanging="360"/>
      </w:pPr>
      <w:rPr>
        <w:rFonts w:ascii="Courier New" w:hAnsi="Courier New" w:hint="default"/>
      </w:rPr>
    </w:lvl>
    <w:lvl w:ilvl="5" w:tplc="D3A03592">
      <w:start w:val="1"/>
      <w:numFmt w:val="bullet"/>
      <w:lvlText w:val=""/>
      <w:lvlJc w:val="left"/>
      <w:pPr>
        <w:ind w:left="4320" w:hanging="360"/>
      </w:pPr>
      <w:rPr>
        <w:rFonts w:ascii="Wingdings" w:hAnsi="Wingdings" w:hint="default"/>
      </w:rPr>
    </w:lvl>
    <w:lvl w:ilvl="6" w:tplc="98047EF4">
      <w:start w:val="1"/>
      <w:numFmt w:val="bullet"/>
      <w:lvlText w:val=""/>
      <w:lvlJc w:val="left"/>
      <w:pPr>
        <w:ind w:left="5040" w:hanging="360"/>
      </w:pPr>
      <w:rPr>
        <w:rFonts w:ascii="Symbol" w:hAnsi="Symbol" w:hint="default"/>
      </w:rPr>
    </w:lvl>
    <w:lvl w:ilvl="7" w:tplc="F18E6766">
      <w:start w:val="1"/>
      <w:numFmt w:val="bullet"/>
      <w:lvlText w:val="o"/>
      <w:lvlJc w:val="left"/>
      <w:pPr>
        <w:ind w:left="5760" w:hanging="360"/>
      </w:pPr>
      <w:rPr>
        <w:rFonts w:ascii="Courier New" w:hAnsi="Courier New" w:hint="default"/>
      </w:rPr>
    </w:lvl>
    <w:lvl w:ilvl="8" w:tplc="430A6AE0">
      <w:start w:val="1"/>
      <w:numFmt w:val="bullet"/>
      <w:lvlText w:val=""/>
      <w:lvlJc w:val="left"/>
      <w:pPr>
        <w:ind w:left="6480" w:hanging="360"/>
      </w:pPr>
      <w:rPr>
        <w:rFonts w:ascii="Wingdings" w:hAnsi="Wingdings" w:hint="default"/>
      </w:rPr>
    </w:lvl>
  </w:abstractNum>
  <w:abstractNum w:abstractNumId="3" w15:restartNumberingAfterBreak="0">
    <w:nsid w:val="05361534"/>
    <w:multiLevelType w:val="hybridMultilevel"/>
    <w:tmpl w:val="57F4B4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5721CA7"/>
    <w:multiLevelType w:val="hybridMultilevel"/>
    <w:tmpl w:val="B274923A"/>
    <w:lvl w:ilvl="0" w:tplc="404AC410">
      <w:start w:val="1"/>
      <w:numFmt w:val="bullet"/>
      <w:lvlText w:val=""/>
      <w:lvlJc w:val="left"/>
      <w:pPr>
        <w:ind w:left="720" w:hanging="360"/>
      </w:pPr>
      <w:rPr>
        <w:rFonts w:ascii="Symbol" w:hAnsi="Symbol" w:hint="default"/>
      </w:rPr>
    </w:lvl>
    <w:lvl w:ilvl="1" w:tplc="1A442938">
      <w:start w:val="1"/>
      <w:numFmt w:val="bullet"/>
      <w:lvlText w:val="o"/>
      <w:lvlJc w:val="left"/>
      <w:pPr>
        <w:ind w:left="1440" w:hanging="360"/>
      </w:pPr>
      <w:rPr>
        <w:rFonts w:ascii="Courier New" w:hAnsi="Courier New" w:hint="default"/>
      </w:rPr>
    </w:lvl>
    <w:lvl w:ilvl="2" w:tplc="CCA69888">
      <w:start w:val="1"/>
      <w:numFmt w:val="bullet"/>
      <w:lvlText w:val=""/>
      <w:lvlJc w:val="left"/>
      <w:pPr>
        <w:ind w:left="2160" w:hanging="360"/>
      </w:pPr>
      <w:rPr>
        <w:rFonts w:ascii="Wingdings" w:hAnsi="Wingdings" w:hint="default"/>
      </w:rPr>
    </w:lvl>
    <w:lvl w:ilvl="3" w:tplc="31AE684A">
      <w:start w:val="1"/>
      <w:numFmt w:val="bullet"/>
      <w:lvlText w:val=""/>
      <w:lvlJc w:val="left"/>
      <w:pPr>
        <w:ind w:left="2880" w:hanging="360"/>
      </w:pPr>
      <w:rPr>
        <w:rFonts w:ascii="Symbol" w:hAnsi="Symbol" w:hint="default"/>
      </w:rPr>
    </w:lvl>
    <w:lvl w:ilvl="4" w:tplc="5AEA362A">
      <w:start w:val="1"/>
      <w:numFmt w:val="bullet"/>
      <w:lvlText w:val="o"/>
      <w:lvlJc w:val="left"/>
      <w:pPr>
        <w:ind w:left="3600" w:hanging="360"/>
      </w:pPr>
      <w:rPr>
        <w:rFonts w:ascii="Courier New" w:hAnsi="Courier New" w:hint="default"/>
      </w:rPr>
    </w:lvl>
    <w:lvl w:ilvl="5" w:tplc="4DCAD770">
      <w:start w:val="1"/>
      <w:numFmt w:val="bullet"/>
      <w:lvlText w:val=""/>
      <w:lvlJc w:val="left"/>
      <w:pPr>
        <w:ind w:left="4320" w:hanging="360"/>
      </w:pPr>
      <w:rPr>
        <w:rFonts w:ascii="Wingdings" w:hAnsi="Wingdings" w:hint="default"/>
      </w:rPr>
    </w:lvl>
    <w:lvl w:ilvl="6" w:tplc="7D42D320">
      <w:start w:val="1"/>
      <w:numFmt w:val="bullet"/>
      <w:lvlText w:val=""/>
      <w:lvlJc w:val="left"/>
      <w:pPr>
        <w:ind w:left="5040" w:hanging="360"/>
      </w:pPr>
      <w:rPr>
        <w:rFonts w:ascii="Symbol" w:hAnsi="Symbol" w:hint="default"/>
      </w:rPr>
    </w:lvl>
    <w:lvl w:ilvl="7" w:tplc="2A601FE4">
      <w:start w:val="1"/>
      <w:numFmt w:val="bullet"/>
      <w:lvlText w:val="o"/>
      <w:lvlJc w:val="left"/>
      <w:pPr>
        <w:ind w:left="5760" w:hanging="360"/>
      </w:pPr>
      <w:rPr>
        <w:rFonts w:ascii="Courier New" w:hAnsi="Courier New" w:hint="default"/>
      </w:rPr>
    </w:lvl>
    <w:lvl w:ilvl="8" w:tplc="CDC21B1E">
      <w:start w:val="1"/>
      <w:numFmt w:val="bullet"/>
      <w:lvlText w:val=""/>
      <w:lvlJc w:val="left"/>
      <w:pPr>
        <w:ind w:left="6480" w:hanging="360"/>
      </w:pPr>
      <w:rPr>
        <w:rFonts w:ascii="Wingdings" w:hAnsi="Wingdings" w:hint="default"/>
      </w:rPr>
    </w:lvl>
  </w:abstractNum>
  <w:abstractNum w:abstractNumId="5" w15:restartNumberingAfterBreak="0">
    <w:nsid w:val="057338FD"/>
    <w:multiLevelType w:val="hybridMultilevel"/>
    <w:tmpl w:val="E85CB298"/>
    <w:lvl w:ilvl="0" w:tplc="FE9EB060">
      <w:start w:val="1"/>
      <w:numFmt w:val="bullet"/>
      <w:lvlText w:val="·"/>
      <w:lvlJc w:val="left"/>
      <w:pPr>
        <w:ind w:left="720" w:hanging="360"/>
      </w:pPr>
      <w:rPr>
        <w:rFonts w:ascii="Symbol" w:hAnsi="Symbol" w:hint="default"/>
      </w:rPr>
    </w:lvl>
    <w:lvl w:ilvl="1" w:tplc="ED3E0502">
      <w:start w:val="1"/>
      <w:numFmt w:val="bullet"/>
      <w:lvlText w:val="o"/>
      <w:lvlJc w:val="left"/>
      <w:pPr>
        <w:ind w:left="1440" w:hanging="360"/>
      </w:pPr>
      <w:rPr>
        <w:rFonts w:ascii="Courier New" w:hAnsi="Courier New" w:hint="default"/>
      </w:rPr>
    </w:lvl>
    <w:lvl w:ilvl="2" w:tplc="68CCB394">
      <w:start w:val="1"/>
      <w:numFmt w:val="bullet"/>
      <w:lvlText w:val=""/>
      <w:lvlJc w:val="left"/>
      <w:pPr>
        <w:ind w:left="2160" w:hanging="360"/>
      </w:pPr>
      <w:rPr>
        <w:rFonts w:ascii="Wingdings" w:hAnsi="Wingdings" w:hint="default"/>
      </w:rPr>
    </w:lvl>
    <w:lvl w:ilvl="3" w:tplc="CA6E8E96">
      <w:start w:val="1"/>
      <w:numFmt w:val="bullet"/>
      <w:lvlText w:val=""/>
      <w:lvlJc w:val="left"/>
      <w:pPr>
        <w:ind w:left="2880" w:hanging="360"/>
      </w:pPr>
      <w:rPr>
        <w:rFonts w:ascii="Symbol" w:hAnsi="Symbol" w:hint="default"/>
      </w:rPr>
    </w:lvl>
    <w:lvl w:ilvl="4" w:tplc="885475CA">
      <w:start w:val="1"/>
      <w:numFmt w:val="bullet"/>
      <w:lvlText w:val="o"/>
      <w:lvlJc w:val="left"/>
      <w:pPr>
        <w:ind w:left="3600" w:hanging="360"/>
      </w:pPr>
      <w:rPr>
        <w:rFonts w:ascii="Courier New" w:hAnsi="Courier New" w:hint="default"/>
      </w:rPr>
    </w:lvl>
    <w:lvl w:ilvl="5" w:tplc="35CE6E84">
      <w:start w:val="1"/>
      <w:numFmt w:val="bullet"/>
      <w:lvlText w:val=""/>
      <w:lvlJc w:val="left"/>
      <w:pPr>
        <w:ind w:left="4320" w:hanging="360"/>
      </w:pPr>
      <w:rPr>
        <w:rFonts w:ascii="Wingdings" w:hAnsi="Wingdings" w:hint="default"/>
      </w:rPr>
    </w:lvl>
    <w:lvl w:ilvl="6" w:tplc="58587AE0">
      <w:start w:val="1"/>
      <w:numFmt w:val="bullet"/>
      <w:lvlText w:val=""/>
      <w:lvlJc w:val="left"/>
      <w:pPr>
        <w:ind w:left="5040" w:hanging="360"/>
      </w:pPr>
      <w:rPr>
        <w:rFonts w:ascii="Symbol" w:hAnsi="Symbol" w:hint="default"/>
      </w:rPr>
    </w:lvl>
    <w:lvl w:ilvl="7" w:tplc="65445DDC">
      <w:start w:val="1"/>
      <w:numFmt w:val="bullet"/>
      <w:lvlText w:val="o"/>
      <w:lvlJc w:val="left"/>
      <w:pPr>
        <w:ind w:left="5760" w:hanging="360"/>
      </w:pPr>
      <w:rPr>
        <w:rFonts w:ascii="Courier New" w:hAnsi="Courier New" w:hint="default"/>
      </w:rPr>
    </w:lvl>
    <w:lvl w:ilvl="8" w:tplc="1FCACD80">
      <w:start w:val="1"/>
      <w:numFmt w:val="bullet"/>
      <w:lvlText w:val=""/>
      <w:lvlJc w:val="left"/>
      <w:pPr>
        <w:ind w:left="6480" w:hanging="360"/>
      </w:pPr>
      <w:rPr>
        <w:rFonts w:ascii="Wingdings" w:hAnsi="Wingdings" w:hint="default"/>
      </w:rPr>
    </w:lvl>
  </w:abstractNum>
  <w:abstractNum w:abstractNumId="6" w15:restartNumberingAfterBreak="0">
    <w:nsid w:val="06535E7E"/>
    <w:multiLevelType w:val="hybridMultilevel"/>
    <w:tmpl w:val="BF661D70"/>
    <w:lvl w:ilvl="0" w:tplc="9A72A45C">
      <w:start w:val="1"/>
      <w:numFmt w:val="decimal"/>
      <w:lvlText w:val="%1."/>
      <w:lvlJc w:val="left"/>
      <w:pPr>
        <w:ind w:left="720" w:hanging="360"/>
      </w:pPr>
    </w:lvl>
    <w:lvl w:ilvl="1" w:tplc="F3383E18">
      <w:start w:val="1"/>
      <w:numFmt w:val="lowerLetter"/>
      <w:lvlText w:val="%2."/>
      <w:lvlJc w:val="left"/>
      <w:pPr>
        <w:ind w:left="1440" w:hanging="360"/>
      </w:pPr>
    </w:lvl>
    <w:lvl w:ilvl="2" w:tplc="AFE0CC7E">
      <w:start w:val="1"/>
      <w:numFmt w:val="lowerRoman"/>
      <w:lvlText w:val="%3."/>
      <w:lvlJc w:val="right"/>
      <w:pPr>
        <w:ind w:left="2160" w:hanging="180"/>
      </w:pPr>
    </w:lvl>
    <w:lvl w:ilvl="3" w:tplc="AC8294C6">
      <w:start w:val="1"/>
      <w:numFmt w:val="decimal"/>
      <w:lvlText w:val="%4."/>
      <w:lvlJc w:val="left"/>
      <w:pPr>
        <w:ind w:left="2880" w:hanging="360"/>
      </w:pPr>
    </w:lvl>
    <w:lvl w:ilvl="4" w:tplc="EE4C7F92">
      <w:start w:val="1"/>
      <w:numFmt w:val="lowerLetter"/>
      <w:lvlText w:val="%5."/>
      <w:lvlJc w:val="left"/>
      <w:pPr>
        <w:ind w:left="3600" w:hanging="360"/>
      </w:pPr>
    </w:lvl>
    <w:lvl w:ilvl="5" w:tplc="91945B52">
      <w:start w:val="1"/>
      <w:numFmt w:val="lowerRoman"/>
      <w:lvlText w:val="%6."/>
      <w:lvlJc w:val="right"/>
      <w:pPr>
        <w:ind w:left="4320" w:hanging="180"/>
      </w:pPr>
    </w:lvl>
    <w:lvl w:ilvl="6" w:tplc="BCCA3840">
      <w:start w:val="1"/>
      <w:numFmt w:val="decimal"/>
      <w:lvlText w:val="%7."/>
      <w:lvlJc w:val="left"/>
      <w:pPr>
        <w:ind w:left="5040" w:hanging="360"/>
      </w:pPr>
    </w:lvl>
    <w:lvl w:ilvl="7" w:tplc="53A8D174">
      <w:start w:val="1"/>
      <w:numFmt w:val="lowerLetter"/>
      <w:lvlText w:val="%8."/>
      <w:lvlJc w:val="left"/>
      <w:pPr>
        <w:ind w:left="5760" w:hanging="360"/>
      </w:pPr>
    </w:lvl>
    <w:lvl w:ilvl="8" w:tplc="FAEE2408">
      <w:start w:val="1"/>
      <w:numFmt w:val="lowerRoman"/>
      <w:lvlText w:val="%9."/>
      <w:lvlJc w:val="right"/>
      <w:pPr>
        <w:ind w:left="6480" w:hanging="180"/>
      </w:pPr>
    </w:lvl>
  </w:abstractNum>
  <w:abstractNum w:abstractNumId="7" w15:restartNumberingAfterBreak="0">
    <w:nsid w:val="069E1811"/>
    <w:multiLevelType w:val="hybridMultilevel"/>
    <w:tmpl w:val="93BE5562"/>
    <w:lvl w:ilvl="0" w:tplc="A05451AA">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077139C0"/>
    <w:multiLevelType w:val="hybridMultilevel"/>
    <w:tmpl w:val="96245012"/>
    <w:lvl w:ilvl="0" w:tplc="240A0001">
      <w:start w:val="1"/>
      <w:numFmt w:val="bullet"/>
      <w:lvlText w:val=""/>
      <w:lvlJc w:val="left"/>
      <w:pPr>
        <w:ind w:left="643" w:hanging="360"/>
      </w:pPr>
      <w:rPr>
        <w:rFonts w:ascii="Symbol" w:hAnsi="Symbol" w:hint="default"/>
      </w:rPr>
    </w:lvl>
    <w:lvl w:ilvl="1" w:tplc="240A0003" w:tentative="1">
      <w:start w:val="1"/>
      <w:numFmt w:val="bullet"/>
      <w:lvlText w:val="o"/>
      <w:lvlJc w:val="left"/>
      <w:pPr>
        <w:ind w:left="1363" w:hanging="360"/>
      </w:pPr>
      <w:rPr>
        <w:rFonts w:ascii="Courier New" w:hAnsi="Courier New" w:cs="Courier New" w:hint="default"/>
      </w:rPr>
    </w:lvl>
    <w:lvl w:ilvl="2" w:tplc="240A0005" w:tentative="1">
      <w:start w:val="1"/>
      <w:numFmt w:val="bullet"/>
      <w:lvlText w:val=""/>
      <w:lvlJc w:val="left"/>
      <w:pPr>
        <w:ind w:left="2083" w:hanging="360"/>
      </w:pPr>
      <w:rPr>
        <w:rFonts w:ascii="Wingdings" w:hAnsi="Wingdings" w:hint="default"/>
      </w:rPr>
    </w:lvl>
    <w:lvl w:ilvl="3" w:tplc="240A0001" w:tentative="1">
      <w:start w:val="1"/>
      <w:numFmt w:val="bullet"/>
      <w:lvlText w:val=""/>
      <w:lvlJc w:val="left"/>
      <w:pPr>
        <w:ind w:left="2803" w:hanging="360"/>
      </w:pPr>
      <w:rPr>
        <w:rFonts w:ascii="Symbol" w:hAnsi="Symbol" w:hint="default"/>
      </w:rPr>
    </w:lvl>
    <w:lvl w:ilvl="4" w:tplc="240A0003" w:tentative="1">
      <w:start w:val="1"/>
      <w:numFmt w:val="bullet"/>
      <w:lvlText w:val="o"/>
      <w:lvlJc w:val="left"/>
      <w:pPr>
        <w:ind w:left="3523" w:hanging="360"/>
      </w:pPr>
      <w:rPr>
        <w:rFonts w:ascii="Courier New" w:hAnsi="Courier New" w:cs="Courier New" w:hint="default"/>
      </w:rPr>
    </w:lvl>
    <w:lvl w:ilvl="5" w:tplc="240A0005" w:tentative="1">
      <w:start w:val="1"/>
      <w:numFmt w:val="bullet"/>
      <w:lvlText w:val=""/>
      <w:lvlJc w:val="left"/>
      <w:pPr>
        <w:ind w:left="4243" w:hanging="360"/>
      </w:pPr>
      <w:rPr>
        <w:rFonts w:ascii="Wingdings" w:hAnsi="Wingdings" w:hint="default"/>
      </w:rPr>
    </w:lvl>
    <w:lvl w:ilvl="6" w:tplc="240A0001" w:tentative="1">
      <w:start w:val="1"/>
      <w:numFmt w:val="bullet"/>
      <w:lvlText w:val=""/>
      <w:lvlJc w:val="left"/>
      <w:pPr>
        <w:ind w:left="4963" w:hanging="360"/>
      </w:pPr>
      <w:rPr>
        <w:rFonts w:ascii="Symbol" w:hAnsi="Symbol" w:hint="default"/>
      </w:rPr>
    </w:lvl>
    <w:lvl w:ilvl="7" w:tplc="240A0003" w:tentative="1">
      <w:start w:val="1"/>
      <w:numFmt w:val="bullet"/>
      <w:lvlText w:val="o"/>
      <w:lvlJc w:val="left"/>
      <w:pPr>
        <w:ind w:left="5683" w:hanging="360"/>
      </w:pPr>
      <w:rPr>
        <w:rFonts w:ascii="Courier New" w:hAnsi="Courier New" w:cs="Courier New" w:hint="default"/>
      </w:rPr>
    </w:lvl>
    <w:lvl w:ilvl="8" w:tplc="240A0005" w:tentative="1">
      <w:start w:val="1"/>
      <w:numFmt w:val="bullet"/>
      <w:lvlText w:val=""/>
      <w:lvlJc w:val="left"/>
      <w:pPr>
        <w:ind w:left="6403" w:hanging="360"/>
      </w:pPr>
      <w:rPr>
        <w:rFonts w:ascii="Wingdings" w:hAnsi="Wingdings" w:hint="default"/>
      </w:rPr>
    </w:lvl>
  </w:abstractNum>
  <w:abstractNum w:abstractNumId="9" w15:restartNumberingAfterBreak="0">
    <w:nsid w:val="079B7FE2"/>
    <w:multiLevelType w:val="hybridMultilevel"/>
    <w:tmpl w:val="0AD6FC76"/>
    <w:lvl w:ilvl="0" w:tplc="ED58DBC8">
      <w:start w:val="21"/>
      <w:numFmt w:val="bullet"/>
      <w:lvlText w:val="-"/>
      <w:lvlJc w:val="left"/>
      <w:pPr>
        <w:ind w:left="720" w:hanging="360"/>
      </w:pPr>
      <w:rPr>
        <w:rFonts w:ascii="Arial" w:eastAsia="Arial"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07B26B2A"/>
    <w:multiLevelType w:val="hybridMultilevel"/>
    <w:tmpl w:val="CE901002"/>
    <w:lvl w:ilvl="0" w:tplc="24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1" w15:restartNumberingAfterBreak="0">
    <w:nsid w:val="07BB4586"/>
    <w:multiLevelType w:val="hybridMultilevel"/>
    <w:tmpl w:val="DB8AD55A"/>
    <w:lvl w:ilvl="0" w:tplc="8B0E26CE">
      <w:start w:val="1"/>
      <w:numFmt w:val="bullet"/>
      <w:lvlText w:val="·"/>
      <w:lvlJc w:val="left"/>
      <w:pPr>
        <w:ind w:left="720" w:hanging="360"/>
      </w:pPr>
      <w:rPr>
        <w:rFonts w:ascii="Symbol" w:hAnsi="Symbol" w:hint="default"/>
      </w:rPr>
    </w:lvl>
    <w:lvl w:ilvl="1" w:tplc="206056F6">
      <w:start w:val="1"/>
      <w:numFmt w:val="bullet"/>
      <w:lvlText w:val="o"/>
      <w:lvlJc w:val="left"/>
      <w:pPr>
        <w:ind w:left="1440" w:hanging="360"/>
      </w:pPr>
      <w:rPr>
        <w:rFonts w:ascii="Courier New" w:hAnsi="Courier New" w:hint="default"/>
      </w:rPr>
    </w:lvl>
    <w:lvl w:ilvl="2" w:tplc="9B327336">
      <w:start w:val="1"/>
      <w:numFmt w:val="bullet"/>
      <w:lvlText w:val=""/>
      <w:lvlJc w:val="left"/>
      <w:pPr>
        <w:ind w:left="2160" w:hanging="360"/>
      </w:pPr>
      <w:rPr>
        <w:rFonts w:ascii="Wingdings" w:hAnsi="Wingdings" w:hint="default"/>
      </w:rPr>
    </w:lvl>
    <w:lvl w:ilvl="3" w:tplc="57FA8FE0">
      <w:start w:val="1"/>
      <w:numFmt w:val="bullet"/>
      <w:lvlText w:val=""/>
      <w:lvlJc w:val="left"/>
      <w:pPr>
        <w:ind w:left="2880" w:hanging="360"/>
      </w:pPr>
      <w:rPr>
        <w:rFonts w:ascii="Symbol" w:hAnsi="Symbol" w:hint="default"/>
      </w:rPr>
    </w:lvl>
    <w:lvl w:ilvl="4" w:tplc="EC60C416">
      <w:start w:val="1"/>
      <w:numFmt w:val="bullet"/>
      <w:lvlText w:val="o"/>
      <w:lvlJc w:val="left"/>
      <w:pPr>
        <w:ind w:left="3600" w:hanging="360"/>
      </w:pPr>
      <w:rPr>
        <w:rFonts w:ascii="Courier New" w:hAnsi="Courier New" w:hint="default"/>
      </w:rPr>
    </w:lvl>
    <w:lvl w:ilvl="5" w:tplc="37121BC4">
      <w:start w:val="1"/>
      <w:numFmt w:val="bullet"/>
      <w:lvlText w:val=""/>
      <w:lvlJc w:val="left"/>
      <w:pPr>
        <w:ind w:left="4320" w:hanging="360"/>
      </w:pPr>
      <w:rPr>
        <w:rFonts w:ascii="Wingdings" w:hAnsi="Wingdings" w:hint="default"/>
      </w:rPr>
    </w:lvl>
    <w:lvl w:ilvl="6" w:tplc="A8DA412C">
      <w:start w:val="1"/>
      <w:numFmt w:val="bullet"/>
      <w:lvlText w:val=""/>
      <w:lvlJc w:val="left"/>
      <w:pPr>
        <w:ind w:left="5040" w:hanging="360"/>
      </w:pPr>
      <w:rPr>
        <w:rFonts w:ascii="Symbol" w:hAnsi="Symbol" w:hint="default"/>
      </w:rPr>
    </w:lvl>
    <w:lvl w:ilvl="7" w:tplc="91AE4C90">
      <w:start w:val="1"/>
      <w:numFmt w:val="bullet"/>
      <w:lvlText w:val="o"/>
      <w:lvlJc w:val="left"/>
      <w:pPr>
        <w:ind w:left="5760" w:hanging="360"/>
      </w:pPr>
      <w:rPr>
        <w:rFonts w:ascii="Courier New" w:hAnsi="Courier New" w:hint="default"/>
      </w:rPr>
    </w:lvl>
    <w:lvl w:ilvl="8" w:tplc="A0627498">
      <w:start w:val="1"/>
      <w:numFmt w:val="bullet"/>
      <w:lvlText w:val=""/>
      <w:lvlJc w:val="left"/>
      <w:pPr>
        <w:ind w:left="6480" w:hanging="360"/>
      </w:pPr>
      <w:rPr>
        <w:rFonts w:ascii="Wingdings" w:hAnsi="Wingdings" w:hint="default"/>
      </w:rPr>
    </w:lvl>
  </w:abstractNum>
  <w:abstractNum w:abstractNumId="12" w15:restartNumberingAfterBreak="0">
    <w:nsid w:val="08C818B9"/>
    <w:multiLevelType w:val="hybridMultilevel"/>
    <w:tmpl w:val="FFFFFFFF"/>
    <w:lvl w:ilvl="0" w:tplc="506A483A">
      <w:start w:val="1"/>
      <w:numFmt w:val="bullet"/>
      <w:lvlText w:val="·"/>
      <w:lvlJc w:val="left"/>
      <w:pPr>
        <w:ind w:left="720" w:hanging="360"/>
      </w:pPr>
      <w:rPr>
        <w:rFonts w:ascii="Symbol" w:hAnsi="Symbol" w:hint="default"/>
      </w:rPr>
    </w:lvl>
    <w:lvl w:ilvl="1" w:tplc="4B044176">
      <w:start w:val="1"/>
      <w:numFmt w:val="bullet"/>
      <w:lvlText w:val="o"/>
      <w:lvlJc w:val="left"/>
      <w:pPr>
        <w:ind w:left="1440" w:hanging="360"/>
      </w:pPr>
      <w:rPr>
        <w:rFonts w:ascii="Courier New" w:hAnsi="Courier New" w:hint="default"/>
      </w:rPr>
    </w:lvl>
    <w:lvl w:ilvl="2" w:tplc="A5E85C12">
      <w:start w:val="1"/>
      <w:numFmt w:val="bullet"/>
      <w:lvlText w:val=""/>
      <w:lvlJc w:val="left"/>
      <w:pPr>
        <w:ind w:left="2160" w:hanging="360"/>
      </w:pPr>
      <w:rPr>
        <w:rFonts w:ascii="Wingdings" w:hAnsi="Wingdings" w:hint="default"/>
      </w:rPr>
    </w:lvl>
    <w:lvl w:ilvl="3" w:tplc="715C695E">
      <w:start w:val="1"/>
      <w:numFmt w:val="bullet"/>
      <w:lvlText w:val=""/>
      <w:lvlJc w:val="left"/>
      <w:pPr>
        <w:ind w:left="2880" w:hanging="360"/>
      </w:pPr>
      <w:rPr>
        <w:rFonts w:ascii="Symbol" w:hAnsi="Symbol" w:hint="default"/>
      </w:rPr>
    </w:lvl>
    <w:lvl w:ilvl="4" w:tplc="DBEA34DA">
      <w:start w:val="1"/>
      <w:numFmt w:val="bullet"/>
      <w:lvlText w:val="o"/>
      <w:lvlJc w:val="left"/>
      <w:pPr>
        <w:ind w:left="3600" w:hanging="360"/>
      </w:pPr>
      <w:rPr>
        <w:rFonts w:ascii="Courier New" w:hAnsi="Courier New" w:hint="default"/>
      </w:rPr>
    </w:lvl>
    <w:lvl w:ilvl="5" w:tplc="05EED8FC">
      <w:start w:val="1"/>
      <w:numFmt w:val="bullet"/>
      <w:lvlText w:val=""/>
      <w:lvlJc w:val="left"/>
      <w:pPr>
        <w:ind w:left="4320" w:hanging="360"/>
      </w:pPr>
      <w:rPr>
        <w:rFonts w:ascii="Wingdings" w:hAnsi="Wingdings" w:hint="default"/>
      </w:rPr>
    </w:lvl>
    <w:lvl w:ilvl="6" w:tplc="E9D645F8">
      <w:start w:val="1"/>
      <w:numFmt w:val="bullet"/>
      <w:lvlText w:val=""/>
      <w:lvlJc w:val="left"/>
      <w:pPr>
        <w:ind w:left="5040" w:hanging="360"/>
      </w:pPr>
      <w:rPr>
        <w:rFonts w:ascii="Symbol" w:hAnsi="Symbol" w:hint="default"/>
      </w:rPr>
    </w:lvl>
    <w:lvl w:ilvl="7" w:tplc="A9A489E0">
      <w:start w:val="1"/>
      <w:numFmt w:val="bullet"/>
      <w:lvlText w:val="o"/>
      <w:lvlJc w:val="left"/>
      <w:pPr>
        <w:ind w:left="5760" w:hanging="360"/>
      </w:pPr>
      <w:rPr>
        <w:rFonts w:ascii="Courier New" w:hAnsi="Courier New" w:hint="default"/>
      </w:rPr>
    </w:lvl>
    <w:lvl w:ilvl="8" w:tplc="C5A4A060">
      <w:start w:val="1"/>
      <w:numFmt w:val="bullet"/>
      <w:lvlText w:val=""/>
      <w:lvlJc w:val="left"/>
      <w:pPr>
        <w:ind w:left="6480" w:hanging="360"/>
      </w:pPr>
      <w:rPr>
        <w:rFonts w:ascii="Wingdings" w:hAnsi="Wingdings" w:hint="default"/>
      </w:rPr>
    </w:lvl>
  </w:abstractNum>
  <w:abstractNum w:abstractNumId="13" w15:restartNumberingAfterBreak="0">
    <w:nsid w:val="09412601"/>
    <w:multiLevelType w:val="hybridMultilevel"/>
    <w:tmpl w:val="92B47AB4"/>
    <w:lvl w:ilvl="0" w:tplc="B3DED5E0">
      <w:start w:val="1"/>
      <w:numFmt w:val="decimal"/>
      <w:lvlText w:val="%1."/>
      <w:lvlJc w:val="left"/>
      <w:pPr>
        <w:ind w:left="72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094B29B3"/>
    <w:multiLevelType w:val="hybridMultilevel"/>
    <w:tmpl w:val="E0025DF0"/>
    <w:lvl w:ilvl="0" w:tplc="240A0001">
      <w:start w:val="1"/>
      <w:numFmt w:val="bullet"/>
      <w:lvlText w:val=""/>
      <w:lvlJc w:val="left"/>
      <w:pPr>
        <w:ind w:left="720" w:hanging="360"/>
      </w:pPr>
      <w:rPr>
        <w:rFonts w:ascii="Symbol" w:hAnsi="Symbol" w:hint="default"/>
      </w:rPr>
    </w:lvl>
    <w:lvl w:ilvl="1" w:tplc="39D63EEE">
      <w:start w:val="1"/>
      <w:numFmt w:val="bullet"/>
      <w:lvlText w:val="o"/>
      <w:lvlJc w:val="left"/>
      <w:pPr>
        <w:ind w:left="1440" w:hanging="360"/>
      </w:pPr>
      <w:rPr>
        <w:rFonts w:ascii="Courier New" w:hAnsi="Courier New" w:hint="default"/>
      </w:rPr>
    </w:lvl>
    <w:lvl w:ilvl="2" w:tplc="9BEC19EC">
      <w:start w:val="1"/>
      <w:numFmt w:val="bullet"/>
      <w:lvlText w:val=""/>
      <w:lvlJc w:val="left"/>
      <w:pPr>
        <w:ind w:left="2160" w:hanging="360"/>
      </w:pPr>
      <w:rPr>
        <w:rFonts w:ascii="Wingdings" w:hAnsi="Wingdings" w:hint="default"/>
      </w:rPr>
    </w:lvl>
    <w:lvl w:ilvl="3" w:tplc="F1C233E4">
      <w:start w:val="1"/>
      <w:numFmt w:val="bullet"/>
      <w:lvlText w:val=""/>
      <w:lvlJc w:val="left"/>
      <w:pPr>
        <w:ind w:left="2880" w:hanging="360"/>
      </w:pPr>
      <w:rPr>
        <w:rFonts w:ascii="Symbol" w:hAnsi="Symbol" w:hint="default"/>
      </w:rPr>
    </w:lvl>
    <w:lvl w:ilvl="4" w:tplc="2EF606D2">
      <w:start w:val="1"/>
      <w:numFmt w:val="bullet"/>
      <w:lvlText w:val="o"/>
      <w:lvlJc w:val="left"/>
      <w:pPr>
        <w:ind w:left="3600" w:hanging="360"/>
      </w:pPr>
      <w:rPr>
        <w:rFonts w:ascii="Courier New" w:hAnsi="Courier New" w:hint="default"/>
      </w:rPr>
    </w:lvl>
    <w:lvl w:ilvl="5" w:tplc="27D216BE">
      <w:start w:val="1"/>
      <w:numFmt w:val="bullet"/>
      <w:lvlText w:val=""/>
      <w:lvlJc w:val="left"/>
      <w:pPr>
        <w:ind w:left="4320" w:hanging="360"/>
      </w:pPr>
      <w:rPr>
        <w:rFonts w:ascii="Wingdings" w:hAnsi="Wingdings" w:hint="default"/>
      </w:rPr>
    </w:lvl>
    <w:lvl w:ilvl="6" w:tplc="F9ACE68A">
      <w:start w:val="1"/>
      <w:numFmt w:val="bullet"/>
      <w:lvlText w:val=""/>
      <w:lvlJc w:val="left"/>
      <w:pPr>
        <w:ind w:left="5040" w:hanging="360"/>
      </w:pPr>
      <w:rPr>
        <w:rFonts w:ascii="Symbol" w:hAnsi="Symbol" w:hint="default"/>
      </w:rPr>
    </w:lvl>
    <w:lvl w:ilvl="7" w:tplc="F3187118">
      <w:start w:val="1"/>
      <w:numFmt w:val="bullet"/>
      <w:lvlText w:val="o"/>
      <w:lvlJc w:val="left"/>
      <w:pPr>
        <w:ind w:left="5760" w:hanging="360"/>
      </w:pPr>
      <w:rPr>
        <w:rFonts w:ascii="Courier New" w:hAnsi="Courier New" w:hint="default"/>
      </w:rPr>
    </w:lvl>
    <w:lvl w:ilvl="8" w:tplc="01A6BCF6">
      <w:start w:val="1"/>
      <w:numFmt w:val="bullet"/>
      <w:lvlText w:val=""/>
      <w:lvlJc w:val="left"/>
      <w:pPr>
        <w:ind w:left="6480" w:hanging="360"/>
      </w:pPr>
      <w:rPr>
        <w:rFonts w:ascii="Wingdings" w:hAnsi="Wingdings" w:hint="default"/>
      </w:rPr>
    </w:lvl>
  </w:abstractNum>
  <w:abstractNum w:abstractNumId="15" w15:restartNumberingAfterBreak="0">
    <w:nsid w:val="0A07699C"/>
    <w:multiLevelType w:val="hybridMultilevel"/>
    <w:tmpl w:val="FFFFFFFF"/>
    <w:lvl w:ilvl="0" w:tplc="B5F88972">
      <w:start w:val="1"/>
      <w:numFmt w:val="bullet"/>
      <w:lvlText w:val="·"/>
      <w:lvlJc w:val="left"/>
      <w:pPr>
        <w:ind w:left="720" w:hanging="360"/>
      </w:pPr>
      <w:rPr>
        <w:rFonts w:ascii="Symbol" w:hAnsi="Symbol" w:hint="default"/>
      </w:rPr>
    </w:lvl>
    <w:lvl w:ilvl="1" w:tplc="4DB2231E">
      <w:start w:val="1"/>
      <w:numFmt w:val="bullet"/>
      <w:lvlText w:val="o"/>
      <w:lvlJc w:val="left"/>
      <w:pPr>
        <w:ind w:left="1440" w:hanging="360"/>
      </w:pPr>
      <w:rPr>
        <w:rFonts w:ascii="Courier New" w:hAnsi="Courier New" w:hint="default"/>
      </w:rPr>
    </w:lvl>
    <w:lvl w:ilvl="2" w:tplc="7E4A5136">
      <w:start w:val="1"/>
      <w:numFmt w:val="bullet"/>
      <w:lvlText w:val=""/>
      <w:lvlJc w:val="left"/>
      <w:pPr>
        <w:ind w:left="2160" w:hanging="360"/>
      </w:pPr>
      <w:rPr>
        <w:rFonts w:ascii="Wingdings" w:hAnsi="Wingdings" w:hint="default"/>
      </w:rPr>
    </w:lvl>
    <w:lvl w:ilvl="3" w:tplc="0060B538">
      <w:start w:val="1"/>
      <w:numFmt w:val="bullet"/>
      <w:lvlText w:val=""/>
      <w:lvlJc w:val="left"/>
      <w:pPr>
        <w:ind w:left="2880" w:hanging="360"/>
      </w:pPr>
      <w:rPr>
        <w:rFonts w:ascii="Symbol" w:hAnsi="Symbol" w:hint="default"/>
      </w:rPr>
    </w:lvl>
    <w:lvl w:ilvl="4" w:tplc="A868232A">
      <w:start w:val="1"/>
      <w:numFmt w:val="bullet"/>
      <w:lvlText w:val="o"/>
      <w:lvlJc w:val="left"/>
      <w:pPr>
        <w:ind w:left="3600" w:hanging="360"/>
      </w:pPr>
      <w:rPr>
        <w:rFonts w:ascii="Courier New" w:hAnsi="Courier New" w:hint="default"/>
      </w:rPr>
    </w:lvl>
    <w:lvl w:ilvl="5" w:tplc="7A00DD4E">
      <w:start w:val="1"/>
      <w:numFmt w:val="bullet"/>
      <w:lvlText w:val=""/>
      <w:lvlJc w:val="left"/>
      <w:pPr>
        <w:ind w:left="4320" w:hanging="360"/>
      </w:pPr>
      <w:rPr>
        <w:rFonts w:ascii="Wingdings" w:hAnsi="Wingdings" w:hint="default"/>
      </w:rPr>
    </w:lvl>
    <w:lvl w:ilvl="6" w:tplc="9992DDA6">
      <w:start w:val="1"/>
      <w:numFmt w:val="bullet"/>
      <w:lvlText w:val=""/>
      <w:lvlJc w:val="left"/>
      <w:pPr>
        <w:ind w:left="5040" w:hanging="360"/>
      </w:pPr>
      <w:rPr>
        <w:rFonts w:ascii="Symbol" w:hAnsi="Symbol" w:hint="default"/>
      </w:rPr>
    </w:lvl>
    <w:lvl w:ilvl="7" w:tplc="B406BFB8">
      <w:start w:val="1"/>
      <w:numFmt w:val="bullet"/>
      <w:lvlText w:val="o"/>
      <w:lvlJc w:val="left"/>
      <w:pPr>
        <w:ind w:left="5760" w:hanging="360"/>
      </w:pPr>
      <w:rPr>
        <w:rFonts w:ascii="Courier New" w:hAnsi="Courier New" w:hint="default"/>
      </w:rPr>
    </w:lvl>
    <w:lvl w:ilvl="8" w:tplc="90185A80">
      <w:start w:val="1"/>
      <w:numFmt w:val="bullet"/>
      <w:lvlText w:val=""/>
      <w:lvlJc w:val="left"/>
      <w:pPr>
        <w:ind w:left="6480" w:hanging="360"/>
      </w:pPr>
      <w:rPr>
        <w:rFonts w:ascii="Wingdings" w:hAnsi="Wingdings" w:hint="default"/>
      </w:rPr>
    </w:lvl>
  </w:abstractNum>
  <w:abstractNum w:abstractNumId="16" w15:restartNumberingAfterBreak="0">
    <w:nsid w:val="0A22759B"/>
    <w:multiLevelType w:val="hybridMultilevel"/>
    <w:tmpl w:val="4EBC1140"/>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7" w15:restartNumberingAfterBreak="0">
    <w:nsid w:val="0A516BF5"/>
    <w:multiLevelType w:val="hybridMultilevel"/>
    <w:tmpl w:val="CC0EE080"/>
    <w:lvl w:ilvl="0" w:tplc="8CC85B3E">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8" w15:restartNumberingAfterBreak="0">
    <w:nsid w:val="0B7D765D"/>
    <w:multiLevelType w:val="hybridMultilevel"/>
    <w:tmpl w:val="48486C3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0C4975BD"/>
    <w:multiLevelType w:val="hybridMultilevel"/>
    <w:tmpl w:val="51BAAD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0D8A1C08"/>
    <w:multiLevelType w:val="hybridMultilevel"/>
    <w:tmpl w:val="638A03B2"/>
    <w:lvl w:ilvl="0" w:tplc="4F863626">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390CDBE6">
      <w:start w:val="1"/>
      <w:numFmt w:val="bullet"/>
      <w:lvlText w:val=""/>
      <w:lvlJc w:val="left"/>
      <w:pPr>
        <w:ind w:left="2160" w:hanging="360"/>
      </w:pPr>
      <w:rPr>
        <w:rFonts w:ascii="Wingdings" w:hAnsi="Wingdings" w:hint="default"/>
      </w:rPr>
    </w:lvl>
    <w:lvl w:ilvl="3" w:tplc="9D28B29C">
      <w:start w:val="1"/>
      <w:numFmt w:val="bullet"/>
      <w:lvlText w:val=""/>
      <w:lvlJc w:val="left"/>
      <w:pPr>
        <w:ind w:left="2880" w:hanging="360"/>
      </w:pPr>
      <w:rPr>
        <w:rFonts w:ascii="Symbol" w:hAnsi="Symbol" w:hint="default"/>
      </w:rPr>
    </w:lvl>
    <w:lvl w:ilvl="4" w:tplc="795AE244">
      <w:start w:val="1"/>
      <w:numFmt w:val="bullet"/>
      <w:lvlText w:val="o"/>
      <w:lvlJc w:val="left"/>
      <w:pPr>
        <w:ind w:left="3600" w:hanging="360"/>
      </w:pPr>
      <w:rPr>
        <w:rFonts w:ascii="Courier New" w:hAnsi="Courier New" w:hint="default"/>
      </w:rPr>
    </w:lvl>
    <w:lvl w:ilvl="5" w:tplc="CEA053F6">
      <w:start w:val="1"/>
      <w:numFmt w:val="bullet"/>
      <w:lvlText w:val=""/>
      <w:lvlJc w:val="left"/>
      <w:pPr>
        <w:ind w:left="4320" w:hanging="360"/>
      </w:pPr>
      <w:rPr>
        <w:rFonts w:ascii="Wingdings" w:hAnsi="Wingdings" w:hint="default"/>
      </w:rPr>
    </w:lvl>
    <w:lvl w:ilvl="6" w:tplc="555AAF00">
      <w:start w:val="1"/>
      <w:numFmt w:val="bullet"/>
      <w:lvlText w:val=""/>
      <w:lvlJc w:val="left"/>
      <w:pPr>
        <w:ind w:left="5040" w:hanging="360"/>
      </w:pPr>
      <w:rPr>
        <w:rFonts w:ascii="Symbol" w:hAnsi="Symbol" w:hint="default"/>
      </w:rPr>
    </w:lvl>
    <w:lvl w:ilvl="7" w:tplc="3A5423AA">
      <w:start w:val="1"/>
      <w:numFmt w:val="bullet"/>
      <w:lvlText w:val="o"/>
      <w:lvlJc w:val="left"/>
      <w:pPr>
        <w:ind w:left="5760" w:hanging="360"/>
      </w:pPr>
      <w:rPr>
        <w:rFonts w:ascii="Courier New" w:hAnsi="Courier New" w:hint="default"/>
      </w:rPr>
    </w:lvl>
    <w:lvl w:ilvl="8" w:tplc="93B283E2">
      <w:start w:val="1"/>
      <w:numFmt w:val="bullet"/>
      <w:lvlText w:val=""/>
      <w:lvlJc w:val="left"/>
      <w:pPr>
        <w:ind w:left="6480" w:hanging="360"/>
      </w:pPr>
      <w:rPr>
        <w:rFonts w:ascii="Wingdings" w:hAnsi="Wingdings" w:hint="default"/>
      </w:rPr>
    </w:lvl>
  </w:abstractNum>
  <w:abstractNum w:abstractNumId="21" w15:restartNumberingAfterBreak="0">
    <w:nsid w:val="0D955127"/>
    <w:multiLevelType w:val="hybridMultilevel"/>
    <w:tmpl w:val="0326009E"/>
    <w:lvl w:ilvl="0" w:tplc="6A804874">
      <w:start w:val="9"/>
      <w:numFmt w:val="bullet"/>
      <w:lvlText w:val="-"/>
      <w:lvlJc w:val="left"/>
      <w:pPr>
        <w:ind w:left="360" w:hanging="360"/>
      </w:pPr>
      <w:rPr>
        <w:rFonts w:ascii="Times New Roman" w:eastAsiaTheme="minorEastAsia" w:hAnsi="Times New Roman"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0E3D6C1A"/>
    <w:multiLevelType w:val="hybridMultilevel"/>
    <w:tmpl w:val="47CCE6FC"/>
    <w:lvl w:ilvl="0" w:tplc="B3685232">
      <w:numFmt w:val="bullet"/>
      <w:lvlText w:val=""/>
      <w:lvlJc w:val="left"/>
      <w:pPr>
        <w:ind w:left="720" w:hanging="360"/>
      </w:pPr>
      <w:rPr>
        <w:rFonts w:ascii="Symbol" w:eastAsia="Times New Roman" w:hAnsi="Symbol"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0EA63A38"/>
    <w:multiLevelType w:val="hybridMultilevel"/>
    <w:tmpl w:val="086C5230"/>
    <w:lvl w:ilvl="0" w:tplc="240A0001">
      <w:start w:val="1"/>
      <w:numFmt w:val="bullet"/>
      <w:lvlText w:val=""/>
      <w:lvlJc w:val="left"/>
      <w:pPr>
        <w:ind w:left="720" w:hanging="360"/>
      </w:pPr>
      <w:rPr>
        <w:rFonts w:ascii="Symbol" w:hAnsi="Symbol" w:hint="default"/>
      </w:rPr>
    </w:lvl>
    <w:lvl w:ilvl="1" w:tplc="6F962AD0">
      <w:start w:val="1"/>
      <w:numFmt w:val="bullet"/>
      <w:lvlText w:val="o"/>
      <w:lvlJc w:val="left"/>
      <w:pPr>
        <w:ind w:left="1440" w:hanging="360"/>
      </w:pPr>
      <w:rPr>
        <w:rFonts w:ascii="Courier New" w:hAnsi="Courier New" w:hint="default"/>
      </w:rPr>
    </w:lvl>
    <w:lvl w:ilvl="2" w:tplc="D1D8FA94">
      <w:start w:val="1"/>
      <w:numFmt w:val="bullet"/>
      <w:lvlText w:val=""/>
      <w:lvlJc w:val="left"/>
      <w:pPr>
        <w:ind w:left="2160" w:hanging="360"/>
      </w:pPr>
      <w:rPr>
        <w:rFonts w:ascii="Wingdings" w:hAnsi="Wingdings" w:hint="default"/>
      </w:rPr>
    </w:lvl>
    <w:lvl w:ilvl="3" w:tplc="B502953E">
      <w:start w:val="1"/>
      <w:numFmt w:val="bullet"/>
      <w:lvlText w:val=""/>
      <w:lvlJc w:val="left"/>
      <w:pPr>
        <w:ind w:left="2880" w:hanging="360"/>
      </w:pPr>
      <w:rPr>
        <w:rFonts w:ascii="Symbol" w:hAnsi="Symbol" w:hint="default"/>
      </w:rPr>
    </w:lvl>
    <w:lvl w:ilvl="4" w:tplc="DFA695B6">
      <w:start w:val="1"/>
      <w:numFmt w:val="bullet"/>
      <w:lvlText w:val="o"/>
      <w:lvlJc w:val="left"/>
      <w:pPr>
        <w:ind w:left="3600" w:hanging="360"/>
      </w:pPr>
      <w:rPr>
        <w:rFonts w:ascii="Courier New" w:hAnsi="Courier New" w:hint="default"/>
      </w:rPr>
    </w:lvl>
    <w:lvl w:ilvl="5" w:tplc="D7E0675A">
      <w:start w:val="1"/>
      <w:numFmt w:val="bullet"/>
      <w:lvlText w:val=""/>
      <w:lvlJc w:val="left"/>
      <w:pPr>
        <w:ind w:left="4320" w:hanging="360"/>
      </w:pPr>
      <w:rPr>
        <w:rFonts w:ascii="Wingdings" w:hAnsi="Wingdings" w:hint="default"/>
      </w:rPr>
    </w:lvl>
    <w:lvl w:ilvl="6" w:tplc="7240794C">
      <w:start w:val="1"/>
      <w:numFmt w:val="bullet"/>
      <w:lvlText w:val=""/>
      <w:lvlJc w:val="left"/>
      <w:pPr>
        <w:ind w:left="5040" w:hanging="360"/>
      </w:pPr>
      <w:rPr>
        <w:rFonts w:ascii="Symbol" w:hAnsi="Symbol" w:hint="default"/>
      </w:rPr>
    </w:lvl>
    <w:lvl w:ilvl="7" w:tplc="E4A05EA6">
      <w:start w:val="1"/>
      <w:numFmt w:val="bullet"/>
      <w:lvlText w:val="o"/>
      <w:lvlJc w:val="left"/>
      <w:pPr>
        <w:ind w:left="5760" w:hanging="360"/>
      </w:pPr>
      <w:rPr>
        <w:rFonts w:ascii="Courier New" w:hAnsi="Courier New" w:hint="default"/>
      </w:rPr>
    </w:lvl>
    <w:lvl w:ilvl="8" w:tplc="673ABA18">
      <w:start w:val="1"/>
      <w:numFmt w:val="bullet"/>
      <w:lvlText w:val=""/>
      <w:lvlJc w:val="left"/>
      <w:pPr>
        <w:ind w:left="6480" w:hanging="360"/>
      </w:pPr>
      <w:rPr>
        <w:rFonts w:ascii="Wingdings" w:hAnsi="Wingdings" w:hint="default"/>
      </w:rPr>
    </w:lvl>
  </w:abstractNum>
  <w:abstractNum w:abstractNumId="24" w15:restartNumberingAfterBreak="0">
    <w:nsid w:val="0EAA36F0"/>
    <w:multiLevelType w:val="hybridMultilevel"/>
    <w:tmpl w:val="9996B7B6"/>
    <w:lvl w:ilvl="0" w:tplc="6BD2B3D6">
      <w:start w:val="1"/>
      <w:numFmt w:val="bullet"/>
      <w:lvlText w:val="·"/>
      <w:lvlJc w:val="left"/>
      <w:pPr>
        <w:ind w:left="720" w:hanging="360"/>
      </w:pPr>
      <w:rPr>
        <w:rFonts w:ascii="Symbol" w:hAnsi="Symbol" w:hint="default"/>
      </w:rPr>
    </w:lvl>
    <w:lvl w:ilvl="1" w:tplc="C34836D0">
      <w:start w:val="1"/>
      <w:numFmt w:val="bullet"/>
      <w:lvlText w:val="o"/>
      <w:lvlJc w:val="left"/>
      <w:pPr>
        <w:ind w:left="1440" w:hanging="360"/>
      </w:pPr>
      <w:rPr>
        <w:rFonts w:ascii="Courier New" w:hAnsi="Courier New" w:hint="default"/>
      </w:rPr>
    </w:lvl>
    <w:lvl w:ilvl="2" w:tplc="113EBC7A">
      <w:start w:val="1"/>
      <w:numFmt w:val="bullet"/>
      <w:lvlText w:val=""/>
      <w:lvlJc w:val="left"/>
      <w:pPr>
        <w:ind w:left="2160" w:hanging="360"/>
      </w:pPr>
      <w:rPr>
        <w:rFonts w:ascii="Wingdings" w:hAnsi="Wingdings" w:hint="default"/>
      </w:rPr>
    </w:lvl>
    <w:lvl w:ilvl="3" w:tplc="408001C6">
      <w:start w:val="1"/>
      <w:numFmt w:val="bullet"/>
      <w:lvlText w:val=""/>
      <w:lvlJc w:val="left"/>
      <w:pPr>
        <w:ind w:left="2880" w:hanging="360"/>
      </w:pPr>
      <w:rPr>
        <w:rFonts w:ascii="Symbol" w:hAnsi="Symbol" w:hint="default"/>
      </w:rPr>
    </w:lvl>
    <w:lvl w:ilvl="4" w:tplc="57DC129A">
      <w:start w:val="1"/>
      <w:numFmt w:val="bullet"/>
      <w:lvlText w:val="o"/>
      <w:lvlJc w:val="left"/>
      <w:pPr>
        <w:ind w:left="3600" w:hanging="360"/>
      </w:pPr>
      <w:rPr>
        <w:rFonts w:ascii="Courier New" w:hAnsi="Courier New" w:hint="default"/>
      </w:rPr>
    </w:lvl>
    <w:lvl w:ilvl="5" w:tplc="20582430">
      <w:start w:val="1"/>
      <w:numFmt w:val="bullet"/>
      <w:lvlText w:val=""/>
      <w:lvlJc w:val="left"/>
      <w:pPr>
        <w:ind w:left="4320" w:hanging="360"/>
      </w:pPr>
      <w:rPr>
        <w:rFonts w:ascii="Wingdings" w:hAnsi="Wingdings" w:hint="default"/>
      </w:rPr>
    </w:lvl>
    <w:lvl w:ilvl="6" w:tplc="89285BFC">
      <w:start w:val="1"/>
      <w:numFmt w:val="bullet"/>
      <w:lvlText w:val=""/>
      <w:lvlJc w:val="left"/>
      <w:pPr>
        <w:ind w:left="5040" w:hanging="360"/>
      </w:pPr>
      <w:rPr>
        <w:rFonts w:ascii="Symbol" w:hAnsi="Symbol" w:hint="default"/>
      </w:rPr>
    </w:lvl>
    <w:lvl w:ilvl="7" w:tplc="3312BF7C">
      <w:start w:val="1"/>
      <w:numFmt w:val="bullet"/>
      <w:lvlText w:val="o"/>
      <w:lvlJc w:val="left"/>
      <w:pPr>
        <w:ind w:left="5760" w:hanging="360"/>
      </w:pPr>
      <w:rPr>
        <w:rFonts w:ascii="Courier New" w:hAnsi="Courier New" w:hint="default"/>
      </w:rPr>
    </w:lvl>
    <w:lvl w:ilvl="8" w:tplc="7DB61726">
      <w:start w:val="1"/>
      <w:numFmt w:val="bullet"/>
      <w:lvlText w:val=""/>
      <w:lvlJc w:val="left"/>
      <w:pPr>
        <w:ind w:left="6480" w:hanging="360"/>
      </w:pPr>
      <w:rPr>
        <w:rFonts w:ascii="Wingdings" w:hAnsi="Wingdings" w:hint="default"/>
      </w:rPr>
    </w:lvl>
  </w:abstractNum>
  <w:abstractNum w:abstractNumId="25" w15:restartNumberingAfterBreak="0">
    <w:nsid w:val="0EED559C"/>
    <w:multiLevelType w:val="hybridMultilevel"/>
    <w:tmpl w:val="42E005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0F124CA2"/>
    <w:multiLevelType w:val="multilevel"/>
    <w:tmpl w:val="2C02C4A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0F7079C7"/>
    <w:multiLevelType w:val="hybridMultilevel"/>
    <w:tmpl w:val="0D9214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0F753B9C"/>
    <w:multiLevelType w:val="hybridMultilevel"/>
    <w:tmpl w:val="87D6A5D0"/>
    <w:lvl w:ilvl="0" w:tplc="9FB456F4">
      <w:start w:val="1"/>
      <w:numFmt w:val="decimal"/>
      <w:lvlText w:val="%1."/>
      <w:lvlJc w:val="left"/>
      <w:pPr>
        <w:ind w:left="720" w:hanging="360"/>
      </w:pPr>
      <w:rPr>
        <w:b/>
      </w:rPr>
    </w:lvl>
    <w:lvl w:ilvl="1" w:tplc="25CAF9B0">
      <w:start w:val="1"/>
      <w:numFmt w:val="lowerLetter"/>
      <w:lvlText w:val="%2."/>
      <w:lvlJc w:val="left"/>
      <w:pPr>
        <w:ind w:left="1440" w:hanging="360"/>
      </w:pPr>
    </w:lvl>
    <w:lvl w:ilvl="2" w:tplc="7A6CEB20">
      <w:start w:val="1"/>
      <w:numFmt w:val="lowerRoman"/>
      <w:lvlText w:val="%3."/>
      <w:lvlJc w:val="right"/>
      <w:pPr>
        <w:ind w:left="2160" w:hanging="180"/>
      </w:pPr>
    </w:lvl>
    <w:lvl w:ilvl="3" w:tplc="B1E653F0">
      <w:start w:val="1"/>
      <w:numFmt w:val="decimal"/>
      <w:lvlText w:val="%4."/>
      <w:lvlJc w:val="left"/>
      <w:pPr>
        <w:ind w:left="2880" w:hanging="360"/>
      </w:pPr>
    </w:lvl>
    <w:lvl w:ilvl="4" w:tplc="ABA20CFE">
      <w:start w:val="1"/>
      <w:numFmt w:val="lowerLetter"/>
      <w:lvlText w:val="%5."/>
      <w:lvlJc w:val="left"/>
      <w:pPr>
        <w:ind w:left="3600" w:hanging="360"/>
      </w:pPr>
    </w:lvl>
    <w:lvl w:ilvl="5" w:tplc="CDE449C0">
      <w:start w:val="1"/>
      <w:numFmt w:val="lowerRoman"/>
      <w:lvlText w:val="%6."/>
      <w:lvlJc w:val="right"/>
      <w:pPr>
        <w:ind w:left="4320" w:hanging="180"/>
      </w:pPr>
    </w:lvl>
    <w:lvl w:ilvl="6" w:tplc="DB40C862">
      <w:start w:val="1"/>
      <w:numFmt w:val="decimal"/>
      <w:lvlText w:val="%7."/>
      <w:lvlJc w:val="left"/>
      <w:pPr>
        <w:ind w:left="5040" w:hanging="360"/>
      </w:pPr>
    </w:lvl>
    <w:lvl w:ilvl="7" w:tplc="F2A402A4">
      <w:start w:val="1"/>
      <w:numFmt w:val="lowerLetter"/>
      <w:lvlText w:val="%8."/>
      <w:lvlJc w:val="left"/>
      <w:pPr>
        <w:ind w:left="5760" w:hanging="360"/>
      </w:pPr>
    </w:lvl>
    <w:lvl w:ilvl="8" w:tplc="95185FEE">
      <w:start w:val="1"/>
      <w:numFmt w:val="lowerRoman"/>
      <w:lvlText w:val="%9."/>
      <w:lvlJc w:val="right"/>
      <w:pPr>
        <w:ind w:left="6480" w:hanging="180"/>
      </w:pPr>
    </w:lvl>
  </w:abstractNum>
  <w:abstractNum w:abstractNumId="29" w15:restartNumberingAfterBreak="0">
    <w:nsid w:val="100C4AA4"/>
    <w:multiLevelType w:val="hybridMultilevel"/>
    <w:tmpl w:val="7F1CD27E"/>
    <w:lvl w:ilvl="0" w:tplc="2EDE54F4">
      <w:start w:val="1"/>
      <w:numFmt w:val="bullet"/>
      <w:lvlText w:val=""/>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0" w15:restartNumberingAfterBreak="0">
    <w:nsid w:val="103F6D5A"/>
    <w:multiLevelType w:val="hybridMultilevel"/>
    <w:tmpl w:val="EBFA9C8E"/>
    <w:lvl w:ilvl="0" w:tplc="240A0001">
      <w:start w:val="1"/>
      <w:numFmt w:val="bullet"/>
      <w:lvlText w:val=""/>
      <w:lvlJc w:val="left"/>
      <w:pPr>
        <w:ind w:left="785" w:hanging="360"/>
      </w:pPr>
      <w:rPr>
        <w:rFonts w:ascii="Symbol" w:hAnsi="Symbol" w:hint="default"/>
      </w:rPr>
    </w:lvl>
    <w:lvl w:ilvl="1" w:tplc="240A0003" w:tentative="1">
      <w:start w:val="1"/>
      <w:numFmt w:val="bullet"/>
      <w:lvlText w:val="o"/>
      <w:lvlJc w:val="left"/>
      <w:pPr>
        <w:ind w:left="1505" w:hanging="360"/>
      </w:pPr>
      <w:rPr>
        <w:rFonts w:ascii="Courier New" w:hAnsi="Courier New" w:cs="Courier New" w:hint="default"/>
      </w:rPr>
    </w:lvl>
    <w:lvl w:ilvl="2" w:tplc="240A0005" w:tentative="1">
      <w:start w:val="1"/>
      <w:numFmt w:val="bullet"/>
      <w:lvlText w:val=""/>
      <w:lvlJc w:val="left"/>
      <w:pPr>
        <w:ind w:left="2225" w:hanging="360"/>
      </w:pPr>
      <w:rPr>
        <w:rFonts w:ascii="Wingdings" w:hAnsi="Wingdings" w:hint="default"/>
      </w:rPr>
    </w:lvl>
    <w:lvl w:ilvl="3" w:tplc="240A0001" w:tentative="1">
      <w:start w:val="1"/>
      <w:numFmt w:val="bullet"/>
      <w:lvlText w:val=""/>
      <w:lvlJc w:val="left"/>
      <w:pPr>
        <w:ind w:left="2945" w:hanging="360"/>
      </w:pPr>
      <w:rPr>
        <w:rFonts w:ascii="Symbol" w:hAnsi="Symbol" w:hint="default"/>
      </w:rPr>
    </w:lvl>
    <w:lvl w:ilvl="4" w:tplc="240A0003" w:tentative="1">
      <w:start w:val="1"/>
      <w:numFmt w:val="bullet"/>
      <w:lvlText w:val="o"/>
      <w:lvlJc w:val="left"/>
      <w:pPr>
        <w:ind w:left="3665" w:hanging="360"/>
      </w:pPr>
      <w:rPr>
        <w:rFonts w:ascii="Courier New" w:hAnsi="Courier New" w:cs="Courier New" w:hint="default"/>
      </w:rPr>
    </w:lvl>
    <w:lvl w:ilvl="5" w:tplc="240A0005" w:tentative="1">
      <w:start w:val="1"/>
      <w:numFmt w:val="bullet"/>
      <w:lvlText w:val=""/>
      <w:lvlJc w:val="left"/>
      <w:pPr>
        <w:ind w:left="4385" w:hanging="360"/>
      </w:pPr>
      <w:rPr>
        <w:rFonts w:ascii="Wingdings" w:hAnsi="Wingdings" w:hint="default"/>
      </w:rPr>
    </w:lvl>
    <w:lvl w:ilvl="6" w:tplc="240A0001" w:tentative="1">
      <w:start w:val="1"/>
      <w:numFmt w:val="bullet"/>
      <w:lvlText w:val=""/>
      <w:lvlJc w:val="left"/>
      <w:pPr>
        <w:ind w:left="5105" w:hanging="360"/>
      </w:pPr>
      <w:rPr>
        <w:rFonts w:ascii="Symbol" w:hAnsi="Symbol" w:hint="default"/>
      </w:rPr>
    </w:lvl>
    <w:lvl w:ilvl="7" w:tplc="240A0003" w:tentative="1">
      <w:start w:val="1"/>
      <w:numFmt w:val="bullet"/>
      <w:lvlText w:val="o"/>
      <w:lvlJc w:val="left"/>
      <w:pPr>
        <w:ind w:left="5825" w:hanging="360"/>
      </w:pPr>
      <w:rPr>
        <w:rFonts w:ascii="Courier New" w:hAnsi="Courier New" w:cs="Courier New" w:hint="default"/>
      </w:rPr>
    </w:lvl>
    <w:lvl w:ilvl="8" w:tplc="240A0005" w:tentative="1">
      <w:start w:val="1"/>
      <w:numFmt w:val="bullet"/>
      <w:lvlText w:val=""/>
      <w:lvlJc w:val="left"/>
      <w:pPr>
        <w:ind w:left="6545" w:hanging="360"/>
      </w:pPr>
      <w:rPr>
        <w:rFonts w:ascii="Wingdings" w:hAnsi="Wingdings" w:hint="default"/>
      </w:rPr>
    </w:lvl>
  </w:abstractNum>
  <w:abstractNum w:abstractNumId="31" w15:restartNumberingAfterBreak="0">
    <w:nsid w:val="1088608D"/>
    <w:multiLevelType w:val="multilevel"/>
    <w:tmpl w:val="9DA6848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109E332E"/>
    <w:multiLevelType w:val="multilevel"/>
    <w:tmpl w:val="CA406C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785"/>
        </w:tabs>
        <w:ind w:left="785" w:hanging="360"/>
      </w:pPr>
      <w:rPr>
        <w:rFonts w:ascii="Symbol" w:hAnsi="Symbol" w:hint="default"/>
        <w:sz w:val="22"/>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110A5199"/>
    <w:multiLevelType w:val="hybridMultilevel"/>
    <w:tmpl w:val="53427692"/>
    <w:lvl w:ilvl="0" w:tplc="59B294A8">
      <w:start w:val="1"/>
      <w:numFmt w:val="decimal"/>
      <w:lvlText w:val="%1."/>
      <w:lvlJc w:val="left"/>
      <w:pPr>
        <w:ind w:left="720" w:hanging="360"/>
      </w:pPr>
    </w:lvl>
    <w:lvl w:ilvl="1" w:tplc="561E3D88">
      <w:start w:val="1"/>
      <w:numFmt w:val="lowerLetter"/>
      <w:lvlText w:val="%2."/>
      <w:lvlJc w:val="left"/>
      <w:pPr>
        <w:ind w:left="1440" w:hanging="360"/>
      </w:pPr>
    </w:lvl>
    <w:lvl w:ilvl="2" w:tplc="0780045A">
      <w:start w:val="1"/>
      <w:numFmt w:val="lowerRoman"/>
      <w:lvlText w:val="%3."/>
      <w:lvlJc w:val="right"/>
      <w:pPr>
        <w:ind w:left="2160" w:hanging="180"/>
      </w:pPr>
    </w:lvl>
    <w:lvl w:ilvl="3" w:tplc="6BF630DE">
      <w:start w:val="1"/>
      <w:numFmt w:val="decimal"/>
      <w:lvlText w:val="%4."/>
      <w:lvlJc w:val="left"/>
      <w:pPr>
        <w:ind w:left="2880" w:hanging="360"/>
      </w:pPr>
    </w:lvl>
    <w:lvl w:ilvl="4" w:tplc="1898FA1C">
      <w:start w:val="1"/>
      <w:numFmt w:val="lowerLetter"/>
      <w:lvlText w:val="%5."/>
      <w:lvlJc w:val="left"/>
      <w:pPr>
        <w:ind w:left="3600" w:hanging="360"/>
      </w:pPr>
    </w:lvl>
    <w:lvl w:ilvl="5" w:tplc="CDEECEBC">
      <w:start w:val="1"/>
      <w:numFmt w:val="lowerRoman"/>
      <w:lvlText w:val="%6."/>
      <w:lvlJc w:val="right"/>
      <w:pPr>
        <w:ind w:left="4320" w:hanging="180"/>
      </w:pPr>
    </w:lvl>
    <w:lvl w:ilvl="6" w:tplc="A502BC14">
      <w:start w:val="1"/>
      <w:numFmt w:val="decimal"/>
      <w:lvlText w:val="%7."/>
      <w:lvlJc w:val="left"/>
      <w:pPr>
        <w:ind w:left="5040" w:hanging="360"/>
      </w:pPr>
    </w:lvl>
    <w:lvl w:ilvl="7" w:tplc="D3E0F4E2">
      <w:start w:val="1"/>
      <w:numFmt w:val="lowerLetter"/>
      <w:lvlText w:val="%8."/>
      <w:lvlJc w:val="left"/>
      <w:pPr>
        <w:ind w:left="5760" w:hanging="360"/>
      </w:pPr>
    </w:lvl>
    <w:lvl w:ilvl="8" w:tplc="033696BC">
      <w:start w:val="1"/>
      <w:numFmt w:val="lowerRoman"/>
      <w:lvlText w:val="%9."/>
      <w:lvlJc w:val="right"/>
      <w:pPr>
        <w:ind w:left="6480" w:hanging="180"/>
      </w:pPr>
    </w:lvl>
  </w:abstractNum>
  <w:abstractNum w:abstractNumId="34" w15:restartNumberingAfterBreak="0">
    <w:nsid w:val="13D63064"/>
    <w:multiLevelType w:val="hybridMultilevel"/>
    <w:tmpl w:val="D908C938"/>
    <w:lvl w:ilvl="0" w:tplc="240A0001">
      <w:start w:val="1"/>
      <w:numFmt w:val="bullet"/>
      <w:lvlText w:val=""/>
      <w:lvlJc w:val="left"/>
      <w:pPr>
        <w:ind w:left="720" w:hanging="360"/>
      </w:pPr>
      <w:rPr>
        <w:rFonts w:ascii="Symbol" w:hAnsi="Symbol" w:hint="default"/>
      </w:rPr>
    </w:lvl>
    <w:lvl w:ilvl="1" w:tplc="BF301756">
      <w:start w:val="1"/>
      <w:numFmt w:val="bullet"/>
      <w:lvlText w:val="o"/>
      <w:lvlJc w:val="left"/>
      <w:pPr>
        <w:ind w:left="1440" w:hanging="360"/>
      </w:pPr>
      <w:rPr>
        <w:rFonts w:ascii="Courier New" w:hAnsi="Courier New" w:hint="default"/>
      </w:rPr>
    </w:lvl>
    <w:lvl w:ilvl="2" w:tplc="960CE5C6">
      <w:start w:val="1"/>
      <w:numFmt w:val="bullet"/>
      <w:lvlText w:val=""/>
      <w:lvlJc w:val="left"/>
      <w:pPr>
        <w:ind w:left="2160" w:hanging="360"/>
      </w:pPr>
      <w:rPr>
        <w:rFonts w:ascii="Wingdings" w:hAnsi="Wingdings" w:hint="default"/>
      </w:rPr>
    </w:lvl>
    <w:lvl w:ilvl="3" w:tplc="60E48648">
      <w:start w:val="1"/>
      <w:numFmt w:val="bullet"/>
      <w:lvlText w:val=""/>
      <w:lvlJc w:val="left"/>
      <w:pPr>
        <w:ind w:left="2880" w:hanging="360"/>
      </w:pPr>
      <w:rPr>
        <w:rFonts w:ascii="Symbol" w:hAnsi="Symbol" w:hint="default"/>
      </w:rPr>
    </w:lvl>
    <w:lvl w:ilvl="4" w:tplc="0720AF80">
      <w:start w:val="1"/>
      <w:numFmt w:val="bullet"/>
      <w:lvlText w:val="o"/>
      <w:lvlJc w:val="left"/>
      <w:pPr>
        <w:ind w:left="3600" w:hanging="360"/>
      </w:pPr>
      <w:rPr>
        <w:rFonts w:ascii="Courier New" w:hAnsi="Courier New" w:hint="default"/>
      </w:rPr>
    </w:lvl>
    <w:lvl w:ilvl="5" w:tplc="31D086BE">
      <w:start w:val="1"/>
      <w:numFmt w:val="bullet"/>
      <w:lvlText w:val=""/>
      <w:lvlJc w:val="left"/>
      <w:pPr>
        <w:ind w:left="4320" w:hanging="360"/>
      </w:pPr>
      <w:rPr>
        <w:rFonts w:ascii="Wingdings" w:hAnsi="Wingdings" w:hint="default"/>
      </w:rPr>
    </w:lvl>
    <w:lvl w:ilvl="6" w:tplc="B2B07EB4">
      <w:start w:val="1"/>
      <w:numFmt w:val="bullet"/>
      <w:lvlText w:val=""/>
      <w:lvlJc w:val="left"/>
      <w:pPr>
        <w:ind w:left="5040" w:hanging="360"/>
      </w:pPr>
      <w:rPr>
        <w:rFonts w:ascii="Symbol" w:hAnsi="Symbol" w:hint="default"/>
      </w:rPr>
    </w:lvl>
    <w:lvl w:ilvl="7" w:tplc="2D4C37AE">
      <w:start w:val="1"/>
      <w:numFmt w:val="bullet"/>
      <w:lvlText w:val="o"/>
      <w:lvlJc w:val="left"/>
      <w:pPr>
        <w:ind w:left="5760" w:hanging="360"/>
      </w:pPr>
      <w:rPr>
        <w:rFonts w:ascii="Courier New" w:hAnsi="Courier New" w:hint="default"/>
      </w:rPr>
    </w:lvl>
    <w:lvl w:ilvl="8" w:tplc="76505650">
      <w:start w:val="1"/>
      <w:numFmt w:val="bullet"/>
      <w:lvlText w:val=""/>
      <w:lvlJc w:val="left"/>
      <w:pPr>
        <w:ind w:left="6480" w:hanging="360"/>
      </w:pPr>
      <w:rPr>
        <w:rFonts w:ascii="Wingdings" w:hAnsi="Wingdings" w:hint="default"/>
      </w:rPr>
    </w:lvl>
  </w:abstractNum>
  <w:abstractNum w:abstractNumId="35" w15:restartNumberingAfterBreak="0">
    <w:nsid w:val="14C73B6B"/>
    <w:multiLevelType w:val="hybridMultilevel"/>
    <w:tmpl w:val="6178AC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14D1437D"/>
    <w:multiLevelType w:val="hybridMultilevel"/>
    <w:tmpl w:val="FFFFFFFF"/>
    <w:lvl w:ilvl="0" w:tplc="8520996C">
      <w:start w:val="1"/>
      <w:numFmt w:val="bullet"/>
      <w:lvlText w:val="·"/>
      <w:lvlJc w:val="left"/>
      <w:pPr>
        <w:ind w:left="720" w:hanging="360"/>
      </w:pPr>
      <w:rPr>
        <w:rFonts w:ascii="Symbol" w:hAnsi="Symbol" w:hint="default"/>
      </w:rPr>
    </w:lvl>
    <w:lvl w:ilvl="1" w:tplc="72D6F49E">
      <w:start w:val="1"/>
      <w:numFmt w:val="bullet"/>
      <w:lvlText w:val="o"/>
      <w:lvlJc w:val="left"/>
      <w:pPr>
        <w:ind w:left="1440" w:hanging="360"/>
      </w:pPr>
      <w:rPr>
        <w:rFonts w:ascii="Courier New" w:hAnsi="Courier New" w:hint="default"/>
      </w:rPr>
    </w:lvl>
    <w:lvl w:ilvl="2" w:tplc="F956EBEE">
      <w:start w:val="1"/>
      <w:numFmt w:val="bullet"/>
      <w:lvlText w:val=""/>
      <w:lvlJc w:val="left"/>
      <w:pPr>
        <w:ind w:left="2160" w:hanging="360"/>
      </w:pPr>
      <w:rPr>
        <w:rFonts w:ascii="Wingdings" w:hAnsi="Wingdings" w:hint="default"/>
      </w:rPr>
    </w:lvl>
    <w:lvl w:ilvl="3" w:tplc="D1AEB338">
      <w:start w:val="1"/>
      <w:numFmt w:val="bullet"/>
      <w:lvlText w:val=""/>
      <w:lvlJc w:val="left"/>
      <w:pPr>
        <w:ind w:left="2880" w:hanging="360"/>
      </w:pPr>
      <w:rPr>
        <w:rFonts w:ascii="Symbol" w:hAnsi="Symbol" w:hint="default"/>
      </w:rPr>
    </w:lvl>
    <w:lvl w:ilvl="4" w:tplc="EF24ECE6">
      <w:start w:val="1"/>
      <w:numFmt w:val="bullet"/>
      <w:lvlText w:val="o"/>
      <w:lvlJc w:val="left"/>
      <w:pPr>
        <w:ind w:left="3600" w:hanging="360"/>
      </w:pPr>
      <w:rPr>
        <w:rFonts w:ascii="Courier New" w:hAnsi="Courier New" w:hint="default"/>
      </w:rPr>
    </w:lvl>
    <w:lvl w:ilvl="5" w:tplc="D246664C">
      <w:start w:val="1"/>
      <w:numFmt w:val="bullet"/>
      <w:lvlText w:val=""/>
      <w:lvlJc w:val="left"/>
      <w:pPr>
        <w:ind w:left="4320" w:hanging="360"/>
      </w:pPr>
      <w:rPr>
        <w:rFonts w:ascii="Wingdings" w:hAnsi="Wingdings" w:hint="default"/>
      </w:rPr>
    </w:lvl>
    <w:lvl w:ilvl="6" w:tplc="DDA489C6">
      <w:start w:val="1"/>
      <w:numFmt w:val="bullet"/>
      <w:lvlText w:val=""/>
      <w:lvlJc w:val="left"/>
      <w:pPr>
        <w:ind w:left="5040" w:hanging="360"/>
      </w:pPr>
      <w:rPr>
        <w:rFonts w:ascii="Symbol" w:hAnsi="Symbol" w:hint="default"/>
      </w:rPr>
    </w:lvl>
    <w:lvl w:ilvl="7" w:tplc="E1900BA8">
      <w:start w:val="1"/>
      <w:numFmt w:val="bullet"/>
      <w:lvlText w:val="o"/>
      <w:lvlJc w:val="left"/>
      <w:pPr>
        <w:ind w:left="5760" w:hanging="360"/>
      </w:pPr>
      <w:rPr>
        <w:rFonts w:ascii="Courier New" w:hAnsi="Courier New" w:hint="default"/>
      </w:rPr>
    </w:lvl>
    <w:lvl w:ilvl="8" w:tplc="8708E5F8">
      <w:start w:val="1"/>
      <w:numFmt w:val="bullet"/>
      <w:lvlText w:val=""/>
      <w:lvlJc w:val="left"/>
      <w:pPr>
        <w:ind w:left="6480" w:hanging="360"/>
      </w:pPr>
      <w:rPr>
        <w:rFonts w:ascii="Wingdings" w:hAnsi="Wingdings" w:hint="default"/>
      </w:rPr>
    </w:lvl>
  </w:abstractNum>
  <w:abstractNum w:abstractNumId="37" w15:restartNumberingAfterBreak="0">
    <w:nsid w:val="14D9742C"/>
    <w:multiLevelType w:val="hybridMultilevel"/>
    <w:tmpl w:val="51823A64"/>
    <w:lvl w:ilvl="0" w:tplc="240A0001">
      <w:start w:val="1"/>
      <w:numFmt w:val="bullet"/>
      <w:lvlText w:val=""/>
      <w:lvlJc w:val="left"/>
      <w:pPr>
        <w:ind w:left="720" w:hanging="360"/>
      </w:pPr>
      <w:rPr>
        <w:rFonts w:ascii="Symbol" w:hAnsi="Symbol" w:hint="default"/>
      </w:rPr>
    </w:lvl>
    <w:lvl w:ilvl="1" w:tplc="47B45732">
      <w:start w:val="1"/>
      <w:numFmt w:val="bullet"/>
      <w:lvlText w:val="o"/>
      <w:lvlJc w:val="left"/>
      <w:pPr>
        <w:ind w:left="1440" w:hanging="360"/>
      </w:pPr>
      <w:rPr>
        <w:rFonts w:ascii="Courier New" w:hAnsi="Courier New" w:hint="default"/>
      </w:rPr>
    </w:lvl>
    <w:lvl w:ilvl="2" w:tplc="76B0E28C">
      <w:start w:val="1"/>
      <w:numFmt w:val="bullet"/>
      <w:lvlText w:val=""/>
      <w:lvlJc w:val="left"/>
      <w:pPr>
        <w:ind w:left="2160" w:hanging="360"/>
      </w:pPr>
      <w:rPr>
        <w:rFonts w:ascii="Wingdings" w:hAnsi="Wingdings" w:hint="default"/>
      </w:rPr>
    </w:lvl>
    <w:lvl w:ilvl="3" w:tplc="AB323C4E">
      <w:start w:val="1"/>
      <w:numFmt w:val="bullet"/>
      <w:lvlText w:val=""/>
      <w:lvlJc w:val="left"/>
      <w:pPr>
        <w:ind w:left="2880" w:hanging="360"/>
      </w:pPr>
      <w:rPr>
        <w:rFonts w:ascii="Symbol" w:hAnsi="Symbol" w:hint="default"/>
      </w:rPr>
    </w:lvl>
    <w:lvl w:ilvl="4" w:tplc="E75C43EA">
      <w:start w:val="1"/>
      <w:numFmt w:val="bullet"/>
      <w:lvlText w:val="o"/>
      <w:lvlJc w:val="left"/>
      <w:pPr>
        <w:ind w:left="3600" w:hanging="360"/>
      </w:pPr>
      <w:rPr>
        <w:rFonts w:ascii="Courier New" w:hAnsi="Courier New" w:hint="default"/>
      </w:rPr>
    </w:lvl>
    <w:lvl w:ilvl="5" w:tplc="F1502BCC">
      <w:start w:val="1"/>
      <w:numFmt w:val="bullet"/>
      <w:lvlText w:val=""/>
      <w:lvlJc w:val="left"/>
      <w:pPr>
        <w:ind w:left="4320" w:hanging="360"/>
      </w:pPr>
      <w:rPr>
        <w:rFonts w:ascii="Wingdings" w:hAnsi="Wingdings" w:hint="default"/>
      </w:rPr>
    </w:lvl>
    <w:lvl w:ilvl="6" w:tplc="8168D7CC">
      <w:start w:val="1"/>
      <w:numFmt w:val="bullet"/>
      <w:lvlText w:val=""/>
      <w:lvlJc w:val="left"/>
      <w:pPr>
        <w:ind w:left="5040" w:hanging="360"/>
      </w:pPr>
      <w:rPr>
        <w:rFonts w:ascii="Symbol" w:hAnsi="Symbol" w:hint="default"/>
      </w:rPr>
    </w:lvl>
    <w:lvl w:ilvl="7" w:tplc="6CEC1F78">
      <w:start w:val="1"/>
      <w:numFmt w:val="bullet"/>
      <w:lvlText w:val="o"/>
      <w:lvlJc w:val="left"/>
      <w:pPr>
        <w:ind w:left="5760" w:hanging="360"/>
      </w:pPr>
      <w:rPr>
        <w:rFonts w:ascii="Courier New" w:hAnsi="Courier New" w:hint="default"/>
      </w:rPr>
    </w:lvl>
    <w:lvl w:ilvl="8" w:tplc="BDBED6A6">
      <w:start w:val="1"/>
      <w:numFmt w:val="bullet"/>
      <w:lvlText w:val=""/>
      <w:lvlJc w:val="left"/>
      <w:pPr>
        <w:ind w:left="6480" w:hanging="360"/>
      </w:pPr>
      <w:rPr>
        <w:rFonts w:ascii="Wingdings" w:hAnsi="Wingdings" w:hint="default"/>
      </w:rPr>
    </w:lvl>
  </w:abstractNum>
  <w:abstractNum w:abstractNumId="38" w15:restartNumberingAfterBreak="0">
    <w:nsid w:val="15022485"/>
    <w:multiLevelType w:val="hybridMultilevel"/>
    <w:tmpl w:val="FFFFFFFF"/>
    <w:lvl w:ilvl="0" w:tplc="835A9D12">
      <w:start w:val="1"/>
      <w:numFmt w:val="bullet"/>
      <w:lvlText w:val="·"/>
      <w:lvlJc w:val="left"/>
      <w:pPr>
        <w:ind w:left="720" w:hanging="360"/>
      </w:pPr>
      <w:rPr>
        <w:rFonts w:ascii="Symbol" w:hAnsi="Symbol" w:hint="default"/>
      </w:rPr>
    </w:lvl>
    <w:lvl w:ilvl="1" w:tplc="33DA976C">
      <w:start w:val="1"/>
      <w:numFmt w:val="bullet"/>
      <w:lvlText w:val="o"/>
      <w:lvlJc w:val="left"/>
      <w:pPr>
        <w:ind w:left="1440" w:hanging="360"/>
      </w:pPr>
      <w:rPr>
        <w:rFonts w:ascii="Courier New" w:hAnsi="Courier New" w:hint="default"/>
      </w:rPr>
    </w:lvl>
    <w:lvl w:ilvl="2" w:tplc="794A7BBE">
      <w:start w:val="1"/>
      <w:numFmt w:val="bullet"/>
      <w:lvlText w:val=""/>
      <w:lvlJc w:val="left"/>
      <w:pPr>
        <w:ind w:left="2160" w:hanging="360"/>
      </w:pPr>
      <w:rPr>
        <w:rFonts w:ascii="Wingdings" w:hAnsi="Wingdings" w:hint="default"/>
      </w:rPr>
    </w:lvl>
    <w:lvl w:ilvl="3" w:tplc="88E89B4E">
      <w:start w:val="1"/>
      <w:numFmt w:val="bullet"/>
      <w:lvlText w:val=""/>
      <w:lvlJc w:val="left"/>
      <w:pPr>
        <w:ind w:left="2880" w:hanging="360"/>
      </w:pPr>
      <w:rPr>
        <w:rFonts w:ascii="Symbol" w:hAnsi="Symbol" w:hint="default"/>
      </w:rPr>
    </w:lvl>
    <w:lvl w:ilvl="4" w:tplc="97C8509E">
      <w:start w:val="1"/>
      <w:numFmt w:val="bullet"/>
      <w:lvlText w:val="o"/>
      <w:lvlJc w:val="left"/>
      <w:pPr>
        <w:ind w:left="3600" w:hanging="360"/>
      </w:pPr>
      <w:rPr>
        <w:rFonts w:ascii="Courier New" w:hAnsi="Courier New" w:hint="default"/>
      </w:rPr>
    </w:lvl>
    <w:lvl w:ilvl="5" w:tplc="153C1DE4">
      <w:start w:val="1"/>
      <w:numFmt w:val="bullet"/>
      <w:lvlText w:val=""/>
      <w:lvlJc w:val="left"/>
      <w:pPr>
        <w:ind w:left="4320" w:hanging="360"/>
      </w:pPr>
      <w:rPr>
        <w:rFonts w:ascii="Wingdings" w:hAnsi="Wingdings" w:hint="default"/>
      </w:rPr>
    </w:lvl>
    <w:lvl w:ilvl="6" w:tplc="F35EE3E4">
      <w:start w:val="1"/>
      <w:numFmt w:val="bullet"/>
      <w:lvlText w:val=""/>
      <w:lvlJc w:val="left"/>
      <w:pPr>
        <w:ind w:left="5040" w:hanging="360"/>
      </w:pPr>
      <w:rPr>
        <w:rFonts w:ascii="Symbol" w:hAnsi="Symbol" w:hint="default"/>
      </w:rPr>
    </w:lvl>
    <w:lvl w:ilvl="7" w:tplc="4E904E18">
      <w:start w:val="1"/>
      <w:numFmt w:val="bullet"/>
      <w:lvlText w:val="o"/>
      <w:lvlJc w:val="left"/>
      <w:pPr>
        <w:ind w:left="5760" w:hanging="360"/>
      </w:pPr>
      <w:rPr>
        <w:rFonts w:ascii="Courier New" w:hAnsi="Courier New" w:hint="default"/>
      </w:rPr>
    </w:lvl>
    <w:lvl w:ilvl="8" w:tplc="65C4A6C0">
      <w:start w:val="1"/>
      <w:numFmt w:val="bullet"/>
      <w:lvlText w:val=""/>
      <w:lvlJc w:val="left"/>
      <w:pPr>
        <w:ind w:left="6480" w:hanging="360"/>
      </w:pPr>
      <w:rPr>
        <w:rFonts w:ascii="Wingdings" w:hAnsi="Wingdings" w:hint="default"/>
      </w:rPr>
    </w:lvl>
  </w:abstractNum>
  <w:abstractNum w:abstractNumId="39" w15:restartNumberingAfterBreak="0">
    <w:nsid w:val="15047B1B"/>
    <w:multiLevelType w:val="hybridMultilevel"/>
    <w:tmpl w:val="FFFFFFFF"/>
    <w:lvl w:ilvl="0" w:tplc="1F683B56">
      <w:start w:val="1"/>
      <w:numFmt w:val="bullet"/>
      <w:lvlText w:val="·"/>
      <w:lvlJc w:val="left"/>
      <w:pPr>
        <w:ind w:left="720" w:hanging="360"/>
      </w:pPr>
      <w:rPr>
        <w:rFonts w:ascii="Symbol" w:hAnsi="Symbol" w:hint="default"/>
      </w:rPr>
    </w:lvl>
    <w:lvl w:ilvl="1" w:tplc="BE066E60">
      <w:start w:val="1"/>
      <w:numFmt w:val="bullet"/>
      <w:lvlText w:val="o"/>
      <w:lvlJc w:val="left"/>
      <w:pPr>
        <w:ind w:left="1440" w:hanging="360"/>
      </w:pPr>
      <w:rPr>
        <w:rFonts w:ascii="Courier New" w:hAnsi="Courier New" w:hint="default"/>
      </w:rPr>
    </w:lvl>
    <w:lvl w:ilvl="2" w:tplc="C59C9632">
      <w:start w:val="1"/>
      <w:numFmt w:val="bullet"/>
      <w:lvlText w:val=""/>
      <w:lvlJc w:val="left"/>
      <w:pPr>
        <w:ind w:left="2160" w:hanging="360"/>
      </w:pPr>
      <w:rPr>
        <w:rFonts w:ascii="Wingdings" w:hAnsi="Wingdings" w:hint="default"/>
      </w:rPr>
    </w:lvl>
    <w:lvl w:ilvl="3" w:tplc="8812C102">
      <w:start w:val="1"/>
      <w:numFmt w:val="bullet"/>
      <w:lvlText w:val=""/>
      <w:lvlJc w:val="left"/>
      <w:pPr>
        <w:ind w:left="2880" w:hanging="360"/>
      </w:pPr>
      <w:rPr>
        <w:rFonts w:ascii="Symbol" w:hAnsi="Symbol" w:hint="default"/>
      </w:rPr>
    </w:lvl>
    <w:lvl w:ilvl="4" w:tplc="F47A9308">
      <w:start w:val="1"/>
      <w:numFmt w:val="bullet"/>
      <w:lvlText w:val="o"/>
      <w:lvlJc w:val="left"/>
      <w:pPr>
        <w:ind w:left="3600" w:hanging="360"/>
      </w:pPr>
      <w:rPr>
        <w:rFonts w:ascii="Courier New" w:hAnsi="Courier New" w:hint="default"/>
      </w:rPr>
    </w:lvl>
    <w:lvl w:ilvl="5" w:tplc="336289F0">
      <w:start w:val="1"/>
      <w:numFmt w:val="bullet"/>
      <w:lvlText w:val=""/>
      <w:lvlJc w:val="left"/>
      <w:pPr>
        <w:ind w:left="4320" w:hanging="360"/>
      </w:pPr>
      <w:rPr>
        <w:rFonts w:ascii="Wingdings" w:hAnsi="Wingdings" w:hint="default"/>
      </w:rPr>
    </w:lvl>
    <w:lvl w:ilvl="6" w:tplc="559CDDBA">
      <w:start w:val="1"/>
      <w:numFmt w:val="bullet"/>
      <w:lvlText w:val=""/>
      <w:lvlJc w:val="left"/>
      <w:pPr>
        <w:ind w:left="5040" w:hanging="360"/>
      </w:pPr>
      <w:rPr>
        <w:rFonts w:ascii="Symbol" w:hAnsi="Symbol" w:hint="default"/>
      </w:rPr>
    </w:lvl>
    <w:lvl w:ilvl="7" w:tplc="D10AFCF6">
      <w:start w:val="1"/>
      <w:numFmt w:val="bullet"/>
      <w:lvlText w:val="o"/>
      <w:lvlJc w:val="left"/>
      <w:pPr>
        <w:ind w:left="5760" w:hanging="360"/>
      </w:pPr>
      <w:rPr>
        <w:rFonts w:ascii="Courier New" w:hAnsi="Courier New" w:hint="default"/>
      </w:rPr>
    </w:lvl>
    <w:lvl w:ilvl="8" w:tplc="FE6E8E2A">
      <w:start w:val="1"/>
      <w:numFmt w:val="bullet"/>
      <w:lvlText w:val=""/>
      <w:lvlJc w:val="left"/>
      <w:pPr>
        <w:ind w:left="6480" w:hanging="360"/>
      </w:pPr>
      <w:rPr>
        <w:rFonts w:ascii="Wingdings" w:hAnsi="Wingdings" w:hint="default"/>
      </w:rPr>
    </w:lvl>
  </w:abstractNum>
  <w:abstractNum w:abstractNumId="40" w15:restartNumberingAfterBreak="0">
    <w:nsid w:val="154C49AD"/>
    <w:multiLevelType w:val="hybridMultilevel"/>
    <w:tmpl w:val="520E42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15840D1F"/>
    <w:multiLevelType w:val="hybridMultilevel"/>
    <w:tmpl w:val="27BEFC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15B32868"/>
    <w:multiLevelType w:val="hybridMultilevel"/>
    <w:tmpl w:val="9D8C70B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16056247"/>
    <w:multiLevelType w:val="hybridMultilevel"/>
    <w:tmpl w:val="30209F6E"/>
    <w:lvl w:ilvl="0" w:tplc="A05451AA">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4" w15:restartNumberingAfterBreak="0">
    <w:nsid w:val="1681185A"/>
    <w:multiLevelType w:val="hybridMultilevel"/>
    <w:tmpl w:val="44D4D754"/>
    <w:lvl w:ilvl="0" w:tplc="73B690F6">
      <w:start w:val="1"/>
      <w:numFmt w:val="bullet"/>
      <w:lvlText w:val=""/>
      <w:lvlJc w:val="left"/>
      <w:pPr>
        <w:ind w:left="720" w:hanging="360"/>
      </w:pPr>
      <w:rPr>
        <w:rFonts w:ascii="Symbol" w:hAnsi="Symbol" w:hint="default"/>
        <w:sz w:val="24"/>
        <w:szCs w:val="24"/>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5" w15:restartNumberingAfterBreak="0">
    <w:nsid w:val="17AE2E5F"/>
    <w:multiLevelType w:val="hybridMultilevel"/>
    <w:tmpl w:val="471ED99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15:restartNumberingAfterBreak="0">
    <w:nsid w:val="183F66EA"/>
    <w:multiLevelType w:val="hybridMultilevel"/>
    <w:tmpl w:val="C7964268"/>
    <w:lvl w:ilvl="0" w:tplc="07EE7B54">
      <w:start w:val="1"/>
      <w:numFmt w:val="bullet"/>
      <w:lvlText w:val="·"/>
      <w:lvlJc w:val="left"/>
      <w:pPr>
        <w:ind w:left="720" w:hanging="360"/>
      </w:pPr>
      <w:rPr>
        <w:rFonts w:ascii="Symbol" w:hAnsi="Symbol" w:hint="default"/>
      </w:rPr>
    </w:lvl>
    <w:lvl w:ilvl="1" w:tplc="BA6C6214">
      <w:start w:val="1"/>
      <w:numFmt w:val="bullet"/>
      <w:lvlText w:val="o"/>
      <w:lvlJc w:val="left"/>
      <w:pPr>
        <w:ind w:left="1440" w:hanging="360"/>
      </w:pPr>
      <w:rPr>
        <w:rFonts w:ascii="Courier New" w:hAnsi="Courier New" w:hint="default"/>
      </w:rPr>
    </w:lvl>
    <w:lvl w:ilvl="2" w:tplc="0D864BF0">
      <w:start w:val="1"/>
      <w:numFmt w:val="bullet"/>
      <w:lvlText w:val=""/>
      <w:lvlJc w:val="left"/>
      <w:pPr>
        <w:ind w:left="2160" w:hanging="360"/>
      </w:pPr>
      <w:rPr>
        <w:rFonts w:ascii="Wingdings" w:hAnsi="Wingdings" w:hint="default"/>
      </w:rPr>
    </w:lvl>
    <w:lvl w:ilvl="3" w:tplc="9A007804">
      <w:start w:val="1"/>
      <w:numFmt w:val="bullet"/>
      <w:lvlText w:val=""/>
      <w:lvlJc w:val="left"/>
      <w:pPr>
        <w:ind w:left="2880" w:hanging="360"/>
      </w:pPr>
      <w:rPr>
        <w:rFonts w:ascii="Symbol" w:hAnsi="Symbol" w:hint="default"/>
      </w:rPr>
    </w:lvl>
    <w:lvl w:ilvl="4" w:tplc="D24C5734">
      <w:start w:val="1"/>
      <w:numFmt w:val="bullet"/>
      <w:lvlText w:val="o"/>
      <w:lvlJc w:val="left"/>
      <w:pPr>
        <w:ind w:left="3600" w:hanging="360"/>
      </w:pPr>
      <w:rPr>
        <w:rFonts w:ascii="Courier New" w:hAnsi="Courier New" w:hint="default"/>
      </w:rPr>
    </w:lvl>
    <w:lvl w:ilvl="5" w:tplc="DE68BD10">
      <w:start w:val="1"/>
      <w:numFmt w:val="bullet"/>
      <w:lvlText w:val=""/>
      <w:lvlJc w:val="left"/>
      <w:pPr>
        <w:ind w:left="4320" w:hanging="360"/>
      </w:pPr>
      <w:rPr>
        <w:rFonts w:ascii="Wingdings" w:hAnsi="Wingdings" w:hint="default"/>
      </w:rPr>
    </w:lvl>
    <w:lvl w:ilvl="6" w:tplc="9A182F98">
      <w:start w:val="1"/>
      <w:numFmt w:val="bullet"/>
      <w:lvlText w:val=""/>
      <w:lvlJc w:val="left"/>
      <w:pPr>
        <w:ind w:left="5040" w:hanging="360"/>
      </w:pPr>
      <w:rPr>
        <w:rFonts w:ascii="Symbol" w:hAnsi="Symbol" w:hint="default"/>
      </w:rPr>
    </w:lvl>
    <w:lvl w:ilvl="7" w:tplc="643E1E74">
      <w:start w:val="1"/>
      <w:numFmt w:val="bullet"/>
      <w:lvlText w:val="o"/>
      <w:lvlJc w:val="left"/>
      <w:pPr>
        <w:ind w:left="5760" w:hanging="360"/>
      </w:pPr>
      <w:rPr>
        <w:rFonts w:ascii="Courier New" w:hAnsi="Courier New" w:hint="default"/>
      </w:rPr>
    </w:lvl>
    <w:lvl w:ilvl="8" w:tplc="A93A8E8A">
      <w:start w:val="1"/>
      <w:numFmt w:val="bullet"/>
      <w:lvlText w:val=""/>
      <w:lvlJc w:val="left"/>
      <w:pPr>
        <w:ind w:left="6480" w:hanging="360"/>
      </w:pPr>
      <w:rPr>
        <w:rFonts w:ascii="Wingdings" w:hAnsi="Wingdings" w:hint="default"/>
      </w:rPr>
    </w:lvl>
  </w:abstractNum>
  <w:abstractNum w:abstractNumId="47" w15:restartNumberingAfterBreak="0">
    <w:nsid w:val="187C7931"/>
    <w:multiLevelType w:val="hybridMultilevel"/>
    <w:tmpl w:val="BF5241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8" w15:restartNumberingAfterBreak="0">
    <w:nsid w:val="190F0AF4"/>
    <w:multiLevelType w:val="hybridMultilevel"/>
    <w:tmpl w:val="B0229C8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9" w15:restartNumberingAfterBreak="0">
    <w:nsid w:val="19162653"/>
    <w:multiLevelType w:val="hybridMultilevel"/>
    <w:tmpl w:val="9D30A288"/>
    <w:lvl w:ilvl="0" w:tplc="CD6AFD1A">
      <w:start w:val="1"/>
      <w:numFmt w:val="lowerLetter"/>
      <w:lvlText w:val="%1."/>
      <w:lvlJc w:val="left"/>
      <w:pPr>
        <w:ind w:left="720" w:hanging="360"/>
      </w:pPr>
      <w:rPr>
        <w:rFonts w:ascii="Arial" w:eastAsia="Times New Roman" w:hAnsi="Arial" w:cs="Arial" w:hint="default"/>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50" w15:restartNumberingAfterBreak="0">
    <w:nsid w:val="1946486D"/>
    <w:multiLevelType w:val="hybridMultilevel"/>
    <w:tmpl w:val="D4E85F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1" w15:restartNumberingAfterBreak="0">
    <w:nsid w:val="19766AC8"/>
    <w:multiLevelType w:val="hybridMultilevel"/>
    <w:tmpl w:val="4BB6F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2" w15:restartNumberingAfterBreak="0">
    <w:nsid w:val="19DE1CB3"/>
    <w:multiLevelType w:val="hybridMultilevel"/>
    <w:tmpl w:val="58CE31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3" w15:restartNumberingAfterBreak="0">
    <w:nsid w:val="1A00299D"/>
    <w:multiLevelType w:val="hybridMultilevel"/>
    <w:tmpl w:val="7EA04D2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4" w15:restartNumberingAfterBreak="0">
    <w:nsid w:val="1ACE0CCE"/>
    <w:multiLevelType w:val="hybridMultilevel"/>
    <w:tmpl w:val="AD38D5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5" w15:restartNumberingAfterBreak="0">
    <w:nsid w:val="1B0371B9"/>
    <w:multiLevelType w:val="multilevel"/>
    <w:tmpl w:val="2B42FB3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6" w15:restartNumberingAfterBreak="0">
    <w:nsid w:val="1B08310C"/>
    <w:multiLevelType w:val="multilevel"/>
    <w:tmpl w:val="80EAEF3A"/>
    <w:lvl w:ilvl="0">
      <w:start w:val="3"/>
      <w:numFmt w:val="lowerLetter"/>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7" w15:restartNumberingAfterBreak="0">
    <w:nsid w:val="1B292247"/>
    <w:multiLevelType w:val="hybridMultilevel"/>
    <w:tmpl w:val="8EEA0870"/>
    <w:lvl w:ilvl="0" w:tplc="308487B2">
      <w:start w:val="1"/>
      <w:numFmt w:val="bullet"/>
      <w:lvlText w:val="·"/>
      <w:lvlJc w:val="left"/>
      <w:pPr>
        <w:ind w:left="720" w:hanging="360"/>
      </w:pPr>
      <w:rPr>
        <w:rFonts w:ascii="Symbol" w:hAnsi="Symbol" w:hint="default"/>
      </w:rPr>
    </w:lvl>
    <w:lvl w:ilvl="1" w:tplc="494E854A">
      <w:start w:val="1"/>
      <w:numFmt w:val="bullet"/>
      <w:lvlText w:val="o"/>
      <w:lvlJc w:val="left"/>
      <w:pPr>
        <w:ind w:left="1440" w:hanging="360"/>
      </w:pPr>
      <w:rPr>
        <w:rFonts w:ascii="Courier New" w:hAnsi="Courier New" w:hint="default"/>
      </w:rPr>
    </w:lvl>
    <w:lvl w:ilvl="2" w:tplc="D1508AC4">
      <w:start w:val="1"/>
      <w:numFmt w:val="bullet"/>
      <w:lvlText w:val=""/>
      <w:lvlJc w:val="left"/>
      <w:pPr>
        <w:ind w:left="2160" w:hanging="360"/>
      </w:pPr>
      <w:rPr>
        <w:rFonts w:ascii="Wingdings" w:hAnsi="Wingdings" w:hint="default"/>
      </w:rPr>
    </w:lvl>
    <w:lvl w:ilvl="3" w:tplc="1B1410D2">
      <w:start w:val="1"/>
      <w:numFmt w:val="bullet"/>
      <w:lvlText w:val=""/>
      <w:lvlJc w:val="left"/>
      <w:pPr>
        <w:ind w:left="2880" w:hanging="360"/>
      </w:pPr>
      <w:rPr>
        <w:rFonts w:ascii="Symbol" w:hAnsi="Symbol" w:hint="default"/>
      </w:rPr>
    </w:lvl>
    <w:lvl w:ilvl="4" w:tplc="933833E8">
      <w:start w:val="1"/>
      <w:numFmt w:val="bullet"/>
      <w:lvlText w:val="o"/>
      <w:lvlJc w:val="left"/>
      <w:pPr>
        <w:ind w:left="3600" w:hanging="360"/>
      </w:pPr>
      <w:rPr>
        <w:rFonts w:ascii="Courier New" w:hAnsi="Courier New" w:hint="default"/>
      </w:rPr>
    </w:lvl>
    <w:lvl w:ilvl="5" w:tplc="9C2A9198">
      <w:start w:val="1"/>
      <w:numFmt w:val="bullet"/>
      <w:lvlText w:val=""/>
      <w:lvlJc w:val="left"/>
      <w:pPr>
        <w:ind w:left="4320" w:hanging="360"/>
      </w:pPr>
      <w:rPr>
        <w:rFonts w:ascii="Wingdings" w:hAnsi="Wingdings" w:hint="default"/>
      </w:rPr>
    </w:lvl>
    <w:lvl w:ilvl="6" w:tplc="E578B05A">
      <w:start w:val="1"/>
      <w:numFmt w:val="bullet"/>
      <w:lvlText w:val=""/>
      <w:lvlJc w:val="left"/>
      <w:pPr>
        <w:ind w:left="5040" w:hanging="360"/>
      </w:pPr>
      <w:rPr>
        <w:rFonts w:ascii="Symbol" w:hAnsi="Symbol" w:hint="default"/>
      </w:rPr>
    </w:lvl>
    <w:lvl w:ilvl="7" w:tplc="0130CBEC">
      <w:start w:val="1"/>
      <w:numFmt w:val="bullet"/>
      <w:lvlText w:val="o"/>
      <w:lvlJc w:val="left"/>
      <w:pPr>
        <w:ind w:left="5760" w:hanging="360"/>
      </w:pPr>
      <w:rPr>
        <w:rFonts w:ascii="Courier New" w:hAnsi="Courier New" w:hint="default"/>
      </w:rPr>
    </w:lvl>
    <w:lvl w:ilvl="8" w:tplc="C3B45D6E">
      <w:start w:val="1"/>
      <w:numFmt w:val="bullet"/>
      <w:lvlText w:val=""/>
      <w:lvlJc w:val="left"/>
      <w:pPr>
        <w:ind w:left="6480" w:hanging="360"/>
      </w:pPr>
      <w:rPr>
        <w:rFonts w:ascii="Wingdings" w:hAnsi="Wingdings" w:hint="default"/>
      </w:rPr>
    </w:lvl>
  </w:abstractNum>
  <w:abstractNum w:abstractNumId="58" w15:restartNumberingAfterBreak="0">
    <w:nsid w:val="1B356395"/>
    <w:multiLevelType w:val="hybridMultilevel"/>
    <w:tmpl w:val="15D298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9" w15:restartNumberingAfterBreak="0">
    <w:nsid w:val="1B5133EB"/>
    <w:multiLevelType w:val="hybridMultilevel"/>
    <w:tmpl w:val="E98E7800"/>
    <w:lvl w:ilvl="0" w:tplc="3B4E6B82">
      <w:start w:val="1"/>
      <w:numFmt w:val="bullet"/>
      <w:lvlText w:val="·"/>
      <w:lvlJc w:val="left"/>
      <w:pPr>
        <w:ind w:left="720" w:hanging="360"/>
      </w:pPr>
      <w:rPr>
        <w:rFonts w:ascii="Symbol" w:hAnsi="Symbol" w:hint="default"/>
      </w:rPr>
    </w:lvl>
    <w:lvl w:ilvl="1" w:tplc="C27A78C2">
      <w:start w:val="1"/>
      <w:numFmt w:val="bullet"/>
      <w:lvlText w:val="o"/>
      <w:lvlJc w:val="left"/>
      <w:pPr>
        <w:ind w:left="1440" w:hanging="360"/>
      </w:pPr>
      <w:rPr>
        <w:rFonts w:ascii="Courier New" w:hAnsi="Courier New" w:hint="default"/>
      </w:rPr>
    </w:lvl>
    <w:lvl w:ilvl="2" w:tplc="1EDE6D24">
      <w:start w:val="1"/>
      <w:numFmt w:val="bullet"/>
      <w:lvlText w:val=""/>
      <w:lvlJc w:val="left"/>
      <w:pPr>
        <w:ind w:left="2160" w:hanging="360"/>
      </w:pPr>
      <w:rPr>
        <w:rFonts w:ascii="Wingdings" w:hAnsi="Wingdings" w:hint="default"/>
      </w:rPr>
    </w:lvl>
    <w:lvl w:ilvl="3" w:tplc="7EDAFDF0">
      <w:start w:val="1"/>
      <w:numFmt w:val="bullet"/>
      <w:lvlText w:val=""/>
      <w:lvlJc w:val="left"/>
      <w:pPr>
        <w:ind w:left="2880" w:hanging="360"/>
      </w:pPr>
      <w:rPr>
        <w:rFonts w:ascii="Symbol" w:hAnsi="Symbol" w:hint="default"/>
      </w:rPr>
    </w:lvl>
    <w:lvl w:ilvl="4" w:tplc="7DE432F8">
      <w:start w:val="1"/>
      <w:numFmt w:val="bullet"/>
      <w:lvlText w:val="o"/>
      <w:lvlJc w:val="left"/>
      <w:pPr>
        <w:ind w:left="3600" w:hanging="360"/>
      </w:pPr>
      <w:rPr>
        <w:rFonts w:ascii="Courier New" w:hAnsi="Courier New" w:hint="default"/>
      </w:rPr>
    </w:lvl>
    <w:lvl w:ilvl="5" w:tplc="A33A6E28">
      <w:start w:val="1"/>
      <w:numFmt w:val="bullet"/>
      <w:lvlText w:val=""/>
      <w:lvlJc w:val="left"/>
      <w:pPr>
        <w:ind w:left="4320" w:hanging="360"/>
      </w:pPr>
      <w:rPr>
        <w:rFonts w:ascii="Wingdings" w:hAnsi="Wingdings" w:hint="default"/>
      </w:rPr>
    </w:lvl>
    <w:lvl w:ilvl="6" w:tplc="9228A1E4">
      <w:start w:val="1"/>
      <w:numFmt w:val="bullet"/>
      <w:lvlText w:val=""/>
      <w:lvlJc w:val="left"/>
      <w:pPr>
        <w:ind w:left="5040" w:hanging="360"/>
      </w:pPr>
      <w:rPr>
        <w:rFonts w:ascii="Symbol" w:hAnsi="Symbol" w:hint="default"/>
      </w:rPr>
    </w:lvl>
    <w:lvl w:ilvl="7" w:tplc="57FCC26A">
      <w:start w:val="1"/>
      <w:numFmt w:val="bullet"/>
      <w:lvlText w:val="o"/>
      <w:lvlJc w:val="left"/>
      <w:pPr>
        <w:ind w:left="5760" w:hanging="360"/>
      </w:pPr>
      <w:rPr>
        <w:rFonts w:ascii="Courier New" w:hAnsi="Courier New" w:hint="default"/>
      </w:rPr>
    </w:lvl>
    <w:lvl w:ilvl="8" w:tplc="046AACFE">
      <w:start w:val="1"/>
      <w:numFmt w:val="bullet"/>
      <w:lvlText w:val=""/>
      <w:lvlJc w:val="left"/>
      <w:pPr>
        <w:ind w:left="6480" w:hanging="360"/>
      </w:pPr>
      <w:rPr>
        <w:rFonts w:ascii="Wingdings" w:hAnsi="Wingdings" w:hint="default"/>
      </w:rPr>
    </w:lvl>
  </w:abstractNum>
  <w:abstractNum w:abstractNumId="60" w15:restartNumberingAfterBreak="0">
    <w:nsid w:val="1B873473"/>
    <w:multiLevelType w:val="hybridMultilevel"/>
    <w:tmpl w:val="ADDA0406"/>
    <w:lvl w:ilvl="0" w:tplc="DC9CC9F6">
      <w:start w:val="1"/>
      <w:numFmt w:val="bullet"/>
      <w:lvlText w:val="·"/>
      <w:lvlJc w:val="left"/>
      <w:pPr>
        <w:ind w:left="720" w:hanging="360"/>
      </w:pPr>
      <w:rPr>
        <w:rFonts w:ascii="Arial, sans-serif" w:hAnsi="Arial, sans-serif" w:hint="default"/>
      </w:rPr>
    </w:lvl>
    <w:lvl w:ilvl="1" w:tplc="5E72B36C">
      <w:start w:val="1"/>
      <w:numFmt w:val="bullet"/>
      <w:lvlText w:val="o"/>
      <w:lvlJc w:val="left"/>
      <w:pPr>
        <w:ind w:left="1440" w:hanging="360"/>
      </w:pPr>
      <w:rPr>
        <w:rFonts w:ascii="Courier New" w:hAnsi="Courier New" w:hint="default"/>
      </w:rPr>
    </w:lvl>
    <w:lvl w:ilvl="2" w:tplc="EA288FB0">
      <w:start w:val="1"/>
      <w:numFmt w:val="bullet"/>
      <w:lvlText w:val=""/>
      <w:lvlJc w:val="left"/>
      <w:pPr>
        <w:ind w:left="2160" w:hanging="360"/>
      </w:pPr>
      <w:rPr>
        <w:rFonts w:ascii="Wingdings" w:hAnsi="Wingdings" w:hint="default"/>
      </w:rPr>
    </w:lvl>
    <w:lvl w:ilvl="3" w:tplc="F8A68356">
      <w:start w:val="1"/>
      <w:numFmt w:val="bullet"/>
      <w:lvlText w:val=""/>
      <w:lvlJc w:val="left"/>
      <w:pPr>
        <w:ind w:left="2880" w:hanging="360"/>
      </w:pPr>
      <w:rPr>
        <w:rFonts w:ascii="Symbol" w:hAnsi="Symbol" w:hint="default"/>
      </w:rPr>
    </w:lvl>
    <w:lvl w:ilvl="4" w:tplc="E0EA0EBA">
      <w:start w:val="1"/>
      <w:numFmt w:val="bullet"/>
      <w:lvlText w:val="o"/>
      <w:lvlJc w:val="left"/>
      <w:pPr>
        <w:ind w:left="3600" w:hanging="360"/>
      </w:pPr>
      <w:rPr>
        <w:rFonts w:ascii="Courier New" w:hAnsi="Courier New" w:hint="default"/>
      </w:rPr>
    </w:lvl>
    <w:lvl w:ilvl="5" w:tplc="66AA0D4C">
      <w:start w:val="1"/>
      <w:numFmt w:val="bullet"/>
      <w:lvlText w:val=""/>
      <w:lvlJc w:val="left"/>
      <w:pPr>
        <w:ind w:left="4320" w:hanging="360"/>
      </w:pPr>
      <w:rPr>
        <w:rFonts w:ascii="Wingdings" w:hAnsi="Wingdings" w:hint="default"/>
      </w:rPr>
    </w:lvl>
    <w:lvl w:ilvl="6" w:tplc="6C6C0064">
      <w:start w:val="1"/>
      <w:numFmt w:val="bullet"/>
      <w:lvlText w:val=""/>
      <w:lvlJc w:val="left"/>
      <w:pPr>
        <w:ind w:left="5040" w:hanging="360"/>
      </w:pPr>
      <w:rPr>
        <w:rFonts w:ascii="Symbol" w:hAnsi="Symbol" w:hint="default"/>
      </w:rPr>
    </w:lvl>
    <w:lvl w:ilvl="7" w:tplc="56CADEAE">
      <w:start w:val="1"/>
      <w:numFmt w:val="bullet"/>
      <w:lvlText w:val="o"/>
      <w:lvlJc w:val="left"/>
      <w:pPr>
        <w:ind w:left="5760" w:hanging="360"/>
      </w:pPr>
      <w:rPr>
        <w:rFonts w:ascii="Courier New" w:hAnsi="Courier New" w:hint="default"/>
      </w:rPr>
    </w:lvl>
    <w:lvl w:ilvl="8" w:tplc="3B8E423E">
      <w:start w:val="1"/>
      <w:numFmt w:val="bullet"/>
      <w:lvlText w:val=""/>
      <w:lvlJc w:val="left"/>
      <w:pPr>
        <w:ind w:left="6480" w:hanging="360"/>
      </w:pPr>
      <w:rPr>
        <w:rFonts w:ascii="Wingdings" w:hAnsi="Wingdings" w:hint="default"/>
      </w:rPr>
    </w:lvl>
  </w:abstractNum>
  <w:abstractNum w:abstractNumId="61" w15:restartNumberingAfterBreak="0">
    <w:nsid w:val="1BC33747"/>
    <w:multiLevelType w:val="hybridMultilevel"/>
    <w:tmpl w:val="CCFA29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2" w15:restartNumberingAfterBreak="0">
    <w:nsid w:val="1CA22564"/>
    <w:multiLevelType w:val="multilevel"/>
    <w:tmpl w:val="33FA43F4"/>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ascii="Arial" w:hAnsi="Arial" w:cs="Arial" w:hint="default"/>
        <w:b/>
        <w:bCs/>
        <w:sz w:val="22"/>
      </w:rPr>
    </w:lvl>
    <w:lvl w:ilvl="2">
      <w:start w:val="1"/>
      <w:numFmt w:val="decimal"/>
      <w:isLgl/>
      <w:lvlText w:val="%1.%2.%3"/>
      <w:lvlJc w:val="left"/>
      <w:pPr>
        <w:ind w:left="720" w:hanging="720"/>
      </w:pPr>
      <w:rPr>
        <w:rFonts w:ascii="Arial" w:hAnsi="Arial" w:cs="Arial" w:hint="default"/>
        <w:b/>
        <w:sz w:val="22"/>
      </w:rPr>
    </w:lvl>
    <w:lvl w:ilvl="3">
      <w:start w:val="1"/>
      <w:numFmt w:val="decimal"/>
      <w:isLgl/>
      <w:lvlText w:val="%1.%2.%3.%4"/>
      <w:lvlJc w:val="left"/>
      <w:pPr>
        <w:ind w:left="1080" w:hanging="1080"/>
      </w:pPr>
      <w:rPr>
        <w:rFonts w:hint="default"/>
        <w:sz w:val="22"/>
      </w:rPr>
    </w:lvl>
    <w:lvl w:ilvl="4">
      <w:start w:val="1"/>
      <w:numFmt w:val="decimal"/>
      <w:isLgl/>
      <w:lvlText w:val="%1.%2.%3.%4.%5"/>
      <w:lvlJc w:val="left"/>
      <w:pPr>
        <w:ind w:left="1440" w:hanging="1080"/>
      </w:pPr>
      <w:rPr>
        <w:rFonts w:hint="default"/>
        <w:b/>
        <w:bCs/>
        <w:sz w:val="22"/>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3" w15:restartNumberingAfterBreak="0">
    <w:nsid w:val="1CCB5D79"/>
    <w:multiLevelType w:val="hybridMultilevel"/>
    <w:tmpl w:val="5A34E168"/>
    <w:lvl w:ilvl="0" w:tplc="2EDE54F4">
      <w:start w:val="1"/>
      <w:numFmt w:val="bullet"/>
      <w:lvlText w:val=""/>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4" w15:restartNumberingAfterBreak="0">
    <w:nsid w:val="1CFC3941"/>
    <w:multiLevelType w:val="hybridMultilevel"/>
    <w:tmpl w:val="EBE8C330"/>
    <w:lvl w:ilvl="0" w:tplc="240A0001">
      <w:start w:val="1"/>
      <w:numFmt w:val="bullet"/>
      <w:lvlText w:val=""/>
      <w:lvlJc w:val="left"/>
      <w:pPr>
        <w:ind w:left="720" w:hanging="360"/>
      </w:pPr>
      <w:rPr>
        <w:rFonts w:ascii="Symbol" w:hAnsi="Symbol" w:hint="default"/>
      </w:rPr>
    </w:lvl>
    <w:lvl w:ilvl="1" w:tplc="D3389A20">
      <w:start w:val="1"/>
      <w:numFmt w:val="bullet"/>
      <w:lvlText w:val="o"/>
      <w:lvlJc w:val="left"/>
      <w:pPr>
        <w:ind w:left="1440" w:hanging="360"/>
      </w:pPr>
      <w:rPr>
        <w:rFonts w:ascii="Courier New" w:hAnsi="Courier New" w:hint="default"/>
      </w:rPr>
    </w:lvl>
    <w:lvl w:ilvl="2" w:tplc="54BC3F36">
      <w:start w:val="1"/>
      <w:numFmt w:val="bullet"/>
      <w:lvlText w:val=""/>
      <w:lvlJc w:val="left"/>
      <w:pPr>
        <w:ind w:left="2160" w:hanging="360"/>
      </w:pPr>
      <w:rPr>
        <w:rFonts w:ascii="Wingdings" w:hAnsi="Wingdings" w:hint="default"/>
      </w:rPr>
    </w:lvl>
    <w:lvl w:ilvl="3" w:tplc="81BC8666">
      <w:start w:val="1"/>
      <w:numFmt w:val="bullet"/>
      <w:lvlText w:val=""/>
      <w:lvlJc w:val="left"/>
      <w:pPr>
        <w:ind w:left="2880" w:hanging="360"/>
      </w:pPr>
      <w:rPr>
        <w:rFonts w:ascii="Symbol" w:hAnsi="Symbol" w:hint="default"/>
      </w:rPr>
    </w:lvl>
    <w:lvl w:ilvl="4" w:tplc="925A2F2C">
      <w:start w:val="1"/>
      <w:numFmt w:val="bullet"/>
      <w:lvlText w:val="o"/>
      <w:lvlJc w:val="left"/>
      <w:pPr>
        <w:ind w:left="3600" w:hanging="360"/>
      </w:pPr>
      <w:rPr>
        <w:rFonts w:ascii="Courier New" w:hAnsi="Courier New" w:hint="default"/>
      </w:rPr>
    </w:lvl>
    <w:lvl w:ilvl="5" w:tplc="221CDB7C">
      <w:start w:val="1"/>
      <w:numFmt w:val="bullet"/>
      <w:lvlText w:val=""/>
      <w:lvlJc w:val="left"/>
      <w:pPr>
        <w:ind w:left="4320" w:hanging="360"/>
      </w:pPr>
      <w:rPr>
        <w:rFonts w:ascii="Wingdings" w:hAnsi="Wingdings" w:hint="default"/>
      </w:rPr>
    </w:lvl>
    <w:lvl w:ilvl="6" w:tplc="A3ECFDF4">
      <w:start w:val="1"/>
      <w:numFmt w:val="bullet"/>
      <w:lvlText w:val=""/>
      <w:lvlJc w:val="left"/>
      <w:pPr>
        <w:ind w:left="5040" w:hanging="360"/>
      </w:pPr>
      <w:rPr>
        <w:rFonts w:ascii="Symbol" w:hAnsi="Symbol" w:hint="default"/>
      </w:rPr>
    </w:lvl>
    <w:lvl w:ilvl="7" w:tplc="FD94CD52">
      <w:start w:val="1"/>
      <w:numFmt w:val="bullet"/>
      <w:lvlText w:val="o"/>
      <w:lvlJc w:val="left"/>
      <w:pPr>
        <w:ind w:left="5760" w:hanging="360"/>
      </w:pPr>
      <w:rPr>
        <w:rFonts w:ascii="Courier New" w:hAnsi="Courier New" w:hint="default"/>
      </w:rPr>
    </w:lvl>
    <w:lvl w:ilvl="8" w:tplc="595A5E58">
      <w:start w:val="1"/>
      <w:numFmt w:val="bullet"/>
      <w:lvlText w:val=""/>
      <w:lvlJc w:val="left"/>
      <w:pPr>
        <w:ind w:left="6480" w:hanging="360"/>
      </w:pPr>
      <w:rPr>
        <w:rFonts w:ascii="Wingdings" w:hAnsi="Wingdings" w:hint="default"/>
      </w:rPr>
    </w:lvl>
  </w:abstractNum>
  <w:abstractNum w:abstractNumId="65" w15:restartNumberingAfterBreak="0">
    <w:nsid w:val="1D0919B6"/>
    <w:multiLevelType w:val="hybridMultilevel"/>
    <w:tmpl w:val="FFFFFFFF"/>
    <w:lvl w:ilvl="0" w:tplc="270447F2">
      <w:start w:val="1"/>
      <w:numFmt w:val="bullet"/>
      <w:lvlText w:val="·"/>
      <w:lvlJc w:val="left"/>
      <w:pPr>
        <w:ind w:left="720" w:hanging="360"/>
      </w:pPr>
      <w:rPr>
        <w:rFonts w:ascii="Symbol" w:hAnsi="Symbol" w:hint="default"/>
      </w:rPr>
    </w:lvl>
    <w:lvl w:ilvl="1" w:tplc="8216E4B4">
      <w:start w:val="1"/>
      <w:numFmt w:val="bullet"/>
      <w:lvlText w:val="o"/>
      <w:lvlJc w:val="left"/>
      <w:pPr>
        <w:ind w:left="1440" w:hanging="360"/>
      </w:pPr>
      <w:rPr>
        <w:rFonts w:ascii="Courier New" w:hAnsi="Courier New" w:hint="default"/>
      </w:rPr>
    </w:lvl>
    <w:lvl w:ilvl="2" w:tplc="61009C32">
      <w:start w:val="1"/>
      <w:numFmt w:val="bullet"/>
      <w:lvlText w:val=""/>
      <w:lvlJc w:val="left"/>
      <w:pPr>
        <w:ind w:left="2160" w:hanging="360"/>
      </w:pPr>
      <w:rPr>
        <w:rFonts w:ascii="Wingdings" w:hAnsi="Wingdings" w:hint="default"/>
      </w:rPr>
    </w:lvl>
    <w:lvl w:ilvl="3" w:tplc="903E3436">
      <w:start w:val="1"/>
      <w:numFmt w:val="bullet"/>
      <w:lvlText w:val=""/>
      <w:lvlJc w:val="left"/>
      <w:pPr>
        <w:ind w:left="2880" w:hanging="360"/>
      </w:pPr>
      <w:rPr>
        <w:rFonts w:ascii="Symbol" w:hAnsi="Symbol" w:hint="default"/>
      </w:rPr>
    </w:lvl>
    <w:lvl w:ilvl="4" w:tplc="8ABCB246">
      <w:start w:val="1"/>
      <w:numFmt w:val="bullet"/>
      <w:lvlText w:val="o"/>
      <w:lvlJc w:val="left"/>
      <w:pPr>
        <w:ind w:left="3600" w:hanging="360"/>
      </w:pPr>
      <w:rPr>
        <w:rFonts w:ascii="Courier New" w:hAnsi="Courier New" w:hint="default"/>
      </w:rPr>
    </w:lvl>
    <w:lvl w:ilvl="5" w:tplc="CDEEA954">
      <w:start w:val="1"/>
      <w:numFmt w:val="bullet"/>
      <w:lvlText w:val=""/>
      <w:lvlJc w:val="left"/>
      <w:pPr>
        <w:ind w:left="4320" w:hanging="360"/>
      </w:pPr>
      <w:rPr>
        <w:rFonts w:ascii="Wingdings" w:hAnsi="Wingdings" w:hint="default"/>
      </w:rPr>
    </w:lvl>
    <w:lvl w:ilvl="6" w:tplc="A86E1C18">
      <w:start w:val="1"/>
      <w:numFmt w:val="bullet"/>
      <w:lvlText w:val=""/>
      <w:lvlJc w:val="left"/>
      <w:pPr>
        <w:ind w:left="5040" w:hanging="360"/>
      </w:pPr>
      <w:rPr>
        <w:rFonts w:ascii="Symbol" w:hAnsi="Symbol" w:hint="default"/>
      </w:rPr>
    </w:lvl>
    <w:lvl w:ilvl="7" w:tplc="3BB4E0C4">
      <w:start w:val="1"/>
      <w:numFmt w:val="bullet"/>
      <w:lvlText w:val="o"/>
      <w:lvlJc w:val="left"/>
      <w:pPr>
        <w:ind w:left="5760" w:hanging="360"/>
      </w:pPr>
      <w:rPr>
        <w:rFonts w:ascii="Courier New" w:hAnsi="Courier New" w:hint="default"/>
      </w:rPr>
    </w:lvl>
    <w:lvl w:ilvl="8" w:tplc="83ACE382">
      <w:start w:val="1"/>
      <w:numFmt w:val="bullet"/>
      <w:lvlText w:val=""/>
      <w:lvlJc w:val="left"/>
      <w:pPr>
        <w:ind w:left="6480" w:hanging="360"/>
      </w:pPr>
      <w:rPr>
        <w:rFonts w:ascii="Wingdings" w:hAnsi="Wingdings" w:hint="default"/>
      </w:rPr>
    </w:lvl>
  </w:abstractNum>
  <w:abstractNum w:abstractNumId="66" w15:restartNumberingAfterBreak="0">
    <w:nsid w:val="1D3D7666"/>
    <w:multiLevelType w:val="hybridMultilevel"/>
    <w:tmpl w:val="F7BEEE16"/>
    <w:lvl w:ilvl="0" w:tplc="74D2FA50">
      <w:start w:val="1"/>
      <w:numFmt w:val="bullet"/>
      <w:lvlText w:val="·"/>
      <w:lvlJc w:val="left"/>
      <w:pPr>
        <w:ind w:left="720" w:hanging="360"/>
      </w:pPr>
    </w:lvl>
    <w:lvl w:ilvl="1" w:tplc="61349A88">
      <w:start w:val="1"/>
      <w:numFmt w:val="decimal"/>
      <w:lvlText w:val="%2."/>
      <w:lvlJc w:val="left"/>
      <w:pPr>
        <w:ind w:left="1440" w:hanging="360"/>
      </w:pPr>
    </w:lvl>
    <w:lvl w:ilvl="2" w:tplc="BFA81154">
      <w:start w:val="1"/>
      <w:numFmt w:val="lowerRoman"/>
      <w:lvlText w:val="%3."/>
      <w:lvlJc w:val="right"/>
      <w:pPr>
        <w:ind w:left="2160" w:hanging="180"/>
      </w:pPr>
    </w:lvl>
    <w:lvl w:ilvl="3" w:tplc="2D3A664A">
      <w:start w:val="1"/>
      <w:numFmt w:val="decimal"/>
      <w:lvlText w:val="%4."/>
      <w:lvlJc w:val="left"/>
      <w:pPr>
        <w:ind w:left="2880" w:hanging="360"/>
      </w:pPr>
    </w:lvl>
    <w:lvl w:ilvl="4" w:tplc="B7720BB0">
      <w:start w:val="1"/>
      <w:numFmt w:val="lowerLetter"/>
      <w:lvlText w:val="%5."/>
      <w:lvlJc w:val="left"/>
      <w:pPr>
        <w:ind w:left="3600" w:hanging="360"/>
      </w:pPr>
    </w:lvl>
    <w:lvl w:ilvl="5" w:tplc="E3D6155C">
      <w:start w:val="1"/>
      <w:numFmt w:val="lowerRoman"/>
      <w:lvlText w:val="%6."/>
      <w:lvlJc w:val="right"/>
      <w:pPr>
        <w:ind w:left="4320" w:hanging="180"/>
      </w:pPr>
    </w:lvl>
    <w:lvl w:ilvl="6" w:tplc="AC407D4C">
      <w:start w:val="1"/>
      <w:numFmt w:val="decimal"/>
      <w:lvlText w:val="%7."/>
      <w:lvlJc w:val="left"/>
      <w:pPr>
        <w:ind w:left="5040" w:hanging="360"/>
      </w:pPr>
    </w:lvl>
    <w:lvl w:ilvl="7" w:tplc="60B68112">
      <w:start w:val="1"/>
      <w:numFmt w:val="lowerLetter"/>
      <w:lvlText w:val="%8."/>
      <w:lvlJc w:val="left"/>
      <w:pPr>
        <w:ind w:left="5760" w:hanging="360"/>
      </w:pPr>
    </w:lvl>
    <w:lvl w:ilvl="8" w:tplc="077A2EC6">
      <w:start w:val="1"/>
      <w:numFmt w:val="lowerRoman"/>
      <w:lvlText w:val="%9."/>
      <w:lvlJc w:val="right"/>
      <w:pPr>
        <w:ind w:left="6480" w:hanging="180"/>
      </w:pPr>
    </w:lvl>
  </w:abstractNum>
  <w:abstractNum w:abstractNumId="67" w15:restartNumberingAfterBreak="0">
    <w:nsid w:val="1D952582"/>
    <w:multiLevelType w:val="hybridMultilevel"/>
    <w:tmpl w:val="5C7A43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8" w15:restartNumberingAfterBreak="0">
    <w:nsid w:val="1DD65B02"/>
    <w:multiLevelType w:val="hybridMultilevel"/>
    <w:tmpl w:val="6602EE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9" w15:restartNumberingAfterBreak="0">
    <w:nsid w:val="1DD82A93"/>
    <w:multiLevelType w:val="hybridMultilevel"/>
    <w:tmpl w:val="E8D2760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0" w15:restartNumberingAfterBreak="0">
    <w:nsid w:val="1E3757D4"/>
    <w:multiLevelType w:val="hybridMultilevel"/>
    <w:tmpl w:val="752EDFD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1" w15:restartNumberingAfterBreak="0">
    <w:nsid w:val="1F0E207B"/>
    <w:multiLevelType w:val="hybridMultilevel"/>
    <w:tmpl w:val="D9C86562"/>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72" w15:restartNumberingAfterBreak="0">
    <w:nsid w:val="1F885ADD"/>
    <w:multiLevelType w:val="hybridMultilevel"/>
    <w:tmpl w:val="0E726D06"/>
    <w:lvl w:ilvl="0" w:tplc="FFF29CE8">
      <w:start w:val="1"/>
      <w:numFmt w:val="bullet"/>
      <w:lvlText w:val="·"/>
      <w:lvlJc w:val="left"/>
      <w:pPr>
        <w:ind w:left="720" w:hanging="360"/>
      </w:pPr>
      <w:rPr>
        <w:rFonts w:ascii="Symbol" w:hAnsi="Symbol" w:hint="default"/>
      </w:rPr>
    </w:lvl>
    <w:lvl w:ilvl="1" w:tplc="D822527C">
      <w:start w:val="1"/>
      <w:numFmt w:val="bullet"/>
      <w:lvlText w:val="o"/>
      <w:lvlJc w:val="left"/>
      <w:pPr>
        <w:ind w:left="1440" w:hanging="360"/>
      </w:pPr>
      <w:rPr>
        <w:rFonts w:ascii="Courier New" w:hAnsi="Courier New" w:hint="default"/>
      </w:rPr>
    </w:lvl>
    <w:lvl w:ilvl="2" w:tplc="AE0C8070">
      <w:start w:val="1"/>
      <w:numFmt w:val="bullet"/>
      <w:lvlText w:val=""/>
      <w:lvlJc w:val="left"/>
      <w:pPr>
        <w:ind w:left="2160" w:hanging="360"/>
      </w:pPr>
      <w:rPr>
        <w:rFonts w:ascii="Wingdings" w:hAnsi="Wingdings" w:hint="default"/>
      </w:rPr>
    </w:lvl>
    <w:lvl w:ilvl="3" w:tplc="B810B578">
      <w:start w:val="1"/>
      <w:numFmt w:val="bullet"/>
      <w:lvlText w:val=""/>
      <w:lvlJc w:val="left"/>
      <w:pPr>
        <w:ind w:left="2880" w:hanging="360"/>
      </w:pPr>
      <w:rPr>
        <w:rFonts w:ascii="Symbol" w:hAnsi="Symbol" w:hint="default"/>
      </w:rPr>
    </w:lvl>
    <w:lvl w:ilvl="4" w:tplc="4858C668">
      <w:start w:val="1"/>
      <w:numFmt w:val="bullet"/>
      <w:lvlText w:val="o"/>
      <w:lvlJc w:val="left"/>
      <w:pPr>
        <w:ind w:left="3600" w:hanging="360"/>
      </w:pPr>
      <w:rPr>
        <w:rFonts w:ascii="Courier New" w:hAnsi="Courier New" w:hint="default"/>
      </w:rPr>
    </w:lvl>
    <w:lvl w:ilvl="5" w:tplc="1A74504C">
      <w:start w:val="1"/>
      <w:numFmt w:val="bullet"/>
      <w:lvlText w:val=""/>
      <w:lvlJc w:val="left"/>
      <w:pPr>
        <w:ind w:left="4320" w:hanging="360"/>
      </w:pPr>
      <w:rPr>
        <w:rFonts w:ascii="Wingdings" w:hAnsi="Wingdings" w:hint="default"/>
      </w:rPr>
    </w:lvl>
    <w:lvl w:ilvl="6" w:tplc="E3EA3EE0">
      <w:start w:val="1"/>
      <w:numFmt w:val="bullet"/>
      <w:lvlText w:val=""/>
      <w:lvlJc w:val="left"/>
      <w:pPr>
        <w:ind w:left="5040" w:hanging="360"/>
      </w:pPr>
      <w:rPr>
        <w:rFonts w:ascii="Symbol" w:hAnsi="Symbol" w:hint="default"/>
      </w:rPr>
    </w:lvl>
    <w:lvl w:ilvl="7" w:tplc="77C07E66">
      <w:start w:val="1"/>
      <w:numFmt w:val="bullet"/>
      <w:lvlText w:val="o"/>
      <w:lvlJc w:val="left"/>
      <w:pPr>
        <w:ind w:left="5760" w:hanging="360"/>
      </w:pPr>
      <w:rPr>
        <w:rFonts w:ascii="Courier New" w:hAnsi="Courier New" w:hint="default"/>
      </w:rPr>
    </w:lvl>
    <w:lvl w:ilvl="8" w:tplc="7676E686">
      <w:start w:val="1"/>
      <w:numFmt w:val="bullet"/>
      <w:lvlText w:val=""/>
      <w:lvlJc w:val="left"/>
      <w:pPr>
        <w:ind w:left="6480" w:hanging="360"/>
      </w:pPr>
      <w:rPr>
        <w:rFonts w:ascii="Wingdings" w:hAnsi="Wingdings" w:hint="default"/>
      </w:rPr>
    </w:lvl>
  </w:abstractNum>
  <w:abstractNum w:abstractNumId="73" w15:restartNumberingAfterBreak="0">
    <w:nsid w:val="1F8D0E4E"/>
    <w:multiLevelType w:val="hybridMultilevel"/>
    <w:tmpl w:val="EE3ADA3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4" w15:restartNumberingAfterBreak="0">
    <w:nsid w:val="201D1D86"/>
    <w:multiLevelType w:val="hybridMultilevel"/>
    <w:tmpl w:val="AF607B9A"/>
    <w:lvl w:ilvl="0" w:tplc="2D80EAC0">
      <w:start w:val="1"/>
      <w:numFmt w:val="bullet"/>
      <w:lvlText w:val="·"/>
      <w:lvlJc w:val="left"/>
      <w:pPr>
        <w:ind w:left="720" w:hanging="360"/>
      </w:pPr>
      <w:rPr>
        <w:rFonts w:ascii="Arial, sans-serif" w:hAnsi="Arial, sans-serif" w:hint="default"/>
      </w:rPr>
    </w:lvl>
    <w:lvl w:ilvl="1" w:tplc="6874A830">
      <w:start w:val="1"/>
      <w:numFmt w:val="bullet"/>
      <w:lvlText w:val="o"/>
      <w:lvlJc w:val="left"/>
      <w:pPr>
        <w:ind w:left="1440" w:hanging="360"/>
      </w:pPr>
      <w:rPr>
        <w:rFonts w:ascii="Courier New" w:hAnsi="Courier New" w:hint="default"/>
      </w:rPr>
    </w:lvl>
    <w:lvl w:ilvl="2" w:tplc="A26C7AF8">
      <w:start w:val="1"/>
      <w:numFmt w:val="bullet"/>
      <w:lvlText w:val=""/>
      <w:lvlJc w:val="left"/>
      <w:pPr>
        <w:ind w:left="2160" w:hanging="360"/>
      </w:pPr>
      <w:rPr>
        <w:rFonts w:ascii="Wingdings" w:hAnsi="Wingdings" w:hint="default"/>
      </w:rPr>
    </w:lvl>
    <w:lvl w:ilvl="3" w:tplc="D7B24A40">
      <w:start w:val="1"/>
      <w:numFmt w:val="bullet"/>
      <w:lvlText w:val=""/>
      <w:lvlJc w:val="left"/>
      <w:pPr>
        <w:ind w:left="2880" w:hanging="360"/>
      </w:pPr>
      <w:rPr>
        <w:rFonts w:ascii="Symbol" w:hAnsi="Symbol" w:hint="default"/>
      </w:rPr>
    </w:lvl>
    <w:lvl w:ilvl="4" w:tplc="D4EAD332">
      <w:start w:val="1"/>
      <w:numFmt w:val="bullet"/>
      <w:lvlText w:val="o"/>
      <w:lvlJc w:val="left"/>
      <w:pPr>
        <w:ind w:left="3600" w:hanging="360"/>
      </w:pPr>
      <w:rPr>
        <w:rFonts w:ascii="Courier New" w:hAnsi="Courier New" w:hint="default"/>
      </w:rPr>
    </w:lvl>
    <w:lvl w:ilvl="5" w:tplc="A55EAD22">
      <w:start w:val="1"/>
      <w:numFmt w:val="bullet"/>
      <w:lvlText w:val=""/>
      <w:lvlJc w:val="left"/>
      <w:pPr>
        <w:ind w:left="4320" w:hanging="360"/>
      </w:pPr>
      <w:rPr>
        <w:rFonts w:ascii="Wingdings" w:hAnsi="Wingdings" w:hint="default"/>
      </w:rPr>
    </w:lvl>
    <w:lvl w:ilvl="6" w:tplc="6352A9B0">
      <w:start w:val="1"/>
      <w:numFmt w:val="bullet"/>
      <w:lvlText w:val=""/>
      <w:lvlJc w:val="left"/>
      <w:pPr>
        <w:ind w:left="5040" w:hanging="360"/>
      </w:pPr>
      <w:rPr>
        <w:rFonts w:ascii="Symbol" w:hAnsi="Symbol" w:hint="default"/>
      </w:rPr>
    </w:lvl>
    <w:lvl w:ilvl="7" w:tplc="2E480F84">
      <w:start w:val="1"/>
      <w:numFmt w:val="bullet"/>
      <w:lvlText w:val="o"/>
      <w:lvlJc w:val="left"/>
      <w:pPr>
        <w:ind w:left="5760" w:hanging="360"/>
      </w:pPr>
      <w:rPr>
        <w:rFonts w:ascii="Courier New" w:hAnsi="Courier New" w:hint="default"/>
      </w:rPr>
    </w:lvl>
    <w:lvl w:ilvl="8" w:tplc="C1BA8CEE">
      <w:start w:val="1"/>
      <w:numFmt w:val="bullet"/>
      <w:lvlText w:val=""/>
      <w:lvlJc w:val="left"/>
      <w:pPr>
        <w:ind w:left="6480" w:hanging="360"/>
      </w:pPr>
      <w:rPr>
        <w:rFonts w:ascii="Wingdings" w:hAnsi="Wingdings" w:hint="default"/>
      </w:rPr>
    </w:lvl>
  </w:abstractNum>
  <w:abstractNum w:abstractNumId="75" w15:restartNumberingAfterBreak="0">
    <w:nsid w:val="213659D6"/>
    <w:multiLevelType w:val="hybridMultilevel"/>
    <w:tmpl w:val="5F0CB0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6" w15:restartNumberingAfterBreak="0">
    <w:nsid w:val="220B28B9"/>
    <w:multiLevelType w:val="hybridMultilevel"/>
    <w:tmpl w:val="EF1EEBB8"/>
    <w:lvl w:ilvl="0" w:tplc="7F44F6AE">
      <w:start w:val="1"/>
      <w:numFmt w:val="bullet"/>
      <w:lvlText w:val="·"/>
      <w:lvlJc w:val="left"/>
      <w:pPr>
        <w:ind w:left="720" w:hanging="360"/>
      </w:pPr>
      <w:rPr>
        <w:rFonts w:ascii="Symbol" w:hAnsi="Symbol" w:hint="default"/>
      </w:rPr>
    </w:lvl>
    <w:lvl w:ilvl="1" w:tplc="0478A942">
      <w:start w:val="1"/>
      <w:numFmt w:val="bullet"/>
      <w:lvlText w:val="o"/>
      <w:lvlJc w:val="left"/>
      <w:pPr>
        <w:ind w:left="1440" w:hanging="360"/>
      </w:pPr>
      <w:rPr>
        <w:rFonts w:ascii="Courier New" w:hAnsi="Courier New" w:hint="default"/>
      </w:rPr>
    </w:lvl>
    <w:lvl w:ilvl="2" w:tplc="E9B6A094">
      <w:start w:val="1"/>
      <w:numFmt w:val="bullet"/>
      <w:lvlText w:val=""/>
      <w:lvlJc w:val="left"/>
      <w:pPr>
        <w:ind w:left="2160" w:hanging="360"/>
      </w:pPr>
      <w:rPr>
        <w:rFonts w:ascii="Wingdings" w:hAnsi="Wingdings" w:hint="default"/>
      </w:rPr>
    </w:lvl>
    <w:lvl w:ilvl="3" w:tplc="C5468508">
      <w:start w:val="1"/>
      <w:numFmt w:val="bullet"/>
      <w:lvlText w:val=""/>
      <w:lvlJc w:val="left"/>
      <w:pPr>
        <w:ind w:left="2880" w:hanging="360"/>
      </w:pPr>
      <w:rPr>
        <w:rFonts w:ascii="Symbol" w:hAnsi="Symbol" w:hint="default"/>
      </w:rPr>
    </w:lvl>
    <w:lvl w:ilvl="4" w:tplc="10A02470">
      <w:start w:val="1"/>
      <w:numFmt w:val="bullet"/>
      <w:lvlText w:val="o"/>
      <w:lvlJc w:val="left"/>
      <w:pPr>
        <w:ind w:left="3600" w:hanging="360"/>
      </w:pPr>
      <w:rPr>
        <w:rFonts w:ascii="Courier New" w:hAnsi="Courier New" w:hint="default"/>
      </w:rPr>
    </w:lvl>
    <w:lvl w:ilvl="5" w:tplc="3468C28A">
      <w:start w:val="1"/>
      <w:numFmt w:val="bullet"/>
      <w:lvlText w:val=""/>
      <w:lvlJc w:val="left"/>
      <w:pPr>
        <w:ind w:left="4320" w:hanging="360"/>
      </w:pPr>
      <w:rPr>
        <w:rFonts w:ascii="Wingdings" w:hAnsi="Wingdings" w:hint="default"/>
      </w:rPr>
    </w:lvl>
    <w:lvl w:ilvl="6" w:tplc="E35A7B9C">
      <w:start w:val="1"/>
      <w:numFmt w:val="bullet"/>
      <w:lvlText w:val=""/>
      <w:lvlJc w:val="left"/>
      <w:pPr>
        <w:ind w:left="5040" w:hanging="360"/>
      </w:pPr>
      <w:rPr>
        <w:rFonts w:ascii="Symbol" w:hAnsi="Symbol" w:hint="default"/>
      </w:rPr>
    </w:lvl>
    <w:lvl w:ilvl="7" w:tplc="823CE154">
      <w:start w:val="1"/>
      <w:numFmt w:val="bullet"/>
      <w:lvlText w:val="o"/>
      <w:lvlJc w:val="left"/>
      <w:pPr>
        <w:ind w:left="5760" w:hanging="360"/>
      </w:pPr>
      <w:rPr>
        <w:rFonts w:ascii="Courier New" w:hAnsi="Courier New" w:hint="default"/>
      </w:rPr>
    </w:lvl>
    <w:lvl w:ilvl="8" w:tplc="FFA26CD6">
      <w:start w:val="1"/>
      <w:numFmt w:val="bullet"/>
      <w:lvlText w:val=""/>
      <w:lvlJc w:val="left"/>
      <w:pPr>
        <w:ind w:left="6480" w:hanging="360"/>
      </w:pPr>
      <w:rPr>
        <w:rFonts w:ascii="Wingdings" w:hAnsi="Wingdings" w:hint="default"/>
      </w:rPr>
    </w:lvl>
  </w:abstractNum>
  <w:abstractNum w:abstractNumId="77" w15:restartNumberingAfterBreak="0">
    <w:nsid w:val="2344243A"/>
    <w:multiLevelType w:val="multilevel"/>
    <w:tmpl w:val="FF4A53E6"/>
    <w:lvl w:ilvl="0">
      <w:start w:val="1"/>
      <w:numFmt w:val="bullet"/>
      <w:lvlText w:val=""/>
      <w:lvlJc w:val="left"/>
      <w:pPr>
        <w:tabs>
          <w:tab w:val="num" w:pos="360"/>
        </w:tabs>
        <w:ind w:left="360" w:hanging="360"/>
      </w:pPr>
      <w:rPr>
        <w:rFonts w:ascii="Symbol" w:hAnsi="Symbol" w:hint="default"/>
        <w:sz w:val="22"/>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78" w15:restartNumberingAfterBreak="0">
    <w:nsid w:val="23790492"/>
    <w:multiLevelType w:val="hybridMultilevel"/>
    <w:tmpl w:val="2DAEC0F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9" w15:restartNumberingAfterBreak="0">
    <w:nsid w:val="24883783"/>
    <w:multiLevelType w:val="hybridMultilevel"/>
    <w:tmpl w:val="98846A8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0" w15:restartNumberingAfterBreak="0">
    <w:nsid w:val="251D0F68"/>
    <w:multiLevelType w:val="hybridMultilevel"/>
    <w:tmpl w:val="FFFFFFFF"/>
    <w:lvl w:ilvl="0" w:tplc="983A5418">
      <w:start w:val="1"/>
      <w:numFmt w:val="bullet"/>
      <w:lvlText w:val="·"/>
      <w:lvlJc w:val="left"/>
      <w:pPr>
        <w:ind w:left="720" w:hanging="360"/>
      </w:pPr>
      <w:rPr>
        <w:rFonts w:ascii="Symbol" w:hAnsi="Symbol" w:hint="default"/>
      </w:rPr>
    </w:lvl>
    <w:lvl w:ilvl="1" w:tplc="92C401A8">
      <w:start w:val="1"/>
      <w:numFmt w:val="bullet"/>
      <w:lvlText w:val="o"/>
      <w:lvlJc w:val="left"/>
      <w:pPr>
        <w:ind w:left="1440" w:hanging="360"/>
      </w:pPr>
      <w:rPr>
        <w:rFonts w:ascii="Courier New" w:hAnsi="Courier New" w:hint="default"/>
      </w:rPr>
    </w:lvl>
    <w:lvl w:ilvl="2" w:tplc="F9F262A4">
      <w:start w:val="1"/>
      <w:numFmt w:val="bullet"/>
      <w:lvlText w:val=""/>
      <w:lvlJc w:val="left"/>
      <w:pPr>
        <w:ind w:left="2160" w:hanging="360"/>
      </w:pPr>
      <w:rPr>
        <w:rFonts w:ascii="Wingdings" w:hAnsi="Wingdings" w:hint="default"/>
      </w:rPr>
    </w:lvl>
    <w:lvl w:ilvl="3" w:tplc="B20892BA">
      <w:start w:val="1"/>
      <w:numFmt w:val="bullet"/>
      <w:lvlText w:val=""/>
      <w:lvlJc w:val="left"/>
      <w:pPr>
        <w:ind w:left="2880" w:hanging="360"/>
      </w:pPr>
      <w:rPr>
        <w:rFonts w:ascii="Symbol" w:hAnsi="Symbol" w:hint="default"/>
      </w:rPr>
    </w:lvl>
    <w:lvl w:ilvl="4" w:tplc="916A0768">
      <w:start w:val="1"/>
      <w:numFmt w:val="bullet"/>
      <w:lvlText w:val="o"/>
      <w:lvlJc w:val="left"/>
      <w:pPr>
        <w:ind w:left="3600" w:hanging="360"/>
      </w:pPr>
      <w:rPr>
        <w:rFonts w:ascii="Courier New" w:hAnsi="Courier New" w:hint="default"/>
      </w:rPr>
    </w:lvl>
    <w:lvl w:ilvl="5" w:tplc="9962C074">
      <w:start w:val="1"/>
      <w:numFmt w:val="bullet"/>
      <w:lvlText w:val=""/>
      <w:lvlJc w:val="left"/>
      <w:pPr>
        <w:ind w:left="4320" w:hanging="360"/>
      </w:pPr>
      <w:rPr>
        <w:rFonts w:ascii="Wingdings" w:hAnsi="Wingdings" w:hint="default"/>
      </w:rPr>
    </w:lvl>
    <w:lvl w:ilvl="6" w:tplc="D4A41AA4">
      <w:start w:val="1"/>
      <w:numFmt w:val="bullet"/>
      <w:lvlText w:val=""/>
      <w:lvlJc w:val="left"/>
      <w:pPr>
        <w:ind w:left="5040" w:hanging="360"/>
      </w:pPr>
      <w:rPr>
        <w:rFonts w:ascii="Symbol" w:hAnsi="Symbol" w:hint="default"/>
      </w:rPr>
    </w:lvl>
    <w:lvl w:ilvl="7" w:tplc="7D82654A">
      <w:start w:val="1"/>
      <w:numFmt w:val="bullet"/>
      <w:lvlText w:val="o"/>
      <w:lvlJc w:val="left"/>
      <w:pPr>
        <w:ind w:left="5760" w:hanging="360"/>
      </w:pPr>
      <w:rPr>
        <w:rFonts w:ascii="Courier New" w:hAnsi="Courier New" w:hint="default"/>
      </w:rPr>
    </w:lvl>
    <w:lvl w:ilvl="8" w:tplc="1FBE0966">
      <w:start w:val="1"/>
      <w:numFmt w:val="bullet"/>
      <w:lvlText w:val=""/>
      <w:lvlJc w:val="left"/>
      <w:pPr>
        <w:ind w:left="6480" w:hanging="360"/>
      </w:pPr>
      <w:rPr>
        <w:rFonts w:ascii="Wingdings" w:hAnsi="Wingdings" w:hint="default"/>
      </w:rPr>
    </w:lvl>
  </w:abstractNum>
  <w:abstractNum w:abstractNumId="81" w15:restartNumberingAfterBreak="0">
    <w:nsid w:val="254155CE"/>
    <w:multiLevelType w:val="hybridMultilevel"/>
    <w:tmpl w:val="1B78482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2" w15:restartNumberingAfterBreak="0">
    <w:nsid w:val="258C3826"/>
    <w:multiLevelType w:val="hybridMultilevel"/>
    <w:tmpl w:val="93767E6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3" w15:restartNumberingAfterBreak="0">
    <w:nsid w:val="272C73D8"/>
    <w:multiLevelType w:val="hybridMultilevel"/>
    <w:tmpl w:val="10609B58"/>
    <w:lvl w:ilvl="0" w:tplc="F014EEF4">
      <w:start w:val="1"/>
      <w:numFmt w:val="bullet"/>
      <w:lvlText w:val="·"/>
      <w:lvlJc w:val="left"/>
      <w:pPr>
        <w:ind w:left="720" w:hanging="360"/>
      </w:pPr>
      <w:rPr>
        <w:rFonts w:ascii="Symbol" w:hAnsi="Symbol" w:hint="default"/>
      </w:rPr>
    </w:lvl>
    <w:lvl w:ilvl="1" w:tplc="BF2A2B60">
      <w:start w:val="1"/>
      <w:numFmt w:val="bullet"/>
      <w:lvlText w:val="o"/>
      <w:lvlJc w:val="left"/>
      <w:pPr>
        <w:ind w:left="1440" w:hanging="360"/>
      </w:pPr>
      <w:rPr>
        <w:rFonts w:ascii="Courier New" w:hAnsi="Courier New" w:hint="default"/>
      </w:rPr>
    </w:lvl>
    <w:lvl w:ilvl="2" w:tplc="5E50B572">
      <w:start w:val="1"/>
      <w:numFmt w:val="bullet"/>
      <w:lvlText w:val=""/>
      <w:lvlJc w:val="left"/>
      <w:pPr>
        <w:ind w:left="2160" w:hanging="360"/>
      </w:pPr>
      <w:rPr>
        <w:rFonts w:ascii="Wingdings" w:hAnsi="Wingdings" w:hint="default"/>
      </w:rPr>
    </w:lvl>
    <w:lvl w:ilvl="3" w:tplc="7BF86756">
      <w:start w:val="1"/>
      <w:numFmt w:val="bullet"/>
      <w:lvlText w:val=""/>
      <w:lvlJc w:val="left"/>
      <w:pPr>
        <w:ind w:left="2880" w:hanging="360"/>
      </w:pPr>
      <w:rPr>
        <w:rFonts w:ascii="Symbol" w:hAnsi="Symbol" w:hint="default"/>
      </w:rPr>
    </w:lvl>
    <w:lvl w:ilvl="4" w:tplc="BA7EF3F0">
      <w:start w:val="1"/>
      <w:numFmt w:val="bullet"/>
      <w:lvlText w:val="o"/>
      <w:lvlJc w:val="left"/>
      <w:pPr>
        <w:ind w:left="3600" w:hanging="360"/>
      </w:pPr>
      <w:rPr>
        <w:rFonts w:ascii="Courier New" w:hAnsi="Courier New" w:hint="default"/>
      </w:rPr>
    </w:lvl>
    <w:lvl w:ilvl="5" w:tplc="09BE32AA">
      <w:start w:val="1"/>
      <w:numFmt w:val="bullet"/>
      <w:lvlText w:val=""/>
      <w:lvlJc w:val="left"/>
      <w:pPr>
        <w:ind w:left="4320" w:hanging="360"/>
      </w:pPr>
      <w:rPr>
        <w:rFonts w:ascii="Wingdings" w:hAnsi="Wingdings" w:hint="default"/>
      </w:rPr>
    </w:lvl>
    <w:lvl w:ilvl="6" w:tplc="0360DCF4">
      <w:start w:val="1"/>
      <w:numFmt w:val="bullet"/>
      <w:lvlText w:val=""/>
      <w:lvlJc w:val="left"/>
      <w:pPr>
        <w:ind w:left="5040" w:hanging="360"/>
      </w:pPr>
      <w:rPr>
        <w:rFonts w:ascii="Symbol" w:hAnsi="Symbol" w:hint="default"/>
      </w:rPr>
    </w:lvl>
    <w:lvl w:ilvl="7" w:tplc="3BD27B4C">
      <w:start w:val="1"/>
      <w:numFmt w:val="bullet"/>
      <w:lvlText w:val="o"/>
      <w:lvlJc w:val="left"/>
      <w:pPr>
        <w:ind w:left="5760" w:hanging="360"/>
      </w:pPr>
      <w:rPr>
        <w:rFonts w:ascii="Courier New" w:hAnsi="Courier New" w:hint="default"/>
      </w:rPr>
    </w:lvl>
    <w:lvl w:ilvl="8" w:tplc="A1104BAC">
      <w:start w:val="1"/>
      <w:numFmt w:val="bullet"/>
      <w:lvlText w:val=""/>
      <w:lvlJc w:val="left"/>
      <w:pPr>
        <w:ind w:left="6480" w:hanging="360"/>
      </w:pPr>
      <w:rPr>
        <w:rFonts w:ascii="Wingdings" w:hAnsi="Wingdings" w:hint="default"/>
      </w:rPr>
    </w:lvl>
  </w:abstractNum>
  <w:abstractNum w:abstractNumId="84" w15:restartNumberingAfterBreak="0">
    <w:nsid w:val="27BE61CB"/>
    <w:multiLevelType w:val="hybridMultilevel"/>
    <w:tmpl w:val="DF40396A"/>
    <w:lvl w:ilvl="0" w:tplc="209C6B6C">
      <w:start w:val="1"/>
      <w:numFmt w:val="bullet"/>
      <w:lvlText w:val=""/>
      <w:lvlJc w:val="left"/>
      <w:pPr>
        <w:ind w:left="720" w:hanging="360"/>
      </w:pPr>
      <w:rPr>
        <w:rFonts w:ascii="Symbol" w:hAnsi="Symbol" w:hint="default"/>
      </w:rPr>
    </w:lvl>
    <w:lvl w:ilvl="1" w:tplc="672ED056">
      <w:start w:val="1"/>
      <w:numFmt w:val="bullet"/>
      <w:lvlText w:val="o"/>
      <w:lvlJc w:val="left"/>
      <w:pPr>
        <w:ind w:left="1440" w:hanging="360"/>
      </w:pPr>
      <w:rPr>
        <w:rFonts w:ascii="Courier New" w:hAnsi="Courier New" w:hint="default"/>
      </w:rPr>
    </w:lvl>
    <w:lvl w:ilvl="2" w:tplc="2F622EA6">
      <w:start w:val="1"/>
      <w:numFmt w:val="bullet"/>
      <w:lvlText w:val=""/>
      <w:lvlJc w:val="left"/>
      <w:pPr>
        <w:ind w:left="2160" w:hanging="360"/>
      </w:pPr>
      <w:rPr>
        <w:rFonts w:ascii="Wingdings" w:hAnsi="Wingdings" w:hint="default"/>
      </w:rPr>
    </w:lvl>
    <w:lvl w:ilvl="3" w:tplc="18F0336E">
      <w:start w:val="1"/>
      <w:numFmt w:val="bullet"/>
      <w:lvlText w:val=""/>
      <w:lvlJc w:val="left"/>
      <w:pPr>
        <w:ind w:left="2880" w:hanging="360"/>
      </w:pPr>
      <w:rPr>
        <w:rFonts w:ascii="Symbol" w:hAnsi="Symbol" w:hint="default"/>
      </w:rPr>
    </w:lvl>
    <w:lvl w:ilvl="4" w:tplc="4C9EB0CE">
      <w:start w:val="1"/>
      <w:numFmt w:val="bullet"/>
      <w:lvlText w:val="o"/>
      <w:lvlJc w:val="left"/>
      <w:pPr>
        <w:ind w:left="3600" w:hanging="360"/>
      </w:pPr>
      <w:rPr>
        <w:rFonts w:ascii="Courier New" w:hAnsi="Courier New" w:hint="default"/>
      </w:rPr>
    </w:lvl>
    <w:lvl w:ilvl="5" w:tplc="6B88D086">
      <w:start w:val="1"/>
      <w:numFmt w:val="bullet"/>
      <w:lvlText w:val=""/>
      <w:lvlJc w:val="left"/>
      <w:pPr>
        <w:ind w:left="4320" w:hanging="360"/>
      </w:pPr>
      <w:rPr>
        <w:rFonts w:ascii="Wingdings" w:hAnsi="Wingdings" w:hint="default"/>
      </w:rPr>
    </w:lvl>
    <w:lvl w:ilvl="6" w:tplc="53065F46">
      <w:start w:val="1"/>
      <w:numFmt w:val="bullet"/>
      <w:lvlText w:val=""/>
      <w:lvlJc w:val="left"/>
      <w:pPr>
        <w:ind w:left="5040" w:hanging="360"/>
      </w:pPr>
      <w:rPr>
        <w:rFonts w:ascii="Symbol" w:hAnsi="Symbol" w:hint="default"/>
      </w:rPr>
    </w:lvl>
    <w:lvl w:ilvl="7" w:tplc="6B66C272">
      <w:start w:val="1"/>
      <w:numFmt w:val="bullet"/>
      <w:lvlText w:val="o"/>
      <w:lvlJc w:val="left"/>
      <w:pPr>
        <w:ind w:left="5760" w:hanging="360"/>
      </w:pPr>
      <w:rPr>
        <w:rFonts w:ascii="Courier New" w:hAnsi="Courier New" w:hint="default"/>
      </w:rPr>
    </w:lvl>
    <w:lvl w:ilvl="8" w:tplc="029EC4BA">
      <w:start w:val="1"/>
      <w:numFmt w:val="bullet"/>
      <w:lvlText w:val=""/>
      <w:lvlJc w:val="left"/>
      <w:pPr>
        <w:ind w:left="6480" w:hanging="360"/>
      </w:pPr>
      <w:rPr>
        <w:rFonts w:ascii="Wingdings" w:hAnsi="Wingdings" w:hint="default"/>
      </w:rPr>
    </w:lvl>
  </w:abstractNum>
  <w:abstractNum w:abstractNumId="85" w15:restartNumberingAfterBreak="0">
    <w:nsid w:val="2815681A"/>
    <w:multiLevelType w:val="hybridMultilevel"/>
    <w:tmpl w:val="0AA0FF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6" w15:restartNumberingAfterBreak="0">
    <w:nsid w:val="28F745C9"/>
    <w:multiLevelType w:val="hybridMultilevel"/>
    <w:tmpl w:val="CA1E7E2A"/>
    <w:lvl w:ilvl="0" w:tplc="A45290D0">
      <w:start w:val="1"/>
      <w:numFmt w:val="decimal"/>
      <w:lvlText w:val="%1."/>
      <w:lvlJc w:val="left"/>
      <w:pPr>
        <w:ind w:left="720" w:hanging="360"/>
      </w:pPr>
      <w:rPr>
        <w:b/>
      </w:rPr>
    </w:lvl>
    <w:lvl w:ilvl="1" w:tplc="C0C25AF0">
      <w:start w:val="1"/>
      <w:numFmt w:val="lowerLetter"/>
      <w:lvlText w:val="%2."/>
      <w:lvlJc w:val="left"/>
      <w:pPr>
        <w:ind w:left="1440" w:hanging="360"/>
      </w:pPr>
    </w:lvl>
    <w:lvl w:ilvl="2" w:tplc="03DC8FA0">
      <w:start w:val="1"/>
      <w:numFmt w:val="lowerRoman"/>
      <w:lvlText w:val="%3."/>
      <w:lvlJc w:val="right"/>
      <w:pPr>
        <w:ind w:left="2160" w:hanging="180"/>
      </w:pPr>
    </w:lvl>
    <w:lvl w:ilvl="3" w:tplc="86FE5186">
      <w:start w:val="1"/>
      <w:numFmt w:val="decimal"/>
      <w:lvlText w:val="%4."/>
      <w:lvlJc w:val="left"/>
      <w:pPr>
        <w:ind w:left="2880" w:hanging="360"/>
      </w:pPr>
    </w:lvl>
    <w:lvl w:ilvl="4" w:tplc="0FC8BBEC">
      <w:start w:val="1"/>
      <w:numFmt w:val="lowerLetter"/>
      <w:lvlText w:val="%5."/>
      <w:lvlJc w:val="left"/>
      <w:pPr>
        <w:ind w:left="3600" w:hanging="360"/>
      </w:pPr>
    </w:lvl>
    <w:lvl w:ilvl="5" w:tplc="BF48CE40">
      <w:start w:val="1"/>
      <w:numFmt w:val="lowerRoman"/>
      <w:lvlText w:val="%6."/>
      <w:lvlJc w:val="right"/>
      <w:pPr>
        <w:ind w:left="4320" w:hanging="180"/>
      </w:pPr>
    </w:lvl>
    <w:lvl w:ilvl="6" w:tplc="077C5E28">
      <w:start w:val="1"/>
      <w:numFmt w:val="decimal"/>
      <w:lvlText w:val="%7."/>
      <w:lvlJc w:val="left"/>
      <w:pPr>
        <w:ind w:left="5040" w:hanging="360"/>
      </w:pPr>
    </w:lvl>
    <w:lvl w:ilvl="7" w:tplc="B8A8A2E2">
      <w:start w:val="1"/>
      <w:numFmt w:val="lowerLetter"/>
      <w:lvlText w:val="%8."/>
      <w:lvlJc w:val="left"/>
      <w:pPr>
        <w:ind w:left="5760" w:hanging="360"/>
      </w:pPr>
    </w:lvl>
    <w:lvl w:ilvl="8" w:tplc="6522237C">
      <w:start w:val="1"/>
      <w:numFmt w:val="lowerRoman"/>
      <w:lvlText w:val="%9."/>
      <w:lvlJc w:val="right"/>
      <w:pPr>
        <w:ind w:left="6480" w:hanging="180"/>
      </w:pPr>
    </w:lvl>
  </w:abstractNum>
  <w:abstractNum w:abstractNumId="87" w15:restartNumberingAfterBreak="0">
    <w:nsid w:val="297D563C"/>
    <w:multiLevelType w:val="hybridMultilevel"/>
    <w:tmpl w:val="03D66E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8" w15:restartNumberingAfterBreak="0">
    <w:nsid w:val="29E025AA"/>
    <w:multiLevelType w:val="hybridMultilevel"/>
    <w:tmpl w:val="5DFE2C60"/>
    <w:lvl w:ilvl="0" w:tplc="C9F8C716">
      <w:start w:val="1"/>
      <w:numFmt w:val="bullet"/>
      <w:lvlText w:val=""/>
      <w:lvlJc w:val="left"/>
      <w:pPr>
        <w:ind w:left="720" w:hanging="360"/>
      </w:pPr>
      <w:rPr>
        <w:rFonts w:ascii="Symbol" w:hAnsi="Symbol" w:hint="default"/>
      </w:rPr>
    </w:lvl>
    <w:lvl w:ilvl="1" w:tplc="356276E8">
      <w:start w:val="1"/>
      <w:numFmt w:val="bullet"/>
      <w:lvlText w:val="·"/>
      <w:lvlJc w:val="left"/>
      <w:pPr>
        <w:ind w:left="1440" w:hanging="360"/>
      </w:pPr>
      <w:rPr>
        <w:rFonts w:ascii="Symbol" w:hAnsi="Symbol" w:hint="default"/>
      </w:rPr>
    </w:lvl>
    <w:lvl w:ilvl="2" w:tplc="081C879A">
      <w:start w:val="1"/>
      <w:numFmt w:val="bullet"/>
      <w:lvlText w:val=""/>
      <w:lvlJc w:val="left"/>
      <w:pPr>
        <w:ind w:left="2160" w:hanging="360"/>
      </w:pPr>
      <w:rPr>
        <w:rFonts w:ascii="Wingdings" w:hAnsi="Wingdings" w:hint="default"/>
      </w:rPr>
    </w:lvl>
    <w:lvl w:ilvl="3" w:tplc="AC54A0E0">
      <w:start w:val="1"/>
      <w:numFmt w:val="bullet"/>
      <w:lvlText w:val=""/>
      <w:lvlJc w:val="left"/>
      <w:pPr>
        <w:ind w:left="2880" w:hanging="360"/>
      </w:pPr>
      <w:rPr>
        <w:rFonts w:ascii="Symbol" w:hAnsi="Symbol" w:hint="default"/>
      </w:rPr>
    </w:lvl>
    <w:lvl w:ilvl="4" w:tplc="55622C12">
      <w:start w:val="1"/>
      <w:numFmt w:val="bullet"/>
      <w:lvlText w:val="o"/>
      <w:lvlJc w:val="left"/>
      <w:pPr>
        <w:ind w:left="3600" w:hanging="360"/>
      </w:pPr>
      <w:rPr>
        <w:rFonts w:ascii="Courier New" w:hAnsi="Courier New" w:hint="default"/>
      </w:rPr>
    </w:lvl>
    <w:lvl w:ilvl="5" w:tplc="03BEF5FC">
      <w:start w:val="1"/>
      <w:numFmt w:val="bullet"/>
      <w:lvlText w:val=""/>
      <w:lvlJc w:val="left"/>
      <w:pPr>
        <w:ind w:left="4320" w:hanging="360"/>
      </w:pPr>
      <w:rPr>
        <w:rFonts w:ascii="Wingdings" w:hAnsi="Wingdings" w:hint="default"/>
      </w:rPr>
    </w:lvl>
    <w:lvl w:ilvl="6" w:tplc="6BB69E1E">
      <w:start w:val="1"/>
      <w:numFmt w:val="bullet"/>
      <w:lvlText w:val=""/>
      <w:lvlJc w:val="left"/>
      <w:pPr>
        <w:ind w:left="5040" w:hanging="360"/>
      </w:pPr>
      <w:rPr>
        <w:rFonts w:ascii="Symbol" w:hAnsi="Symbol" w:hint="default"/>
      </w:rPr>
    </w:lvl>
    <w:lvl w:ilvl="7" w:tplc="8BAE0BD6">
      <w:start w:val="1"/>
      <w:numFmt w:val="bullet"/>
      <w:lvlText w:val="o"/>
      <w:lvlJc w:val="left"/>
      <w:pPr>
        <w:ind w:left="5760" w:hanging="360"/>
      </w:pPr>
      <w:rPr>
        <w:rFonts w:ascii="Courier New" w:hAnsi="Courier New" w:hint="default"/>
      </w:rPr>
    </w:lvl>
    <w:lvl w:ilvl="8" w:tplc="554CB506">
      <w:start w:val="1"/>
      <w:numFmt w:val="bullet"/>
      <w:lvlText w:val=""/>
      <w:lvlJc w:val="left"/>
      <w:pPr>
        <w:ind w:left="6480" w:hanging="360"/>
      </w:pPr>
      <w:rPr>
        <w:rFonts w:ascii="Wingdings" w:hAnsi="Wingdings" w:hint="default"/>
      </w:rPr>
    </w:lvl>
  </w:abstractNum>
  <w:abstractNum w:abstractNumId="89" w15:restartNumberingAfterBreak="0">
    <w:nsid w:val="29EF6D3F"/>
    <w:multiLevelType w:val="hybridMultilevel"/>
    <w:tmpl w:val="294824B0"/>
    <w:lvl w:ilvl="0" w:tplc="8A16160C">
      <w:start w:val="21"/>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0" w15:restartNumberingAfterBreak="0">
    <w:nsid w:val="29EF7EC8"/>
    <w:multiLevelType w:val="hybridMultilevel"/>
    <w:tmpl w:val="7336604C"/>
    <w:lvl w:ilvl="0" w:tplc="6A804874">
      <w:start w:val="9"/>
      <w:numFmt w:val="bullet"/>
      <w:lvlText w:val="-"/>
      <w:lvlJc w:val="left"/>
      <w:pPr>
        <w:ind w:left="720" w:hanging="360"/>
      </w:pPr>
      <w:rPr>
        <w:rFonts w:ascii="Times New Roman" w:eastAsiaTheme="minorEastAsia"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1" w15:restartNumberingAfterBreak="0">
    <w:nsid w:val="2C335673"/>
    <w:multiLevelType w:val="hybridMultilevel"/>
    <w:tmpl w:val="FFFFFFFF"/>
    <w:lvl w:ilvl="0" w:tplc="83A82782">
      <w:start w:val="1"/>
      <w:numFmt w:val="bullet"/>
      <w:lvlText w:val="·"/>
      <w:lvlJc w:val="left"/>
      <w:pPr>
        <w:ind w:left="720" w:hanging="360"/>
      </w:pPr>
      <w:rPr>
        <w:rFonts w:ascii="Symbol" w:hAnsi="Symbol" w:hint="default"/>
      </w:rPr>
    </w:lvl>
    <w:lvl w:ilvl="1" w:tplc="F92CA39A">
      <w:start w:val="1"/>
      <w:numFmt w:val="bullet"/>
      <w:lvlText w:val="o"/>
      <w:lvlJc w:val="left"/>
      <w:pPr>
        <w:ind w:left="1440" w:hanging="360"/>
      </w:pPr>
      <w:rPr>
        <w:rFonts w:ascii="Courier New" w:hAnsi="Courier New" w:hint="default"/>
      </w:rPr>
    </w:lvl>
    <w:lvl w:ilvl="2" w:tplc="D2E41A40">
      <w:start w:val="1"/>
      <w:numFmt w:val="bullet"/>
      <w:lvlText w:val=""/>
      <w:lvlJc w:val="left"/>
      <w:pPr>
        <w:ind w:left="2160" w:hanging="360"/>
      </w:pPr>
      <w:rPr>
        <w:rFonts w:ascii="Wingdings" w:hAnsi="Wingdings" w:hint="default"/>
      </w:rPr>
    </w:lvl>
    <w:lvl w:ilvl="3" w:tplc="92542FE8">
      <w:start w:val="1"/>
      <w:numFmt w:val="bullet"/>
      <w:lvlText w:val=""/>
      <w:lvlJc w:val="left"/>
      <w:pPr>
        <w:ind w:left="2880" w:hanging="360"/>
      </w:pPr>
      <w:rPr>
        <w:rFonts w:ascii="Symbol" w:hAnsi="Symbol" w:hint="default"/>
      </w:rPr>
    </w:lvl>
    <w:lvl w:ilvl="4" w:tplc="5E8A6B06">
      <w:start w:val="1"/>
      <w:numFmt w:val="bullet"/>
      <w:lvlText w:val="o"/>
      <w:lvlJc w:val="left"/>
      <w:pPr>
        <w:ind w:left="3600" w:hanging="360"/>
      </w:pPr>
      <w:rPr>
        <w:rFonts w:ascii="Courier New" w:hAnsi="Courier New" w:hint="default"/>
      </w:rPr>
    </w:lvl>
    <w:lvl w:ilvl="5" w:tplc="385C7E7C">
      <w:start w:val="1"/>
      <w:numFmt w:val="bullet"/>
      <w:lvlText w:val=""/>
      <w:lvlJc w:val="left"/>
      <w:pPr>
        <w:ind w:left="4320" w:hanging="360"/>
      </w:pPr>
      <w:rPr>
        <w:rFonts w:ascii="Wingdings" w:hAnsi="Wingdings" w:hint="default"/>
      </w:rPr>
    </w:lvl>
    <w:lvl w:ilvl="6" w:tplc="C3646E9C">
      <w:start w:val="1"/>
      <w:numFmt w:val="bullet"/>
      <w:lvlText w:val=""/>
      <w:lvlJc w:val="left"/>
      <w:pPr>
        <w:ind w:left="5040" w:hanging="360"/>
      </w:pPr>
      <w:rPr>
        <w:rFonts w:ascii="Symbol" w:hAnsi="Symbol" w:hint="default"/>
      </w:rPr>
    </w:lvl>
    <w:lvl w:ilvl="7" w:tplc="D67ABFF2">
      <w:start w:val="1"/>
      <w:numFmt w:val="bullet"/>
      <w:lvlText w:val="o"/>
      <w:lvlJc w:val="left"/>
      <w:pPr>
        <w:ind w:left="5760" w:hanging="360"/>
      </w:pPr>
      <w:rPr>
        <w:rFonts w:ascii="Courier New" w:hAnsi="Courier New" w:hint="default"/>
      </w:rPr>
    </w:lvl>
    <w:lvl w:ilvl="8" w:tplc="1F520542">
      <w:start w:val="1"/>
      <w:numFmt w:val="bullet"/>
      <w:lvlText w:val=""/>
      <w:lvlJc w:val="left"/>
      <w:pPr>
        <w:ind w:left="6480" w:hanging="360"/>
      </w:pPr>
      <w:rPr>
        <w:rFonts w:ascii="Wingdings" w:hAnsi="Wingdings" w:hint="default"/>
      </w:rPr>
    </w:lvl>
  </w:abstractNum>
  <w:abstractNum w:abstractNumId="92" w15:restartNumberingAfterBreak="0">
    <w:nsid w:val="2C5733C3"/>
    <w:multiLevelType w:val="hybridMultilevel"/>
    <w:tmpl w:val="FFFFFFFF"/>
    <w:lvl w:ilvl="0" w:tplc="0EC29980">
      <w:start w:val="1"/>
      <w:numFmt w:val="bullet"/>
      <w:lvlText w:val="·"/>
      <w:lvlJc w:val="left"/>
      <w:pPr>
        <w:ind w:left="720" w:hanging="360"/>
      </w:pPr>
      <w:rPr>
        <w:rFonts w:ascii="Symbol" w:hAnsi="Symbol" w:hint="default"/>
      </w:rPr>
    </w:lvl>
    <w:lvl w:ilvl="1" w:tplc="70A28B32">
      <w:start w:val="1"/>
      <w:numFmt w:val="bullet"/>
      <w:lvlText w:val="o"/>
      <w:lvlJc w:val="left"/>
      <w:pPr>
        <w:ind w:left="1440" w:hanging="360"/>
      </w:pPr>
      <w:rPr>
        <w:rFonts w:ascii="Courier New" w:hAnsi="Courier New" w:hint="default"/>
      </w:rPr>
    </w:lvl>
    <w:lvl w:ilvl="2" w:tplc="618A3F2E">
      <w:start w:val="1"/>
      <w:numFmt w:val="bullet"/>
      <w:lvlText w:val=""/>
      <w:lvlJc w:val="left"/>
      <w:pPr>
        <w:ind w:left="2160" w:hanging="360"/>
      </w:pPr>
      <w:rPr>
        <w:rFonts w:ascii="Wingdings" w:hAnsi="Wingdings" w:hint="default"/>
      </w:rPr>
    </w:lvl>
    <w:lvl w:ilvl="3" w:tplc="4A109D2C">
      <w:start w:val="1"/>
      <w:numFmt w:val="bullet"/>
      <w:lvlText w:val=""/>
      <w:lvlJc w:val="left"/>
      <w:pPr>
        <w:ind w:left="2880" w:hanging="360"/>
      </w:pPr>
      <w:rPr>
        <w:rFonts w:ascii="Symbol" w:hAnsi="Symbol" w:hint="default"/>
      </w:rPr>
    </w:lvl>
    <w:lvl w:ilvl="4" w:tplc="2932EA76">
      <w:start w:val="1"/>
      <w:numFmt w:val="bullet"/>
      <w:lvlText w:val="o"/>
      <w:lvlJc w:val="left"/>
      <w:pPr>
        <w:ind w:left="3600" w:hanging="360"/>
      </w:pPr>
      <w:rPr>
        <w:rFonts w:ascii="Courier New" w:hAnsi="Courier New" w:hint="default"/>
      </w:rPr>
    </w:lvl>
    <w:lvl w:ilvl="5" w:tplc="4310414C">
      <w:start w:val="1"/>
      <w:numFmt w:val="bullet"/>
      <w:lvlText w:val=""/>
      <w:lvlJc w:val="left"/>
      <w:pPr>
        <w:ind w:left="4320" w:hanging="360"/>
      </w:pPr>
      <w:rPr>
        <w:rFonts w:ascii="Wingdings" w:hAnsi="Wingdings" w:hint="default"/>
      </w:rPr>
    </w:lvl>
    <w:lvl w:ilvl="6" w:tplc="9222B04E">
      <w:start w:val="1"/>
      <w:numFmt w:val="bullet"/>
      <w:lvlText w:val=""/>
      <w:lvlJc w:val="left"/>
      <w:pPr>
        <w:ind w:left="5040" w:hanging="360"/>
      </w:pPr>
      <w:rPr>
        <w:rFonts w:ascii="Symbol" w:hAnsi="Symbol" w:hint="default"/>
      </w:rPr>
    </w:lvl>
    <w:lvl w:ilvl="7" w:tplc="2FC2AB10">
      <w:start w:val="1"/>
      <w:numFmt w:val="bullet"/>
      <w:lvlText w:val="o"/>
      <w:lvlJc w:val="left"/>
      <w:pPr>
        <w:ind w:left="5760" w:hanging="360"/>
      </w:pPr>
      <w:rPr>
        <w:rFonts w:ascii="Courier New" w:hAnsi="Courier New" w:hint="default"/>
      </w:rPr>
    </w:lvl>
    <w:lvl w:ilvl="8" w:tplc="25F47EFA">
      <w:start w:val="1"/>
      <w:numFmt w:val="bullet"/>
      <w:lvlText w:val=""/>
      <w:lvlJc w:val="left"/>
      <w:pPr>
        <w:ind w:left="6480" w:hanging="360"/>
      </w:pPr>
      <w:rPr>
        <w:rFonts w:ascii="Wingdings" w:hAnsi="Wingdings" w:hint="default"/>
      </w:rPr>
    </w:lvl>
  </w:abstractNum>
  <w:abstractNum w:abstractNumId="93" w15:restartNumberingAfterBreak="0">
    <w:nsid w:val="2C9F1479"/>
    <w:multiLevelType w:val="hybridMultilevel"/>
    <w:tmpl w:val="4B38112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4" w15:restartNumberingAfterBreak="0">
    <w:nsid w:val="2CDE713A"/>
    <w:multiLevelType w:val="hybridMultilevel"/>
    <w:tmpl w:val="1C2C185E"/>
    <w:lvl w:ilvl="0" w:tplc="23D04DFA">
      <w:start w:val="1"/>
      <w:numFmt w:val="bullet"/>
      <w:lvlText w:val="·"/>
      <w:lvlJc w:val="left"/>
      <w:pPr>
        <w:ind w:left="720" w:hanging="360"/>
      </w:pPr>
      <w:rPr>
        <w:rFonts w:ascii="Arial, sans-serif" w:hAnsi="Arial, sans-serif" w:hint="default"/>
      </w:rPr>
    </w:lvl>
    <w:lvl w:ilvl="1" w:tplc="E0CA55F6">
      <w:start w:val="1"/>
      <w:numFmt w:val="bullet"/>
      <w:lvlText w:val="o"/>
      <w:lvlJc w:val="left"/>
      <w:pPr>
        <w:ind w:left="1440" w:hanging="360"/>
      </w:pPr>
      <w:rPr>
        <w:rFonts w:ascii="Courier New" w:hAnsi="Courier New" w:hint="default"/>
      </w:rPr>
    </w:lvl>
    <w:lvl w:ilvl="2" w:tplc="231C3CD6">
      <w:start w:val="1"/>
      <w:numFmt w:val="bullet"/>
      <w:lvlText w:val=""/>
      <w:lvlJc w:val="left"/>
      <w:pPr>
        <w:ind w:left="2160" w:hanging="360"/>
      </w:pPr>
      <w:rPr>
        <w:rFonts w:ascii="Wingdings" w:hAnsi="Wingdings" w:hint="default"/>
      </w:rPr>
    </w:lvl>
    <w:lvl w:ilvl="3" w:tplc="3AA42478">
      <w:start w:val="1"/>
      <w:numFmt w:val="bullet"/>
      <w:lvlText w:val=""/>
      <w:lvlJc w:val="left"/>
      <w:pPr>
        <w:ind w:left="2880" w:hanging="360"/>
      </w:pPr>
      <w:rPr>
        <w:rFonts w:ascii="Symbol" w:hAnsi="Symbol" w:hint="default"/>
      </w:rPr>
    </w:lvl>
    <w:lvl w:ilvl="4" w:tplc="53B4BC16">
      <w:start w:val="1"/>
      <w:numFmt w:val="bullet"/>
      <w:lvlText w:val="o"/>
      <w:lvlJc w:val="left"/>
      <w:pPr>
        <w:ind w:left="3600" w:hanging="360"/>
      </w:pPr>
      <w:rPr>
        <w:rFonts w:ascii="Courier New" w:hAnsi="Courier New" w:hint="default"/>
      </w:rPr>
    </w:lvl>
    <w:lvl w:ilvl="5" w:tplc="10ACD7DC">
      <w:start w:val="1"/>
      <w:numFmt w:val="bullet"/>
      <w:lvlText w:val=""/>
      <w:lvlJc w:val="left"/>
      <w:pPr>
        <w:ind w:left="4320" w:hanging="360"/>
      </w:pPr>
      <w:rPr>
        <w:rFonts w:ascii="Wingdings" w:hAnsi="Wingdings" w:hint="default"/>
      </w:rPr>
    </w:lvl>
    <w:lvl w:ilvl="6" w:tplc="B680DBE2">
      <w:start w:val="1"/>
      <w:numFmt w:val="bullet"/>
      <w:lvlText w:val=""/>
      <w:lvlJc w:val="left"/>
      <w:pPr>
        <w:ind w:left="5040" w:hanging="360"/>
      </w:pPr>
      <w:rPr>
        <w:rFonts w:ascii="Symbol" w:hAnsi="Symbol" w:hint="default"/>
      </w:rPr>
    </w:lvl>
    <w:lvl w:ilvl="7" w:tplc="EE8E663E">
      <w:start w:val="1"/>
      <w:numFmt w:val="bullet"/>
      <w:lvlText w:val="o"/>
      <w:lvlJc w:val="left"/>
      <w:pPr>
        <w:ind w:left="5760" w:hanging="360"/>
      </w:pPr>
      <w:rPr>
        <w:rFonts w:ascii="Courier New" w:hAnsi="Courier New" w:hint="default"/>
      </w:rPr>
    </w:lvl>
    <w:lvl w:ilvl="8" w:tplc="C340FD54">
      <w:start w:val="1"/>
      <w:numFmt w:val="bullet"/>
      <w:lvlText w:val=""/>
      <w:lvlJc w:val="left"/>
      <w:pPr>
        <w:ind w:left="6480" w:hanging="360"/>
      </w:pPr>
      <w:rPr>
        <w:rFonts w:ascii="Wingdings" w:hAnsi="Wingdings" w:hint="default"/>
      </w:rPr>
    </w:lvl>
  </w:abstractNum>
  <w:abstractNum w:abstractNumId="95" w15:restartNumberingAfterBreak="0">
    <w:nsid w:val="2CE6313D"/>
    <w:multiLevelType w:val="hybridMultilevel"/>
    <w:tmpl w:val="749AA6CA"/>
    <w:lvl w:ilvl="0" w:tplc="2E90D1BA">
      <w:start w:val="1"/>
      <w:numFmt w:val="bullet"/>
      <w:lvlText w:val="·"/>
      <w:lvlJc w:val="left"/>
      <w:pPr>
        <w:ind w:left="720" w:hanging="360"/>
      </w:pPr>
      <w:rPr>
        <w:rFonts w:ascii="Symbol" w:hAnsi="Symbol" w:hint="default"/>
      </w:rPr>
    </w:lvl>
    <w:lvl w:ilvl="1" w:tplc="7DE41AFE">
      <w:start w:val="1"/>
      <w:numFmt w:val="bullet"/>
      <w:lvlText w:val="o"/>
      <w:lvlJc w:val="left"/>
      <w:pPr>
        <w:ind w:left="1440" w:hanging="360"/>
      </w:pPr>
      <w:rPr>
        <w:rFonts w:ascii="Courier New" w:hAnsi="Courier New" w:hint="default"/>
      </w:rPr>
    </w:lvl>
    <w:lvl w:ilvl="2" w:tplc="FCBC5006">
      <w:start w:val="1"/>
      <w:numFmt w:val="bullet"/>
      <w:lvlText w:val=""/>
      <w:lvlJc w:val="left"/>
      <w:pPr>
        <w:ind w:left="2160" w:hanging="360"/>
      </w:pPr>
      <w:rPr>
        <w:rFonts w:ascii="Wingdings" w:hAnsi="Wingdings" w:hint="default"/>
      </w:rPr>
    </w:lvl>
    <w:lvl w:ilvl="3" w:tplc="88EC64A8">
      <w:start w:val="1"/>
      <w:numFmt w:val="bullet"/>
      <w:lvlText w:val=""/>
      <w:lvlJc w:val="left"/>
      <w:pPr>
        <w:ind w:left="2880" w:hanging="360"/>
      </w:pPr>
      <w:rPr>
        <w:rFonts w:ascii="Symbol" w:hAnsi="Symbol" w:hint="default"/>
      </w:rPr>
    </w:lvl>
    <w:lvl w:ilvl="4" w:tplc="D6003668">
      <w:start w:val="1"/>
      <w:numFmt w:val="bullet"/>
      <w:lvlText w:val="o"/>
      <w:lvlJc w:val="left"/>
      <w:pPr>
        <w:ind w:left="3600" w:hanging="360"/>
      </w:pPr>
      <w:rPr>
        <w:rFonts w:ascii="Courier New" w:hAnsi="Courier New" w:hint="default"/>
      </w:rPr>
    </w:lvl>
    <w:lvl w:ilvl="5" w:tplc="8D765100">
      <w:start w:val="1"/>
      <w:numFmt w:val="bullet"/>
      <w:lvlText w:val=""/>
      <w:lvlJc w:val="left"/>
      <w:pPr>
        <w:ind w:left="4320" w:hanging="360"/>
      </w:pPr>
      <w:rPr>
        <w:rFonts w:ascii="Wingdings" w:hAnsi="Wingdings" w:hint="default"/>
      </w:rPr>
    </w:lvl>
    <w:lvl w:ilvl="6" w:tplc="DF1A7994">
      <w:start w:val="1"/>
      <w:numFmt w:val="bullet"/>
      <w:lvlText w:val=""/>
      <w:lvlJc w:val="left"/>
      <w:pPr>
        <w:ind w:left="5040" w:hanging="360"/>
      </w:pPr>
      <w:rPr>
        <w:rFonts w:ascii="Symbol" w:hAnsi="Symbol" w:hint="default"/>
      </w:rPr>
    </w:lvl>
    <w:lvl w:ilvl="7" w:tplc="B2B2E67E">
      <w:start w:val="1"/>
      <w:numFmt w:val="bullet"/>
      <w:lvlText w:val="o"/>
      <w:lvlJc w:val="left"/>
      <w:pPr>
        <w:ind w:left="5760" w:hanging="360"/>
      </w:pPr>
      <w:rPr>
        <w:rFonts w:ascii="Courier New" w:hAnsi="Courier New" w:hint="default"/>
      </w:rPr>
    </w:lvl>
    <w:lvl w:ilvl="8" w:tplc="FA46E7F4">
      <w:start w:val="1"/>
      <w:numFmt w:val="bullet"/>
      <w:lvlText w:val=""/>
      <w:lvlJc w:val="left"/>
      <w:pPr>
        <w:ind w:left="6480" w:hanging="360"/>
      </w:pPr>
      <w:rPr>
        <w:rFonts w:ascii="Wingdings" w:hAnsi="Wingdings" w:hint="default"/>
      </w:rPr>
    </w:lvl>
  </w:abstractNum>
  <w:abstractNum w:abstractNumId="96" w15:restartNumberingAfterBreak="0">
    <w:nsid w:val="2D35077D"/>
    <w:multiLevelType w:val="hybridMultilevel"/>
    <w:tmpl w:val="DE2CF5B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7" w15:restartNumberingAfterBreak="0">
    <w:nsid w:val="2DC21766"/>
    <w:multiLevelType w:val="hybridMultilevel"/>
    <w:tmpl w:val="C2C8282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8" w15:restartNumberingAfterBreak="0">
    <w:nsid w:val="2DE8568C"/>
    <w:multiLevelType w:val="hybridMultilevel"/>
    <w:tmpl w:val="0166F12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99" w15:restartNumberingAfterBreak="0">
    <w:nsid w:val="2E134BE6"/>
    <w:multiLevelType w:val="hybridMultilevel"/>
    <w:tmpl w:val="F79CAD0E"/>
    <w:lvl w:ilvl="0" w:tplc="7F069F9C">
      <w:start w:val="1"/>
      <w:numFmt w:val="bullet"/>
      <w:lvlText w:val="·"/>
      <w:lvlJc w:val="left"/>
      <w:pPr>
        <w:ind w:left="720" w:hanging="360"/>
      </w:pPr>
      <w:rPr>
        <w:rFonts w:ascii="Symbol" w:hAnsi="Symbol" w:hint="default"/>
      </w:rPr>
    </w:lvl>
    <w:lvl w:ilvl="1" w:tplc="A718C4B4">
      <w:start w:val="1"/>
      <w:numFmt w:val="bullet"/>
      <w:lvlText w:val="o"/>
      <w:lvlJc w:val="left"/>
      <w:pPr>
        <w:ind w:left="1440" w:hanging="360"/>
      </w:pPr>
      <w:rPr>
        <w:rFonts w:ascii="Courier New" w:hAnsi="Courier New" w:hint="default"/>
      </w:rPr>
    </w:lvl>
    <w:lvl w:ilvl="2" w:tplc="D6C28B46">
      <w:start w:val="1"/>
      <w:numFmt w:val="bullet"/>
      <w:lvlText w:val=""/>
      <w:lvlJc w:val="left"/>
      <w:pPr>
        <w:ind w:left="2160" w:hanging="360"/>
      </w:pPr>
      <w:rPr>
        <w:rFonts w:ascii="Wingdings" w:hAnsi="Wingdings" w:hint="default"/>
      </w:rPr>
    </w:lvl>
    <w:lvl w:ilvl="3" w:tplc="6F5A6C94">
      <w:start w:val="1"/>
      <w:numFmt w:val="bullet"/>
      <w:lvlText w:val=""/>
      <w:lvlJc w:val="left"/>
      <w:pPr>
        <w:ind w:left="2880" w:hanging="360"/>
      </w:pPr>
      <w:rPr>
        <w:rFonts w:ascii="Symbol" w:hAnsi="Symbol" w:hint="default"/>
      </w:rPr>
    </w:lvl>
    <w:lvl w:ilvl="4" w:tplc="C0A2A12A">
      <w:start w:val="1"/>
      <w:numFmt w:val="bullet"/>
      <w:lvlText w:val="o"/>
      <w:lvlJc w:val="left"/>
      <w:pPr>
        <w:ind w:left="3600" w:hanging="360"/>
      </w:pPr>
      <w:rPr>
        <w:rFonts w:ascii="Courier New" w:hAnsi="Courier New" w:hint="default"/>
      </w:rPr>
    </w:lvl>
    <w:lvl w:ilvl="5" w:tplc="60E0C870">
      <w:start w:val="1"/>
      <w:numFmt w:val="bullet"/>
      <w:lvlText w:val=""/>
      <w:lvlJc w:val="left"/>
      <w:pPr>
        <w:ind w:left="4320" w:hanging="360"/>
      </w:pPr>
      <w:rPr>
        <w:rFonts w:ascii="Wingdings" w:hAnsi="Wingdings" w:hint="default"/>
      </w:rPr>
    </w:lvl>
    <w:lvl w:ilvl="6" w:tplc="1F42ADE6">
      <w:start w:val="1"/>
      <w:numFmt w:val="bullet"/>
      <w:lvlText w:val=""/>
      <w:lvlJc w:val="left"/>
      <w:pPr>
        <w:ind w:left="5040" w:hanging="360"/>
      </w:pPr>
      <w:rPr>
        <w:rFonts w:ascii="Symbol" w:hAnsi="Symbol" w:hint="default"/>
      </w:rPr>
    </w:lvl>
    <w:lvl w:ilvl="7" w:tplc="E27AE530">
      <w:start w:val="1"/>
      <w:numFmt w:val="bullet"/>
      <w:lvlText w:val="o"/>
      <w:lvlJc w:val="left"/>
      <w:pPr>
        <w:ind w:left="5760" w:hanging="360"/>
      </w:pPr>
      <w:rPr>
        <w:rFonts w:ascii="Courier New" w:hAnsi="Courier New" w:hint="default"/>
      </w:rPr>
    </w:lvl>
    <w:lvl w:ilvl="8" w:tplc="F96C47F6">
      <w:start w:val="1"/>
      <w:numFmt w:val="bullet"/>
      <w:lvlText w:val=""/>
      <w:lvlJc w:val="left"/>
      <w:pPr>
        <w:ind w:left="6480" w:hanging="360"/>
      </w:pPr>
      <w:rPr>
        <w:rFonts w:ascii="Wingdings" w:hAnsi="Wingdings" w:hint="default"/>
      </w:rPr>
    </w:lvl>
  </w:abstractNum>
  <w:abstractNum w:abstractNumId="100" w15:restartNumberingAfterBreak="0">
    <w:nsid w:val="2EBB741F"/>
    <w:multiLevelType w:val="hybridMultilevel"/>
    <w:tmpl w:val="50E24CD8"/>
    <w:lvl w:ilvl="0" w:tplc="72E42A4E">
      <w:start w:val="1"/>
      <w:numFmt w:val="bullet"/>
      <w:lvlText w:val="·"/>
      <w:lvlJc w:val="left"/>
      <w:pPr>
        <w:ind w:left="720" w:hanging="360"/>
      </w:pPr>
      <w:rPr>
        <w:rFonts w:ascii="Symbol" w:hAnsi="Symbol" w:hint="default"/>
      </w:rPr>
    </w:lvl>
    <w:lvl w:ilvl="1" w:tplc="6B087AF0">
      <w:start w:val="1"/>
      <w:numFmt w:val="bullet"/>
      <w:lvlText w:val="o"/>
      <w:lvlJc w:val="left"/>
      <w:pPr>
        <w:ind w:left="1440" w:hanging="360"/>
      </w:pPr>
      <w:rPr>
        <w:rFonts w:ascii="Courier New" w:hAnsi="Courier New" w:hint="default"/>
      </w:rPr>
    </w:lvl>
    <w:lvl w:ilvl="2" w:tplc="DBF6F04E">
      <w:start w:val="1"/>
      <w:numFmt w:val="bullet"/>
      <w:lvlText w:val=""/>
      <w:lvlJc w:val="left"/>
      <w:pPr>
        <w:ind w:left="2160" w:hanging="360"/>
      </w:pPr>
      <w:rPr>
        <w:rFonts w:ascii="Wingdings" w:hAnsi="Wingdings" w:hint="default"/>
      </w:rPr>
    </w:lvl>
    <w:lvl w:ilvl="3" w:tplc="61A69310">
      <w:start w:val="1"/>
      <w:numFmt w:val="bullet"/>
      <w:lvlText w:val=""/>
      <w:lvlJc w:val="left"/>
      <w:pPr>
        <w:ind w:left="2880" w:hanging="360"/>
      </w:pPr>
      <w:rPr>
        <w:rFonts w:ascii="Symbol" w:hAnsi="Symbol" w:hint="default"/>
      </w:rPr>
    </w:lvl>
    <w:lvl w:ilvl="4" w:tplc="77D8FB7E">
      <w:start w:val="1"/>
      <w:numFmt w:val="bullet"/>
      <w:lvlText w:val="o"/>
      <w:lvlJc w:val="left"/>
      <w:pPr>
        <w:ind w:left="3600" w:hanging="360"/>
      </w:pPr>
      <w:rPr>
        <w:rFonts w:ascii="Courier New" w:hAnsi="Courier New" w:hint="default"/>
      </w:rPr>
    </w:lvl>
    <w:lvl w:ilvl="5" w:tplc="A8E63152">
      <w:start w:val="1"/>
      <w:numFmt w:val="bullet"/>
      <w:lvlText w:val=""/>
      <w:lvlJc w:val="left"/>
      <w:pPr>
        <w:ind w:left="4320" w:hanging="360"/>
      </w:pPr>
      <w:rPr>
        <w:rFonts w:ascii="Wingdings" w:hAnsi="Wingdings" w:hint="default"/>
      </w:rPr>
    </w:lvl>
    <w:lvl w:ilvl="6" w:tplc="A48C2D60">
      <w:start w:val="1"/>
      <w:numFmt w:val="bullet"/>
      <w:lvlText w:val=""/>
      <w:lvlJc w:val="left"/>
      <w:pPr>
        <w:ind w:left="5040" w:hanging="360"/>
      </w:pPr>
      <w:rPr>
        <w:rFonts w:ascii="Symbol" w:hAnsi="Symbol" w:hint="default"/>
      </w:rPr>
    </w:lvl>
    <w:lvl w:ilvl="7" w:tplc="2954E690">
      <w:start w:val="1"/>
      <w:numFmt w:val="bullet"/>
      <w:lvlText w:val="o"/>
      <w:lvlJc w:val="left"/>
      <w:pPr>
        <w:ind w:left="5760" w:hanging="360"/>
      </w:pPr>
      <w:rPr>
        <w:rFonts w:ascii="Courier New" w:hAnsi="Courier New" w:hint="default"/>
      </w:rPr>
    </w:lvl>
    <w:lvl w:ilvl="8" w:tplc="D4AED356">
      <w:start w:val="1"/>
      <w:numFmt w:val="bullet"/>
      <w:lvlText w:val=""/>
      <w:lvlJc w:val="left"/>
      <w:pPr>
        <w:ind w:left="6480" w:hanging="360"/>
      </w:pPr>
      <w:rPr>
        <w:rFonts w:ascii="Wingdings" w:hAnsi="Wingdings" w:hint="default"/>
      </w:rPr>
    </w:lvl>
  </w:abstractNum>
  <w:abstractNum w:abstractNumId="101" w15:restartNumberingAfterBreak="0">
    <w:nsid w:val="2EBE6C07"/>
    <w:multiLevelType w:val="hybridMultilevel"/>
    <w:tmpl w:val="26AE465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2" w15:restartNumberingAfterBreak="0">
    <w:nsid w:val="2F1E58A6"/>
    <w:multiLevelType w:val="hybridMultilevel"/>
    <w:tmpl w:val="2E94696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3" w15:restartNumberingAfterBreak="0">
    <w:nsid w:val="2F6916EA"/>
    <w:multiLevelType w:val="hybridMultilevel"/>
    <w:tmpl w:val="993AE4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4" w15:restartNumberingAfterBreak="0">
    <w:nsid w:val="2F7F5E65"/>
    <w:multiLevelType w:val="hybridMultilevel"/>
    <w:tmpl w:val="2938AEF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5" w15:restartNumberingAfterBreak="0">
    <w:nsid w:val="30264F86"/>
    <w:multiLevelType w:val="hybridMultilevel"/>
    <w:tmpl w:val="11BCB50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6" w15:restartNumberingAfterBreak="0">
    <w:nsid w:val="30C82D2F"/>
    <w:multiLevelType w:val="hybridMultilevel"/>
    <w:tmpl w:val="60A03CF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07" w15:restartNumberingAfterBreak="0">
    <w:nsid w:val="32691A33"/>
    <w:multiLevelType w:val="hybridMultilevel"/>
    <w:tmpl w:val="2EF842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8" w15:restartNumberingAfterBreak="0">
    <w:nsid w:val="33CA04E8"/>
    <w:multiLevelType w:val="hybridMultilevel"/>
    <w:tmpl w:val="9426DC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9" w15:restartNumberingAfterBreak="0">
    <w:nsid w:val="33EC211A"/>
    <w:multiLevelType w:val="multilevel"/>
    <w:tmpl w:val="526089F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0" w15:restartNumberingAfterBreak="0">
    <w:nsid w:val="358E5050"/>
    <w:multiLevelType w:val="multilevel"/>
    <w:tmpl w:val="A0E01E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35AA7B26"/>
    <w:multiLevelType w:val="hybridMultilevel"/>
    <w:tmpl w:val="FFFFFFFF"/>
    <w:lvl w:ilvl="0" w:tplc="60B0C96E">
      <w:start w:val="1"/>
      <w:numFmt w:val="bullet"/>
      <w:lvlText w:val="·"/>
      <w:lvlJc w:val="left"/>
      <w:pPr>
        <w:ind w:left="720" w:hanging="360"/>
      </w:pPr>
      <w:rPr>
        <w:rFonts w:ascii="Symbol" w:hAnsi="Symbol" w:hint="default"/>
      </w:rPr>
    </w:lvl>
    <w:lvl w:ilvl="1" w:tplc="19E24544">
      <w:start w:val="1"/>
      <w:numFmt w:val="bullet"/>
      <w:lvlText w:val="o"/>
      <w:lvlJc w:val="left"/>
      <w:pPr>
        <w:ind w:left="1440" w:hanging="360"/>
      </w:pPr>
      <w:rPr>
        <w:rFonts w:ascii="Courier New" w:hAnsi="Courier New" w:hint="default"/>
      </w:rPr>
    </w:lvl>
    <w:lvl w:ilvl="2" w:tplc="B0B496FC">
      <w:start w:val="1"/>
      <w:numFmt w:val="bullet"/>
      <w:lvlText w:val=""/>
      <w:lvlJc w:val="left"/>
      <w:pPr>
        <w:ind w:left="2160" w:hanging="360"/>
      </w:pPr>
      <w:rPr>
        <w:rFonts w:ascii="Wingdings" w:hAnsi="Wingdings" w:hint="default"/>
      </w:rPr>
    </w:lvl>
    <w:lvl w:ilvl="3" w:tplc="CE040AF0">
      <w:start w:val="1"/>
      <w:numFmt w:val="bullet"/>
      <w:lvlText w:val=""/>
      <w:lvlJc w:val="left"/>
      <w:pPr>
        <w:ind w:left="2880" w:hanging="360"/>
      </w:pPr>
      <w:rPr>
        <w:rFonts w:ascii="Symbol" w:hAnsi="Symbol" w:hint="default"/>
      </w:rPr>
    </w:lvl>
    <w:lvl w:ilvl="4" w:tplc="0EE24C0A">
      <w:start w:val="1"/>
      <w:numFmt w:val="bullet"/>
      <w:lvlText w:val="o"/>
      <w:lvlJc w:val="left"/>
      <w:pPr>
        <w:ind w:left="3600" w:hanging="360"/>
      </w:pPr>
      <w:rPr>
        <w:rFonts w:ascii="Courier New" w:hAnsi="Courier New" w:hint="default"/>
      </w:rPr>
    </w:lvl>
    <w:lvl w:ilvl="5" w:tplc="6E7C0886">
      <w:start w:val="1"/>
      <w:numFmt w:val="bullet"/>
      <w:lvlText w:val=""/>
      <w:lvlJc w:val="left"/>
      <w:pPr>
        <w:ind w:left="4320" w:hanging="360"/>
      </w:pPr>
      <w:rPr>
        <w:rFonts w:ascii="Wingdings" w:hAnsi="Wingdings" w:hint="default"/>
      </w:rPr>
    </w:lvl>
    <w:lvl w:ilvl="6" w:tplc="439E63FE">
      <w:start w:val="1"/>
      <w:numFmt w:val="bullet"/>
      <w:lvlText w:val=""/>
      <w:lvlJc w:val="left"/>
      <w:pPr>
        <w:ind w:left="5040" w:hanging="360"/>
      </w:pPr>
      <w:rPr>
        <w:rFonts w:ascii="Symbol" w:hAnsi="Symbol" w:hint="default"/>
      </w:rPr>
    </w:lvl>
    <w:lvl w:ilvl="7" w:tplc="798ED26A">
      <w:start w:val="1"/>
      <w:numFmt w:val="bullet"/>
      <w:lvlText w:val="o"/>
      <w:lvlJc w:val="left"/>
      <w:pPr>
        <w:ind w:left="5760" w:hanging="360"/>
      </w:pPr>
      <w:rPr>
        <w:rFonts w:ascii="Courier New" w:hAnsi="Courier New" w:hint="default"/>
      </w:rPr>
    </w:lvl>
    <w:lvl w:ilvl="8" w:tplc="D51AC2DC">
      <w:start w:val="1"/>
      <w:numFmt w:val="bullet"/>
      <w:lvlText w:val=""/>
      <w:lvlJc w:val="left"/>
      <w:pPr>
        <w:ind w:left="6480" w:hanging="360"/>
      </w:pPr>
      <w:rPr>
        <w:rFonts w:ascii="Wingdings" w:hAnsi="Wingdings" w:hint="default"/>
      </w:rPr>
    </w:lvl>
  </w:abstractNum>
  <w:abstractNum w:abstractNumId="112" w15:restartNumberingAfterBreak="0">
    <w:nsid w:val="36464EEC"/>
    <w:multiLevelType w:val="hybridMultilevel"/>
    <w:tmpl w:val="3390738E"/>
    <w:lvl w:ilvl="0" w:tplc="240A0001">
      <w:start w:val="1"/>
      <w:numFmt w:val="bullet"/>
      <w:lvlText w:val=""/>
      <w:lvlJc w:val="left"/>
      <w:pPr>
        <w:ind w:left="720" w:hanging="360"/>
      </w:pPr>
      <w:rPr>
        <w:rFonts w:ascii="Symbol" w:hAnsi="Symbol" w:hint="default"/>
      </w:rPr>
    </w:lvl>
    <w:lvl w:ilvl="1" w:tplc="E92CDFEE">
      <w:start w:val="1"/>
      <w:numFmt w:val="bullet"/>
      <w:lvlText w:val="o"/>
      <w:lvlJc w:val="left"/>
      <w:pPr>
        <w:ind w:left="1440" w:hanging="360"/>
      </w:pPr>
      <w:rPr>
        <w:rFonts w:ascii="Courier New" w:hAnsi="Courier New" w:hint="default"/>
      </w:rPr>
    </w:lvl>
    <w:lvl w:ilvl="2" w:tplc="3C120F36">
      <w:start w:val="1"/>
      <w:numFmt w:val="bullet"/>
      <w:lvlText w:val=""/>
      <w:lvlJc w:val="left"/>
      <w:pPr>
        <w:ind w:left="2160" w:hanging="360"/>
      </w:pPr>
      <w:rPr>
        <w:rFonts w:ascii="Wingdings" w:hAnsi="Wingdings" w:hint="default"/>
      </w:rPr>
    </w:lvl>
    <w:lvl w:ilvl="3" w:tplc="FC26D890">
      <w:start w:val="1"/>
      <w:numFmt w:val="bullet"/>
      <w:lvlText w:val=""/>
      <w:lvlJc w:val="left"/>
      <w:pPr>
        <w:ind w:left="2880" w:hanging="360"/>
      </w:pPr>
      <w:rPr>
        <w:rFonts w:ascii="Symbol" w:hAnsi="Symbol" w:hint="default"/>
      </w:rPr>
    </w:lvl>
    <w:lvl w:ilvl="4" w:tplc="CE94858A">
      <w:start w:val="1"/>
      <w:numFmt w:val="bullet"/>
      <w:lvlText w:val="o"/>
      <w:lvlJc w:val="left"/>
      <w:pPr>
        <w:ind w:left="3600" w:hanging="360"/>
      </w:pPr>
      <w:rPr>
        <w:rFonts w:ascii="Courier New" w:hAnsi="Courier New" w:hint="default"/>
      </w:rPr>
    </w:lvl>
    <w:lvl w:ilvl="5" w:tplc="61A449AC">
      <w:start w:val="1"/>
      <w:numFmt w:val="bullet"/>
      <w:lvlText w:val=""/>
      <w:lvlJc w:val="left"/>
      <w:pPr>
        <w:ind w:left="4320" w:hanging="360"/>
      </w:pPr>
      <w:rPr>
        <w:rFonts w:ascii="Wingdings" w:hAnsi="Wingdings" w:hint="default"/>
      </w:rPr>
    </w:lvl>
    <w:lvl w:ilvl="6" w:tplc="A210E6DC">
      <w:start w:val="1"/>
      <w:numFmt w:val="bullet"/>
      <w:lvlText w:val=""/>
      <w:lvlJc w:val="left"/>
      <w:pPr>
        <w:ind w:left="5040" w:hanging="360"/>
      </w:pPr>
      <w:rPr>
        <w:rFonts w:ascii="Symbol" w:hAnsi="Symbol" w:hint="default"/>
      </w:rPr>
    </w:lvl>
    <w:lvl w:ilvl="7" w:tplc="4116515C">
      <w:start w:val="1"/>
      <w:numFmt w:val="bullet"/>
      <w:lvlText w:val="o"/>
      <w:lvlJc w:val="left"/>
      <w:pPr>
        <w:ind w:left="5760" w:hanging="360"/>
      </w:pPr>
      <w:rPr>
        <w:rFonts w:ascii="Courier New" w:hAnsi="Courier New" w:hint="default"/>
      </w:rPr>
    </w:lvl>
    <w:lvl w:ilvl="8" w:tplc="A29817F6">
      <w:start w:val="1"/>
      <w:numFmt w:val="bullet"/>
      <w:lvlText w:val=""/>
      <w:lvlJc w:val="left"/>
      <w:pPr>
        <w:ind w:left="6480" w:hanging="360"/>
      </w:pPr>
      <w:rPr>
        <w:rFonts w:ascii="Wingdings" w:hAnsi="Wingdings" w:hint="default"/>
      </w:rPr>
    </w:lvl>
  </w:abstractNum>
  <w:abstractNum w:abstractNumId="113" w15:restartNumberingAfterBreak="0">
    <w:nsid w:val="36726729"/>
    <w:multiLevelType w:val="hybridMultilevel"/>
    <w:tmpl w:val="03C01B86"/>
    <w:lvl w:ilvl="0" w:tplc="5596BAD6">
      <w:start w:val="1"/>
      <w:numFmt w:val="decimal"/>
      <w:lvlText w:val="%1."/>
      <w:lvlJc w:val="left"/>
      <w:pPr>
        <w:ind w:left="720" w:hanging="360"/>
      </w:pPr>
      <w:rPr>
        <w:b/>
      </w:rPr>
    </w:lvl>
    <w:lvl w:ilvl="1" w:tplc="38E4F766">
      <w:start w:val="1"/>
      <w:numFmt w:val="lowerLetter"/>
      <w:lvlText w:val="%2."/>
      <w:lvlJc w:val="left"/>
      <w:pPr>
        <w:ind w:left="1440" w:hanging="360"/>
      </w:pPr>
    </w:lvl>
    <w:lvl w:ilvl="2" w:tplc="C038D076">
      <w:start w:val="1"/>
      <w:numFmt w:val="lowerRoman"/>
      <w:lvlText w:val="%3."/>
      <w:lvlJc w:val="right"/>
      <w:pPr>
        <w:ind w:left="2160" w:hanging="180"/>
      </w:pPr>
    </w:lvl>
    <w:lvl w:ilvl="3" w:tplc="E856DE90">
      <w:start w:val="1"/>
      <w:numFmt w:val="decimal"/>
      <w:lvlText w:val="%4."/>
      <w:lvlJc w:val="left"/>
      <w:pPr>
        <w:ind w:left="2880" w:hanging="360"/>
      </w:pPr>
    </w:lvl>
    <w:lvl w:ilvl="4" w:tplc="C87CF01C">
      <w:start w:val="1"/>
      <w:numFmt w:val="lowerLetter"/>
      <w:lvlText w:val="%5."/>
      <w:lvlJc w:val="left"/>
      <w:pPr>
        <w:ind w:left="3600" w:hanging="360"/>
      </w:pPr>
    </w:lvl>
    <w:lvl w:ilvl="5" w:tplc="04347FB8">
      <w:start w:val="1"/>
      <w:numFmt w:val="lowerRoman"/>
      <w:lvlText w:val="%6."/>
      <w:lvlJc w:val="right"/>
      <w:pPr>
        <w:ind w:left="4320" w:hanging="180"/>
      </w:pPr>
    </w:lvl>
    <w:lvl w:ilvl="6" w:tplc="1B9A5286">
      <w:start w:val="1"/>
      <w:numFmt w:val="decimal"/>
      <w:lvlText w:val="%7."/>
      <w:lvlJc w:val="left"/>
      <w:pPr>
        <w:ind w:left="5040" w:hanging="360"/>
      </w:pPr>
    </w:lvl>
    <w:lvl w:ilvl="7" w:tplc="385227BC">
      <w:start w:val="1"/>
      <w:numFmt w:val="lowerLetter"/>
      <w:lvlText w:val="%8."/>
      <w:lvlJc w:val="left"/>
      <w:pPr>
        <w:ind w:left="5760" w:hanging="360"/>
      </w:pPr>
    </w:lvl>
    <w:lvl w:ilvl="8" w:tplc="C8006426">
      <w:start w:val="1"/>
      <w:numFmt w:val="lowerRoman"/>
      <w:lvlText w:val="%9."/>
      <w:lvlJc w:val="right"/>
      <w:pPr>
        <w:ind w:left="6480" w:hanging="180"/>
      </w:pPr>
    </w:lvl>
  </w:abstractNum>
  <w:abstractNum w:abstractNumId="114" w15:restartNumberingAfterBreak="0">
    <w:nsid w:val="378B1817"/>
    <w:multiLevelType w:val="multilevel"/>
    <w:tmpl w:val="DE4CAAD2"/>
    <w:lvl w:ilvl="0">
      <w:start w:val="4"/>
      <w:numFmt w:val="decimal"/>
      <w:lvlText w:val="%1"/>
      <w:lvlJc w:val="left"/>
      <w:pPr>
        <w:ind w:left="660" w:hanging="660"/>
      </w:pPr>
      <w:rPr>
        <w:rFonts w:hint="default"/>
      </w:rPr>
    </w:lvl>
    <w:lvl w:ilvl="1">
      <w:start w:val="5"/>
      <w:numFmt w:val="decimal"/>
      <w:lvlText w:val="%1.%2"/>
      <w:lvlJc w:val="left"/>
      <w:pPr>
        <w:ind w:left="802" w:hanging="660"/>
      </w:pPr>
      <w:rPr>
        <w:rFonts w:hint="default"/>
      </w:rPr>
    </w:lvl>
    <w:lvl w:ilvl="2">
      <w:start w:val="1"/>
      <w:numFmt w:val="decimal"/>
      <w:lvlText w:val="%1.%2.%3"/>
      <w:lvlJc w:val="left"/>
      <w:pPr>
        <w:ind w:left="862" w:hanging="720"/>
      </w:pPr>
      <w:rPr>
        <w:rFonts w:ascii="Arial" w:hAnsi="Arial" w:cs="Arial" w:hint="default"/>
        <w:b/>
        <w:bCs/>
      </w:rPr>
    </w:lvl>
    <w:lvl w:ilvl="3">
      <w:start w:val="1"/>
      <w:numFmt w:val="decimal"/>
      <w:lvlText w:val="%1.%2.%3.%4"/>
      <w:lvlJc w:val="left"/>
      <w:pPr>
        <w:ind w:left="720" w:hanging="72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260" w:hanging="108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688" w:hanging="1800"/>
      </w:pPr>
      <w:rPr>
        <w:rFonts w:hint="default"/>
      </w:rPr>
    </w:lvl>
  </w:abstractNum>
  <w:abstractNum w:abstractNumId="115" w15:restartNumberingAfterBreak="0">
    <w:nsid w:val="37E3504F"/>
    <w:multiLevelType w:val="hybridMultilevel"/>
    <w:tmpl w:val="4B46279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6" w15:restartNumberingAfterBreak="0">
    <w:nsid w:val="37E92A4B"/>
    <w:multiLevelType w:val="hybridMultilevel"/>
    <w:tmpl w:val="6BFAE1AC"/>
    <w:lvl w:ilvl="0" w:tplc="0E34551C">
      <w:start w:val="1"/>
      <w:numFmt w:val="decimal"/>
      <w:lvlText w:val="%1."/>
      <w:lvlJc w:val="left"/>
      <w:pPr>
        <w:ind w:left="720" w:hanging="360"/>
      </w:pPr>
    </w:lvl>
    <w:lvl w:ilvl="1" w:tplc="7FC664C6">
      <w:start w:val="1"/>
      <w:numFmt w:val="lowerLetter"/>
      <w:lvlText w:val="%2."/>
      <w:lvlJc w:val="left"/>
      <w:pPr>
        <w:ind w:left="1440" w:hanging="360"/>
      </w:pPr>
    </w:lvl>
    <w:lvl w:ilvl="2" w:tplc="72B05A3C">
      <w:start w:val="1"/>
      <w:numFmt w:val="lowerRoman"/>
      <w:lvlText w:val="%3."/>
      <w:lvlJc w:val="right"/>
      <w:pPr>
        <w:ind w:left="2160" w:hanging="180"/>
      </w:pPr>
    </w:lvl>
    <w:lvl w:ilvl="3" w:tplc="127C8E36">
      <w:start w:val="1"/>
      <w:numFmt w:val="decimal"/>
      <w:lvlText w:val="%4."/>
      <w:lvlJc w:val="left"/>
      <w:pPr>
        <w:ind w:left="2880" w:hanging="360"/>
      </w:pPr>
    </w:lvl>
    <w:lvl w:ilvl="4" w:tplc="52DE8D10">
      <w:start w:val="1"/>
      <w:numFmt w:val="lowerLetter"/>
      <w:lvlText w:val="%5."/>
      <w:lvlJc w:val="left"/>
      <w:pPr>
        <w:ind w:left="3600" w:hanging="360"/>
      </w:pPr>
    </w:lvl>
    <w:lvl w:ilvl="5" w:tplc="3E74521A">
      <w:start w:val="1"/>
      <w:numFmt w:val="lowerRoman"/>
      <w:lvlText w:val="%6."/>
      <w:lvlJc w:val="right"/>
      <w:pPr>
        <w:ind w:left="4320" w:hanging="180"/>
      </w:pPr>
    </w:lvl>
    <w:lvl w:ilvl="6" w:tplc="26CA954C">
      <w:start w:val="1"/>
      <w:numFmt w:val="decimal"/>
      <w:lvlText w:val="%7."/>
      <w:lvlJc w:val="left"/>
      <w:pPr>
        <w:ind w:left="5040" w:hanging="360"/>
      </w:pPr>
    </w:lvl>
    <w:lvl w:ilvl="7" w:tplc="F3E642BC">
      <w:start w:val="1"/>
      <w:numFmt w:val="lowerLetter"/>
      <w:lvlText w:val="%8."/>
      <w:lvlJc w:val="left"/>
      <w:pPr>
        <w:ind w:left="5760" w:hanging="360"/>
      </w:pPr>
    </w:lvl>
    <w:lvl w:ilvl="8" w:tplc="A4F251D4">
      <w:start w:val="1"/>
      <w:numFmt w:val="lowerRoman"/>
      <w:lvlText w:val="%9."/>
      <w:lvlJc w:val="right"/>
      <w:pPr>
        <w:ind w:left="6480" w:hanging="180"/>
      </w:pPr>
    </w:lvl>
  </w:abstractNum>
  <w:abstractNum w:abstractNumId="117" w15:restartNumberingAfterBreak="0">
    <w:nsid w:val="38740742"/>
    <w:multiLevelType w:val="hybridMultilevel"/>
    <w:tmpl w:val="60A63DF8"/>
    <w:lvl w:ilvl="0" w:tplc="B6D4803C">
      <w:start w:val="1"/>
      <w:numFmt w:val="bullet"/>
      <w:lvlText w:val=""/>
      <w:lvlJc w:val="left"/>
      <w:pPr>
        <w:ind w:left="720" w:hanging="360"/>
      </w:pPr>
      <w:rPr>
        <w:rFonts w:ascii="Symbol" w:hAnsi="Symbol" w:hint="default"/>
      </w:rPr>
    </w:lvl>
    <w:lvl w:ilvl="1" w:tplc="EDC66FEC">
      <w:start w:val="1"/>
      <w:numFmt w:val="bullet"/>
      <w:lvlText w:val="o"/>
      <w:lvlJc w:val="left"/>
      <w:pPr>
        <w:ind w:left="1440" w:hanging="360"/>
      </w:pPr>
      <w:rPr>
        <w:rFonts w:ascii="Courier New" w:hAnsi="Courier New" w:hint="default"/>
      </w:rPr>
    </w:lvl>
    <w:lvl w:ilvl="2" w:tplc="11CC2956">
      <w:start w:val="1"/>
      <w:numFmt w:val="bullet"/>
      <w:lvlText w:val=""/>
      <w:lvlJc w:val="left"/>
      <w:pPr>
        <w:ind w:left="2160" w:hanging="360"/>
      </w:pPr>
      <w:rPr>
        <w:rFonts w:ascii="Wingdings" w:hAnsi="Wingdings" w:hint="default"/>
      </w:rPr>
    </w:lvl>
    <w:lvl w:ilvl="3" w:tplc="336E6EFC">
      <w:start w:val="1"/>
      <w:numFmt w:val="bullet"/>
      <w:lvlText w:val=""/>
      <w:lvlJc w:val="left"/>
      <w:pPr>
        <w:ind w:left="2880" w:hanging="360"/>
      </w:pPr>
      <w:rPr>
        <w:rFonts w:ascii="Symbol" w:hAnsi="Symbol" w:hint="default"/>
      </w:rPr>
    </w:lvl>
    <w:lvl w:ilvl="4" w:tplc="16E6E7E2">
      <w:start w:val="1"/>
      <w:numFmt w:val="bullet"/>
      <w:lvlText w:val="o"/>
      <w:lvlJc w:val="left"/>
      <w:pPr>
        <w:ind w:left="3600" w:hanging="360"/>
      </w:pPr>
      <w:rPr>
        <w:rFonts w:ascii="Courier New" w:hAnsi="Courier New" w:hint="default"/>
      </w:rPr>
    </w:lvl>
    <w:lvl w:ilvl="5" w:tplc="8DB28224">
      <w:start w:val="1"/>
      <w:numFmt w:val="bullet"/>
      <w:lvlText w:val=""/>
      <w:lvlJc w:val="left"/>
      <w:pPr>
        <w:ind w:left="4320" w:hanging="360"/>
      </w:pPr>
      <w:rPr>
        <w:rFonts w:ascii="Wingdings" w:hAnsi="Wingdings" w:hint="default"/>
      </w:rPr>
    </w:lvl>
    <w:lvl w:ilvl="6" w:tplc="05A26748">
      <w:start w:val="1"/>
      <w:numFmt w:val="bullet"/>
      <w:lvlText w:val=""/>
      <w:lvlJc w:val="left"/>
      <w:pPr>
        <w:ind w:left="5040" w:hanging="360"/>
      </w:pPr>
      <w:rPr>
        <w:rFonts w:ascii="Symbol" w:hAnsi="Symbol" w:hint="default"/>
      </w:rPr>
    </w:lvl>
    <w:lvl w:ilvl="7" w:tplc="CE9AA28E">
      <w:start w:val="1"/>
      <w:numFmt w:val="bullet"/>
      <w:lvlText w:val="o"/>
      <w:lvlJc w:val="left"/>
      <w:pPr>
        <w:ind w:left="5760" w:hanging="360"/>
      </w:pPr>
      <w:rPr>
        <w:rFonts w:ascii="Courier New" w:hAnsi="Courier New" w:hint="default"/>
      </w:rPr>
    </w:lvl>
    <w:lvl w:ilvl="8" w:tplc="886E717C">
      <w:start w:val="1"/>
      <w:numFmt w:val="bullet"/>
      <w:lvlText w:val=""/>
      <w:lvlJc w:val="left"/>
      <w:pPr>
        <w:ind w:left="6480" w:hanging="360"/>
      </w:pPr>
      <w:rPr>
        <w:rFonts w:ascii="Wingdings" w:hAnsi="Wingdings" w:hint="default"/>
      </w:rPr>
    </w:lvl>
  </w:abstractNum>
  <w:abstractNum w:abstractNumId="118" w15:restartNumberingAfterBreak="0">
    <w:nsid w:val="39FB04DF"/>
    <w:multiLevelType w:val="hybridMultilevel"/>
    <w:tmpl w:val="42B8F0C0"/>
    <w:lvl w:ilvl="0" w:tplc="9AAAF6F8">
      <w:start w:val="1"/>
      <w:numFmt w:val="bullet"/>
      <w:lvlText w:val="·"/>
      <w:lvlJc w:val="left"/>
      <w:pPr>
        <w:ind w:left="720" w:hanging="360"/>
      </w:pPr>
      <w:rPr>
        <w:rFonts w:ascii="Symbol" w:hAnsi="Symbol" w:hint="default"/>
      </w:rPr>
    </w:lvl>
    <w:lvl w:ilvl="1" w:tplc="226841EE">
      <w:start w:val="1"/>
      <w:numFmt w:val="bullet"/>
      <w:lvlText w:val="o"/>
      <w:lvlJc w:val="left"/>
      <w:pPr>
        <w:ind w:left="1440" w:hanging="360"/>
      </w:pPr>
      <w:rPr>
        <w:rFonts w:ascii="Courier New" w:hAnsi="Courier New" w:hint="default"/>
      </w:rPr>
    </w:lvl>
    <w:lvl w:ilvl="2" w:tplc="91EEF3B2">
      <w:start w:val="1"/>
      <w:numFmt w:val="bullet"/>
      <w:lvlText w:val=""/>
      <w:lvlJc w:val="left"/>
      <w:pPr>
        <w:ind w:left="2160" w:hanging="360"/>
      </w:pPr>
      <w:rPr>
        <w:rFonts w:ascii="Wingdings" w:hAnsi="Wingdings" w:hint="default"/>
      </w:rPr>
    </w:lvl>
    <w:lvl w:ilvl="3" w:tplc="B1964064">
      <w:start w:val="1"/>
      <w:numFmt w:val="bullet"/>
      <w:lvlText w:val=""/>
      <w:lvlJc w:val="left"/>
      <w:pPr>
        <w:ind w:left="2880" w:hanging="360"/>
      </w:pPr>
      <w:rPr>
        <w:rFonts w:ascii="Symbol" w:hAnsi="Symbol" w:hint="default"/>
      </w:rPr>
    </w:lvl>
    <w:lvl w:ilvl="4" w:tplc="9D20758A">
      <w:start w:val="1"/>
      <w:numFmt w:val="bullet"/>
      <w:lvlText w:val="o"/>
      <w:lvlJc w:val="left"/>
      <w:pPr>
        <w:ind w:left="3600" w:hanging="360"/>
      </w:pPr>
      <w:rPr>
        <w:rFonts w:ascii="Courier New" w:hAnsi="Courier New" w:hint="default"/>
      </w:rPr>
    </w:lvl>
    <w:lvl w:ilvl="5" w:tplc="C6B485FE">
      <w:start w:val="1"/>
      <w:numFmt w:val="bullet"/>
      <w:lvlText w:val=""/>
      <w:lvlJc w:val="left"/>
      <w:pPr>
        <w:ind w:left="4320" w:hanging="360"/>
      </w:pPr>
      <w:rPr>
        <w:rFonts w:ascii="Wingdings" w:hAnsi="Wingdings" w:hint="default"/>
      </w:rPr>
    </w:lvl>
    <w:lvl w:ilvl="6" w:tplc="ED40479A">
      <w:start w:val="1"/>
      <w:numFmt w:val="bullet"/>
      <w:lvlText w:val=""/>
      <w:lvlJc w:val="left"/>
      <w:pPr>
        <w:ind w:left="5040" w:hanging="360"/>
      </w:pPr>
      <w:rPr>
        <w:rFonts w:ascii="Symbol" w:hAnsi="Symbol" w:hint="default"/>
      </w:rPr>
    </w:lvl>
    <w:lvl w:ilvl="7" w:tplc="34785FD8">
      <w:start w:val="1"/>
      <w:numFmt w:val="bullet"/>
      <w:lvlText w:val="o"/>
      <w:lvlJc w:val="left"/>
      <w:pPr>
        <w:ind w:left="5760" w:hanging="360"/>
      </w:pPr>
      <w:rPr>
        <w:rFonts w:ascii="Courier New" w:hAnsi="Courier New" w:hint="default"/>
      </w:rPr>
    </w:lvl>
    <w:lvl w:ilvl="8" w:tplc="507657A8">
      <w:start w:val="1"/>
      <w:numFmt w:val="bullet"/>
      <w:lvlText w:val=""/>
      <w:lvlJc w:val="left"/>
      <w:pPr>
        <w:ind w:left="6480" w:hanging="360"/>
      </w:pPr>
      <w:rPr>
        <w:rFonts w:ascii="Wingdings" w:hAnsi="Wingdings" w:hint="default"/>
      </w:rPr>
    </w:lvl>
  </w:abstractNum>
  <w:abstractNum w:abstractNumId="119" w15:restartNumberingAfterBreak="0">
    <w:nsid w:val="3A2A0AA0"/>
    <w:multiLevelType w:val="hybridMultilevel"/>
    <w:tmpl w:val="9AA41F5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0" w15:restartNumberingAfterBreak="0">
    <w:nsid w:val="3B0A2BA8"/>
    <w:multiLevelType w:val="hybridMultilevel"/>
    <w:tmpl w:val="1814FE2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1" w15:restartNumberingAfterBreak="0">
    <w:nsid w:val="3B881930"/>
    <w:multiLevelType w:val="hybridMultilevel"/>
    <w:tmpl w:val="FFFFFFFF"/>
    <w:lvl w:ilvl="0" w:tplc="17882132">
      <w:start w:val="1"/>
      <w:numFmt w:val="bullet"/>
      <w:lvlText w:val="·"/>
      <w:lvlJc w:val="left"/>
      <w:pPr>
        <w:ind w:left="720" w:hanging="360"/>
      </w:pPr>
      <w:rPr>
        <w:rFonts w:ascii="Symbol" w:hAnsi="Symbol" w:hint="default"/>
      </w:rPr>
    </w:lvl>
    <w:lvl w:ilvl="1" w:tplc="CD48DDB8">
      <w:start w:val="1"/>
      <w:numFmt w:val="bullet"/>
      <w:lvlText w:val="o"/>
      <w:lvlJc w:val="left"/>
      <w:pPr>
        <w:ind w:left="1440" w:hanging="360"/>
      </w:pPr>
      <w:rPr>
        <w:rFonts w:ascii="Courier New" w:hAnsi="Courier New" w:hint="default"/>
      </w:rPr>
    </w:lvl>
    <w:lvl w:ilvl="2" w:tplc="5992BCE6">
      <w:start w:val="1"/>
      <w:numFmt w:val="bullet"/>
      <w:lvlText w:val=""/>
      <w:lvlJc w:val="left"/>
      <w:pPr>
        <w:ind w:left="2160" w:hanging="360"/>
      </w:pPr>
      <w:rPr>
        <w:rFonts w:ascii="Wingdings" w:hAnsi="Wingdings" w:hint="default"/>
      </w:rPr>
    </w:lvl>
    <w:lvl w:ilvl="3" w:tplc="7608B658">
      <w:start w:val="1"/>
      <w:numFmt w:val="bullet"/>
      <w:lvlText w:val=""/>
      <w:lvlJc w:val="left"/>
      <w:pPr>
        <w:ind w:left="2880" w:hanging="360"/>
      </w:pPr>
      <w:rPr>
        <w:rFonts w:ascii="Symbol" w:hAnsi="Symbol" w:hint="default"/>
      </w:rPr>
    </w:lvl>
    <w:lvl w:ilvl="4" w:tplc="DB5AB41C">
      <w:start w:val="1"/>
      <w:numFmt w:val="bullet"/>
      <w:lvlText w:val="o"/>
      <w:lvlJc w:val="left"/>
      <w:pPr>
        <w:ind w:left="3600" w:hanging="360"/>
      </w:pPr>
      <w:rPr>
        <w:rFonts w:ascii="Courier New" w:hAnsi="Courier New" w:hint="default"/>
      </w:rPr>
    </w:lvl>
    <w:lvl w:ilvl="5" w:tplc="0D3AAACC">
      <w:start w:val="1"/>
      <w:numFmt w:val="bullet"/>
      <w:lvlText w:val=""/>
      <w:lvlJc w:val="left"/>
      <w:pPr>
        <w:ind w:left="4320" w:hanging="360"/>
      </w:pPr>
      <w:rPr>
        <w:rFonts w:ascii="Wingdings" w:hAnsi="Wingdings" w:hint="default"/>
      </w:rPr>
    </w:lvl>
    <w:lvl w:ilvl="6" w:tplc="BFD00BE2">
      <w:start w:val="1"/>
      <w:numFmt w:val="bullet"/>
      <w:lvlText w:val=""/>
      <w:lvlJc w:val="left"/>
      <w:pPr>
        <w:ind w:left="5040" w:hanging="360"/>
      </w:pPr>
      <w:rPr>
        <w:rFonts w:ascii="Symbol" w:hAnsi="Symbol" w:hint="default"/>
      </w:rPr>
    </w:lvl>
    <w:lvl w:ilvl="7" w:tplc="5C9C227A">
      <w:start w:val="1"/>
      <w:numFmt w:val="bullet"/>
      <w:lvlText w:val="o"/>
      <w:lvlJc w:val="left"/>
      <w:pPr>
        <w:ind w:left="5760" w:hanging="360"/>
      </w:pPr>
      <w:rPr>
        <w:rFonts w:ascii="Courier New" w:hAnsi="Courier New" w:hint="default"/>
      </w:rPr>
    </w:lvl>
    <w:lvl w:ilvl="8" w:tplc="E794C660">
      <w:start w:val="1"/>
      <w:numFmt w:val="bullet"/>
      <w:lvlText w:val=""/>
      <w:lvlJc w:val="left"/>
      <w:pPr>
        <w:ind w:left="6480" w:hanging="360"/>
      </w:pPr>
      <w:rPr>
        <w:rFonts w:ascii="Wingdings" w:hAnsi="Wingdings" w:hint="default"/>
      </w:rPr>
    </w:lvl>
  </w:abstractNum>
  <w:abstractNum w:abstractNumId="122" w15:restartNumberingAfterBreak="0">
    <w:nsid w:val="3BC24561"/>
    <w:multiLevelType w:val="hybridMultilevel"/>
    <w:tmpl w:val="963849B4"/>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start w:val="1"/>
      <w:numFmt w:val="decimal"/>
      <w:lvlText w:val="%4."/>
      <w:lvlJc w:val="left"/>
      <w:pPr>
        <w:ind w:left="72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123" w15:restartNumberingAfterBreak="0">
    <w:nsid w:val="3DE9626B"/>
    <w:multiLevelType w:val="hybridMultilevel"/>
    <w:tmpl w:val="E98C35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4" w15:restartNumberingAfterBreak="0">
    <w:nsid w:val="3E5D43EA"/>
    <w:multiLevelType w:val="hybridMultilevel"/>
    <w:tmpl w:val="31E8FB2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5" w15:restartNumberingAfterBreak="0">
    <w:nsid w:val="3E7D017E"/>
    <w:multiLevelType w:val="hybridMultilevel"/>
    <w:tmpl w:val="C6F065CE"/>
    <w:lvl w:ilvl="0" w:tplc="CF06A536">
      <w:start w:val="1"/>
      <w:numFmt w:val="decimal"/>
      <w:lvlText w:val="%1."/>
      <w:lvlJc w:val="left"/>
      <w:pPr>
        <w:ind w:left="720" w:hanging="360"/>
      </w:pPr>
    </w:lvl>
    <w:lvl w:ilvl="1" w:tplc="93687E76">
      <w:start w:val="1"/>
      <w:numFmt w:val="lowerLetter"/>
      <w:lvlText w:val="%2."/>
      <w:lvlJc w:val="left"/>
      <w:pPr>
        <w:ind w:left="1440" w:hanging="360"/>
      </w:pPr>
    </w:lvl>
    <w:lvl w:ilvl="2" w:tplc="0ABE7216">
      <w:start w:val="1"/>
      <w:numFmt w:val="lowerRoman"/>
      <w:lvlText w:val="%3."/>
      <w:lvlJc w:val="right"/>
      <w:pPr>
        <w:ind w:left="2160" w:hanging="180"/>
      </w:pPr>
    </w:lvl>
    <w:lvl w:ilvl="3" w:tplc="240A0001">
      <w:start w:val="1"/>
      <w:numFmt w:val="bullet"/>
      <w:lvlText w:val=""/>
      <w:lvlJc w:val="left"/>
      <w:pPr>
        <w:ind w:left="2880" w:hanging="360"/>
      </w:pPr>
      <w:rPr>
        <w:rFonts w:ascii="Symbol" w:hAnsi="Symbol" w:hint="default"/>
      </w:rPr>
    </w:lvl>
    <w:lvl w:ilvl="4" w:tplc="6A1E8EFC">
      <w:start w:val="1"/>
      <w:numFmt w:val="lowerLetter"/>
      <w:lvlText w:val="%5."/>
      <w:lvlJc w:val="left"/>
      <w:pPr>
        <w:ind w:left="3600" w:hanging="360"/>
      </w:pPr>
    </w:lvl>
    <w:lvl w:ilvl="5" w:tplc="F710D3BE">
      <w:start w:val="1"/>
      <w:numFmt w:val="lowerRoman"/>
      <w:lvlText w:val="%6."/>
      <w:lvlJc w:val="right"/>
      <w:pPr>
        <w:ind w:left="4320" w:hanging="180"/>
      </w:pPr>
    </w:lvl>
    <w:lvl w:ilvl="6" w:tplc="9D72B8AA">
      <w:start w:val="1"/>
      <w:numFmt w:val="decimal"/>
      <w:lvlText w:val="%7."/>
      <w:lvlJc w:val="left"/>
      <w:pPr>
        <w:ind w:left="5040" w:hanging="360"/>
      </w:pPr>
    </w:lvl>
    <w:lvl w:ilvl="7" w:tplc="FAD20FAC">
      <w:start w:val="1"/>
      <w:numFmt w:val="lowerLetter"/>
      <w:lvlText w:val="%8."/>
      <w:lvlJc w:val="left"/>
      <w:pPr>
        <w:ind w:left="5760" w:hanging="360"/>
      </w:pPr>
    </w:lvl>
    <w:lvl w:ilvl="8" w:tplc="B23669AE">
      <w:start w:val="1"/>
      <w:numFmt w:val="lowerRoman"/>
      <w:lvlText w:val="%9."/>
      <w:lvlJc w:val="right"/>
      <w:pPr>
        <w:ind w:left="6480" w:hanging="180"/>
      </w:pPr>
    </w:lvl>
  </w:abstractNum>
  <w:abstractNum w:abstractNumId="126" w15:restartNumberingAfterBreak="0">
    <w:nsid w:val="3E8C4B5C"/>
    <w:multiLevelType w:val="hybridMultilevel"/>
    <w:tmpl w:val="BB96D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7" w15:restartNumberingAfterBreak="0">
    <w:nsid w:val="3F751C8B"/>
    <w:multiLevelType w:val="hybridMultilevel"/>
    <w:tmpl w:val="658E89FA"/>
    <w:lvl w:ilvl="0" w:tplc="24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28" w15:restartNumberingAfterBreak="0">
    <w:nsid w:val="40681432"/>
    <w:multiLevelType w:val="hybridMultilevel"/>
    <w:tmpl w:val="49F81EC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9" w15:restartNumberingAfterBreak="0">
    <w:nsid w:val="40D8731A"/>
    <w:multiLevelType w:val="hybridMultilevel"/>
    <w:tmpl w:val="FF0AD3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0" w15:restartNumberingAfterBreak="0">
    <w:nsid w:val="40F24BCA"/>
    <w:multiLevelType w:val="hybridMultilevel"/>
    <w:tmpl w:val="FFFFFFFF"/>
    <w:lvl w:ilvl="0" w:tplc="85C08DD4">
      <w:start w:val="1"/>
      <w:numFmt w:val="bullet"/>
      <w:lvlText w:val="·"/>
      <w:lvlJc w:val="left"/>
      <w:pPr>
        <w:ind w:left="720" w:hanging="360"/>
      </w:pPr>
      <w:rPr>
        <w:rFonts w:ascii="Symbol" w:hAnsi="Symbol" w:hint="default"/>
      </w:rPr>
    </w:lvl>
    <w:lvl w:ilvl="1" w:tplc="7CA8CF40">
      <w:start w:val="1"/>
      <w:numFmt w:val="bullet"/>
      <w:lvlText w:val="o"/>
      <w:lvlJc w:val="left"/>
      <w:pPr>
        <w:ind w:left="1440" w:hanging="360"/>
      </w:pPr>
      <w:rPr>
        <w:rFonts w:ascii="Courier New" w:hAnsi="Courier New" w:hint="default"/>
      </w:rPr>
    </w:lvl>
    <w:lvl w:ilvl="2" w:tplc="53846DAC">
      <w:start w:val="1"/>
      <w:numFmt w:val="bullet"/>
      <w:lvlText w:val=""/>
      <w:lvlJc w:val="left"/>
      <w:pPr>
        <w:ind w:left="2160" w:hanging="360"/>
      </w:pPr>
      <w:rPr>
        <w:rFonts w:ascii="Wingdings" w:hAnsi="Wingdings" w:hint="default"/>
      </w:rPr>
    </w:lvl>
    <w:lvl w:ilvl="3" w:tplc="E2FEDCA6">
      <w:start w:val="1"/>
      <w:numFmt w:val="bullet"/>
      <w:lvlText w:val=""/>
      <w:lvlJc w:val="left"/>
      <w:pPr>
        <w:ind w:left="2880" w:hanging="360"/>
      </w:pPr>
      <w:rPr>
        <w:rFonts w:ascii="Symbol" w:hAnsi="Symbol" w:hint="default"/>
      </w:rPr>
    </w:lvl>
    <w:lvl w:ilvl="4" w:tplc="816A4050">
      <w:start w:val="1"/>
      <w:numFmt w:val="bullet"/>
      <w:lvlText w:val="o"/>
      <w:lvlJc w:val="left"/>
      <w:pPr>
        <w:ind w:left="3600" w:hanging="360"/>
      </w:pPr>
      <w:rPr>
        <w:rFonts w:ascii="Courier New" w:hAnsi="Courier New" w:hint="default"/>
      </w:rPr>
    </w:lvl>
    <w:lvl w:ilvl="5" w:tplc="BA42FC56">
      <w:start w:val="1"/>
      <w:numFmt w:val="bullet"/>
      <w:lvlText w:val=""/>
      <w:lvlJc w:val="left"/>
      <w:pPr>
        <w:ind w:left="4320" w:hanging="360"/>
      </w:pPr>
      <w:rPr>
        <w:rFonts w:ascii="Wingdings" w:hAnsi="Wingdings" w:hint="default"/>
      </w:rPr>
    </w:lvl>
    <w:lvl w:ilvl="6" w:tplc="352EA6C8">
      <w:start w:val="1"/>
      <w:numFmt w:val="bullet"/>
      <w:lvlText w:val=""/>
      <w:lvlJc w:val="left"/>
      <w:pPr>
        <w:ind w:left="5040" w:hanging="360"/>
      </w:pPr>
      <w:rPr>
        <w:rFonts w:ascii="Symbol" w:hAnsi="Symbol" w:hint="default"/>
      </w:rPr>
    </w:lvl>
    <w:lvl w:ilvl="7" w:tplc="C9963A94">
      <w:start w:val="1"/>
      <w:numFmt w:val="bullet"/>
      <w:lvlText w:val="o"/>
      <w:lvlJc w:val="left"/>
      <w:pPr>
        <w:ind w:left="5760" w:hanging="360"/>
      </w:pPr>
      <w:rPr>
        <w:rFonts w:ascii="Courier New" w:hAnsi="Courier New" w:hint="default"/>
      </w:rPr>
    </w:lvl>
    <w:lvl w:ilvl="8" w:tplc="8D84A568">
      <w:start w:val="1"/>
      <w:numFmt w:val="bullet"/>
      <w:lvlText w:val=""/>
      <w:lvlJc w:val="left"/>
      <w:pPr>
        <w:ind w:left="6480" w:hanging="360"/>
      </w:pPr>
      <w:rPr>
        <w:rFonts w:ascii="Wingdings" w:hAnsi="Wingdings" w:hint="default"/>
      </w:rPr>
    </w:lvl>
  </w:abstractNum>
  <w:abstractNum w:abstractNumId="131" w15:restartNumberingAfterBreak="0">
    <w:nsid w:val="41855F54"/>
    <w:multiLevelType w:val="multilevel"/>
    <w:tmpl w:val="FF4A53E6"/>
    <w:lvl w:ilvl="0">
      <w:start w:val="1"/>
      <w:numFmt w:val="bullet"/>
      <w:lvlText w:val=""/>
      <w:lvlJc w:val="left"/>
      <w:pPr>
        <w:tabs>
          <w:tab w:val="num" w:pos="360"/>
        </w:tabs>
        <w:ind w:left="360" w:hanging="360"/>
      </w:pPr>
      <w:rPr>
        <w:rFonts w:ascii="Symbol" w:hAnsi="Symbol" w:hint="default"/>
        <w:sz w:val="22"/>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32" w15:restartNumberingAfterBreak="0">
    <w:nsid w:val="41F47316"/>
    <w:multiLevelType w:val="multilevel"/>
    <w:tmpl w:val="FF4A53E6"/>
    <w:lvl w:ilvl="0">
      <w:start w:val="1"/>
      <w:numFmt w:val="bullet"/>
      <w:lvlText w:val=""/>
      <w:lvlJc w:val="left"/>
      <w:pPr>
        <w:tabs>
          <w:tab w:val="num" w:pos="643"/>
        </w:tabs>
        <w:ind w:left="643" w:hanging="360"/>
      </w:pPr>
      <w:rPr>
        <w:rFonts w:ascii="Symbol" w:hAnsi="Symbol" w:hint="default"/>
        <w:sz w:val="22"/>
      </w:rPr>
    </w:lvl>
    <w:lvl w:ilvl="1" w:tentative="1">
      <w:start w:val="1"/>
      <w:numFmt w:val="bullet"/>
      <w:lvlText w:val=""/>
      <w:lvlJc w:val="left"/>
      <w:pPr>
        <w:tabs>
          <w:tab w:val="num" w:pos="1363"/>
        </w:tabs>
        <w:ind w:left="1363" w:hanging="360"/>
      </w:pPr>
      <w:rPr>
        <w:rFonts w:ascii="Symbol" w:hAnsi="Symbol" w:hint="default"/>
        <w:sz w:val="20"/>
      </w:rPr>
    </w:lvl>
    <w:lvl w:ilvl="2" w:tentative="1">
      <w:start w:val="1"/>
      <w:numFmt w:val="bullet"/>
      <w:lvlText w:val=""/>
      <w:lvlJc w:val="left"/>
      <w:pPr>
        <w:tabs>
          <w:tab w:val="num" w:pos="2083"/>
        </w:tabs>
        <w:ind w:left="2083" w:hanging="360"/>
      </w:pPr>
      <w:rPr>
        <w:rFonts w:ascii="Symbol" w:hAnsi="Symbol" w:hint="default"/>
        <w:sz w:val="20"/>
      </w:rPr>
    </w:lvl>
    <w:lvl w:ilvl="3" w:tentative="1">
      <w:start w:val="1"/>
      <w:numFmt w:val="bullet"/>
      <w:lvlText w:val=""/>
      <w:lvlJc w:val="left"/>
      <w:pPr>
        <w:tabs>
          <w:tab w:val="num" w:pos="2803"/>
        </w:tabs>
        <w:ind w:left="2803" w:hanging="360"/>
      </w:pPr>
      <w:rPr>
        <w:rFonts w:ascii="Symbol" w:hAnsi="Symbol" w:hint="default"/>
        <w:sz w:val="20"/>
      </w:rPr>
    </w:lvl>
    <w:lvl w:ilvl="4" w:tentative="1">
      <w:start w:val="1"/>
      <w:numFmt w:val="bullet"/>
      <w:lvlText w:val=""/>
      <w:lvlJc w:val="left"/>
      <w:pPr>
        <w:tabs>
          <w:tab w:val="num" w:pos="3523"/>
        </w:tabs>
        <w:ind w:left="3523" w:hanging="360"/>
      </w:pPr>
      <w:rPr>
        <w:rFonts w:ascii="Symbol" w:hAnsi="Symbol" w:hint="default"/>
        <w:sz w:val="20"/>
      </w:rPr>
    </w:lvl>
    <w:lvl w:ilvl="5" w:tentative="1">
      <w:start w:val="1"/>
      <w:numFmt w:val="bullet"/>
      <w:lvlText w:val=""/>
      <w:lvlJc w:val="left"/>
      <w:pPr>
        <w:tabs>
          <w:tab w:val="num" w:pos="4243"/>
        </w:tabs>
        <w:ind w:left="4243" w:hanging="360"/>
      </w:pPr>
      <w:rPr>
        <w:rFonts w:ascii="Symbol" w:hAnsi="Symbol" w:hint="default"/>
        <w:sz w:val="20"/>
      </w:rPr>
    </w:lvl>
    <w:lvl w:ilvl="6" w:tentative="1">
      <w:start w:val="1"/>
      <w:numFmt w:val="bullet"/>
      <w:lvlText w:val=""/>
      <w:lvlJc w:val="left"/>
      <w:pPr>
        <w:tabs>
          <w:tab w:val="num" w:pos="4963"/>
        </w:tabs>
        <w:ind w:left="4963" w:hanging="360"/>
      </w:pPr>
      <w:rPr>
        <w:rFonts w:ascii="Symbol" w:hAnsi="Symbol" w:hint="default"/>
        <w:sz w:val="20"/>
      </w:rPr>
    </w:lvl>
    <w:lvl w:ilvl="7" w:tentative="1">
      <w:start w:val="1"/>
      <w:numFmt w:val="bullet"/>
      <w:lvlText w:val=""/>
      <w:lvlJc w:val="left"/>
      <w:pPr>
        <w:tabs>
          <w:tab w:val="num" w:pos="5683"/>
        </w:tabs>
        <w:ind w:left="5683" w:hanging="360"/>
      </w:pPr>
      <w:rPr>
        <w:rFonts w:ascii="Symbol" w:hAnsi="Symbol" w:hint="default"/>
        <w:sz w:val="20"/>
      </w:rPr>
    </w:lvl>
    <w:lvl w:ilvl="8" w:tentative="1">
      <w:start w:val="1"/>
      <w:numFmt w:val="bullet"/>
      <w:lvlText w:val=""/>
      <w:lvlJc w:val="left"/>
      <w:pPr>
        <w:tabs>
          <w:tab w:val="num" w:pos="6403"/>
        </w:tabs>
        <w:ind w:left="6403" w:hanging="360"/>
      </w:pPr>
      <w:rPr>
        <w:rFonts w:ascii="Symbol" w:hAnsi="Symbol" w:hint="default"/>
        <w:sz w:val="20"/>
      </w:rPr>
    </w:lvl>
  </w:abstractNum>
  <w:abstractNum w:abstractNumId="133" w15:restartNumberingAfterBreak="0">
    <w:nsid w:val="429E57E2"/>
    <w:multiLevelType w:val="hybridMultilevel"/>
    <w:tmpl w:val="68FADD4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4" w15:restartNumberingAfterBreak="0">
    <w:nsid w:val="42F60891"/>
    <w:multiLevelType w:val="hybridMultilevel"/>
    <w:tmpl w:val="AA2CD68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5" w15:restartNumberingAfterBreak="0">
    <w:nsid w:val="432B113F"/>
    <w:multiLevelType w:val="hybridMultilevel"/>
    <w:tmpl w:val="B3486682"/>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6" w15:restartNumberingAfterBreak="0">
    <w:nsid w:val="4358484C"/>
    <w:multiLevelType w:val="hybridMultilevel"/>
    <w:tmpl w:val="C2A6CF56"/>
    <w:lvl w:ilvl="0" w:tplc="240A0001">
      <w:start w:val="1"/>
      <w:numFmt w:val="bullet"/>
      <w:lvlText w:val=""/>
      <w:lvlJc w:val="left"/>
      <w:pPr>
        <w:ind w:left="927" w:hanging="360"/>
      </w:pPr>
      <w:rPr>
        <w:rFonts w:ascii="Symbol" w:hAnsi="Symbol"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37" w15:restartNumberingAfterBreak="0">
    <w:nsid w:val="442C11D1"/>
    <w:multiLevelType w:val="multilevel"/>
    <w:tmpl w:val="81869292"/>
    <w:lvl w:ilvl="0">
      <w:start w:val="4"/>
      <w:numFmt w:val="decimal"/>
      <w:lvlText w:val="%1"/>
      <w:lvlJc w:val="left"/>
      <w:pPr>
        <w:ind w:left="840" w:hanging="840"/>
      </w:pPr>
      <w:rPr>
        <w:rFonts w:hint="default"/>
      </w:rPr>
    </w:lvl>
    <w:lvl w:ilvl="1">
      <w:start w:val="4"/>
      <w:numFmt w:val="decimal"/>
      <w:lvlText w:val="%1.%2"/>
      <w:lvlJc w:val="left"/>
      <w:pPr>
        <w:ind w:left="930" w:hanging="840"/>
      </w:pPr>
      <w:rPr>
        <w:rFonts w:hint="default"/>
      </w:rPr>
    </w:lvl>
    <w:lvl w:ilvl="2">
      <w:start w:val="1"/>
      <w:numFmt w:val="decimal"/>
      <w:lvlText w:val="%1.%2.%3"/>
      <w:lvlJc w:val="left"/>
      <w:pPr>
        <w:ind w:left="982" w:hanging="840"/>
      </w:pPr>
      <w:rPr>
        <w:rFonts w:hint="default"/>
      </w:rPr>
    </w:lvl>
    <w:lvl w:ilvl="3">
      <w:start w:val="2"/>
      <w:numFmt w:val="decimal"/>
      <w:lvlText w:val="%1.%2.%3.%4"/>
      <w:lvlJc w:val="left"/>
      <w:pPr>
        <w:ind w:left="1110" w:hanging="84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530" w:hanging="108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070" w:hanging="1440"/>
      </w:pPr>
      <w:rPr>
        <w:rFonts w:hint="default"/>
      </w:rPr>
    </w:lvl>
    <w:lvl w:ilvl="8">
      <w:start w:val="1"/>
      <w:numFmt w:val="decimal"/>
      <w:lvlText w:val="%1.%2.%3.%4.%5.%6.%7.%8.%9"/>
      <w:lvlJc w:val="left"/>
      <w:pPr>
        <w:ind w:left="2520" w:hanging="1800"/>
      </w:pPr>
      <w:rPr>
        <w:rFonts w:hint="default"/>
      </w:rPr>
    </w:lvl>
  </w:abstractNum>
  <w:abstractNum w:abstractNumId="138" w15:restartNumberingAfterBreak="0">
    <w:nsid w:val="44AC372D"/>
    <w:multiLevelType w:val="multilevel"/>
    <w:tmpl w:val="F0C666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44FF1C5B"/>
    <w:multiLevelType w:val="hybridMultilevel"/>
    <w:tmpl w:val="51DE0AAE"/>
    <w:lvl w:ilvl="0" w:tplc="25BAD348">
      <w:start w:val="1"/>
      <w:numFmt w:val="lowerLetter"/>
      <w:lvlText w:val="%1)"/>
      <w:lvlJc w:val="left"/>
      <w:pPr>
        <w:ind w:left="644" w:hanging="360"/>
      </w:pPr>
      <w:rPr>
        <w:b/>
      </w:rPr>
    </w:lvl>
    <w:lvl w:ilvl="1" w:tplc="240A0019" w:tentative="1">
      <w:start w:val="1"/>
      <w:numFmt w:val="lowerLetter"/>
      <w:lvlText w:val="%2."/>
      <w:lvlJc w:val="left"/>
      <w:pPr>
        <w:ind w:left="-2737" w:hanging="360"/>
      </w:pPr>
    </w:lvl>
    <w:lvl w:ilvl="2" w:tplc="240A001B" w:tentative="1">
      <w:start w:val="1"/>
      <w:numFmt w:val="lowerRoman"/>
      <w:lvlText w:val="%3."/>
      <w:lvlJc w:val="right"/>
      <w:pPr>
        <w:ind w:left="-2017" w:hanging="180"/>
      </w:pPr>
    </w:lvl>
    <w:lvl w:ilvl="3" w:tplc="240A000F" w:tentative="1">
      <w:start w:val="1"/>
      <w:numFmt w:val="decimal"/>
      <w:lvlText w:val="%4."/>
      <w:lvlJc w:val="left"/>
      <w:pPr>
        <w:ind w:left="-1297" w:hanging="360"/>
      </w:pPr>
    </w:lvl>
    <w:lvl w:ilvl="4" w:tplc="240A0019" w:tentative="1">
      <w:start w:val="1"/>
      <w:numFmt w:val="lowerLetter"/>
      <w:lvlText w:val="%5."/>
      <w:lvlJc w:val="left"/>
      <w:pPr>
        <w:ind w:left="-577" w:hanging="360"/>
      </w:pPr>
    </w:lvl>
    <w:lvl w:ilvl="5" w:tplc="240A001B" w:tentative="1">
      <w:start w:val="1"/>
      <w:numFmt w:val="lowerRoman"/>
      <w:lvlText w:val="%6."/>
      <w:lvlJc w:val="right"/>
      <w:pPr>
        <w:ind w:left="143" w:hanging="180"/>
      </w:pPr>
    </w:lvl>
    <w:lvl w:ilvl="6" w:tplc="240A000F" w:tentative="1">
      <w:start w:val="1"/>
      <w:numFmt w:val="decimal"/>
      <w:lvlText w:val="%7."/>
      <w:lvlJc w:val="left"/>
      <w:pPr>
        <w:ind w:left="863" w:hanging="360"/>
      </w:pPr>
    </w:lvl>
    <w:lvl w:ilvl="7" w:tplc="240A0019" w:tentative="1">
      <w:start w:val="1"/>
      <w:numFmt w:val="lowerLetter"/>
      <w:lvlText w:val="%8."/>
      <w:lvlJc w:val="left"/>
      <w:pPr>
        <w:ind w:left="1583" w:hanging="360"/>
      </w:pPr>
    </w:lvl>
    <w:lvl w:ilvl="8" w:tplc="240A001B" w:tentative="1">
      <w:start w:val="1"/>
      <w:numFmt w:val="lowerRoman"/>
      <w:lvlText w:val="%9."/>
      <w:lvlJc w:val="right"/>
      <w:pPr>
        <w:ind w:left="2303" w:hanging="180"/>
      </w:pPr>
    </w:lvl>
  </w:abstractNum>
  <w:abstractNum w:abstractNumId="140" w15:restartNumberingAfterBreak="0">
    <w:nsid w:val="450063F5"/>
    <w:multiLevelType w:val="hybridMultilevel"/>
    <w:tmpl w:val="FFFFFFFF"/>
    <w:lvl w:ilvl="0" w:tplc="F14EDEF0">
      <w:start w:val="1"/>
      <w:numFmt w:val="bullet"/>
      <w:lvlText w:val="·"/>
      <w:lvlJc w:val="left"/>
      <w:pPr>
        <w:ind w:left="720" w:hanging="360"/>
      </w:pPr>
      <w:rPr>
        <w:rFonts w:ascii="Symbol" w:hAnsi="Symbol" w:hint="default"/>
      </w:rPr>
    </w:lvl>
    <w:lvl w:ilvl="1" w:tplc="41E2DBC6">
      <w:start w:val="1"/>
      <w:numFmt w:val="bullet"/>
      <w:lvlText w:val="o"/>
      <w:lvlJc w:val="left"/>
      <w:pPr>
        <w:ind w:left="1440" w:hanging="360"/>
      </w:pPr>
      <w:rPr>
        <w:rFonts w:ascii="Courier New" w:hAnsi="Courier New" w:hint="default"/>
      </w:rPr>
    </w:lvl>
    <w:lvl w:ilvl="2" w:tplc="E1786C1E">
      <w:start w:val="1"/>
      <w:numFmt w:val="bullet"/>
      <w:lvlText w:val=""/>
      <w:lvlJc w:val="left"/>
      <w:pPr>
        <w:ind w:left="2160" w:hanging="360"/>
      </w:pPr>
      <w:rPr>
        <w:rFonts w:ascii="Wingdings" w:hAnsi="Wingdings" w:hint="default"/>
      </w:rPr>
    </w:lvl>
    <w:lvl w:ilvl="3" w:tplc="5BD0C3A0">
      <w:start w:val="1"/>
      <w:numFmt w:val="bullet"/>
      <w:lvlText w:val=""/>
      <w:lvlJc w:val="left"/>
      <w:pPr>
        <w:ind w:left="2880" w:hanging="360"/>
      </w:pPr>
      <w:rPr>
        <w:rFonts w:ascii="Symbol" w:hAnsi="Symbol" w:hint="default"/>
      </w:rPr>
    </w:lvl>
    <w:lvl w:ilvl="4" w:tplc="7596777A">
      <w:start w:val="1"/>
      <w:numFmt w:val="bullet"/>
      <w:lvlText w:val="o"/>
      <w:lvlJc w:val="left"/>
      <w:pPr>
        <w:ind w:left="3600" w:hanging="360"/>
      </w:pPr>
      <w:rPr>
        <w:rFonts w:ascii="Courier New" w:hAnsi="Courier New" w:hint="default"/>
      </w:rPr>
    </w:lvl>
    <w:lvl w:ilvl="5" w:tplc="FCFE672C">
      <w:start w:val="1"/>
      <w:numFmt w:val="bullet"/>
      <w:lvlText w:val=""/>
      <w:lvlJc w:val="left"/>
      <w:pPr>
        <w:ind w:left="4320" w:hanging="360"/>
      </w:pPr>
      <w:rPr>
        <w:rFonts w:ascii="Wingdings" w:hAnsi="Wingdings" w:hint="default"/>
      </w:rPr>
    </w:lvl>
    <w:lvl w:ilvl="6" w:tplc="8FEE1E98">
      <w:start w:val="1"/>
      <w:numFmt w:val="bullet"/>
      <w:lvlText w:val=""/>
      <w:lvlJc w:val="left"/>
      <w:pPr>
        <w:ind w:left="5040" w:hanging="360"/>
      </w:pPr>
      <w:rPr>
        <w:rFonts w:ascii="Symbol" w:hAnsi="Symbol" w:hint="default"/>
      </w:rPr>
    </w:lvl>
    <w:lvl w:ilvl="7" w:tplc="F756609E">
      <w:start w:val="1"/>
      <w:numFmt w:val="bullet"/>
      <w:lvlText w:val="o"/>
      <w:lvlJc w:val="left"/>
      <w:pPr>
        <w:ind w:left="5760" w:hanging="360"/>
      </w:pPr>
      <w:rPr>
        <w:rFonts w:ascii="Courier New" w:hAnsi="Courier New" w:hint="default"/>
      </w:rPr>
    </w:lvl>
    <w:lvl w:ilvl="8" w:tplc="F9C20BEE">
      <w:start w:val="1"/>
      <w:numFmt w:val="bullet"/>
      <w:lvlText w:val=""/>
      <w:lvlJc w:val="left"/>
      <w:pPr>
        <w:ind w:left="6480" w:hanging="360"/>
      </w:pPr>
      <w:rPr>
        <w:rFonts w:ascii="Wingdings" w:hAnsi="Wingdings" w:hint="default"/>
      </w:rPr>
    </w:lvl>
  </w:abstractNum>
  <w:abstractNum w:abstractNumId="141" w15:restartNumberingAfterBreak="0">
    <w:nsid w:val="45133BD4"/>
    <w:multiLevelType w:val="hybridMultilevel"/>
    <w:tmpl w:val="5A9CA4A4"/>
    <w:lvl w:ilvl="0" w:tplc="208ACF7A">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B1D8284E">
      <w:start w:val="1"/>
      <w:numFmt w:val="bullet"/>
      <w:lvlText w:val=""/>
      <w:lvlJc w:val="left"/>
      <w:pPr>
        <w:ind w:left="2160" w:hanging="360"/>
      </w:pPr>
      <w:rPr>
        <w:rFonts w:ascii="Wingdings" w:hAnsi="Wingdings" w:hint="default"/>
      </w:rPr>
    </w:lvl>
    <w:lvl w:ilvl="3" w:tplc="81F2B7DA">
      <w:start w:val="1"/>
      <w:numFmt w:val="bullet"/>
      <w:lvlText w:val=""/>
      <w:lvlJc w:val="left"/>
      <w:pPr>
        <w:ind w:left="2880" w:hanging="360"/>
      </w:pPr>
      <w:rPr>
        <w:rFonts w:ascii="Symbol" w:hAnsi="Symbol" w:hint="default"/>
      </w:rPr>
    </w:lvl>
    <w:lvl w:ilvl="4" w:tplc="CF4C3182">
      <w:start w:val="1"/>
      <w:numFmt w:val="bullet"/>
      <w:lvlText w:val="o"/>
      <w:lvlJc w:val="left"/>
      <w:pPr>
        <w:ind w:left="3600" w:hanging="360"/>
      </w:pPr>
      <w:rPr>
        <w:rFonts w:ascii="Courier New" w:hAnsi="Courier New" w:hint="default"/>
      </w:rPr>
    </w:lvl>
    <w:lvl w:ilvl="5" w:tplc="96D27AA8">
      <w:start w:val="1"/>
      <w:numFmt w:val="bullet"/>
      <w:lvlText w:val=""/>
      <w:lvlJc w:val="left"/>
      <w:pPr>
        <w:ind w:left="4320" w:hanging="360"/>
      </w:pPr>
      <w:rPr>
        <w:rFonts w:ascii="Wingdings" w:hAnsi="Wingdings" w:hint="default"/>
      </w:rPr>
    </w:lvl>
    <w:lvl w:ilvl="6" w:tplc="13A2AE0C">
      <w:start w:val="1"/>
      <w:numFmt w:val="bullet"/>
      <w:lvlText w:val=""/>
      <w:lvlJc w:val="left"/>
      <w:pPr>
        <w:ind w:left="5040" w:hanging="360"/>
      </w:pPr>
      <w:rPr>
        <w:rFonts w:ascii="Symbol" w:hAnsi="Symbol" w:hint="default"/>
      </w:rPr>
    </w:lvl>
    <w:lvl w:ilvl="7" w:tplc="A64AEBBA">
      <w:start w:val="1"/>
      <w:numFmt w:val="bullet"/>
      <w:lvlText w:val="o"/>
      <w:lvlJc w:val="left"/>
      <w:pPr>
        <w:ind w:left="5760" w:hanging="360"/>
      </w:pPr>
      <w:rPr>
        <w:rFonts w:ascii="Courier New" w:hAnsi="Courier New" w:hint="default"/>
      </w:rPr>
    </w:lvl>
    <w:lvl w:ilvl="8" w:tplc="F1A86DEA">
      <w:start w:val="1"/>
      <w:numFmt w:val="bullet"/>
      <w:lvlText w:val=""/>
      <w:lvlJc w:val="left"/>
      <w:pPr>
        <w:ind w:left="6480" w:hanging="360"/>
      </w:pPr>
      <w:rPr>
        <w:rFonts w:ascii="Wingdings" w:hAnsi="Wingdings" w:hint="default"/>
      </w:rPr>
    </w:lvl>
  </w:abstractNum>
  <w:abstractNum w:abstractNumId="142" w15:restartNumberingAfterBreak="0">
    <w:nsid w:val="45311908"/>
    <w:multiLevelType w:val="hybridMultilevel"/>
    <w:tmpl w:val="FFFFFFFF"/>
    <w:lvl w:ilvl="0" w:tplc="1310ABA0">
      <w:start w:val="1"/>
      <w:numFmt w:val="bullet"/>
      <w:lvlText w:val="-"/>
      <w:lvlJc w:val="left"/>
      <w:pPr>
        <w:ind w:left="720" w:hanging="360"/>
      </w:pPr>
      <w:rPr>
        <w:rFonts w:ascii="Calibri" w:hAnsi="Calibri" w:hint="default"/>
      </w:rPr>
    </w:lvl>
    <w:lvl w:ilvl="1" w:tplc="A502D55E">
      <w:start w:val="1"/>
      <w:numFmt w:val="bullet"/>
      <w:lvlText w:val="o"/>
      <w:lvlJc w:val="left"/>
      <w:pPr>
        <w:ind w:left="1440" w:hanging="360"/>
      </w:pPr>
      <w:rPr>
        <w:rFonts w:ascii="Courier New" w:hAnsi="Courier New" w:hint="default"/>
      </w:rPr>
    </w:lvl>
    <w:lvl w:ilvl="2" w:tplc="15F83754">
      <w:start w:val="1"/>
      <w:numFmt w:val="bullet"/>
      <w:lvlText w:val=""/>
      <w:lvlJc w:val="left"/>
      <w:pPr>
        <w:ind w:left="2160" w:hanging="360"/>
      </w:pPr>
      <w:rPr>
        <w:rFonts w:ascii="Wingdings" w:hAnsi="Wingdings" w:hint="default"/>
      </w:rPr>
    </w:lvl>
    <w:lvl w:ilvl="3" w:tplc="DD02157A">
      <w:start w:val="1"/>
      <w:numFmt w:val="bullet"/>
      <w:lvlText w:val=""/>
      <w:lvlJc w:val="left"/>
      <w:pPr>
        <w:ind w:left="2880" w:hanging="360"/>
      </w:pPr>
      <w:rPr>
        <w:rFonts w:ascii="Symbol" w:hAnsi="Symbol" w:hint="default"/>
      </w:rPr>
    </w:lvl>
    <w:lvl w:ilvl="4" w:tplc="706C5540">
      <w:start w:val="1"/>
      <w:numFmt w:val="bullet"/>
      <w:lvlText w:val="o"/>
      <w:lvlJc w:val="left"/>
      <w:pPr>
        <w:ind w:left="3600" w:hanging="360"/>
      </w:pPr>
      <w:rPr>
        <w:rFonts w:ascii="Courier New" w:hAnsi="Courier New" w:hint="default"/>
      </w:rPr>
    </w:lvl>
    <w:lvl w:ilvl="5" w:tplc="D8F84478">
      <w:start w:val="1"/>
      <w:numFmt w:val="bullet"/>
      <w:lvlText w:val=""/>
      <w:lvlJc w:val="left"/>
      <w:pPr>
        <w:ind w:left="4320" w:hanging="360"/>
      </w:pPr>
      <w:rPr>
        <w:rFonts w:ascii="Wingdings" w:hAnsi="Wingdings" w:hint="default"/>
      </w:rPr>
    </w:lvl>
    <w:lvl w:ilvl="6" w:tplc="3BD268AC">
      <w:start w:val="1"/>
      <w:numFmt w:val="bullet"/>
      <w:lvlText w:val=""/>
      <w:lvlJc w:val="left"/>
      <w:pPr>
        <w:ind w:left="5040" w:hanging="360"/>
      </w:pPr>
      <w:rPr>
        <w:rFonts w:ascii="Symbol" w:hAnsi="Symbol" w:hint="default"/>
      </w:rPr>
    </w:lvl>
    <w:lvl w:ilvl="7" w:tplc="EE8AD538">
      <w:start w:val="1"/>
      <w:numFmt w:val="bullet"/>
      <w:lvlText w:val="o"/>
      <w:lvlJc w:val="left"/>
      <w:pPr>
        <w:ind w:left="5760" w:hanging="360"/>
      </w:pPr>
      <w:rPr>
        <w:rFonts w:ascii="Courier New" w:hAnsi="Courier New" w:hint="default"/>
      </w:rPr>
    </w:lvl>
    <w:lvl w:ilvl="8" w:tplc="4844C002">
      <w:start w:val="1"/>
      <w:numFmt w:val="bullet"/>
      <w:lvlText w:val=""/>
      <w:lvlJc w:val="left"/>
      <w:pPr>
        <w:ind w:left="6480" w:hanging="360"/>
      </w:pPr>
      <w:rPr>
        <w:rFonts w:ascii="Wingdings" w:hAnsi="Wingdings" w:hint="default"/>
      </w:rPr>
    </w:lvl>
  </w:abstractNum>
  <w:abstractNum w:abstractNumId="143" w15:restartNumberingAfterBreak="0">
    <w:nsid w:val="45365E52"/>
    <w:multiLevelType w:val="multilevel"/>
    <w:tmpl w:val="01C8B8C4"/>
    <w:lvl w:ilvl="0">
      <w:start w:val="1"/>
      <w:numFmt w:val="bullet"/>
      <w:lvlText w:val=""/>
      <w:lvlJc w:val="left"/>
      <w:pPr>
        <w:tabs>
          <w:tab w:val="num" w:pos="720"/>
        </w:tabs>
        <w:ind w:left="720" w:hanging="360"/>
      </w:pPr>
      <w:rPr>
        <w:rFonts w:ascii="Symbol" w:hAnsi="Symbol" w:hint="default"/>
        <w:sz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4" w15:restartNumberingAfterBreak="0">
    <w:nsid w:val="456449A3"/>
    <w:multiLevelType w:val="hybridMultilevel"/>
    <w:tmpl w:val="935A523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5" w15:restartNumberingAfterBreak="0">
    <w:nsid w:val="4588227B"/>
    <w:multiLevelType w:val="multilevel"/>
    <w:tmpl w:val="1D6ABD82"/>
    <w:lvl w:ilvl="0">
      <w:start w:val="4"/>
      <w:numFmt w:val="lowerLetter"/>
      <w:lvlText w:val="%1."/>
      <w:lvlJc w:val="left"/>
      <w:pPr>
        <w:tabs>
          <w:tab w:val="num" w:pos="720"/>
        </w:tabs>
        <w:ind w:left="720" w:hanging="360"/>
      </w:pPr>
    </w:lvl>
    <w:lvl w:ilvl="1">
      <w:start w:val="17"/>
      <w:numFmt w:val="lowerLetter"/>
      <w:lvlText w:val="%2."/>
      <w:lvlJc w:val="left"/>
      <w:pPr>
        <w:ind w:left="1440" w:hanging="360"/>
      </w:pPr>
      <w:rPr>
        <w:rFonts w:hint="default"/>
      </w:rPr>
    </w:lvl>
    <w:lvl w:ilvl="2">
      <w:start w:val="1"/>
      <w:numFmt w:val="upperLetter"/>
      <w:lvlText w:val="%3."/>
      <w:lvlJc w:val="left"/>
      <w:pPr>
        <w:ind w:left="2160" w:hanging="360"/>
      </w:pPr>
      <w:rPr>
        <w:rFonts w:hint="default"/>
      </w:r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6" w15:restartNumberingAfterBreak="0">
    <w:nsid w:val="466F49E7"/>
    <w:multiLevelType w:val="hybridMultilevel"/>
    <w:tmpl w:val="8DDCC8A8"/>
    <w:lvl w:ilvl="0" w:tplc="240A0001">
      <w:start w:val="1"/>
      <w:numFmt w:val="bullet"/>
      <w:lvlText w:val=""/>
      <w:lvlJc w:val="left"/>
      <w:pPr>
        <w:ind w:left="785" w:hanging="360"/>
      </w:pPr>
      <w:rPr>
        <w:rFonts w:ascii="Symbol" w:hAnsi="Symbol" w:hint="default"/>
        <w:lang w:val="es-CO"/>
      </w:rPr>
    </w:lvl>
    <w:lvl w:ilvl="1" w:tplc="240A0003" w:tentative="1">
      <w:start w:val="1"/>
      <w:numFmt w:val="bullet"/>
      <w:lvlText w:val="o"/>
      <w:lvlJc w:val="left"/>
      <w:pPr>
        <w:ind w:left="1505" w:hanging="360"/>
      </w:pPr>
      <w:rPr>
        <w:rFonts w:ascii="Courier New" w:hAnsi="Courier New" w:cs="Courier New" w:hint="default"/>
      </w:rPr>
    </w:lvl>
    <w:lvl w:ilvl="2" w:tplc="240A0005" w:tentative="1">
      <w:start w:val="1"/>
      <w:numFmt w:val="bullet"/>
      <w:lvlText w:val=""/>
      <w:lvlJc w:val="left"/>
      <w:pPr>
        <w:ind w:left="2225" w:hanging="360"/>
      </w:pPr>
      <w:rPr>
        <w:rFonts w:ascii="Wingdings" w:hAnsi="Wingdings" w:hint="default"/>
      </w:rPr>
    </w:lvl>
    <w:lvl w:ilvl="3" w:tplc="240A0001" w:tentative="1">
      <w:start w:val="1"/>
      <w:numFmt w:val="bullet"/>
      <w:lvlText w:val=""/>
      <w:lvlJc w:val="left"/>
      <w:pPr>
        <w:ind w:left="2945" w:hanging="360"/>
      </w:pPr>
      <w:rPr>
        <w:rFonts w:ascii="Symbol" w:hAnsi="Symbol" w:hint="default"/>
      </w:rPr>
    </w:lvl>
    <w:lvl w:ilvl="4" w:tplc="240A0003" w:tentative="1">
      <w:start w:val="1"/>
      <w:numFmt w:val="bullet"/>
      <w:lvlText w:val="o"/>
      <w:lvlJc w:val="left"/>
      <w:pPr>
        <w:ind w:left="3665" w:hanging="360"/>
      </w:pPr>
      <w:rPr>
        <w:rFonts w:ascii="Courier New" w:hAnsi="Courier New" w:cs="Courier New" w:hint="default"/>
      </w:rPr>
    </w:lvl>
    <w:lvl w:ilvl="5" w:tplc="240A0005" w:tentative="1">
      <w:start w:val="1"/>
      <w:numFmt w:val="bullet"/>
      <w:lvlText w:val=""/>
      <w:lvlJc w:val="left"/>
      <w:pPr>
        <w:ind w:left="4385" w:hanging="360"/>
      </w:pPr>
      <w:rPr>
        <w:rFonts w:ascii="Wingdings" w:hAnsi="Wingdings" w:hint="default"/>
      </w:rPr>
    </w:lvl>
    <w:lvl w:ilvl="6" w:tplc="240A0001" w:tentative="1">
      <w:start w:val="1"/>
      <w:numFmt w:val="bullet"/>
      <w:lvlText w:val=""/>
      <w:lvlJc w:val="left"/>
      <w:pPr>
        <w:ind w:left="5105" w:hanging="360"/>
      </w:pPr>
      <w:rPr>
        <w:rFonts w:ascii="Symbol" w:hAnsi="Symbol" w:hint="default"/>
      </w:rPr>
    </w:lvl>
    <w:lvl w:ilvl="7" w:tplc="240A0003" w:tentative="1">
      <w:start w:val="1"/>
      <w:numFmt w:val="bullet"/>
      <w:lvlText w:val="o"/>
      <w:lvlJc w:val="left"/>
      <w:pPr>
        <w:ind w:left="5825" w:hanging="360"/>
      </w:pPr>
      <w:rPr>
        <w:rFonts w:ascii="Courier New" w:hAnsi="Courier New" w:cs="Courier New" w:hint="default"/>
      </w:rPr>
    </w:lvl>
    <w:lvl w:ilvl="8" w:tplc="240A0005" w:tentative="1">
      <w:start w:val="1"/>
      <w:numFmt w:val="bullet"/>
      <w:lvlText w:val=""/>
      <w:lvlJc w:val="left"/>
      <w:pPr>
        <w:ind w:left="6545" w:hanging="360"/>
      </w:pPr>
      <w:rPr>
        <w:rFonts w:ascii="Wingdings" w:hAnsi="Wingdings" w:hint="default"/>
      </w:rPr>
    </w:lvl>
  </w:abstractNum>
  <w:abstractNum w:abstractNumId="147" w15:restartNumberingAfterBreak="0">
    <w:nsid w:val="46A56C0A"/>
    <w:multiLevelType w:val="hybridMultilevel"/>
    <w:tmpl w:val="C34262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8" w15:restartNumberingAfterBreak="0">
    <w:nsid w:val="46D049F0"/>
    <w:multiLevelType w:val="hybridMultilevel"/>
    <w:tmpl w:val="7A5C9A3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49" w15:restartNumberingAfterBreak="0">
    <w:nsid w:val="47873BA8"/>
    <w:multiLevelType w:val="hybridMultilevel"/>
    <w:tmpl w:val="7C124E2C"/>
    <w:lvl w:ilvl="0" w:tplc="240A0001">
      <w:start w:val="1"/>
      <w:numFmt w:val="bullet"/>
      <w:lvlText w:val=""/>
      <w:lvlJc w:val="left"/>
      <w:pPr>
        <w:ind w:left="1440" w:hanging="360"/>
      </w:pPr>
      <w:rPr>
        <w:rFonts w:ascii="Symbol" w:hAnsi="Symbol" w:hint="default"/>
      </w:rPr>
    </w:lvl>
    <w:lvl w:ilvl="1" w:tplc="580A0003">
      <w:start w:val="1"/>
      <w:numFmt w:val="bullet"/>
      <w:lvlText w:val="o"/>
      <w:lvlJc w:val="left"/>
      <w:pPr>
        <w:ind w:left="2160" w:hanging="360"/>
      </w:pPr>
      <w:rPr>
        <w:rFonts w:ascii="Courier New" w:hAnsi="Courier New" w:cs="Courier New" w:hint="default"/>
      </w:rPr>
    </w:lvl>
    <w:lvl w:ilvl="2" w:tplc="580A0005">
      <w:start w:val="1"/>
      <w:numFmt w:val="bullet"/>
      <w:lvlText w:val=""/>
      <w:lvlJc w:val="left"/>
      <w:pPr>
        <w:ind w:left="2880" w:hanging="360"/>
      </w:pPr>
      <w:rPr>
        <w:rFonts w:ascii="Wingdings" w:hAnsi="Wingdings" w:hint="default"/>
      </w:rPr>
    </w:lvl>
    <w:lvl w:ilvl="3" w:tplc="580A0001">
      <w:start w:val="1"/>
      <w:numFmt w:val="bullet"/>
      <w:lvlText w:val=""/>
      <w:lvlJc w:val="left"/>
      <w:pPr>
        <w:ind w:left="3600" w:hanging="360"/>
      </w:pPr>
      <w:rPr>
        <w:rFonts w:ascii="Symbol" w:hAnsi="Symbol" w:hint="default"/>
      </w:rPr>
    </w:lvl>
    <w:lvl w:ilvl="4" w:tplc="580A0003" w:tentative="1">
      <w:start w:val="1"/>
      <w:numFmt w:val="bullet"/>
      <w:lvlText w:val="o"/>
      <w:lvlJc w:val="left"/>
      <w:pPr>
        <w:ind w:left="4320" w:hanging="360"/>
      </w:pPr>
      <w:rPr>
        <w:rFonts w:ascii="Courier New" w:hAnsi="Courier New" w:cs="Courier New" w:hint="default"/>
      </w:rPr>
    </w:lvl>
    <w:lvl w:ilvl="5" w:tplc="580A0005" w:tentative="1">
      <w:start w:val="1"/>
      <w:numFmt w:val="bullet"/>
      <w:lvlText w:val=""/>
      <w:lvlJc w:val="left"/>
      <w:pPr>
        <w:ind w:left="5040" w:hanging="360"/>
      </w:pPr>
      <w:rPr>
        <w:rFonts w:ascii="Wingdings" w:hAnsi="Wingdings" w:hint="default"/>
      </w:rPr>
    </w:lvl>
    <w:lvl w:ilvl="6" w:tplc="580A0001" w:tentative="1">
      <w:start w:val="1"/>
      <w:numFmt w:val="bullet"/>
      <w:lvlText w:val=""/>
      <w:lvlJc w:val="left"/>
      <w:pPr>
        <w:ind w:left="5760" w:hanging="360"/>
      </w:pPr>
      <w:rPr>
        <w:rFonts w:ascii="Symbol" w:hAnsi="Symbol" w:hint="default"/>
      </w:rPr>
    </w:lvl>
    <w:lvl w:ilvl="7" w:tplc="580A0003" w:tentative="1">
      <w:start w:val="1"/>
      <w:numFmt w:val="bullet"/>
      <w:lvlText w:val="o"/>
      <w:lvlJc w:val="left"/>
      <w:pPr>
        <w:ind w:left="6480" w:hanging="360"/>
      </w:pPr>
      <w:rPr>
        <w:rFonts w:ascii="Courier New" w:hAnsi="Courier New" w:cs="Courier New" w:hint="default"/>
      </w:rPr>
    </w:lvl>
    <w:lvl w:ilvl="8" w:tplc="580A0005" w:tentative="1">
      <w:start w:val="1"/>
      <w:numFmt w:val="bullet"/>
      <w:lvlText w:val=""/>
      <w:lvlJc w:val="left"/>
      <w:pPr>
        <w:ind w:left="7200" w:hanging="360"/>
      </w:pPr>
      <w:rPr>
        <w:rFonts w:ascii="Wingdings" w:hAnsi="Wingdings" w:hint="default"/>
      </w:rPr>
    </w:lvl>
  </w:abstractNum>
  <w:abstractNum w:abstractNumId="150" w15:restartNumberingAfterBreak="0">
    <w:nsid w:val="47DC04C3"/>
    <w:multiLevelType w:val="multilevel"/>
    <w:tmpl w:val="5BE4CEB4"/>
    <w:lvl w:ilvl="0">
      <w:start w:val="1"/>
      <w:numFmt w:val="decimal"/>
      <w:lvlText w:val="%1."/>
      <w:lvlJc w:val="left"/>
      <w:pPr>
        <w:tabs>
          <w:tab w:val="num" w:pos="720"/>
        </w:tabs>
        <w:ind w:left="720" w:hanging="360"/>
      </w:pPr>
      <w:rPr>
        <w:rFonts w:ascii="Arial" w:hAnsi="Arial" w:cs="Arial" w:hint="default"/>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49492797"/>
    <w:multiLevelType w:val="hybridMultilevel"/>
    <w:tmpl w:val="F120DD9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2" w15:restartNumberingAfterBreak="0">
    <w:nsid w:val="496D1292"/>
    <w:multiLevelType w:val="hybridMultilevel"/>
    <w:tmpl w:val="1F70614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3" w15:restartNumberingAfterBreak="0">
    <w:nsid w:val="49965124"/>
    <w:multiLevelType w:val="hybridMultilevel"/>
    <w:tmpl w:val="4D2284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4" w15:restartNumberingAfterBreak="0">
    <w:nsid w:val="4A0B545C"/>
    <w:multiLevelType w:val="hybridMultilevel"/>
    <w:tmpl w:val="1F0673BA"/>
    <w:lvl w:ilvl="0" w:tplc="2DA807CC">
      <w:start w:val="1"/>
      <w:numFmt w:val="bullet"/>
      <w:lvlText w:val="·"/>
      <w:lvlJc w:val="left"/>
      <w:pPr>
        <w:ind w:left="720" w:hanging="360"/>
      </w:pPr>
      <w:rPr>
        <w:rFonts w:ascii="Symbol" w:hAnsi="Symbol" w:hint="default"/>
      </w:rPr>
    </w:lvl>
    <w:lvl w:ilvl="1" w:tplc="790C60B6">
      <w:start w:val="1"/>
      <w:numFmt w:val="bullet"/>
      <w:lvlText w:val="o"/>
      <w:lvlJc w:val="left"/>
      <w:pPr>
        <w:ind w:left="1440" w:hanging="360"/>
      </w:pPr>
      <w:rPr>
        <w:rFonts w:ascii="Courier New" w:hAnsi="Courier New" w:hint="default"/>
      </w:rPr>
    </w:lvl>
    <w:lvl w:ilvl="2" w:tplc="BC188BC0">
      <w:start w:val="1"/>
      <w:numFmt w:val="bullet"/>
      <w:lvlText w:val=""/>
      <w:lvlJc w:val="left"/>
      <w:pPr>
        <w:ind w:left="2160" w:hanging="360"/>
      </w:pPr>
      <w:rPr>
        <w:rFonts w:ascii="Wingdings" w:hAnsi="Wingdings" w:hint="default"/>
      </w:rPr>
    </w:lvl>
    <w:lvl w:ilvl="3" w:tplc="E6DAD2B6">
      <w:start w:val="1"/>
      <w:numFmt w:val="bullet"/>
      <w:lvlText w:val=""/>
      <w:lvlJc w:val="left"/>
      <w:pPr>
        <w:ind w:left="2880" w:hanging="360"/>
      </w:pPr>
      <w:rPr>
        <w:rFonts w:ascii="Symbol" w:hAnsi="Symbol" w:hint="default"/>
      </w:rPr>
    </w:lvl>
    <w:lvl w:ilvl="4" w:tplc="49F470EA">
      <w:start w:val="1"/>
      <w:numFmt w:val="bullet"/>
      <w:lvlText w:val="o"/>
      <w:lvlJc w:val="left"/>
      <w:pPr>
        <w:ind w:left="3600" w:hanging="360"/>
      </w:pPr>
      <w:rPr>
        <w:rFonts w:ascii="Courier New" w:hAnsi="Courier New" w:hint="default"/>
      </w:rPr>
    </w:lvl>
    <w:lvl w:ilvl="5" w:tplc="472AA4AC">
      <w:start w:val="1"/>
      <w:numFmt w:val="bullet"/>
      <w:lvlText w:val=""/>
      <w:lvlJc w:val="left"/>
      <w:pPr>
        <w:ind w:left="4320" w:hanging="360"/>
      </w:pPr>
      <w:rPr>
        <w:rFonts w:ascii="Wingdings" w:hAnsi="Wingdings" w:hint="default"/>
      </w:rPr>
    </w:lvl>
    <w:lvl w:ilvl="6" w:tplc="E522ED84">
      <w:start w:val="1"/>
      <w:numFmt w:val="bullet"/>
      <w:lvlText w:val=""/>
      <w:lvlJc w:val="left"/>
      <w:pPr>
        <w:ind w:left="5040" w:hanging="360"/>
      </w:pPr>
      <w:rPr>
        <w:rFonts w:ascii="Symbol" w:hAnsi="Symbol" w:hint="default"/>
      </w:rPr>
    </w:lvl>
    <w:lvl w:ilvl="7" w:tplc="AA0073AC">
      <w:start w:val="1"/>
      <w:numFmt w:val="bullet"/>
      <w:lvlText w:val="o"/>
      <w:lvlJc w:val="left"/>
      <w:pPr>
        <w:ind w:left="5760" w:hanging="360"/>
      </w:pPr>
      <w:rPr>
        <w:rFonts w:ascii="Courier New" w:hAnsi="Courier New" w:hint="default"/>
      </w:rPr>
    </w:lvl>
    <w:lvl w:ilvl="8" w:tplc="F0A69582">
      <w:start w:val="1"/>
      <w:numFmt w:val="bullet"/>
      <w:lvlText w:val=""/>
      <w:lvlJc w:val="left"/>
      <w:pPr>
        <w:ind w:left="6480" w:hanging="360"/>
      </w:pPr>
      <w:rPr>
        <w:rFonts w:ascii="Wingdings" w:hAnsi="Wingdings" w:hint="default"/>
      </w:rPr>
    </w:lvl>
  </w:abstractNum>
  <w:abstractNum w:abstractNumId="155" w15:restartNumberingAfterBreak="0">
    <w:nsid w:val="4AD05555"/>
    <w:multiLevelType w:val="hybridMultilevel"/>
    <w:tmpl w:val="EF787EE2"/>
    <w:lvl w:ilvl="0" w:tplc="220C6A48">
      <w:start w:val="1"/>
      <w:numFmt w:val="bullet"/>
      <w:lvlText w:val="·"/>
      <w:lvlJc w:val="left"/>
      <w:pPr>
        <w:ind w:left="720" w:hanging="360"/>
      </w:pPr>
      <w:rPr>
        <w:rFonts w:ascii="Symbol" w:hAnsi="Symbol" w:hint="default"/>
      </w:rPr>
    </w:lvl>
    <w:lvl w:ilvl="1" w:tplc="E5E87510">
      <w:start w:val="1"/>
      <w:numFmt w:val="bullet"/>
      <w:lvlText w:val="o"/>
      <w:lvlJc w:val="left"/>
      <w:pPr>
        <w:ind w:left="1440" w:hanging="360"/>
      </w:pPr>
      <w:rPr>
        <w:rFonts w:ascii="Courier New" w:hAnsi="Courier New" w:hint="default"/>
      </w:rPr>
    </w:lvl>
    <w:lvl w:ilvl="2" w:tplc="60D082CE">
      <w:start w:val="1"/>
      <w:numFmt w:val="bullet"/>
      <w:lvlText w:val=""/>
      <w:lvlJc w:val="left"/>
      <w:pPr>
        <w:ind w:left="2160" w:hanging="360"/>
      </w:pPr>
      <w:rPr>
        <w:rFonts w:ascii="Wingdings" w:hAnsi="Wingdings" w:hint="default"/>
      </w:rPr>
    </w:lvl>
    <w:lvl w:ilvl="3" w:tplc="9D5AEBBC">
      <w:start w:val="1"/>
      <w:numFmt w:val="bullet"/>
      <w:lvlText w:val=""/>
      <w:lvlJc w:val="left"/>
      <w:pPr>
        <w:ind w:left="2880" w:hanging="360"/>
      </w:pPr>
      <w:rPr>
        <w:rFonts w:ascii="Symbol" w:hAnsi="Symbol" w:hint="default"/>
      </w:rPr>
    </w:lvl>
    <w:lvl w:ilvl="4" w:tplc="0BC6E946">
      <w:start w:val="1"/>
      <w:numFmt w:val="bullet"/>
      <w:lvlText w:val="o"/>
      <w:lvlJc w:val="left"/>
      <w:pPr>
        <w:ind w:left="3600" w:hanging="360"/>
      </w:pPr>
      <w:rPr>
        <w:rFonts w:ascii="Courier New" w:hAnsi="Courier New" w:hint="default"/>
      </w:rPr>
    </w:lvl>
    <w:lvl w:ilvl="5" w:tplc="A194575A">
      <w:start w:val="1"/>
      <w:numFmt w:val="bullet"/>
      <w:lvlText w:val=""/>
      <w:lvlJc w:val="left"/>
      <w:pPr>
        <w:ind w:left="4320" w:hanging="360"/>
      </w:pPr>
      <w:rPr>
        <w:rFonts w:ascii="Wingdings" w:hAnsi="Wingdings" w:hint="default"/>
      </w:rPr>
    </w:lvl>
    <w:lvl w:ilvl="6" w:tplc="9BCC839E">
      <w:start w:val="1"/>
      <w:numFmt w:val="bullet"/>
      <w:lvlText w:val=""/>
      <w:lvlJc w:val="left"/>
      <w:pPr>
        <w:ind w:left="5040" w:hanging="360"/>
      </w:pPr>
      <w:rPr>
        <w:rFonts w:ascii="Symbol" w:hAnsi="Symbol" w:hint="default"/>
      </w:rPr>
    </w:lvl>
    <w:lvl w:ilvl="7" w:tplc="EAA65FAC">
      <w:start w:val="1"/>
      <w:numFmt w:val="bullet"/>
      <w:lvlText w:val="o"/>
      <w:lvlJc w:val="left"/>
      <w:pPr>
        <w:ind w:left="5760" w:hanging="360"/>
      </w:pPr>
      <w:rPr>
        <w:rFonts w:ascii="Courier New" w:hAnsi="Courier New" w:hint="default"/>
      </w:rPr>
    </w:lvl>
    <w:lvl w:ilvl="8" w:tplc="B6F6981E">
      <w:start w:val="1"/>
      <w:numFmt w:val="bullet"/>
      <w:lvlText w:val=""/>
      <w:lvlJc w:val="left"/>
      <w:pPr>
        <w:ind w:left="6480" w:hanging="360"/>
      </w:pPr>
      <w:rPr>
        <w:rFonts w:ascii="Wingdings" w:hAnsi="Wingdings" w:hint="default"/>
      </w:rPr>
    </w:lvl>
  </w:abstractNum>
  <w:abstractNum w:abstractNumId="156" w15:restartNumberingAfterBreak="0">
    <w:nsid w:val="4B7D3AA5"/>
    <w:multiLevelType w:val="hybridMultilevel"/>
    <w:tmpl w:val="12FEDE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7" w15:restartNumberingAfterBreak="0">
    <w:nsid w:val="4BFF379D"/>
    <w:multiLevelType w:val="hybridMultilevel"/>
    <w:tmpl w:val="0876ED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8" w15:restartNumberingAfterBreak="0">
    <w:nsid w:val="4CCD1CF6"/>
    <w:multiLevelType w:val="hybridMultilevel"/>
    <w:tmpl w:val="E70658A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9" w15:restartNumberingAfterBreak="0">
    <w:nsid w:val="4CE10ECE"/>
    <w:multiLevelType w:val="hybridMultilevel"/>
    <w:tmpl w:val="0382DB08"/>
    <w:lvl w:ilvl="0" w:tplc="8480A8B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0" w15:restartNumberingAfterBreak="0">
    <w:nsid w:val="4D1C7819"/>
    <w:multiLevelType w:val="multilevel"/>
    <w:tmpl w:val="68DA08F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1" w15:restartNumberingAfterBreak="0">
    <w:nsid w:val="4DBF4DAE"/>
    <w:multiLevelType w:val="hybridMultilevel"/>
    <w:tmpl w:val="88440E4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2" w15:restartNumberingAfterBreak="0">
    <w:nsid w:val="4DE74AE9"/>
    <w:multiLevelType w:val="hybridMultilevel"/>
    <w:tmpl w:val="CC36DDFA"/>
    <w:lvl w:ilvl="0" w:tplc="240A0001">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63" w15:restartNumberingAfterBreak="0">
    <w:nsid w:val="4E6B3766"/>
    <w:multiLevelType w:val="hybridMultilevel"/>
    <w:tmpl w:val="0AAE28F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4" w15:restartNumberingAfterBreak="0">
    <w:nsid w:val="4F1E658A"/>
    <w:multiLevelType w:val="multilevel"/>
    <w:tmpl w:val="082A9BBC"/>
    <w:lvl w:ilvl="0">
      <w:start w:val="1"/>
      <w:numFmt w:val="bullet"/>
      <w:lvlText w:val=""/>
      <w:lvlJc w:val="left"/>
      <w:pPr>
        <w:tabs>
          <w:tab w:val="num" w:pos="720"/>
        </w:tabs>
        <w:ind w:left="720" w:hanging="360"/>
      </w:pPr>
      <w:rPr>
        <w:rFonts w:ascii="Symbol" w:hAnsi="Symbol" w:hint="default"/>
        <w:sz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5" w15:restartNumberingAfterBreak="0">
    <w:nsid w:val="4F53624D"/>
    <w:multiLevelType w:val="hybridMultilevel"/>
    <w:tmpl w:val="D4CE94B6"/>
    <w:lvl w:ilvl="0" w:tplc="24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66" w15:restartNumberingAfterBreak="0">
    <w:nsid w:val="4F727B67"/>
    <w:multiLevelType w:val="hybridMultilevel"/>
    <w:tmpl w:val="CFA0B9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7" w15:restartNumberingAfterBreak="0">
    <w:nsid w:val="4F90036A"/>
    <w:multiLevelType w:val="hybridMultilevel"/>
    <w:tmpl w:val="334AF96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8" w15:restartNumberingAfterBreak="0">
    <w:nsid w:val="50290AF2"/>
    <w:multiLevelType w:val="hybridMultilevel"/>
    <w:tmpl w:val="1868A466"/>
    <w:lvl w:ilvl="0" w:tplc="8B6E6F90">
      <w:start w:val="1"/>
      <w:numFmt w:val="bullet"/>
      <w:lvlText w:val=""/>
      <w:lvlJc w:val="left"/>
      <w:pPr>
        <w:ind w:left="928" w:hanging="360"/>
      </w:pPr>
      <w:rPr>
        <w:rFonts w:ascii="Symbol" w:hAnsi="Symbol" w:hint="default"/>
      </w:rPr>
    </w:lvl>
    <w:lvl w:ilvl="1" w:tplc="4E0C9650">
      <w:start w:val="1"/>
      <w:numFmt w:val="bullet"/>
      <w:lvlText w:val="o"/>
      <w:lvlJc w:val="left"/>
      <w:pPr>
        <w:ind w:left="1648" w:hanging="360"/>
      </w:pPr>
      <w:rPr>
        <w:rFonts w:ascii="Courier New" w:hAnsi="Courier New" w:hint="default"/>
      </w:rPr>
    </w:lvl>
    <w:lvl w:ilvl="2" w:tplc="ECA8978A">
      <w:start w:val="1"/>
      <w:numFmt w:val="bullet"/>
      <w:lvlText w:val=""/>
      <w:lvlJc w:val="left"/>
      <w:pPr>
        <w:ind w:left="2368" w:hanging="360"/>
      </w:pPr>
      <w:rPr>
        <w:rFonts w:ascii="Wingdings" w:hAnsi="Wingdings" w:hint="default"/>
      </w:rPr>
    </w:lvl>
    <w:lvl w:ilvl="3" w:tplc="11B233B0">
      <w:start w:val="1"/>
      <w:numFmt w:val="bullet"/>
      <w:lvlText w:val=""/>
      <w:lvlJc w:val="left"/>
      <w:pPr>
        <w:ind w:left="3088" w:hanging="360"/>
      </w:pPr>
      <w:rPr>
        <w:rFonts w:ascii="Symbol" w:hAnsi="Symbol" w:hint="default"/>
      </w:rPr>
    </w:lvl>
    <w:lvl w:ilvl="4" w:tplc="771C09B4">
      <w:start w:val="1"/>
      <w:numFmt w:val="bullet"/>
      <w:lvlText w:val="o"/>
      <w:lvlJc w:val="left"/>
      <w:pPr>
        <w:ind w:left="3808" w:hanging="360"/>
      </w:pPr>
      <w:rPr>
        <w:rFonts w:ascii="Courier New" w:hAnsi="Courier New" w:hint="default"/>
      </w:rPr>
    </w:lvl>
    <w:lvl w:ilvl="5" w:tplc="8C2AB7EE">
      <w:start w:val="1"/>
      <w:numFmt w:val="bullet"/>
      <w:lvlText w:val=""/>
      <w:lvlJc w:val="left"/>
      <w:pPr>
        <w:ind w:left="4528" w:hanging="360"/>
      </w:pPr>
      <w:rPr>
        <w:rFonts w:ascii="Wingdings" w:hAnsi="Wingdings" w:hint="default"/>
      </w:rPr>
    </w:lvl>
    <w:lvl w:ilvl="6" w:tplc="D334E7DE">
      <w:start w:val="1"/>
      <w:numFmt w:val="bullet"/>
      <w:lvlText w:val=""/>
      <w:lvlJc w:val="left"/>
      <w:pPr>
        <w:ind w:left="5248" w:hanging="360"/>
      </w:pPr>
      <w:rPr>
        <w:rFonts w:ascii="Symbol" w:hAnsi="Symbol" w:hint="default"/>
      </w:rPr>
    </w:lvl>
    <w:lvl w:ilvl="7" w:tplc="EE92209C">
      <w:start w:val="1"/>
      <w:numFmt w:val="bullet"/>
      <w:lvlText w:val="o"/>
      <w:lvlJc w:val="left"/>
      <w:pPr>
        <w:ind w:left="5968" w:hanging="360"/>
      </w:pPr>
      <w:rPr>
        <w:rFonts w:ascii="Courier New" w:hAnsi="Courier New" w:hint="default"/>
      </w:rPr>
    </w:lvl>
    <w:lvl w:ilvl="8" w:tplc="455435B2">
      <w:start w:val="1"/>
      <w:numFmt w:val="bullet"/>
      <w:lvlText w:val=""/>
      <w:lvlJc w:val="left"/>
      <w:pPr>
        <w:ind w:left="6688" w:hanging="360"/>
      </w:pPr>
      <w:rPr>
        <w:rFonts w:ascii="Wingdings" w:hAnsi="Wingdings" w:hint="default"/>
      </w:rPr>
    </w:lvl>
  </w:abstractNum>
  <w:abstractNum w:abstractNumId="169" w15:restartNumberingAfterBreak="0">
    <w:nsid w:val="509D708B"/>
    <w:multiLevelType w:val="hybridMultilevel"/>
    <w:tmpl w:val="C0CA9BD8"/>
    <w:lvl w:ilvl="0" w:tplc="4906E6A8">
      <w:start w:val="1"/>
      <w:numFmt w:val="bullet"/>
      <w:lvlText w:val="·"/>
      <w:lvlJc w:val="left"/>
      <w:pPr>
        <w:ind w:left="720" w:hanging="360"/>
      </w:pPr>
      <w:rPr>
        <w:rFonts w:ascii="Symbol" w:hAnsi="Symbol" w:hint="default"/>
      </w:rPr>
    </w:lvl>
    <w:lvl w:ilvl="1" w:tplc="3654B4DC">
      <w:start w:val="1"/>
      <w:numFmt w:val="bullet"/>
      <w:lvlText w:val="o"/>
      <w:lvlJc w:val="left"/>
      <w:pPr>
        <w:ind w:left="1440" w:hanging="360"/>
      </w:pPr>
      <w:rPr>
        <w:rFonts w:ascii="Courier New" w:hAnsi="Courier New" w:hint="default"/>
      </w:rPr>
    </w:lvl>
    <w:lvl w:ilvl="2" w:tplc="EC54D154">
      <w:start w:val="1"/>
      <w:numFmt w:val="bullet"/>
      <w:lvlText w:val=""/>
      <w:lvlJc w:val="left"/>
      <w:pPr>
        <w:ind w:left="2160" w:hanging="360"/>
      </w:pPr>
      <w:rPr>
        <w:rFonts w:ascii="Wingdings" w:hAnsi="Wingdings" w:hint="default"/>
      </w:rPr>
    </w:lvl>
    <w:lvl w:ilvl="3" w:tplc="1F0ECB2A">
      <w:start w:val="1"/>
      <w:numFmt w:val="bullet"/>
      <w:lvlText w:val=""/>
      <w:lvlJc w:val="left"/>
      <w:pPr>
        <w:ind w:left="2880" w:hanging="360"/>
      </w:pPr>
      <w:rPr>
        <w:rFonts w:ascii="Symbol" w:hAnsi="Symbol" w:hint="default"/>
      </w:rPr>
    </w:lvl>
    <w:lvl w:ilvl="4" w:tplc="C736FA2C">
      <w:start w:val="1"/>
      <w:numFmt w:val="bullet"/>
      <w:lvlText w:val="o"/>
      <w:lvlJc w:val="left"/>
      <w:pPr>
        <w:ind w:left="3600" w:hanging="360"/>
      </w:pPr>
      <w:rPr>
        <w:rFonts w:ascii="Courier New" w:hAnsi="Courier New" w:hint="default"/>
      </w:rPr>
    </w:lvl>
    <w:lvl w:ilvl="5" w:tplc="1456AE70">
      <w:start w:val="1"/>
      <w:numFmt w:val="bullet"/>
      <w:lvlText w:val=""/>
      <w:lvlJc w:val="left"/>
      <w:pPr>
        <w:ind w:left="4320" w:hanging="360"/>
      </w:pPr>
      <w:rPr>
        <w:rFonts w:ascii="Wingdings" w:hAnsi="Wingdings" w:hint="default"/>
      </w:rPr>
    </w:lvl>
    <w:lvl w:ilvl="6" w:tplc="93083C48">
      <w:start w:val="1"/>
      <w:numFmt w:val="bullet"/>
      <w:lvlText w:val=""/>
      <w:lvlJc w:val="left"/>
      <w:pPr>
        <w:ind w:left="5040" w:hanging="360"/>
      </w:pPr>
      <w:rPr>
        <w:rFonts w:ascii="Symbol" w:hAnsi="Symbol" w:hint="default"/>
      </w:rPr>
    </w:lvl>
    <w:lvl w:ilvl="7" w:tplc="0F0CC556">
      <w:start w:val="1"/>
      <w:numFmt w:val="bullet"/>
      <w:lvlText w:val="o"/>
      <w:lvlJc w:val="left"/>
      <w:pPr>
        <w:ind w:left="5760" w:hanging="360"/>
      </w:pPr>
      <w:rPr>
        <w:rFonts w:ascii="Courier New" w:hAnsi="Courier New" w:hint="default"/>
      </w:rPr>
    </w:lvl>
    <w:lvl w:ilvl="8" w:tplc="16484020">
      <w:start w:val="1"/>
      <w:numFmt w:val="bullet"/>
      <w:lvlText w:val=""/>
      <w:lvlJc w:val="left"/>
      <w:pPr>
        <w:ind w:left="6480" w:hanging="360"/>
      </w:pPr>
      <w:rPr>
        <w:rFonts w:ascii="Wingdings" w:hAnsi="Wingdings" w:hint="default"/>
      </w:rPr>
    </w:lvl>
  </w:abstractNum>
  <w:abstractNum w:abstractNumId="170" w15:restartNumberingAfterBreak="0">
    <w:nsid w:val="50D96E1A"/>
    <w:multiLevelType w:val="hybridMultilevel"/>
    <w:tmpl w:val="41BAD386"/>
    <w:lvl w:ilvl="0" w:tplc="500E937C">
      <w:start w:val="1"/>
      <w:numFmt w:val="decimal"/>
      <w:lvlText w:val="%1."/>
      <w:lvlJc w:val="left"/>
      <w:pPr>
        <w:ind w:left="720" w:hanging="360"/>
      </w:pPr>
    </w:lvl>
    <w:lvl w:ilvl="1" w:tplc="A35ED036">
      <w:start w:val="1"/>
      <w:numFmt w:val="lowerLetter"/>
      <w:lvlText w:val="%2."/>
      <w:lvlJc w:val="left"/>
      <w:pPr>
        <w:ind w:left="1440" w:hanging="360"/>
      </w:pPr>
    </w:lvl>
    <w:lvl w:ilvl="2" w:tplc="3498FE5E">
      <w:start w:val="1"/>
      <w:numFmt w:val="lowerRoman"/>
      <w:lvlText w:val="%3."/>
      <w:lvlJc w:val="right"/>
      <w:pPr>
        <w:ind w:left="2160" w:hanging="180"/>
      </w:pPr>
    </w:lvl>
    <w:lvl w:ilvl="3" w:tplc="E0388900">
      <w:start w:val="1"/>
      <w:numFmt w:val="decimal"/>
      <w:lvlText w:val="%4."/>
      <w:lvlJc w:val="left"/>
      <w:pPr>
        <w:ind w:left="2880" w:hanging="360"/>
      </w:pPr>
    </w:lvl>
    <w:lvl w:ilvl="4" w:tplc="3C22608A">
      <w:start w:val="1"/>
      <w:numFmt w:val="lowerLetter"/>
      <w:lvlText w:val="%5."/>
      <w:lvlJc w:val="left"/>
      <w:pPr>
        <w:ind w:left="3600" w:hanging="360"/>
      </w:pPr>
    </w:lvl>
    <w:lvl w:ilvl="5" w:tplc="2BE42672">
      <w:start w:val="1"/>
      <w:numFmt w:val="lowerRoman"/>
      <w:lvlText w:val="%6."/>
      <w:lvlJc w:val="right"/>
      <w:pPr>
        <w:ind w:left="4320" w:hanging="180"/>
      </w:pPr>
    </w:lvl>
    <w:lvl w:ilvl="6" w:tplc="3F26F00E">
      <w:start w:val="1"/>
      <w:numFmt w:val="decimal"/>
      <w:lvlText w:val="%7."/>
      <w:lvlJc w:val="left"/>
      <w:pPr>
        <w:ind w:left="5040" w:hanging="360"/>
      </w:pPr>
    </w:lvl>
    <w:lvl w:ilvl="7" w:tplc="FE5A5A2E">
      <w:start w:val="1"/>
      <w:numFmt w:val="lowerLetter"/>
      <w:lvlText w:val="%8."/>
      <w:lvlJc w:val="left"/>
      <w:pPr>
        <w:ind w:left="5760" w:hanging="360"/>
      </w:pPr>
    </w:lvl>
    <w:lvl w:ilvl="8" w:tplc="24C85DCE">
      <w:start w:val="1"/>
      <w:numFmt w:val="lowerRoman"/>
      <w:lvlText w:val="%9."/>
      <w:lvlJc w:val="right"/>
      <w:pPr>
        <w:ind w:left="6480" w:hanging="180"/>
      </w:pPr>
    </w:lvl>
  </w:abstractNum>
  <w:abstractNum w:abstractNumId="171" w15:restartNumberingAfterBreak="0">
    <w:nsid w:val="520F5A09"/>
    <w:multiLevelType w:val="hybridMultilevel"/>
    <w:tmpl w:val="C6C6246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2" w15:restartNumberingAfterBreak="0">
    <w:nsid w:val="52874D0D"/>
    <w:multiLevelType w:val="hybridMultilevel"/>
    <w:tmpl w:val="880CC0EA"/>
    <w:lvl w:ilvl="0" w:tplc="754EA27C">
      <w:start w:val="1"/>
      <w:numFmt w:val="bullet"/>
      <w:lvlText w:val="·"/>
      <w:lvlJc w:val="left"/>
      <w:pPr>
        <w:ind w:left="720" w:hanging="360"/>
      </w:pPr>
      <w:rPr>
        <w:rFonts w:ascii="Arial, sans-serif" w:hAnsi="Arial, sans-serif" w:hint="default"/>
      </w:rPr>
    </w:lvl>
    <w:lvl w:ilvl="1" w:tplc="04B4D4A2">
      <w:start w:val="1"/>
      <w:numFmt w:val="bullet"/>
      <w:lvlText w:val="o"/>
      <w:lvlJc w:val="left"/>
      <w:pPr>
        <w:ind w:left="1440" w:hanging="360"/>
      </w:pPr>
      <w:rPr>
        <w:rFonts w:ascii="Courier New" w:hAnsi="Courier New" w:hint="default"/>
      </w:rPr>
    </w:lvl>
    <w:lvl w:ilvl="2" w:tplc="05F4A036">
      <w:start w:val="1"/>
      <w:numFmt w:val="bullet"/>
      <w:lvlText w:val=""/>
      <w:lvlJc w:val="left"/>
      <w:pPr>
        <w:ind w:left="2160" w:hanging="360"/>
      </w:pPr>
      <w:rPr>
        <w:rFonts w:ascii="Wingdings" w:hAnsi="Wingdings" w:hint="default"/>
      </w:rPr>
    </w:lvl>
    <w:lvl w:ilvl="3" w:tplc="AA8A241A">
      <w:start w:val="1"/>
      <w:numFmt w:val="bullet"/>
      <w:lvlText w:val=""/>
      <w:lvlJc w:val="left"/>
      <w:pPr>
        <w:ind w:left="2880" w:hanging="360"/>
      </w:pPr>
      <w:rPr>
        <w:rFonts w:ascii="Symbol" w:hAnsi="Symbol" w:hint="default"/>
      </w:rPr>
    </w:lvl>
    <w:lvl w:ilvl="4" w:tplc="55BA42E2">
      <w:start w:val="1"/>
      <w:numFmt w:val="bullet"/>
      <w:lvlText w:val="o"/>
      <w:lvlJc w:val="left"/>
      <w:pPr>
        <w:ind w:left="3600" w:hanging="360"/>
      </w:pPr>
      <w:rPr>
        <w:rFonts w:ascii="Courier New" w:hAnsi="Courier New" w:hint="default"/>
      </w:rPr>
    </w:lvl>
    <w:lvl w:ilvl="5" w:tplc="27DA2EF0">
      <w:start w:val="1"/>
      <w:numFmt w:val="bullet"/>
      <w:lvlText w:val=""/>
      <w:lvlJc w:val="left"/>
      <w:pPr>
        <w:ind w:left="4320" w:hanging="360"/>
      </w:pPr>
      <w:rPr>
        <w:rFonts w:ascii="Wingdings" w:hAnsi="Wingdings" w:hint="default"/>
      </w:rPr>
    </w:lvl>
    <w:lvl w:ilvl="6" w:tplc="0ADE6280">
      <w:start w:val="1"/>
      <w:numFmt w:val="bullet"/>
      <w:lvlText w:val=""/>
      <w:lvlJc w:val="left"/>
      <w:pPr>
        <w:ind w:left="5040" w:hanging="360"/>
      </w:pPr>
      <w:rPr>
        <w:rFonts w:ascii="Symbol" w:hAnsi="Symbol" w:hint="default"/>
      </w:rPr>
    </w:lvl>
    <w:lvl w:ilvl="7" w:tplc="4D58B7B2">
      <w:start w:val="1"/>
      <w:numFmt w:val="bullet"/>
      <w:lvlText w:val="o"/>
      <w:lvlJc w:val="left"/>
      <w:pPr>
        <w:ind w:left="5760" w:hanging="360"/>
      </w:pPr>
      <w:rPr>
        <w:rFonts w:ascii="Courier New" w:hAnsi="Courier New" w:hint="default"/>
      </w:rPr>
    </w:lvl>
    <w:lvl w:ilvl="8" w:tplc="A5AC3E78">
      <w:start w:val="1"/>
      <w:numFmt w:val="bullet"/>
      <w:lvlText w:val=""/>
      <w:lvlJc w:val="left"/>
      <w:pPr>
        <w:ind w:left="6480" w:hanging="360"/>
      </w:pPr>
      <w:rPr>
        <w:rFonts w:ascii="Wingdings" w:hAnsi="Wingdings" w:hint="default"/>
      </w:rPr>
    </w:lvl>
  </w:abstractNum>
  <w:abstractNum w:abstractNumId="173" w15:restartNumberingAfterBreak="0">
    <w:nsid w:val="52B51F22"/>
    <w:multiLevelType w:val="hybridMultilevel"/>
    <w:tmpl w:val="025E26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4" w15:restartNumberingAfterBreak="0">
    <w:nsid w:val="53A34CAF"/>
    <w:multiLevelType w:val="hybridMultilevel"/>
    <w:tmpl w:val="58923246"/>
    <w:lvl w:ilvl="0" w:tplc="F628DFF4">
      <w:start w:val="1"/>
      <w:numFmt w:val="bullet"/>
      <w:lvlText w:val=""/>
      <w:lvlJc w:val="left"/>
      <w:pPr>
        <w:ind w:left="720" w:hanging="360"/>
      </w:pPr>
      <w:rPr>
        <w:rFonts w:ascii="Symbol" w:hAnsi="Symbol" w:hint="default"/>
      </w:rPr>
    </w:lvl>
    <w:lvl w:ilvl="1" w:tplc="0FA6A566">
      <w:start w:val="1"/>
      <w:numFmt w:val="bullet"/>
      <w:lvlText w:val="o"/>
      <w:lvlJc w:val="left"/>
      <w:pPr>
        <w:ind w:left="1440" w:hanging="360"/>
      </w:pPr>
      <w:rPr>
        <w:rFonts w:ascii="Courier New" w:hAnsi="Courier New" w:hint="default"/>
      </w:rPr>
    </w:lvl>
    <w:lvl w:ilvl="2" w:tplc="ABC8C326">
      <w:start w:val="1"/>
      <w:numFmt w:val="bullet"/>
      <w:lvlText w:val=""/>
      <w:lvlJc w:val="left"/>
      <w:pPr>
        <w:ind w:left="2160" w:hanging="360"/>
      </w:pPr>
      <w:rPr>
        <w:rFonts w:ascii="Wingdings" w:hAnsi="Wingdings" w:hint="default"/>
      </w:rPr>
    </w:lvl>
    <w:lvl w:ilvl="3" w:tplc="22B27B16">
      <w:start w:val="1"/>
      <w:numFmt w:val="bullet"/>
      <w:lvlText w:val=""/>
      <w:lvlJc w:val="left"/>
      <w:pPr>
        <w:ind w:left="2880" w:hanging="360"/>
      </w:pPr>
      <w:rPr>
        <w:rFonts w:ascii="Symbol" w:hAnsi="Symbol" w:hint="default"/>
      </w:rPr>
    </w:lvl>
    <w:lvl w:ilvl="4" w:tplc="79CCF3E0">
      <w:start w:val="1"/>
      <w:numFmt w:val="bullet"/>
      <w:lvlText w:val="o"/>
      <w:lvlJc w:val="left"/>
      <w:pPr>
        <w:ind w:left="3600" w:hanging="360"/>
      </w:pPr>
      <w:rPr>
        <w:rFonts w:ascii="Courier New" w:hAnsi="Courier New" w:hint="default"/>
      </w:rPr>
    </w:lvl>
    <w:lvl w:ilvl="5" w:tplc="9FE6D48E">
      <w:start w:val="1"/>
      <w:numFmt w:val="bullet"/>
      <w:lvlText w:val=""/>
      <w:lvlJc w:val="left"/>
      <w:pPr>
        <w:ind w:left="4320" w:hanging="360"/>
      </w:pPr>
      <w:rPr>
        <w:rFonts w:ascii="Wingdings" w:hAnsi="Wingdings" w:hint="default"/>
      </w:rPr>
    </w:lvl>
    <w:lvl w:ilvl="6" w:tplc="D34A3EC8">
      <w:start w:val="1"/>
      <w:numFmt w:val="bullet"/>
      <w:lvlText w:val=""/>
      <w:lvlJc w:val="left"/>
      <w:pPr>
        <w:ind w:left="5040" w:hanging="360"/>
      </w:pPr>
      <w:rPr>
        <w:rFonts w:ascii="Symbol" w:hAnsi="Symbol" w:hint="default"/>
      </w:rPr>
    </w:lvl>
    <w:lvl w:ilvl="7" w:tplc="0418616C">
      <w:start w:val="1"/>
      <w:numFmt w:val="bullet"/>
      <w:lvlText w:val="o"/>
      <w:lvlJc w:val="left"/>
      <w:pPr>
        <w:ind w:left="5760" w:hanging="360"/>
      </w:pPr>
      <w:rPr>
        <w:rFonts w:ascii="Courier New" w:hAnsi="Courier New" w:hint="default"/>
      </w:rPr>
    </w:lvl>
    <w:lvl w:ilvl="8" w:tplc="075E068A">
      <w:start w:val="1"/>
      <w:numFmt w:val="bullet"/>
      <w:lvlText w:val=""/>
      <w:lvlJc w:val="left"/>
      <w:pPr>
        <w:ind w:left="6480" w:hanging="360"/>
      </w:pPr>
      <w:rPr>
        <w:rFonts w:ascii="Wingdings" w:hAnsi="Wingdings" w:hint="default"/>
      </w:rPr>
    </w:lvl>
  </w:abstractNum>
  <w:abstractNum w:abstractNumId="175" w15:restartNumberingAfterBreak="0">
    <w:nsid w:val="549A531F"/>
    <w:multiLevelType w:val="hybridMultilevel"/>
    <w:tmpl w:val="7DDAA446"/>
    <w:lvl w:ilvl="0" w:tplc="240A0001">
      <w:start w:val="1"/>
      <w:numFmt w:val="bullet"/>
      <w:lvlText w:val=""/>
      <w:lvlJc w:val="left"/>
      <w:pPr>
        <w:ind w:left="927" w:hanging="360"/>
      </w:pPr>
      <w:rPr>
        <w:rFonts w:ascii="Symbol" w:hAnsi="Symbol" w:hint="default"/>
      </w:rPr>
    </w:lvl>
    <w:lvl w:ilvl="1" w:tplc="F5426E30">
      <w:start w:val="1"/>
      <w:numFmt w:val="bullet"/>
      <w:lvlText w:val="o"/>
      <w:lvlJc w:val="left"/>
      <w:pPr>
        <w:ind w:left="1647" w:hanging="360"/>
      </w:pPr>
      <w:rPr>
        <w:rFonts w:ascii="Courier New" w:hAnsi="Courier New" w:hint="default"/>
      </w:rPr>
    </w:lvl>
    <w:lvl w:ilvl="2" w:tplc="BCD00CA4">
      <w:start w:val="1"/>
      <w:numFmt w:val="bullet"/>
      <w:lvlText w:val=""/>
      <w:lvlJc w:val="left"/>
      <w:pPr>
        <w:ind w:left="2367" w:hanging="360"/>
      </w:pPr>
      <w:rPr>
        <w:rFonts w:ascii="Wingdings" w:hAnsi="Wingdings" w:hint="default"/>
      </w:rPr>
    </w:lvl>
    <w:lvl w:ilvl="3" w:tplc="493AB9E4">
      <w:start w:val="1"/>
      <w:numFmt w:val="bullet"/>
      <w:lvlText w:val=""/>
      <w:lvlJc w:val="left"/>
      <w:pPr>
        <w:ind w:left="3087" w:hanging="360"/>
      </w:pPr>
      <w:rPr>
        <w:rFonts w:ascii="Symbol" w:hAnsi="Symbol" w:hint="default"/>
      </w:rPr>
    </w:lvl>
    <w:lvl w:ilvl="4" w:tplc="D60C0136">
      <w:start w:val="1"/>
      <w:numFmt w:val="bullet"/>
      <w:lvlText w:val="o"/>
      <w:lvlJc w:val="left"/>
      <w:pPr>
        <w:ind w:left="3807" w:hanging="360"/>
      </w:pPr>
      <w:rPr>
        <w:rFonts w:ascii="Courier New" w:hAnsi="Courier New" w:hint="default"/>
      </w:rPr>
    </w:lvl>
    <w:lvl w:ilvl="5" w:tplc="F0BAC182">
      <w:start w:val="1"/>
      <w:numFmt w:val="bullet"/>
      <w:lvlText w:val=""/>
      <w:lvlJc w:val="left"/>
      <w:pPr>
        <w:ind w:left="4527" w:hanging="360"/>
      </w:pPr>
      <w:rPr>
        <w:rFonts w:ascii="Wingdings" w:hAnsi="Wingdings" w:hint="default"/>
      </w:rPr>
    </w:lvl>
    <w:lvl w:ilvl="6" w:tplc="4F70083A">
      <w:start w:val="1"/>
      <w:numFmt w:val="bullet"/>
      <w:lvlText w:val=""/>
      <w:lvlJc w:val="left"/>
      <w:pPr>
        <w:ind w:left="5247" w:hanging="360"/>
      </w:pPr>
      <w:rPr>
        <w:rFonts w:ascii="Symbol" w:hAnsi="Symbol" w:hint="default"/>
      </w:rPr>
    </w:lvl>
    <w:lvl w:ilvl="7" w:tplc="11E6F38E">
      <w:start w:val="1"/>
      <w:numFmt w:val="bullet"/>
      <w:lvlText w:val="o"/>
      <w:lvlJc w:val="left"/>
      <w:pPr>
        <w:ind w:left="5967" w:hanging="360"/>
      </w:pPr>
      <w:rPr>
        <w:rFonts w:ascii="Courier New" w:hAnsi="Courier New" w:hint="default"/>
      </w:rPr>
    </w:lvl>
    <w:lvl w:ilvl="8" w:tplc="174AC554">
      <w:start w:val="1"/>
      <w:numFmt w:val="bullet"/>
      <w:lvlText w:val=""/>
      <w:lvlJc w:val="left"/>
      <w:pPr>
        <w:ind w:left="6687" w:hanging="360"/>
      </w:pPr>
      <w:rPr>
        <w:rFonts w:ascii="Wingdings" w:hAnsi="Wingdings" w:hint="default"/>
      </w:rPr>
    </w:lvl>
  </w:abstractNum>
  <w:abstractNum w:abstractNumId="176" w15:restartNumberingAfterBreak="0">
    <w:nsid w:val="549E7599"/>
    <w:multiLevelType w:val="hybridMultilevel"/>
    <w:tmpl w:val="89B0A3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7" w15:restartNumberingAfterBreak="0">
    <w:nsid w:val="55875ED7"/>
    <w:multiLevelType w:val="hybridMultilevel"/>
    <w:tmpl w:val="49C2FEEE"/>
    <w:lvl w:ilvl="0" w:tplc="24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78" w15:restartNumberingAfterBreak="0">
    <w:nsid w:val="55C93E7D"/>
    <w:multiLevelType w:val="hybridMultilevel"/>
    <w:tmpl w:val="061CBEB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9" w15:restartNumberingAfterBreak="0">
    <w:nsid w:val="55DB79ED"/>
    <w:multiLevelType w:val="multilevel"/>
    <w:tmpl w:val="787487E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0" w15:restartNumberingAfterBreak="0">
    <w:nsid w:val="561A736A"/>
    <w:multiLevelType w:val="hybridMultilevel"/>
    <w:tmpl w:val="F68E55D8"/>
    <w:lvl w:ilvl="0" w:tplc="D54ED144">
      <w:start w:val="1"/>
      <w:numFmt w:val="bullet"/>
      <w:lvlText w:val="-"/>
      <w:lvlJc w:val="left"/>
      <w:pPr>
        <w:ind w:left="720" w:hanging="360"/>
      </w:pPr>
      <w:rPr>
        <w:rFonts w:ascii="Arial, sans-serif" w:hAnsi="Arial, sans-serif" w:hint="default"/>
      </w:rPr>
    </w:lvl>
    <w:lvl w:ilvl="1" w:tplc="D396991A">
      <w:start w:val="1"/>
      <w:numFmt w:val="bullet"/>
      <w:lvlText w:val="o"/>
      <w:lvlJc w:val="left"/>
      <w:pPr>
        <w:ind w:left="1440" w:hanging="360"/>
      </w:pPr>
      <w:rPr>
        <w:rFonts w:ascii="Courier New" w:hAnsi="Courier New" w:hint="default"/>
      </w:rPr>
    </w:lvl>
    <w:lvl w:ilvl="2" w:tplc="FE022A9C">
      <w:start w:val="1"/>
      <w:numFmt w:val="bullet"/>
      <w:lvlText w:val=""/>
      <w:lvlJc w:val="left"/>
      <w:pPr>
        <w:ind w:left="2160" w:hanging="360"/>
      </w:pPr>
      <w:rPr>
        <w:rFonts w:ascii="Wingdings" w:hAnsi="Wingdings" w:hint="default"/>
      </w:rPr>
    </w:lvl>
    <w:lvl w:ilvl="3" w:tplc="E5C8CA44">
      <w:start w:val="1"/>
      <w:numFmt w:val="bullet"/>
      <w:lvlText w:val=""/>
      <w:lvlJc w:val="left"/>
      <w:pPr>
        <w:ind w:left="2880" w:hanging="360"/>
      </w:pPr>
      <w:rPr>
        <w:rFonts w:ascii="Symbol" w:hAnsi="Symbol" w:hint="default"/>
      </w:rPr>
    </w:lvl>
    <w:lvl w:ilvl="4" w:tplc="1082B1C0">
      <w:start w:val="1"/>
      <w:numFmt w:val="bullet"/>
      <w:lvlText w:val="o"/>
      <w:lvlJc w:val="left"/>
      <w:pPr>
        <w:ind w:left="3600" w:hanging="360"/>
      </w:pPr>
      <w:rPr>
        <w:rFonts w:ascii="Courier New" w:hAnsi="Courier New" w:hint="default"/>
      </w:rPr>
    </w:lvl>
    <w:lvl w:ilvl="5" w:tplc="AF888740">
      <w:start w:val="1"/>
      <w:numFmt w:val="bullet"/>
      <w:lvlText w:val=""/>
      <w:lvlJc w:val="left"/>
      <w:pPr>
        <w:ind w:left="4320" w:hanging="360"/>
      </w:pPr>
      <w:rPr>
        <w:rFonts w:ascii="Wingdings" w:hAnsi="Wingdings" w:hint="default"/>
      </w:rPr>
    </w:lvl>
    <w:lvl w:ilvl="6" w:tplc="4CF601E2">
      <w:start w:val="1"/>
      <w:numFmt w:val="bullet"/>
      <w:lvlText w:val=""/>
      <w:lvlJc w:val="left"/>
      <w:pPr>
        <w:ind w:left="5040" w:hanging="360"/>
      </w:pPr>
      <w:rPr>
        <w:rFonts w:ascii="Symbol" w:hAnsi="Symbol" w:hint="default"/>
      </w:rPr>
    </w:lvl>
    <w:lvl w:ilvl="7" w:tplc="7540A470">
      <w:start w:val="1"/>
      <w:numFmt w:val="bullet"/>
      <w:lvlText w:val="o"/>
      <w:lvlJc w:val="left"/>
      <w:pPr>
        <w:ind w:left="5760" w:hanging="360"/>
      </w:pPr>
      <w:rPr>
        <w:rFonts w:ascii="Courier New" w:hAnsi="Courier New" w:hint="default"/>
      </w:rPr>
    </w:lvl>
    <w:lvl w:ilvl="8" w:tplc="D4D0C9C6">
      <w:start w:val="1"/>
      <w:numFmt w:val="bullet"/>
      <w:lvlText w:val=""/>
      <w:lvlJc w:val="left"/>
      <w:pPr>
        <w:ind w:left="6480" w:hanging="360"/>
      </w:pPr>
      <w:rPr>
        <w:rFonts w:ascii="Wingdings" w:hAnsi="Wingdings" w:hint="default"/>
      </w:rPr>
    </w:lvl>
  </w:abstractNum>
  <w:abstractNum w:abstractNumId="181" w15:restartNumberingAfterBreak="0">
    <w:nsid w:val="566535DC"/>
    <w:multiLevelType w:val="hybridMultilevel"/>
    <w:tmpl w:val="12B29170"/>
    <w:lvl w:ilvl="0" w:tplc="2EDE54F4">
      <w:start w:val="1"/>
      <w:numFmt w:val="bullet"/>
      <w:lvlText w:val=""/>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2" w15:restartNumberingAfterBreak="0">
    <w:nsid w:val="568D1533"/>
    <w:multiLevelType w:val="hybridMultilevel"/>
    <w:tmpl w:val="04EAEF1A"/>
    <w:lvl w:ilvl="0" w:tplc="24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3" w15:restartNumberingAfterBreak="0">
    <w:nsid w:val="56902278"/>
    <w:multiLevelType w:val="hybridMultilevel"/>
    <w:tmpl w:val="3A02DE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4" w15:restartNumberingAfterBreak="0">
    <w:nsid w:val="56A5501A"/>
    <w:multiLevelType w:val="hybridMultilevel"/>
    <w:tmpl w:val="98BE43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5" w15:restartNumberingAfterBreak="0">
    <w:nsid w:val="56DD2C7D"/>
    <w:multiLevelType w:val="multilevel"/>
    <w:tmpl w:val="F398B574"/>
    <w:lvl w:ilvl="0">
      <w:start w:val="4"/>
      <w:numFmt w:val="decimal"/>
      <w:lvlText w:val="%1"/>
      <w:lvlJc w:val="left"/>
      <w:pPr>
        <w:ind w:left="840" w:hanging="840"/>
      </w:pPr>
      <w:rPr>
        <w:rFonts w:hint="default"/>
      </w:rPr>
    </w:lvl>
    <w:lvl w:ilvl="1">
      <w:start w:val="9"/>
      <w:numFmt w:val="decimal"/>
      <w:lvlText w:val="%1.%2"/>
      <w:lvlJc w:val="left"/>
      <w:pPr>
        <w:ind w:left="1138" w:hanging="840"/>
      </w:pPr>
      <w:rPr>
        <w:rFonts w:hint="default"/>
      </w:rPr>
    </w:lvl>
    <w:lvl w:ilvl="2">
      <w:start w:val="1"/>
      <w:numFmt w:val="decimal"/>
      <w:lvlText w:val="%1.%2.%3"/>
      <w:lvlJc w:val="left"/>
      <w:pPr>
        <w:ind w:left="1436" w:hanging="840"/>
      </w:pPr>
      <w:rPr>
        <w:rFonts w:hint="default"/>
      </w:rPr>
    </w:lvl>
    <w:lvl w:ilvl="3">
      <w:start w:val="2"/>
      <w:numFmt w:val="decimal"/>
      <w:lvlText w:val="%1.%2.%3.%4"/>
      <w:lvlJc w:val="left"/>
      <w:pPr>
        <w:ind w:left="1734" w:hanging="840"/>
      </w:pPr>
      <w:rPr>
        <w:rFonts w:hint="default"/>
      </w:rPr>
    </w:lvl>
    <w:lvl w:ilvl="4">
      <w:start w:val="1"/>
      <w:numFmt w:val="decimal"/>
      <w:lvlText w:val="%1.%2.%3.%4.%5"/>
      <w:lvlJc w:val="left"/>
      <w:pPr>
        <w:ind w:left="2272" w:hanging="1080"/>
      </w:pPr>
      <w:rPr>
        <w:rFonts w:hint="default"/>
      </w:rPr>
    </w:lvl>
    <w:lvl w:ilvl="5">
      <w:start w:val="1"/>
      <w:numFmt w:val="decimal"/>
      <w:lvlText w:val="%1.%2.%3.%4.%5.%6"/>
      <w:lvlJc w:val="left"/>
      <w:pPr>
        <w:ind w:left="2570" w:hanging="1080"/>
      </w:pPr>
      <w:rPr>
        <w:rFonts w:hint="default"/>
      </w:rPr>
    </w:lvl>
    <w:lvl w:ilvl="6">
      <w:start w:val="1"/>
      <w:numFmt w:val="decimal"/>
      <w:lvlText w:val="%1.%2.%3.%4.%5.%6.%7"/>
      <w:lvlJc w:val="left"/>
      <w:pPr>
        <w:ind w:left="3228" w:hanging="1440"/>
      </w:pPr>
      <w:rPr>
        <w:rFonts w:hint="default"/>
      </w:rPr>
    </w:lvl>
    <w:lvl w:ilvl="7">
      <w:start w:val="1"/>
      <w:numFmt w:val="decimal"/>
      <w:lvlText w:val="%1.%2.%3.%4.%5.%6.%7.%8"/>
      <w:lvlJc w:val="left"/>
      <w:pPr>
        <w:ind w:left="3526" w:hanging="1440"/>
      </w:pPr>
      <w:rPr>
        <w:rFonts w:hint="default"/>
      </w:rPr>
    </w:lvl>
    <w:lvl w:ilvl="8">
      <w:start w:val="1"/>
      <w:numFmt w:val="decimal"/>
      <w:lvlText w:val="%1.%2.%3.%4.%5.%6.%7.%8.%9"/>
      <w:lvlJc w:val="left"/>
      <w:pPr>
        <w:ind w:left="4184" w:hanging="1800"/>
      </w:pPr>
      <w:rPr>
        <w:rFonts w:hint="default"/>
      </w:rPr>
    </w:lvl>
  </w:abstractNum>
  <w:abstractNum w:abstractNumId="186" w15:restartNumberingAfterBreak="0">
    <w:nsid w:val="57215DD7"/>
    <w:multiLevelType w:val="hybridMultilevel"/>
    <w:tmpl w:val="FFFFFFFF"/>
    <w:lvl w:ilvl="0" w:tplc="B5923140">
      <w:start w:val="1"/>
      <w:numFmt w:val="bullet"/>
      <w:lvlText w:val="·"/>
      <w:lvlJc w:val="left"/>
      <w:pPr>
        <w:ind w:left="720" w:hanging="360"/>
      </w:pPr>
      <w:rPr>
        <w:rFonts w:ascii="Symbol" w:hAnsi="Symbol" w:hint="default"/>
      </w:rPr>
    </w:lvl>
    <w:lvl w:ilvl="1" w:tplc="DB9474BC">
      <w:start w:val="1"/>
      <w:numFmt w:val="bullet"/>
      <w:lvlText w:val="o"/>
      <w:lvlJc w:val="left"/>
      <w:pPr>
        <w:ind w:left="1440" w:hanging="360"/>
      </w:pPr>
      <w:rPr>
        <w:rFonts w:ascii="Courier New" w:hAnsi="Courier New" w:hint="default"/>
      </w:rPr>
    </w:lvl>
    <w:lvl w:ilvl="2" w:tplc="E4DEB002">
      <w:start w:val="1"/>
      <w:numFmt w:val="bullet"/>
      <w:lvlText w:val=""/>
      <w:lvlJc w:val="left"/>
      <w:pPr>
        <w:ind w:left="2160" w:hanging="360"/>
      </w:pPr>
      <w:rPr>
        <w:rFonts w:ascii="Wingdings" w:hAnsi="Wingdings" w:hint="default"/>
      </w:rPr>
    </w:lvl>
    <w:lvl w:ilvl="3" w:tplc="CE149326">
      <w:start w:val="1"/>
      <w:numFmt w:val="bullet"/>
      <w:lvlText w:val=""/>
      <w:lvlJc w:val="left"/>
      <w:pPr>
        <w:ind w:left="2880" w:hanging="360"/>
      </w:pPr>
      <w:rPr>
        <w:rFonts w:ascii="Symbol" w:hAnsi="Symbol" w:hint="default"/>
      </w:rPr>
    </w:lvl>
    <w:lvl w:ilvl="4" w:tplc="967C88BE">
      <w:start w:val="1"/>
      <w:numFmt w:val="bullet"/>
      <w:lvlText w:val="o"/>
      <w:lvlJc w:val="left"/>
      <w:pPr>
        <w:ind w:left="3600" w:hanging="360"/>
      </w:pPr>
      <w:rPr>
        <w:rFonts w:ascii="Courier New" w:hAnsi="Courier New" w:hint="default"/>
      </w:rPr>
    </w:lvl>
    <w:lvl w:ilvl="5" w:tplc="7FB2550E">
      <w:start w:val="1"/>
      <w:numFmt w:val="bullet"/>
      <w:lvlText w:val=""/>
      <w:lvlJc w:val="left"/>
      <w:pPr>
        <w:ind w:left="4320" w:hanging="360"/>
      </w:pPr>
      <w:rPr>
        <w:rFonts w:ascii="Wingdings" w:hAnsi="Wingdings" w:hint="default"/>
      </w:rPr>
    </w:lvl>
    <w:lvl w:ilvl="6" w:tplc="73D6626E">
      <w:start w:val="1"/>
      <w:numFmt w:val="bullet"/>
      <w:lvlText w:val=""/>
      <w:lvlJc w:val="left"/>
      <w:pPr>
        <w:ind w:left="5040" w:hanging="360"/>
      </w:pPr>
      <w:rPr>
        <w:rFonts w:ascii="Symbol" w:hAnsi="Symbol" w:hint="default"/>
      </w:rPr>
    </w:lvl>
    <w:lvl w:ilvl="7" w:tplc="794012B4">
      <w:start w:val="1"/>
      <w:numFmt w:val="bullet"/>
      <w:lvlText w:val="o"/>
      <w:lvlJc w:val="left"/>
      <w:pPr>
        <w:ind w:left="5760" w:hanging="360"/>
      </w:pPr>
      <w:rPr>
        <w:rFonts w:ascii="Courier New" w:hAnsi="Courier New" w:hint="default"/>
      </w:rPr>
    </w:lvl>
    <w:lvl w:ilvl="8" w:tplc="EB3AA69C">
      <w:start w:val="1"/>
      <w:numFmt w:val="bullet"/>
      <w:lvlText w:val=""/>
      <w:lvlJc w:val="left"/>
      <w:pPr>
        <w:ind w:left="6480" w:hanging="360"/>
      </w:pPr>
      <w:rPr>
        <w:rFonts w:ascii="Wingdings" w:hAnsi="Wingdings" w:hint="default"/>
      </w:rPr>
    </w:lvl>
  </w:abstractNum>
  <w:abstractNum w:abstractNumId="187" w15:restartNumberingAfterBreak="0">
    <w:nsid w:val="57B90A84"/>
    <w:multiLevelType w:val="hybridMultilevel"/>
    <w:tmpl w:val="2758AA94"/>
    <w:lvl w:ilvl="0" w:tplc="934E9292">
      <w:start w:val="1"/>
      <w:numFmt w:val="bullet"/>
      <w:lvlText w:val="·"/>
      <w:lvlJc w:val="left"/>
      <w:pPr>
        <w:ind w:left="720" w:hanging="360"/>
      </w:pPr>
      <w:rPr>
        <w:rFonts w:ascii="Symbol" w:hAnsi="Symbol" w:hint="default"/>
      </w:rPr>
    </w:lvl>
    <w:lvl w:ilvl="1" w:tplc="99365246">
      <w:start w:val="1"/>
      <w:numFmt w:val="bullet"/>
      <w:lvlText w:val="o"/>
      <w:lvlJc w:val="left"/>
      <w:pPr>
        <w:ind w:left="1440" w:hanging="360"/>
      </w:pPr>
      <w:rPr>
        <w:rFonts w:ascii="Courier New" w:hAnsi="Courier New" w:hint="default"/>
      </w:rPr>
    </w:lvl>
    <w:lvl w:ilvl="2" w:tplc="DFD22780">
      <w:start w:val="1"/>
      <w:numFmt w:val="bullet"/>
      <w:lvlText w:val=""/>
      <w:lvlJc w:val="left"/>
      <w:pPr>
        <w:ind w:left="2160" w:hanging="360"/>
      </w:pPr>
      <w:rPr>
        <w:rFonts w:ascii="Wingdings" w:hAnsi="Wingdings" w:hint="default"/>
      </w:rPr>
    </w:lvl>
    <w:lvl w:ilvl="3" w:tplc="D9264218">
      <w:start w:val="1"/>
      <w:numFmt w:val="bullet"/>
      <w:lvlText w:val=""/>
      <w:lvlJc w:val="left"/>
      <w:pPr>
        <w:ind w:left="2880" w:hanging="360"/>
      </w:pPr>
      <w:rPr>
        <w:rFonts w:ascii="Symbol" w:hAnsi="Symbol" w:hint="default"/>
      </w:rPr>
    </w:lvl>
    <w:lvl w:ilvl="4" w:tplc="F698F02E">
      <w:start w:val="1"/>
      <w:numFmt w:val="bullet"/>
      <w:lvlText w:val="o"/>
      <w:lvlJc w:val="left"/>
      <w:pPr>
        <w:ind w:left="3600" w:hanging="360"/>
      </w:pPr>
      <w:rPr>
        <w:rFonts w:ascii="Courier New" w:hAnsi="Courier New" w:hint="default"/>
      </w:rPr>
    </w:lvl>
    <w:lvl w:ilvl="5" w:tplc="C9F8C618">
      <w:start w:val="1"/>
      <w:numFmt w:val="bullet"/>
      <w:lvlText w:val=""/>
      <w:lvlJc w:val="left"/>
      <w:pPr>
        <w:ind w:left="4320" w:hanging="360"/>
      </w:pPr>
      <w:rPr>
        <w:rFonts w:ascii="Wingdings" w:hAnsi="Wingdings" w:hint="default"/>
      </w:rPr>
    </w:lvl>
    <w:lvl w:ilvl="6" w:tplc="3A24C22E">
      <w:start w:val="1"/>
      <w:numFmt w:val="bullet"/>
      <w:lvlText w:val=""/>
      <w:lvlJc w:val="left"/>
      <w:pPr>
        <w:ind w:left="5040" w:hanging="360"/>
      </w:pPr>
      <w:rPr>
        <w:rFonts w:ascii="Symbol" w:hAnsi="Symbol" w:hint="default"/>
      </w:rPr>
    </w:lvl>
    <w:lvl w:ilvl="7" w:tplc="E73EBAE0">
      <w:start w:val="1"/>
      <w:numFmt w:val="bullet"/>
      <w:lvlText w:val="o"/>
      <w:lvlJc w:val="left"/>
      <w:pPr>
        <w:ind w:left="5760" w:hanging="360"/>
      </w:pPr>
      <w:rPr>
        <w:rFonts w:ascii="Courier New" w:hAnsi="Courier New" w:hint="default"/>
      </w:rPr>
    </w:lvl>
    <w:lvl w:ilvl="8" w:tplc="B7B66A0A">
      <w:start w:val="1"/>
      <w:numFmt w:val="bullet"/>
      <w:lvlText w:val=""/>
      <w:lvlJc w:val="left"/>
      <w:pPr>
        <w:ind w:left="6480" w:hanging="360"/>
      </w:pPr>
      <w:rPr>
        <w:rFonts w:ascii="Wingdings" w:hAnsi="Wingdings" w:hint="default"/>
      </w:rPr>
    </w:lvl>
  </w:abstractNum>
  <w:abstractNum w:abstractNumId="188" w15:restartNumberingAfterBreak="0">
    <w:nsid w:val="57BC01FE"/>
    <w:multiLevelType w:val="hybridMultilevel"/>
    <w:tmpl w:val="3876976C"/>
    <w:lvl w:ilvl="0" w:tplc="A2984424">
      <w:start w:val="1"/>
      <w:numFmt w:val="bullet"/>
      <w:lvlText w:val="·"/>
      <w:lvlJc w:val="left"/>
      <w:pPr>
        <w:ind w:left="720" w:hanging="360"/>
      </w:pPr>
      <w:rPr>
        <w:rFonts w:ascii="Symbol" w:hAnsi="Symbol" w:hint="default"/>
      </w:rPr>
    </w:lvl>
    <w:lvl w:ilvl="1" w:tplc="A16635A8">
      <w:start w:val="1"/>
      <w:numFmt w:val="bullet"/>
      <w:lvlText w:val="o"/>
      <w:lvlJc w:val="left"/>
      <w:pPr>
        <w:ind w:left="1440" w:hanging="360"/>
      </w:pPr>
      <w:rPr>
        <w:rFonts w:ascii="&quot;Courier New&quot;" w:hAnsi="&quot;Courier New&quot;" w:hint="default"/>
      </w:rPr>
    </w:lvl>
    <w:lvl w:ilvl="2" w:tplc="C63CA01A">
      <w:start w:val="1"/>
      <w:numFmt w:val="bullet"/>
      <w:lvlText w:val=""/>
      <w:lvlJc w:val="left"/>
      <w:pPr>
        <w:ind w:left="2160" w:hanging="360"/>
      </w:pPr>
      <w:rPr>
        <w:rFonts w:ascii="Wingdings" w:hAnsi="Wingdings" w:hint="default"/>
      </w:rPr>
    </w:lvl>
    <w:lvl w:ilvl="3" w:tplc="8C6C8974">
      <w:start w:val="1"/>
      <w:numFmt w:val="bullet"/>
      <w:lvlText w:val=""/>
      <w:lvlJc w:val="left"/>
      <w:pPr>
        <w:ind w:left="2880" w:hanging="360"/>
      </w:pPr>
      <w:rPr>
        <w:rFonts w:ascii="Symbol" w:hAnsi="Symbol" w:hint="default"/>
      </w:rPr>
    </w:lvl>
    <w:lvl w:ilvl="4" w:tplc="CF50B390">
      <w:start w:val="1"/>
      <w:numFmt w:val="bullet"/>
      <w:lvlText w:val="o"/>
      <w:lvlJc w:val="left"/>
      <w:pPr>
        <w:ind w:left="3600" w:hanging="360"/>
      </w:pPr>
      <w:rPr>
        <w:rFonts w:ascii="Courier New" w:hAnsi="Courier New" w:hint="default"/>
      </w:rPr>
    </w:lvl>
    <w:lvl w:ilvl="5" w:tplc="3A0EBD1C">
      <w:start w:val="1"/>
      <w:numFmt w:val="bullet"/>
      <w:lvlText w:val=""/>
      <w:lvlJc w:val="left"/>
      <w:pPr>
        <w:ind w:left="4320" w:hanging="360"/>
      </w:pPr>
      <w:rPr>
        <w:rFonts w:ascii="Wingdings" w:hAnsi="Wingdings" w:hint="default"/>
      </w:rPr>
    </w:lvl>
    <w:lvl w:ilvl="6" w:tplc="62E0A202">
      <w:start w:val="1"/>
      <w:numFmt w:val="bullet"/>
      <w:lvlText w:val=""/>
      <w:lvlJc w:val="left"/>
      <w:pPr>
        <w:ind w:left="5040" w:hanging="360"/>
      </w:pPr>
      <w:rPr>
        <w:rFonts w:ascii="Symbol" w:hAnsi="Symbol" w:hint="default"/>
      </w:rPr>
    </w:lvl>
    <w:lvl w:ilvl="7" w:tplc="C77698E4">
      <w:start w:val="1"/>
      <w:numFmt w:val="bullet"/>
      <w:lvlText w:val="o"/>
      <w:lvlJc w:val="left"/>
      <w:pPr>
        <w:ind w:left="5760" w:hanging="360"/>
      </w:pPr>
      <w:rPr>
        <w:rFonts w:ascii="Courier New" w:hAnsi="Courier New" w:hint="default"/>
      </w:rPr>
    </w:lvl>
    <w:lvl w:ilvl="8" w:tplc="F0929F4C">
      <w:start w:val="1"/>
      <w:numFmt w:val="bullet"/>
      <w:lvlText w:val=""/>
      <w:lvlJc w:val="left"/>
      <w:pPr>
        <w:ind w:left="6480" w:hanging="360"/>
      </w:pPr>
      <w:rPr>
        <w:rFonts w:ascii="Wingdings" w:hAnsi="Wingdings" w:hint="default"/>
      </w:rPr>
    </w:lvl>
  </w:abstractNum>
  <w:abstractNum w:abstractNumId="189" w15:restartNumberingAfterBreak="0">
    <w:nsid w:val="57BC22A9"/>
    <w:multiLevelType w:val="hybridMultilevel"/>
    <w:tmpl w:val="952646F8"/>
    <w:lvl w:ilvl="0" w:tplc="C088C006">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C5968178">
      <w:start w:val="1"/>
      <w:numFmt w:val="bullet"/>
      <w:lvlText w:val=""/>
      <w:lvlJc w:val="left"/>
      <w:pPr>
        <w:ind w:left="2160" w:hanging="360"/>
      </w:pPr>
      <w:rPr>
        <w:rFonts w:ascii="Wingdings" w:hAnsi="Wingdings" w:hint="default"/>
      </w:rPr>
    </w:lvl>
    <w:lvl w:ilvl="3" w:tplc="462A1F7C">
      <w:start w:val="1"/>
      <w:numFmt w:val="bullet"/>
      <w:lvlText w:val=""/>
      <w:lvlJc w:val="left"/>
      <w:pPr>
        <w:ind w:left="2880" w:hanging="360"/>
      </w:pPr>
      <w:rPr>
        <w:rFonts w:ascii="Symbol" w:hAnsi="Symbol" w:hint="default"/>
      </w:rPr>
    </w:lvl>
    <w:lvl w:ilvl="4" w:tplc="3B4A1948">
      <w:start w:val="1"/>
      <w:numFmt w:val="bullet"/>
      <w:lvlText w:val="o"/>
      <w:lvlJc w:val="left"/>
      <w:pPr>
        <w:ind w:left="3600" w:hanging="360"/>
      </w:pPr>
      <w:rPr>
        <w:rFonts w:ascii="Courier New" w:hAnsi="Courier New" w:hint="default"/>
      </w:rPr>
    </w:lvl>
    <w:lvl w:ilvl="5" w:tplc="68BA4900">
      <w:start w:val="1"/>
      <w:numFmt w:val="bullet"/>
      <w:lvlText w:val=""/>
      <w:lvlJc w:val="left"/>
      <w:pPr>
        <w:ind w:left="4320" w:hanging="360"/>
      </w:pPr>
      <w:rPr>
        <w:rFonts w:ascii="Wingdings" w:hAnsi="Wingdings" w:hint="default"/>
      </w:rPr>
    </w:lvl>
    <w:lvl w:ilvl="6" w:tplc="F7A8A672">
      <w:start w:val="1"/>
      <w:numFmt w:val="bullet"/>
      <w:lvlText w:val=""/>
      <w:lvlJc w:val="left"/>
      <w:pPr>
        <w:ind w:left="5040" w:hanging="360"/>
      </w:pPr>
      <w:rPr>
        <w:rFonts w:ascii="Symbol" w:hAnsi="Symbol" w:hint="default"/>
      </w:rPr>
    </w:lvl>
    <w:lvl w:ilvl="7" w:tplc="F800B376">
      <w:start w:val="1"/>
      <w:numFmt w:val="bullet"/>
      <w:lvlText w:val="o"/>
      <w:lvlJc w:val="left"/>
      <w:pPr>
        <w:ind w:left="5760" w:hanging="360"/>
      </w:pPr>
      <w:rPr>
        <w:rFonts w:ascii="Courier New" w:hAnsi="Courier New" w:hint="default"/>
      </w:rPr>
    </w:lvl>
    <w:lvl w:ilvl="8" w:tplc="6A3029A8">
      <w:start w:val="1"/>
      <w:numFmt w:val="bullet"/>
      <w:lvlText w:val=""/>
      <w:lvlJc w:val="left"/>
      <w:pPr>
        <w:ind w:left="6480" w:hanging="360"/>
      </w:pPr>
      <w:rPr>
        <w:rFonts w:ascii="Wingdings" w:hAnsi="Wingdings" w:hint="default"/>
      </w:rPr>
    </w:lvl>
  </w:abstractNum>
  <w:abstractNum w:abstractNumId="190" w15:restartNumberingAfterBreak="0">
    <w:nsid w:val="58614933"/>
    <w:multiLevelType w:val="hybridMultilevel"/>
    <w:tmpl w:val="FFFFFFFF"/>
    <w:lvl w:ilvl="0" w:tplc="E3FE3DF8">
      <w:start w:val="1"/>
      <w:numFmt w:val="bullet"/>
      <w:lvlText w:val="·"/>
      <w:lvlJc w:val="left"/>
      <w:pPr>
        <w:ind w:left="720" w:hanging="360"/>
      </w:pPr>
      <w:rPr>
        <w:rFonts w:ascii="Symbol" w:hAnsi="Symbol" w:hint="default"/>
      </w:rPr>
    </w:lvl>
    <w:lvl w:ilvl="1" w:tplc="B51C9230">
      <w:start w:val="1"/>
      <w:numFmt w:val="bullet"/>
      <w:lvlText w:val="o"/>
      <w:lvlJc w:val="left"/>
      <w:pPr>
        <w:ind w:left="1440" w:hanging="360"/>
      </w:pPr>
      <w:rPr>
        <w:rFonts w:ascii="Courier New" w:hAnsi="Courier New" w:hint="default"/>
      </w:rPr>
    </w:lvl>
    <w:lvl w:ilvl="2" w:tplc="B91E2280">
      <w:start w:val="1"/>
      <w:numFmt w:val="bullet"/>
      <w:lvlText w:val=""/>
      <w:lvlJc w:val="left"/>
      <w:pPr>
        <w:ind w:left="2160" w:hanging="360"/>
      </w:pPr>
      <w:rPr>
        <w:rFonts w:ascii="Wingdings" w:hAnsi="Wingdings" w:hint="default"/>
      </w:rPr>
    </w:lvl>
    <w:lvl w:ilvl="3" w:tplc="0D106DD2">
      <w:start w:val="1"/>
      <w:numFmt w:val="bullet"/>
      <w:lvlText w:val=""/>
      <w:lvlJc w:val="left"/>
      <w:pPr>
        <w:ind w:left="2880" w:hanging="360"/>
      </w:pPr>
      <w:rPr>
        <w:rFonts w:ascii="Symbol" w:hAnsi="Symbol" w:hint="default"/>
      </w:rPr>
    </w:lvl>
    <w:lvl w:ilvl="4" w:tplc="8B04ADF2">
      <w:start w:val="1"/>
      <w:numFmt w:val="bullet"/>
      <w:lvlText w:val="o"/>
      <w:lvlJc w:val="left"/>
      <w:pPr>
        <w:ind w:left="3600" w:hanging="360"/>
      </w:pPr>
      <w:rPr>
        <w:rFonts w:ascii="Courier New" w:hAnsi="Courier New" w:hint="default"/>
      </w:rPr>
    </w:lvl>
    <w:lvl w:ilvl="5" w:tplc="9FD8994A">
      <w:start w:val="1"/>
      <w:numFmt w:val="bullet"/>
      <w:lvlText w:val=""/>
      <w:lvlJc w:val="left"/>
      <w:pPr>
        <w:ind w:left="4320" w:hanging="360"/>
      </w:pPr>
      <w:rPr>
        <w:rFonts w:ascii="Wingdings" w:hAnsi="Wingdings" w:hint="default"/>
      </w:rPr>
    </w:lvl>
    <w:lvl w:ilvl="6" w:tplc="3DC63916">
      <w:start w:val="1"/>
      <w:numFmt w:val="bullet"/>
      <w:lvlText w:val=""/>
      <w:lvlJc w:val="left"/>
      <w:pPr>
        <w:ind w:left="5040" w:hanging="360"/>
      </w:pPr>
      <w:rPr>
        <w:rFonts w:ascii="Symbol" w:hAnsi="Symbol" w:hint="default"/>
      </w:rPr>
    </w:lvl>
    <w:lvl w:ilvl="7" w:tplc="8C145152">
      <w:start w:val="1"/>
      <w:numFmt w:val="bullet"/>
      <w:lvlText w:val="o"/>
      <w:lvlJc w:val="left"/>
      <w:pPr>
        <w:ind w:left="5760" w:hanging="360"/>
      </w:pPr>
      <w:rPr>
        <w:rFonts w:ascii="Courier New" w:hAnsi="Courier New" w:hint="default"/>
      </w:rPr>
    </w:lvl>
    <w:lvl w:ilvl="8" w:tplc="2A0A3A10">
      <w:start w:val="1"/>
      <w:numFmt w:val="bullet"/>
      <w:lvlText w:val=""/>
      <w:lvlJc w:val="left"/>
      <w:pPr>
        <w:ind w:left="6480" w:hanging="360"/>
      </w:pPr>
      <w:rPr>
        <w:rFonts w:ascii="Wingdings" w:hAnsi="Wingdings" w:hint="default"/>
      </w:rPr>
    </w:lvl>
  </w:abstractNum>
  <w:abstractNum w:abstractNumId="191" w15:restartNumberingAfterBreak="0">
    <w:nsid w:val="59596AE8"/>
    <w:multiLevelType w:val="hybridMultilevel"/>
    <w:tmpl w:val="36583A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2" w15:restartNumberingAfterBreak="0">
    <w:nsid w:val="597B146B"/>
    <w:multiLevelType w:val="hybridMultilevel"/>
    <w:tmpl w:val="E8685D44"/>
    <w:lvl w:ilvl="0" w:tplc="942018C2">
      <w:start w:val="1"/>
      <w:numFmt w:val="bullet"/>
      <w:lvlText w:val=""/>
      <w:lvlJc w:val="left"/>
      <w:pPr>
        <w:ind w:left="720" w:hanging="360"/>
      </w:pPr>
      <w:rPr>
        <w:rFonts w:ascii="Symbol" w:hAnsi="Symbol" w:hint="default"/>
      </w:rPr>
    </w:lvl>
    <w:lvl w:ilvl="1" w:tplc="3948E20E">
      <w:start w:val="1"/>
      <w:numFmt w:val="bullet"/>
      <w:lvlText w:val="o"/>
      <w:lvlJc w:val="left"/>
      <w:pPr>
        <w:ind w:left="1440" w:hanging="360"/>
      </w:pPr>
      <w:rPr>
        <w:rFonts w:ascii="Courier New" w:hAnsi="Courier New" w:hint="default"/>
      </w:rPr>
    </w:lvl>
    <w:lvl w:ilvl="2" w:tplc="E27ADDA2">
      <w:start w:val="1"/>
      <w:numFmt w:val="bullet"/>
      <w:lvlText w:val=""/>
      <w:lvlJc w:val="left"/>
      <w:pPr>
        <w:ind w:left="2160" w:hanging="360"/>
      </w:pPr>
      <w:rPr>
        <w:rFonts w:ascii="Wingdings" w:hAnsi="Wingdings" w:hint="default"/>
      </w:rPr>
    </w:lvl>
    <w:lvl w:ilvl="3" w:tplc="110C6F3C">
      <w:start w:val="1"/>
      <w:numFmt w:val="bullet"/>
      <w:lvlText w:val=""/>
      <w:lvlJc w:val="left"/>
      <w:pPr>
        <w:ind w:left="2880" w:hanging="360"/>
      </w:pPr>
      <w:rPr>
        <w:rFonts w:ascii="Symbol" w:hAnsi="Symbol" w:hint="default"/>
      </w:rPr>
    </w:lvl>
    <w:lvl w:ilvl="4" w:tplc="CCD22986">
      <w:start w:val="1"/>
      <w:numFmt w:val="bullet"/>
      <w:lvlText w:val="o"/>
      <w:lvlJc w:val="left"/>
      <w:pPr>
        <w:ind w:left="3600" w:hanging="360"/>
      </w:pPr>
      <w:rPr>
        <w:rFonts w:ascii="Courier New" w:hAnsi="Courier New" w:hint="default"/>
      </w:rPr>
    </w:lvl>
    <w:lvl w:ilvl="5" w:tplc="77DEF2D4">
      <w:start w:val="1"/>
      <w:numFmt w:val="bullet"/>
      <w:lvlText w:val=""/>
      <w:lvlJc w:val="left"/>
      <w:pPr>
        <w:ind w:left="4320" w:hanging="360"/>
      </w:pPr>
      <w:rPr>
        <w:rFonts w:ascii="Wingdings" w:hAnsi="Wingdings" w:hint="default"/>
      </w:rPr>
    </w:lvl>
    <w:lvl w:ilvl="6" w:tplc="4D1203A0">
      <w:start w:val="1"/>
      <w:numFmt w:val="bullet"/>
      <w:lvlText w:val=""/>
      <w:lvlJc w:val="left"/>
      <w:pPr>
        <w:ind w:left="5040" w:hanging="360"/>
      </w:pPr>
      <w:rPr>
        <w:rFonts w:ascii="Symbol" w:hAnsi="Symbol" w:hint="default"/>
      </w:rPr>
    </w:lvl>
    <w:lvl w:ilvl="7" w:tplc="6464F012">
      <w:start w:val="1"/>
      <w:numFmt w:val="bullet"/>
      <w:lvlText w:val="o"/>
      <w:lvlJc w:val="left"/>
      <w:pPr>
        <w:ind w:left="5760" w:hanging="360"/>
      </w:pPr>
      <w:rPr>
        <w:rFonts w:ascii="Courier New" w:hAnsi="Courier New" w:hint="default"/>
      </w:rPr>
    </w:lvl>
    <w:lvl w:ilvl="8" w:tplc="764CBF9A">
      <w:start w:val="1"/>
      <w:numFmt w:val="bullet"/>
      <w:lvlText w:val=""/>
      <w:lvlJc w:val="left"/>
      <w:pPr>
        <w:ind w:left="6480" w:hanging="360"/>
      </w:pPr>
      <w:rPr>
        <w:rFonts w:ascii="Wingdings" w:hAnsi="Wingdings" w:hint="default"/>
      </w:rPr>
    </w:lvl>
  </w:abstractNum>
  <w:abstractNum w:abstractNumId="193" w15:restartNumberingAfterBreak="0">
    <w:nsid w:val="5A4B273E"/>
    <w:multiLevelType w:val="multilevel"/>
    <w:tmpl w:val="9208D938"/>
    <w:lvl w:ilvl="0">
      <w:start w:val="1"/>
      <w:numFmt w:val="lowerLetter"/>
      <w:lvlText w:val="%1)"/>
      <w:lvlJc w:val="left"/>
      <w:pPr>
        <w:tabs>
          <w:tab w:val="num" w:pos="1003"/>
        </w:tabs>
        <w:ind w:left="1003" w:hanging="360"/>
      </w:pPr>
      <w:rPr>
        <w:rFonts w:hint="default"/>
        <w:b/>
        <w:sz w:val="22"/>
      </w:rPr>
    </w:lvl>
    <w:lvl w:ilvl="1">
      <w:start w:val="1"/>
      <w:numFmt w:val="bullet"/>
      <w:lvlText w:val=""/>
      <w:lvlJc w:val="left"/>
      <w:pPr>
        <w:tabs>
          <w:tab w:val="num" w:pos="1723"/>
        </w:tabs>
        <w:ind w:left="1723" w:hanging="360"/>
      </w:pPr>
      <w:rPr>
        <w:rFonts w:ascii="Symbol" w:hAnsi="Symbol" w:hint="default"/>
        <w:sz w:val="20"/>
      </w:rPr>
    </w:lvl>
    <w:lvl w:ilvl="2" w:tentative="1">
      <w:start w:val="1"/>
      <w:numFmt w:val="bullet"/>
      <w:lvlText w:val=""/>
      <w:lvlJc w:val="left"/>
      <w:pPr>
        <w:tabs>
          <w:tab w:val="num" w:pos="2443"/>
        </w:tabs>
        <w:ind w:left="2443" w:hanging="360"/>
      </w:pPr>
      <w:rPr>
        <w:rFonts w:ascii="Symbol" w:hAnsi="Symbol" w:hint="default"/>
        <w:sz w:val="20"/>
      </w:rPr>
    </w:lvl>
    <w:lvl w:ilvl="3" w:tentative="1">
      <w:start w:val="1"/>
      <w:numFmt w:val="bullet"/>
      <w:lvlText w:val=""/>
      <w:lvlJc w:val="left"/>
      <w:pPr>
        <w:tabs>
          <w:tab w:val="num" w:pos="3163"/>
        </w:tabs>
        <w:ind w:left="3163" w:hanging="360"/>
      </w:pPr>
      <w:rPr>
        <w:rFonts w:ascii="Symbol" w:hAnsi="Symbol" w:hint="default"/>
        <w:sz w:val="20"/>
      </w:rPr>
    </w:lvl>
    <w:lvl w:ilvl="4" w:tentative="1">
      <w:start w:val="1"/>
      <w:numFmt w:val="bullet"/>
      <w:lvlText w:val=""/>
      <w:lvlJc w:val="left"/>
      <w:pPr>
        <w:tabs>
          <w:tab w:val="num" w:pos="3883"/>
        </w:tabs>
        <w:ind w:left="3883" w:hanging="360"/>
      </w:pPr>
      <w:rPr>
        <w:rFonts w:ascii="Symbol" w:hAnsi="Symbol" w:hint="default"/>
        <w:sz w:val="20"/>
      </w:rPr>
    </w:lvl>
    <w:lvl w:ilvl="5" w:tentative="1">
      <w:start w:val="1"/>
      <w:numFmt w:val="bullet"/>
      <w:lvlText w:val=""/>
      <w:lvlJc w:val="left"/>
      <w:pPr>
        <w:tabs>
          <w:tab w:val="num" w:pos="4603"/>
        </w:tabs>
        <w:ind w:left="4603" w:hanging="360"/>
      </w:pPr>
      <w:rPr>
        <w:rFonts w:ascii="Symbol" w:hAnsi="Symbol" w:hint="default"/>
        <w:sz w:val="20"/>
      </w:rPr>
    </w:lvl>
    <w:lvl w:ilvl="6" w:tentative="1">
      <w:start w:val="1"/>
      <w:numFmt w:val="bullet"/>
      <w:lvlText w:val=""/>
      <w:lvlJc w:val="left"/>
      <w:pPr>
        <w:tabs>
          <w:tab w:val="num" w:pos="5323"/>
        </w:tabs>
        <w:ind w:left="5323" w:hanging="360"/>
      </w:pPr>
      <w:rPr>
        <w:rFonts w:ascii="Symbol" w:hAnsi="Symbol" w:hint="default"/>
        <w:sz w:val="20"/>
      </w:rPr>
    </w:lvl>
    <w:lvl w:ilvl="7" w:tentative="1">
      <w:start w:val="1"/>
      <w:numFmt w:val="bullet"/>
      <w:lvlText w:val=""/>
      <w:lvlJc w:val="left"/>
      <w:pPr>
        <w:tabs>
          <w:tab w:val="num" w:pos="6043"/>
        </w:tabs>
        <w:ind w:left="6043" w:hanging="360"/>
      </w:pPr>
      <w:rPr>
        <w:rFonts w:ascii="Symbol" w:hAnsi="Symbol" w:hint="default"/>
        <w:sz w:val="20"/>
      </w:rPr>
    </w:lvl>
    <w:lvl w:ilvl="8" w:tentative="1">
      <w:start w:val="1"/>
      <w:numFmt w:val="bullet"/>
      <w:lvlText w:val=""/>
      <w:lvlJc w:val="left"/>
      <w:pPr>
        <w:tabs>
          <w:tab w:val="num" w:pos="6763"/>
        </w:tabs>
        <w:ind w:left="6763" w:hanging="360"/>
      </w:pPr>
      <w:rPr>
        <w:rFonts w:ascii="Symbol" w:hAnsi="Symbol" w:hint="default"/>
        <w:sz w:val="20"/>
      </w:rPr>
    </w:lvl>
  </w:abstractNum>
  <w:abstractNum w:abstractNumId="194" w15:restartNumberingAfterBreak="0">
    <w:nsid w:val="5AEE2249"/>
    <w:multiLevelType w:val="hybridMultilevel"/>
    <w:tmpl w:val="0090CB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5" w15:restartNumberingAfterBreak="0">
    <w:nsid w:val="5B311FEA"/>
    <w:multiLevelType w:val="hybridMultilevel"/>
    <w:tmpl w:val="235CC394"/>
    <w:lvl w:ilvl="0" w:tplc="A05451AA">
      <w:start w:val="1"/>
      <w:numFmt w:val="bullet"/>
      <w:lvlText w:val=""/>
      <w:lvlJc w:val="left"/>
      <w:pPr>
        <w:ind w:left="720" w:hanging="360"/>
      </w:pPr>
      <w:rPr>
        <w:rFonts w:ascii="Symbol" w:hAnsi="Symbol" w:hint="default"/>
      </w:rPr>
    </w:lvl>
    <w:lvl w:ilvl="1" w:tplc="705E2932">
      <w:start w:val="1"/>
      <w:numFmt w:val="bullet"/>
      <w:lvlText w:val="o"/>
      <w:lvlJc w:val="left"/>
      <w:pPr>
        <w:ind w:left="1440" w:hanging="360"/>
      </w:pPr>
      <w:rPr>
        <w:rFonts w:ascii="Courier New" w:hAnsi="Courier New" w:hint="default"/>
      </w:rPr>
    </w:lvl>
    <w:lvl w:ilvl="2" w:tplc="BADAB310">
      <w:start w:val="1"/>
      <w:numFmt w:val="bullet"/>
      <w:lvlText w:val=""/>
      <w:lvlJc w:val="left"/>
      <w:pPr>
        <w:ind w:left="2160" w:hanging="360"/>
      </w:pPr>
      <w:rPr>
        <w:rFonts w:ascii="Wingdings" w:hAnsi="Wingdings" w:hint="default"/>
      </w:rPr>
    </w:lvl>
    <w:lvl w:ilvl="3" w:tplc="E6000986">
      <w:start w:val="1"/>
      <w:numFmt w:val="bullet"/>
      <w:lvlText w:val=""/>
      <w:lvlJc w:val="left"/>
      <w:pPr>
        <w:ind w:left="2880" w:hanging="360"/>
      </w:pPr>
      <w:rPr>
        <w:rFonts w:ascii="Symbol" w:hAnsi="Symbol" w:hint="default"/>
      </w:rPr>
    </w:lvl>
    <w:lvl w:ilvl="4" w:tplc="B0B8F68C">
      <w:start w:val="1"/>
      <w:numFmt w:val="bullet"/>
      <w:lvlText w:val="o"/>
      <w:lvlJc w:val="left"/>
      <w:pPr>
        <w:ind w:left="3600" w:hanging="360"/>
      </w:pPr>
      <w:rPr>
        <w:rFonts w:ascii="Courier New" w:hAnsi="Courier New" w:hint="default"/>
      </w:rPr>
    </w:lvl>
    <w:lvl w:ilvl="5" w:tplc="FCB8B856">
      <w:start w:val="1"/>
      <w:numFmt w:val="bullet"/>
      <w:lvlText w:val=""/>
      <w:lvlJc w:val="left"/>
      <w:pPr>
        <w:ind w:left="4320" w:hanging="360"/>
      </w:pPr>
      <w:rPr>
        <w:rFonts w:ascii="Wingdings" w:hAnsi="Wingdings" w:hint="default"/>
      </w:rPr>
    </w:lvl>
    <w:lvl w:ilvl="6" w:tplc="6D8C135A">
      <w:start w:val="1"/>
      <w:numFmt w:val="bullet"/>
      <w:lvlText w:val=""/>
      <w:lvlJc w:val="left"/>
      <w:pPr>
        <w:ind w:left="5040" w:hanging="360"/>
      </w:pPr>
      <w:rPr>
        <w:rFonts w:ascii="Symbol" w:hAnsi="Symbol" w:hint="default"/>
      </w:rPr>
    </w:lvl>
    <w:lvl w:ilvl="7" w:tplc="DA1AC3C8">
      <w:start w:val="1"/>
      <w:numFmt w:val="bullet"/>
      <w:lvlText w:val="o"/>
      <w:lvlJc w:val="left"/>
      <w:pPr>
        <w:ind w:left="5760" w:hanging="360"/>
      </w:pPr>
      <w:rPr>
        <w:rFonts w:ascii="Courier New" w:hAnsi="Courier New" w:hint="default"/>
      </w:rPr>
    </w:lvl>
    <w:lvl w:ilvl="8" w:tplc="42067000">
      <w:start w:val="1"/>
      <w:numFmt w:val="bullet"/>
      <w:lvlText w:val=""/>
      <w:lvlJc w:val="left"/>
      <w:pPr>
        <w:ind w:left="6480" w:hanging="360"/>
      </w:pPr>
      <w:rPr>
        <w:rFonts w:ascii="Wingdings" w:hAnsi="Wingdings" w:hint="default"/>
      </w:rPr>
    </w:lvl>
  </w:abstractNum>
  <w:abstractNum w:abstractNumId="196" w15:restartNumberingAfterBreak="0">
    <w:nsid w:val="5B9D6012"/>
    <w:multiLevelType w:val="hybridMultilevel"/>
    <w:tmpl w:val="C5061D4C"/>
    <w:lvl w:ilvl="0" w:tplc="43F6A760">
      <w:start w:val="1"/>
      <w:numFmt w:val="lowerLetter"/>
      <w:lvlText w:val="%1."/>
      <w:lvlJc w:val="left"/>
      <w:pPr>
        <w:ind w:left="720" w:hanging="360"/>
      </w:pPr>
    </w:lvl>
    <w:lvl w:ilvl="1" w:tplc="A64A1142">
      <w:start w:val="1"/>
      <w:numFmt w:val="lowerLetter"/>
      <w:lvlText w:val="%2."/>
      <w:lvlJc w:val="left"/>
      <w:pPr>
        <w:ind w:left="1440" w:hanging="360"/>
      </w:pPr>
    </w:lvl>
    <w:lvl w:ilvl="2" w:tplc="791A7B84">
      <w:start w:val="1"/>
      <w:numFmt w:val="lowerRoman"/>
      <w:lvlText w:val="%3."/>
      <w:lvlJc w:val="right"/>
      <w:pPr>
        <w:ind w:left="2160" w:hanging="180"/>
      </w:pPr>
    </w:lvl>
    <w:lvl w:ilvl="3" w:tplc="FC56F22A">
      <w:start w:val="1"/>
      <w:numFmt w:val="decimal"/>
      <w:lvlText w:val="%4."/>
      <w:lvlJc w:val="left"/>
      <w:pPr>
        <w:ind w:left="2880" w:hanging="360"/>
      </w:pPr>
    </w:lvl>
    <w:lvl w:ilvl="4" w:tplc="E6CE0C5C">
      <w:start w:val="1"/>
      <w:numFmt w:val="lowerLetter"/>
      <w:lvlText w:val="%5."/>
      <w:lvlJc w:val="left"/>
      <w:pPr>
        <w:ind w:left="3600" w:hanging="360"/>
      </w:pPr>
    </w:lvl>
    <w:lvl w:ilvl="5" w:tplc="84EAA2C4">
      <w:start w:val="1"/>
      <w:numFmt w:val="lowerRoman"/>
      <w:lvlText w:val="%6."/>
      <w:lvlJc w:val="right"/>
      <w:pPr>
        <w:ind w:left="4320" w:hanging="180"/>
      </w:pPr>
    </w:lvl>
    <w:lvl w:ilvl="6" w:tplc="A59A9BBE">
      <w:start w:val="1"/>
      <w:numFmt w:val="decimal"/>
      <w:lvlText w:val="%7."/>
      <w:lvlJc w:val="left"/>
      <w:pPr>
        <w:ind w:left="5040" w:hanging="360"/>
      </w:pPr>
    </w:lvl>
    <w:lvl w:ilvl="7" w:tplc="5F90929A">
      <w:start w:val="1"/>
      <w:numFmt w:val="lowerLetter"/>
      <w:lvlText w:val="%8."/>
      <w:lvlJc w:val="left"/>
      <w:pPr>
        <w:ind w:left="5760" w:hanging="360"/>
      </w:pPr>
    </w:lvl>
    <w:lvl w:ilvl="8" w:tplc="8932BC98">
      <w:start w:val="1"/>
      <w:numFmt w:val="lowerRoman"/>
      <w:lvlText w:val="%9."/>
      <w:lvlJc w:val="right"/>
      <w:pPr>
        <w:ind w:left="6480" w:hanging="180"/>
      </w:pPr>
    </w:lvl>
  </w:abstractNum>
  <w:abstractNum w:abstractNumId="197" w15:restartNumberingAfterBreak="0">
    <w:nsid w:val="5C6B4F54"/>
    <w:multiLevelType w:val="hybridMultilevel"/>
    <w:tmpl w:val="662E8746"/>
    <w:lvl w:ilvl="0" w:tplc="240A0001">
      <w:start w:val="1"/>
      <w:numFmt w:val="bullet"/>
      <w:lvlText w:val=""/>
      <w:lvlJc w:val="left"/>
      <w:pPr>
        <w:ind w:left="720" w:hanging="360"/>
      </w:pPr>
      <w:rPr>
        <w:rFonts w:ascii="Symbol" w:hAnsi="Symbol" w:hint="default"/>
      </w:rPr>
    </w:lvl>
    <w:lvl w:ilvl="1" w:tplc="EDE40DBC">
      <w:start w:val="1"/>
      <w:numFmt w:val="bullet"/>
      <w:lvlText w:val="o"/>
      <w:lvlJc w:val="left"/>
      <w:pPr>
        <w:ind w:left="1440" w:hanging="360"/>
      </w:pPr>
      <w:rPr>
        <w:rFonts w:ascii="Courier New" w:hAnsi="Courier New" w:hint="default"/>
      </w:rPr>
    </w:lvl>
    <w:lvl w:ilvl="2" w:tplc="3E2C8BBC">
      <w:start w:val="1"/>
      <w:numFmt w:val="bullet"/>
      <w:lvlText w:val=""/>
      <w:lvlJc w:val="left"/>
      <w:pPr>
        <w:ind w:left="2160" w:hanging="360"/>
      </w:pPr>
      <w:rPr>
        <w:rFonts w:ascii="Wingdings" w:hAnsi="Wingdings" w:hint="default"/>
      </w:rPr>
    </w:lvl>
    <w:lvl w:ilvl="3" w:tplc="5114EC14">
      <w:start w:val="1"/>
      <w:numFmt w:val="bullet"/>
      <w:lvlText w:val=""/>
      <w:lvlJc w:val="left"/>
      <w:pPr>
        <w:ind w:left="2880" w:hanging="360"/>
      </w:pPr>
      <w:rPr>
        <w:rFonts w:ascii="Symbol" w:hAnsi="Symbol" w:hint="default"/>
      </w:rPr>
    </w:lvl>
    <w:lvl w:ilvl="4" w:tplc="45E01776">
      <w:start w:val="1"/>
      <w:numFmt w:val="bullet"/>
      <w:lvlText w:val="o"/>
      <w:lvlJc w:val="left"/>
      <w:pPr>
        <w:ind w:left="3600" w:hanging="360"/>
      </w:pPr>
      <w:rPr>
        <w:rFonts w:ascii="Courier New" w:hAnsi="Courier New" w:hint="default"/>
      </w:rPr>
    </w:lvl>
    <w:lvl w:ilvl="5" w:tplc="48044104">
      <w:start w:val="1"/>
      <w:numFmt w:val="bullet"/>
      <w:lvlText w:val=""/>
      <w:lvlJc w:val="left"/>
      <w:pPr>
        <w:ind w:left="4320" w:hanging="360"/>
      </w:pPr>
      <w:rPr>
        <w:rFonts w:ascii="Wingdings" w:hAnsi="Wingdings" w:hint="default"/>
      </w:rPr>
    </w:lvl>
    <w:lvl w:ilvl="6" w:tplc="845896F4">
      <w:start w:val="1"/>
      <w:numFmt w:val="bullet"/>
      <w:lvlText w:val=""/>
      <w:lvlJc w:val="left"/>
      <w:pPr>
        <w:ind w:left="5040" w:hanging="360"/>
      </w:pPr>
      <w:rPr>
        <w:rFonts w:ascii="Symbol" w:hAnsi="Symbol" w:hint="default"/>
      </w:rPr>
    </w:lvl>
    <w:lvl w:ilvl="7" w:tplc="B4EEB08A">
      <w:start w:val="1"/>
      <w:numFmt w:val="bullet"/>
      <w:lvlText w:val="o"/>
      <w:lvlJc w:val="left"/>
      <w:pPr>
        <w:ind w:left="5760" w:hanging="360"/>
      </w:pPr>
      <w:rPr>
        <w:rFonts w:ascii="Courier New" w:hAnsi="Courier New" w:hint="default"/>
      </w:rPr>
    </w:lvl>
    <w:lvl w:ilvl="8" w:tplc="488A46F0">
      <w:start w:val="1"/>
      <w:numFmt w:val="bullet"/>
      <w:lvlText w:val=""/>
      <w:lvlJc w:val="left"/>
      <w:pPr>
        <w:ind w:left="6480" w:hanging="360"/>
      </w:pPr>
      <w:rPr>
        <w:rFonts w:ascii="Wingdings" w:hAnsi="Wingdings" w:hint="default"/>
      </w:rPr>
    </w:lvl>
  </w:abstractNum>
  <w:abstractNum w:abstractNumId="198" w15:restartNumberingAfterBreak="0">
    <w:nsid w:val="5E3B5281"/>
    <w:multiLevelType w:val="hybridMultilevel"/>
    <w:tmpl w:val="D5802236"/>
    <w:lvl w:ilvl="0" w:tplc="240A0001">
      <w:start w:val="1"/>
      <w:numFmt w:val="bullet"/>
      <w:lvlText w:val=""/>
      <w:lvlJc w:val="left"/>
      <w:pPr>
        <w:ind w:left="1890" w:hanging="360"/>
      </w:pPr>
      <w:rPr>
        <w:rFonts w:ascii="Symbol" w:hAnsi="Symbol" w:hint="default"/>
      </w:rPr>
    </w:lvl>
    <w:lvl w:ilvl="1" w:tplc="240A0003" w:tentative="1">
      <w:start w:val="1"/>
      <w:numFmt w:val="bullet"/>
      <w:lvlText w:val="o"/>
      <w:lvlJc w:val="left"/>
      <w:pPr>
        <w:ind w:left="2610" w:hanging="360"/>
      </w:pPr>
      <w:rPr>
        <w:rFonts w:ascii="Courier New" w:hAnsi="Courier New" w:cs="Courier New" w:hint="default"/>
      </w:rPr>
    </w:lvl>
    <w:lvl w:ilvl="2" w:tplc="240A0005" w:tentative="1">
      <w:start w:val="1"/>
      <w:numFmt w:val="bullet"/>
      <w:lvlText w:val=""/>
      <w:lvlJc w:val="left"/>
      <w:pPr>
        <w:ind w:left="3330" w:hanging="360"/>
      </w:pPr>
      <w:rPr>
        <w:rFonts w:ascii="Wingdings" w:hAnsi="Wingdings" w:hint="default"/>
      </w:rPr>
    </w:lvl>
    <w:lvl w:ilvl="3" w:tplc="240A0001" w:tentative="1">
      <w:start w:val="1"/>
      <w:numFmt w:val="bullet"/>
      <w:lvlText w:val=""/>
      <w:lvlJc w:val="left"/>
      <w:pPr>
        <w:ind w:left="4050" w:hanging="360"/>
      </w:pPr>
      <w:rPr>
        <w:rFonts w:ascii="Symbol" w:hAnsi="Symbol" w:hint="default"/>
      </w:rPr>
    </w:lvl>
    <w:lvl w:ilvl="4" w:tplc="240A0003" w:tentative="1">
      <w:start w:val="1"/>
      <w:numFmt w:val="bullet"/>
      <w:lvlText w:val="o"/>
      <w:lvlJc w:val="left"/>
      <w:pPr>
        <w:ind w:left="4770" w:hanging="360"/>
      </w:pPr>
      <w:rPr>
        <w:rFonts w:ascii="Courier New" w:hAnsi="Courier New" w:cs="Courier New" w:hint="default"/>
      </w:rPr>
    </w:lvl>
    <w:lvl w:ilvl="5" w:tplc="240A0005" w:tentative="1">
      <w:start w:val="1"/>
      <w:numFmt w:val="bullet"/>
      <w:lvlText w:val=""/>
      <w:lvlJc w:val="left"/>
      <w:pPr>
        <w:ind w:left="5490" w:hanging="360"/>
      </w:pPr>
      <w:rPr>
        <w:rFonts w:ascii="Wingdings" w:hAnsi="Wingdings" w:hint="default"/>
      </w:rPr>
    </w:lvl>
    <w:lvl w:ilvl="6" w:tplc="240A0001" w:tentative="1">
      <w:start w:val="1"/>
      <w:numFmt w:val="bullet"/>
      <w:lvlText w:val=""/>
      <w:lvlJc w:val="left"/>
      <w:pPr>
        <w:ind w:left="6210" w:hanging="360"/>
      </w:pPr>
      <w:rPr>
        <w:rFonts w:ascii="Symbol" w:hAnsi="Symbol" w:hint="default"/>
      </w:rPr>
    </w:lvl>
    <w:lvl w:ilvl="7" w:tplc="240A0003" w:tentative="1">
      <w:start w:val="1"/>
      <w:numFmt w:val="bullet"/>
      <w:lvlText w:val="o"/>
      <w:lvlJc w:val="left"/>
      <w:pPr>
        <w:ind w:left="6930" w:hanging="360"/>
      </w:pPr>
      <w:rPr>
        <w:rFonts w:ascii="Courier New" w:hAnsi="Courier New" w:cs="Courier New" w:hint="default"/>
      </w:rPr>
    </w:lvl>
    <w:lvl w:ilvl="8" w:tplc="240A0005" w:tentative="1">
      <w:start w:val="1"/>
      <w:numFmt w:val="bullet"/>
      <w:lvlText w:val=""/>
      <w:lvlJc w:val="left"/>
      <w:pPr>
        <w:ind w:left="7650" w:hanging="360"/>
      </w:pPr>
      <w:rPr>
        <w:rFonts w:ascii="Wingdings" w:hAnsi="Wingdings" w:hint="default"/>
      </w:rPr>
    </w:lvl>
  </w:abstractNum>
  <w:abstractNum w:abstractNumId="199" w15:restartNumberingAfterBreak="0">
    <w:nsid w:val="5E9079A0"/>
    <w:multiLevelType w:val="hybridMultilevel"/>
    <w:tmpl w:val="7E1C6D1E"/>
    <w:lvl w:ilvl="0" w:tplc="9CB6965E">
      <w:start w:val="1"/>
      <w:numFmt w:val="bullet"/>
      <w:lvlText w:val=""/>
      <w:lvlJc w:val="left"/>
      <w:pPr>
        <w:ind w:left="720" w:hanging="360"/>
      </w:pPr>
      <w:rPr>
        <w:rFonts w:ascii="Symbol" w:hAnsi="Symbol" w:hint="default"/>
      </w:rPr>
    </w:lvl>
    <w:lvl w:ilvl="1" w:tplc="0C020AFC">
      <w:start w:val="1"/>
      <w:numFmt w:val="bullet"/>
      <w:lvlText w:val="o"/>
      <w:lvlJc w:val="left"/>
      <w:pPr>
        <w:ind w:left="1440" w:hanging="360"/>
      </w:pPr>
      <w:rPr>
        <w:rFonts w:ascii="Courier New" w:hAnsi="Courier New" w:hint="default"/>
      </w:rPr>
    </w:lvl>
    <w:lvl w:ilvl="2" w:tplc="D8663DCA">
      <w:start w:val="1"/>
      <w:numFmt w:val="bullet"/>
      <w:lvlText w:val=""/>
      <w:lvlJc w:val="left"/>
      <w:pPr>
        <w:ind w:left="2160" w:hanging="360"/>
      </w:pPr>
      <w:rPr>
        <w:rFonts w:ascii="Wingdings" w:hAnsi="Wingdings" w:hint="default"/>
      </w:rPr>
    </w:lvl>
    <w:lvl w:ilvl="3" w:tplc="BC36EE8A">
      <w:start w:val="1"/>
      <w:numFmt w:val="bullet"/>
      <w:lvlText w:val=""/>
      <w:lvlJc w:val="left"/>
      <w:pPr>
        <w:ind w:left="2880" w:hanging="360"/>
      </w:pPr>
      <w:rPr>
        <w:rFonts w:ascii="Symbol" w:hAnsi="Symbol" w:hint="default"/>
      </w:rPr>
    </w:lvl>
    <w:lvl w:ilvl="4" w:tplc="AF26E9DE">
      <w:start w:val="1"/>
      <w:numFmt w:val="bullet"/>
      <w:lvlText w:val="o"/>
      <w:lvlJc w:val="left"/>
      <w:pPr>
        <w:ind w:left="3600" w:hanging="360"/>
      </w:pPr>
      <w:rPr>
        <w:rFonts w:ascii="Courier New" w:hAnsi="Courier New" w:hint="default"/>
      </w:rPr>
    </w:lvl>
    <w:lvl w:ilvl="5" w:tplc="817A89AC">
      <w:start w:val="1"/>
      <w:numFmt w:val="bullet"/>
      <w:lvlText w:val=""/>
      <w:lvlJc w:val="left"/>
      <w:pPr>
        <w:ind w:left="4320" w:hanging="360"/>
      </w:pPr>
      <w:rPr>
        <w:rFonts w:ascii="Wingdings" w:hAnsi="Wingdings" w:hint="default"/>
      </w:rPr>
    </w:lvl>
    <w:lvl w:ilvl="6" w:tplc="1F600AD4">
      <w:start w:val="1"/>
      <w:numFmt w:val="bullet"/>
      <w:lvlText w:val=""/>
      <w:lvlJc w:val="left"/>
      <w:pPr>
        <w:ind w:left="5040" w:hanging="360"/>
      </w:pPr>
      <w:rPr>
        <w:rFonts w:ascii="Symbol" w:hAnsi="Symbol" w:hint="default"/>
      </w:rPr>
    </w:lvl>
    <w:lvl w:ilvl="7" w:tplc="CBEA7A6C">
      <w:start w:val="1"/>
      <w:numFmt w:val="bullet"/>
      <w:lvlText w:val="o"/>
      <w:lvlJc w:val="left"/>
      <w:pPr>
        <w:ind w:left="5760" w:hanging="360"/>
      </w:pPr>
      <w:rPr>
        <w:rFonts w:ascii="Courier New" w:hAnsi="Courier New" w:hint="default"/>
      </w:rPr>
    </w:lvl>
    <w:lvl w:ilvl="8" w:tplc="E9EA5430">
      <w:start w:val="1"/>
      <w:numFmt w:val="bullet"/>
      <w:lvlText w:val=""/>
      <w:lvlJc w:val="left"/>
      <w:pPr>
        <w:ind w:left="6480" w:hanging="360"/>
      </w:pPr>
      <w:rPr>
        <w:rFonts w:ascii="Wingdings" w:hAnsi="Wingdings" w:hint="default"/>
      </w:rPr>
    </w:lvl>
  </w:abstractNum>
  <w:abstractNum w:abstractNumId="200" w15:restartNumberingAfterBreak="0">
    <w:nsid w:val="5EA06385"/>
    <w:multiLevelType w:val="hybridMultilevel"/>
    <w:tmpl w:val="4866BDDE"/>
    <w:lvl w:ilvl="0" w:tplc="7410E368">
      <w:start w:val="1"/>
      <w:numFmt w:val="bullet"/>
      <w:lvlText w:val="·"/>
      <w:lvlJc w:val="left"/>
      <w:pPr>
        <w:ind w:left="720" w:hanging="360"/>
      </w:pPr>
      <w:rPr>
        <w:rFonts w:ascii="Symbol" w:hAnsi="Symbol" w:hint="default"/>
      </w:rPr>
    </w:lvl>
    <w:lvl w:ilvl="1" w:tplc="CF766E8E">
      <w:start w:val="1"/>
      <w:numFmt w:val="bullet"/>
      <w:lvlText w:val="o"/>
      <w:lvlJc w:val="left"/>
      <w:pPr>
        <w:ind w:left="1440" w:hanging="360"/>
      </w:pPr>
      <w:rPr>
        <w:rFonts w:ascii="Courier New" w:hAnsi="Courier New" w:hint="default"/>
      </w:rPr>
    </w:lvl>
    <w:lvl w:ilvl="2" w:tplc="C880593A">
      <w:start w:val="1"/>
      <w:numFmt w:val="bullet"/>
      <w:lvlText w:val=""/>
      <w:lvlJc w:val="left"/>
      <w:pPr>
        <w:ind w:left="2160" w:hanging="360"/>
      </w:pPr>
      <w:rPr>
        <w:rFonts w:ascii="Wingdings" w:hAnsi="Wingdings" w:hint="default"/>
      </w:rPr>
    </w:lvl>
    <w:lvl w:ilvl="3" w:tplc="6AE2F616">
      <w:start w:val="1"/>
      <w:numFmt w:val="bullet"/>
      <w:lvlText w:val=""/>
      <w:lvlJc w:val="left"/>
      <w:pPr>
        <w:ind w:left="2880" w:hanging="360"/>
      </w:pPr>
      <w:rPr>
        <w:rFonts w:ascii="Symbol" w:hAnsi="Symbol" w:hint="default"/>
      </w:rPr>
    </w:lvl>
    <w:lvl w:ilvl="4" w:tplc="5B3692A0">
      <w:start w:val="1"/>
      <w:numFmt w:val="bullet"/>
      <w:lvlText w:val="o"/>
      <w:lvlJc w:val="left"/>
      <w:pPr>
        <w:ind w:left="3600" w:hanging="360"/>
      </w:pPr>
      <w:rPr>
        <w:rFonts w:ascii="Courier New" w:hAnsi="Courier New" w:hint="default"/>
      </w:rPr>
    </w:lvl>
    <w:lvl w:ilvl="5" w:tplc="8BF824B8">
      <w:start w:val="1"/>
      <w:numFmt w:val="bullet"/>
      <w:lvlText w:val=""/>
      <w:lvlJc w:val="left"/>
      <w:pPr>
        <w:ind w:left="4320" w:hanging="360"/>
      </w:pPr>
      <w:rPr>
        <w:rFonts w:ascii="Wingdings" w:hAnsi="Wingdings" w:hint="default"/>
      </w:rPr>
    </w:lvl>
    <w:lvl w:ilvl="6" w:tplc="302C5992">
      <w:start w:val="1"/>
      <w:numFmt w:val="bullet"/>
      <w:lvlText w:val=""/>
      <w:lvlJc w:val="left"/>
      <w:pPr>
        <w:ind w:left="5040" w:hanging="360"/>
      </w:pPr>
      <w:rPr>
        <w:rFonts w:ascii="Symbol" w:hAnsi="Symbol" w:hint="default"/>
      </w:rPr>
    </w:lvl>
    <w:lvl w:ilvl="7" w:tplc="ACB06722">
      <w:start w:val="1"/>
      <w:numFmt w:val="bullet"/>
      <w:lvlText w:val="o"/>
      <w:lvlJc w:val="left"/>
      <w:pPr>
        <w:ind w:left="5760" w:hanging="360"/>
      </w:pPr>
      <w:rPr>
        <w:rFonts w:ascii="Courier New" w:hAnsi="Courier New" w:hint="default"/>
      </w:rPr>
    </w:lvl>
    <w:lvl w:ilvl="8" w:tplc="11B24FF6">
      <w:start w:val="1"/>
      <w:numFmt w:val="bullet"/>
      <w:lvlText w:val=""/>
      <w:lvlJc w:val="left"/>
      <w:pPr>
        <w:ind w:left="6480" w:hanging="360"/>
      </w:pPr>
      <w:rPr>
        <w:rFonts w:ascii="Wingdings" w:hAnsi="Wingdings" w:hint="default"/>
      </w:rPr>
    </w:lvl>
  </w:abstractNum>
  <w:abstractNum w:abstractNumId="201" w15:restartNumberingAfterBreak="0">
    <w:nsid w:val="5EFF14B2"/>
    <w:multiLevelType w:val="multilevel"/>
    <w:tmpl w:val="FF4A53E6"/>
    <w:lvl w:ilvl="0">
      <w:start w:val="1"/>
      <w:numFmt w:val="bullet"/>
      <w:lvlText w:val=""/>
      <w:lvlJc w:val="left"/>
      <w:pPr>
        <w:tabs>
          <w:tab w:val="num" w:pos="360"/>
        </w:tabs>
        <w:ind w:left="360" w:hanging="360"/>
      </w:pPr>
      <w:rPr>
        <w:rFonts w:ascii="Symbol" w:hAnsi="Symbol" w:hint="default"/>
        <w:sz w:val="22"/>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02" w15:restartNumberingAfterBreak="0">
    <w:nsid w:val="5F242E3F"/>
    <w:multiLevelType w:val="hybridMultilevel"/>
    <w:tmpl w:val="AD2ABBF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3" w15:restartNumberingAfterBreak="0">
    <w:nsid w:val="5F41148A"/>
    <w:multiLevelType w:val="hybridMultilevel"/>
    <w:tmpl w:val="3EF0D3C2"/>
    <w:lvl w:ilvl="0" w:tplc="75B2C272">
      <w:start w:val="1"/>
      <w:numFmt w:val="bullet"/>
      <w:lvlText w:val="·"/>
      <w:lvlJc w:val="left"/>
      <w:pPr>
        <w:ind w:left="720" w:hanging="360"/>
      </w:pPr>
      <w:rPr>
        <w:rFonts w:ascii="Symbol" w:hAnsi="Symbol" w:hint="default"/>
      </w:rPr>
    </w:lvl>
    <w:lvl w:ilvl="1" w:tplc="2AE285C8">
      <w:start w:val="1"/>
      <w:numFmt w:val="bullet"/>
      <w:lvlText w:val="o"/>
      <w:lvlJc w:val="left"/>
      <w:pPr>
        <w:ind w:left="1440" w:hanging="360"/>
      </w:pPr>
      <w:rPr>
        <w:rFonts w:ascii="Courier New" w:hAnsi="Courier New" w:hint="default"/>
      </w:rPr>
    </w:lvl>
    <w:lvl w:ilvl="2" w:tplc="F314CF62">
      <w:start w:val="1"/>
      <w:numFmt w:val="bullet"/>
      <w:lvlText w:val=""/>
      <w:lvlJc w:val="left"/>
      <w:pPr>
        <w:ind w:left="2160" w:hanging="360"/>
      </w:pPr>
      <w:rPr>
        <w:rFonts w:ascii="Wingdings" w:hAnsi="Wingdings" w:hint="default"/>
      </w:rPr>
    </w:lvl>
    <w:lvl w:ilvl="3" w:tplc="584255C6">
      <w:start w:val="1"/>
      <w:numFmt w:val="bullet"/>
      <w:lvlText w:val=""/>
      <w:lvlJc w:val="left"/>
      <w:pPr>
        <w:ind w:left="2880" w:hanging="360"/>
      </w:pPr>
      <w:rPr>
        <w:rFonts w:ascii="Symbol" w:hAnsi="Symbol" w:hint="default"/>
      </w:rPr>
    </w:lvl>
    <w:lvl w:ilvl="4" w:tplc="18CEF7CE">
      <w:start w:val="1"/>
      <w:numFmt w:val="bullet"/>
      <w:lvlText w:val="o"/>
      <w:lvlJc w:val="left"/>
      <w:pPr>
        <w:ind w:left="3600" w:hanging="360"/>
      </w:pPr>
      <w:rPr>
        <w:rFonts w:ascii="Courier New" w:hAnsi="Courier New" w:hint="default"/>
      </w:rPr>
    </w:lvl>
    <w:lvl w:ilvl="5" w:tplc="520AA7FE">
      <w:start w:val="1"/>
      <w:numFmt w:val="bullet"/>
      <w:lvlText w:val=""/>
      <w:lvlJc w:val="left"/>
      <w:pPr>
        <w:ind w:left="4320" w:hanging="360"/>
      </w:pPr>
      <w:rPr>
        <w:rFonts w:ascii="Wingdings" w:hAnsi="Wingdings" w:hint="default"/>
      </w:rPr>
    </w:lvl>
    <w:lvl w:ilvl="6" w:tplc="4E02FD46">
      <w:start w:val="1"/>
      <w:numFmt w:val="bullet"/>
      <w:lvlText w:val=""/>
      <w:lvlJc w:val="left"/>
      <w:pPr>
        <w:ind w:left="5040" w:hanging="360"/>
      </w:pPr>
      <w:rPr>
        <w:rFonts w:ascii="Symbol" w:hAnsi="Symbol" w:hint="default"/>
      </w:rPr>
    </w:lvl>
    <w:lvl w:ilvl="7" w:tplc="FF9A55D6">
      <w:start w:val="1"/>
      <w:numFmt w:val="bullet"/>
      <w:lvlText w:val="o"/>
      <w:lvlJc w:val="left"/>
      <w:pPr>
        <w:ind w:left="5760" w:hanging="360"/>
      </w:pPr>
      <w:rPr>
        <w:rFonts w:ascii="Courier New" w:hAnsi="Courier New" w:hint="default"/>
      </w:rPr>
    </w:lvl>
    <w:lvl w:ilvl="8" w:tplc="8B56EE70">
      <w:start w:val="1"/>
      <w:numFmt w:val="bullet"/>
      <w:lvlText w:val=""/>
      <w:lvlJc w:val="left"/>
      <w:pPr>
        <w:ind w:left="6480" w:hanging="360"/>
      </w:pPr>
      <w:rPr>
        <w:rFonts w:ascii="Wingdings" w:hAnsi="Wingdings" w:hint="default"/>
      </w:rPr>
    </w:lvl>
  </w:abstractNum>
  <w:abstractNum w:abstractNumId="204" w15:restartNumberingAfterBreak="0">
    <w:nsid w:val="5F6626E5"/>
    <w:multiLevelType w:val="hybridMultilevel"/>
    <w:tmpl w:val="6DCC8C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5" w15:restartNumberingAfterBreak="0">
    <w:nsid w:val="5FC022D0"/>
    <w:multiLevelType w:val="hybridMultilevel"/>
    <w:tmpl w:val="88F49F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6" w15:restartNumberingAfterBreak="0">
    <w:nsid w:val="601F414E"/>
    <w:multiLevelType w:val="hybridMultilevel"/>
    <w:tmpl w:val="2DA8D09C"/>
    <w:lvl w:ilvl="0" w:tplc="6D4421D0">
      <w:start w:val="1"/>
      <w:numFmt w:val="bullet"/>
      <w:lvlText w:val=""/>
      <w:lvlJc w:val="left"/>
      <w:pPr>
        <w:ind w:left="720" w:hanging="360"/>
      </w:pPr>
      <w:rPr>
        <w:rFonts w:ascii="Symbol" w:hAnsi="Symbol" w:hint="default"/>
      </w:rPr>
    </w:lvl>
    <w:lvl w:ilvl="1" w:tplc="B0846230">
      <w:start w:val="1"/>
      <w:numFmt w:val="bullet"/>
      <w:lvlText w:val="o"/>
      <w:lvlJc w:val="left"/>
      <w:pPr>
        <w:ind w:left="1440" w:hanging="360"/>
      </w:pPr>
      <w:rPr>
        <w:rFonts w:ascii="Courier New" w:hAnsi="Courier New" w:hint="default"/>
      </w:rPr>
    </w:lvl>
    <w:lvl w:ilvl="2" w:tplc="6AD282CA">
      <w:start w:val="1"/>
      <w:numFmt w:val="bullet"/>
      <w:lvlText w:val=""/>
      <w:lvlJc w:val="left"/>
      <w:pPr>
        <w:ind w:left="2160" w:hanging="360"/>
      </w:pPr>
      <w:rPr>
        <w:rFonts w:ascii="Wingdings" w:hAnsi="Wingdings" w:hint="default"/>
      </w:rPr>
    </w:lvl>
    <w:lvl w:ilvl="3" w:tplc="E526632A">
      <w:start w:val="1"/>
      <w:numFmt w:val="bullet"/>
      <w:lvlText w:val=""/>
      <w:lvlJc w:val="left"/>
      <w:pPr>
        <w:ind w:left="2880" w:hanging="360"/>
      </w:pPr>
      <w:rPr>
        <w:rFonts w:ascii="Symbol" w:hAnsi="Symbol" w:hint="default"/>
      </w:rPr>
    </w:lvl>
    <w:lvl w:ilvl="4" w:tplc="B36CB522">
      <w:start w:val="1"/>
      <w:numFmt w:val="bullet"/>
      <w:lvlText w:val="o"/>
      <w:lvlJc w:val="left"/>
      <w:pPr>
        <w:ind w:left="3600" w:hanging="360"/>
      </w:pPr>
      <w:rPr>
        <w:rFonts w:ascii="Courier New" w:hAnsi="Courier New" w:hint="default"/>
      </w:rPr>
    </w:lvl>
    <w:lvl w:ilvl="5" w:tplc="6B8EB06C">
      <w:start w:val="1"/>
      <w:numFmt w:val="bullet"/>
      <w:lvlText w:val=""/>
      <w:lvlJc w:val="left"/>
      <w:pPr>
        <w:ind w:left="4320" w:hanging="360"/>
      </w:pPr>
      <w:rPr>
        <w:rFonts w:ascii="Wingdings" w:hAnsi="Wingdings" w:hint="default"/>
      </w:rPr>
    </w:lvl>
    <w:lvl w:ilvl="6" w:tplc="C62287D4">
      <w:start w:val="1"/>
      <w:numFmt w:val="bullet"/>
      <w:lvlText w:val=""/>
      <w:lvlJc w:val="left"/>
      <w:pPr>
        <w:ind w:left="5040" w:hanging="360"/>
      </w:pPr>
      <w:rPr>
        <w:rFonts w:ascii="Symbol" w:hAnsi="Symbol" w:hint="default"/>
      </w:rPr>
    </w:lvl>
    <w:lvl w:ilvl="7" w:tplc="65C48DE8">
      <w:start w:val="1"/>
      <w:numFmt w:val="bullet"/>
      <w:lvlText w:val="o"/>
      <w:lvlJc w:val="left"/>
      <w:pPr>
        <w:ind w:left="5760" w:hanging="360"/>
      </w:pPr>
      <w:rPr>
        <w:rFonts w:ascii="Courier New" w:hAnsi="Courier New" w:hint="default"/>
      </w:rPr>
    </w:lvl>
    <w:lvl w:ilvl="8" w:tplc="64966EC2">
      <w:start w:val="1"/>
      <w:numFmt w:val="bullet"/>
      <w:lvlText w:val=""/>
      <w:lvlJc w:val="left"/>
      <w:pPr>
        <w:ind w:left="6480" w:hanging="360"/>
      </w:pPr>
      <w:rPr>
        <w:rFonts w:ascii="Wingdings" w:hAnsi="Wingdings" w:hint="default"/>
      </w:rPr>
    </w:lvl>
  </w:abstractNum>
  <w:abstractNum w:abstractNumId="207" w15:restartNumberingAfterBreak="0">
    <w:nsid w:val="60AD1E7B"/>
    <w:multiLevelType w:val="hybridMultilevel"/>
    <w:tmpl w:val="79EE3C64"/>
    <w:lvl w:ilvl="0" w:tplc="240A0001">
      <w:start w:val="1"/>
      <w:numFmt w:val="bullet"/>
      <w:lvlText w:val=""/>
      <w:lvlJc w:val="left"/>
      <w:pPr>
        <w:ind w:left="720" w:hanging="360"/>
      </w:pPr>
      <w:rPr>
        <w:rFonts w:ascii="Symbol" w:hAnsi="Symbol"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8" w15:restartNumberingAfterBreak="0">
    <w:nsid w:val="61030AF8"/>
    <w:multiLevelType w:val="hybridMultilevel"/>
    <w:tmpl w:val="1124E2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9" w15:restartNumberingAfterBreak="0">
    <w:nsid w:val="61AB339E"/>
    <w:multiLevelType w:val="hybridMultilevel"/>
    <w:tmpl w:val="C770A068"/>
    <w:lvl w:ilvl="0" w:tplc="49D4BAC0">
      <w:start w:val="1"/>
      <w:numFmt w:val="decimal"/>
      <w:lvlText w:val="%1."/>
      <w:lvlJc w:val="left"/>
      <w:pPr>
        <w:ind w:left="720" w:hanging="360"/>
      </w:pPr>
    </w:lvl>
    <w:lvl w:ilvl="1" w:tplc="1048E048">
      <w:start w:val="1"/>
      <w:numFmt w:val="lowerLetter"/>
      <w:lvlText w:val="%2."/>
      <w:lvlJc w:val="left"/>
      <w:pPr>
        <w:ind w:left="1440" w:hanging="360"/>
      </w:pPr>
    </w:lvl>
    <w:lvl w:ilvl="2" w:tplc="ADC83F92">
      <w:start w:val="1"/>
      <w:numFmt w:val="lowerRoman"/>
      <w:lvlText w:val="%3."/>
      <w:lvlJc w:val="right"/>
      <w:pPr>
        <w:ind w:left="2160" w:hanging="180"/>
      </w:pPr>
    </w:lvl>
    <w:lvl w:ilvl="3" w:tplc="11A062E6">
      <w:start w:val="1"/>
      <w:numFmt w:val="decimal"/>
      <w:lvlText w:val="%4."/>
      <w:lvlJc w:val="left"/>
      <w:pPr>
        <w:ind w:left="2880" w:hanging="360"/>
      </w:pPr>
    </w:lvl>
    <w:lvl w:ilvl="4" w:tplc="A8F2FCE0">
      <w:start w:val="1"/>
      <w:numFmt w:val="lowerLetter"/>
      <w:lvlText w:val="%5."/>
      <w:lvlJc w:val="left"/>
      <w:pPr>
        <w:ind w:left="3600" w:hanging="360"/>
      </w:pPr>
    </w:lvl>
    <w:lvl w:ilvl="5" w:tplc="E5906100">
      <w:start w:val="1"/>
      <w:numFmt w:val="lowerRoman"/>
      <w:lvlText w:val="%6."/>
      <w:lvlJc w:val="right"/>
      <w:pPr>
        <w:ind w:left="4320" w:hanging="180"/>
      </w:pPr>
    </w:lvl>
    <w:lvl w:ilvl="6" w:tplc="9E9417F6">
      <w:start w:val="1"/>
      <w:numFmt w:val="decimal"/>
      <w:lvlText w:val="%7."/>
      <w:lvlJc w:val="left"/>
      <w:pPr>
        <w:ind w:left="5040" w:hanging="360"/>
      </w:pPr>
    </w:lvl>
    <w:lvl w:ilvl="7" w:tplc="A3904DB0">
      <w:start w:val="1"/>
      <w:numFmt w:val="lowerLetter"/>
      <w:lvlText w:val="%8."/>
      <w:lvlJc w:val="left"/>
      <w:pPr>
        <w:ind w:left="5760" w:hanging="360"/>
      </w:pPr>
    </w:lvl>
    <w:lvl w:ilvl="8" w:tplc="CB16C6F0">
      <w:start w:val="1"/>
      <w:numFmt w:val="lowerRoman"/>
      <w:lvlText w:val="%9."/>
      <w:lvlJc w:val="right"/>
      <w:pPr>
        <w:ind w:left="6480" w:hanging="180"/>
      </w:pPr>
    </w:lvl>
  </w:abstractNum>
  <w:abstractNum w:abstractNumId="210" w15:restartNumberingAfterBreak="0">
    <w:nsid w:val="62407522"/>
    <w:multiLevelType w:val="hybridMultilevel"/>
    <w:tmpl w:val="EEB077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1" w15:restartNumberingAfterBreak="0">
    <w:nsid w:val="62CA1EF3"/>
    <w:multiLevelType w:val="hybridMultilevel"/>
    <w:tmpl w:val="32EACBE0"/>
    <w:lvl w:ilvl="0" w:tplc="E006C7D4">
      <w:start w:val="1"/>
      <w:numFmt w:val="bullet"/>
      <w:lvlText w:val="·"/>
      <w:lvlJc w:val="left"/>
      <w:pPr>
        <w:ind w:left="720" w:hanging="360"/>
      </w:pPr>
      <w:rPr>
        <w:rFonts w:ascii="Symbol" w:hAnsi="Symbol" w:hint="default"/>
      </w:rPr>
    </w:lvl>
    <w:lvl w:ilvl="1" w:tplc="A0A432B6">
      <w:start w:val="1"/>
      <w:numFmt w:val="bullet"/>
      <w:lvlText w:val="o"/>
      <w:lvlJc w:val="left"/>
      <w:pPr>
        <w:ind w:left="1440" w:hanging="360"/>
      </w:pPr>
      <w:rPr>
        <w:rFonts w:ascii="Courier New" w:hAnsi="Courier New" w:hint="default"/>
      </w:rPr>
    </w:lvl>
    <w:lvl w:ilvl="2" w:tplc="FB885D34">
      <w:start w:val="1"/>
      <w:numFmt w:val="bullet"/>
      <w:lvlText w:val=""/>
      <w:lvlJc w:val="left"/>
      <w:pPr>
        <w:ind w:left="2160" w:hanging="360"/>
      </w:pPr>
      <w:rPr>
        <w:rFonts w:ascii="Wingdings" w:hAnsi="Wingdings" w:hint="default"/>
      </w:rPr>
    </w:lvl>
    <w:lvl w:ilvl="3" w:tplc="31DC5568">
      <w:start w:val="1"/>
      <w:numFmt w:val="bullet"/>
      <w:lvlText w:val=""/>
      <w:lvlJc w:val="left"/>
      <w:pPr>
        <w:ind w:left="2880" w:hanging="360"/>
      </w:pPr>
      <w:rPr>
        <w:rFonts w:ascii="Symbol" w:hAnsi="Symbol" w:hint="default"/>
      </w:rPr>
    </w:lvl>
    <w:lvl w:ilvl="4" w:tplc="F770081A">
      <w:start w:val="1"/>
      <w:numFmt w:val="bullet"/>
      <w:lvlText w:val="o"/>
      <w:lvlJc w:val="left"/>
      <w:pPr>
        <w:ind w:left="3600" w:hanging="360"/>
      </w:pPr>
      <w:rPr>
        <w:rFonts w:ascii="Courier New" w:hAnsi="Courier New" w:hint="default"/>
      </w:rPr>
    </w:lvl>
    <w:lvl w:ilvl="5" w:tplc="4ABA1EC4">
      <w:start w:val="1"/>
      <w:numFmt w:val="bullet"/>
      <w:lvlText w:val=""/>
      <w:lvlJc w:val="left"/>
      <w:pPr>
        <w:ind w:left="4320" w:hanging="360"/>
      </w:pPr>
      <w:rPr>
        <w:rFonts w:ascii="Wingdings" w:hAnsi="Wingdings" w:hint="default"/>
      </w:rPr>
    </w:lvl>
    <w:lvl w:ilvl="6" w:tplc="89E2282A">
      <w:start w:val="1"/>
      <w:numFmt w:val="bullet"/>
      <w:lvlText w:val=""/>
      <w:lvlJc w:val="left"/>
      <w:pPr>
        <w:ind w:left="5040" w:hanging="360"/>
      </w:pPr>
      <w:rPr>
        <w:rFonts w:ascii="Symbol" w:hAnsi="Symbol" w:hint="default"/>
      </w:rPr>
    </w:lvl>
    <w:lvl w:ilvl="7" w:tplc="4CD03DC8">
      <w:start w:val="1"/>
      <w:numFmt w:val="bullet"/>
      <w:lvlText w:val="o"/>
      <w:lvlJc w:val="left"/>
      <w:pPr>
        <w:ind w:left="5760" w:hanging="360"/>
      </w:pPr>
      <w:rPr>
        <w:rFonts w:ascii="Courier New" w:hAnsi="Courier New" w:hint="default"/>
      </w:rPr>
    </w:lvl>
    <w:lvl w:ilvl="8" w:tplc="78828370">
      <w:start w:val="1"/>
      <w:numFmt w:val="bullet"/>
      <w:lvlText w:val=""/>
      <w:lvlJc w:val="left"/>
      <w:pPr>
        <w:ind w:left="6480" w:hanging="360"/>
      </w:pPr>
      <w:rPr>
        <w:rFonts w:ascii="Wingdings" w:hAnsi="Wingdings" w:hint="default"/>
      </w:rPr>
    </w:lvl>
  </w:abstractNum>
  <w:abstractNum w:abstractNumId="212" w15:restartNumberingAfterBreak="0">
    <w:nsid w:val="64125159"/>
    <w:multiLevelType w:val="hybridMultilevel"/>
    <w:tmpl w:val="6C94FF94"/>
    <w:lvl w:ilvl="0" w:tplc="240A0001">
      <w:start w:val="1"/>
      <w:numFmt w:val="bullet"/>
      <w:lvlText w:val=""/>
      <w:lvlJc w:val="left"/>
      <w:pPr>
        <w:ind w:left="720" w:hanging="360"/>
      </w:pPr>
      <w:rPr>
        <w:rFonts w:ascii="Symbol" w:hAnsi="Symbol" w:hint="default"/>
      </w:rPr>
    </w:lvl>
    <w:lvl w:ilvl="1" w:tplc="945CF454">
      <w:numFmt w:val="bullet"/>
      <w:lvlText w:val="•"/>
      <w:lvlJc w:val="left"/>
      <w:pPr>
        <w:ind w:left="1440" w:hanging="360"/>
      </w:pPr>
      <w:rPr>
        <w:rFonts w:ascii="Arial" w:eastAsia="Times New Roman" w:hAnsi="Arial" w:cs="Arial" w:hint="default"/>
        <w:color w:val="000000"/>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3" w15:restartNumberingAfterBreak="0">
    <w:nsid w:val="644F06B3"/>
    <w:multiLevelType w:val="hybridMultilevel"/>
    <w:tmpl w:val="0D7EE5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4" w15:restartNumberingAfterBreak="0">
    <w:nsid w:val="64956A33"/>
    <w:multiLevelType w:val="hybridMultilevel"/>
    <w:tmpl w:val="F7BCA56A"/>
    <w:lvl w:ilvl="0" w:tplc="86584BF8">
      <w:start w:val="1"/>
      <w:numFmt w:val="bullet"/>
      <w:lvlText w:val="·"/>
      <w:lvlJc w:val="left"/>
      <w:pPr>
        <w:ind w:left="720" w:hanging="360"/>
      </w:pPr>
      <w:rPr>
        <w:rFonts w:ascii="Arial, sans-serif" w:hAnsi="Arial, sans-serif" w:hint="default"/>
      </w:rPr>
    </w:lvl>
    <w:lvl w:ilvl="1" w:tplc="F4A892A8">
      <w:start w:val="1"/>
      <w:numFmt w:val="bullet"/>
      <w:lvlText w:val="o"/>
      <w:lvlJc w:val="left"/>
      <w:pPr>
        <w:ind w:left="1440" w:hanging="360"/>
      </w:pPr>
      <w:rPr>
        <w:rFonts w:ascii="Courier New" w:hAnsi="Courier New" w:hint="default"/>
      </w:rPr>
    </w:lvl>
    <w:lvl w:ilvl="2" w:tplc="E4E8541A">
      <w:start w:val="1"/>
      <w:numFmt w:val="bullet"/>
      <w:lvlText w:val=""/>
      <w:lvlJc w:val="left"/>
      <w:pPr>
        <w:ind w:left="2160" w:hanging="360"/>
      </w:pPr>
      <w:rPr>
        <w:rFonts w:ascii="Wingdings" w:hAnsi="Wingdings" w:hint="default"/>
      </w:rPr>
    </w:lvl>
    <w:lvl w:ilvl="3" w:tplc="E2543B06">
      <w:start w:val="1"/>
      <w:numFmt w:val="bullet"/>
      <w:lvlText w:val=""/>
      <w:lvlJc w:val="left"/>
      <w:pPr>
        <w:ind w:left="2880" w:hanging="360"/>
      </w:pPr>
      <w:rPr>
        <w:rFonts w:ascii="Symbol" w:hAnsi="Symbol" w:hint="default"/>
      </w:rPr>
    </w:lvl>
    <w:lvl w:ilvl="4" w:tplc="D0CA59D6">
      <w:start w:val="1"/>
      <w:numFmt w:val="bullet"/>
      <w:lvlText w:val="o"/>
      <w:lvlJc w:val="left"/>
      <w:pPr>
        <w:ind w:left="3600" w:hanging="360"/>
      </w:pPr>
      <w:rPr>
        <w:rFonts w:ascii="Courier New" w:hAnsi="Courier New" w:hint="default"/>
      </w:rPr>
    </w:lvl>
    <w:lvl w:ilvl="5" w:tplc="F69691EC">
      <w:start w:val="1"/>
      <w:numFmt w:val="bullet"/>
      <w:lvlText w:val=""/>
      <w:lvlJc w:val="left"/>
      <w:pPr>
        <w:ind w:left="4320" w:hanging="360"/>
      </w:pPr>
      <w:rPr>
        <w:rFonts w:ascii="Wingdings" w:hAnsi="Wingdings" w:hint="default"/>
      </w:rPr>
    </w:lvl>
    <w:lvl w:ilvl="6" w:tplc="AC42E9B2">
      <w:start w:val="1"/>
      <w:numFmt w:val="bullet"/>
      <w:lvlText w:val=""/>
      <w:lvlJc w:val="left"/>
      <w:pPr>
        <w:ind w:left="5040" w:hanging="360"/>
      </w:pPr>
      <w:rPr>
        <w:rFonts w:ascii="Symbol" w:hAnsi="Symbol" w:hint="default"/>
      </w:rPr>
    </w:lvl>
    <w:lvl w:ilvl="7" w:tplc="EB3293A0">
      <w:start w:val="1"/>
      <w:numFmt w:val="bullet"/>
      <w:lvlText w:val="o"/>
      <w:lvlJc w:val="left"/>
      <w:pPr>
        <w:ind w:left="5760" w:hanging="360"/>
      </w:pPr>
      <w:rPr>
        <w:rFonts w:ascii="Courier New" w:hAnsi="Courier New" w:hint="default"/>
      </w:rPr>
    </w:lvl>
    <w:lvl w:ilvl="8" w:tplc="CF78D75E">
      <w:start w:val="1"/>
      <w:numFmt w:val="bullet"/>
      <w:lvlText w:val=""/>
      <w:lvlJc w:val="left"/>
      <w:pPr>
        <w:ind w:left="6480" w:hanging="360"/>
      </w:pPr>
      <w:rPr>
        <w:rFonts w:ascii="Wingdings" w:hAnsi="Wingdings" w:hint="default"/>
      </w:rPr>
    </w:lvl>
  </w:abstractNum>
  <w:abstractNum w:abstractNumId="215" w15:restartNumberingAfterBreak="0">
    <w:nsid w:val="64A01339"/>
    <w:multiLevelType w:val="hybridMultilevel"/>
    <w:tmpl w:val="6F6A9BB2"/>
    <w:lvl w:ilvl="0" w:tplc="7F009C2A">
      <w:start w:val="1"/>
      <w:numFmt w:val="decimal"/>
      <w:lvlText w:val="%1."/>
      <w:lvlJc w:val="left"/>
      <w:pPr>
        <w:ind w:left="720" w:hanging="360"/>
      </w:pPr>
      <w:rPr>
        <w:b/>
      </w:rPr>
    </w:lvl>
    <w:lvl w:ilvl="1" w:tplc="F67C7770">
      <w:start w:val="1"/>
      <w:numFmt w:val="lowerLetter"/>
      <w:lvlText w:val="%2."/>
      <w:lvlJc w:val="left"/>
      <w:pPr>
        <w:ind w:left="1440" w:hanging="360"/>
      </w:pPr>
    </w:lvl>
    <w:lvl w:ilvl="2" w:tplc="8870BE9C">
      <w:start w:val="1"/>
      <w:numFmt w:val="lowerRoman"/>
      <w:lvlText w:val="%3."/>
      <w:lvlJc w:val="right"/>
      <w:pPr>
        <w:ind w:left="2160" w:hanging="180"/>
      </w:pPr>
    </w:lvl>
    <w:lvl w:ilvl="3" w:tplc="ECBC9370">
      <w:start w:val="1"/>
      <w:numFmt w:val="decimal"/>
      <w:lvlText w:val="%4."/>
      <w:lvlJc w:val="left"/>
      <w:pPr>
        <w:ind w:left="2880" w:hanging="360"/>
      </w:pPr>
    </w:lvl>
    <w:lvl w:ilvl="4" w:tplc="BF6288E0">
      <w:start w:val="1"/>
      <w:numFmt w:val="lowerLetter"/>
      <w:lvlText w:val="%5."/>
      <w:lvlJc w:val="left"/>
      <w:pPr>
        <w:ind w:left="3600" w:hanging="360"/>
      </w:pPr>
    </w:lvl>
    <w:lvl w:ilvl="5" w:tplc="78BC3508">
      <w:start w:val="1"/>
      <w:numFmt w:val="lowerRoman"/>
      <w:lvlText w:val="%6."/>
      <w:lvlJc w:val="right"/>
      <w:pPr>
        <w:ind w:left="4320" w:hanging="180"/>
      </w:pPr>
    </w:lvl>
    <w:lvl w:ilvl="6" w:tplc="EDF4486A">
      <w:start w:val="1"/>
      <w:numFmt w:val="decimal"/>
      <w:lvlText w:val="%7."/>
      <w:lvlJc w:val="left"/>
      <w:pPr>
        <w:ind w:left="5040" w:hanging="360"/>
      </w:pPr>
    </w:lvl>
    <w:lvl w:ilvl="7" w:tplc="A290FC9A">
      <w:start w:val="1"/>
      <w:numFmt w:val="lowerLetter"/>
      <w:lvlText w:val="%8."/>
      <w:lvlJc w:val="left"/>
      <w:pPr>
        <w:ind w:left="5760" w:hanging="360"/>
      </w:pPr>
    </w:lvl>
    <w:lvl w:ilvl="8" w:tplc="50C4ED92">
      <w:start w:val="1"/>
      <w:numFmt w:val="lowerRoman"/>
      <w:lvlText w:val="%9."/>
      <w:lvlJc w:val="right"/>
      <w:pPr>
        <w:ind w:left="6480" w:hanging="180"/>
      </w:pPr>
    </w:lvl>
  </w:abstractNum>
  <w:abstractNum w:abstractNumId="216" w15:restartNumberingAfterBreak="0">
    <w:nsid w:val="64B535CD"/>
    <w:multiLevelType w:val="hybridMultilevel"/>
    <w:tmpl w:val="6D40B08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7" w15:restartNumberingAfterBreak="0">
    <w:nsid w:val="64C93F19"/>
    <w:multiLevelType w:val="hybridMultilevel"/>
    <w:tmpl w:val="C866A582"/>
    <w:lvl w:ilvl="0" w:tplc="240A0001">
      <w:start w:val="1"/>
      <w:numFmt w:val="bullet"/>
      <w:lvlText w:val=""/>
      <w:lvlJc w:val="left"/>
      <w:pPr>
        <w:ind w:left="720" w:hanging="360"/>
      </w:pPr>
      <w:rPr>
        <w:rFonts w:ascii="Symbol" w:hAnsi="Symbol" w:hint="default"/>
      </w:rPr>
    </w:lvl>
    <w:lvl w:ilvl="1" w:tplc="33221066">
      <w:start w:val="1"/>
      <w:numFmt w:val="bullet"/>
      <w:lvlText w:val="o"/>
      <w:lvlJc w:val="left"/>
      <w:pPr>
        <w:ind w:left="1440" w:hanging="360"/>
      </w:pPr>
      <w:rPr>
        <w:rFonts w:ascii="Courier New" w:hAnsi="Courier New" w:hint="default"/>
      </w:rPr>
    </w:lvl>
    <w:lvl w:ilvl="2" w:tplc="9A8435B4">
      <w:start w:val="1"/>
      <w:numFmt w:val="bullet"/>
      <w:lvlText w:val=""/>
      <w:lvlJc w:val="left"/>
      <w:pPr>
        <w:ind w:left="2160" w:hanging="360"/>
      </w:pPr>
      <w:rPr>
        <w:rFonts w:ascii="Wingdings" w:hAnsi="Wingdings" w:hint="default"/>
      </w:rPr>
    </w:lvl>
    <w:lvl w:ilvl="3" w:tplc="B1547BE4">
      <w:start w:val="1"/>
      <w:numFmt w:val="bullet"/>
      <w:lvlText w:val=""/>
      <w:lvlJc w:val="left"/>
      <w:pPr>
        <w:ind w:left="2880" w:hanging="360"/>
      </w:pPr>
      <w:rPr>
        <w:rFonts w:ascii="Symbol" w:hAnsi="Symbol" w:hint="default"/>
      </w:rPr>
    </w:lvl>
    <w:lvl w:ilvl="4" w:tplc="52701168">
      <w:start w:val="1"/>
      <w:numFmt w:val="bullet"/>
      <w:lvlText w:val="o"/>
      <w:lvlJc w:val="left"/>
      <w:pPr>
        <w:ind w:left="3600" w:hanging="360"/>
      </w:pPr>
      <w:rPr>
        <w:rFonts w:ascii="Courier New" w:hAnsi="Courier New" w:hint="default"/>
      </w:rPr>
    </w:lvl>
    <w:lvl w:ilvl="5" w:tplc="38A468CC">
      <w:start w:val="1"/>
      <w:numFmt w:val="bullet"/>
      <w:lvlText w:val=""/>
      <w:lvlJc w:val="left"/>
      <w:pPr>
        <w:ind w:left="4320" w:hanging="360"/>
      </w:pPr>
      <w:rPr>
        <w:rFonts w:ascii="Wingdings" w:hAnsi="Wingdings" w:hint="default"/>
      </w:rPr>
    </w:lvl>
    <w:lvl w:ilvl="6" w:tplc="E99814C2">
      <w:start w:val="1"/>
      <w:numFmt w:val="bullet"/>
      <w:lvlText w:val=""/>
      <w:lvlJc w:val="left"/>
      <w:pPr>
        <w:ind w:left="5040" w:hanging="360"/>
      </w:pPr>
      <w:rPr>
        <w:rFonts w:ascii="Symbol" w:hAnsi="Symbol" w:hint="default"/>
      </w:rPr>
    </w:lvl>
    <w:lvl w:ilvl="7" w:tplc="C0702D66">
      <w:start w:val="1"/>
      <w:numFmt w:val="bullet"/>
      <w:lvlText w:val="o"/>
      <w:lvlJc w:val="left"/>
      <w:pPr>
        <w:ind w:left="5760" w:hanging="360"/>
      </w:pPr>
      <w:rPr>
        <w:rFonts w:ascii="Courier New" w:hAnsi="Courier New" w:hint="default"/>
      </w:rPr>
    </w:lvl>
    <w:lvl w:ilvl="8" w:tplc="FC0857E6">
      <w:start w:val="1"/>
      <w:numFmt w:val="bullet"/>
      <w:lvlText w:val=""/>
      <w:lvlJc w:val="left"/>
      <w:pPr>
        <w:ind w:left="6480" w:hanging="360"/>
      </w:pPr>
      <w:rPr>
        <w:rFonts w:ascii="Wingdings" w:hAnsi="Wingdings" w:hint="default"/>
      </w:rPr>
    </w:lvl>
  </w:abstractNum>
  <w:abstractNum w:abstractNumId="218" w15:restartNumberingAfterBreak="0">
    <w:nsid w:val="65A83830"/>
    <w:multiLevelType w:val="hybridMultilevel"/>
    <w:tmpl w:val="83281668"/>
    <w:lvl w:ilvl="0" w:tplc="FF16AE64">
      <w:start w:val="1"/>
      <w:numFmt w:val="bullet"/>
      <w:lvlText w:val="-"/>
      <w:lvlJc w:val="left"/>
      <w:pPr>
        <w:ind w:left="720" w:hanging="360"/>
      </w:pPr>
      <w:rPr>
        <w:rFonts w:ascii="Arial" w:hAnsi="Arial" w:hint="default"/>
      </w:rPr>
    </w:lvl>
    <w:lvl w:ilvl="1" w:tplc="DB34DDD6">
      <w:start w:val="1"/>
      <w:numFmt w:val="bullet"/>
      <w:lvlText w:val="o"/>
      <w:lvlJc w:val="left"/>
      <w:pPr>
        <w:ind w:left="1440" w:hanging="360"/>
      </w:pPr>
      <w:rPr>
        <w:rFonts w:ascii="Courier New" w:hAnsi="Courier New" w:hint="default"/>
      </w:rPr>
    </w:lvl>
    <w:lvl w:ilvl="2" w:tplc="1834FC32">
      <w:start w:val="1"/>
      <w:numFmt w:val="bullet"/>
      <w:lvlText w:val=""/>
      <w:lvlJc w:val="left"/>
      <w:pPr>
        <w:ind w:left="2160" w:hanging="360"/>
      </w:pPr>
      <w:rPr>
        <w:rFonts w:ascii="Wingdings" w:hAnsi="Wingdings" w:hint="default"/>
      </w:rPr>
    </w:lvl>
    <w:lvl w:ilvl="3" w:tplc="B3D4754C">
      <w:start w:val="1"/>
      <w:numFmt w:val="bullet"/>
      <w:lvlText w:val=""/>
      <w:lvlJc w:val="left"/>
      <w:pPr>
        <w:ind w:left="2880" w:hanging="360"/>
      </w:pPr>
      <w:rPr>
        <w:rFonts w:ascii="Symbol" w:hAnsi="Symbol" w:hint="default"/>
      </w:rPr>
    </w:lvl>
    <w:lvl w:ilvl="4" w:tplc="78A85364">
      <w:start w:val="1"/>
      <w:numFmt w:val="bullet"/>
      <w:lvlText w:val="o"/>
      <w:lvlJc w:val="left"/>
      <w:pPr>
        <w:ind w:left="3600" w:hanging="360"/>
      </w:pPr>
      <w:rPr>
        <w:rFonts w:ascii="Courier New" w:hAnsi="Courier New" w:hint="default"/>
      </w:rPr>
    </w:lvl>
    <w:lvl w:ilvl="5" w:tplc="B25266CE">
      <w:start w:val="1"/>
      <w:numFmt w:val="bullet"/>
      <w:lvlText w:val=""/>
      <w:lvlJc w:val="left"/>
      <w:pPr>
        <w:ind w:left="4320" w:hanging="360"/>
      </w:pPr>
      <w:rPr>
        <w:rFonts w:ascii="Wingdings" w:hAnsi="Wingdings" w:hint="default"/>
      </w:rPr>
    </w:lvl>
    <w:lvl w:ilvl="6" w:tplc="8246579A">
      <w:start w:val="1"/>
      <w:numFmt w:val="bullet"/>
      <w:lvlText w:val=""/>
      <w:lvlJc w:val="left"/>
      <w:pPr>
        <w:ind w:left="5040" w:hanging="360"/>
      </w:pPr>
      <w:rPr>
        <w:rFonts w:ascii="Symbol" w:hAnsi="Symbol" w:hint="default"/>
      </w:rPr>
    </w:lvl>
    <w:lvl w:ilvl="7" w:tplc="34224546">
      <w:start w:val="1"/>
      <w:numFmt w:val="bullet"/>
      <w:lvlText w:val="o"/>
      <w:lvlJc w:val="left"/>
      <w:pPr>
        <w:ind w:left="5760" w:hanging="360"/>
      </w:pPr>
      <w:rPr>
        <w:rFonts w:ascii="Courier New" w:hAnsi="Courier New" w:hint="default"/>
      </w:rPr>
    </w:lvl>
    <w:lvl w:ilvl="8" w:tplc="02F8301A">
      <w:start w:val="1"/>
      <w:numFmt w:val="bullet"/>
      <w:lvlText w:val=""/>
      <w:lvlJc w:val="left"/>
      <w:pPr>
        <w:ind w:left="6480" w:hanging="360"/>
      </w:pPr>
      <w:rPr>
        <w:rFonts w:ascii="Wingdings" w:hAnsi="Wingdings" w:hint="default"/>
      </w:rPr>
    </w:lvl>
  </w:abstractNum>
  <w:abstractNum w:abstractNumId="219" w15:restartNumberingAfterBreak="0">
    <w:nsid w:val="65D021C5"/>
    <w:multiLevelType w:val="hybridMultilevel"/>
    <w:tmpl w:val="6310F4D2"/>
    <w:lvl w:ilvl="0" w:tplc="240A0001">
      <w:start w:val="1"/>
      <w:numFmt w:val="bullet"/>
      <w:lvlText w:val=""/>
      <w:lvlJc w:val="left"/>
      <w:pPr>
        <w:tabs>
          <w:tab w:val="num" w:pos="720"/>
        </w:tabs>
        <w:ind w:left="720" w:hanging="360"/>
      </w:pPr>
      <w:rPr>
        <w:rFonts w:ascii="Symbol" w:hAnsi="Symbol" w:hint="default"/>
      </w:rPr>
    </w:lvl>
    <w:lvl w:ilvl="1" w:tplc="157CB1D2" w:tentative="1">
      <w:start w:val="1"/>
      <w:numFmt w:val="bullet"/>
      <w:lvlText w:val="•"/>
      <w:lvlJc w:val="left"/>
      <w:pPr>
        <w:tabs>
          <w:tab w:val="num" w:pos="1440"/>
        </w:tabs>
        <w:ind w:left="1440" w:hanging="360"/>
      </w:pPr>
      <w:rPr>
        <w:rFonts w:ascii="Times New Roman" w:hAnsi="Times New Roman" w:hint="default"/>
      </w:rPr>
    </w:lvl>
    <w:lvl w:ilvl="2" w:tplc="362CA4CC" w:tentative="1">
      <w:start w:val="1"/>
      <w:numFmt w:val="bullet"/>
      <w:lvlText w:val="•"/>
      <w:lvlJc w:val="left"/>
      <w:pPr>
        <w:tabs>
          <w:tab w:val="num" w:pos="2160"/>
        </w:tabs>
        <w:ind w:left="2160" w:hanging="360"/>
      </w:pPr>
      <w:rPr>
        <w:rFonts w:ascii="Times New Roman" w:hAnsi="Times New Roman" w:hint="default"/>
      </w:rPr>
    </w:lvl>
    <w:lvl w:ilvl="3" w:tplc="A4F4D598" w:tentative="1">
      <w:start w:val="1"/>
      <w:numFmt w:val="bullet"/>
      <w:lvlText w:val="•"/>
      <w:lvlJc w:val="left"/>
      <w:pPr>
        <w:tabs>
          <w:tab w:val="num" w:pos="2880"/>
        </w:tabs>
        <w:ind w:left="2880" w:hanging="360"/>
      </w:pPr>
      <w:rPr>
        <w:rFonts w:ascii="Times New Roman" w:hAnsi="Times New Roman" w:hint="default"/>
      </w:rPr>
    </w:lvl>
    <w:lvl w:ilvl="4" w:tplc="A00C810A" w:tentative="1">
      <w:start w:val="1"/>
      <w:numFmt w:val="bullet"/>
      <w:lvlText w:val="•"/>
      <w:lvlJc w:val="left"/>
      <w:pPr>
        <w:tabs>
          <w:tab w:val="num" w:pos="3600"/>
        </w:tabs>
        <w:ind w:left="3600" w:hanging="360"/>
      </w:pPr>
      <w:rPr>
        <w:rFonts w:ascii="Times New Roman" w:hAnsi="Times New Roman" w:hint="default"/>
      </w:rPr>
    </w:lvl>
    <w:lvl w:ilvl="5" w:tplc="EDC8C782" w:tentative="1">
      <w:start w:val="1"/>
      <w:numFmt w:val="bullet"/>
      <w:lvlText w:val="•"/>
      <w:lvlJc w:val="left"/>
      <w:pPr>
        <w:tabs>
          <w:tab w:val="num" w:pos="4320"/>
        </w:tabs>
        <w:ind w:left="4320" w:hanging="360"/>
      </w:pPr>
      <w:rPr>
        <w:rFonts w:ascii="Times New Roman" w:hAnsi="Times New Roman" w:hint="default"/>
      </w:rPr>
    </w:lvl>
    <w:lvl w:ilvl="6" w:tplc="78305408" w:tentative="1">
      <w:start w:val="1"/>
      <w:numFmt w:val="bullet"/>
      <w:lvlText w:val="•"/>
      <w:lvlJc w:val="left"/>
      <w:pPr>
        <w:tabs>
          <w:tab w:val="num" w:pos="5040"/>
        </w:tabs>
        <w:ind w:left="5040" w:hanging="360"/>
      </w:pPr>
      <w:rPr>
        <w:rFonts w:ascii="Times New Roman" w:hAnsi="Times New Roman" w:hint="default"/>
      </w:rPr>
    </w:lvl>
    <w:lvl w:ilvl="7" w:tplc="3C341ED8" w:tentative="1">
      <w:start w:val="1"/>
      <w:numFmt w:val="bullet"/>
      <w:lvlText w:val="•"/>
      <w:lvlJc w:val="left"/>
      <w:pPr>
        <w:tabs>
          <w:tab w:val="num" w:pos="5760"/>
        </w:tabs>
        <w:ind w:left="5760" w:hanging="360"/>
      </w:pPr>
      <w:rPr>
        <w:rFonts w:ascii="Times New Roman" w:hAnsi="Times New Roman" w:hint="default"/>
      </w:rPr>
    </w:lvl>
    <w:lvl w:ilvl="8" w:tplc="95F450C2" w:tentative="1">
      <w:start w:val="1"/>
      <w:numFmt w:val="bullet"/>
      <w:lvlText w:val="•"/>
      <w:lvlJc w:val="left"/>
      <w:pPr>
        <w:tabs>
          <w:tab w:val="num" w:pos="6480"/>
        </w:tabs>
        <w:ind w:left="6480" w:hanging="360"/>
      </w:pPr>
      <w:rPr>
        <w:rFonts w:ascii="Times New Roman" w:hAnsi="Times New Roman" w:hint="default"/>
      </w:rPr>
    </w:lvl>
  </w:abstractNum>
  <w:abstractNum w:abstractNumId="220" w15:restartNumberingAfterBreak="0">
    <w:nsid w:val="66807E9E"/>
    <w:multiLevelType w:val="hybridMultilevel"/>
    <w:tmpl w:val="0C347ADA"/>
    <w:lvl w:ilvl="0" w:tplc="240A000D">
      <w:start w:val="1"/>
      <w:numFmt w:val="bullet"/>
      <w:lvlText w:val=""/>
      <w:lvlJc w:val="left"/>
      <w:pPr>
        <w:ind w:left="927" w:hanging="360"/>
      </w:pPr>
      <w:rPr>
        <w:rFonts w:ascii="Wingdings" w:hAnsi="Wingding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21" w15:restartNumberingAfterBreak="0">
    <w:nsid w:val="669773D9"/>
    <w:multiLevelType w:val="hybridMultilevel"/>
    <w:tmpl w:val="2C12396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2" w15:restartNumberingAfterBreak="0">
    <w:nsid w:val="66D955FB"/>
    <w:multiLevelType w:val="hybridMultilevel"/>
    <w:tmpl w:val="7FDA4024"/>
    <w:lvl w:ilvl="0" w:tplc="3404D92A">
      <w:start w:val="1"/>
      <w:numFmt w:val="bullet"/>
      <w:lvlText w:val=""/>
      <w:lvlJc w:val="left"/>
      <w:pPr>
        <w:ind w:left="720" w:hanging="360"/>
      </w:pPr>
      <w:rPr>
        <w:rFonts w:ascii="Symbol" w:hAnsi="Symbol" w:hint="default"/>
      </w:rPr>
    </w:lvl>
    <w:lvl w:ilvl="1" w:tplc="AAAAE6D6">
      <w:start w:val="1"/>
      <w:numFmt w:val="bullet"/>
      <w:lvlText w:val="o"/>
      <w:lvlJc w:val="left"/>
      <w:pPr>
        <w:ind w:left="1440" w:hanging="360"/>
      </w:pPr>
      <w:rPr>
        <w:rFonts w:ascii="Courier New" w:hAnsi="Courier New" w:hint="default"/>
      </w:rPr>
    </w:lvl>
    <w:lvl w:ilvl="2" w:tplc="2D5EE3DA">
      <w:start w:val="1"/>
      <w:numFmt w:val="bullet"/>
      <w:lvlText w:val=""/>
      <w:lvlJc w:val="left"/>
      <w:pPr>
        <w:ind w:left="2160" w:hanging="360"/>
      </w:pPr>
      <w:rPr>
        <w:rFonts w:ascii="Wingdings" w:hAnsi="Wingdings" w:hint="default"/>
      </w:rPr>
    </w:lvl>
    <w:lvl w:ilvl="3" w:tplc="A55C61F8">
      <w:start w:val="1"/>
      <w:numFmt w:val="bullet"/>
      <w:lvlText w:val=""/>
      <w:lvlJc w:val="left"/>
      <w:pPr>
        <w:ind w:left="2880" w:hanging="360"/>
      </w:pPr>
      <w:rPr>
        <w:rFonts w:ascii="Symbol" w:hAnsi="Symbol" w:hint="default"/>
      </w:rPr>
    </w:lvl>
    <w:lvl w:ilvl="4" w:tplc="C1240E94">
      <w:start w:val="1"/>
      <w:numFmt w:val="bullet"/>
      <w:lvlText w:val="o"/>
      <w:lvlJc w:val="left"/>
      <w:pPr>
        <w:ind w:left="3600" w:hanging="360"/>
      </w:pPr>
      <w:rPr>
        <w:rFonts w:ascii="Courier New" w:hAnsi="Courier New" w:hint="default"/>
      </w:rPr>
    </w:lvl>
    <w:lvl w:ilvl="5" w:tplc="9F702090">
      <w:start w:val="1"/>
      <w:numFmt w:val="bullet"/>
      <w:lvlText w:val=""/>
      <w:lvlJc w:val="left"/>
      <w:pPr>
        <w:ind w:left="4320" w:hanging="360"/>
      </w:pPr>
      <w:rPr>
        <w:rFonts w:ascii="Wingdings" w:hAnsi="Wingdings" w:hint="default"/>
      </w:rPr>
    </w:lvl>
    <w:lvl w:ilvl="6" w:tplc="BA8863EA">
      <w:start w:val="1"/>
      <w:numFmt w:val="bullet"/>
      <w:lvlText w:val=""/>
      <w:lvlJc w:val="left"/>
      <w:pPr>
        <w:ind w:left="5040" w:hanging="360"/>
      </w:pPr>
      <w:rPr>
        <w:rFonts w:ascii="Symbol" w:hAnsi="Symbol" w:hint="default"/>
      </w:rPr>
    </w:lvl>
    <w:lvl w:ilvl="7" w:tplc="7EB211C8">
      <w:start w:val="1"/>
      <w:numFmt w:val="bullet"/>
      <w:lvlText w:val="o"/>
      <w:lvlJc w:val="left"/>
      <w:pPr>
        <w:ind w:left="5760" w:hanging="360"/>
      </w:pPr>
      <w:rPr>
        <w:rFonts w:ascii="Courier New" w:hAnsi="Courier New" w:hint="default"/>
      </w:rPr>
    </w:lvl>
    <w:lvl w:ilvl="8" w:tplc="9AD42F7A">
      <w:start w:val="1"/>
      <w:numFmt w:val="bullet"/>
      <w:lvlText w:val=""/>
      <w:lvlJc w:val="left"/>
      <w:pPr>
        <w:ind w:left="6480" w:hanging="360"/>
      </w:pPr>
      <w:rPr>
        <w:rFonts w:ascii="Wingdings" w:hAnsi="Wingdings" w:hint="default"/>
      </w:rPr>
    </w:lvl>
  </w:abstractNum>
  <w:abstractNum w:abstractNumId="223" w15:restartNumberingAfterBreak="0">
    <w:nsid w:val="670C7749"/>
    <w:multiLevelType w:val="hybridMultilevel"/>
    <w:tmpl w:val="E902A6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4" w15:restartNumberingAfterBreak="0">
    <w:nsid w:val="6722585D"/>
    <w:multiLevelType w:val="hybridMultilevel"/>
    <w:tmpl w:val="7B222F78"/>
    <w:lvl w:ilvl="0" w:tplc="800012AC">
      <w:start w:val="1"/>
      <w:numFmt w:val="bullet"/>
      <w:lvlText w:val="·"/>
      <w:lvlJc w:val="left"/>
      <w:pPr>
        <w:ind w:left="720" w:hanging="360"/>
      </w:pPr>
      <w:rPr>
        <w:rFonts w:ascii="Arial, sans-serif" w:hAnsi="Arial, sans-serif" w:hint="default"/>
      </w:rPr>
    </w:lvl>
    <w:lvl w:ilvl="1" w:tplc="C9B49706">
      <w:start w:val="1"/>
      <w:numFmt w:val="bullet"/>
      <w:lvlText w:val="o"/>
      <w:lvlJc w:val="left"/>
      <w:pPr>
        <w:ind w:left="1440" w:hanging="360"/>
      </w:pPr>
      <w:rPr>
        <w:rFonts w:ascii="Courier New" w:hAnsi="Courier New" w:hint="default"/>
      </w:rPr>
    </w:lvl>
    <w:lvl w:ilvl="2" w:tplc="6A0253C6">
      <w:start w:val="1"/>
      <w:numFmt w:val="bullet"/>
      <w:lvlText w:val=""/>
      <w:lvlJc w:val="left"/>
      <w:pPr>
        <w:ind w:left="2160" w:hanging="360"/>
      </w:pPr>
      <w:rPr>
        <w:rFonts w:ascii="Wingdings" w:hAnsi="Wingdings" w:hint="default"/>
      </w:rPr>
    </w:lvl>
    <w:lvl w:ilvl="3" w:tplc="2D242394">
      <w:start w:val="1"/>
      <w:numFmt w:val="bullet"/>
      <w:lvlText w:val=""/>
      <w:lvlJc w:val="left"/>
      <w:pPr>
        <w:ind w:left="2880" w:hanging="360"/>
      </w:pPr>
      <w:rPr>
        <w:rFonts w:ascii="Symbol" w:hAnsi="Symbol" w:hint="default"/>
      </w:rPr>
    </w:lvl>
    <w:lvl w:ilvl="4" w:tplc="4A8660BA">
      <w:start w:val="1"/>
      <w:numFmt w:val="bullet"/>
      <w:lvlText w:val="o"/>
      <w:lvlJc w:val="left"/>
      <w:pPr>
        <w:ind w:left="3600" w:hanging="360"/>
      </w:pPr>
      <w:rPr>
        <w:rFonts w:ascii="Courier New" w:hAnsi="Courier New" w:hint="default"/>
      </w:rPr>
    </w:lvl>
    <w:lvl w:ilvl="5" w:tplc="55669ECC">
      <w:start w:val="1"/>
      <w:numFmt w:val="bullet"/>
      <w:lvlText w:val=""/>
      <w:lvlJc w:val="left"/>
      <w:pPr>
        <w:ind w:left="4320" w:hanging="360"/>
      </w:pPr>
      <w:rPr>
        <w:rFonts w:ascii="Wingdings" w:hAnsi="Wingdings" w:hint="default"/>
      </w:rPr>
    </w:lvl>
    <w:lvl w:ilvl="6" w:tplc="64881A56">
      <w:start w:val="1"/>
      <w:numFmt w:val="bullet"/>
      <w:lvlText w:val=""/>
      <w:lvlJc w:val="left"/>
      <w:pPr>
        <w:ind w:left="5040" w:hanging="360"/>
      </w:pPr>
      <w:rPr>
        <w:rFonts w:ascii="Symbol" w:hAnsi="Symbol" w:hint="default"/>
      </w:rPr>
    </w:lvl>
    <w:lvl w:ilvl="7" w:tplc="B8866E00">
      <w:start w:val="1"/>
      <w:numFmt w:val="bullet"/>
      <w:lvlText w:val="o"/>
      <w:lvlJc w:val="left"/>
      <w:pPr>
        <w:ind w:left="5760" w:hanging="360"/>
      </w:pPr>
      <w:rPr>
        <w:rFonts w:ascii="Courier New" w:hAnsi="Courier New" w:hint="default"/>
      </w:rPr>
    </w:lvl>
    <w:lvl w:ilvl="8" w:tplc="81A037E2">
      <w:start w:val="1"/>
      <w:numFmt w:val="bullet"/>
      <w:lvlText w:val=""/>
      <w:lvlJc w:val="left"/>
      <w:pPr>
        <w:ind w:left="6480" w:hanging="360"/>
      </w:pPr>
      <w:rPr>
        <w:rFonts w:ascii="Wingdings" w:hAnsi="Wingdings" w:hint="default"/>
      </w:rPr>
    </w:lvl>
  </w:abstractNum>
  <w:abstractNum w:abstractNumId="225" w15:restartNumberingAfterBreak="0">
    <w:nsid w:val="676D09E2"/>
    <w:multiLevelType w:val="hybridMultilevel"/>
    <w:tmpl w:val="B3D473E6"/>
    <w:lvl w:ilvl="0" w:tplc="C3A2AF46">
      <w:start w:val="1"/>
      <w:numFmt w:val="bullet"/>
      <w:lvlText w:val="·"/>
      <w:lvlJc w:val="left"/>
      <w:pPr>
        <w:ind w:left="720" w:hanging="360"/>
      </w:pPr>
      <w:rPr>
        <w:rFonts w:ascii="Arial, sans-serif" w:hAnsi="Arial, sans-serif" w:hint="default"/>
      </w:rPr>
    </w:lvl>
    <w:lvl w:ilvl="1" w:tplc="877E9558">
      <w:start w:val="1"/>
      <w:numFmt w:val="bullet"/>
      <w:lvlText w:val="o"/>
      <w:lvlJc w:val="left"/>
      <w:pPr>
        <w:ind w:left="1440" w:hanging="360"/>
      </w:pPr>
      <w:rPr>
        <w:rFonts w:ascii="Courier New" w:hAnsi="Courier New" w:hint="default"/>
      </w:rPr>
    </w:lvl>
    <w:lvl w:ilvl="2" w:tplc="FB082F32">
      <w:start w:val="1"/>
      <w:numFmt w:val="bullet"/>
      <w:lvlText w:val=""/>
      <w:lvlJc w:val="left"/>
      <w:pPr>
        <w:ind w:left="2160" w:hanging="360"/>
      </w:pPr>
      <w:rPr>
        <w:rFonts w:ascii="Wingdings" w:hAnsi="Wingdings" w:hint="default"/>
      </w:rPr>
    </w:lvl>
    <w:lvl w:ilvl="3" w:tplc="1E98F1AE">
      <w:start w:val="1"/>
      <w:numFmt w:val="bullet"/>
      <w:lvlText w:val=""/>
      <w:lvlJc w:val="left"/>
      <w:pPr>
        <w:ind w:left="2880" w:hanging="360"/>
      </w:pPr>
      <w:rPr>
        <w:rFonts w:ascii="Symbol" w:hAnsi="Symbol" w:hint="default"/>
      </w:rPr>
    </w:lvl>
    <w:lvl w:ilvl="4" w:tplc="52249120">
      <w:start w:val="1"/>
      <w:numFmt w:val="bullet"/>
      <w:lvlText w:val="o"/>
      <w:lvlJc w:val="left"/>
      <w:pPr>
        <w:ind w:left="3600" w:hanging="360"/>
      </w:pPr>
      <w:rPr>
        <w:rFonts w:ascii="Courier New" w:hAnsi="Courier New" w:hint="default"/>
      </w:rPr>
    </w:lvl>
    <w:lvl w:ilvl="5" w:tplc="EFD674F2">
      <w:start w:val="1"/>
      <w:numFmt w:val="bullet"/>
      <w:lvlText w:val=""/>
      <w:lvlJc w:val="left"/>
      <w:pPr>
        <w:ind w:left="4320" w:hanging="360"/>
      </w:pPr>
      <w:rPr>
        <w:rFonts w:ascii="Wingdings" w:hAnsi="Wingdings" w:hint="default"/>
      </w:rPr>
    </w:lvl>
    <w:lvl w:ilvl="6" w:tplc="C598F37C">
      <w:start w:val="1"/>
      <w:numFmt w:val="bullet"/>
      <w:lvlText w:val=""/>
      <w:lvlJc w:val="left"/>
      <w:pPr>
        <w:ind w:left="5040" w:hanging="360"/>
      </w:pPr>
      <w:rPr>
        <w:rFonts w:ascii="Symbol" w:hAnsi="Symbol" w:hint="default"/>
      </w:rPr>
    </w:lvl>
    <w:lvl w:ilvl="7" w:tplc="80FCB968">
      <w:start w:val="1"/>
      <w:numFmt w:val="bullet"/>
      <w:lvlText w:val="o"/>
      <w:lvlJc w:val="left"/>
      <w:pPr>
        <w:ind w:left="5760" w:hanging="360"/>
      </w:pPr>
      <w:rPr>
        <w:rFonts w:ascii="Courier New" w:hAnsi="Courier New" w:hint="default"/>
      </w:rPr>
    </w:lvl>
    <w:lvl w:ilvl="8" w:tplc="5F7EDEE6">
      <w:start w:val="1"/>
      <w:numFmt w:val="bullet"/>
      <w:lvlText w:val=""/>
      <w:lvlJc w:val="left"/>
      <w:pPr>
        <w:ind w:left="6480" w:hanging="360"/>
      </w:pPr>
      <w:rPr>
        <w:rFonts w:ascii="Wingdings" w:hAnsi="Wingdings" w:hint="default"/>
      </w:rPr>
    </w:lvl>
  </w:abstractNum>
  <w:abstractNum w:abstractNumId="226" w15:restartNumberingAfterBreak="0">
    <w:nsid w:val="67E92871"/>
    <w:multiLevelType w:val="multilevel"/>
    <w:tmpl w:val="6908BEB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7" w15:restartNumberingAfterBreak="0">
    <w:nsid w:val="68167386"/>
    <w:multiLevelType w:val="hybridMultilevel"/>
    <w:tmpl w:val="0A5E20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8" w15:restartNumberingAfterBreak="0">
    <w:nsid w:val="6818212B"/>
    <w:multiLevelType w:val="hybridMultilevel"/>
    <w:tmpl w:val="4D2AAAE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9" w15:restartNumberingAfterBreak="0">
    <w:nsid w:val="683346EB"/>
    <w:multiLevelType w:val="hybridMultilevel"/>
    <w:tmpl w:val="BDDAD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0" w15:restartNumberingAfterBreak="0">
    <w:nsid w:val="68485670"/>
    <w:multiLevelType w:val="hybridMultilevel"/>
    <w:tmpl w:val="B792E81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1" w15:restartNumberingAfterBreak="0">
    <w:nsid w:val="685F54C2"/>
    <w:multiLevelType w:val="hybridMultilevel"/>
    <w:tmpl w:val="1E609AAC"/>
    <w:lvl w:ilvl="0" w:tplc="4B9CF1E8">
      <w:start w:val="1"/>
      <w:numFmt w:val="bullet"/>
      <w:lvlText w:val=""/>
      <w:lvlJc w:val="left"/>
      <w:pPr>
        <w:ind w:left="785" w:hanging="360"/>
      </w:pPr>
      <w:rPr>
        <w:rFonts w:ascii="Symbol" w:hAnsi="Symbol" w:hint="default"/>
        <w:sz w:val="22"/>
      </w:rPr>
    </w:lvl>
    <w:lvl w:ilvl="1" w:tplc="240A0003" w:tentative="1">
      <w:start w:val="1"/>
      <w:numFmt w:val="bullet"/>
      <w:lvlText w:val="o"/>
      <w:lvlJc w:val="left"/>
      <w:pPr>
        <w:ind w:left="1505" w:hanging="360"/>
      </w:pPr>
      <w:rPr>
        <w:rFonts w:ascii="Courier New" w:hAnsi="Courier New" w:cs="Courier New" w:hint="default"/>
      </w:rPr>
    </w:lvl>
    <w:lvl w:ilvl="2" w:tplc="240A0005" w:tentative="1">
      <w:start w:val="1"/>
      <w:numFmt w:val="bullet"/>
      <w:lvlText w:val=""/>
      <w:lvlJc w:val="left"/>
      <w:pPr>
        <w:ind w:left="2225" w:hanging="360"/>
      </w:pPr>
      <w:rPr>
        <w:rFonts w:ascii="Wingdings" w:hAnsi="Wingdings" w:hint="default"/>
      </w:rPr>
    </w:lvl>
    <w:lvl w:ilvl="3" w:tplc="240A0001" w:tentative="1">
      <w:start w:val="1"/>
      <w:numFmt w:val="bullet"/>
      <w:lvlText w:val=""/>
      <w:lvlJc w:val="left"/>
      <w:pPr>
        <w:ind w:left="2945" w:hanging="360"/>
      </w:pPr>
      <w:rPr>
        <w:rFonts w:ascii="Symbol" w:hAnsi="Symbol" w:hint="default"/>
      </w:rPr>
    </w:lvl>
    <w:lvl w:ilvl="4" w:tplc="240A0003" w:tentative="1">
      <w:start w:val="1"/>
      <w:numFmt w:val="bullet"/>
      <w:lvlText w:val="o"/>
      <w:lvlJc w:val="left"/>
      <w:pPr>
        <w:ind w:left="3665" w:hanging="360"/>
      </w:pPr>
      <w:rPr>
        <w:rFonts w:ascii="Courier New" w:hAnsi="Courier New" w:cs="Courier New" w:hint="default"/>
      </w:rPr>
    </w:lvl>
    <w:lvl w:ilvl="5" w:tplc="240A0005" w:tentative="1">
      <w:start w:val="1"/>
      <w:numFmt w:val="bullet"/>
      <w:lvlText w:val=""/>
      <w:lvlJc w:val="left"/>
      <w:pPr>
        <w:ind w:left="4385" w:hanging="360"/>
      </w:pPr>
      <w:rPr>
        <w:rFonts w:ascii="Wingdings" w:hAnsi="Wingdings" w:hint="default"/>
      </w:rPr>
    </w:lvl>
    <w:lvl w:ilvl="6" w:tplc="240A0001" w:tentative="1">
      <w:start w:val="1"/>
      <w:numFmt w:val="bullet"/>
      <w:lvlText w:val=""/>
      <w:lvlJc w:val="left"/>
      <w:pPr>
        <w:ind w:left="5105" w:hanging="360"/>
      </w:pPr>
      <w:rPr>
        <w:rFonts w:ascii="Symbol" w:hAnsi="Symbol" w:hint="default"/>
      </w:rPr>
    </w:lvl>
    <w:lvl w:ilvl="7" w:tplc="240A0003" w:tentative="1">
      <w:start w:val="1"/>
      <w:numFmt w:val="bullet"/>
      <w:lvlText w:val="o"/>
      <w:lvlJc w:val="left"/>
      <w:pPr>
        <w:ind w:left="5825" w:hanging="360"/>
      </w:pPr>
      <w:rPr>
        <w:rFonts w:ascii="Courier New" w:hAnsi="Courier New" w:cs="Courier New" w:hint="default"/>
      </w:rPr>
    </w:lvl>
    <w:lvl w:ilvl="8" w:tplc="240A0005" w:tentative="1">
      <w:start w:val="1"/>
      <w:numFmt w:val="bullet"/>
      <w:lvlText w:val=""/>
      <w:lvlJc w:val="left"/>
      <w:pPr>
        <w:ind w:left="6545" w:hanging="360"/>
      </w:pPr>
      <w:rPr>
        <w:rFonts w:ascii="Wingdings" w:hAnsi="Wingdings" w:hint="default"/>
      </w:rPr>
    </w:lvl>
  </w:abstractNum>
  <w:abstractNum w:abstractNumId="232" w15:restartNumberingAfterBreak="0">
    <w:nsid w:val="693A1E51"/>
    <w:multiLevelType w:val="hybridMultilevel"/>
    <w:tmpl w:val="55BEE9BC"/>
    <w:lvl w:ilvl="0" w:tplc="240A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3" w15:restartNumberingAfterBreak="0">
    <w:nsid w:val="694E2FD6"/>
    <w:multiLevelType w:val="hybridMultilevel"/>
    <w:tmpl w:val="E110E52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4" w15:restartNumberingAfterBreak="0">
    <w:nsid w:val="694F48BE"/>
    <w:multiLevelType w:val="hybridMultilevel"/>
    <w:tmpl w:val="58088216"/>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35" w15:restartNumberingAfterBreak="0">
    <w:nsid w:val="69983FCB"/>
    <w:multiLevelType w:val="hybridMultilevel"/>
    <w:tmpl w:val="FFFFFFFF"/>
    <w:lvl w:ilvl="0" w:tplc="1F3214CC">
      <w:start w:val="1"/>
      <w:numFmt w:val="bullet"/>
      <w:lvlText w:val="·"/>
      <w:lvlJc w:val="left"/>
      <w:pPr>
        <w:ind w:left="720" w:hanging="360"/>
      </w:pPr>
      <w:rPr>
        <w:rFonts w:ascii="Symbol" w:hAnsi="Symbol" w:hint="default"/>
      </w:rPr>
    </w:lvl>
    <w:lvl w:ilvl="1" w:tplc="1EC492F0">
      <w:start w:val="1"/>
      <w:numFmt w:val="bullet"/>
      <w:lvlText w:val="o"/>
      <w:lvlJc w:val="left"/>
      <w:pPr>
        <w:ind w:left="1440" w:hanging="360"/>
      </w:pPr>
      <w:rPr>
        <w:rFonts w:ascii="Courier New" w:hAnsi="Courier New" w:hint="default"/>
      </w:rPr>
    </w:lvl>
    <w:lvl w:ilvl="2" w:tplc="9E42E2B4">
      <w:start w:val="1"/>
      <w:numFmt w:val="bullet"/>
      <w:lvlText w:val=""/>
      <w:lvlJc w:val="left"/>
      <w:pPr>
        <w:ind w:left="2160" w:hanging="360"/>
      </w:pPr>
      <w:rPr>
        <w:rFonts w:ascii="Wingdings" w:hAnsi="Wingdings" w:hint="default"/>
      </w:rPr>
    </w:lvl>
    <w:lvl w:ilvl="3" w:tplc="983225FE">
      <w:start w:val="1"/>
      <w:numFmt w:val="bullet"/>
      <w:lvlText w:val=""/>
      <w:lvlJc w:val="left"/>
      <w:pPr>
        <w:ind w:left="2880" w:hanging="360"/>
      </w:pPr>
      <w:rPr>
        <w:rFonts w:ascii="Symbol" w:hAnsi="Symbol" w:hint="default"/>
      </w:rPr>
    </w:lvl>
    <w:lvl w:ilvl="4" w:tplc="E84A1244">
      <w:start w:val="1"/>
      <w:numFmt w:val="bullet"/>
      <w:lvlText w:val="o"/>
      <w:lvlJc w:val="left"/>
      <w:pPr>
        <w:ind w:left="3600" w:hanging="360"/>
      </w:pPr>
      <w:rPr>
        <w:rFonts w:ascii="Courier New" w:hAnsi="Courier New" w:hint="default"/>
      </w:rPr>
    </w:lvl>
    <w:lvl w:ilvl="5" w:tplc="1450C424">
      <w:start w:val="1"/>
      <w:numFmt w:val="bullet"/>
      <w:lvlText w:val=""/>
      <w:lvlJc w:val="left"/>
      <w:pPr>
        <w:ind w:left="4320" w:hanging="360"/>
      </w:pPr>
      <w:rPr>
        <w:rFonts w:ascii="Wingdings" w:hAnsi="Wingdings" w:hint="default"/>
      </w:rPr>
    </w:lvl>
    <w:lvl w:ilvl="6" w:tplc="1A8CF450">
      <w:start w:val="1"/>
      <w:numFmt w:val="bullet"/>
      <w:lvlText w:val=""/>
      <w:lvlJc w:val="left"/>
      <w:pPr>
        <w:ind w:left="5040" w:hanging="360"/>
      </w:pPr>
      <w:rPr>
        <w:rFonts w:ascii="Symbol" w:hAnsi="Symbol" w:hint="default"/>
      </w:rPr>
    </w:lvl>
    <w:lvl w:ilvl="7" w:tplc="525C23D6">
      <w:start w:val="1"/>
      <w:numFmt w:val="bullet"/>
      <w:lvlText w:val="o"/>
      <w:lvlJc w:val="left"/>
      <w:pPr>
        <w:ind w:left="5760" w:hanging="360"/>
      </w:pPr>
      <w:rPr>
        <w:rFonts w:ascii="Courier New" w:hAnsi="Courier New" w:hint="default"/>
      </w:rPr>
    </w:lvl>
    <w:lvl w:ilvl="8" w:tplc="2DBE45A6">
      <w:start w:val="1"/>
      <w:numFmt w:val="bullet"/>
      <w:lvlText w:val=""/>
      <w:lvlJc w:val="left"/>
      <w:pPr>
        <w:ind w:left="6480" w:hanging="360"/>
      </w:pPr>
      <w:rPr>
        <w:rFonts w:ascii="Wingdings" w:hAnsi="Wingdings" w:hint="default"/>
      </w:rPr>
    </w:lvl>
  </w:abstractNum>
  <w:abstractNum w:abstractNumId="236" w15:restartNumberingAfterBreak="0">
    <w:nsid w:val="69B16C36"/>
    <w:multiLevelType w:val="hybridMultilevel"/>
    <w:tmpl w:val="47CCF2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7" w15:restartNumberingAfterBreak="0">
    <w:nsid w:val="69D30F70"/>
    <w:multiLevelType w:val="hybridMultilevel"/>
    <w:tmpl w:val="D6948EDA"/>
    <w:lvl w:ilvl="0" w:tplc="A364B51C">
      <w:start w:val="1"/>
      <w:numFmt w:val="bullet"/>
      <w:lvlText w:val=""/>
      <w:lvlJc w:val="left"/>
      <w:pPr>
        <w:ind w:left="720" w:hanging="360"/>
      </w:pPr>
      <w:rPr>
        <w:rFonts w:ascii="Symbol" w:hAnsi="Symbol" w:hint="default"/>
      </w:rPr>
    </w:lvl>
    <w:lvl w:ilvl="1" w:tplc="6DC45328">
      <w:start w:val="1"/>
      <w:numFmt w:val="bullet"/>
      <w:lvlText w:val="·"/>
      <w:lvlJc w:val="left"/>
      <w:pPr>
        <w:ind w:left="1440" w:hanging="360"/>
      </w:pPr>
      <w:rPr>
        <w:rFonts w:ascii="Symbol" w:hAnsi="Symbol" w:hint="default"/>
      </w:rPr>
    </w:lvl>
    <w:lvl w:ilvl="2" w:tplc="BA362030">
      <w:start w:val="1"/>
      <w:numFmt w:val="bullet"/>
      <w:lvlText w:val=""/>
      <w:lvlJc w:val="left"/>
      <w:pPr>
        <w:ind w:left="2160" w:hanging="360"/>
      </w:pPr>
      <w:rPr>
        <w:rFonts w:ascii="Wingdings" w:hAnsi="Wingdings" w:hint="default"/>
      </w:rPr>
    </w:lvl>
    <w:lvl w:ilvl="3" w:tplc="1BBC7426">
      <w:start w:val="1"/>
      <w:numFmt w:val="bullet"/>
      <w:lvlText w:val=""/>
      <w:lvlJc w:val="left"/>
      <w:pPr>
        <w:ind w:left="2880" w:hanging="360"/>
      </w:pPr>
      <w:rPr>
        <w:rFonts w:ascii="Symbol" w:hAnsi="Symbol" w:hint="default"/>
      </w:rPr>
    </w:lvl>
    <w:lvl w:ilvl="4" w:tplc="6526EB78">
      <w:start w:val="1"/>
      <w:numFmt w:val="bullet"/>
      <w:lvlText w:val="o"/>
      <w:lvlJc w:val="left"/>
      <w:pPr>
        <w:ind w:left="3600" w:hanging="360"/>
      </w:pPr>
      <w:rPr>
        <w:rFonts w:ascii="Courier New" w:hAnsi="Courier New" w:hint="default"/>
      </w:rPr>
    </w:lvl>
    <w:lvl w:ilvl="5" w:tplc="ED987C50">
      <w:start w:val="1"/>
      <w:numFmt w:val="bullet"/>
      <w:lvlText w:val=""/>
      <w:lvlJc w:val="left"/>
      <w:pPr>
        <w:ind w:left="4320" w:hanging="360"/>
      </w:pPr>
      <w:rPr>
        <w:rFonts w:ascii="Wingdings" w:hAnsi="Wingdings" w:hint="default"/>
      </w:rPr>
    </w:lvl>
    <w:lvl w:ilvl="6" w:tplc="7958B602">
      <w:start w:val="1"/>
      <w:numFmt w:val="bullet"/>
      <w:lvlText w:val=""/>
      <w:lvlJc w:val="left"/>
      <w:pPr>
        <w:ind w:left="5040" w:hanging="360"/>
      </w:pPr>
      <w:rPr>
        <w:rFonts w:ascii="Symbol" w:hAnsi="Symbol" w:hint="default"/>
      </w:rPr>
    </w:lvl>
    <w:lvl w:ilvl="7" w:tplc="06DC8A98">
      <w:start w:val="1"/>
      <w:numFmt w:val="bullet"/>
      <w:lvlText w:val="o"/>
      <w:lvlJc w:val="left"/>
      <w:pPr>
        <w:ind w:left="5760" w:hanging="360"/>
      </w:pPr>
      <w:rPr>
        <w:rFonts w:ascii="Courier New" w:hAnsi="Courier New" w:hint="default"/>
      </w:rPr>
    </w:lvl>
    <w:lvl w:ilvl="8" w:tplc="71204774">
      <w:start w:val="1"/>
      <w:numFmt w:val="bullet"/>
      <w:lvlText w:val=""/>
      <w:lvlJc w:val="left"/>
      <w:pPr>
        <w:ind w:left="6480" w:hanging="360"/>
      </w:pPr>
      <w:rPr>
        <w:rFonts w:ascii="Wingdings" w:hAnsi="Wingdings" w:hint="default"/>
      </w:rPr>
    </w:lvl>
  </w:abstractNum>
  <w:abstractNum w:abstractNumId="238" w15:restartNumberingAfterBreak="0">
    <w:nsid w:val="69D976CE"/>
    <w:multiLevelType w:val="multilevel"/>
    <w:tmpl w:val="1CE499B4"/>
    <w:styleLink w:val="Estilo2"/>
    <w:lvl w:ilvl="0">
      <w:start w:val="1"/>
      <w:numFmt w:val="lowerLetter"/>
      <w:lvlText w:val="%1)"/>
      <w:lvlJc w:val="left"/>
      <w:pPr>
        <w:tabs>
          <w:tab w:val="num" w:pos="1069"/>
        </w:tabs>
        <w:ind w:left="1069" w:hanging="360"/>
      </w:pPr>
      <w:rPr>
        <w:rFonts w:hint="default"/>
        <w:b/>
        <w:sz w:val="22"/>
      </w:rPr>
    </w:lvl>
    <w:lvl w:ilvl="1">
      <w:start w:val="1"/>
      <w:numFmt w:val="bullet"/>
      <w:lvlText w:val=""/>
      <w:lvlJc w:val="left"/>
      <w:pPr>
        <w:tabs>
          <w:tab w:val="num" w:pos="1789"/>
        </w:tabs>
        <w:ind w:left="1789" w:hanging="360"/>
      </w:pPr>
      <w:rPr>
        <w:rFonts w:ascii="Symbol" w:hAnsi="Symbol" w:hint="default"/>
        <w:sz w:val="20"/>
      </w:rPr>
    </w:lvl>
    <w:lvl w:ilvl="2" w:tentative="1">
      <w:start w:val="1"/>
      <w:numFmt w:val="bullet"/>
      <w:lvlText w:val=""/>
      <w:lvlJc w:val="left"/>
      <w:pPr>
        <w:tabs>
          <w:tab w:val="num" w:pos="2509"/>
        </w:tabs>
        <w:ind w:left="2509" w:hanging="360"/>
      </w:pPr>
      <w:rPr>
        <w:rFonts w:ascii="Symbol" w:hAnsi="Symbol" w:hint="default"/>
        <w:sz w:val="20"/>
      </w:rPr>
    </w:lvl>
    <w:lvl w:ilvl="3" w:tentative="1">
      <w:start w:val="1"/>
      <w:numFmt w:val="bullet"/>
      <w:lvlText w:val=""/>
      <w:lvlJc w:val="left"/>
      <w:pPr>
        <w:tabs>
          <w:tab w:val="num" w:pos="3229"/>
        </w:tabs>
        <w:ind w:left="3229" w:hanging="360"/>
      </w:pPr>
      <w:rPr>
        <w:rFonts w:ascii="Symbol" w:hAnsi="Symbol" w:hint="default"/>
        <w:sz w:val="20"/>
      </w:rPr>
    </w:lvl>
    <w:lvl w:ilvl="4" w:tentative="1">
      <w:start w:val="1"/>
      <w:numFmt w:val="bullet"/>
      <w:lvlText w:val=""/>
      <w:lvlJc w:val="left"/>
      <w:pPr>
        <w:tabs>
          <w:tab w:val="num" w:pos="3949"/>
        </w:tabs>
        <w:ind w:left="3949" w:hanging="360"/>
      </w:pPr>
      <w:rPr>
        <w:rFonts w:ascii="Symbol" w:hAnsi="Symbol" w:hint="default"/>
        <w:sz w:val="20"/>
      </w:rPr>
    </w:lvl>
    <w:lvl w:ilvl="5" w:tentative="1">
      <w:start w:val="1"/>
      <w:numFmt w:val="bullet"/>
      <w:lvlText w:val=""/>
      <w:lvlJc w:val="left"/>
      <w:pPr>
        <w:tabs>
          <w:tab w:val="num" w:pos="4669"/>
        </w:tabs>
        <w:ind w:left="4669" w:hanging="360"/>
      </w:pPr>
      <w:rPr>
        <w:rFonts w:ascii="Symbol" w:hAnsi="Symbol" w:hint="default"/>
        <w:sz w:val="20"/>
      </w:rPr>
    </w:lvl>
    <w:lvl w:ilvl="6" w:tentative="1">
      <w:start w:val="1"/>
      <w:numFmt w:val="bullet"/>
      <w:lvlText w:val=""/>
      <w:lvlJc w:val="left"/>
      <w:pPr>
        <w:tabs>
          <w:tab w:val="num" w:pos="5389"/>
        </w:tabs>
        <w:ind w:left="5389" w:hanging="360"/>
      </w:pPr>
      <w:rPr>
        <w:rFonts w:ascii="Symbol" w:hAnsi="Symbol" w:hint="default"/>
        <w:sz w:val="20"/>
      </w:rPr>
    </w:lvl>
    <w:lvl w:ilvl="7" w:tentative="1">
      <w:start w:val="1"/>
      <w:numFmt w:val="bullet"/>
      <w:lvlText w:val=""/>
      <w:lvlJc w:val="left"/>
      <w:pPr>
        <w:tabs>
          <w:tab w:val="num" w:pos="6109"/>
        </w:tabs>
        <w:ind w:left="6109" w:hanging="360"/>
      </w:pPr>
      <w:rPr>
        <w:rFonts w:ascii="Symbol" w:hAnsi="Symbol" w:hint="default"/>
        <w:sz w:val="20"/>
      </w:rPr>
    </w:lvl>
    <w:lvl w:ilvl="8" w:tentative="1">
      <w:start w:val="1"/>
      <w:numFmt w:val="bullet"/>
      <w:lvlText w:val=""/>
      <w:lvlJc w:val="left"/>
      <w:pPr>
        <w:tabs>
          <w:tab w:val="num" w:pos="6829"/>
        </w:tabs>
        <w:ind w:left="6829" w:hanging="360"/>
      </w:pPr>
      <w:rPr>
        <w:rFonts w:ascii="Symbol" w:hAnsi="Symbol" w:hint="default"/>
        <w:sz w:val="20"/>
      </w:rPr>
    </w:lvl>
  </w:abstractNum>
  <w:abstractNum w:abstractNumId="239" w15:restartNumberingAfterBreak="0">
    <w:nsid w:val="6A4B0F38"/>
    <w:multiLevelType w:val="hybridMultilevel"/>
    <w:tmpl w:val="F378E206"/>
    <w:lvl w:ilvl="0" w:tplc="B3685232">
      <w:numFmt w:val="bullet"/>
      <w:lvlText w:val=""/>
      <w:lvlJc w:val="left"/>
      <w:pPr>
        <w:ind w:left="780" w:hanging="360"/>
      </w:pPr>
      <w:rPr>
        <w:rFonts w:ascii="Symbol" w:eastAsia="Times New Roman" w:hAnsi="Symbol" w:cs="Times New Roman"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abstractNum w:abstractNumId="240" w15:restartNumberingAfterBreak="0">
    <w:nsid w:val="6ABA3AD5"/>
    <w:multiLevelType w:val="hybridMultilevel"/>
    <w:tmpl w:val="9E64D06E"/>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41" w15:restartNumberingAfterBreak="0">
    <w:nsid w:val="6AE103F9"/>
    <w:multiLevelType w:val="hybridMultilevel"/>
    <w:tmpl w:val="9F9CCBA8"/>
    <w:lvl w:ilvl="0" w:tplc="240A0001">
      <w:start w:val="1"/>
      <w:numFmt w:val="bullet"/>
      <w:lvlText w:val=""/>
      <w:lvlJc w:val="left"/>
      <w:pPr>
        <w:ind w:left="720" w:hanging="360"/>
      </w:pPr>
      <w:rPr>
        <w:rFonts w:ascii="Symbol" w:hAnsi="Symbol" w:hint="default"/>
      </w:rPr>
    </w:lvl>
    <w:lvl w:ilvl="1" w:tplc="93687E76">
      <w:start w:val="1"/>
      <w:numFmt w:val="lowerLetter"/>
      <w:lvlText w:val="%2."/>
      <w:lvlJc w:val="left"/>
      <w:pPr>
        <w:ind w:left="1440" w:hanging="360"/>
      </w:pPr>
    </w:lvl>
    <w:lvl w:ilvl="2" w:tplc="0ABE7216">
      <w:start w:val="1"/>
      <w:numFmt w:val="lowerRoman"/>
      <w:lvlText w:val="%3."/>
      <w:lvlJc w:val="right"/>
      <w:pPr>
        <w:ind w:left="2160" w:hanging="180"/>
      </w:pPr>
    </w:lvl>
    <w:lvl w:ilvl="3" w:tplc="240A000D">
      <w:start w:val="1"/>
      <w:numFmt w:val="bullet"/>
      <w:lvlText w:val=""/>
      <w:lvlJc w:val="left"/>
      <w:pPr>
        <w:ind w:left="2880" w:hanging="360"/>
      </w:pPr>
      <w:rPr>
        <w:rFonts w:ascii="Wingdings" w:hAnsi="Wingdings" w:hint="default"/>
      </w:rPr>
    </w:lvl>
    <w:lvl w:ilvl="4" w:tplc="6A1E8EFC">
      <w:start w:val="1"/>
      <w:numFmt w:val="lowerLetter"/>
      <w:lvlText w:val="%5."/>
      <w:lvlJc w:val="left"/>
      <w:pPr>
        <w:ind w:left="3600" w:hanging="360"/>
      </w:pPr>
    </w:lvl>
    <w:lvl w:ilvl="5" w:tplc="F710D3BE">
      <w:start w:val="1"/>
      <w:numFmt w:val="lowerRoman"/>
      <w:lvlText w:val="%6."/>
      <w:lvlJc w:val="right"/>
      <w:pPr>
        <w:ind w:left="4320" w:hanging="180"/>
      </w:pPr>
    </w:lvl>
    <w:lvl w:ilvl="6" w:tplc="9FEA6622">
      <w:start w:val="1"/>
      <w:numFmt w:val="decimal"/>
      <w:lvlText w:val="%7."/>
      <w:lvlJc w:val="left"/>
      <w:pPr>
        <w:ind w:left="928" w:hanging="360"/>
      </w:pPr>
      <w:rPr>
        <w:b/>
      </w:rPr>
    </w:lvl>
    <w:lvl w:ilvl="7" w:tplc="FAD20FAC">
      <w:start w:val="1"/>
      <w:numFmt w:val="lowerLetter"/>
      <w:lvlText w:val="%8."/>
      <w:lvlJc w:val="left"/>
      <w:pPr>
        <w:ind w:left="5760" w:hanging="360"/>
      </w:pPr>
    </w:lvl>
    <w:lvl w:ilvl="8" w:tplc="B23669AE">
      <w:start w:val="1"/>
      <w:numFmt w:val="lowerRoman"/>
      <w:lvlText w:val="%9."/>
      <w:lvlJc w:val="right"/>
      <w:pPr>
        <w:ind w:left="6480" w:hanging="180"/>
      </w:pPr>
    </w:lvl>
  </w:abstractNum>
  <w:abstractNum w:abstractNumId="242" w15:restartNumberingAfterBreak="0">
    <w:nsid w:val="6B1137C4"/>
    <w:multiLevelType w:val="hybridMultilevel"/>
    <w:tmpl w:val="B73280C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3" w15:restartNumberingAfterBreak="0">
    <w:nsid w:val="6B526B87"/>
    <w:multiLevelType w:val="hybridMultilevel"/>
    <w:tmpl w:val="C9A65CD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4" w15:restartNumberingAfterBreak="0">
    <w:nsid w:val="6B5E4F5D"/>
    <w:multiLevelType w:val="hybridMultilevel"/>
    <w:tmpl w:val="C5D066DC"/>
    <w:lvl w:ilvl="0" w:tplc="240A0001">
      <w:start w:val="1"/>
      <w:numFmt w:val="bullet"/>
      <w:lvlText w:val=""/>
      <w:lvlJc w:val="left"/>
      <w:pPr>
        <w:ind w:left="720" w:hanging="360"/>
      </w:pPr>
      <w:rPr>
        <w:rFonts w:ascii="Symbol" w:hAnsi="Symbol" w:hint="default"/>
      </w:rPr>
    </w:lvl>
    <w:lvl w:ilvl="1" w:tplc="10C0165E">
      <w:start w:val="1"/>
      <w:numFmt w:val="bullet"/>
      <w:lvlText w:val="o"/>
      <w:lvlJc w:val="left"/>
      <w:pPr>
        <w:ind w:left="1440" w:hanging="360"/>
      </w:pPr>
      <w:rPr>
        <w:rFonts w:ascii="Courier New" w:hAnsi="Courier New" w:hint="default"/>
      </w:rPr>
    </w:lvl>
    <w:lvl w:ilvl="2" w:tplc="72CA34B2">
      <w:start w:val="1"/>
      <w:numFmt w:val="bullet"/>
      <w:lvlText w:val=""/>
      <w:lvlJc w:val="left"/>
      <w:pPr>
        <w:ind w:left="2160" w:hanging="360"/>
      </w:pPr>
      <w:rPr>
        <w:rFonts w:ascii="Wingdings" w:hAnsi="Wingdings" w:hint="default"/>
      </w:rPr>
    </w:lvl>
    <w:lvl w:ilvl="3" w:tplc="F7F4E2C4">
      <w:start w:val="1"/>
      <w:numFmt w:val="bullet"/>
      <w:lvlText w:val=""/>
      <w:lvlJc w:val="left"/>
      <w:pPr>
        <w:ind w:left="2880" w:hanging="360"/>
      </w:pPr>
      <w:rPr>
        <w:rFonts w:ascii="Symbol" w:hAnsi="Symbol" w:hint="default"/>
      </w:rPr>
    </w:lvl>
    <w:lvl w:ilvl="4" w:tplc="1416F2F4">
      <w:start w:val="1"/>
      <w:numFmt w:val="bullet"/>
      <w:lvlText w:val="o"/>
      <w:lvlJc w:val="left"/>
      <w:pPr>
        <w:ind w:left="3600" w:hanging="360"/>
      </w:pPr>
      <w:rPr>
        <w:rFonts w:ascii="Courier New" w:hAnsi="Courier New" w:hint="default"/>
      </w:rPr>
    </w:lvl>
    <w:lvl w:ilvl="5" w:tplc="38186C16">
      <w:start w:val="1"/>
      <w:numFmt w:val="bullet"/>
      <w:lvlText w:val=""/>
      <w:lvlJc w:val="left"/>
      <w:pPr>
        <w:ind w:left="4320" w:hanging="360"/>
      </w:pPr>
      <w:rPr>
        <w:rFonts w:ascii="Wingdings" w:hAnsi="Wingdings" w:hint="default"/>
      </w:rPr>
    </w:lvl>
    <w:lvl w:ilvl="6" w:tplc="FC56F4FA">
      <w:start w:val="1"/>
      <w:numFmt w:val="bullet"/>
      <w:lvlText w:val=""/>
      <w:lvlJc w:val="left"/>
      <w:pPr>
        <w:ind w:left="5040" w:hanging="360"/>
      </w:pPr>
      <w:rPr>
        <w:rFonts w:ascii="Symbol" w:hAnsi="Symbol" w:hint="default"/>
      </w:rPr>
    </w:lvl>
    <w:lvl w:ilvl="7" w:tplc="E5E0671A">
      <w:start w:val="1"/>
      <w:numFmt w:val="bullet"/>
      <w:lvlText w:val="o"/>
      <w:lvlJc w:val="left"/>
      <w:pPr>
        <w:ind w:left="5760" w:hanging="360"/>
      </w:pPr>
      <w:rPr>
        <w:rFonts w:ascii="Courier New" w:hAnsi="Courier New" w:hint="default"/>
      </w:rPr>
    </w:lvl>
    <w:lvl w:ilvl="8" w:tplc="D6EEE84C">
      <w:start w:val="1"/>
      <w:numFmt w:val="bullet"/>
      <w:lvlText w:val=""/>
      <w:lvlJc w:val="left"/>
      <w:pPr>
        <w:ind w:left="6480" w:hanging="360"/>
      </w:pPr>
      <w:rPr>
        <w:rFonts w:ascii="Wingdings" w:hAnsi="Wingdings" w:hint="default"/>
      </w:rPr>
    </w:lvl>
  </w:abstractNum>
  <w:abstractNum w:abstractNumId="245" w15:restartNumberingAfterBreak="0">
    <w:nsid w:val="6C582E8E"/>
    <w:multiLevelType w:val="hybridMultilevel"/>
    <w:tmpl w:val="51186C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6" w15:restartNumberingAfterBreak="0">
    <w:nsid w:val="6DC2094F"/>
    <w:multiLevelType w:val="hybridMultilevel"/>
    <w:tmpl w:val="8A043C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7" w15:restartNumberingAfterBreak="0">
    <w:nsid w:val="6E1977CF"/>
    <w:multiLevelType w:val="hybridMultilevel"/>
    <w:tmpl w:val="2848CAEE"/>
    <w:lvl w:ilvl="0" w:tplc="8CC85B3E">
      <w:start w:val="1"/>
      <w:numFmt w:val="bullet"/>
      <w:lvlText w:val="·"/>
      <w:lvlJc w:val="left"/>
      <w:pPr>
        <w:ind w:left="720" w:hanging="360"/>
      </w:pPr>
      <w:rPr>
        <w:rFonts w:ascii="Symbol" w:hAnsi="Symbol" w:hint="default"/>
      </w:rPr>
    </w:lvl>
    <w:lvl w:ilvl="1" w:tplc="ED580938">
      <w:start w:val="1"/>
      <w:numFmt w:val="bullet"/>
      <w:lvlText w:val="o"/>
      <w:lvlJc w:val="left"/>
      <w:pPr>
        <w:ind w:left="1440" w:hanging="360"/>
      </w:pPr>
      <w:rPr>
        <w:rFonts w:ascii="Courier New" w:hAnsi="Courier New" w:hint="default"/>
      </w:rPr>
    </w:lvl>
    <w:lvl w:ilvl="2" w:tplc="0CBCC3B2">
      <w:start w:val="1"/>
      <w:numFmt w:val="bullet"/>
      <w:lvlText w:val=""/>
      <w:lvlJc w:val="left"/>
      <w:pPr>
        <w:ind w:left="2160" w:hanging="360"/>
      </w:pPr>
      <w:rPr>
        <w:rFonts w:ascii="Wingdings" w:hAnsi="Wingdings" w:hint="default"/>
      </w:rPr>
    </w:lvl>
    <w:lvl w:ilvl="3" w:tplc="38406BC0">
      <w:start w:val="1"/>
      <w:numFmt w:val="bullet"/>
      <w:lvlText w:val=""/>
      <w:lvlJc w:val="left"/>
      <w:pPr>
        <w:ind w:left="2880" w:hanging="360"/>
      </w:pPr>
      <w:rPr>
        <w:rFonts w:ascii="Symbol" w:hAnsi="Symbol" w:hint="default"/>
      </w:rPr>
    </w:lvl>
    <w:lvl w:ilvl="4" w:tplc="0DDE6556">
      <w:start w:val="1"/>
      <w:numFmt w:val="bullet"/>
      <w:lvlText w:val="o"/>
      <w:lvlJc w:val="left"/>
      <w:pPr>
        <w:ind w:left="3600" w:hanging="360"/>
      </w:pPr>
      <w:rPr>
        <w:rFonts w:ascii="Courier New" w:hAnsi="Courier New" w:hint="default"/>
      </w:rPr>
    </w:lvl>
    <w:lvl w:ilvl="5" w:tplc="16E6EEA8">
      <w:start w:val="1"/>
      <w:numFmt w:val="bullet"/>
      <w:lvlText w:val=""/>
      <w:lvlJc w:val="left"/>
      <w:pPr>
        <w:ind w:left="4320" w:hanging="360"/>
      </w:pPr>
      <w:rPr>
        <w:rFonts w:ascii="Wingdings" w:hAnsi="Wingdings" w:hint="default"/>
      </w:rPr>
    </w:lvl>
    <w:lvl w:ilvl="6" w:tplc="2BCC79CE">
      <w:start w:val="1"/>
      <w:numFmt w:val="bullet"/>
      <w:lvlText w:val=""/>
      <w:lvlJc w:val="left"/>
      <w:pPr>
        <w:ind w:left="5040" w:hanging="360"/>
      </w:pPr>
      <w:rPr>
        <w:rFonts w:ascii="Symbol" w:hAnsi="Symbol" w:hint="default"/>
      </w:rPr>
    </w:lvl>
    <w:lvl w:ilvl="7" w:tplc="651A14E8">
      <w:start w:val="1"/>
      <w:numFmt w:val="bullet"/>
      <w:lvlText w:val="o"/>
      <w:lvlJc w:val="left"/>
      <w:pPr>
        <w:ind w:left="5760" w:hanging="360"/>
      </w:pPr>
      <w:rPr>
        <w:rFonts w:ascii="Courier New" w:hAnsi="Courier New" w:hint="default"/>
      </w:rPr>
    </w:lvl>
    <w:lvl w:ilvl="8" w:tplc="4F5037BC">
      <w:start w:val="1"/>
      <w:numFmt w:val="bullet"/>
      <w:lvlText w:val=""/>
      <w:lvlJc w:val="left"/>
      <w:pPr>
        <w:ind w:left="6480" w:hanging="360"/>
      </w:pPr>
      <w:rPr>
        <w:rFonts w:ascii="Wingdings" w:hAnsi="Wingdings" w:hint="default"/>
      </w:rPr>
    </w:lvl>
  </w:abstractNum>
  <w:abstractNum w:abstractNumId="248" w15:restartNumberingAfterBreak="0">
    <w:nsid w:val="6E9937A6"/>
    <w:multiLevelType w:val="multilevel"/>
    <w:tmpl w:val="CA406C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785"/>
        </w:tabs>
        <w:ind w:left="785" w:hanging="360"/>
      </w:pPr>
      <w:rPr>
        <w:rFonts w:ascii="Symbol" w:hAnsi="Symbol" w:hint="default"/>
        <w:sz w:val="22"/>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9" w15:restartNumberingAfterBreak="0">
    <w:nsid w:val="6ED826B9"/>
    <w:multiLevelType w:val="hybridMultilevel"/>
    <w:tmpl w:val="22BCFB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0" w15:restartNumberingAfterBreak="0">
    <w:nsid w:val="6F294E66"/>
    <w:multiLevelType w:val="hybridMultilevel"/>
    <w:tmpl w:val="DA047D30"/>
    <w:lvl w:ilvl="0" w:tplc="FFFFFFFF">
      <w:start w:val="1"/>
      <w:numFmt w:val="bullet"/>
      <w:lvlText w:val=""/>
      <w:lvlJc w:val="left"/>
      <w:pPr>
        <w:ind w:left="785" w:hanging="360"/>
      </w:pPr>
      <w:rPr>
        <w:rFonts w:ascii="Symbol" w:hAnsi="Symbol" w:hint="default"/>
      </w:rPr>
    </w:lvl>
    <w:lvl w:ilvl="1" w:tplc="240A0003" w:tentative="1">
      <w:start w:val="1"/>
      <w:numFmt w:val="bullet"/>
      <w:lvlText w:val="o"/>
      <w:lvlJc w:val="left"/>
      <w:pPr>
        <w:ind w:left="1505" w:hanging="360"/>
      </w:pPr>
      <w:rPr>
        <w:rFonts w:ascii="Courier New" w:hAnsi="Courier New" w:cs="Courier New" w:hint="default"/>
      </w:rPr>
    </w:lvl>
    <w:lvl w:ilvl="2" w:tplc="240A0005" w:tentative="1">
      <w:start w:val="1"/>
      <w:numFmt w:val="bullet"/>
      <w:lvlText w:val=""/>
      <w:lvlJc w:val="left"/>
      <w:pPr>
        <w:ind w:left="2225" w:hanging="360"/>
      </w:pPr>
      <w:rPr>
        <w:rFonts w:ascii="Wingdings" w:hAnsi="Wingdings" w:hint="default"/>
      </w:rPr>
    </w:lvl>
    <w:lvl w:ilvl="3" w:tplc="240A0001" w:tentative="1">
      <w:start w:val="1"/>
      <w:numFmt w:val="bullet"/>
      <w:lvlText w:val=""/>
      <w:lvlJc w:val="left"/>
      <w:pPr>
        <w:ind w:left="2945" w:hanging="360"/>
      </w:pPr>
      <w:rPr>
        <w:rFonts w:ascii="Symbol" w:hAnsi="Symbol" w:hint="default"/>
      </w:rPr>
    </w:lvl>
    <w:lvl w:ilvl="4" w:tplc="240A0003" w:tentative="1">
      <w:start w:val="1"/>
      <w:numFmt w:val="bullet"/>
      <w:lvlText w:val="o"/>
      <w:lvlJc w:val="left"/>
      <w:pPr>
        <w:ind w:left="3665" w:hanging="360"/>
      </w:pPr>
      <w:rPr>
        <w:rFonts w:ascii="Courier New" w:hAnsi="Courier New" w:cs="Courier New" w:hint="default"/>
      </w:rPr>
    </w:lvl>
    <w:lvl w:ilvl="5" w:tplc="240A0005" w:tentative="1">
      <w:start w:val="1"/>
      <w:numFmt w:val="bullet"/>
      <w:lvlText w:val=""/>
      <w:lvlJc w:val="left"/>
      <w:pPr>
        <w:ind w:left="4385" w:hanging="360"/>
      </w:pPr>
      <w:rPr>
        <w:rFonts w:ascii="Wingdings" w:hAnsi="Wingdings" w:hint="default"/>
      </w:rPr>
    </w:lvl>
    <w:lvl w:ilvl="6" w:tplc="240A0001" w:tentative="1">
      <w:start w:val="1"/>
      <w:numFmt w:val="bullet"/>
      <w:lvlText w:val=""/>
      <w:lvlJc w:val="left"/>
      <w:pPr>
        <w:ind w:left="5105" w:hanging="360"/>
      </w:pPr>
      <w:rPr>
        <w:rFonts w:ascii="Symbol" w:hAnsi="Symbol" w:hint="default"/>
      </w:rPr>
    </w:lvl>
    <w:lvl w:ilvl="7" w:tplc="240A0003" w:tentative="1">
      <w:start w:val="1"/>
      <w:numFmt w:val="bullet"/>
      <w:lvlText w:val="o"/>
      <w:lvlJc w:val="left"/>
      <w:pPr>
        <w:ind w:left="5825" w:hanging="360"/>
      </w:pPr>
      <w:rPr>
        <w:rFonts w:ascii="Courier New" w:hAnsi="Courier New" w:cs="Courier New" w:hint="default"/>
      </w:rPr>
    </w:lvl>
    <w:lvl w:ilvl="8" w:tplc="240A0005" w:tentative="1">
      <w:start w:val="1"/>
      <w:numFmt w:val="bullet"/>
      <w:lvlText w:val=""/>
      <w:lvlJc w:val="left"/>
      <w:pPr>
        <w:ind w:left="6545" w:hanging="360"/>
      </w:pPr>
      <w:rPr>
        <w:rFonts w:ascii="Wingdings" w:hAnsi="Wingdings" w:hint="default"/>
      </w:rPr>
    </w:lvl>
  </w:abstractNum>
  <w:abstractNum w:abstractNumId="251" w15:restartNumberingAfterBreak="0">
    <w:nsid w:val="6F46258B"/>
    <w:multiLevelType w:val="multilevel"/>
    <w:tmpl w:val="FF4A53E6"/>
    <w:lvl w:ilvl="0">
      <w:start w:val="1"/>
      <w:numFmt w:val="bullet"/>
      <w:lvlText w:val=""/>
      <w:lvlJc w:val="left"/>
      <w:pPr>
        <w:tabs>
          <w:tab w:val="num" w:pos="643"/>
        </w:tabs>
        <w:ind w:left="643" w:hanging="360"/>
      </w:pPr>
      <w:rPr>
        <w:rFonts w:ascii="Symbol" w:hAnsi="Symbol" w:hint="default"/>
        <w:sz w:val="22"/>
      </w:rPr>
    </w:lvl>
    <w:lvl w:ilvl="1" w:tentative="1">
      <w:start w:val="1"/>
      <w:numFmt w:val="bullet"/>
      <w:lvlText w:val=""/>
      <w:lvlJc w:val="left"/>
      <w:pPr>
        <w:tabs>
          <w:tab w:val="num" w:pos="1363"/>
        </w:tabs>
        <w:ind w:left="1363" w:hanging="360"/>
      </w:pPr>
      <w:rPr>
        <w:rFonts w:ascii="Symbol" w:hAnsi="Symbol" w:hint="default"/>
        <w:sz w:val="20"/>
      </w:rPr>
    </w:lvl>
    <w:lvl w:ilvl="2" w:tentative="1">
      <w:start w:val="1"/>
      <w:numFmt w:val="bullet"/>
      <w:lvlText w:val=""/>
      <w:lvlJc w:val="left"/>
      <w:pPr>
        <w:tabs>
          <w:tab w:val="num" w:pos="2083"/>
        </w:tabs>
        <w:ind w:left="2083" w:hanging="360"/>
      </w:pPr>
      <w:rPr>
        <w:rFonts w:ascii="Symbol" w:hAnsi="Symbol" w:hint="default"/>
        <w:sz w:val="20"/>
      </w:rPr>
    </w:lvl>
    <w:lvl w:ilvl="3" w:tentative="1">
      <w:start w:val="1"/>
      <w:numFmt w:val="bullet"/>
      <w:lvlText w:val=""/>
      <w:lvlJc w:val="left"/>
      <w:pPr>
        <w:tabs>
          <w:tab w:val="num" w:pos="2803"/>
        </w:tabs>
        <w:ind w:left="2803" w:hanging="360"/>
      </w:pPr>
      <w:rPr>
        <w:rFonts w:ascii="Symbol" w:hAnsi="Symbol" w:hint="default"/>
        <w:sz w:val="20"/>
      </w:rPr>
    </w:lvl>
    <w:lvl w:ilvl="4" w:tentative="1">
      <w:start w:val="1"/>
      <w:numFmt w:val="bullet"/>
      <w:lvlText w:val=""/>
      <w:lvlJc w:val="left"/>
      <w:pPr>
        <w:tabs>
          <w:tab w:val="num" w:pos="3523"/>
        </w:tabs>
        <w:ind w:left="3523" w:hanging="360"/>
      </w:pPr>
      <w:rPr>
        <w:rFonts w:ascii="Symbol" w:hAnsi="Symbol" w:hint="default"/>
        <w:sz w:val="20"/>
      </w:rPr>
    </w:lvl>
    <w:lvl w:ilvl="5" w:tentative="1">
      <w:start w:val="1"/>
      <w:numFmt w:val="bullet"/>
      <w:lvlText w:val=""/>
      <w:lvlJc w:val="left"/>
      <w:pPr>
        <w:tabs>
          <w:tab w:val="num" w:pos="4243"/>
        </w:tabs>
        <w:ind w:left="4243" w:hanging="360"/>
      </w:pPr>
      <w:rPr>
        <w:rFonts w:ascii="Symbol" w:hAnsi="Symbol" w:hint="default"/>
        <w:sz w:val="20"/>
      </w:rPr>
    </w:lvl>
    <w:lvl w:ilvl="6" w:tentative="1">
      <w:start w:val="1"/>
      <w:numFmt w:val="bullet"/>
      <w:lvlText w:val=""/>
      <w:lvlJc w:val="left"/>
      <w:pPr>
        <w:tabs>
          <w:tab w:val="num" w:pos="4963"/>
        </w:tabs>
        <w:ind w:left="4963" w:hanging="360"/>
      </w:pPr>
      <w:rPr>
        <w:rFonts w:ascii="Symbol" w:hAnsi="Symbol" w:hint="default"/>
        <w:sz w:val="20"/>
      </w:rPr>
    </w:lvl>
    <w:lvl w:ilvl="7" w:tentative="1">
      <w:start w:val="1"/>
      <w:numFmt w:val="bullet"/>
      <w:lvlText w:val=""/>
      <w:lvlJc w:val="left"/>
      <w:pPr>
        <w:tabs>
          <w:tab w:val="num" w:pos="5683"/>
        </w:tabs>
        <w:ind w:left="5683" w:hanging="360"/>
      </w:pPr>
      <w:rPr>
        <w:rFonts w:ascii="Symbol" w:hAnsi="Symbol" w:hint="default"/>
        <w:sz w:val="20"/>
      </w:rPr>
    </w:lvl>
    <w:lvl w:ilvl="8" w:tentative="1">
      <w:start w:val="1"/>
      <w:numFmt w:val="bullet"/>
      <w:lvlText w:val=""/>
      <w:lvlJc w:val="left"/>
      <w:pPr>
        <w:tabs>
          <w:tab w:val="num" w:pos="6403"/>
        </w:tabs>
        <w:ind w:left="6403" w:hanging="360"/>
      </w:pPr>
      <w:rPr>
        <w:rFonts w:ascii="Symbol" w:hAnsi="Symbol" w:hint="default"/>
        <w:sz w:val="20"/>
      </w:rPr>
    </w:lvl>
  </w:abstractNum>
  <w:abstractNum w:abstractNumId="252" w15:restartNumberingAfterBreak="0">
    <w:nsid w:val="6F711E54"/>
    <w:multiLevelType w:val="hybridMultilevel"/>
    <w:tmpl w:val="514060B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3" w15:restartNumberingAfterBreak="0">
    <w:nsid w:val="71B44F14"/>
    <w:multiLevelType w:val="hybridMultilevel"/>
    <w:tmpl w:val="809EB0C8"/>
    <w:lvl w:ilvl="0" w:tplc="240A0001">
      <w:start w:val="1"/>
      <w:numFmt w:val="bullet"/>
      <w:lvlText w:val=""/>
      <w:lvlJc w:val="left"/>
      <w:pPr>
        <w:ind w:left="720" w:hanging="360"/>
      </w:pPr>
      <w:rPr>
        <w:rFonts w:ascii="Symbol" w:hAnsi="Symbol" w:hint="default"/>
      </w:rPr>
    </w:lvl>
    <w:lvl w:ilvl="1" w:tplc="6BA4EC5A">
      <w:numFmt w:val="bullet"/>
      <w:lvlText w:val="-"/>
      <w:lvlJc w:val="left"/>
      <w:pPr>
        <w:ind w:left="1850" w:hanging="770"/>
      </w:pPr>
      <w:rPr>
        <w:rFonts w:ascii="Arial" w:eastAsia="Arial" w:hAnsi="Arial" w:cs="Arial"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4" w15:restartNumberingAfterBreak="0">
    <w:nsid w:val="73612F53"/>
    <w:multiLevelType w:val="hybridMultilevel"/>
    <w:tmpl w:val="775C7432"/>
    <w:lvl w:ilvl="0" w:tplc="21841180">
      <w:start w:val="1"/>
      <w:numFmt w:val="bullet"/>
      <w:lvlText w:val="-"/>
      <w:lvlJc w:val="left"/>
      <w:pPr>
        <w:ind w:left="720" w:hanging="360"/>
      </w:pPr>
      <w:rPr>
        <w:rFonts w:ascii="Arial" w:hAnsi="Arial" w:hint="default"/>
      </w:rPr>
    </w:lvl>
    <w:lvl w:ilvl="1" w:tplc="D89ED6AE">
      <w:start w:val="1"/>
      <w:numFmt w:val="bullet"/>
      <w:lvlText w:val="o"/>
      <w:lvlJc w:val="left"/>
      <w:pPr>
        <w:ind w:left="1440" w:hanging="360"/>
      </w:pPr>
      <w:rPr>
        <w:rFonts w:ascii="Courier New" w:hAnsi="Courier New" w:hint="default"/>
      </w:rPr>
    </w:lvl>
    <w:lvl w:ilvl="2" w:tplc="576EA6A8">
      <w:start w:val="1"/>
      <w:numFmt w:val="bullet"/>
      <w:lvlText w:val=""/>
      <w:lvlJc w:val="left"/>
      <w:pPr>
        <w:ind w:left="2160" w:hanging="360"/>
      </w:pPr>
      <w:rPr>
        <w:rFonts w:ascii="Wingdings" w:hAnsi="Wingdings" w:hint="default"/>
      </w:rPr>
    </w:lvl>
    <w:lvl w:ilvl="3" w:tplc="256878F0">
      <w:start w:val="1"/>
      <w:numFmt w:val="bullet"/>
      <w:lvlText w:val=""/>
      <w:lvlJc w:val="left"/>
      <w:pPr>
        <w:ind w:left="2880" w:hanging="360"/>
      </w:pPr>
      <w:rPr>
        <w:rFonts w:ascii="Symbol" w:hAnsi="Symbol" w:hint="default"/>
      </w:rPr>
    </w:lvl>
    <w:lvl w:ilvl="4" w:tplc="30940B5C">
      <w:start w:val="1"/>
      <w:numFmt w:val="bullet"/>
      <w:lvlText w:val="o"/>
      <w:lvlJc w:val="left"/>
      <w:pPr>
        <w:ind w:left="3600" w:hanging="360"/>
      </w:pPr>
      <w:rPr>
        <w:rFonts w:ascii="Courier New" w:hAnsi="Courier New" w:hint="default"/>
      </w:rPr>
    </w:lvl>
    <w:lvl w:ilvl="5" w:tplc="09B6F080">
      <w:start w:val="1"/>
      <w:numFmt w:val="bullet"/>
      <w:lvlText w:val=""/>
      <w:lvlJc w:val="left"/>
      <w:pPr>
        <w:ind w:left="4320" w:hanging="360"/>
      </w:pPr>
      <w:rPr>
        <w:rFonts w:ascii="Wingdings" w:hAnsi="Wingdings" w:hint="default"/>
      </w:rPr>
    </w:lvl>
    <w:lvl w:ilvl="6" w:tplc="0B6CAE74">
      <w:start w:val="1"/>
      <w:numFmt w:val="bullet"/>
      <w:lvlText w:val=""/>
      <w:lvlJc w:val="left"/>
      <w:pPr>
        <w:ind w:left="5040" w:hanging="360"/>
      </w:pPr>
      <w:rPr>
        <w:rFonts w:ascii="Symbol" w:hAnsi="Symbol" w:hint="default"/>
      </w:rPr>
    </w:lvl>
    <w:lvl w:ilvl="7" w:tplc="4D6A49F4">
      <w:start w:val="1"/>
      <w:numFmt w:val="bullet"/>
      <w:lvlText w:val="o"/>
      <w:lvlJc w:val="left"/>
      <w:pPr>
        <w:ind w:left="5760" w:hanging="360"/>
      </w:pPr>
      <w:rPr>
        <w:rFonts w:ascii="Courier New" w:hAnsi="Courier New" w:hint="default"/>
      </w:rPr>
    </w:lvl>
    <w:lvl w:ilvl="8" w:tplc="82DEEDDC">
      <w:start w:val="1"/>
      <w:numFmt w:val="bullet"/>
      <w:lvlText w:val=""/>
      <w:lvlJc w:val="left"/>
      <w:pPr>
        <w:ind w:left="6480" w:hanging="360"/>
      </w:pPr>
      <w:rPr>
        <w:rFonts w:ascii="Wingdings" w:hAnsi="Wingdings" w:hint="default"/>
      </w:rPr>
    </w:lvl>
  </w:abstractNum>
  <w:abstractNum w:abstractNumId="255" w15:restartNumberingAfterBreak="0">
    <w:nsid w:val="738D3CF8"/>
    <w:multiLevelType w:val="hybridMultilevel"/>
    <w:tmpl w:val="524C9E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6" w15:restartNumberingAfterBreak="0">
    <w:nsid w:val="7398711F"/>
    <w:multiLevelType w:val="hybridMultilevel"/>
    <w:tmpl w:val="EA288C42"/>
    <w:lvl w:ilvl="0" w:tplc="33CEC758">
      <w:start w:val="1"/>
      <w:numFmt w:val="bullet"/>
      <w:lvlText w:val="·"/>
      <w:lvlJc w:val="left"/>
      <w:pPr>
        <w:ind w:left="720" w:hanging="360"/>
      </w:pPr>
      <w:rPr>
        <w:rFonts w:ascii="Symbol" w:hAnsi="Symbol" w:hint="default"/>
      </w:rPr>
    </w:lvl>
    <w:lvl w:ilvl="1" w:tplc="149A972A">
      <w:start w:val="1"/>
      <w:numFmt w:val="bullet"/>
      <w:lvlText w:val="o"/>
      <w:lvlJc w:val="left"/>
      <w:pPr>
        <w:ind w:left="1440" w:hanging="360"/>
      </w:pPr>
      <w:rPr>
        <w:rFonts w:ascii="Courier New" w:hAnsi="Courier New" w:hint="default"/>
      </w:rPr>
    </w:lvl>
    <w:lvl w:ilvl="2" w:tplc="9428583A">
      <w:start w:val="1"/>
      <w:numFmt w:val="bullet"/>
      <w:lvlText w:val=""/>
      <w:lvlJc w:val="left"/>
      <w:pPr>
        <w:ind w:left="2160" w:hanging="360"/>
      </w:pPr>
      <w:rPr>
        <w:rFonts w:ascii="Wingdings" w:hAnsi="Wingdings" w:hint="default"/>
      </w:rPr>
    </w:lvl>
    <w:lvl w:ilvl="3" w:tplc="11564C88">
      <w:start w:val="1"/>
      <w:numFmt w:val="bullet"/>
      <w:lvlText w:val=""/>
      <w:lvlJc w:val="left"/>
      <w:pPr>
        <w:ind w:left="2880" w:hanging="360"/>
      </w:pPr>
      <w:rPr>
        <w:rFonts w:ascii="Symbol" w:hAnsi="Symbol" w:hint="default"/>
      </w:rPr>
    </w:lvl>
    <w:lvl w:ilvl="4" w:tplc="754EA276">
      <w:start w:val="1"/>
      <w:numFmt w:val="bullet"/>
      <w:lvlText w:val="o"/>
      <w:lvlJc w:val="left"/>
      <w:pPr>
        <w:ind w:left="3600" w:hanging="360"/>
      </w:pPr>
      <w:rPr>
        <w:rFonts w:ascii="Courier New" w:hAnsi="Courier New" w:hint="default"/>
      </w:rPr>
    </w:lvl>
    <w:lvl w:ilvl="5" w:tplc="F4DA159A">
      <w:start w:val="1"/>
      <w:numFmt w:val="bullet"/>
      <w:lvlText w:val=""/>
      <w:lvlJc w:val="left"/>
      <w:pPr>
        <w:ind w:left="4320" w:hanging="360"/>
      </w:pPr>
      <w:rPr>
        <w:rFonts w:ascii="Wingdings" w:hAnsi="Wingdings" w:hint="default"/>
      </w:rPr>
    </w:lvl>
    <w:lvl w:ilvl="6" w:tplc="1EFAC970">
      <w:start w:val="1"/>
      <w:numFmt w:val="bullet"/>
      <w:lvlText w:val=""/>
      <w:lvlJc w:val="left"/>
      <w:pPr>
        <w:ind w:left="5040" w:hanging="360"/>
      </w:pPr>
      <w:rPr>
        <w:rFonts w:ascii="Symbol" w:hAnsi="Symbol" w:hint="default"/>
      </w:rPr>
    </w:lvl>
    <w:lvl w:ilvl="7" w:tplc="85DCE404">
      <w:start w:val="1"/>
      <w:numFmt w:val="bullet"/>
      <w:lvlText w:val="o"/>
      <w:lvlJc w:val="left"/>
      <w:pPr>
        <w:ind w:left="5760" w:hanging="360"/>
      </w:pPr>
      <w:rPr>
        <w:rFonts w:ascii="Courier New" w:hAnsi="Courier New" w:hint="default"/>
      </w:rPr>
    </w:lvl>
    <w:lvl w:ilvl="8" w:tplc="EFE00078">
      <w:start w:val="1"/>
      <w:numFmt w:val="bullet"/>
      <w:lvlText w:val=""/>
      <w:lvlJc w:val="left"/>
      <w:pPr>
        <w:ind w:left="6480" w:hanging="360"/>
      </w:pPr>
      <w:rPr>
        <w:rFonts w:ascii="Wingdings" w:hAnsi="Wingdings" w:hint="default"/>
      </w:rPr>
    </w:lvl>
  </w:abstractNum>
  <w:abstractNum w:abstractNumId="257" w15:restartNumberingAfterBreak="0">
    <w:nsid w:val="744D77BD"/>
    <w:multiLevelType w:val="hybridMultilevel"/>
    <w:tmpl w:val="AAA4BFB2"/>
    <w:lvl w:ilvl="0" w:tplc="240A0001">
      <w:start w:val="1"/>
      <w:numFmt w:val="bullet"/>
      <w:lvlText w:val=""/>
      <w:lvlJc w:val="left"/>
      <w:pPr>
        <w:ind w:left="720" w:hanging="360"/>
      </w:pPr>
      <w:rPr>
        <w:rFonts w:ascii="Symbol" w:hAnsi="Symbol" w:hint="default"/>
      </w:rPr>
    </w:lvl>
    <w:lvl w:ilvl="1" w:tplc="240A0001">
      <w:start w:val="1"/>
      <w:numFmt w:val="bullet"/>
      <w:lvlText w:val=""/>
      <w:lvlJc w:val="left"/>
      <w:pPr>
        <w:ind w:left="360" w:hanging="360"/>
      </w:pPr>
      <w:rPr>
        <w:rFonts w:ascii="Symbol" w:hAnsi="Symbol"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8" w15:restartNumberingAfterBreak="0">
    <w:nsid w:val="76654AD5"/>
    <w:multiLevelType w:val="multilevel"/>
    <w:tmpl w:val="1C38E3EC"/>
    <w:lvl w:ilvl="0">
      <w:start w:val="10"/>
      <w:numFmt w:val="decimal"/>
      <w:lvlText w:val="%1"/>
      <w:lvlJc w:val="left"/>
      <w:pPr>
        <w:ind w:left="460" w:hanging="460"/>
      </w:pPr>
      <w:rPr>
        <w:rFonts w:hint="default"/>
        <w:b/>
      </w:rPr>
    </w:lvl>
    <w:lvl w:ilvl="1">
      <w:start w:val="1"/>
      <w:numFmt w:val="decimal"/>
      <w:lvlText w:val="%1.%2"/>
      <w:lvlJc w:val="left"/>
      <w:pPr>
        <w:ind w:left="1180" w:hanging="4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259" w15:restartNumberingAfterBreak="0">
    <w:nsid w:val="76B9631D"/>
    <w:multiLevelType w:val="hybridMultilevel"/>
    <w:tmpl w:val="57EA13DE"/>
    <w:lvl w:ilvl="0" w:tplc="852EBE66">
      <w:start w:val="1"/>
      <w:numFmt w:val="bullet"/>
      <w:lvlText w:val="·"/>
      <w:lvlJc w:val="left"/>
      <w:pPr>
        <w:ind w:left="720" w:hanging="360"/>
      </w:pPr>
      <w:rPr>
        <w:rFonts w:ascii="Symbol" w:hAnsi="Symbol" w:hint="default"/>
      </w:rPr>
    </w:lvl>
    <w:lvl w:ilvl="1" w:tplc="01265468">
      <w:start w:val="1"/>
      <w:numFmt w:val="bullet"/>
      <w:lvlText w:val="o"/>
      <w:lvlJc w:val="left"/>
      <w:pPr>
        <w:ind w:left="1440" w:hanging="360"/>
      </w:pPr>
      <w:rPr>
        <w:rFonts w:ascii="Courier New" w:hAnsi="Courier New" w:hint="default"/>
      </w:rPr>
    </w:lvl>
    <w:lvl w:ilvl="2" w:tplc="9C04D3CE">
      <w:start w:val="1"/>
      <w:numFmt w:val="bullet"/>
      <w:lvlText w:val=""/>
      <w:lvlJc w:val="left"/>
      <w:pPr>
        <w:ind w:left="2160" w:hanging="360"/>
      </w:pPr>
      <w:rPr>
        <w:rFonts w:ascii="Wingdings" w:hAnsi="Wingdings" w:hint="default"/>
      </w:rPr>
    </w:lvl>
    <w:lvl w:ilvl="3" w:tplc="368AB7DC">
      <w:start w:val="1"/>
      <w:numFmt w:val="bullet"/>
      <w:lvlText w:val=""/>
      <w:lvlJc w:val="left"/>
      <w:pPr>
        <w:ind w:left="2880" w:hanging="360"/>
      </w:pPr>
      <w:rPr>
        <w:rFonts w:ascii="Symbol" w:hAnsi="Symbol" w:hint="default"/>
      </w:rPr>
    </w:lvl>
    <w:lvl w:ilvl="4" w:tplc="1B18EF82">
      <w:start w:val="1"/>
      <w:numFmt w:val="bullet"/>
      <w:lvlText w:val="o"/>
      <w:lvlJc w:val="left"/>
      <w:pPr>
        <w:ind w:left="3600" w:hanging="360"/>
      </w:pPr>
      <w:rPr>
        <w:rFonts w:ascii="Courier New" w:hAnsi="Courier New" w:hint="default"/>
      </w:rPr>
    </w:lvl>
    <w:lvl w:ilvl="5" w:tplc="EF2863E4">
      <w:start w:val="1"/>
      <w:numFmt w:val="bullet"/>
      <w:lvlText w:val=""/>
      <w:lvlJc w:val="left"/>
      <w:pPr>
        <w:ind w:left="4320" w:hanging="360"/>
      </w:pPr>
      <w:rPr>
        <w:rFonts w:ascii="Wingdings" w:hAnsi="Wingdings" w:hint="default"/>
      </w:rPr>
    </w:lvl>
    <w:lvl w:ilvl="6" w:tplc="9D346BE2">
      <w:start w:val="1"/>
      <w:numFmt w:val="bullet"/>
      <w:lvlText w:val=""/>
      <w:lvlJc w:val="left"/>
      <w:pPr>
        <w:ind w:left="5040" w:hanging="360"/>
      </w:pPr>
      <w:rPr>
        <w:rFonts w:ascii="Symbol" w:hAnsi="Symbol" w:hint="default"/>
      </w:rPr>
    </w:lvl>
    <w:lvl w:ilvl="7" w:tplc="40B4AACC">
      <w:start w:val="1"/>
      <w:numFmt w:val="bullet"/>
      <w:lvlText w:val="o"/>
      <w:lvlJc w:val="left"/>
      <w:pPr>
        <w:ind w:left="5760" w:hanging="360"/>
      </w:pPr>
      <w:rPr>
        <w:rFonts w:ascii="Courier New" w:hAnsi="Courier New" w:hint="default"/>
      </w:rPr>
    </w:lvl>
    <w:lvl w:ilvl="8" w:tplc="E2D45F10">
      <w:start w:val="1"/>
      <w:numFmt w:val="bullet"/>
      <w:lvlText w:val=""/>
      <w:lvlJc w:val="left"/>
      <w:pPr>
        <w:ind w:left="6480" w:hanging="360"/>
      </w:pPr>
      <w:rPr>
        <w:rFonts w:ascii="Wingdings" w:hAnsi="Wingdings" w:hint="default"/>
      </w:rPr>
    </w:lvl>
  </w:abstractNum>
  <w:abstractNum w:abstractNumId="260" w15:restartNumberingAfterBreak="0">
    <w:nsid w:val="7735095A"/>
    <w:multiLevelType w:val="hybridMultilevel"/>
    <w:tmpl w:val="E5CA150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61" w15:restartNumberingAfterBreak="0">
    <w:nsid w:val="77B103AF"/>
    <w:multiLevelType w:val="hybridMultilevel"/>
    <w:tmpl w:val="FFFFFFFF"/>
    <w:lvl w:ilvl="0" w:tplc="E39C66FC">
      <w:start w:val="1"/>
      <w:numFmt w:val="bullet"/>
      <w:lvlText w:val="·"/>
      <w:lvlJc w:val="left"/>
      <w:pPr>
        <w:ind w:left="720" w:hanging="360"/>
      </w:pPr>
      <w:rPr>
        <w:rFonts w:ascii="Symbol" w:hAnsi="Symbol" w:hint="default"/>
      </w:rPr>
    </w:lvl>
    <w:lvl w:ilvl="1" w:tplc="5A9A5A8C">
      <w:start w:val="1"/>
      <w:numFmt w:val="bullet"/>
      <w:lvlText w:val="o"/>
      <w:lvlJc w:val="left"/>
      <w:pPr>
        <w:ind w:left="1440" w:hanging="360"/>
      </w:pPr>
      <w:rPr>
        <w:rFonts w:ascii="Courier New" w:hAnsi="Courier New" w:hint="default"/>
      </w:rPr>
    </w:lvl>
    <w:lvl w:ilvl="2" w:tplc="FF3E93CC">
      <w:start w:val="1"/>
      <w:numFmt w:val="bullet"/>
      <w:lvlText w:val=""/>
      <w:lvlJc w:val="left"/>
      <w:pPr>
        <w:ind w:left="2160" w:hanging="360"/>
      </w:pPr>
      <w:rPr>
        <w:rFonts w:ascii="Wingdings" w:hAnsi="Wingdings" w:hint="default"/>
      </w:rPr>
    </w:lvl>
    <w:lvl w:ilvl="3" w:tplc="8E0E594C">
      <w:start w:val="1"/>
      <w:numFmt w:val="bullet"/>
      <w:lvlText w:val=""/>
      <w:lvlJc w:val="left"/>
      <w:pPr>
        <w:ind w:left="2880" w:hanging="360"/>
      </w:pPr>
      <w:rPr>
        <w:rFonts w:ascii="Symbol" w:hAnsi="Symbol" w:hint="default"/>
      </w:rPr>
    </w:lvl>
    <w:lvl w:ilvl="4" w:tplc="0EC299FE">
      <w:start w:val="1"/>
      <w:numFmt w:val="bullet"/>
      <w:lvlText w:val="o"/>
      <w:lvlJc w:val="left"/>
      <w:pPr>
        <w:ind w:left="3600" w:hanging="360"/>
      </w:pPr>
      <w:rPr>
        <w:rFonts w:ascii="Courier New" w:hAnsi="Courier New" w:hint="default"/>
      </w:rPr>
    </w:lvl>
    <w:lvl w:ilvl="5" w:tplc="27962E5E">
      <w:start w:val="1"/>
      <w:numFmt w:val="bullet"/>
      <w:lvlText w:val=""/>
      <w:lvlJc w:val="left"/>
      <w:pPr>
        <w:ind w:left="4320" w:hanging="360"/>
      </w:pPr>
      <w:rPr>
        <w:rFonts w:ascii="Wingdings" w:hAnsi="Wingdings" w:hint="default"/>
      </w:rPr>
    </w:lvl>
    <w:lvl w:ilvl="6" w:tplc="5BBCAF1C">
      <w:start w:val="1"/>
      <w:numFmt w:val="bullet"/>
      <w:lvlText w:val=""/>
      <w:lvlJc w:val="left"/>
      <w:pPr>
        <w:ind w:left="5040" w:hanging="360"/>
      </w:pPr>
      <w:rPr>
        <w:rFonts w:ascii="Symbol" w:hAnsi="Symbol" w:hint="default"/>
      </w:rPr>
    </w:lvl>
    <w:lvl w:ilvl="7" w:tplc="422C286E">
      <w:start w:val="1"/>
      <w:numFmt w:val="bullet"/>
      <w:lvlText w:val="o"/>
      <w:lvlJc w:val="left"/>
      <w:pPr>
        <w:ind w:left="5760" w:hanging="360"/>
      </w:pPr>
      <w:rPr>
        <w:rFonts w:ascii="Courier New" w:hAnsi="Courier New" w:hint="default"/>
      </w:rPr>
    </w:lvl>
    <w:lvl w:ilvl="8" w:tplc="89B0CBFC">
      <w:start w:val="1"/>
      <w:numFmt w:val="bullet"/>
      <w:lvlText w:val=""/>
      <w:lvlJc w:val="left"/>
      <w:pPr>
        <w:ind w:left="6480" w:hanging="360"/>
      </w:pPr>
      <w:rPr>
        <w:rFonts w:ascii="Wingdings" w:hAnsi="Wingdings" w:hint="default"/>
      </w:rPr>
    </w:lvl>
  </w:abstractNum>
  <w:abstractNum w:abstractNumId="262" w15:restartNumberingAfterBreak="0">
    <w:nsid w:val="77C044D3"/>
    <w:multiLevelType w:val="hybridMultilevel"/>
    <w:tmpl w:val="4A62DEFA"/>
    <w:lvl w:ilvl="0" w:tplc="24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63" w15:restartNumberingAfterBreak="0">
    <w:nsid w:val="78814A02"/>
    <w:multiLevelType w:val="hybridMultilevel"/>
    <w:tmpl w:val="E154080C"/>
    <w:lvl w:ilvl="0" w:tplc="360E00CE">
      <w:start w:val="1"/>
      <w:numFmt w:val="bullet"/>
      <w:lvlText w:val="·"/>
      <w:lvlJc w:val="left"/>
      <w:pPr>
        <w:ind w:left="720" w:hanging="360"/>
      </w:pPr>
      <w:rPr>
        <w:rFonts w:ascii="Arial, sans-serif" w:hAnsi="Arial, sans-serif" w:hint="default"/>
      </w:rPr>
    </w:lvl>
    <w:lvl w:ilvl="1" w:tplc="36C20D26">
      <w:start w:val="1"/>
      <w:numFmt w:val="bullet"/>
      <w:lvlText w:val="o"/>
      <w:lvlJc w:val="left"/>
      <w:pPr>
        <w:ind w:left="1440" w:hanging="360"/>
      </w:pPr>
      <w:rPr>
        <w:rFonts w:ascii="Courier New" w:hAnsi="Courier New" w:hint="default"/>
      </w:rPr>
    </w:lvl>
    <w:lvl w:ilvl="2" w:tplc="D3A4F050">
      <w:start w:val="1"/>
      <w:numFmt w:val="bullet"/>
      <w:lvlText w:val=""/>
      <w:lvlJc w:val="left"/>
      <w:pPr>
        <w:ind w:left="2160" w:hanging="360"/>
      </w:pPr>
      <w:rPr>
        <w:rFonts w:ascii="Wingdings" w:hAnsi="Wingdings" w:hint="default"/>
      </w:rPr>
    </w:lvl>
    <w:lvl w:ilvl="3" w:tplc="E00E1634">
      <w:start w:val="1"/>
      <w:numFmt w:val="bullet"/>
      <w:lvlText w:val=""/>
      <w:lvlJc w:val="left"/>
      <w:pPr>
        <w:ind w:left="2880" w:hanging="360"/>
      </w:pPr>
      <w:rPr>
        <w:rFonts w:ascii="Symbol" w:hAnsi="Symbol" w:hint="default"/>
      </w:rPr>
    </w:lvl>
    <w:lvl w:ilvl="4" w:tplc="3B2ED934">
      <w:start w:val="1"/>
      <w:numFmt w:val="bullet"/>
      <w:lvlText w:val="o"/>
      <w:lvlJc w:val="left"/>
      <w:pPr>
        <w:ind w:left="3600" w:hanging="360"/>
      </w:pPr>
      <w:rPr>
        <w:rFonts w:ascii="Courier New" w:hAnsi="Courier New" w:hint="default"/>
      </w:rPr>
    </w:lvl>
    <w:lvl w:ilvl="5" w:tplc="23664420">
      <w:start w:val="1"/>
      <w:numFmt w:val="bullet"/>
      <w:lvlText w:val=""/>
      <w:lvlJc w:val="left"/>
      <w:pPr>
        <w:ind w:left="4320" w:hanging="360"/>
      </w:pPr>
      <w:rPr>
        <w:rFonts w:ascii="Wingdings" w:hAnsi="Wingdings" w:hint="default"/>
      </w:rPr>
    </w:lvl>
    <w:lvl w:ilvl="6" w:tplc="0CFA0E54">
      <w:start w:val="1"/>
      <w:numFmt w:val="bullet"/>
      <w:lvlText w:val=""/>
      <w:lvlJc w:val="left"/>
      <w:pPr>
        <w:ind w:left="5040" w:hanging="360"/>
      </w:pPr>
      <w:rPr>
        <w:rFonts w:ascii="Symbol" w:hAnsi="Symbol" w:hint="default"/>
      </w:rPr>
    </w:lvl>
    <w:lvl w:ilvl="7" w:tplc="185CCBDC">
      <w:start w:val="1"/>
      <w:numFmt w:val="bullet"/>
      <w:lvlText w:val="o"/>
      <w:lvlJc w:val="left"/>
      <w:pPr>
        <w:ind w:left="5760" w:hanging="360"/>
      </w:pPr>
      <w:rPr>
        <w:rFonts w:ascii="Courier New" w:hAnsi="Courier New" w:hint="default"/>
      </w:rPr>
    </w:lvl>
    <w:lvl w:ilvl="8" w:tplc="32BA5514">
      <w:start w:val="1"/>
      <w:numFmt w:val="bullet"/>
      <w:lvlText w:val=""/>
      <w:lvlJc w:val="left"/>
      <w:pPr>
        <w:ind w:left="6480" w:hanging="360"/>
      </w:pPr>
      <w:rPr>
        <w:rFonts w:ascii="Wingdings" w:hAnsi="Wingdings" w:hint="default"/>
      </w:rPr>
    </w:lvl>
  </w:abstractNum>
  <w:abstractNum w:abstractNumId="264" w15:restartNumberingAfterBreak="0">
    <w:nsid w:val="78E24CA2"/>
    <w:multiLevelType w:val="hybridMultilevel"/>
    <w:tmpl w:val="49BAE7B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5" w15:restartNumberingAfterBreak="0">
    <w:nsid w:val="792F5D83"/>
    <w:multiLevelType w:val="hybridMultilevel"/>
    <w:tmpl w:val="78E8C0E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66" w15:restartNumberingAfterBreak="0">
    <w:nsid w:val="798123F0"/>
    <w:multiLevelType w:val="hybridMultilevel"/>
    <w:tmpl w:val="51906D0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7" w15:restartNumberingAfterBreak="0">
    <w:nsid w:val="79B15496"/>
    <w:multiLevelType w:val="multilevel"/>
    <w:tmpl w:val="702475E8"/>
    <w:lvl w:ilvl="0">
      <w:start w:val="4"/>
      <w:numFmt w:val="decimal"/>
      <w:lvlText w:val="%1"/>
      <w:lvlJc w:val="left"/>
      <w:pPr>
        <w:ind w:left="780" w:hanging="780"/>
      </w:pPr>
      <w:rPr>
        <w:rFonts w:hint="default"/>
      </w:rPr>
    </w:lvl>
    <w:lvl w:ilvl="1">
      <w:start w:val="10"/>
      <w:numFmt w:val="decimal"/>
      <w:lvlText w:val="%1.%2"/>
      <w:lvlJc w:val="left"/>
      <w:pPr>
        <w:ind w:left="1016" w:hanging="780"/>
      </w:pPr>
      <w:rPr>
        <w:rFonts w:hint="default"/>
      </w:rPr>
    </w:lvl>
    <w:lvl w:ilvl="2">
      <w:start w:val="1"/>
      <w:numFmt w:val="decimal"/>
      <w:lvlText w:val="%1.%2.%3"/>
      <w:lvlJc w:val="left"/>
      <w:pPr>
        <w:ind w:left="1252" w:hanging="780"/>
      </w:pPr>
      <w:rPr>
        <w:rFonts w:hint="default"/>
      </w:rPr>
    </w:lvl>
    <w:lvl w:ilvl="3">
      <w:start w:val="1"/>
      <w:numFmt w:val="decimal"/>
      <w:lvlText w:val="%1.%2.%3.%4"/>
      <w:lvlJc w:val="left"/>
      <w:pPr>
        <w:ind w:left="1488" w:hanging="78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260" w:hanging="108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688" w:hanging="1800"/>
      </w:pPr>
      <w:rPr>
        <w:rFonts w:hint="default"/>
      </w:rPr>
    </w:lvl>
  </w:abstractNum>
  <w:abstractNum w:abstractNumId="268" w15:restartNumberingAfterBreak="0">
    <w:nsid w:val="79C84463"/>
    <w:multiLevelType w:val="hybridMultilevel"/>
    <w:tmpl w:val="7AAED5CA"/>
    <w:lvl w:ilvl="0" w:tplc="2B141904">
      <w:start w:val="1"/>
      <w:numFmt w:val="bullet"/>
      <w:lvlText w:val="·"/>
      <w:lvlJc w:val="left"/>
      <w:pPr>
        <w:ind w:left="720" w:hanging="360"/>
      </w:pPr>
      <w:rPr>
        <w:rFonts w:ascii="Symbol" w:hAnsi="Symbol" w:hint="default"/>
      </w:rPr>
    </w:lvl>
    <w:lvl w:ilvl="1" w:tplc="226271A6">
      <w:start w:val="1"/>
      <w:numFmt w:val="bullet"/>
      <w:lvlText w:val="o"/>
      <w:lvlJc w:val="left"/>
      <w:pPr>
        <w:ind w:left="1440" w:hanging="360"/>
      </w:pPr>
      <w:rPr>
        <w:rFonts w:ascii="Courier New" w:hAnsi="Courier New" w:hint="default"/>
      </w:rPr>
    </w:lvl>
    <w:lvl w:ilvl="2" w:tplc="89FE7FC0">
      <w:start w:val="1"/>
      <w:numFmt w:val="bullet"/>
      <w:lvlText w:val=""/>
      <w:lvlJc w:val="left"/>
      <w:pPr>
        <w:ind w:left="2160" w:hanging="360"/>
      </w:pPr>
      <w:rPr>
        <w:rFonts w:ascii="Wingdings" w:hAnsi="Wingdings" w:hint="default"/>
      </w:rPr>
    </w:lvl>
    <w:lvl w:ilvl="3" w:tplc="715AEC58">
      <w:start w:val="1"/>
      <w:numFmt w:val="bullet"/>
      <w:lvlText w:val=""/>
      <w:lvlJc w:val="left"/>
      <w:pPr>
        <w:ind w:left="2880" w:hanging="360"/>
      </w:pPr>
      <w:rPr>
        <w:rFonts w:ascii="Symbol" w:hAnsi="Symbol" w:hint="default"/>
      </w:rPr>
    </w:lvl>
    <w:lvl w:ilvl="4" w:tplc="6CE06792">
      <w:start w:val="1"/>
      <w:numFmt w:val="bullet"/>
      <w:lvlText w:val="o"/>
      <w:lvlJc w:val="left"/>
      <w:pPr>
        <w:ind w:left="3600" w:hanging="360"/>
      </w:pPr>
      <w:rPr>
        <w:rFonts w:ascii="Courier New" w:hAnsi="Courier New" w:hint="default"/>
      </w:rPr>
    </w:lvl>
    <w:lvl w:ilvl="5" w:tplc="AEC0B0FC">
      <w:start w:val="1"/>
      <w:numFmt w:val="bullet"/>
      <w:lvlText w:val=""/>
      <w:lvlJc w:val="left"/>
      <w:pPr>
        <w:ind w:left="4320" w:hanging="360"/>
      </w:pPr>
      <w:rPr>
        <w:rFonts w:ascii="Wingdings" w:hAnsi="Wingdings" w:hint="default"/>
      </w:rPr>
    </w:lvl>
    <w:lvl w:ilvl="6" w:tplc="58788970">
      <w:start w:val="1"/>
      <w:numFmt w:val="bullet"/>
      <w:lvlText w:val=""/>
      <w:lvlJc w:val="left"/>
      <w:pPr>
        <w:ind w:left="5040" w:hanging="360"/>
      </w:pPr>
      <w:rPr>
        <w:rFonts w:ascii="Symbol" w:hAnsi="Symbol" w:hint="default"/>
      </w:rPr>
    </w:lvl>
    <w:lvl w:ilvl="7" w:tplc="1772D904">
      <w:start w:val="1"/>
      <w:numFmt w:val="bullet"/>
      <w:lvlText w:val="o"/>
      <w:lvlJc w:val="left"/>
      <w:pPr>
        <w:ind w:left="5760" w:hanging="360"/>
      </w:pPr>
      <w:rPr>
        <w:rFonts w:ascii="Courier New" w:hAnsi="Courier New" w:hint="default"/>
      </w:rPr>
    </w:lvl>
    <w:lvl w:ilvl="8" w:tplc="FC4EE9BC">
      <w:start w:val="1"/>
      <w:numFmt w:val="bullet"/>
      <w:lvlText w:val=""/>
      <w:lvlJc w:val="left"/>
      <w:pPr>
        <w:ind w:left="6480" w:hanging="360"/>
      </w:pPr>
      <w:rPr>
        <w:rFonts w:ascii="Wingdings" w:hAnsi="Wingdings" w:hint="default"/>
      </w:rPr>
    </w:lvl>
  </w:abstractNum>
  <w:abstractNum w:abstractNumId="269" w15:restartNumberingAfterBreak="0">
    <w:nsid w:val="7A2945C5"/>
    <w:multiLevelType w:val="hybridMultilevel"/>
    <w:tmpl w:val="9188813E"/>
    <w:lvl w:ilvl="0" w:tplc="D090BB6E">
      <w:start w:val="1"/>
      <w:numFmt w:val="bullet"/>
      <w:lvlText w:val=""/>
      <w:lvlJc w:val="left"/>
      <w:pPr>
        <w:ind w:left="720" w:hanging="360"/>
      </w:pPr>
      <w:rPr>
        <w:rFonts w:ascii="Symbol" w:hAnsi="Symbol" w:hint="default"/>
      </w:rPr>
    </w:lvl>
    <w:lvl w:ilvl="1" w:tplc="E14A8744">
      <w:start w:val="1"/>
      <w:numFmt w:val="bullet"/>
      <w:lvlText w:val="o"/>
      <w:lvlJc w:val="left"/>
      <w:pPr>
        <w:ind w:left="1440" w:hanging="360"/>
      </w:pPr>
      <w:rPr>
        <w:rFonts w:ascii="Courier New" w:hAnsi="Courier New" w:hint="default"/>
      </w:rPr>
    </w:lvl>
    <w:lvl w:ilvl="2" w:tplc="DC3475DA">
      <w:start w:val="1"/>
      <w:numFmt w:val="bullet"/>
      <w:lvlText w:val=""/>
      <w:lvlJc w:val="left"/>
      <w:pPr>
        <w:ind w:left="2160" w:hanging="360"/>
      </w:pPr>
      <w:rPr>
        <w:rFonts w:ascii="Wingdings" w:hAnsi="Wingdings" w:hint="default"/>
      </w:rPr>
    </w:lvl>
    <w:lvl w:ilvl="3" w:tplc="984AFAF4">
      <w:start w:val="1"/>
      <w:numFmt w:val="bullet"/>
      <w:lvlText w:val=""/>
      <w:lvlJc w:val="left"/>
      <w:pPr>
        <w:ind w:left="2880" w:hanging="360"/>
      </w:pPr>
      <w:rPr>
        <w:rFonts w:ascii="Symbol" w:hAnsi="Symbol" w:hint="default"/>
      </w:rPr>
    </w:lvl>
    <w:lvl w:ilvl="4" w:tplc="13E6DC9E">
      <w:start w:val="1"/>
      <w:numFmt w:val="bullet"/>
      <w:lvlText w:val="o"/>
      <w:lvlJc w:val="left"/>
      <w:pPr>
        <w:ind w:left="3600" w:hanging="360"/>
      </w:pPr>
      <w:rPr>
        <w:rFonts w:ascii="Courier New" w:hAnsi="Courier New" w:hint="default"/>
      </w:rPr>
    </w:lvl>
    <w:lvl w:ilvl="5" w:tplc="280A759A">
      <w:start w:val="1"/>
      <w:numFmt w:val="bullet"/>
      <w:lvlText w:val=""/>
      <w:lvlJc w:val="left"/>
      <w:pPr>
        <w:ind w:left="4320" w:hanging="360"/>
      </w:pPr>
      <w:rPr>
        <w:rFonts w:ascii="Wingdings" w:hAnsi="Wingdings" w:hint="default"/>
      </w:rPr>
    </w:lvl>
    <w:lvl w:ilvl="6" w:tplc="F3686838">
      <w:start w:val="1"/>
      <w:numFmt w:val="bullet"/>
      <w:lvlText w:val=""/>
      <w:lvlJc w:val="left"/>
      <w:pPr>
        <w:ind w:left="5040" w:hanging="360"/>
      </w:pPr>
      <w:rPr>
        <w:rFonts w:ascii="Symbol" w:hAnsi="Symbol" w:hint="default"/>
      </w:rPr>
    </w:lvl>
    <w:lvl w:ilvl="7" w:tplc="A1D60924">
      <w:start w:val="1"/>
      <w:numFmt w:val="bullet"/>
      <w:lvlText w:val="o"/>
      <w:lvlJc w:val="left"/>
      <w:pPr>
        <w:ind w:left="5760" w:hanging="360"/>
      </w:pPr>
      <w:rPr>
        <w:rFonts w:ascii="Courier New" w:hAnsi="Courier New" w:hint="default"/>
      </w:rPr>
    </w:lvl>
    <w:lvl w:ilvl="8" w:tplc="0E3ED408">
      <w:start w:val="1"/>
      <w:numFmt w:val="bullet"/>
      <w:lvlText w:val=""/>
      <w:lvlJc w:val="left"/>
      <w:pPr>
        <w:ind w:left="6480" w:hanging="360"/>
      </w:pPr>
      <w:rPr>
        <w:rFonts w:ascii="Wingdings" w:hAnsi="Wingdings" w:hint="default"/>
      </w:rPr>
    </w:lvl>
  </w:abstractNum>
  <w:abstractNum w:abstractNumId="270" w15:restartNumberingAfterBreak="0">
    <w:nsid w:val="7B28746B"/>
    <w:multiLevelType w:val="multilevel"/>
    <w:tmpl w:val="FF4A53E6"/>
    <w:lvl w:ilvl="0">
      <w:start w:val="1"/>
      <w:numFmt w:val="bullet"/>
      <w:lvlText w:val=""/>
      <w:lvlJc w:val="left"/>
      <w:pPr>
        <w:tabs>
          <w:tab w:val="num" w:pos="643"/>
        </w:tabs>
        <w:ind w:left="643" w:hanging="360"/>
      </w:pPr>
      <w:rPr>
        <w:rFonts w:ascii="Symbol" w:hAnsi="Symbol" w:hint="default"/>
        <w:sz w:val="22"/>
      </w:rPr>
    </w:lvl>
    <w:lvl w:ilvl="1" w:tentative="1">
      <w:start w:val="1"/>
      <w:numFmt w:val="bullet"/>
      <w:lvlText w:val=""/>
      <w:lvlJc w:val="left"/>
      <w:pPr>
        <w:tabs>
          <w:tab w:val="num" w:pos="1363"/>
        </w:tabs>
        <w:ind w:left="1363" w:hanging="360"/>
      </w:pPr>
      <w:rPr>
        <w:rFonts w:ascii="Symbol" w:hAnsi="Symbol" w:hint="default"/>
        <w:sz w:val="20"/>
      </w:rPr>
    </w:lvl>
    <w:lvl w:ilvl="2" w:tentative="1">
      <w:start w:val="1"/>
      <w:numFmt w:val="bullet"/>
      <w:lvlText w:val=""/>
      <w:lvlJc w:val="left"/>
      <w:pPr>
        <w:tabs>
          <w:tab w:val="num" w:pos="2083"/>
        </w:tabs>
        <w:ind w:left="2083" w:hanging="360"/>
      </w:pPr>
      <w:rPr>
        <w:rFonts w:ascii="Symbol" w:hAnsi="Symbol" w:hint="default"/>
        <w:sz w:val="20"/>
      </w:rPr>
    </w:lvl>
    <w:lvl w:ilvl="3" w:tentative="1">
      <w:start w:val="1"/>
      <w:numFmt w:val="bullet"/>
      <w:lvlText w:val=""/>
      <w:lvlJc w:val="left"/>
      <w:pPr>
        <w:tabs>
          <w:tab w:val="num" w:pos="2803"/>
        </w:tabs>
        <w:ind w:left="2803" w:hanging="360"/>
      </w:pPr>
      <w:rPr>
        <w:rFonts w:ascii="Symbol" w:hAnsi="Symbol" w:hint="default"/>
        <w:sz w:val="20"/>
      </w:rPr>
    </w:lvl>
    <w:lvl w:ilvl="4" w:tentative="1">
      <w:start w:val="1"/>
      <w:numFmt w:val="bullet"/>
      <w:lvlText w:val=""/>
      <w:lvlJc w:val="left"/>
      <w:pPr>
        <w:tabs>
          <w:tab w:val="num" w:pos="3523"/>
        </w:tabs>
        <w:ind w:left="3523" w:hanging="360"/>
      </w:pPr>
      <w:rPr>
        <w:rFonts w:ascii="Symbol" w:hAnsi="Symbol" w:hint="default"/>
        <w:sz w:val="20"/>
      </w:rPr>
    </w:lvl>
    <w:lvl w:ilvl="5" w:tentative="1">
      <w:start w:val="1"/>
      <w:numFmt w:val="bullet"/>
      <w:lvlText w:val=""/>
      <w:lvlJc w:val="left"/>
      <w:pPr>
        <w:tabs>
          <w:tab w:val="num" w:pos="4243"/>
        </w:tabs>
        <w:ind w:left="4243" w:hanging="360"/>
      </w:pPr>
      <w:rPr>
        <w:rFonts w:ascii="Symbol" w:hAnsi="Symbol" w:hint="default"/>
        <w:sz w:val="20"/>
      </w:rPr>
    </w:lvl>
    <w:lvl w:ilvl="6" w:tentative="1">
      <w:start w:val="1"/>
      <w:numFmt w:val="bullet"/>
      <w:lvlText w:val=""/>
      <w:lvlJc w:val="left"/>
      <w:pPr>
        <w:tabs>
          <w:tab w:val="num" w:pos="4963"/>
        </w:tabs>
        <w:ind w:left="4963" w:hanging="360"/>
      </w:pPr>
      <w:rPr>
        <w:rFonts w:ascii="Symbol" w:hAnsi="Symbol" w:hint="default"/>
        <w:sz w:val="20"/>
      </w:rPr>
    </w:lvl>
    <w:lvl w:ilvl="7" w:tentative="1">
      <w:start w:val="1"/>
      <w:numFmt w:val="bullet"/>
      <w:lvlText w:val=""/>
      <w:lvlJc w:val="left"/>
      <w:pPr>
        <w:tabs>
          <w:tab w:val="num" w:pos="5683"/>
        </w:tabs>
        <w:ind w:left="5683" w:hanging="360"/>
      </w:pPr>
      <w:rPr>
        <w:rFonts w:ascii="Symbol" w:hAnsi="Symbol" w:hint="default"/>
        <w:sz w:val="20"/>
      </w:rPr>
    </w:lvl>
    <w:lvl w:ilvl="8" w:tentative="1">
      <w:start w:val="1"/>
      <w:numFmt w:val="bullet"/>
      <w:lvlText w:val=""/>
      <w:lvlJc w:val="left"/>
      <w:pPr>
        <w:tabs>
          <w:tab w:val="num" w:pos="6403"/>
        </w:tabs>
        <w:ind w:left="6403" w:hanging="360"/>
      </w:pPr>
      <w:rPr>
        <w:rFonts w:ascii="Symbol" w:hAnsi="Symbol" w:hint="default"/>
        <w:sz w:val="20"/>
      </w:rPr>
    </w:lvl>
  </w:abstractNum>
  <w:abstractNum w:abstractNumId="271" w15:restartNumberingAfterBreak="0">
    <w:nsid w:val="7BF54197"/>
    <w:multiLevelType w:val="hybridMultilevel"/>
    <w:tmpl w:val="0D886D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2" w15:restartNumberingAfterBreak="0">
    <w:nsid w:val="7C7C7EB5"/>
    <w:multiLevelType w:val="hybridMultilevel"/>
    <w:tmpl w:val="FFFFFFFF"/>
    <w:lvl w:ilvl="0" w:tplc="77F6A6F0">
      <w:start w:val="1"/>
      <w:numFmt w:val="bullet"/>
      <w:lvlText w:val="·"/>
      <w:lvlJc w:val="left"/>
      <w:pPr>
        <w:ind w:left="720" w:hanging="360"/>
      </w:pPr>
      <w:rPr>
        <w:rFonts w:ascii="Symbol" w:hAnsi="Symbol" w:hint="default"/>
      </w:rPr>
    </w:lvl>
    <w:lvl w:ilvl="1" w:tplc="EFE24C64">
      <w:start w:val="1"/>
      <w:numFmt w:val="bullet"/>
      <w:lvlText w:val="o"/>
      <w:lvlJc w:val="left"/>
      <w:pPr>
        <w:ind w:left="1440" w:hanging="360"/>
      </w:pPr>
      <w:rPr>
        <w:rFonts w:ascii="Courier New" w:hAnsi="Courier New" w:hint="default"/>
      </w:rPr>
    </w:lvl>
    <w:lvl w:ilvl="2" w:tplc="04B4CDC0">
      <w:start w:val="1"/>
      <w:numFmt w:val="bullet"/>
      <w:lvlText w:val=""/>
      <w:lvlJc w:val="left"/>
      <w:pPr>
        <w:ind w:left="2160" w:hanging="360"/>
      </w:pPr>
      <w:rPr>
        <w:rFonts w:ascii="Wingdings" w:hAnsi="Wingdings" w:hint="default"/>
      </w:rPr>
    </w:lvl>
    <w:lvl w:ilvl="3" w:tplc="BBA2DE04">
      <w:start w:val="1"/>
      <w:numFmt w:val="bullet"/>
      <w:lvlText w:val=""/>
      <w:lvlJc w:val="left"/>
      <w:pPr>
        <w:ind w:left="2880" w:hanging="360"/>
      </w:pPr>
      <w:rPr>
        <w:rFonts w:ascii="Symbol" w:hAnsi="Symbol" w:hint="default"/>
      </w:rPr>
    </w:lvl>
    <w:lvl w:ilvl="4" w:tplc="CB6A1CA2">
      <w:start w:val="1"/>
      <w:numFmt w:val="bullet"/>
      <w:lvlText w:val="o"/>
      <w:lvlJc w:val="left"/>
      <w:pPr>
        <w:ind w:left="3600" w:hanging="360"/>
      </w:pPr>
      <w:rPr>
        <w:rFonts w:ascii="Courier New" w:hAnsi="Courier New" w:hint="default"/>
      </w:rPr>
    </w:lvl>
    <w:lvl w:ilvl="5" w:tplc="E238337C">
      <w:start w:val="1"/>
      <w:numFmt w:val="bullet"/>
      <w:lvlText w:val=""/>
      <w:lvlJc w:val="left"/>
      <w:pPr>
        <w:ind w:left="4320" w:hanging="360"/>
      </w:pPr>
      <w:rPr>
        <w:rFonts w:ascii="Wingdings" w:hAnsi="Wingdings" w:hint="default"/>
      </w:rPr>
    </w:lvl>
    <w:lvl w:ilvl="6" w:tplc="6BCCEA6E">
      <w:start w:val="1"/>
      <w:numFmt w:val="bullet"/>
      <w:lvlText w:val=""/>
      <w:lvlJc w:val="left"/>
      <w:pPr>
        <w:ind w:left="5040" w:hanging="360"/>
      </w:pPr>
      <w:rPr>
        <w:rFonts w:ascii="Symbol" w:hAnsi="Symbol" w:hint="default"/>
      </w:rPr>
    </w:lvl>
    <w:lvl w:ilvl="7" w:tplc="20142950">
      <w:start w:val="1"/>
      <w:numFmt w:val="bullet"/>
      <w:lvlText w:val="o"/>
      <w:lvlJc w:val="left"/>
      <w:pPr>
        <w:ind w:left="5760" w:hanging="360"/>
      </w:pPr>
      <w:rPr>
        <w:rFonts w:ascii="Courier New" w:hAnsi="Courier New" w:hint="default"/>
      </w:rPr>
    </w:lvl>
    <w:lvl w:ilvl="8" w:tplc="473AEA82">
      <w:start w:val="1"/>
      <w:numFmt w:val="bullet"/>
      <w:lvlText w:val=""/>
      <w:lvlJc w:val="left"/>
      <w:pPr>
        <w:ind w:left="6480" w:hanging="360"/>
      </w:pPr>
      <w:rPr>
        <w:rFonts w:ascii="Wingdings" w:hAnsi="Wingdings" w:hint="default"/>
      </w:rPr>
    </w:lvl>
  </w:abstractNum>
  <w:abstractNum w:abstractNumId="273" w15:restartNumberingAfterBreak="0">
    <w:nsid w:val="7D18506F"/>
    <w:multiLevelType w:val="hybridMultilevel"/>
    <w:tmpl w:val="EDB02D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4" w15:restartNumberingAfterBreak="0">
    <w:nsid w:val="7D1B5311"/>
    <w:multiLevelType w:val="hybridMultilevel"/>
    <w:tmpl w:val="0CDCBE76"/>
    <w:styleLink w:val="Estilo1"/>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75" w15:restartNumberingAfterBreak="0">
    <w:nsid w:val="7EBF3A86"/>
    <w:multiLevelType w:val="hybridMultilevel"/>
    <w:tmpl w:val="8EA4B756"/>
    <w:lvl w:ilvl="0" w:tplc="24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76" w15:restartNumberingAfterBreak="0">
    <w:nsid w:val="7ED05122"/>
    <w:multiLevelType w:val="hybridMultilevel"/>
    <w:tmpl w:val="03681A4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7" w15:restartNumberingAfterBreak="0">
    <w:nsid w:val="7EF54C98"/>
    <w:multiLevelType w:val="hybridMultilevel"/>
    <w:tmpl w:val="42C8472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78" w15:restartNumberingAfterBreak="0">
    <w:nsid w:val="7F581777"/>
    <w:multiLevelType w:val="hybridMultilevel"/>
    <w:tmpl w:val="C5EA370E"/>
    <w:lvl w:ilvl="0" w:tplc="6A804874">
      <w:start w:val="9"/>
      <w:numFmt w:val="bullet"/>
      <w:lvlText w:val="-"/>
      <w:lvlJc w:val="left"/>
      <w:pPr>
        <w:ind w:left="720" w:hanging="360"/>
      </w:pPr>
      <w:rPr>
        <w:rFonts w:ascii="Times New Roman" w:eastAsiaTheme="minorEastAsia"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47"/>
  </w:num>
  <w:num w:numId="2">
    <w:abstractNumId w:val="196"/>
  </w:num>
  <w:num w:numId="3">
    <w:abstractNumId w:val="170"/>
  </w:num>
  <w:num w:numId="4">
    <w:abstractNumId w:val="218"/>
  </w:num>
  <w:num w:numId="5">
    <w:abstractNumId w:val="197"/>
  </w:num>
  <w:num w:numId="6">
    <w:abstractNumId w:val="244"/>
  </w:num>
  <w:num w:numId="7">
    <w:abstractNumId w:val="37"/>
  </w:num>
  <w:num w:numId="8">
    <w:abstractNumId w:val="34"/>
  </w:num>
  <w:num w:numId="9">
    <w:abstractNumId w:val="189"/>
  </w:num>
  <w:num w:numId="10">
    <w:abstractNumId w:val="154"/>
  </w:num>
  <w:num w:numId="11">
    <w:abstractNumId w:val="72"/>
  </w:num>
  <w:num w:numId="12">
    <w:abstractNumId w:val="188"/>
  </w:num>
  <w:num w:numId="13">
    <w:abstractNumId w:val="20"/>
  </w:num>
  <w:num w:numId="14">
    <w:abstractNumId w:val="268"/>
  </w:num>
  <w:num w:numId="15">
    <w:abstractNumId w:val="83"/>
  </w:num>
  <w:num w:numId="16">
    <w:abstractNumId w:val="88"/>
  </w:num>
  <w:num w:numId="17">
    <w:abstractNumId w:val="46"/>
  </w:num>
  <w:num w:numId="18">
    <w:abstractNumId w:val="187"/>
  </w:num>
  <w:num w:numId="19">
    <w:abstractNumId w:val="141"/>
  </w:num>
  <w:num w:numId="20">
    <w:abstractNumId w:val="77"/>
  </w:num>
  <w:num w:numId="21">
    <w:abstractNumId w:val="131"/>
  </w:num>
  <w:num w:numId="22">
    <w:abstractNumId w:val="62"/>
  </w:num>
  <w:num w:numId="23">
    <w:abstractNumId w:val="137"/>
  </w:num>
  <w:num w:numId="24">
    <w:abstractNumId w:val="114"/>
  </w:num>
  <w:num w:numId="25">
    <w:abstractNumId w:val="185"/>
  </w:num>
  <w:num w:numId="26">
    <w:abstractNumId w:val="267"/>
  </w:num>
  <w:num w:numId="27">
    <w:abstractNumId w:val="192"/>
  </w:num>
  <w:num w:numId="28">
    <w:abstractNumId w:val="13"/>
  </w:num>
  <w:num w:numId="29">
    <w:abstractNumId w:val="257"/>
  </w:num>
  <w:num w:numId="30">
    <w:abstractNumId w:val="142"/>
  </w:num>
  <w:num w:numId="31">
    <w:abstractNumId w:val="274"/>
  </w:num>
  <w:num w:numId="32">
    <w:abstractNumId w:val="82"/>
  </w:num>
  <w:num w:numId="33">
    <w:abstractNumId w:val="73"/>
  </w:num>
  <w:num w:numId="34">
    <w:abstractNumId w:val="233"/>
  </w:num>
  <w:num w:numId="35">
    <w:abstractNumId w:val="152"/>
  </w:num>
  <w:num w:numId="36">
    <w:abstractNumId w:val="70"/>
  </w:num>
  <w:num w:numId="37">
    <w:abstractNumId w:val="102"/>
  </w:num>
  <w:num w:numId="38">
    <w:abstractNumId w:val="163"/>
  </w:num>
  <w:num w:numId="39">
    <w:abstractNumId w:val="171"/>
  </w:num>
  <w:num w:numId="40">
    <w:abstractNumId w:val="201"/>
  </w:num>
  <w:num w:numId="41">
    <w:abstractNumId w:val="150"/>
  </w:num>
  <w:num w:numId="42">
    <w:abstractNumId w:val="132"/>
  </w:num>
  <w:num w:numId="43">
    <w:abstractNumId w:val="193"/>
  </w:num>
  <w:num w:numId="44">
    <w:abstractNumId w:val="238"/>
  </w:num>
  <w:num w:numId="45">
    <w:abstractNumId w:val="251"/>
  </w:num>
  <w:num w:numId="46">
    <w:abstractNumId w:val="270"/>
  </w:num>
  <w:num w:numId="47">
    <w:abstractNumId w:val="266"/>
  </w:num>
  <w:num w:numId="48">
    <w:abstractNumId w:val="8"/>
  </w:num>
  <w:num w:numId="49">
    <w:abstractNumId w:val="178"/>
  </w:num>
  <w:num w:numId="50">
    <w:abstractNumId w:val="126"/>
  </w:num>
  <w:num w:numId="51">
    <w:abstractNumId w:val="122"/>
  </w:num>
  <w:num w:numId="52">
    <w:abstractNumId w:val="86"/>
  </w:num>
  <w:num w:numId="53">
    <w:abstractNumId w:val="134"/>
  </w:num>
  <w:num w:numId="54">
    <w:abstractNumId w:val="27"/>
  </w:num>
  <w:num w:numId="55">
    <w:abstractNumId w:val="128"/>
  </w:num>
  <w:num w:numId="56">
    <w:abstractNumId w:val="129"/>
  </w:num>
  <w:num w:numId="57">
    <w:abstractNumId w:val="19"/>
  </w:num>
  <w:num w:numId="58">
    <w:abstractNumId w:val="236"/>
  </w:num>
  <w:num w:numId="59">
    <w:abstractNumId w:val="161"/>
  </w:num>
  <w:num w:numId="60">
    <w:abstractNumId w:val="93"/>
  </w:num>
  <w:num w:numId="61">
    <w:abstractNumId w:val="47"/>
  </w:num>
  <w:num w:numId="62">
    <w:abstractNumId w:val="50"/>
  </w:num>
  <w:num w:numId="63">
    <w:abstractNumId w:val="255"/>
  </w:num>
  <w:num w:numId="64">
    <w:abstractNumId w:val="176"/>
  </w:num>
  <w:num w:numId="65">
    <w:abstractNumId w:val="96"/>
  </w:num>
  <w:num w:numId="66">
    <w:abstractNumId w:val="133"/>
  </w:num>
  <w:num w:numId="67">
    <w:abstractNumId w:val="246"/>
  </w:num>
  <w:num w:numId="68">
    <w:abstractNumId w:val="144"/>
  </w:num>
  <w:num w:numId="69">
    <w:abstractNumId w:val="51"/>
  </w:num>
  <w:num w:numId="70">
    <w:abstractNumId w:val="166"/>
  </w:num>
  <w:num w:numId="71">
    <w:abstractNumId w:val="58"/>
  </w:num>
  <w:num w:numId="72">
    <w:abstractNumId w:val="230"/>
  </w:num>
  <w:num w:numId="73">
    <w:abstractNumId w:val="79"/>
  </w:num>
  <w:num w:numId="74">
    <w:abstractNumId w:val="276"/>
  </w:num>
  <w:num w:numId="75">
    <w:abstractNumId w:val="125"/>
  </w:num>
  <w:num w:numId="76">
    <w:abstractNumId w:val="23"/>
  </w:num>
  <w:num w:numId="77">
    <w:abstractNumId w:val="112"/>
  </w:num>
  <w:num w:numId="78">
    <w:abstractNumId w:val="140"/>
  </w:num>
  <w:num w:numId="79">
    <w:abstractNumId w:val="241"/>
  </w:num>
  <w:num w:numId="80">
    <w:abstractNumId w:val="234"/>
  </w:num>
  <w:num w:numId="81">
    <w:abstractNumId w:val="108"/>
  </w:num>
  <w:num w:numId="82">
    <w:abstractNumId w:val="113"/>
  </w:num>
  <w:num w:numId="83">
    <w:abstractNumId w:val="215"/>
  </w:num>
  <w:num w:numId="84">
    <w:abstractNumId w:val="16"/>
  </w:num>
  <w:num w:numId="85">
    <w:abstractNumId w:val="240"/>
  </w:num>
  <w:num w:numId="86">
    <w:abstractNumId w:val="232"/>
  </w:num>
  <w:num w:numId="87">
    <w:abstractNumId w:val="275"/>
  </w:num>
  <w:num w:numId="88">
    <w:abstractNumId w:val="207"/>
  </w:num>
  <w:num w:numId="89">
    <w:abstractNumId w:val="135"/>
  </w:num>
  <w:num w:numId="90">
    <w:abstractNumId w:val="149"/>
  </w:num>
  <w:num w:numId="91">
    <w:abstractNumId w:val="28"/>
  </w:num>
  <w:num w:numId="92">
    <w:abstractNumId w:val="248"/>
  </w:num>
  <w:num w:numId="93">
    <w:abstractNumId w:val="143"/>
  </w:num>
  <w:num w:numId="94">
    <w:abstractNumId w:val="164"/>
  </w:num>
  <w:num w:numId="95">
    <w:abstractNumId w:val="231"/>
  </w:num>
  <w:num w:numId="96">
    <w:abstractNumId w:val="146"/>
  </w:num>
  <w:num w:numId="97">
    <w:abstractNumId w:val="22"/>
  </w:num>
  <w:num w:numId="98">
    <w:abstractNumId w:val="239"/>
  </w:num>
  <w:num w:numId="99">
    <w:abstractNumId w:val="175"/>
  </w:num>
  <w:num w:numId="100">
    <w:abstractNumId w:val="220"/>
  </w:num>
  <w:num w:numId="101">
    <w:abstractNumId w:val="81"/>
  </w:num>
  <w:num w:numId="102">
    <w:abstractNumId w:val="29"/>
  </w:num>
  <w:num w:numId="103">
    <w:abstractNumId w:val="63"/>
  </w:num>
  <w:num w:numId="104">
    <w:abstractNumId w:val="181"/>
  </w:num>
  <w:num w:numId="105">
    <w:abstractNumId w:val="71"/>
  </w:num>
  <w:num w:numId="106">
    <w:abstractNumId w:val="89"/>
  </w:num>
  <w:num w:numId="107">
    <w:abstractNumId w:val="9"/>
  </w:num>
  <w:num w:numId="108">
    <w:abstractNumId w:val="14"/>
  </w:num>
  <w:num w:numId="109">
    <w:abstractNumId w:val="107"/>
  </w:num>
  <w:num w:numId="110">
    <w:abstractNumId w:val="120"/>
  </w:num>
  <w:num w:numId="111">
    <w:abstractNumId w:val="223"/>
  </w:num>
  <w:num w:numId="112">
    <w:abstractNumId w:val="32"/>
  </w:num>
  <w:num w:numId="113">
    <w:abstractNumId w:val="242"/>
  </w:num>
  <w:num w:numId="114">
    <w:abstractNumId w:val="250"/>
  </w:num>
  <w:num w:numId="115">
    <w:abstractNumId w:val="53"/>
  </w:num>
  <w:num w:numId="116">
    <w:abstractNumId w:val="204"/>
  </w:num>
  <w:num w:numId="117">
    <w:abstractNumId w:val="54"/>
  </w:num>
  <w:num w:numId="118">
    <w:abstractNumId w:val="31"/>
  </w:num>
  <w:num w:numId="119">
    <w:abstractNumId w:val="160"/>
  </w:num>
  <w:num w:numId="120">
    <w:abstractNumId w:val="226"/>
  </w:num>
  <w:num w:numId="121">
    <w:abstractNumId w:val="26"/>
  </w:num>
  <w:num w:numId="122">
    <w:abstractNumId w:val="109"/>
  </w:num>
  <w:num w:numId="123">
    <w:abstractNumId w:val="56"/>
  </w:num>
  <w:num w:numId="124">
    <w:abstractNumId w:val="145"/>
  </w:num>
  <w:num w:numId="125">
    <w:abstractNumId w:val="110"/>
  </w:num>
  <w:num w:numId="126">
    <w:abstractNumId w:val="138"/>
  </w:num>
  <w:num w:numId="127">
    <w:abstractNumId w:val="55"/>
  </w:num>
  <w:num w:numId="128">
    <w:abstractNumId w:val="179"/>
  </w:num>
  <w:num w:numId="129">
    <w:abstractNumId w:val="157"/>
  </w:num>
  <w:num w:numId="130">
    <w:abstractNumId w:val="213"/>
  </w:num>
  <w:num w:numId="131">
    <w:abstractNumId w:val="147"/>
  </w:num>
  <w:num w:numId="132">
    <w:abstractNumId w:val="168"/>
  </w:num>
  <w:num w:numId="133">
    <w:abstractNumId w:val="65"/>
  </w:num>
  <w:num w:numId="134">
    <w:abstractNumId w:val="2"/>
  </w:num>
  <w:num w:numId="135">
    <w:abstractNumId w:val="190"/>
  </w:num>
  <w:num w:numId="136">
    <w:abstractNumId w:val="121"/>
  </w:num>
  <w:num w:numId="137">
    <w:abstractNumId w:val="235"/>
  </w:num>
  <w:num w:numId="138">
    <w:abstractNumId w:val="80"/>
  </w:num>
  <w:num w:numId="139">
    <w:abstractNumId w:val="261"/>
  </w:num>
  <w:num w:numId="140">
    <w:abstractNumId w:val="38"/>
  </w:num>
  <w:num w:numId="141">
    <w:abstractNumId w:val="111"/>
  </w:num>
  <w:num w:numId="142">
    <w:abstractNumId w:val="39"/>
  </w:num>
  <w:num w:numId="143">
    <w:abstractNumId w:val="130"/>
  </w:num>
  <w:num w:numId="144">
    <w:abstractNumId w:val="36"/>
  </w:num>
  <w:num w:numId="145">
    <w:abstractNumId w:val="12"/>
  </w:num>
  <w:num w:numId="146">
    <w:abstractNumId w:val="15"/>
  </w:num>
  <w:num w:numId="147">
    <w:abstractNumId w:val="92"/>
  </w:num>
  <w:num w:numId="148">
    <w:abstractNumId w:val="186"/>
  </w:num>
  <w:num w:numId="149">
    <w:abstractNumId w:val="91"/>
  </w:num>
  <w:num w:numId="150">
    <w:abstractNumId w:val="272"/>
  </w:num>
  <w:num w:numId="151">
    <w:abstractNumId w:val="259"/>
  </w:num>
  <w:num w:numId="152">
    <w:abstractNumId w:val="76"/>
  </w:num>
  <w:num w:numId="153">
    <w:abstractNumId w:val="200"/>
  </w:num>
  <w:num w:numId="154">
    <w:abstractNumId w:val="256"/>
  </w:num>
  <w:num w:numId="155">
    <w:abstractNumId w:val="100"/>
  </w:num>
  <w:num w:numId="156">
    <w:abstractNumId w:val="59"/>
  </w:num>
  <w:num w:numId="157">
    <w:abstractNumId w:val="24"/>
  </w:num>
  <w:num w:numId="158">
    <w:abstractNumId w:val="155"/>
  </w:num>
  <w:num w:numId="159">
    <w:abstractNumId w:val="99"/>
  </w:num>
  <w:num w:numId="160">
    <w:abstractNumId w:val="5"/>
  </w:num>
  <w:num w:numId="161">
    <w:abstractNumId w:val="57"/>
  </w:num>
  <w:num w:numId="162">
    <w:abstractNumId w:val="169"/>
  </w:num>
  <w:num w:numId="163">
    <w:abstractNumId w:val="118"/>
  </w:num>
  <w:num w:numId="164">
    <w:abstractNumId w:val="95"/>
  </w:num>
  <w:num w:numId="165">
    <w:abstractNumId w:val="11"/>
  </w:num>
  <w:num w:numId="166">
    <w:abstractNumId w:val="237"/>
  </w:num>
  <w:num w:numId="167">
    <w:abstractNumId w:val="203"/>
  </w:num>
  <w:num w:numId="168">
    <w:abstractNumId w:val="211"/>
  </w:num>
  <w:num w:numId="169">
    <w:abstractNumId w:val="195"/>
  </w:num>
  <w:num w:numId="170">
    <w:abstractNumId w:val="254"/>
  </w:num>
  <w:num w:numId="171">
    <w:abstractNumId w:val="206"/>
  </w:num>
  <w:num w:numId="172">
    <w:abstractNumId w:val="117"/>
  </w:num>
  <w:num w:numId="173">
    <w:abstractNumId w:val="4"/>
  </w:num>
  <w:num w:numId="174">
    <w:abstractNumId w:val="199"/>
  </w:num>
  <w:num w:numId="175">
    <w:abstractNumId w:val="84"/>
  </w:num>
  <w:num w:numId="176">
    <w:abstractNumId w:val="222"/>
  </w:num>
  <w:num w:numId="177">
    <w:abstractNumId w:val="174"/>
  </w:num>
  <w:num w:numId="178">
    <w:abstractNumId w:val="269"/>
  </w:num>
  <w:num w:numId="179">
    <w:abstractNumId w:val="30"/>
  </w:num>
  <w:num w:numId="180">
    <w:abstractNumId w:val="208"/>
  </w:num>
  <w:num w:numId="181">
    <w:abstractNumId w:val="219"/>
  </w:num>
  <w:num w:numId="182">
    <w:abstractNumId w:val="205"/>
  </w:num>
  <w:num w:numId="183">
    <w:abstractNumId w:val="258"/>
  </w:num>
  <w:num w:numId="184">
    <w:abstractNumId w:val="115"/>
  </w:num>
  <w:num w:numId="185">
    <w:abstractNumId w:val="153"/>
  </w:num>
  <w:num w:numId="186">
    <w:abstractNumId w:val="167"/>
  </w:num>
  <w:num w:numId="187">
    <w:abstractNumId w:val="271"/>
  </w:num>
  <w:num w:numId="188">
    <w:abstractNumId w:val="249"/>
  </w:num>
  <w:num w:numId="189">
    <w:abstractNumId w:val="136"/>
  </w:num>
  <w:num w:numId="190">
    <w:abstractNumId w:val="105"/>
  </w:num>
  <w:num w:numId="191">
    <w:abstractNumId w:val="227"/>
  </w:num>
  <w:num w:numId="192">
    <w:abstractNumId w:val="123"/>
  </w:num>
  <w:num w:numId="193">
    <w:abstractNumId w:val="194"/>
  </w:num>
  <w:num w:numId="194">
    <w:abstractNumId w:val="43"/>
  </w:num>
  <w:num w:numId="195">
    <w:abstractNumId w:val="7"/>
  </w:num>
  <w:num w:numId="196">
    <w:abstractNumId w:val="198"/>
  </w:num>
  <w:num w:numId="197">
    <w:abstractNumId w:val="225"/>
  </w:num>
  <w:num w:numId="198">
    <w:abstractNumId w:val="180"/>
  </w:num>
  <w:num w:numId="199">
    <w:abstractNumId w:val="214"/>
  </w:num>
  <w:num w:numId="200">
    <w:abstractNumId w:val="224"/>
  </w:num>
  <w:num w:numId="201">
    <w:abstractNumId w:val="64"/>
  </w:num>
  <w:num w:numId="202">
    <w:abstractNumId w:val="217"/>
  </w:num>
  <w:num w:numId="203">
    <w:abstractNumId w:val="33"/>
  </w:num>
  <w:num w:numId="204">
    <w:abstractNumId w:val="94"/>
  </w:num>
  <w:num w:numId="205">
    <w:abstractNumId w:val="74"/>
  </w:num>
  <w:num w:numId="206">
    <w:abstractNumId w:val="66"/>
  </w:num>
  <w:num w:numId="207">
    <w:abstractNumId w:val="263"/>
  </w:num>
  <w:num w:numId="208">
    <w:abstractNumId w:val="60"/>
  </w:num>
  <w:num w:numId="209">
    <w:abstractNumId w:val="172"/>
  </w:num>
  <w:num w:numId="210">
    <w:abstractNumId w:val="6"/>
  </w:num>
  <w:num w:numId="211">
    <w:abstractNumId w:val="209"/>
  </w:num>
  <w:num w:numId="212">
    <w:abstractNumId w:val="116"/>
  </w:num>
  <w:num w:numId="213">
    <w:abstractNumId w:val="253"/>
  </w:num>
  <w:num w:numId="214">
    <w:abstractNumId w:val="25"/>
  </w:num>
  <w:num w:numId="215">
    <w:abstractNumId w:val="61"/>
  </w:num>
  <w:num w:numId="216">
    <w:abstractNumId w:val="127"/>
  </w:num>
  <w:num w:numId="217">
    <w:abstractNumId w:val="262"/>
  </w:num>
  <w:num w:numId="218">
    <w:abstractNumId w:val="10"/>
  </w:num>
  <w:num w:numId="219">
    <w:abstractNumId w:val="245"/>
  </w:num>
  <w:num w:numId="220">
    <w:abstractNumId w:val="183"/>
  </w:num>
  <w:num w:numId="221">
    <w:abstractNumId w:val="165"/>
  </w:num>
  <w:num w:numId="222">
    <w:abstractNumId w:val="75"/>
  </w:num>
  <w:num w:numId="223">
    <w:abstractNumId w:val="3"/>
  </w:num>
  <w:num w:numId="224">
    <w:abstractNumId w:val="69"/>
  </w:num>
  <w:num w:numId="225">
    <w:abstractNumId w:val="101"/>
  </w:num>
  <w:num w:numId="226">
    <w:abstractNumId w:val="252"/>
  </w:num>
  <w:num w:numId="227">
    <w:abstractNumId w:val="216"/>
  </w:num>
  <w:num w:numId="228">
    <w:abstractNumId w:val="277"/>
  </w:num>
  <w:num w:numId="229">
    <w:abstractNumId w:val="260"/>
  </w:num>
  <w:num w:numId="230">
    <w:abstractNumId w:val="151"/>
  </w:num>
  <w:num w:numId="231">
    <w:abstractNumId w:val="228"/>
  </w:num>
  <w:num w:numId="232">
    <w:abstractNumId w:val="119"/>
  </w:num>
  <w:num w:numId="233">
    <w:abstractNumId w:val="48"/>
  </w:num>
  <w:num w:numId="234">
    <w:abstractNumId w:val="104"/>
  </w:num>
  <w:num w:numId="235">
    <w:abstractNumId w:val="264"/>
  </w:num>
  <w:num w:numId="236">
    <w:abstractNumId w:val="159"/>
  </w:num>
  <w:num w:numId="237">
    <w:abstractNumId w:val="265"/>
  </w:num>
  <w:num w:numId="238">
    <w:abstractNumId w:val="44"/>
  </w:num>
  <w:num w:numId="2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0">
    <w:abstractNumId w:val="98"/>
  </w:num>
  <w:num w:numId="241">
    <w:abstractNumId w:val="106"/>
  </w:num>
  <w:num w:numId="242">
    <w:abstractNumId w:val="156"/>
  </w:num>
  <w:num w:numId="243">
    <w:abstractNumId w:val="184"/>
  </w:num>
  <w:num w:numId="244">
    <w:abstractNumId w:val="17"/>
  </w:num>
  <w:num w:numId="245">
    <w:abstractNumId w:val="148"/>
  </w:num>
  <w:num w:numId="246">
    <w:abstractNumId w:val="162"/>
  </w:num>
  <w:num w:numId="247">
    <w:abstractNumId w:val="139"/>
  </w:num>
  <w:num w:numId="248">
    <w:abstractNumId w:val="202"/>
  </w:num>
  <w:num w:numId="249">
    <w:abstractNumId w:val="221"/>
  </w:num>
  <w:num w:numId="250">
    <w:abstractNumId w:val="21"/>
  </w:num>
  <w:num w:numId="251">
    <w:abstractNumId w:val="0"/>
  </w:num>
  <w:num w:numId="252">
    <w:abstractNumId w:val="90"/>
  </w:num>
  <w:num w:numId="253">
    <w:abstractNumId w:val="278"/>
  </w:num>
  <w:num w:numId="254">
    <w:abstractNumId w:val="103"/>
  </w:num>
  <w:num w:numId="255">
    <w:abstractNumId w:val="35"/>
  </w:num>
  <w:num w:numId="256">
    <w:abstractNumId w:val="1"/>
  </w:num>
  <w:num w:numId="257">
    <w:abstractNumId w:val="212"/>
  </w:num>
  <w:num w:numId="258">
    <w:abstractNumId w:val="52"/>
  </w:num>
  <w:num w:numId="259">
    <w:abstractNumId w:val="173"/>
  </w:num>
  <w:num w:numId="260">
    <w:abstractNumId w:val="124"/>
  </w:num>
  <w:num w:numId="261">
    <w:abstractNumId w:val="78"/>
  </w:num>
  <w:num w:numId="262">
    <w:abstractNumId w:val="18"/>
  </w:num>
  <w:num w:numId="263">
    <w:abstractNumId w:val="42"/>
  </w:num>
  <w:num w:numId="264">
    <w:abstractNumId w:val="158"/>
  </w:num>
  <w:num w:numId="265">
    <w:abstractNumId w:val="97"/>
  </w:num>
  <w:num w:numId="266">
    <w:abstractNumId w:val="67"/>
  </w:num>
  <w:num w:numId="267">
    <w:abstractNumId w:val="177"/>
  </w:num>
  <w:num w:numId="268">
    <w:abstractNumId w:val="229"/>
  </w:num>
  <w:num w:numId="269">
    <w:abstractNumId w:val="40"/>
  </w:num>
  <w:num w:numId="270">
    <w:abstractNumId w:val="68"/>
  </w:num>
  <w:num w:numId="271">
    <w:abstractNumId w:val="273"/>
  </w:num>
  <w:num w:numId="272">
    <w:abstractNumId w:val="41"/>
  </w:num>
  <w:num w:numId="273">
    <w:abstractNumId w:val="182"/>
  </w:num>
  <w:num w:numId="274">
    <w:abstractNumId w:val="85"/>
  </w:num>
  <w:num w:numId="275">
    <w:abstractNumId w:val="243"/>
  </w:num>
  <w:num w:numId="276">
    <w:abstractNumId w:val="210"/>
  </w:num>
  <w:num w:numId="277">
    <w:abstractNumId w:val="45"/>
  </w:num>
  <w:num w:numId="278">
    <w:abstractNumId w:val="191"/>
  </w:num>
  <w:num w:numId="279">
    <w:abstractNumId w:val="87"/>
  </w:num>
  <w:numIdMacAtCleanup w:val="2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activeWritingStyle w:appName="MSWord" w:lang="en-US" w:vendorID="64" w:dllVersion="131078" w:nlCheck="1" w:checkStyle="0"/>
  <w:activeWritingStyle w:appName="MSWord" w:lang="es-ES" w:vendorID="64" w:dllVersion="131078" w:nlCheck="1" w:checkStyle="0"/>
  <w:activeWritingStyle w:appName="MSWord" w:lang="es-CO" w:vendorID="64" w:dllVersion="131078" w:nlCheck="1" w:checkStyle="0"/>
  <w:activeWritingStyle w:appName="MSWord" w:lang="es-MX" w:vendorID="64" w:dllVersion="131078" w:nlCheck="1" w:checkStyle="0"/>
  <w:activeWritingStyle w:appName="MSWord" w:lang="es-ES_tradnl" w:vendorID="64" w:dllVersion="131078" w:nlCheck="1" w:checkStyle="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9E0"/>
    <w:rsid w:val="000001E1"/>
    <w:rsid w:val="000008A1"/>
    <w:rsid w:val="00000A50"/>
    <w:rsid w:val="000012BB"/>
    <w:rsid w:val="00001502"/>
    <w:rsid w:val="00002A46"/>
    <w:rsid w:val="00003932"/>
    <w:rsid w:val="00003FFF"/>
    <w:rsid w:val="000041C7"/>
    <w:rsid w:val="00004437"/>
    <w:rsid w:val="00004D1D"/>
    <w:rsid w:val="000052B9"/>
    <w:rsid w:val="000060C8"/>
    <w:rsid w:val="0000681B"/>
    <w:rsid w:val="000070D1"/>
    <w:rsid w:val="00007614"/>
    <w:rsid w:val="00007A6A"/>
    <w:rsid w:val="00010642"/>
    <w:rsid w:val="00010667"/>
    <w:rsid w:val="00011C0A"/>
    <w:rsid w:val="0001214A"/>
    <w:rsid w:val="000124D8"/>
    <w:rsid w:val="00012DD4"/>
    <w:rsid w:val="00013841"/>
    <w:rsid w:val="000139DC"/>
    <w:rsid w:val="00014115"/>
    <w:rsid w:val="000144F8"/>
    <w:rsid w:val="00014A52"/>
    <w:rsid w:val="00015195"/>
    <w:rsid w:val="000153ED"/>
    <w:rsid w:val="000157BB"/>
    <w:rsid w:val="0001609F"/>
    <w:rsid w:val="000166E9"/>
    <w:rsid w:val="000167C2"/>
    <w:rsid w:val="00016CBE"/>
    <w:rsid w:val="000171F5"/>
    <w:rsid w:val="000176E4"/>
    <w:rsid w:val="000178B9"/>
    <w:rsid w:val="000203C3"/>
    <w:rsid w:val="00020D59"/>
    <w:rsid w:val="00021039"/>
    <w:rsid w:val="000215EA"/>
    <w:rsid w:val="00021687"/>
    <w:rsid w:val="00021C17"/>
    <w:rsid w:val="00021EA4"/>
    <w:rsid w:val="00022934"/>
    <w:rsid w:val="000229A7"/>
    <w:rsid w:val="00023533"/>
    <w:rsid w:val="00023C0C"/>
    <w:rsid w:val="00023FDB"/>
    <w:rsid w:val="00024279"/>
    <w:rsid w:val="00024B99"/>
    <w:rsid w:val="00024DCC"/>
    <w:rsid w:val="00024E0F"/>
    <w:rsid w:val="00025DB6"/>
    <w:rsid w:val="00026215"/>
    <w:rsid w:val="00026DB6"/>
    <w:rsid w:val="00026E8C"/>
    <w:rsid w:val="00026EC5"/>
    <w:rsid w:val="000273E8"/>
    <w:rsid w:val="00027A4B"/>
    <w:rsid w:val="000314C6"/>
    <w:rsid w:val="00031AFA"/>
    <w:rsid w:val="000320F0"/>
    <w:rsid w:val="00033086"/>
    <w:rsid w:val="000330D1"/>
    <w:rsid w:val="0003437A"/>
    <w:rsid w:val="00034D96"/>
    <w:rsid w:val="00034E92"/>
    <w:rsid w:val="00034FCF"/>
    <w:rsid w:val="0003568E"/>
    <w:rsid w:val="000362F2"/>
    <w:rsid w:val="000365B0"/>
    <w:rsid w:val="000368EB"/>
    <w:rsid w:val="000374E7"/>
    <w:rsid w:val="00037FBB"/>
    <w:rsid w:val="00040CBC"/>
    <w:rsid w:val="00040F49"/>
    <w:rsid w:val="00041844"/>
    <w:rsid w:val="00042A05"/>
    <w:rsid w:val="000439A6"/>
    <w:rsid w:val="000439C1"/>
    <w:rsid w:val="0004445F"/>
    <w:rsid w:val="00044CE9"/>
    <w:rsid w:val="00045245"/>
    <w:rsid w:val="0004619E"/>
    <w:rsid w:val="00046B0F"/>
    <w:rsid w:val="00046EFE"/>
    <w:rsid w:val="0004736C"/>
    <w:rsid w:val="00050D45"/>
    <w:rsid w:val="00051183"/>
    <w:rsid w:val="0005196E"/>
    <w:rsid w:val="00051DCE"/>
    <w:rsid w:val="00052698"/>
    <w:rsid w:val="000543BE"/>
    <w:rsid w:val="000547F3"/>
    <w:rsid w:val="000552F1"/>
    <w:rsid w:val="000562C3"/>
    <w:rsid w:val="00056525"/>
    <w:rsid w:val="00056CA0"/>
    <w:rsid w:val="00060199"/>
    <w:rsid w:val="00060D5B"/>
    <w:rsid w:val="00061B75"/>
    <w:rsid w:val="00061CC7"/>
    <w:rsid w:val="00061E4D"/>
    <w:rsid w:val="00061F0C"/>
    <w:rsid w:val="000622AB"/>
    <w:rsid w:val="00062310"/>
    <w:rsid w:val="00062480"/>
    <w:rsid w:val="000624DC"/>
    <w:rsid w:val="00062B46"/>
    <w:rsid w:val="00062F2E"/>
    <w:rsid w:val="000632FD"/>
    <w:rsid w:val="000636DA"/>
    <w:rsid w:val="00063752"/>
    <w:rsid w:val="00063AE6"/>
    <w:rsid w:val="00064C71"/>
    <w:rsid w:val="000662B6"/>
    <w:rsid w:val="00066931"/>
    <w:rsid w:val="0006725E"/>
    <w:rsid w:val="00067275"/>
    <w:rsid w:val="0006747D"/>
    <w:rsid w:val="00067842"/>
    <w:rsid w:val="00067A5D"/>
    <w:rsid w:val="00067A9E"/>
    <w:rsid w:val="000705A3"/>
    <w:rsid w:val="00070B93"/>
    <w:rsid w:val="00070ED0"/>
    <w:rsid w:val="000710F0"/>
    <w:rsid w:val="0007118F"/>
    <w:rsid w:val="00071DAE"/>
    <w:rsid w:val="00071F16"/>
    <w:rsid w:val="00072541"/>
    <w:rsid w:val="00072661"/>
    <w:rsid w:val="00072737"/>
    <w:rsid w:val="000729A5"/>
    <w:rsid w:val="00072C14"/>
    <w:rsid w:val="00072C9F"/>
    <w:rsid w:val="00072EED"/>
    <w:rsid w:val="00073006"/>
    <w:rsid w:val="0007344B"/>
    <w:rsid w:val="00073888"/>
    <w:rsid w:val="00073AA1"/>
    <w:rsid w:val="000741DD"/>
    <w:rsid w:val="000743E2"/>
    <w:rsid w:val="000750FE"/>
    <w:rsid w:val="0007751A"/>
    <w:rsid w:val="0008065C"/>
    <w:rsid w:val="00080852"/>
    <w:rsid w:val="00081C61"/>
    <w:rsid w:val="00082C79"/>
    <w:rsid w:val="00082DC2"/>
    <w:rsid w:val="00083301"/>
    <w:rsid w:val="000837AC"/>
    <w:rsid w:val="00084218"/>
    <w:rsid w:val="0008460F"/>
    <w:rsid w:val="00085145"/>
    <w:rsid w:val="000853D9"/>
    <w:rsid w:val="0008560D"/>
    <w:rsid w:val="000856DC"/>
    <w:rsid w:val="00085E56"/>
    <w:rsid w:val="00085FDD"/>
    <w:rsid w:val="00086060"/>
    <w:rsid w:val="0008645C"/>
    <w:rsid w:val="00086605"/>
    <w:rsid w:val="00086F75"/>
    <w:rsid w:val="0008743F"/>
    <w:rsid w:val="00087C67"/>
    <w:rsid w:val="00087F32"/>
    <w:rsid w:val="00090791"/>
    <w:rsid w:val="00091197"/>
    <w:rsid w:val="0009142C"/>
    <w:rsid w:val="00092086"/>
    <w:rsid w:val="0009292A"/>
    <w:rsid w:val="00092C22"/>
    <w:rsid w:val="000932BB"/>
    <w:rsid w:val="00093339"/>
    <w:rsid w:val="00093B3A"/>
    <w:rsid w:val="00095345"/>
    <w:rsid w:val="00095616"/>
    <w:rsid w:val="000957AE"/>
    <w:rsid w:val="000957F4"/>
    <w:rsid w:val="00095EEF"/>
    <w:rsid w:val="00097679"/>
    <w:rsid w:val="000978D3"/>
    <w:rsid w:val="00097E4B"/>
    <w:rsid w:val="000A04C6"/>
    <w:rsid w:val="000A0B6F"/>
    <w:rsid w:val="000A0BF7"/>
    <w:rsid w:val="000A0E39"/>
    <w:rsid w:val="000A1860"/>
    <w:rsid w:val="000A1F22"/>
    <w:rsid w:val="000A20EE"/>
    <w:rsid w:val="000A2984"/>
    <w:rsid w:val="000A3A18"/>
    <w:rsid w:val="000A3FBD"/>
    <w:rsid w:val="000A5185"/>
    <w:rsid w:val="000A5366"/>
    <w:rsid w:val="000A5A23"/>
    <w:rsid w:val="000A5CDB"/>
    <w:rsid w:val="000A5E2B"/>
    <w:rsid w:val="000A6616"/>
    <w:rsid w:val="000A7B8D"/>
    <w:rsid w:val="000B03F1"/>
    <w:rsid w:val="000B1300"/>
    <w:rsid w:val="000B17FE"/>
    <w:rsid w:val="000B2BC6"/>
    <w:rsid w:val="000B3885"/>
    <w:rsid w:val="000B391D"/>
    <w:rsid w:val="000B42D0"/>
    <w:rsid w:val="000B4666"/>
    <w:rsid w:val="000B4DE2"/>
    <w:rsid w:val="000B4DEA"/>
    <w:rsid w:val="000B5945"/>
    <w:rsid w:val="000B62EB"/>
    <w:rsid w:val="000B6486"/>
    <w:rsid w:val="000B6716"/>
    <w:rsid w:val="000B693F"/>
    <w:rsid w:val="000B6D53"/>
    <w:rsid w:val="000B6FB0"/>
    <w:rsid w:val="000B73E9"/>
    <w:rsid w:val="000B761C"/>
    <w:rsid w:val="000B7F8F"/>
    <w:rsid w:val="000C0C56"/>
    <w:rsid w:val="000C140B"/>
    <w:rsid w:val="000C1D85"/>
    <w:rsid w:val="000C242A"/>
    <w:rsid w:val="000C2633"/>
    <w:rsid w:val="000C30B5"/>
    <w:rsid w:val="000C34C9"/>
    <w:rsid w:val="000C3E48"/>
    <w:rsid w:val="000C41F4"/>
    <w:rsid w:val="000C4660"/>
    <w:rsid w:val="000C46FE"/>
    <w:rsid w:val="000C4D08"/>
    <w:rsid w:val="000C5BCF"/>
    <w:rsid w:val="000C6BF6"/>
    <w:rsid w:val="000C6D8F"/>
    <w:rsid w:val="000C6EE0"/>
    <w:rsid w:val="000C6FDF"/>
    <w:rsid w:val="000C728C"/>
    <w:rsid w:val="000C736B"/>
    <w:rsid w:val="000C7445"/>
    <w:rsid w:val="000C7608"/>
    <w:rsid w:val="000C7C1D"/>
    <w:rsid w:val="000D0217"/>
    <w:rsid w:val="000D02ED"/>
    <w:rsid w:val="000D055B"/>
    <w:rsid w:val="000D0D89"/>
    <w:rsid w:val="000D119E"/>
    <w:rsid w:val="000D1806"/>
    <w:rsid w:val="000D20ED"/>
    <w:rsid w:val="000D2871"/>
    <w:rsid w:val="000D2B64"/>
    <w:rsid w:val="000D36BD"/>
    <w:rsid w:val="000D3BE2"/>
    <w:rsid w:val="000D3D98"/>
    <w:rsid w:val="000D4401"/>
    <w:rsid w:val="000D4F99"/>
    <w:rsid w:val="000D5046"/>
    <w:rsid w:val="000D5559"/>
    <w:rsid w:val="000D5FEF"/>
    <w:rsid w:val="000D6274"/>
    <w:rsid w:val="000D6EEE"/>
    <w:rsid w:val="000D75F5"/>
    <w:rsid w:val="000E06BD"/>
    <w:rsid w:val="000E0C68"/>
    <w:rsid w:val="000E0DEF"/>
    <w:rsid w:val="000E1FF4"/>
    <w:rsid w:val="000E2694"/>
    <w:rsid w:val="000E2A08"/>
    <w:rsid w:val="000E2AF1"/>
    <w:rsid w:val="000E2C49"/>
    <w:rsid w:val="000E2EE9"/>
    <w:rsid w:val="000E3269"/>
    <w:rsid w:val="000E3BFC"/>
    <w:rsid w:val="000E4320"/>
    <w:rsid w:val="000E443B"/>
    <w:rsid w:val="000E518F"/>
    <w:rsid w:val="000E7195"/>
    <w:rsid w:val="000E74FB"/>
    <w:rsid w:val="000E7895"/>
    <w:rsid w:val="000F0A26"/>
    <w:rsid w:val="000F12EE"/>
    <w:rsid w:val="000F21C3"/>
    <w:rsid w:val="000F21E2"/>
    <w:rsid w:val="000F26E3"/>
    <w:rsid w:val="000F3687"/>
    <w:rsid w:val="000F391D"/>
    <w:rsid w:val="000F41BC"/>
    <w:rsid w:val="000F44B9"/>
    <w:rsid w:val="000F56F4"/>
    <w:rsid w:val="000F5B14"/>
    <w:rsid w:val="000F5E82"/>
    <w:rsid w:val="000F6008"/>
    <w:rsid w:val="000F616D"/>
    <w:rsid w:val="000F66C6"/>
    <w:rsid w:val="000F773D"/>
    <w:rsid w:val="001003E4"/>
    <w:rsid w:val="00100842"/>
    <w:rsid w:val="00100BB6"/>
    <w:rsid w:val="00100C5B"/>
    <w:rsid w:val="00101D97"/>
    <w:rsid w:val="00102DBB"/>
    <w:rsid w:val="00102FEC"/>
    <w:rsid w:val="001030EA"/>
    <w:rsid w:val="00103FC8"/>
    <w:rsid w:val="00104215"/>
    <w:rsid w:val="00104254"/>
    <w:rsid w:val="0010505D"/>
    <w:rsid w:val="0010591E"/>
    <w:rsid w:val="0010624B"/>
    <w:rsid w:val="00106805"/>
    <w:rsid w:val="0010681D"/>
    <w:rsid w:val="00106A24"/>
    <w:rsid w:val="00106B50"/>
    <w:rsid w:val="00107CC4"/>
    <w:rsid w:val="00107CDA"/>
    <w:rsid w:val="001100F7"/>
    <w:rsid w:val="00110139"/>
    <w:rsid w:val="001105D4"/>
    <w:rsid w:val="00111554"/>
    <w:rsid w:val="00112425"/>
    <w:rsid w:val="001126D1"/>
    <w:rsid w:val="00112700"/>
    <w:rsid w:val="00112A7F"/>
    <w:rsid w:val="00112BCD"/>
    <w:rsid w:val="00112D25"/>
    <w:rsid w:val="00113077"/>
    <w:rsid w:val="0011391D"/>
    <w:rsid w:val="00113AEA"/>
    <w:rsid w:val="00115ECE"/>
    <w:rsid w:val="001179D5"/>
    <w:rsid w:val="00120138"/>
    <w:rsid w:val="00121121"/>
    <w:rsid w:val="0012119A"/>
    <w:rsid w:val="00121421"/>
    <w:rsid w:val="00121BAC"/>
    <w:rsid w:val="00122194"/>
    <w:rsid w:val="0012264C"/>
    <w:rsid w:val="00123217"/>
    <w:rsid w:val="001238E9"/>
    <w:rsid w:val="001243D9"/>
    <w:rsid w:val="00124416"/>
    <w:rsid w:val="00125FBB"/>
    <w:rsid w:val="001264E2"/>
    <w:rsid w:val="00126792"/>
    <w:rsid w:val="001273A4"/>
    <w:rsid w:val="00131A18"/>
    <w:rsid w:val="00132D94"/>
    <w:rsid w:val="001331B8"/>
    <w:rsid w:val="00133401"/>
    <w:rsid w:val="00133867"/>
    <w:rsid w:val="001339A8"/>
    <w:rsid w:val="001348DB"/>
    <w:rsid w:val="00134D6E"/>
    <w:rsid w:val="00134F16"/>
    <w:rsid w:val="001350E8"/>
    <w:rsid w:val="001356FA"/>
    <w:rsid w:val="001366F7"/>
    <w:rsid w:val="00136AA1"/>
    <w:rsid w:val="00137412"/>
    <w:rsid w:val="001378CD"/>
    <w:rsid w:val="00137C5B"/>
    <w:rsid w:val="00137FAA"/>
    <w:rsid w:val="0014080B"/>
    <w:rsid w:val="00140DA7"/>
    <w:rsid w:val="001412DD"/>
    <w:rsid w:val="00141C90"/>
    <w:rsid w:val="00141FEA"/>
    <w:rsid w:val="0014357F"/>
    <w:rsid w:val="00143D1D"/>
    <w:rsid w:val="00143E44"/>
    <w:rsid w:val="001440CB"/>
    <w:rsid w:val="001449FD"/>
    <w:rsid w:val="0014565A"/>
    <w:rsid w:val="00145890"/>
    <w:rsid w:val="0014622C"/>
    <w:rsid w:val="0014636C"/>
    <w:rsid w:val="001463ED"/>
    <w:rsid w:val="0014717F"/>
    <w:rsid w:val="0014753B"/>
    <w:rsid w:val="00147F46"/>
    <w:rsid w:val="0015029E"/>
    <w:rsid w:val="0015111A"/>
    <w:rsid w:val="00151755"/>
    <w:rsid w:val="00151AC5"/>
    <w:rsid w:val="00152D8E"/>
    <w:rsid w:val="00153DB7"/>
    <w:rsid w:val="00154C6F"/>
    <w:rsid w:val="00155A32"/>
    <w:rsid w:val="00155AFB"/>
    <w:rsid w:val="00156E7D"/>
    <w:rsid w:val="0015703B"/>
    <w:rsid w:val="001574B4"/>
    <w:rsid w:val="001575FB"/>
    <w:rsid w:val="001579BE"/>
    <w:rsid w:val="00157DED"/>
    <w:rsid w:val="001605A3"/>
    <w:rsid w:val="001605C4"/>
    <w:rsid w:val="00161F25"/>
    <w:rsid w:val="00162100"/>
    <w:rsid w:val="001623EC"/>
    <w:rsid w:val="001626D5"/>
    <w:rsid w:val="00162D8B"/>
    <w:rsid w:val="0016318A"/>
    <w:rsid w:val="00163661"/>
    <w:rsid w:val="00164ED2"/>
    <w:rsid w:val="00165032"/>
    <w:rsid w:val="00165247"/>
    <w:rsid w:val="00165494"/>
    <w:rsid w:val="00165767"/>
    <w:rsid w:val="00165952"/>
    <w:rsid w:val="00166211"/>
    <w:rsid w:val="0016759F"/>
    <w:rsid w:val="00167A3F"/>
    <w:rsid w:val="001706E5"/>
    <w:rsid w:val="00170719"/>
    <w:rsid w:val="00170CE7"/>
    <w:rsid w:val="001712D8"/>
    <w:rsid w:val="00171564"/>
    <w:rsid w:val="001716E0"/>
    <w:rsid w:val="00173066"/>
    <w:rsid w:val="00173C46"/>
    <w:rsid w:val="00173F82"/>
    <w:rsid w:val="001742C7"/>
    <w:rsid w:val="00174375"/>
    <w:rsid w:val="00174410"/>
    <w:rsid w:val="00175F51"/>
    <w:rsid w:val="0017674A"/>
    <w:rsid w:val="00176AE5"/>
    <w:rsid w:val="00176B32"/>
    <w:rsid w:val="001800CF"/>
    <w:rsid w:val="00180C9A"/>
    <w:rsid w:val="001813C4"/>
    <w:rsid w:val="0018282B"/>
    <w:rsid w:val="00182865"/>
    <w:rsid w:val="00183412"/>
    <w:rsid w:val="00183429"/>
    <w:rsid w:val="001839B5"/>
    <w:rsid w:val="001844A0"/>
    <w:rsid w:val="00184646"/>
    <w:rsid w:val="00184DA9"/>
    <w:rsid w:val="00184FEB"/>
    <w:rsid w:val="001865CE"/>
    <w:rsid w:val="00187164"/>
    <w:rsid w:val="0018761E"/>
    <w:rsid w:val="00187D51"/>
    <w:rsid w:val="0019052B"/>
    <w:rsid w:val="00190728"/>
    <w:rsid w:val="0019073C"/>
    <w:rsid w:val="001918BD"/>
    <w:rsid w:val="00192005"/>
    <w:rsid w:val="001922F3"/>
    <w:rsid w:val="001926B6"/>
    <w:rsid w:val="00192B24"/>
    <w:rsid w:val="00192BA7"/>
    <w:rsid w:val="00192FDA"/>
    <w:rsid w:val="001932B6"/>
    <w:rsid w:val="0019469A"/>
    <w:rsid w:val="0019473E"/>
    <w:rsid w:val="0019524D"/>
    <w:rsid w:val="0019578D"/>
    <w:rsid w:val="00197632"/>
    <w:rsid w:val="001A11EB"/>
    <w:rsid w:val="001A1A80"/>
    <w:rsid w:val="001A1F4A"/>
    <w:rsid w:val="001A2386"/>
    <w:rsid w:val="001A253D"/>
    <w:rsid w:val="001A27F8"/>
    <w:rsid w:val="001A30C4"/>
    <w:rsid w:val="001A380D"/>
    <w:rsid w:val="001A3BC9"/>
    <w:rsid w:val="001A4390"/>
    <w:rsid w:val="001A4926"/>
    <w:rsid w:val="001A4A0A"/>
    <w:rsid w:val="001A503E"/>
    <w:rsid w:val="001A521B"/>
    <w:rsid w:val="001A59DA"/>
    <w:rsid w:val="001A609E"/>
    <w:rsid w:val="001A66C5"/>
    <w:rsid w:val="001A78FC"/>
    <w:rsid w:val="001A7AE7"/>
    <w:rsid w:val="001A7BEA"/>
    <w:rsid w:val="001B01F3"/>
    <w:rsid w:val="001B0350"/>
    <w:rsid w:val="001B1380"/>
    <w:rsid w:val="001B13CA"/>
    <w:rsid w:val="001B1FD5"/>
    <w:rsid w:val="001B2539"/>
    <w:rsid w:val="001B3666"/>
    <w:rsid w:val="001B3942"/>
    <w:rsid w:val="001B3BFD"/>
    <w:rsid w:val="001B4107"/>
    <w:rsid w:val="001B4716"/>
    <w:rsid w:val="001B4B1C"/>
    <w:rsid w:val="001B4D3C"/>
    <w:rsid w:val="001B57D0"/>
    <w:rsid w:val="001B5D39"/>
    <w:rsid w:val="001B5DE9"/>
    <w:rsid w:val="001B5F1D"/>
    <w:rsid w:val="001B603C"/>
    <w:rsid w:val="001B630C"/>
    <w:rsid w:val="001B6723"/>
    <w:rsid w:val="001B70B3"/>
    <w:rsid w:val="001B7A57"/>
    <w:rsid w:val="001C0B04"/>
    <w:rsid w:val="001C0B45"/>
    <w:rsid w:val="001C1884"/>
    <w:rsid w:val="001C2C66"/>
    <w:rsid w:val="001C3C87"/>
    <w:rsid w:val="001C45E7"/>
    <w:rsid w:val="001C46F5"/>
    <w:rsid w:val="001C4A7D"/>
    <w:rsid w:val="001C5BA6"/>
    <w:rsid w:val="001C5BFC"/>
    <w:rsid w:val="001C5F68"/>
    <w:rsid w:val="001C62B6"/>
    <w:rsid w:val="001C7008"/>
    <w:rsid w:val="001C705A"/>
    <w:rsid w:val="001C70F8"/>
    <w:rsid w:val="001C721E"/>
    <w:rsid w:val="001C795A"/>
    <w:rsid w:val="001C7A03"/>
    <w:rsid w:val="001C7CA7"/>
    <w:rsid w:val="001C7FA6"/>
    <w:rsid w:val="001D025D"/>
    <w:rsid w:val="001D04BE"/>
    <w:rsid w:val="001D04D0"/>
    <w:rsid w:val="001D0E96"/>
    <w:rsid w:val="001D115A"/>
    <w:rsid w:val="001D1AC9"/>
    <w:rsid w:val="001D1BAA"/>
    <w:rsid w:val="001D20C0"/>
    <w:rsid w:val="001D20FA"/>
    <w:rsid w:val="001D228E"/>
    <w:rsid w:val="001D2712"/>
    <w:rsid w:val="001D2796"/>
    <w:rsid w:val="001D3332"/>
    <w:rsid w:val="001D420F"/>
    <w:rsid w:val="001D5237"/>
    <w:rsid w:val="001D5DC4"/>
    <w:rsid w:val="001D6461"/>
    <w:rsid w:val="001D650A"/>
    <w:rsid w:val="001D6B5B"/>
    <w:rsid w:val="001D7838"/>
    <w:rsid w:val="001D7973"/>
    <w:rsid w:val="001E0CBF"/>
    <w:rsid w:val="001E0FEE"/>
    <w:rsid w:val="001E15E8"/>
    <w:rsid w:val="001E166D"/>
    <w:rsid w:val="001E1944"/>
    <w:rsid w:val="001E32FC"/>
    <w:rsid w:val="001E3804"/>
    <w:rsid w:val="001E4590"/>
    <w:rsid w:val="001E4861"/>
    <w:rsid w:val="001E4A1C"/>
    <w:rsid w:val="001E4D67"/>
    <w:rsid w:val="001E4EF1"/>
    <w:rsid w:val="001E52C7"/>
    <w:rsid w:val="001E5542"/>
    <w:rsid w:val="001E5F34"/>
    <w:rsid w:val="001E62C7"/>
    <w:rsid w:val="001E62D7"/>
    <w:rsid w:val="001E6355"/>
    <w:rsid w:val="001E68E6"/>
    <w:rsid w:val="001E6D5B"/>
    <w:rsid w:val="001E703E"/>
    <w:rsid w:val="001E70F2"/>
    <w:rsid w:val="001E74A8"/>
    <w:rsid w:val="001E7D55"/>
    <w:rsid w:val="001F0256"/>
    <w:rsid w:val="001F0327"/>
    <w:rsid w:val="001F0818"/>
    <w:rsid w:val="001F08BC"/>
    <w:rsid w:val="001F0DCA"/>
    <w:rsid w:val="001F1CDD"/>
    <w:rsid w:val="001F242B"/>
    <w:rsid w:val="001F251A"/>
    <w:rsid w:val="001F25C8"/>
    <w:rsid w:val="001F2DCF"/>
    <w:rsid w:val="001F346A"/>
    <w:rsid w:val="001F3AE3"/>
    <w:rsid w:val="001F4AA3"/>
    <w:rsid w:val="001F4F41"/>
    <w:rsid w:val="001F533E"/>
    <w:rsid w:val="001F5547"/>
    <w:rsid w:val="001F59EE"/>
    <w:rsid w:val="001F5E7B"/>
    <w:rsid w:val="001F64D0"/>
    <w:rsid w:val="001F692F"/>
    <w:rsid w:val="001F797C"/>
    <w:rsid w:val="00200CC3"/>
    <w:rsid w:val="00201931"/>
    <w:rsid w:val="00201A44"/>
    <w:rsid w:val="00201F1C"/>
    <w:rsid w:val="00201F5A"/>
    <w:rsid w:val="0020237C"/>
    <w:rsid w:val="0020241C"/>
    <w:rsid w:val="0020252E"/>
    <w:rsid w:val="002029BC"/>
    <w:rsid w:val="00202B59"/>
    <w:rsid w:val="0020328E"/>
    <w:rsid w:val="00203DB9"/>
    <w:rsid w:val="002042EC"/>
    <w:rsid w:val="002045E8"/>
    <w:rsid w:val="00204CF9"/>
    <w:rsid w:val="002055BF"/>
    <w:rsid w:val="00206EEA"/>
    <w:rsid w:val="00207CCC"/>
    <w:rsid w:val="002102D7"/>
    <w:rsid w:val="002102FC"/>
    <w:rsid w:val="00210354"/>
    <w:rsid w:val="00210F1F"/>
    <w:rsid w:val="00211311"/>
    <w:rsid w:val="0021157E"/>
    <w:rsid w:val="002115B2"/>
    <w:rsid w:val="00213689"/>
    <w:rsid w:val="00213A55"/>
    <w:rsid w:val="00213DA8"/>
    <w:rsid w:val="00214663"/>
    <w:rsid w:val="002149F6"/>
    <w:rsid w:val="002150B3"/>
    <w:rsid w:val="0021527F"/>
    <w:rsid w:val="00217170"/>
    <w:rsid w:val="00217362"/>
    <w:rsid w:val="002173C8"/>
    <w:rsid w:val="00220272"/>
    <w:rsid w:val="00220465"/>
    <w:rsid w:val="00221137"/>
    <w:rsid w:val="0022116A"/>
    <w:rsid w:val="002220D8"/>
    <w:rsid w:val="0022269F"/>
    <w:rsid w:val="00222749"/>
    <w:rsid w:val="00222D98"/>
    <w:rsid w:val="002238CF"/>
    <w:rsid w:val="0022399F"/>
    <w:rsid w:val="00223B8E"/>
    <w:rsid w:val="00223BB8"/>
    <w:rsid w:val="00224F87"/>
    <w:rsid w:val="0022514C"/>
    <w:rsid w:val="0022603E"/>
    <w:rsid w:val="00226B87"/>
    <w:rsid w:val="00226E76"/>
    <w:rsid w:val="00227205"/>
    <w:rsid w:val="0022770B"/>
    <w:rsid w:val="002277D8"/>
    <w:rsid w:val="00227895"/>
    <w:rsid w:val="0023024B"/>
    <w:rsid w:val="00230F1C"/>
    <w:rsid w:val="0023108F"/>
    <w:rsid w:val="00231ACB"/>
    <w:rsid w:val="0023279D"/>
    <w:rsid w:val="00232C75"/>
    <w:rsid w:val="00232E33"/>
    <w:rsid w:val="0023318D"/>
    <w:rsid w:val="0023327C"/>
    <w:rsid w:val="002334B6"/>
    <w:rsid w:val="00233792"/>
    <w:rsid w:val="00234224"/>
    <w:rsid w:val="002344C0"/>
    <w:rsid w:val="00234948"/>
    <w:rsid w:val="00236CC1"/>
    <w:rsid w:val="002370BC"/>
    <w:rsid w:val="0023714A"/>
    <w:rsid w:val="00237286"/>
    <w:rsid w:val="0023771F"/>
    <w:rsid w:val="00237CC2"/>
    <w:rsid w:val="00237DFD"/>
    <w:rsid w:val="00240051"/>
    <w:rsid w:val="00240352"/>
    <w:rsid w:val="00240A3E"/>
    <w:rsid w:val="00240CCA"/>
    <w:rsid w:val="002410F0"/>
    <w:rsid w:val="0024375F"/>
    <w:rsid w:val="00243ED6"/>
    <w:rsid w:val="00244BDA"/>
    <w:rsid w:val="00245742"/>
    <w:rsid w:val="00245FEF"/>
    <w:rsid w:val="00246AF8"/>
    <w:rsid w:val="002470CA"/>
    <w:rsid w:val="002474B2"/>
    <w:rsid w:val="0024765B"/>
    <w:rsid w:val="00247C2B"/>
    <w:rsid w:val="00247F11"/>
    <w:rsid w:val="00250351"/>
    <w:rsid w:val="0025060D"/>
    <w:rsid w:val="002511F1"/>
    <w:rsid w:val="00251B1F"/>
    <w:rsid w:val="0025204E"/>
    <w:rsid w:val="00252A92"/>
    <w:rsid w:val="002533A9"/>
    <w:rsid w:val="00253584"/>
    <w:rsid w:val="002541A2"/>
    <w:rsid w:val="00254426"/>
    <w:rsid w:val="00254720"/>
    <w:rsid w:val="002555D9"/>
    <w:rsid w:val="00255E14"/>
    <w:rsid w:val="002565B0"/>
    <w:rsid w:val="00257735"/>
    <w:rsid w:val="00257B02"/>
    <w:rsid w:val="00260401"/>
    <w:rsid w:val="002604F1"/>
    <w:rsid w:val="002607F4"/>
    <w:rsid w:val="0026093A"/>
    <w:rsid w:val="00260AE2"/>
    <w:rsid w:val="00260CF8"/>
    <w:rsid w:val="00261746"/>
    <w:rsid w:val="00261C94"/>
    <w:rsid w:val="00262BC2"/>
    <w:rsid w:val="00262F55"/>
    <w:rsid w:val="00263334"/>
    <w:rsid w:val="00263B3D"/>
    <w:rsid w:val="00263E22"/>
    <w:rsid w:val="00263E30"/>
    <w:rsid w:val="00263F0C"/>
    <w:rsid w:val="00265102"/>
    <w:rsid w:val="00265176"/>
    <w:rsid w:val="002657C6"/>
    <w:rsid w:val="00265887"/>
    <w:rsid w:val="0026599B"/>
    <w:rsid w:val="002659C2"/>
    <w:rsid w:val="00266DC8"/>
    <w:rsid w:val="00267E18"/>
    <w:rsid w:val="00267FCD"/>
    <w:rsid w:val="00270459"/>
    <w:rsid w:val="00270D75"/>
    <w:rsid w:val="00270F1A"/>
    <w:rsid w:val="00271642"/>
    <w:rsid w:val="002720F5"/>
    <w:rsid w:val="0027224F"/>
    <w:rsid w:val="00272A69"/>
    <w:rsid w:val="00273305"/>
    <w:rsid w:val="0027399F"/>
    <w:rsid w:val="00274914"/>
    <w:rsid w:val="00274E0A"/>
    <w:rsid w:val="00275334"/>
    <w:rsid w:val="00275856"/>
    <w:rsid w:val="00275FA9"/>
    <w:rsid w:val="0027622B"/>
    <w:rsid w:val="00276307"/>
    <w:rsid w:val="002763BA"/>
    <w:rsid w:val="00276C93"/>
    <w:rsid w:val="00276D75"/>
    <w:rsid w:val="00280177"/>
    <w:rsid w:val="00280424"/>
    <w:rsid w:val="002808B3"/>
    <w:rsid w:val="00280C30"/>
    <w:rsid w:val="00281313"/>
    <w:rsid w:val="00281D40"/>
    <w:rsid w:val="00281D9D"/>
    <w:rsid w:val="0028234D"/>
    <w:rsid w:val="00282463"/>
    <w:rsid w:val="002830FF"/>
    <w:rsid w:val="0028323D"/>
    <w:rsid w:val="00283C8C"/>
    <w:rsid w:val="00284858"/>
    <w:rsid w:val="00285029"/>
    <w:rsid w:val="00285B0D"/>
    <w:rsid w:val="00285E91"/>
    <w:rsid w:val="00286257"/>
    <w:rsid w:val="00286604"/>
    <w:rsid w:val="00286D7B"/>
    <w:rsid w:val="002873AF"/>
    <w:rsid w:val="002877DB"/>
    <w:rsid w:val="00287AC7"/>
    <w:rsid w:val="00287DBC"/>
    <w:rsid w:val="00291A77"/>
    <w:rsid w:val="00291EF8"/>
    <w:rsid w:val="0029466D"/>
    <w:rsid w:val="00295653"/>
    <w:rsid w:val="0029576D"/>
    <w:rsid w:val="00295F7C"/>
    <w:rsid w:val="00296686"/>
    <w:rsid w:val="0029684D"/>
    <w:rsid w:val="00296B40"/>
    <w:rsid w:val="002972C3"/>
    <w:rsid w:val="00297B25"/>
    <w:rsid w:val="002A0B8D"/>
    <w:rsid w:val="002A0C9B"/>
    <w:rsid w:val="002A18DC"/>
    <w:rsid w:val="002A18FF"/>
    <w:rsid w:val="002A1E85"/>
    <w:rsid w:val="002A216D"/>
    <w:rsid w:val="002A3C67"/>
    <w:rsid w:val="002A4561"/>
    <w:rsid w:val="002A52EE"/>
    <w:rsid w:val="002A5784"/>
    <w:rsid w:val="002B0501"/>
    <w:rsid w:val="002B0536"/>
    <w:rsid w:val="002B0590"/>
    <w:rsid w:val="002B0654"/>
    <w:rsid w:val="002B06EE"/>
    <w:rsid w:val="002B163C"/>
    <w:rsid w:val="002B1D28"/>
    <w:rsid w:val="002B2367"/>
    <w:rsid w:val="002B3799"/>
    <w:rsid w:val="002B428E"/>
    <w:rsid w:val="002B51B8"/>
    <w:rsid w:val="002B5F38"/>
    <w:rsid w:val="002B6604"/>
    <w:rsid w:val="002B6668"/>
    <w:rsid w:val="002B66C0"/>
    <w:rsid w:val="002B6B0E"/>
    <w:rsid w:val="002B6C39"/>
    <w:rsid w:val="002B6E1A"/>
    <w:rsid w:val="002B7217"/>
    <w:rsid w:val="002B7CEA"/>
    <w:rsid w:val="002C1077"/>
    <w:rsid w:val="002C1B94"/>
    <w:rsid w:val="002C2270"/>
    <w:rsid w:val="002C2957"/>
    <w:rsid w:val="002C3558"/>
    <w:rsid w:val="002C37F1"/>
    <w:rsid w:val="002C38AE"/>
    <w:rsid w:val="002C4627"/>
    <w:rsid w:val="002C4AEF"/>
    <w:rsid w:val="002C4E1A"/>
    <w:rsid w:val="002C4EA0"/>
    <w:rsid w:val="002C55FB"/>
    <w:rsid w:val="002C5E04"/>
    <w:rsid w:val="002C64BE"/>
    <w:rsid w:val="002C658D"/>
    <w:rsid w:val="002C72F8"/>
    <w:rsid w:val="002C7A2F"/>
    <w:rsid w:val="002C7E51"/>
    <w:rsid w:val="002D0692"/>
    <w:rsid w:val="002D0755"/>
    <w:rsid w:val="002D0970"/>
    <w:rsid w:val="002D09E5"/>
    <w:rsid w:val="002D0A5B"/>
    <w:rsid w:val="002D0F83"/>
    <w:rsid w:val="002D1541"/>
    <w:rsid w:val="002D2261"/>
    <w:rsid w:val="002D2F11"/>
    <w:rsid w:val="002D35F7"/>
    <w:rsid w:val="002D3B8E"/>
    <w:rsid w:val="002D3DE4"/>
    <w:rsid w:val="002D4286"/>
    <w:rsid w:val="002D77AE"/>
    <w:rsid w:val="002D7925"/>
    <w:rsid w:val="002D7978"/>
    <w:rsid w:val="002D7D50"/>
    <w:rsid w:val="002E089F"/>
    <w:rsid w:val="002E1880"/>
    <w:rsid w:val="002E203C"/>
    <w:rsid w:val="002E2BD6"/>
    <w:rsid w:val="002E3037"/>
    <w:rsid w:val="002E3960"/>
    <w:rsid w:val="002E418A"/>
    <w:rsid w:val="002E4A21"/>
    <w:rsid w:val="002E5627"/>
    <w:rsid w:val="002E65B7"/>
    <w:rsid w:val="002E66E0"/>
    <w:rsid w:val="002E6728"/>
    <w:rsid w:val="002E6C77"/>
    <w:rsid w:val="002E705D"/>
    <w:rsid w:val="002E75B8"/>
    <w:rsid w:val="002F0142"/>
    <w:rsid w:val="002F0FD5"/>
    <w:rsid w:val="002F1397"/>
    <w:rsid w:val="002F25CD"/>
    <w:rsid w:val="002F2B4F"/>
    <w:rsid w:val="002F4D09"/>
    <w:rsid w:val="002F50E7"/>
    <w:rsid w:val="002F5A7E"/>
    <w:rsid w:val="002F5ED1"/>
    <w:rsid w:val="002F602C"/>
    <w:rsid w:val="002F677C"/>
    <w:rsid w:val="002F6C6A"/>
    <w:rsid w:val="002F6EE7"/>
    <w:rsid w:val="002F72A8"/>
    <w:rsid w:val="002F735A"/>
    <w:rsid w:val="003016A6"/>
    <w:rsid w:val="00301EC8"/>
    <w:rsid w:val="003029CC"/>
    <w:rsid w:val="00303C1E"/>
    <w:rsid w:val="00304D55"/>
    <w:rsid w:val="003059F9"/>
    <w:rsid w:val="00305D3F"/>
    <w:rsid w:val="00305E94"/>
    <w:rsid w:val="00306431"/>
    <w:rsid w:val="003068EB"/>
    <w:rsid w:val="00306CB7"/>
    <w:rsid w:val="00307BC1"/>
    <w:rsid w:val="00307E7C"/>
    <w:rsid w:val="003106EC"/>
    <w:rsid w:val="0031079A"/>
    <w:rsid w:val="00310BE3"/>
    <w:rsid w:val="00310C62"/>
    <w:rsid w:val="003110C5"/>
    <w:rsid w:val="003115EC"/>
    <w:rsid w:val="00312691"/>
    <w:rsid w:val="0031291B"/>
    <w:rsid w:val="00313CBA"/>
    <w:rsid w:val="00313DDC"/>
    <w:rsid w:val="0031408B"/>
    <w:rsid w:val="00314254"/>
    <w:rsid w:val="00314350"/>
    <w:rsid w:val="00314773"/>
    <w:rsid w:val="00315088"/>
    <w:rsid w:val="003153D7"/>
    <w:rsid w:val="00315769"/>
    <w:rsid w:val="0031637C"/>
    <w:rsid w:val="00317860"/>
    <w:rsid w:val="003205D7"/>
    <w:rsid w:val="003209EC"/>
    <w:rsid w:val="00321D65"/>
    <w:rsid w:val="00321ECD"/>
    <w:rsid w:val="00322598"/>
    <w:rsid w:val="003228DE"/>
    <w:rsid w:val="00322D3C"/>
    <w:rsid w:val="0032336A"/>
    <w:rsid w:val="00324843"/>
    <w:rsid w:val="003248C3"/>
    <w:rsid w:val="003249F6"/>
    <w:rsid w:val="00324ABA"/>
    <w:rsid w:val="00325229"/>
    <w:rsid w:val="0032564E"/>
    <w:rsid w:val="00325948"/>
    <w:rsid w:val="00325A49"/>
    <w:rsid w:val="00325DA3"/>
    <w:rsid w:val="00325E6B"/>
    <w:rsid w:val="00326C50"/>
    <w:rsid w:val="00326D7E"/>
    <w:rsid w:val="00326DBA"/>
    <w:rsid w:val="003275BB"/>
    <w:rsid w:val="0032767C"/>
    <w:rsid w:val="00327A49"/>
    <w:rsid w:val="003303CD"/>
    <w:rsid w:val="00331B49"/>
    <w:rsid w:val="003342A5"/>
    <w:rsid w:val="00334301"/>
    <w:rsid w:val="00334633"/>
    <w:rsid w:val="0033470A"/>
    <w:rsid w:val="00334B8C"/>
    <w:rsid w:val="00335149"/>
    <w:rsid w:val="00335636"/>
    <w:rsid w:val="0033581D"/>
    <w:rsid w:val="00335D8D"/>
    <w:rsid w:val="00336D93"/>
    <w:rsid w:val="00336EBC"/>
    <w:rsid w:val="003370DB"/>
    <w:rsid w:val="00337534"/>
    <w:rsid w:val="00337585"/>
    <w:rsid w:val="0034059F"/>
    <w:rsid w:val="00341908"/>
    <w:rsid w:val="003427AB"/>
    <w:rsid w:val="0034290E"/>
    <w:rsid w:val="00342A56"/>
    <w:rsid w:val="00342B6B"/>
    <w:rsid w:val="00342C46"/>
    <w:rsid w:val="003433F0"/>
    <w:rsid w:val="00343408"/>
    <w:rsid w:val="0034365D"/>
    <w:rsid w:val="0034387A"/>
    <w:rsid w:val="00343A0B"/>
    <w:rsid w:val="0034402A"/>
    <w:rsid w:val="00344653"/>
    <w:rsid w:val="003454BD"/>
    <w:rsid w:val="0034567E"/>
    <w:rsid w:val="003456C9"/>
    <w:rsid w:val="00345C2F"/>
    <w:rsid w:val="00345D83"/>
    <w:rsid w:val="00345EAF"/>
    <w:rsid w:val="0034604E"/>
    <w:rsid w:val="003460BC"/>
    <w:rsid w:val="00346444"/>
    <w:rsid w:val="003466FB"/>
    <w:rsid w:val="00346ECE"/>
    <w:rsid w:val="0034758F"/>
    <w:rsid w:val="0034764F"/>
    <w:rsid w:val="00347932"/>
    <w:rsid w:val="003508E4"/>
    <w:rsid w:val="00350BFA"/>
    <w:rsid w:val="003515D7"/>
    <w:rsid w:val="00351870"/>
    <w:rsid w:val="00351980"/>
    <w:rsid w:val="00352589"/>
    <w:rsid w:val="00353109"/>
    <w:rsid w:val="003532C0"/>
    <w:rsid w:val="00353A2E"/>
    <w:rsid w:val="0035490F"/>
    <w:rsid w:val="00354F0A"/>
    <w:rsid w:val="00355154"/>
    <w:rsid w:val="0035535B"/>
    <w:rsid w:val="00357269"/>
    <w:rsid w:val="00357458"/>
    <w:rsid w:val="00357999"/>
    <w:rsid w:val="00357C0F"/>
    <w:rsid w:val="00357C31"/>
    <w:rsid w:val="00357F14"/>
    <w:rsid w:val="00360D22"/>
    <w:rsid w:val="003610DE"/>
    <w:rsid w:val="0036116B"/>
    <w:rsid w:val="00361FDA"/>
    <w:rsid w:val="00362ABD"/>
    <w:rsid w:val="00363188"/>
    <w:rsid w:val="00363ACA"/>
    <w:rsid w:val="0036462B"/>
    <w:rsid w:val="00365B14"/>
    <w:rsid w:val="00366453"/>
    <w:rsid w:val="00366CB6"/>
    <w:rsid w:val="00367FF9"/>
    <w:rsid w:val="00370088"/>
    <w:rsid w:val="00370BBE"/>
    <w:rsid w:val="00370E39"/>
    <w:rsid w:val="003711BE"/>
    <w:rsid w:val="00371D27"/>
    <w:rsid w:val="00372798"/>
    <w:rsid w:val="003727C0"/>
    <w:rsid w:val="0037283F"/>
    <w:rsid w:val="00372BFE"/>
    <w:rsid w:val="003748AF"/>
    <w:rsid w:val="003751B5"/>
    <w:rsid w:val="0037598F"/>
    <w:rsid w:val="003764F2"/>
    <w:rsid w:val="00376D71"/>
    <w:rsid w:val="003770A5"/>
    <w:rsid w:val="00380009"/>
    <w:rsid w:val="00380A97"/>
    <w:rsid w:val="00381597"/>
    <w:rsid w:val="003815F9"/>
    <w:rsid w:val="003826BA"/>
    <w:rsid w:val="003826FE"/>
    <w:rsid w:val="00382FEE"/>
    <w:rsid w:val="0038319A"/>
    <w:rsid w:val="00384BB0"/>
    <w:rsid w:val="00385108"/>
    <w:rsid w:val="003855D6"/>
    <w:rsid w:val="00385BAC"/>
    <w:rsid w:val="00386163"/>
    <w:rsid w:val="0038635A"/>
    <w:rsid w:val="003864B2"/>
    <w:rsid w:val="00386D30"/>
    <w:rsid w:val="00386DEB"/>
    <w:rsid w:val="00390BB3"/>
    <w:rsid w:val="00390E86"/>
    <w:rsid w:val="003913FB"/>
    <w:rsid w:val="00391C17"/>
    <w:rsid w:val="003926A9"/>
    <w:rsid w:val="0039291E"/>
    <w:rsid w:val="003929B1"/>
    <w:rsid w:val="00392B2D"/>
    <w:rsid w:val="00393291"/>
    <w:rsid w:val="003948F6"/>
    <w:rsid w:val="00394AF7"/>
    <w:rsid w:val="00394B57"/>
    <w:rsid w:val="00394D59"/>
    <w:rsid w:val="00395DC4"/>
    <w:rsid w:val="00395DE0"/>
    <w:rsid w:val="00395EB3"/>
    <w:rsid w:val="00395FF2"/>
    <w:rsid w:val="00396BD3"/>
    <w:rsid w:val="00396F70"/>
    <w:rsid w:val="00397211"/>
    <w:rsid w:val="00397212"/>
    <w:rsid w:val="003A03E8"/>
    <w:rsid w:val="003A08CF"/>
    <w:rsid w:val="003A0BEF"/>
    <w:rsid w:val="003A1434"/>
    <w:rsid w:val="003A1887"/>
    <w:rsid w:val="003A1D28"/>
    <w:rsid w:val="003A22F2"/>
    <w:rsid w:val="003A41FB"/>
    <w:rsid w:val="003A46AC"/>
    <w:rsid w:val="003A48E2"/>
    <w:rsid w:val="003A5107"/>
    <w:rsid w:val="003A51FE"/>
    <w:rsid w:val="003A5272"/>
    <w:rsid w:val="003A5FB4"/>
    <w:rsid w:val="003A6096"/>
    <w:rsid w:val="003A679B"/>
    <w:rsid w:val="003A6BBA"/>
    <w:rsid w:val="003A7754"/>
    <w:rsid w:val="003A7851"/>
    <w:rsid w:val="003A7931"/>
    <w:rsid w:val="003B02CB"/>
    <w:rsid w:val="003B04ED"/>
    <w:rsid w:val="003B0BDA"/>
    <w:rsid w:val="003B0E5F"/>
    <w:rsid w:val="003B138B"/>
    <w:rsid w:val="003B29F6"/>
    <w:rsid w:val="003B2F04"/>
    <w:rsid w:val="003B350E"/>
    <w:rsid w:val="003B3B3F"/>
    <w:rsid w:val="003B3EAF"/>
    <w:rsid w:val="003B40CB"/>
    <w:rsid w:val="003B42F6"/>
    <w:rsid w:val="003B475A"/>
    <w:rsid w:val="003B4BD9"/>
    <w:rsid w:val="003B532B"/>
    <w:rsid w:val="003B57C3"/>
    <w:rsid w:val="003B59B9"/>
    <w:rsid w:val="003B6238"/>
    <w:rsid w:val="003B737D"/>
    <w:rsid w:val="003C107D"/>
    <w:rsid w:val="003C1174"/>
    <w:rsid w:val="003C15AA"/>
    <w:rsid w:val="003C19F6"/>
    <w:rsid w:val="003C2E68"/>
    <w:rsid w:val="003C2F36"/>
    <w:rsid w:val="003C2FD9"/>
    <w:rsid w:val="003C33A7"/>
    <w:rsid w:val="003C33B4"/>
    <w:rsid w:val="003C33C6"/>
    <w:rsid w:val="003C420E"/>
    <w:rsid w:val="003C4B1A"/>
    <w:rsid w:val="003C4C86"/>
    <w:rsid w:val="003C4F30"/>
    <w:rsid w:val="003C50B2"/>
    <w:rsid w:val="003C6C81"/>
    <w:rsid w:val="003C76CD"/>
    <w:rsid w:val="003C7F8C"/>
    <w:rsid w:val="003D0148"/>
    <w:rsid w:val="003D0676"/>
    <w:rsid w:val="003D0877"/>
    <w:rsid w:val="003D1025"/>
    <w:rsid w:val="003D1D50"/>
    <w:rsid w:val="003D2253"/>
    <w:rsid w:val="003D2442"/>
    <w:rsid w:val="003D36B9"/>
    <w:rsid w:val="003D3725"/>
    <w:rsid w:val="003D3998"/>
    <w:rsid w:val="003D41C4"/>
    <w:rsid w:val="003D433A"/>
    <w:rsid w:val="003D435A"/>
    <w:rsid w:val="003D4756"/>
    <w:rsid w:val="003D4C2A"/>
    <w:rsid w:val="003D4C46"/>
    <w:rsid w:val="003D5A1F"/>
    <w:rsid w:val="003D5CDE"/>
    <w:rsid w:val="003D6057"/>
    <w:rsid w:val="003D60BC"/>
    <w:rsid w:val="003D6188"/>
    <w:rsid w:val="003D6375"/>
    <w:rsid w:val="003D6530"/>
    <w:rsid w:val="003D6F03"/>
    <w:rsid w:val="003D7D4D"/>
    <w:rsid w:val="003D7E43"/>
    <w:rsid w:val="003E0376"/>
    <w:rsid w:val="003E25CF"/>
    <w:rsid w:val="003E2691"/>
    <w:rsid w:val="003E2DBD"/>
    <w:rsid w:val="003E3845"/>
    <w:rsid w:val="003E41B8"/>
    <w:rsid w:val="003E4978"/>
    <w:rsid w:val="003E5135"/>
    <w:rsid w:val="003E5D97"/>
    <w:rsid w:val="003E5E40"/>
    <w:rsid w:val="003E5F72"/>
    <w:rsid w:val="003E63AB"/>
    <w:rsid w:val="003E69BF"/>
    <w:rsid w:val="003E7465"/>
    <w:rsid w:val="003F0029"/>
    <w:rsid w:val="003F03F3"/>
    <w:rsid w:val="003F0BC7"/>
    <w:rsid w:val="003F1556"/>
    <w:rsid w:val="003F267E"/>
    <w:rsid w:val="003F370E"/>
    <w:rsid w:val="003F373D"/>
    <w:rsid w:val="003F3A8F"/>
    <w:rsid w:val="003F40FF"/>
    <w:rsid w:val="003F41EC"/>
    <w:rsid w:val="003F4C8A"/>
    <w:rsid w:val="003F52B1"/>
    <w:rsid w:val="003F58F2"/>
    <w:rsid w:val="003F5C79"/>
    <w:rsid w:val="003F5EA4"/>
    <w:rsid w:val="003F5F6E"/>
    <w:rsid w:val="003F614E"/>
    <w:rsid w:val="003F68EF"/>
    <w:rsid w:val="003F6E33"/>
    <w:rsid w:val="003F74A6"/>
    <w:rsid w:val="003F793E"/>
    <w:rsid w:val="00400167"/>
    <w:rsid w:val="00400D21"/>
    <w:rsid w:val="00400FB4"/>
    <w:rsid w:val="00401846"/>
    <w:rsid w:val="00401984"/>
    <w:rsid w:val="00401A32"/>
    <w:rsid w:val="004020D7"/>
    <w:rsid w:val="00402156"/>
    <w:rsid w:val="0040263B"/>
    <w:rsid w:val="00402705"/>
    <w:rsid w:val="004029AB"/>
    <w:rsid w:val="004034DA"/>
    <w:rsid w:val="00403C64"/>
    <w:rsid w:val="004069DB"/>
    <w:rsid w:val="00407225"/>
    <w:rsid w:val="00407342"/>
    <w:rsid w:val="004077C8"/>
    <w:rsid w:val="004079A8"/>
    <w:rsid w:val="00407E7F"/>
    <w:rsid w:val="004108E7"/>
    <w:rsid w:val="0041191D"/>
    <w:rsid w:val="00411C18"/>
    <w:rsid w:val="00412FE4"/>
    <w:rsid w:val="00413659"/>
    <w:rsid w:val="00413D2E"/>
    <w:rsid w:val="00415750"/>
    <w:rsid w:val="004157B6"/>
    <w:rsid w:val="0041596E"/>
    <w:rsid w:val="00416C1B"/>
    <w:rsid w:val="00417F48"/>
    <w:rsid w:val="00420190"/>
    <w:rsid w:val="00420577"/>
    <w:rsid w:val="00420C03"/>
    <w:rsid w:val="00420EDF"/>
    <w:rsid w:val="00421698"/>
    <w:rsid w:val="00421CDA"/>
    <w:rsid w:val="00422014"/>
    <w:rsid w:val="00422B0D"/>
    <w:rsid w:val="00422D33"/>
    <w:rsid w:val="00423324"/>
    <w:rsid w:val="004238B1"/>
    <w:rsid w:val="004238DA"/>
    <w:rsid w:val="004241AA"/>
    <w:rsid w:val="00424213"/>
    <w:rsid w:val="00424277"/>
    <w:rsid w:val="0042433E"/>
    <w:rsid w:val="00424584"/>
    <w:rsid w:val="00424630"/>
    <w:rsid w:val="0042469A"/>
    <w:rsid w:val="00425DB0"/>
    <w:rsid w:val="0042614A"/>
    <w:rsid w:val="004269B2"/>
    <w:rsid w:val="00426A89"/>
    <w:rsid w:val="004278BE"/>
    <w:rsid w:val="00427FAC"/>
    <w:rsid w:val="004305EF"/>
    <w:rsid w:val="00430A0C"/>
    <w:rsid w:val="00430C04"/>
    <w:rsid w:val="00431667"/>
    <w:rsid w:val="00431E46"/>
    <w:rsid w:val="00432422"/>
    <w:rsid w:val="00432764"/>
    <w:rsid w:val="00432CCC"/>
    <w:rsid w:val="004334B6"/>
    <w:rsid w:val="00434572"/>
    <w:rsid w:val="004345E8"/>
    <w:rsid w:val="0043476B"/>
    <w:rsid w:val="00434B59"/>
    <w:rsid w:val="00434C8B"/>
    <w:rsid w:val="00435B46"/>
    <w:rsid w:val="00435F47"/>
    <w:rsid w:val="0043653D"/>
    <w:rsid w:val="00437057"/>
    <w:rsid w:val="00437EAC"/>
    <w:rsid w:val="00440337"/>
    <w:rsid w:val="004403FE"/>
    <w:rsid w:val="00440B68"/>
    <w:rsid w:val="00440C63"/>
    <w:rsid w:val="00440E8E"/>
    <w:rsid w:val="004410C8"/>
    <w:rsid w:val="00441550"/>
    <w:rsid w:val="00441C15"/>
    <w:rsid w:val="00442EA9"/>
    <w:rsid w:val="00443275"/>
    <w:rsid w:val="0044328B"/>
    <w:rsid w:val="004432C1"/>
    <w:rsid w:val="004432F4"/>
    <w:rsid w:val="004439F6"/>
    <w:rsid w:val="004446D8"/>
    <w:rsid w:val="0044480A"/>
    <w:rsid w:val="00444E57"/>
    <w:rsid w:val="004455FF"/>
    <w:rsid w:val="00445883"/>
    <w:rsid w:val="00445E08"/>
    <w:rsid w:val="004465DD"/>
    <w:rsid w:val="004469D9"/>
    <w:rsid w:val="00446CC6"/>
    <w:rsid w:val="00446D30"/>
    <w:rsid w:val="00447877"/>
    <w:rsid w:val="00447A5F"/>
    <w:rsid w:val="00447DC3"/>
    <w:rsid w:val="004501F0"/>
    <w:rsid w:val="00450C5E"/>
    <w:rsid w:val="00451024"/>
    <w:rsid w:val="00451575"/>
    <w:rsid w:val="004515CD"/>
    <w:rsid w:val="004518B0"/>
    <w:rsid w:val="004528CB"/>
    <w:rsid w:val="00452B07"/>
    <w:rsid w:val="004534EF"/>
    <w:rsid w:val="0045383B"/>
    <w:rsid w:val="00454690"/>
    <w:rsid w:val="004553EB"/>
    <w:rsid w:val="00456089"/>
    <w:rsid w:val="00456B8E"/>
    <w:rsid w:val="00456F87"/>
    <w:rsid w:val="004573C4"/>
    <w:rsid w:val="00457730"/>
    <w:rsid w:val="0045790B"/>
    <w:rsid w:val="00460004"/>
    <w:rsid w:val="004600BF"/>
    <w:rsid w:val="004602D2"/>
    <w:rsid w:val="0046033E"/>
    <w:rsid w:val="0046088E"/>
    <w:rsid w:val="00461E78"/>
    <w:rsid w:val="00461FFE"/>
    <w:rsid w:val="004621BC"/>
    <w:rsid w:val="0046258B"/>
    <w:rsid w:val="004625C1"/>
    <w:rsid w:val="00462B1D"/>
    <w:rsid w:val="004633A7"/>
    <w:rsid w:val="00463709"/>
    <w:rsid w:val="00463E2C"/>
    <w:rsid w:val="004647F8"/>
    <w:rsid w:val="00464846"/>
    <w:rsid w:val="00464BB3"/>
    <w:rsid w:val="00465438"/>
    <w:rsid w:val="00465787"/>
    <w:rsid w:val="00465E4D"/>
    <w:rsid w:val="004665EC"/>
    <w:rsid w:val="004669BA"/>
    <w:rsid w:val="00466FA3"/>
    <w:rsid w:val="00466FB2"/>
    <w:rsid w:val="0047015D"/>
    <w:rsid w:val="00470E5C"/>
    <w:rsid w:val="00471386"/>
    <w:rsid w:val="004729A2"/>
    <w:rsid w:val="00472AC0"/>
    <w:rsid w:val="00473630"/>
    <w:rsid w:val="004739DD"/>
    <w:rsid w:val="00473C10"/>
    <w:rsid w:val="004746E8"/>
    <w:rsid w:val="00475706"/>
    <w:rsid w:val="00475A0D"/>
    <w:rsid w:val="0047689C"/>
    <w:rsid w:val="004804F7"/>
    <w:rsid w:val="00480A61"/>
    <w:rsid w:val="00480CF4"/>
    <w:rsid w:val="00480EFF"/>
    <w:rsid w:val="0048190C"/>
    <w:rsid w:val="00482DD3"/>
    <w:rsid w:val="00483945"/>
    <w:rsid w:val="00483B48"/>
    <w:rsid w:val="004841EB"/>
    <w:rsid w:val="004845A0"/>
    <w:rsid w:val="00484670"/>
    <w:rsid w:val="0048536B"/>
    <w:rsid w:val="00485549"/>
    <w:rsid w:val="004859B1"/>
    <w:rsid w:val="004861C5"/>
    <w:rsid w:val="00486237"/>
    <w:rsid w:val="004865E5"/>
    <w:rsid w:val="0048764B"/>
    <w:rsid w:val="00487D7B"/>
    <w:rsid w:val="004909FB"/>
    <w:rsid w:val="00490C3B"/>
    <w:rsid w:val="00491891"/>
    <w:rsid w:val="00492635"/>
    <w:rsid w:val="00492896"/>
    <w:rsid w:val="00492CE9"/>
    <w:rsid w:val="00494306"/>
    <w:rsid w:val="00494C4E"/>
    <w:rsid w:val="00495AEE"/>
    <w:rsid w:val="00495B99"/>
    <w:rsid w:val="00495C4F"/>
    <w:rsid w:val="00496258"/>
    <w:rsid w:val="00496780"/>
    <w:rsid w:val="00496B99"/>
    <w:rsid w:val="004970B8"/>
    <w:rsid w:val="004978B7"/>
    <w:rsid w:val="004A0295"/>
    <w:rsid w:val="004A0D5A"/>
    <w:rsid w:val="004A0F19"/>
    <w:rsid w:val="004A0F5E"/>
    <w:rsid w:val="004A1068"/>
    <w:rsid w:val="004A12F4"/>
    <w:rsid w:val="004A16B6"/>
    <w:rsid w:val="004A1C7E"/>
    <w:rsid w:val="004A1F59"/>
    <w:rsid w:val="004A29AA"/>
    <w:rsid w:val="004A4644"/>
    <w:rsid w:val="004A52B5"/>
    <w:rsid w:val="004A54F7"/>
    <w:rsid w:val="004A58EE"/>
    <w:rsid w:val="004A5991"/>
    <w:rsid w:val="004A5A22"/>
    <w:rsid w:val="004A5BEC"/>
    <w:rsid w:val="004A608F"/>
    <w:rsid w:val="004A6242"/>
    <w:rsid w:val="004A69D7"/>
    <w:rsid w:val="004A6CF8"/>
    <w:rsid w:val="004A70CD"/>
    <w:rsid w:val="004A7CEB"/>
    <w:rsid w:val="004B043B"/>
    <w:rsid w:val="004B1119"/>
    <w:rsid w:val="004B25FF"/>
    <w:rsid w:val="004B264C"/>
    <w:rsid w:val="004B26A2"/>
    <w:rsid w:val="004B4675"/>
    <w:rsid w:val="004B51D3"/>
    <w:rsid w:val="004B5EBB"/>
    <w:rsid w:val="004B6447"/>
    <w:rsid w:val="004B67DD"/>
    <w:rsid w:val="004B752A"/>
    <w:rsid w:val="004B79D9"/>
    <w:rsid w:val="004B7A08"/>
    <w:rsid w:val="004B7A68"/>
    <w:rsid w:val="004C006E"/>
    <w:rsid w:val="004C03FB"/>
    <w:rsid w:val="004C0F9B"/>
    <w:rsid w:val="004C17DA"/>
    <w:rsid w:val="004C1D7C"/>
    <w:rsid w:val="004C1ECB"/>
    <w:rsid w:val="004C230D"/>
    <w:rsid w:val="004C2C22"/>
    <w:rsid w:val="004C3007"/>
    <w:rsid w:val="004C43A1"/>
    <w:rsid w:val="004C5510"/>
    <w:rsid w:val="004C562C"/>
    <w:rsid w:val="004C5D32"/>
    <w:rsid w:val="004C5DD4"/>
    <w:rsid w:val="004C60A3"/>
    <w:rsid w:val="004C6678"/>
    <w:rsid w:val="004C6E00"/>
    <w:rsid w:val="004C7016"/>
    <w:rsid w:val="004C7A32"/>
    <w:rsid w:val="004D0CCA"/>
    <w:rsid w:val="004D0DB7"/>
    <w:rsid w:val="004D0F1F"/>
    <w:rsid w:val="004D1505"/>
    <w:rsid w:val="004D1AA2"/>
    <w:rsid w:val="004D1C2A"/>
    <w:rsid w:val="004D2E06"/>
    <w:rsid w:val="004D32CC"/>
    <w:rsid w:val="004D340B"/>
    <w:rsid w:val="004D4C6A"/>
    <w:rsid w:val="004D4F2B"/>
    <w:rsid w:val="004D5100"/>
    <w:rsid w:val="004D55FD"/>
    <w:rsid w:val="004D5EB8"/>
    <w:rsid w:val="004D611F"/>
    <w:rsid w:val="004D61EE"/>
    <w:rsid w:val="004D67AE"/>
    <w:rsid w:val="004D701C"/>
    <w:rsid w:val="004E0080"/>
    <w:rsid w:val="004E034C"/>
    <w:rsid w:val="004E044D"/>
    <w:rsid w:val="004E047D"/>
    <w:rsid w:val="004E0698"/>
    <w:rsid w:val="004E0CD0"/>
    <w:rsid w:val="004E1B1F"/>
    <w:rsid w:val="004E1F1C"/>
    <w:rsid w:val="004E229B"/>
    <w:rsid w:val="004E2461"/>
    <w:rsid w:val="004E26B1"/>
    <w:rsid w:val="004E2785"/>
    <w:rsid w:val="004E375D"/>
    <w:rsid w:val="004E40E1"/>
    <w:rsid w:val="004E440F"/>
    <w:rsid w:val="004E6553"/>
    <w:rsid w:val="004E68B5"/>
    <w:rsid w:val="004E7554"/>
    <w:rsid w:val="004E7E1B"/>
    <w:rsid w:val="004E7E7A"/>
    <w:rsid w:val="004F01BC"/>
    <w:rsid w:val="004F0759"/>
    <w:rsid w:val="004F15AD"/>
    <w:rsid w:val="004F1764"/>
    <w:rsid w:val="004F1AD9"/>
    <w:rsid w:val="004F22CA"/>
    <w:rsid w:val="004F22FD"/>
    <w:rsid w:val="004F2A85"/>
    <w:rsid w:val="004F2EFD"/>
    <w:rsid w:val="004F4158"/>
    <w:rsid w:val="004F453E"/>
    <w:rsid w:val="004F468D"/>
    <w:rsid w:val="004F4ABC"/>
    <w:rsid w:val="004F4E33"/>
    <w:rsid w:val="004F4F5F"/>
    <w:rsid w:val="004F515F"/>
    <w:rsid w:val="004F587E"/>
    <w:rsid w:val="004F6AEE"/>
    <w:rsid w:val="004F6D94"/>
    <w:rsid w:val="004F75E8"/>
    <w:rsid w:val="004F7AC1"/>
    <w:rsid w:val="004F7CA1"/>
    <w:rsid w:val="005003AF"/>
    <w:rsid w:val="00500654"/>
    <w:rsid w:val="00501747"/>
    <w:rsid w:val="00501C23"/>
    <w:rsid w:val="00501D3D"/>
    <w:rsid w:val="00501F96"/>
    <w:rsid w:val="005025EA"/>
    <w:rsid w:val="005029B2"/>
    <w:rsid w:val="00502DA9"/>
    <w:rsid w:val="00502DE1"/>
    <w:rsid w:val="00503357"/>
    <w:rsid w:val="00503E6A"/>
    <w:rsid w:val="00503FFA"/>
    <w:rsid w:val="0050416F"/>
    <w:rsid w:val="00504362"/>
    <w:rsid w:val="0050481C"/>
    <w:rsid w:val="0050506E"/>
    <w:rsid w:val="00505772"/>
    <w:rsid w:val="0050647F"/>
    <w:rsid w:val="0050791A"/>
    <w:rsid w:val="00510431"/>
    <w:rsid w:val="00510F16"/>
    <w:rsid w:val="00511079"/>
    <w:rsid w:val="005115B6"/>
    <w:rsid w:val="005116E6"/>
    <w:rsid w:val="00511B93"/>
    <w:rsid w:val="00512846"/>
    <w:rsid w:val="00512E40"/>
    <w:rsid w:val="0051310A"/>
    <w:rsid w:val="00513904"/>
    <w:rsid w:val="00514B32"/>
    <w:rsid w:val="00515707"/>
    <w:rsid w:val="00515761"/>
    <w:rsid w:val="00515895"/>
    <w:rsid w:val="00515E0D"/>
    <w:rsid w:val="0051693F"/>
    <w:rsid w:val="00517936"/>
    <w:rsid w:val="00520154"/>
    <w:rsid w:val="005203EE"/>
    <w:rsid w:val="005204F5"/>
    <w:rsid w:val="00521DFD"/>
    <w:rsid w:val="00521FCF"/>
    <w:rsid w:val="00522BFA"/>
    <w:rsid w:val="00522F14"/>
    <w:rsid w:val="00523048"/>
    <w:rsid w:val="005232A8"/>
    <w:rsid w:val="005235EB"/>
    <w:rsid w:val="005243B1"/>
    <w:rsid w:val="00524C66"/>
    <w:rsid w:val="00524E8F"/>
    <w:rsid w:val="00525930"/>
    <w:rsid w:val="00526181"/>
    <w:rsid w:val="005261FF"/>
    <w:rsid w:val="00526300"/>
    <w:rsid w:val="00526EC8"/>
    <w:rsid w:val="005276E4"/>
    <w:rsid w:val="00527837"/>
    <w:rsid w:val="00527F83"/>
    <w:rsid w:val="005304EA"/>
    <w:rsid w:val="0053198E"/>
    <w:rsid w:val="005321EC"/>
    <w:rsid w:val="005323EF"/>
    <w:rsid w:val="005325D9"/>
    <w:rsid w:val="0053266A"/>
    <w:rsid w:val="005331EF"/>
    <w:rsid w:val="0053341C"/>
    <w:rsid w:val="005334ED"/>
    <w:rsid w:val="005347AF"/>
    <w:rsid w:val="00535D8E"/>
    <w:rsid w:val="00536919"/>
    <w:rsid w:val="00536DB0"/>
    <w:rsid w:val="00536F01"/>
    <w:rsid w:val="00537AE4"/>
    <w:rsid w:val="005400C6"/>
    <w:rsid w:val="00540487"/>
    <w:rsid w:val="00540AEF"/>
    <w:rsid w:val="00540F79"/>
    <w:rsid w:val="00541553"/>
    <w:rsid w:val="005423D6"/>
    <w:rsid w:val="005423FB"/>
    <w:rsid w:val="005428A3"/>
    <w:rsid w:val="005429AC"/>
    <w:rsid w:val="00542C9F"/>
    <w:rsid w:val="00542FE2"/>
    <w:rsid w:val="005445E2"/>
    <w:rsid w:val="005449F8"/>
    <w:rsid w:val="00545790"/>
    <w:rsid w:val="00545B0B"/>
    <w:rsid w:val="00547043"/>
    <w:rsid w:val="005472C0"/>
    <w:rsid w:val="00547426"/>
    <w:rsid w:val="0054742B"/>
    <w:rsid w:val="00547834"/>
    <w:rsid w:val="005503A7"/>
    <w:rsid w:val="005506A4"/>
    <w:rsid w:val="0055091F"/>
    <w:rsid w:val="0055105D"/>
    <w:rsid w:val="00551951"/>
    <w:rsid w:val="005520AB"/>
    <w:rsid w:val="00552840"/>
    <w:rsid w:val="00552FB2"/>
    <w:rsid w:val="005531AD"/>
    <w:rsid w:val="00553569"/>
    <w:rsid w:val="005535F7"/>
    <w:rsid w:val="005538B9"/>
    <w:rsid w:val="00553E22"/>
    <w:rsid w:val="00554C4F"/>
    <w:rsid w:val="00554ED2"/>
    <w:rsid w:val="00555DF5"/>
    <w:rsid w:val="005565F2"/>
    <w:rsid w:val="00556E05"/>
    <w:rsid w:val="005601B6"/>
    <w:rsid w:val="00560A09"/>
    <w:rsid w:val="00561F14"/>
    <w:rsid w:val="005623B8"/>
    <w:rsid w:val="005628F2"/>
    <w:rsid w:val="00563337"/>
    <w:rsid w:val="005633D5"/>
    <w:rsid w:val="00563A82"/>
    <w:rsid w:val="00563C8B"/>
    <w:rsid w:val="00565735"/>
    <w:rsid w:val="00565AC9"/>
    <w:rsid w:val="00565F5C"/>
    <w:rsid w:val="005660C3"/>
    <w:rsid w:val="00566EAA"/>
    <w:rsid w:val="00567072"/>
    <w:rsid w:val="005673D7"/>
    <w:rsid w:val="00567948"/>
    <w:rsid w:val="005700C5"/>
    <w:rsid w:val="00570825"/>
    <w:rsid w:val="00570B20"/>
    <w:rsid w:val="00572057"/>
    <w:rsid w:val="00572F0A"/>
    <w:rsid w:val="00573A84"/>
    <w:rsid w:val="00574157"/>
    <w:rsid w:val="00574C7C"/>
    <w:rsid w:val="005757FD"/>
    <w:rsid w:val="00575E07"/>
    <w:rsid w:val="00576358"/>
    <w:rsid w:val="005766E9"/>
    <w:rsid w:val="00577580"/>
    <w:rsid w:val="00577DE7"/>
    <w:rsid w:val="005800CA"/>
    <w:rsid w:val="00580F4A"/>
    <w:rsid w:val="0058131D"/>
    <w:rsid w:val="005818A8"/>
    <w:rsid w:val="00581D98"/>
    <w:rsid w:val="00582338"/>
    <w:rsid w:val="005826E5"/>
    <w:rsid w:val="00582EF5"/>
    <w:rsid w:val="00584119"/>
    <w:rsid w:val="005845B1"/>
    <w:rsid w:val="00584611"/>
    <w:rsid w:val="00586153"/>
    <w:rsid w:val="005876D7"/>
    <w:rsid w:val="00587D60"/>
    <w:rsid w:val="00590074"/>
    <w:rsid w:val="0059039B"/>
    <w:rsid w:val="00590A25"/>
    <w:rsid w:val="00590AAE"/>
    <w:rsid w:val="00590B20"/>
    <w:rsid w:val="00590E61"/>
    <w:rsid w:val="00590FCC"/>
    <w:rsid w:val="00591086"/>
    <w:rsid w:val="005911C7"/>
    <w:rsid w:val="00591623"/>
    <w:rsid w:val="00592A29"/>
    <w:rsid w:val="005938BB"/>
    <w:rsid w:val="00593E55"/>
    <w:rsid w:val="00594357"/>
    <w:rsid w:val="00594D83"/>
    <w:rsid w:val="00595AF4"/>
    <w:rsid w:val="005960BF"/>
    <w:rsid w:val="00596210"/>
    <w:rsid w:val="00596574"/>
    <w:rsid w:val="0059680F"/>
    <w:rsid w:val="005969F9"/>
    <w:rsid w:val="00596C88"/>
    <w:rsid w:val="005974DA"/>
    <w:rsid w:val="005A0632"/>
    <w:rsid w:val="005A0FD7"/>
    <w:rsid w:val="005A1252"/>
    <w:rsid w:val="005A1DC6"/>
    <w:rsid w:val="005A2B7F"/>
    <w:rsid w:val="005A2EC8"/>
    <w:rsid w:val="005A403E"/>
    <w:rsid w:val="005A4169"/>
    <w:rsid w:val="005A4309"/>
    <w:rsid w:val="005A47FD"/>
    <w:rsid w:val="005A4EBF"/>
    <w:rsid w:val="005A4FDE"/>
    <w:rsid w:val="005A51DE"/>
    <w:rsid w:val="005A52CE"/>
    <w:rsid w:val="005A5C3B"/>
    <w:rsid w:val="005A65B5"/>
    <w:rsid w:val="005A718B"/>
    <w:rsid w:val="005B00EB"/>
    <w:rsid w:val="005B044D"/>
    <w:rsid w:val="005B054D"/>
    <w:rsid w:val="005B100E"/>
    <w:rsid w:val="005B15EE"/>
    <w:rsid w:val="005B198D"/>
    <w:rsid w:val="005B1A11"/>
    <w:rsid w:val="005B1FAC"/>
    <w:rsid w:val="005B23BE"/>
    <w:rsid w:val="005B36B9"/>
    <w:rsid w:val="005B370C"/>
    <w:rsid w:val="005B4272"/>
    <w:rsid w:val="005B430F"/>
    <w:rsid w:val="005B48CA"/>
    <w:rsid w:val="005B49AE"/>
    <w:rsid w:val="005B4DF1"/>
    <w:rsid w:val="005B523A"/>
    <w:rsid w:val="005B5B4F"/>
    <w:rsid w:val="005B78D2"/>
    <w:rsid w:val="005B7DA1"/>
    <w:rsid w:val="005C051E"/>
    <w:rsid w:val="005C158B"/>
    <w:rsid w:val="005C1608"/>
    <w:rsid w:val="005C1613"/>
    <w:rsid w:val="005C19BB"/>
    <w:rsid w:val="005C1A97"/>
    <w:rsid w:val="005C1BE6"/>
    <w:rsid w:val="005C1C67"/>
    <w:rsid w:val="005C1D61"/>
    <w:rsid w:val="005C217F"/>
    <w:rsid w:val="005C21DA"/>
    <w:rsid w:val="005C3037"/>
    <w:rsid w:val="005C454F"/>
    <w:rsid w:val="005C49C2"/>
    <w:rsid w:val="005C4DD6"/>
    <w:rsid w:val="005C4DF8"/>
    <w:rsid w:val="005C539D"/>
    <w:rsid w:val="005C598D"/>
    <w:rsid w:val="005C5C8C"/>
    <w:rsid w:val="005C5C98"/>
    <w:rsid w:val="005C6199"/>
    <w:rsid w:val="005C6584"/>
    <w:rsid w:val="005C6DF1"/>
    <w:rsid w:val="005D03C2"/>
    <w:rsid w:val="005D0A11"/>
    <w:rsid w:val="005D1686"/>
    <w:rsid w:val="005D1F36"/>
    <w:rsid w:val="005D21F3"/>
    <w:rsid w:val="005D2327"/>
    <w:rsid w:val="005D272A"/>
    <w:rsid w:val="005D291B"/>
    <w:rsid w:val="005D3347"/>
    <w:rsid w:val="005D3973"/>
    <w:rsid w:val="005D3D6B"/>
    <w:rsid w:val="005D3D7B"/>
    <w:rsid w:val="005D3DC2"/>
    <w:rsid w:val="005D3F6C"/>
    <w:rsid w:val="005D4C84"/>
    <w:rsid w:val="005D505D"/>
    <w:rsid w:val="005D5345"/>
    <w:rsid w:val="005D5B0E"/>
    <w:rsid w:val="005D6502"/>
    <w:rsid w:val="005D6815"/>
    <w:rsid w:val="005D698A"/>
    <w:rsid w:val="005D6F8F"/>
    <w:rsid w:val="005D740F"/>
    <w:rsid w:val="005D79E5"/>
    <w:rsid w:val="005D7CAB"/>
    <w:rsid w:val="005E096C"/>
    <w:rsid w:val="005E105B"/>
    <w:rsid w:val="005E19D4"/>
    <w:rsid w:val="005E2B92"/>
    <w:rsid w:val="005E2E80"/>
    <w:rsid w:val="005E31E1"/>
    <w:rsid w:val="005E3E8C"/>
    <w:rsid w:val="005E49FD"/>
    <w:rsid w:val="005E4BC2"/>
    <w:rsid w:val="005E4F67"/>
    <w:rsid w:val="005E532F"/>
    <w:rsid w:val="005E6576"/>
    <w:rsid w:val="005E6884"/>
    <w:rsid w:val="005E6AF2"/>
    <w:rsid w:val="005E6F1D"/>
    <w:rsid w:val="005F1986"/>
    <w:rsid w:val="005F1C05"/>
    <w:rsid w:val="005F2281"/>
    <w:rsid w:val="005F2349"/>
    <w:rsid w:val="005F23E6"/>
    <w:rsid w:val="005F249A"/>
    <w:rsid w:val="005F2C06"/>
    <w:rsid w:val="005F39BE"/>
    <w:rsid w:val="005F3C74"/>
    <w:rsid w:val="005F3CE6"/>
    <w:rsid w:val="005F3EDC"/>
    <w:rsid w:val="005F46D2"/>
    <w:rsid w:val="005F498A"/>
    <w:rsid w:val="005F50AE"/>
    <w:rsid w:val="005F517E"/>
    <w:rsid w:val="005F566B"/>
    <w:rsid w:val="005F59E2"/>
    <w:rsid w:val="005F66F5"/>
    <w:rsid w:val="005F6B5B"/>
    <w:rsid w:val="005F6D44"/>
    <w:rsid w:val="005F6F1F"/>
    <w:rsid w:val="005F7053"/>
    <w:rsid w:val="005F7670"/>
    <w:rsid w:val="005F79E4"/>
    <w:rsid w:val="005F7F5A"/>
    <w:rsid w:val="0060050D"/>
    <w:rsid w:val="00600B00"/>
    <w:rsid w:val="00600D38"/>
    <w:rsid w:val="00601B4C"/>
    <w:rsid w:val="00601D93"/>
    <w:rsid w:val="00602CF8"/>
    <w:rsid w:val="00603821"/>
    <w:rsid w:val="006044DF"/>
    <w:rsid w:val="00605106"/>
    <w:rsid w:val="0060553D"/>
    <w:rsid w:val="00605E81"/>
    <w:rsid w:val="00605FA5"/>
    <w:rsid w:val="00606018"/>
    <w:rsid w:val="006060E1"/>
    <w:rsid w:val="00606D52"/>
    <w:rsid w:val="006073F2"/>
    <w:rsid w:val="0060759F"/>
    <w:rsid w:val="00610BFC"/>
    <w:rsid w:val="006116EC"/>
    <w:rsid w:val="00611943"/>
    <w:rsid w:val="0061196F"/>
    <w:rsid w:val="00611B0F"/>
    <w:rsid w:val="00611E4A"/>
    <w:rsid w:val="00611E69"/>
    <w:rsid w:val="00612655"/>
    <w:rsid w:val="00612796"/>
    <w:rsid w:val="006129FE"/>
    <w:rsid w:val="00612E75"/>
    <w:rsid w:val="006141B2"/>
    <w:rsid w:val="00614627"/>
    <w:rsid w:val="00614BDE"/>
    <w:rsid w:val="006154A8"/>
    <w:rsid w:val="00615BF2"/>
    <w:rsid w:val="00615C22"/>
    <w:rsid w:val="00615E08"/>
    <w:rsid w:val="00617481"/>
    <w:rsid w:val="00617A76"/>
    <w:rsid w:val="006214FB"/>
    <w:rsid w:val="00621584"/>
    <w:rsid w:val="00621BC4"/>
    <w:rsid w:val="00621BE0"/>
    <w:rsid w:val="00621D5B"/>
    <w:rsid w:val="00621E83"/>
    <w:rsid w:val="006223C5"/>
    <w:rsid w:val="00622E65"/>
    <w:rsid w:val="00624403"/>
    <w:rsid w:val="00624CF7"/>
    <w:rsid w:val="0062505A"/>
    <w:rsid w:val="006250EF"/>
    <w:rsid w:val="0062516B"/>
    <w:rsid w:val="006251EB"/>
    <w:rsid w:val="00625D8C"/>
    <w:rsid w:val="00626609"/>
    <w:rsid w:val="00626C1C"/>
    <w:rsid w:val="00626D66"/>
    <w:rsid w:val="00627C31"/>
    <w:rsid w:val="0063054C"/>
    <w:rsid w:val="006309F6"/>
    <w:rsid w:val="00630ED1"/>
    <w:rsid w:val="0063137F"/>
    <w:rsid w:val="006314F5"/>
    <w:rsid w:val="006318BA"/>
    <w:rsid w:val="00631AD2"/>
    <w:rsid w:val="006320E8"/>
    <w:rsid w:val="00632347"/>
    <w:rsid w:val="006323BD"/>
    <w:rsid w:val="00633033"/>
    <w:rsid w:val="00633192"/>
    <w:rsid w:val="0063355A"/>
    <w:rsid w:val="00633879"/>
    <w:rsid w:val="00633C7F"/>
    <w:rsid w:val="0063418E"/>
    <w:rsid w:val="006349FA"/>
    <w:rsid w:val="006350A2"/>
    <w:rsid w:val="006354EC"/>
    <w:rsid w:val="00636BDF"/>
    <w:rsid w:val="006378F8"/>
    <w:rsid w:val="00637F64"/>
    <w:rsid w:val="006403C9"/>
    <w:rsid w:val="0064079F"/>
    <w:rsid w:val="00640AA5"/>
    <w:rsid w:val="00640DD0"/>
    <w:rsid w:val="00641C4C"/>
    <w:rsid w:val="00641E97"/>
    <w:rsid w:val="006432F5"/>
    <w:rsid w:val="006447AD"/>
    <w:rsid w:val="00644F19"/>
    <w:rsid w:val="006451F0"/>
    <w:rsid w:val="00645412"/>
    <w:rsid w:val="0064642F"/>
    <w:rsid w:val="006468D8"/>
    <w:rsid w:val="00646F43"/>
    <w:rsid w:val="006471A0"/>
    <w:rsid w:val="006474C1"/>
    <w:rsid w:val="006474F6"/>
    <w:rsid w:val="006475AD"/>
    <w:rsid w:val="00647B10"/>
    <w:rsid w:val="006505A1"/>
    <w:rsid w:val="0065061A"/>
    <w:rsid w:val="00650C49"/>
    <w:rsid w:val="00650FEB"/>
    <w:rsid w:val="006520E7"/>
    <w:rsid w:val="00652106"/>
    <w:rsid w:val="006530A4"/>
    <w:rsid w:val="00653108"/>
    <w:rsid w:val="006535F6"/>
    <w:rsid w:val="0065368C"/>
    <w:rsid w:val="006547F0"/>
    <w:rsid w:val="00654C3D"/>
    <w:rsid w:val="00654F03"/>
    <w:rsid w:val="006559B9"/>
    <w:rsid w:val="00656555"/>
    <w:rsid w:val="00656614"/>
    <w:rsid w:val="00657F5E"/>
    <w:rsid w:val="00657FC9"/>
    <w:rsid w:val="00660961"/>
    <w:rsid w:val="0066170F"/>
    <w:rsid w:val="00661D8A"/>
    <w:rsid w:val="00662B2D"/>
    <w:rsid w:val="00662DEB"/>
    <w:rsid w:val="00663469"/>
    <w:rsid w:val="0066437A"/>
    <w:rsid w:val="0066500E"/>
    <w:rsid w:val="006653B2"/>
    <w:rsid w:val="006667A5"/>
    <w:rsid w:val="00667134"/>
    <w:rsid w:val="006679CF"/>
    <w:rsid w:val="00667F90"/>
    <w:rsid w:val="0067014A"/>
    <w:rsid w:val="006701DC"/>
    <w:rsid w:val="00670810"/>
    <w:rsid w:val="00671405"/>
    <w:rsid w:val="00671453"/>
    <w:rsid w:val="00671899"/>
    <w:rsid w:val="006718CE"/>
    <w:rsid w:val="0067191B"/>
    <w:rsid w:val="00671F2B"/>
    <w:rsid w:val="00672909"/>
    <w:rsid w:val="006739BF"/>
    <w:rsid w:val="00673E70"/>
    <w:rsid w:val="0067416C"/>
    <w:rsid w:val="0067421D"/>
    <w:rsid w:val="00674DD3"/>
    <w:rsid w:val="00675373"/>
    <w:rsid w:val="00675779"/>
    <w:rsid w:val="00676A98"/>
    <w:rsid w:val="00677227"/>
    <w:rsid w:val="006773A2"/>
    <w:rsid w:val="00677B08"/>
    <w:rsid w:val="00677E77"/>
    <w:rsid w:val="00680261"/>
    <w:rsid w:val="00680DDD"/>
    <w:rsid w:val="00680F3A"/>
    <w:rsid w:val="00680F99"/>
    <w:rsid w:val="0068227D"/>
    <w:rsid w:val="00682CC1"/>
    <w:rsid w:val="00682ED5"/>
    <w:rsid w:val="00683578"/>
    <w:rsid w:val="00683CD1"/>
    <w:rsid w:val="00683E20"/>
    <w:rsid w:val="006844EE"/>
    <w:rsid w:val="00684743"/>
    <w:rsid w:val="00684E08"/>
    <w:rsid w:val="006861EC"/>
    <w:rsid w:val="006864BA"/>
    <w:rsid w:val="006864EF"/>
    <w:rsid w:val="00686797"/>
    <w:rsid w:val="0068682C"/>
    <w:rsid w:val="00686917"/>
    <w:rsid w:val="00686C04"/>
    <w:rsid w:val="006871E2"/>
    <w:rsid w:val="0068740A"/>
    <w:rsid w:val="00687E49"/>
    <w:rsid w:val="006903B8"/>
    <w:rsid w:val="00690B93"/>
    <w:rsid w:val="00690CD8"/>
    <w:rsid w:val="00691492"/>
    <w:rsid w:val="00691750"/>
    <w:rsid w:val="00691FD7"/>
    <w:rsid w:val="00692F25"/>
    <w:rsid w:val="00693926"/>
    <w:rsid w:val="0069432A"/>
    <w:rsid w:val="00694C6D"/>
    <w:rsid w:val="00694F62"/>
    <w:rsid w:val="006954B6"/>
    <w:rsid w:val="00695583"/>
    <w:rsid w:val="006959DD"/>
    <w:rsid w:val="00695AE8"/>
    <w:rsid w:val="00696665"/>
    <w:rsid w:val="0069668B"/>
    <w:rsid w:val="00696A7D"/>
    <w:rsid w:val="00696D23"/>
    <w:rsid w:val="00696D2B"/>
    <w:rsid w:val="0069708C"/>
    <w:rsid w:val="006976BF"/>
    <w:rsid w:val="006979BE"/>
    <w:rsid w:val="006A0669"/>
    <w:rsid w:val="006A0722"/>
    <w:rsid w:val="006A107D"/>
    <w:rsid w:val="006A1150"/>
    <w:rsid w:val="006A2F15"/>
    <w:rsid w:val="006A386F"/>
    <w:rsid w:val="006A41CE"/>
    <w:rsid w:val="006A47E9"/>
    <w:rsid w:val="006A4837"/>
    <w:rsid w:val="006A5A69"/>
    <w:rsid w:val="006A5BC5"/>
    <w:rsid w:val="006A5F19"/>
    <w:rsid w:val="006A65D9"/>
    <w:rsid w:val="006A7273"/>
    <w:rsid w:val="006A7568"/>
    <w:rsid w:val="006A7D6A"/>
    <w:rsid w:val="006A7EFA"/>
    <w:rsid w:val="006B0A9B"/>
    <w:rsid w:val="006B0E83"/>
    <w:rsid w:val="006B0F62"/>
    <w:rsid w:val="006B17D4"/>
    <w:rsid w:val="006B18A5"/>
    <w:rsid w:val="006B1BAB"/>
    <w:rsid w:val="006B1F9E"/>
    <w:rsid w:val="006B2216"/>
    <w:rsid w:val="006B28B6"/>
    <w:rsid w:val="006B3AFD"/>
    <w:rsid w:val="006B4320"/>
    <w:rsid w:val="006B470D"/>
    <w:rsid w:val="006B4B11"/>
    <w:rsid w:val="006B5166"/>
    <w:rsid w:val="006B55D1"/>
    <w:rsid w:val="006B5FD1"/>
    <w:rsid w:val="006B61C8"/>
    <w:rsid w:val="006B633E"/>
    <w:rsid w:val="006B7626"/>
    <w:rsid w:val="006C10CC"/>
    <w:rsid w:val="006C2173"/>
    <w:rsid w:val="006C21F2"/>
    <w:rsid w:val="006C23D1"/>
    <w:rsid w:val="006C28B0"/>
    <w:rsid w:val="006C2AEE"/>
    <w:rsid w:val="006C3514"/>
    <w:rsid w:val="006C378C"/>
    <w:rsid w:val="006C395F"/>
    <w:rsid w:val="006C4301"/>
    <w:rsid w:val="006C4ABC"/>
    <w:rsid w:val="006C4E8E"/>
    <w:rsid w:val="006C59E5"/>
    <w:rsid w:val="006C779A"/>
    <w:rsid w:val="006D1112"/>
    <w:rsid w:val="006D17FC"/>
    <w:rsid w:val="006D1A2B"/>
    <w:rsid w:val="006D1C5E"/>
    <w:rsid w:val="006D1E44"/>
    <w:rsid w:val="006D23B0"/>
    <w:rsid w:val="006D2B82"/>
    <w:rsid w:val="006D3C16"/>
    <w:rsid w:val="006D40CA"/>
    <w:rsid w:val="006D4929"/>
    <w:rsid w:val="006D4A1D"/>
    <w:rsid w:val="006D68E8"/>
    <w:rsid w:val="006D79A1"/>
    <w:rsid w:val="006D7F39"/>
    <w:rsid w:val="006E0369"/>
    <w:rsid w:val="006E03BC"/>
    <w:rsid w:val="006E03EB"/>
    <w:rsid w:val="006E0423"/>
    <w:rsid w:val="006E34C7"/>
    <w:rsid w:val="006E38BF"/>
    <w:rsid w:val="006E42C0"/>
    <w:rsid w:val="006E4873"/>
    <w:rsid w:val="006E5A04"/>
    <w:rsid w:val="006E5E2A"/>
    <w:rsid w:val="006E6148"/>
    <w:rsid w:val="006E668D"/>
    <w:rsid w:val="006E66A9"/>
    <w:rsid w:val="006E6EA9"/>
    <w:rsid w:val="006F0225"/>
    <w:rsid w:val="006F03B1"/>
    <w:rsid w:val="006F0B06"/>
    <w:rsid w:val="006F0F66"/>
    <w:rsid w:val="006F1D8E"/>
    <w:rsid w:val="006F291D"/>
    <w:rsid w:val="006F2A42"/>
    <w:rsid w:val="006F30FF"/>
    <w:rsid w:val="006F4BB0"/>
    <w:rsid w:val="006F4DC2"/>
    <w:rsid w:val="006F54AF"/>
    <w:rsid w:val="006F54E8"/>
    <w:rsid w:val="006F59C6"/>
    <w:rsid w:val="006F65BF"/>
    <w:rsid w:val="006F6C0E"/>
    <w:rsid w:val="006F7149"/>
    <w:rsid w:val="006F7753"/>
    <w:rsid w:val="006F7F5C"/>
    <w:rsid w:val="00700845"/>
    <w:rsid w:val="00700996"/>
    <w:rsid w:val="00700F4B"/>
    <w:rsid w:val="0070152D"/>
    <w:rsid w:val="00701B8A"/>
    <w:rsid w:val="00701B9F"/>
    <w:rsid w:val="00701C91"/>
    <w:rsid w:val="007027CF"/>
    <w:rsid w:val="00702D8B"/>
    <w:rsid w:val="007035C7"/>
    <w:rsid w:val="00705B3F"/>
    <w:rsid w:val="00705F63"/>
    <w:rsid w:val="00706131"/>
    <w:rsid w:val="007066EA"/>
    <w:rsid w:val="007068D4"/>
    <w:rsid w:val="0070695C"/>
    <w:rsid w:val="007070B4"/>
    <w:rsid w:val="0070714D"/>
    <w:rsid w:val="0070763A"/>
    <w:rsid w:val="00707DA2"/>
    <w:rsid w:val="007100DE"/>
    <w:rsid w:val="0071041D"/>
    <w:rsid w:val="007107DD"/>
    <w:rsid w:val="0071119F"/>
    <w:rsid w:val="0071175F"/>
    <w:rsid w:val="0071203E"/>
    <w:rsid w:val="00712223"/>
    <w:rsid w:val="007127B0"/>
    <w:rsid w:val="00712950"/>
    <w:rsid w:val="00714021"/>
    <w:rsid w:val="00715FA7"/>
    <w:rsid w:val="00716256"/>
    <w:rsid w:val="007164C7"/>
    <w:rsid w:val="00717170"/>
    <w:rsid w:val="0072026B"/>
    <w:rsid w:val="00720A8B"/>
    <w:rsid w:val="00720AD6"/>
    <w:rsid w:val="00720E30"/>
    <w:rsid w:val="00721550"/>
    <w:rsid w:val="00721B3D"/>
    <w:rsid w:val="00721EA2"/>
    <w:rsid w:val="007224BE"/>
    <w:rsid w:val="00722E7D"/>
    <w:rsid w:val="0072324A"/>
    <w:rsid w:val="00723445"/>
    <w:rsid w:val="007236AA"/>
    <w:rsid w:val="00723787"/>
    <w:rsid w:val="00723C5D"/>
    <w:rsid w:val="00723DF4"/>
    <w:rsid w:val="007244B9"/>
    <w:rsid w:val="0072473C"/>
    <w:rsid w:val="007252B5"/>
    <w:rsid w:val="007255B7"/>
    <w:rsid w:val="007255D9"/>
    <w:rsid w:val="007265BE"/>
    <w:rsid w:val="00726A37"/>
    <w:rsid w:val="00726E3F"/>
    <w:rsid w:val="00727DC2"/>
    <w:rsid w:val="00730048"/>
    <w:rsid w:val="0073053D"/>
    <w:rsid w:val="007316F7"/>
    <w:rsid w:val="00732134"/>
    <w:rsid w:val="007322C2"/>
    <w:rsid w:val="007325E7"/>
    <w:rsid w:val="007328B5"/>
    <w:rsid w:val="00732C21"/>
    <w:rsid w:val="0073392B"/>
    <w:rsid w:val="00733DAC"/>
    <w:rsid w:val="00734332"/>
    <w:rsid w:val="0073439E"/>
    <w:rsid w:val="007343A3"/>
    <w:rsid w:val="0073459F"/>
    <w:rsid w:val="007345ED"/>
    <w:rsid w:val="00734E96"/>
    <w:rsid w:val="0073632C"/>
    <w:rsid w:val="007369FF"/>
    <w:rsid w:val="00736A68"/>
    <w:rsid w:val="0073716E"/>
    <w:rsid w:val="007371D1"/>
    <w:rsid w:val="007372BA"/>
    <w:rsid w:val="00737957"/>
    <w:rsid w:val="00737D0E"/>
    <w:rsid w:val="00737D70"/>
    <w:rsid w:val="00740650"/>
    <w:rsid w:val="00740C5D"/>
    <w:rsid w:val="00741207"/>
    <w:rsid w:val="00741E2E"/>
    <w:rsid w:val="00741F97"/>
    <w:rsid w:val="007424CC"/>
    <w:rsid w:val="00742611"/>
    <w:rsid w:val="007441E1"/>
    <w:rsid w:val="0074437D"/>
    <w:rsid w:val="00744BB8"/>
    <w:rsid w:val="00745BBA"/>
    <w:rsid w:val="00746A7A"/>
    <w:rsid w:val="00746F0B"/>
    <w:rsid w:val="00747043"/>
    <w:rsid w:val="007476D7"/>
    <w:rsid w:val="00747703"/>
    <w:rsid w:val="00750B4D"/>
    <w:rsid w:val="00750D19"/>
    <w:rsid w:val="00751406"/>
    <w:rsid w:val="0075175B"/>
    <w:rsid w:val="0075241E"/>
    <w:rsid w:val="007524AC"/>
    <w:rsid w:val="00752C8A"/>
    <w:rsid w:val="00753778"/>
    <w:rsid w:val="00753DBE"/>
    <w:rsid w:val="0075422D"/>
    <w:rsid w:val="00754769"/>
    <w:rsid w:val="007552A0"/>
    <w:rsid w:val="00755B09"/>
    <w:rsid w:val="00756354"/>
    <w:rsid w:val="007568FC"/>
    <w:rsid w:val="00756BEE"/>
    <w:rsid w:val="00756CCB"/>
    <w:rsid w:val="0075752D"/>
    <w:rsid w:val="0075797F"/>
    <w:rsid w:val="007605B1"/>
    <w:rsid w:val="00760F19"/>
    <w:rsid w:val="00761129"/>
    <w:rsid w:val="00761CC0"/>
    <w:rsid w:val="007623D4"/>
    <w:rsid w:val="00762F31"/>
    <w:rsid w:val="00763216"/>
    <w:rsid w:val="00763752"/>
    <w:rsid w:val="00763D13"/>
    <w:rsid w:val="00765E19"/>
    <w:rsid w:val="007667AA"/>
    <w:rsid w:val="00766BA9"/>
    <w:rsid w:val="00766D0E"/>
    <w:rsid w:val="007672C6"/>
    <w:rsid w:val="00767699"/>
    <w:rsid w:val="0077100C"/>
    <w:rsid w:val="007710E5"/>
    <w:rsid w:val="00771160"/>
    <w:rsid w:val="00771509"/>
    <w:rsid w:val="0077385F"/>
    <w:rsid w:val="00775606"/>
    <w:rsid w:val="0077674B"/>
    <w:rsid w:val="007768E4"/>
    <w:rsid w:val="007770D7"/>
    <w:rsid w:val="00777408"/>
    <w:rsid w:val="007776D0"/>
    <w:rsid w:val="0078056F"/>
    <w:rsid w:val="00780A96"/>
    <w:rsid w:val="00783463"/>
    <w:rsid w:val="00783D68"/>
    <w:rsid w:val="007842DC"/>
    <w:rsid w:val="0078441C"/>
    <w:rsid w:val="00784D14"/>
    <w:rsid w:val="007850BD"/>
    <w:rsid w:val="00785846"/>
    <w:rsid w:val="007859C5"/>
    <w:rsid w:val="00786A11"/>
    <w:rsid w:val="007902ED"/>
    <w:rsid w:val="00791002"/>
    <w:rsid w:val="007910FF"/>
    <w:rsid w:val="00791929"/>
    <w:rsid w:val="00791CE5"/>
    <w:rsid w:val="007922B9"/>
    <w:rsid w:val="0079230B"/>
    <w:rsid w:val="00793B9B"/>
    <w:rsid w:val="00793D7D"/>
    <w:rsid w:val="0079443B"/>
    <w:rsid w:val="0079481A"/>
    <w:rsid w:val="00794A2F"/>
    <w:rsid w:val="00794C07"/>
    <w:rsid w:val="0079524F"/>
    <w:rsid w:val="007957A6"/>
    <w:rsid w:val="0079646E"/>
    <w:rsid w:val="0079677E"/>
    <w:rsid w:val="007968CA"/>
    <w:rsid w:val="00796CE5"/>
    <w:rsid w:val="00797007"/>
    <w:rsid w:val="007A1084"/>
    <w:rsid w:val="007A130B"/>
    <w:rsid w:val="007A1C49"/>
    <w:rsid w:val="007A2379"/>
    <w:rsid w:val="007A2384"/>
    <w:rsid w:val="007A243E"/>
    <w:rsid w:val="007A25F9"/>
    <w:rsid w:val="007A2F89"/>
    <w:rsid w:val="007A35E5"/>
    <w:rsid w:val="007A3723"/>
    <w:rsid w:val="007A4079"/>
    <w:rsid w:val="007A425D"/>
    <w:rsid w:val="007A46A1"/>
    <w:rsid w:val="007A4C09"/>
    <w:rsid w:val="007A4D50"/>
    <w:rsid w:val="007A5993"/>
    <w:rsid w:val="007A5E3A"/>
    <w:rsid w:val="007A6698"/>
    <w:rsid w:val="007A6839"/>
    <w:rsid w:val="007A6915"/>
    <w:rsid w:val="007A70C1"/>
    <w:rsid w:val="007B0061"/>
    <w:rsid w:val="007B0239"/>
    <w:rsid w:val="007B0E57"/>
    <w:rsid w:val="007B0EE5"/>
    <w:rsid w:val="007B1409"/>
    <w:rsid w:val="007B1FA1"/>
    <w:rsid w:val="007B20BC"/>
    <w:rsid w:val="007B2749"/>
    <w:rsid w:val="007B2C3B"/>
    <w:rsid w:val="007B342B"/>
    <w:rsid w:val="007B3CE9"/>
    <w:rsid w:val="007B4D5C"/>
    <w:rsid w:val="007B52E9"/>
    <w:rsid w:val="007B5325"/>
    <w:rsid w:val="007B5412"/>
    <w:rsid w:val="007B552C"/>
    <w:rsid w:val="007B595B"/>
    <w:rsid w:val="007B6721"/>
    <w:rsid w:val="007B6EAB"/>
    <w:rsid w:val="007B7194"/>
    <w:rsid w:val="007B7514"/>
    <w:rsid w:val="007B7DEC"/>
    <w:rsid w:val="007C029A"/>
    <w:rsid w:val="007C05E1"/>
    <w:rsid w:val="007C0656"/>
    <w:rsid w:val="007C161C"/>
    <w:rsid w:val="007C19C2"/>
    <w:rsid w:val="007C299E"/>
    <w:rsid w:val="007C2C16"/>
    <w:rsid w:val="007C2C2D"/>
    <w:rsid w:val="007C3031"/>
    <w:rsid w:val="007C3A91"/>
    <w:rsid w:val="007C55E4"/>
    <w:rsid w:val="007C5C8D"/>
    <w:rsid w:val="007C693C"/>
    <w:rsid w:val="007C7024"/>
    <w:rsid w:val="007C76C7"/>
    <w:rsid w:val="007C7A38"/>
    <w:rsid w:val="007C7C7B"/>
    <w:rsid w:val="007D1B95"/>
    <w:rsid w:val="007D1D56"/>
    <w:rsid w:val="007D23F8"/>
    <w:rsid w:val="007D2828"/>
    <w:rsid w:val="007D3090"/>
    <w:rsid w:val="007D31BA"/>
    <w:rsid w:val="007D3243"/>
    <w:rsid w:val="007D37E3"/>
    <w:rsid w:val="007D3BCF"/>
    <w:rsid w:val="007D3BD5"/>
    <w:rsid w:val="007D3C64"/>
    <w:rsid w:val="007D44EB"/>
    <w:rsid w:val="007D487D"/>
    <w:rsid w:val="007D4DBD"/>
    <w:rsid w:val="007D5859"/>
    <w:rsid w:val="007D59BB"/>
    <w:rsid w:val="007D6BB9"/>
    <w:rsid w:val="007D716C"/>
    <w:rsid w:val="007D777E"/>
    <w:rsid w:val="007D7861"/>
    <w:rsid w:val="007D78D4"/>
    <w:rsid w:val="007E0168"/>
    <w:rsid w:val="007E035D"/>
    <w:rsid w:val="007E075D"/>
    <w:rsid w:val="007E0C70"/>
    <w:rsid w:val="007E12B5"/>
    <w:rsid w:val="007E1CFB"/>
    <w:rsid w:val="007E3AEA"/>
    <w:rsid w:val="007E4498"/>
    <w:rsid w:val="007E475C"/>
    <w:rsid w:val="007E5071"/>
    <w:rsid w:val="007E52EE"/>
    <w:rsid w:val="007E5559"/>
    <w:rsid w:val="007E63AC"/>
    <w:rsid w:val="007E6410"/>
    <w:rsid w:val="007E6529"/>
    <w:rsid w:val="007F0203"/>
    <w:rsid w:val="007F0A79"/>
    <w:rsid w:val="007F0AB4"/>
    <w:rsid w:val="007F0E2B"/>
    <w:rsid w:val="007F171D"/>
    <w:rsid w:val="007F1846"/>
    <w:rsid w:val="007F1AB4"/>
    <w:rsid w:val="007F2A89"/>
    <w:rsid w:val="007F2AA0"/>
    <w:rsid w:val="007F32C0"/>
    <w:rsid w:val="007F33A6"/>
    <w:rsid w:val="007F33BC"/>
    <w:rsid w:val="007F37F4"/>
    <w:rsid w:val="007F4A26"/>
    <w:rsid w:val="007F59EB"/>
    <w:rsid w:val="007F5AED"/>
    <w:rsid w:val="007F5DB2"/>
    <w:rsid w:val="007F62A2"/>
    <w:rsid w:val="007F62A9"/>
    <w:rsid w:val="007F65BA"/>
    <w:rsid w:val="007F693E"/>
    <w:rsid w:val="007F6DE4"/>
    <w:rsid w:val="007F71CD"/>
    <w:rsid w:val="007F7311"/>
    <w:rsid w:val="007F7D32"/>
    <w:rsid w:val="00801438"/>
    <w:rsid w:val="00801AEE"/>
    <w:rsid w:val="00801BF1"/>
    <w:rsid w:val="00801EA1"/>
    <w:rsid w:val="00802C7F"/>
    <w:rsid w:val="00803044"/>
    <w:rsid w:val="008032C4"/>
    <w:rsid w:val="008041D9"/>
    <w:rsid w:val="00804E6A"/>
    <w:rsid w:val="00805E84"/>
    <w:rsid w:val="0080658B"/>
    <w:rsid w:val="00806612"/>
    <w:rsid w:val="00806F13"/>
    <w:rsid w:val="00806FBD"/>
    <w:rsid w:val="00807C36"/>
    <w:rsid w:val="00810AA6"/>
    <w:rsid w:val="00810AF4"/>
    <w:rsid w:val="0081126F"/>
    <w:rsid w:val="00811DCB"/>
    <w:rsid w:val="00812479"/>
    <w:rsid w:val="00813116"/>
    <w:rsid w:val="008142A1"/>
    <w:rsid w:val="00814458"/>
    <w:rsid w:val="008146D4"/>
    <w:rsid w:val="00814756"/>
    <w:rsid w:val="00814814"/>
    <w:rsid w:val="008150EC"/>
    <w:rsid w:val="00815565"/>
    <w:rsid w:val="0081603F"/>
    <w:rsid w:val="0081674E"/>
    <w:rsid w:val="00816C4D"/>
    <w:rsid w:val="00816D85"/>
    <w:rsid w:val="008174DB"/>
    <w:rsid w:val="00817545"/>
    <w:rsid w:val="008179E9"/>
    <w:rsid w:val="00820235"/>
    <w:rsid w:val="008216D9"/>
    <w:rsid w:val="008219E0"/>
    <w:rsid w:val="00821D6B"/>
    <w:rsid w:val="00822354"/>
    <w:rsid w:val="008224AE"/>
    <w:rsid w:val="00822A34"/>
    <w:rsid w:val="0082412B"/>
    <w:rsid w:val="008244C9"/>
    <w:rsid w:val="00824A90"/>
    <w:rsid w:val="00825CCF"/>
    <w:rsid w:val="00826C61"/>
    <w:rsid w:val="00827564"/>
    <w:rsid w:val="008278E7"/>
    <w:rsid w:val="00830035"/>
    <w:rsid w:val="0083116D"/>
    <w:rsid w:val="0083135D"/>
    <w:rsid w:val="00832AD7"/>
    <w:rsid w:val="00832B2D"/>
    <w:rsid w:val="00832BAD"/>
    <w:rsid w:val="00832D5B"/>
    <w:rsid w:val="00832FD5"/>
    <w:rsid w:val="008331EF"/>
    <w:rsid w:val="008336BC"/>
    <w:rsid w:val="00833937"/>
    <w:rsid w:val="00833A42"/>
    <w:rsid w:val="0083499F"/>
    <w:rsid w:val="00834AF9"/>
    <w:rsid w:val="00834C40"/>
    <w:rsid w:val="008350D3"/>
    <w:rsid w:val="00835342"/>
    <w:rsid w:val="008353B2"/>
    <w:rsid w:val="00835945"/>
    <w:rsid w:val="00835A52"/>
    <w:rsid w:val="00835BF6"/>
    <w:rsid w:val="00835D3E"/>
    <w:rsid w:val="0083602F"/>
    <w:rsid w:val="00836B6D"/>
    <w:rsid w:val="00836CA1"/>
    <w:rsid w:val="00836F46"/>
    <w:rsid w:val="00837CFF"/>
    <w:rsid w:val="00837E4F"/>
    <w:rsid w:val="00840F3B"/>
    <w:rsid w:val="00841689"/>
    <w:rsid w:val="00841B61"/>
    <w:rsid w:val="00841F88"/>
    <w:rsid w:val="0084287E"/>
    <w:rsid w:val="00842C54"/>
    <w:rsid w:val="00842F17"/>
    <w:rsid w:val="00843BF8"/>
    <w:rsid w:val="008440A8"/>
    <w:rsid w:val="0084431B"/>
    <w:rsid w:val="008443AF"/>
    <w:rsid w:val="008443DD"/>
    <w:rsid w:val="00844546"/>
    <w:rsid w:val="0084499C"/>
    <w:rsid w:val="00845993"/>
    <w:rsid w:val="00846DC3"/>
    <w:rsid w:val="00847320"/>
    <w:rsid w:val="008475D3"/>
    <w:rsid w:val="008479A2"/>
    <w:rsid w:val="00847B78"/>
    <w:rsid w:val="0085004C"/>
    <w:rsid w:val="0085031E"/>
    <w:rsid w:val="00850720"/>
    <w:rsid w:val="00850940"/>
    <w:rsid w:val="00850C74"/>
    <w:rsid w:val="00851257"/>
    <w:rsid w:val="00851423"/>
    <w:rsid w:val="008516AE"/>
    <w:rsid w:val="00852CCA"/>
    <w:rsid w:val="00852CFD"/>
    <w:rsid w:val="00853141"/>
    <w:rsid w:val="0085398E"/>
    <w:rsid w:val="008539C4"/>
    <w:rsid w:val="00853B8C"/>
    <w:rsid w:val="00853C02"/>
    <w:rsid w:val="00854109"/>
    <w:rsid w:val="00854670"/>
    <w:rsid w:val="00854864"/>
    <w:rsid w:val="0085582A"/>
    <w:rsid w:val="00856F18"/>
    <w:rsid w:val="00857831"/>
    <w:rsid w:val="008579B9"/>
    <w:rsid w:val="00857EC3"/>
    <w:rsid w:val="00860BD1"/>
    <w:rsid w:val="008616DA"/>
    <w:rsid w:val="008617A1"/>
    <w:rsid w:val="00861A04"/>
    <w:rsid w:val="00861EEF"/>
    <w:rsid w:val="00862BB4"/>
    <w:rsid w:val="00862FCB"/>
    <w:rsid w:val="008631CC"/>
    <w:rsid w:val="008632D7"/>
    <w:rsid w:val="008633AB"/>
    <w:rsid w:val="00863862"/>
    <w:rsid w:val="00864853"/>
    <w:rsid w:val="0086492E"/>
    <w:rsid w:val="00864D3D"/>
    <w:rsid w:val="0086603A"/>
    <w:rsid w:val="00866C9A"/>
    <w:rsid w:val="00867088"/>
    <w:rsid w:val="0087025F"/>
    <w:rsid w:val="00870619"/>
    <w:rsid w:val="0087099E"/>
    <w:rsid w:val="00870FDD"/>
    <w:rsid w:val="00871290"/>
    <w:rsid w:val="00871C22"/>
    <w:rsid w:val="00871C32"/>
    <w:rsid w:val="00872F37"/>
    <w:rsid w:val="0087316A"/>
    <w:rsid w:val="008733E3"/>
    <w:rsid w:val="00873806"/>
    <w:rsid w:val="00873840"/>
    <w:rsid w:val="00873ED4"/>
    <w:rsid w:val="0087406B"/>
    <w:rsid w:val="00874329"/>
    <w:rsid w:val="008747E5"/>
    <w:rsid w:val="00874883"/>
    <w:rsid w:val="00874FEC"/>
    <w:rsid w:val="00875A6B"/>
    <w:rsid w:val="00875B37"/>
    <w:rsid w:val="00875CBD"/>
    <w:rsid w:val="00875E31"/>
    <w:rsid w:val="008769C3"/>
    <w:rsid w:val="00876B4C"/>
    <w:rsid w:val="00876F25"/>
    <w:rsid w:val="00876F70"/>
    <w:rsid w:val="00877607"/>
    <w:rsid w:val="00877B86"/>
    <w:rsid w:val="00880198"/>
    <w:rsid w:val="008802F9"/>
    <w:rsid w:val="008809DE"/>
    <w:rsid w:val="00880D34"/>
    <w:rsid w:val="0088137A"/>
    <w:rsid w:val="0088178C"/>
    <w:rsid w:val="00881BB5"/>
    <w:rsid w:val="00882A23"/>
    <w:rsid w:val="00882AC7"/>
    <w:rsid w:val="008830CC"/>
    <w:rsid w:val="0088341D"/>
    <w:rsid w:val="00883CB9"/>
    <w:rsid w:val="00883D8E"/>
    <w:rsid w:val="008852E9"/>
    <w:rsid w:val="00885321"/>
    <w:rsid w:val="00885EF1"/>
    <w:rsid w:val="0088620D"/>
    <w:rsid w:val="008865BB"/>
    <w:rsid w:val="00886701"/>
    <w:rsid w:val="00886DD7"/>
    <w:rsid w:val="00887034"/>
    <w:rsid w:val="00887D1D"/>
    <w:rsid w:val="00887EA6"/>
    <w:rsid w:val="008905C2"/>
    <w:rsid w:val="00890647"/>
    <w:rsid w:val="00891565"/>
    <w:rsid w:val="00891698"/>
    <w:rsid w:val="00891800"/>
    <w:rsid w:val="00891ED0"/>
    <w:rsid w:val="008920A4"/>
    <w:rsid w:val="008921A6"/>
    <w:rsid w:val="00892858"/>
    <w:rsid w:val="00892D94"/>
    <w:rsid w:val="008945F1"/>
    <w:rsid w:val="00894690"/>
    <w:rsid w:val="008948E1"/>
    <w:rsid w:val="00894BA3"/>
    <w:rsid w:val="0089518A"/>
    <w:rsid w:val="008952F2"/>
    <w:rsid w:val="008953F8"/>
    <w:rsid w:val="0089574E"/>
    <w:rsid w:val="00895E80"/>
    <w:rsid w:val="00895E9B"/>
    <w:rsid w:val="00896505"/>
    <w:rsid w:val="0089671F"/>
    <w:rsid w:val="00896913"/>
    <w:rsid w:val="00896A31"/>
    <w:rsid w:val="00897BCA"/>
    <w:rsid w:val="008A04AE"/>
    <w:rsid w:val="008A066E"/>
    <w:rsid w:val="008A0A2E"/>
    <w:rsid w:val="008A1046"/>
    <w:rsid w:val="008A10AE"/>
    <w:rsid w:val="008A1C6C"/>
    <w:rsid w:val="008A39A8"/>
    <w:rsid w:val="008A578B"/>
    <w:rsid w:val="008A58CB"/>
    <w:rsid w:val="008A5907"/>
    <w:rsid w:val="008A59CC"/>
    <w:rsid w:val="008A5CCF"/>
    <w:rsid w:val="008A6072"/>
    <w:rsid w:val="008A6927"/>
    <w:rsid w:val="008A6DCD"/>
    <w:rsid w:val="008A77BE"/>
    <w:rsid w:val="008A7892"/>
    <w:rsid w:val="008A7A5E"/>
    <w:rsid w:val="008A7E1B"/>
    <w:rsid w:val="008B0489"/>
    <w:rsid w:val="008B0B92"/>
    <w:rsid w:val="008B123D"/>
    <w:rsid w:val="008B194F"/>
    <w:rsid w:val="008B21E5"/>
    <w:rsid w:val="008B24CD"/>
    <w:rsid w:val="008B2A65"/>
    <w:rsid w:val="008B2AAF"/>
    <w:rsid w:val="008B3386"/>
    <w:rsid w:val="008B38DE"/>
    <w:rsid w:val="008B3BD4"/>
    <w:rsid w:val="008B41CA"/>
    <w:rsid w:val="008B51F7"/>
    <w:rsid w:val="008B5223"/>
    <w:rsid w:val="008B5338"/>
    <w:rsid w:val="008B5FC8"/>
    <w:rsid w:val="008B73EF"/>
    <w:rsid w:val="008B7769"/>
    <w:rsid w:val="008B7C6C"/>
    <w:rsid w:val="008C023D"/>
    <w:rsid w:val="008C0D26"/>
    <w:rsid w:val="008C1309"/>
    <w:rsid w:val="008C1332"/>
    <w:rsid w:val="008C14B4"/>
    <w:rsid w:val="008C251A"/>
    <w:rsid w:val="008C2763"/>
    <w:rsid w:val="008C2968"/>
    <w:rsid w:val="008C2B88"/>
    <w:rsid w:val="008C309B"/>
    <w:rsid w:val="008C5932"/>
    <w:rsid w:val="008C61F2"/>
    <w:rsid w:val="008C6657"/>
    <w:rsid w:val="008C69C8"/>
    <w:rsid w:val="008C6AB5"/>
    <w:rsid w:val="008C6CA9"/>
    <w:rsid w:val="008C72EB"/>
    <w:rsid w:val="008C7635"/>
    <w:rsid w:val="008C782A"/>
    <w:rsid w:val="008C791B"/>
    <w:rsid w:val="008C7B18"/>
    <w:rsid w:val="008C7B4A"/>
    <w:rsid w:val="008D01D8"/>
    <w:rsid w:val="008D106F"/>
    <w:rsid w:val="008D108D"/>
    <w:rsid w:val="008D211C"/>
    <w:rsid w:val="008D34C0"/>
    <w:rsid w:val="008D43C4"/>
    <w:rsid w:val="008D43DD"/>
    <w:rsid w:val="008D4400"/>
    <w:rsid w:val="008D6DA1"/>
    <w:rsid w:val="008D76FA"/>
    <w:rsid w:val="008D7DF2"/>
    <w:rsid w:val="008D7E49"/>
    <w:rsid w:val="008E0312"/>
    <w:rsid w:val="008E0E38"/>
    <w:rsid w:val="008E23C6"/>
    <w:rsid w:val="008E27AF"/>
    <w:rsid w:val="008E3290"/>
    <w:rsid w:val="008E3E9E"/>
    <w:rsid w:val="008E48BC"/>
    <w:rsid w:val="008E4C18"/>
    <w:rsid w:val="008E5803"/>
    <w:rsid w:val="008E590A"/>
    <w:rsid w:val="008E5D82"/>
    <w:rsid w:val="008E601B"/>
    <w:rsid w:val="008E61E4"/>
    <w:rsid w:val="008E6657"/>
    <w:rsid w:val="008E67E0"/>
    <w:rsid w:val="008E69C8"/>
    <w:rsid w:val="008E69D2"/>
    <w:rsid w:val="008E6AD0"/>
    <w:rsid w:val="008E72A3"/>
    <w:rsid w:val="008E73C5"/>
    <w:rsid w:val="008E76F1"/>
    <w:rsid w:val="008E7B2E"/>
    <w:rsid w:val="008F0644"/>
    <w:rsid w:val="008F0B67"/>
    <w:rsid w:val="008F0DE8"/>
    <w:rsid w:val="008F1A94"/>
    <w:rsid w:val="008F21AE"/>
    <w:rsid w:val="008F21B8"/>
    <w:rsid w:val="008F2334"/>
    <w:rsid w:val="008F2941"/>
    <w:rsid w:val="008F2AA5"/>
    <w:rsid w:val="008F32A7"/>
    <w:rsid w:val="008F35AE"/>
    <w:rsid w:val="008F36D4"/>
    <w:rsid w:val="008F3E06"/>
    <w:rsid w:val="008F3FFF"/>
    <w:rsid w:val="008F480F"/>
    <w:rsid w:val="008F4867"/>
    <w:rsid w:val="008F4B1B"/>
    <w:rsid w:val="008F521F"/>
    <w:rsid w:val="008F5D63"/>
    <w:rsid w:val="008F6424"/>
    <w:rsid w:val="008F6445"/>
    <w:rsid w:val="008F64DB"/>
    <w:rsid w:val="008F7BEB"/>
    <w:rsid w:val="0090012D"/>
    <w:rsid w:val="009012EF"/>
    <w:rsid w:val="009015C8"/>
    <w:rsid w:val="009028ED"/>
    <w:rsid w:val="00902A53"/>
    <w:rsid w:val="0090329F"/>
    <w:rsid w:val="0090373C"/>
    <w:rsid w:val="00903990"/>
    <w:rsid w:val="009040D0"/>
    <w:rsid w:val="00904634"/>
    <w:rsid w:val="00904CBD"/>
    <w:rsid w:val="00905928"/>
    <w:rsid w:val="0090601D"/>
    <w:rsid w:val="00906045"/>
    <w:rsid w:val="009065C0"/>
    <w:rsid w:val="009066D8"/>
    <w:rsid w:val="00907988"/>
    <w:rsid w:val="009103ED"/>
    <w:rsid w:val="009106B8"/>
    <w:rsid w:val="0091088B"/>
    <w:rsid w:val="0091114A"/>
    <w:rsid w:val="009116C9"/>
    <w:rsid w:val="00912343"/>
    <w:rsid w:val="00914174"/>
    <w:rsid w:val="009141EA"/>
    <w:rsid w:val="0091475F"/>
    <w:rsid w:val="00914E28"/>
    <w:rsid w:val="009159B9"/>
    <w:rsid w:val="00915CA1"/>
    <w:rsid w:val="009200AF"/>
    <w:rsid w:val="009209B2"/>
    <w:rsid w:val="00920A2B"/>
    <w:rsid w:val="00921240"/>
    <w:rsid w:val="00921786"/>
    <w:rsid w:val="0092227E"/>
    <w:rsid w:val="00922BC2"/>
    <w:rsid w:val="00922BF7"/>
    <w:rsid w:val="00922EE1"/>
    <w:rsid w:val="00923781"/>
    <w:rsid w:val="00923A1E"/>
    <w:rsid w:val="00923A9D"/>
    <w:rsid w:val="00924112"/>
    <w:rsid w:val="0092423E"/>
    <w:rsid w:val="00924609"/>
    <w:rsid w:val="0092485D"/>
    <w:rsid w:val="00924F4D"/>
    <w:rsid w:val="009253DB"/>
    <w:rsid w:val="00925476"/>
    <w:rsid w:val="009255AE"/>
    <w:rsid w:val="00925BB7"/>
    <w:rsid w:val="00925DB5"/>
    <w:rsid w:val="009261A0"/>
    <w:rsid w:val="009261B8"/>
    <w:rsid w:val="00926698"/>
    <w:rsid w:val="009266C3"/>
    <w:rsid w:val="009275AE"/>
    <w:rsid w:val="009276D7"/>
    <w:rsid w:val="00927DA4"/>
    <w:rsid w:val="00930A44"/>
    <w:rsid w:val="00931145"/>
    <w:rsid w:val="0093153C"/>
    <w:rsid w:val="009317DF"/>
    <w:rsid w:val="00931CB5"/>
    <w:rsid w:val="00931D30"/>
    <w:rsid w:val="00931F7F"/>
    <w:rsid w:val="009321C2"/>
    <w:rsid w:val="0093245C"/>
    <w:rsid w:val="009324CA"/>
    <w:rsid w:val="009332BD"/>
    <w:rsid w:val="00933769"/>
    <w:rsid w:val="00934FE2"/>
    <w:rsid w:val="009353B3"/>
    <w:rsid w:val="009354A0"/>
    <w:rsid w:val="009360B4"/>
    <w:rsid w:val="009365C1"/>
    <w:rsid w:val="00936C66"/>
    <w:rsid w:val="00937911"/>
    <w:rsid w:val="00937D61"/>
    <w:rsid w:val="00937EA9"/>
    <w:rsid w:val="00937FC3"/>
    <w:rsid w:val="00940416"/>
    <w:rsid w:val="00940F6B"/>
    <w:rsid w:val="00941322"/>
    <w:rsid w:val="00941AE8"/>
    <w:rsid w:val="00941D96"/>
    <w:rsid w:val="0094256B"/>
    <w:rsid w:val="00942952"/>
    <w:rsid w:val="00942B8E"/>
    <w:rsid w:val="00942F2D"/>
    <w:rsid w:val="009434C0"/>
    <w:rsid w:val="009437DF"/>
    <w:rsid w:val="00943A3E"/>
    <w:rsid w:val="009441F5"/>
    <w:rsid w:val="00944C78"/>
    <w:rsid w:val="0094530D"/>
    <w:rsid w:val="00946487"/>
    <w:rsid w:val="009467FF"/>
    <w:rsid w:val="009471E4"/>
    <w:rsid w:val="009500B9"/>
    <w:rsid w:val="00950137"/>
    <w:rsid w:val="00950163"/>
    <w:rsid w:val="009501EE"/>
    <w:rsid w:val="0095026A"/>
    <w:rsid w:val="00950B38"/>
    <w:rsid w:val="00951BD1"/>
    <w:rsid w:val="00951DCF"/>
    <w:rsid w:val="00951E68"/>
    <w:rsid w:val="00952B7A"/>
    <w:rsid w:val="00952C8C"/>
    <w:rsid w:val="00952DBB"/>
    <w:rsid w:val="00954535"/>
    <w:rsid w:val="0095454D"/>
    <w:rsid w:val="00954828"/>
    <w:rsid w:val="009549D2"/>
    <w:rsid w:val="00954BB1"/>
    <w:rsid w:val="00955271"/>
    <w:rsid w:val="00955AC4"/>
    <w:rsid w:val="00955D69"/>
    <w:rsid w:val="009564C7"/>
    <w:rsid w:val="00956601"/>
    <w:rsid w:val="00956B33"/>
    <w:rsid w:val="0096004E"/>
    <w:rsid w:val="00960232"/>
    <w:rsid w:val="00960320"/>
    <w:rsid w:val="00960B3A"/>
    <w:rsid w:val="0096116B"/>
    <w:rsid w:val="00962041"/>
    <w:rsid w:val="00963941"/>
    <w:rsid w:val="00963989"/>
    <w:rsid w:val="00963AA8"/>
    <w:rsid w:val="00964316"/>
    <w:rsid w:val="00964581"/>
    <w:rsid w:val="00964A0F"/>
    <w:rsid w:val="00964DF4"/>
    <w:rsid w:val="00965689"/>
    <w:rsid w:val="00965EB0"/>
    <w:rsid w:val="0096610E"/>
    <w:rsid w:val="009661CA"/>
    <w:rsid w:val="0096665C"/>
    <w:rsid w:val="00966846"/>
    <w:rsid w:val="00967F11"/>
    <w:rsid w:val="00967F18"/>
    <w:rsid w:val="00967FBB"/>
    <w:rsid w:val="00970C8E"/>
    <w:rsid w:val="00970D9A"/>
    <w:rsid w:val="009712E1"/>
    <w:rsid w:val="00971AAA"/>
    <w:rsid w:val="00973BF9"/>
    <w:rsid w:val="00973CE9"/>
    <w:rsid w:val="00974115"/>
    <w:rsid w:val="0097411B"/>
    <w:rsid w:val="00974160"/>
    <w:rsid w:val="00975866"/>
    <w:rsid w:val="009758DD"/>
    <w:rsid w:val="00975A44"/>
    <w:rsid w:val="00976AEC"/>
    <w:rsid w:val="00976C40"/>
    <w:rsid w:val="00976D6F"/>
    <w:rsid w:val="00976DE7"/>
    <w:rsid w:val="00976F93"/>
    <w:rsid w:val="00977355"/>
    <w:rsid w:val="00980369"/>
    <w:rsid w:val="009805B8"/>
    <w:rsid w:val="00980664"/>
    <w:rsid w:val="0098074F"/>
    <w:rsid w:val="00980C29"/>
    <w:rsid w:val="00980D75"/>
    <w:rsid w:val="00980E59"/>
    <w:rsid w:val="00981F27"/>
    <w:rsid w:val="009824F2"/>
    <w:rsid w:val="00982741"/>
    <w:rsid w:val="009830F2"/>
    <w:rsid w:val="009833D2"/>
    <w:rsid w:val="00983585"/>
    <w:rsid w:val="009844F2"/>
    <w:rsid w:val="00985829"/>
    <w:rsid w:val="009860A0"/>
    <w:rsid w:val="009872F6"/>
    <w:rsid w:val="00987C97"/>
    <w:rsid w:val="00987CE8"/>
    <w:rsid w:val="009901E2"/>
    <w:rsid w:val="0099093F"/>
    <w:rsid w:val="00990F27"/>
    <w:rsid w:val="009929A0"/>
    <w:rsid w:val="009929E8"/>
    <w:rsid w:val="0099345D"/>
    <w:rsid w:val="0099380E"/>
    <w:rsid w:val="00993845"/>
    <w:rsid w:val="00994107"/>
    <w:rsid w:val="00994690"/>
    <w:rsid w:val="00994ACE"/>
    <w:rsid w:val="009955BE"/>
    <w:rsid w:val="00995E37"/>
    <w:rsid w:val="00996241"/>
    <w:rsid w:val="0099674D"/>
    <w:rsid w:val="0099681B"/>
    <w:rsid w:val="00996CD7"/>
    <w:rsid w:val="00997112"/>
    <w:rsid w:val="00997B08"/>
    <w:rsid w:val="009A095B"/>
    <w:rsid w:val="009A18C9"/>
    <w:rsid w:val="009A1924"/>
    <w:rsid w:val="009A19B6"/>
    <w:rsid w:val="009A1C93"/>
    <w:rsid w:val="009A26E8"/>
    <w:rsid w:val="009A2A92"/>
    <w:rsid w:val="009A3034"/>
    <w:rsid w:val="009A3612"/>
    <w:rsid w:val="009A372D"/>
    <w:rsid w:val="009A39CF"/>
    <w:rsid w:val="009A4068"/>
    <w:rsid w:val="009A42BD"/>
    <w:rsid w:val="009A519A"/>
    <w:rsid w:val="009A54EA"/>
    <w:rsid w:val="009A5D59"/>
    <w:rsid w:val="009A5FD3"/>
    <w:rsid w:val="009A69BB"/>
    <w:rsid w:val="009A6DBF"/>
    <w:rsid w:val="009A7350"/>
    <w:rsid w:val="009A7704"/>
    <w:rsid w:val="009A7D0A"/>
    <w:rsid w:val="009A7F42"/>
    <w:rsid w:val="009B05C1"/>
    <w:rsid w:val="009B16A7"/>
    <w:rsid w:val="009B17CC"/>
    <w:rsid w:val="009B180C"/>
    <w:rsid w:val="009B21D5"/>
    <w:rsid w:val="009B245C"/>
    <w:rsid w:val="009B31FA"/>
    <w:rsid w:val="009B34DF"/>
    <w:rsid w:val="009B49D1"/>
    <w:rsid w:val="009B516D"/>
    <w:rsid w:val="009B5307"/>
    <w:rsid w:val="009B56D9"/>
    <w:rsid w:val="009B57B1"/>
    <w:rsid w:val="009B63B1"/>
    <w:rsid w:val="009B676C"/>
    <w:rsid w:val="009B7486"/>
    <w:rsid w:val="009C1BA2"/>
    <w:rsid w:val="009C22F9"/>
    <w:rsid w:val="009C2920"/>
    <w:rsid w:val="009C3071"/>
    <w:rsid w:val="009C3C80"/>
    <w:rsid w:val="009C3E04"/>
    <w:rsid w:val="009C3F32"/>
    <w:rsid w:val="009C4997"/>
    <w:rsid w:val="009C4CF6"/>
    <w:rsid w:val="009C4DDF"/>
    <w:rsid w:val="009C540F"/>
    <w:rsid w:val="009C59E1"/>
    <w:rsid w:val="009C5E63"/>
    <w:rsid w:val="009C656C"/>
    <w:rsid w:val="009C6A55"/>
    <w:rsid w:val="009C6A74"/>
    <w:rsid w:val="009C7209"/>
    <w:rsid w:val="009D09C8"/>
    <w:rsid w:val="009D0B16"/>
    <w:rsid w:val="009D1171"/>
    <w:rsid w:val="009D26E2"/>
    <w:rsid w:val="009D2B50"/>
    <w:rsid w:val="009D2CBD"/>
    <w:rsid w:val="009D3297"/>
    <w:rsid w:val="009D3B49"/>
    <w:rsid w:val="009D3B72"/>
    <w:rsid w:val="009D3BA3"/>
    <w:rsid w:val="009D3D0A"/>
    <w:rsid w:val="009D3F67"/>
    <w:rsid w:val="009D438C"/>
    <w:rsid w:val="009D49CE"/>
    <w:rsid w:val="009D4C0A"/>
    <w:rsid w:val="009D5585"/>
    <w:rsid w:val="009D5591"/>
    <w:rsid w:val="009D55D1"/>
    <w:rsid w:val="009D5998"/>
    <w:rsid w:val="009D65B8"/>
    <w:rsid w:val="009E0950"/>
    <w:rsid w:val="009E167F"/>
    <w:rsid w:val="009E39D6"/>
    <w:rsid w:val="009E3C24"/>
    <w:rsid w:val="009E40B7"/>
    <w:rsid w:val="009E4F45"/>
    <w:rsid w:val="009E6007"/>
    <w:rsid w:val="009E619E"/>
    <w:rsid w:val="009E69D0"/>
    <w:rsid w:val="009E7478"/>
    <w:rsid w:val="009E74BF"/>
    <w:rsid w:val="009E778A"/>
    <w:rsid w:val="009E77B9"/>
    <w:rsid w:val="009F087E"/>
    <w:rsid w:val="009F10CE"/>
    <w:rsid w:val="009F14A6"/>
    <w:rsid w:val="009F15D3"/>
    <w:rsid w:val="009F1A89"/>
    <w:rsid w:val="009F1B41"/>
    <w:rsid w:val="009F2AD3"/>
    <w:rsid w:val="009F2C20"/>
    <w:rsid w:val="009F330E"/>
    <w:rsid w:val="009F3A0F"/>
    <w:rsid w:val="009F40B9"/>
    <w:rsid w:val="009F42AE"/>
    <w:rsid w:val="009F44BF"/>
    <w:rsid w:val="009F474A"/>
    <w:rsid w:val="009F4CE8"/>
    <w:rsid w:val="009F4F3F"/>
    <w:rsid w:val="009F56C6"/>
    <w:rsid w:val="009F5764"/>
    <w:rsid w:val="009F5966"/>
    <w:rsid w:val="009F67EA"/>
    <w:rsid w:val="009F69AC"/>
    <w:rsid w:val="009F730A"/>
    <w:rsid w:val="009F7495"/>
    <w:rsid w:val="00A00067"/>
    <w:rsid w:val="00A0006C"/>
    <w:rsid w:val="00A0009C"/>
    <w:rsid w:val="00A001CB"/>
    <w:rsid w:val="00A005CB"/>
    <w:rsid w:val="00A00756"/>
    <w:rsid w:val="00A00BC5"/>
    <w:rsid w:val="00A010FB"/>
    <w:rsid w:val="00A0135C"/>
    <w:rsid w:val="00A01814"/>
    <w:rsid w:val="00A01983"/>
    <w:rsid w:val="00A01EAB"/>
    <w:rsid w:val="00A01EC8"/>
    <w:rsid w:val="00A020DA"/>
    <w:rsid w:val="00A0275E"/>
    <w:rsid w:val="00A02A29"/>
    <w:rsid w:val="00A0332E"/>
    <w:rsid w:val="00A04164"/>
    <w:rsid w:val="00A04422"/>
    <w:rsid w:val="00A0453A"/>
    <w:rsid w:val="00A049DE"/>
    <w:rsid w:val="00A04FD6"/>
    <w:rsid w:val="00A05655"/>
    <w:rsid w:val="00A06647"/>
    <w:rsid w:val="00A06713"/>
    <w:rsid w:val="00A0772C"/>
    <w:rsid w:val="00A079CF"/>
    <w:rsid w:val="00A10688"/>
    <w:rsid w:val="00A107A4"/>
    <w:rsid w:val="00A109D5"/>
    <w:rsid w:val="00A11CBC"/>
    <w:rsid w:val="00A129BF"/>
    <w:rsid w:val="00A12C5F"/>
    <w:rsid w:val="00A12DCC"/>
    <w:rsid w:val="00A13275"/>
    <w:rsid w:val="00A13724"/>
    <w:rsid w:val="00A14030"/>
    <w:rsid w:val="00A142B6"/>
    <w:rsid w:val="00A15DA1"/>
    <w:rsid w:val="00A15FFB"/>
    <w:rsid w:val="00A16F8B"/>
    <w:rsid w:val="00A17409"/>
    <w:rsid w:val="00A174D1"/>
    <w:rsid w:val="00A17A55"/>
    <w:rsid w:val="00A17CCB"/>
    <w:rsid w:val="00A204AC"/>
    <w:rsid w:val="00A20C8A"/>
    <w:rsid w:val="00A20D54"/>
    <w:rsid w:val="00A21AFA"/>
    <w:rsid w:val="00A22D6C"/>
    <w:rsid w:val="00A23994"/>
    <w:rsid w:val="00A23B26"/>
    <w:rsid w:val="00A242FA"/>
    <w:rsid w:val="00A249B0"/>
    <w:rsid w:val="00A2507E"/>
    <w:rsid w:val="00A25346"/>
    <w:rsid w:val="00A261F9"/>
    <w:rsid w:val="00A264D0"/>
    <w:rsid w:val="00A2738A"/>
    <w:rsid w:val="00A27C97"/>
    <w:rsid w:val="00A300CB"/>
    <w:rsid w:val="00A30E8C"/>
    <w:rsid w:val="00A315AC"/>
    <w:rsid w:val="00A3191D"/>
    <w:rsid w:val="00A31B7E"/>
    <w:rsid w:val="00A32671"/>
    <w:rsid w:val="00A32740"/>
    <w:rsid w:val="00A32EC3"/>
    <w:rsid w:val="00A33629"/>
    <w:rsid w:val="00A3399A"/>
    <w:rsid w:val="00A33AD2"/>
    <w:rsid w:val="00A35136"/>
    <w:rsid w:val="00A35C70"/>
    <w:rsid w:val="00A35D5F"/>
    <w:rsid w:val="00A35F9E"/>
    <w:rsid w:val="00A37726"/>
    <w:rsid w:val="00A37BF3"/>
    <w:rsid w:val="00A40B9B"/>
    <w:rsid w:val="00A410BF"/>
    <w:rsid w:val="00A4120C"/>
    <w:rsid w:val="00A4139A"/>
    <w:rsid w:val="00A42043"/>
    <w:rsid w:val="00A42A55"/>
    <w:rsid w:val="00A42C5B"/>
    <w:rsid w:val="00A42F2F"/>
    <w:rsid w:val="00A430EE"/>
    <w:rsid w:val="00A43294"/>
    <w:rsid w:val="00A43BAB"/>
    <w:rsid w:val="00A4524E"/>
    <w:rsid w:val="00A45CDE"/>
    <w:rsid w:val="00A45D75"/>
    <w:rsid w:val="00A4706B"/>
    <w:rsid w:val="00A4724F"/>
    <w:rsid w:val="00A4767C"/>
    <w:rsid w:val="00A47943"/>
    <w:rsid w:val="00A504B0"/>
    <w:rsid w:val="00A50BA0"/>
    <w:rsid w:val="00A50D5A"/>
    <w:rsid w:val="00A515BA"/>
    <w:rsid w:val="00A51EB9"/>
    <w:rsid w:val="00A5266F"/>
    <w:rsid w:val="00A52A24"/>
    <w:rsid w:val="00A52B6B"/>
    <w:rsid w:val="00A531FD"/>
    <w:rsid w:val="00A5331D"/>
    <w:rsid w:val="00A53357"/>
    <w:rsid w:val="00A54224"/>
    <w:rsid w:val="00A54D5F"/>
    <w:rsid w:val="00A55A3A"/>
    <w:rsid w:val="00A569D2"/>
    <w:rsid w:val="00A570AA"/>
    <w:rsid w:val="00A5781B"/>
    <w:rsid w:val="00A578C1"/>
    <w:rsid w:val="00A601F9"/>
    <w:rsid w:val="00A605F2"/>
    <w:rsid w:val="00A607CA"/>
    <w:rsid w:val="00A612F9"/>
    <w:rsid w:val="00A61CE9"/>
    <w:rsid w:val="00A61EEA"/>
    <w:rsid w:val="00A62917"/>
    <w:rsid w:val="00A62C34"/>
    <w:rsid w:val="00A6302C"/>
    <w:rsid w:val="00A63FDB"/>
    <w:rsid w:val="00A64762"/>
    <w:rsid w:val="00A65308"/>
    <w:rsid w:val="00A65844"/>
    <w:rsid w:val="00A661E9"/>
    <w:rsid w:val="00A66F77"/>
    <w:rsid w:val="00A671B0"/>
    <w:rsid w:val="00A70194"/>
    <w:rsid w:val="00A70999"/>
    <w:rsid w:val="00A711F2"/>
    <w:rsid w:val="00A715D4"/>
    <w:rsid w:val="00A71D03"/>
    <w:rsid w:val="00A71E5D"/>
    <w:rsid w:val="00A72DC4"/>
    <w:rsid w:val="00A73CC4"/>
    <w:rsid w:val="00A74C16"/>
    <w:rsid w:val="00A75192"/>
    <w:rsid w:val="00A75AE5"/>
    <w:rsid w:val="00A76223"/>
    <w:rsid w:val="00A776C4"/>
    <w:rsid w:val="00A77B3B"/>
    <w:rsid w:val="00A812ED"/>
    <w:rsid w:val="00A81742"/>
    <w:rsid w:val="00A831FA"/>
    <w:rsid w:val="00A83CF3"/>
    <w:rsid w:val="00A83F39"/>
    <w:rsid w:val="00A8413A"/>
    <w:rsid w:val="00A84271"/>
    <w:rsid w:val="00A84A6F"/>
    <w:rsid w:val="00A8508A"/>
    <w:rsid w:val="00A86768"/>
    <w:rsid w:val="00A87E01"/>
    <w:rsid w:val="00A90625"/>
    <w:rsid w:val="00A907BA"/>
    <w:rsid w:val="00A91848"/>
    <w:rsid w:val="00A91B8E"/>
    <w:rsid w:val="00A922D5"/>
    <w:rsid w:val="00A92740"/>
    <w:rsid w:val="00A92932"/>
    <w:rsid w:val="00A93816"/>
    <w:rsid w:val="00A93AF8"/>
    <w:rsid w:val="00A93D26"/>
    <w:rsid w:val="00A93FC3"/>
    <w:rsid w:val="00A94934"/>
    <w:rsid w:val="00A94B5A"/>
    <w:rsid w:val="00A950CF"/>
    <w:rsid w:val="00A95273"/>
    <w:rsid w:val="00A955BE"/>
    <w:rsid w:val="00A96608"/>
    <w:rsid w:val="00A9684A"/>
    <w:rsid w:val="00A96C7D"/>
    <w:rsid w:val="00A973FA"/>
    <w:rsid w:val="00A97EBE"/>
    <w:rsid w:val="00A97F68"/>
    <w:rsid w:val="00AA0616"/>
    <w:rsid w:val="00AA0997"/>
    <w:rsid w:val="00AA1678"/>
    <w:rsid w:val="00AA1A5F"/>
    <w:rsid w:val="00AA1FBE"/>
    <w:rsid w:val="00AA2932"/>
    <w:rsid w:val="00AA2E70"/>
    <w:rsid w:val="00AA32B2"/>
    <w:rsid w:val="00AA3AE1"/>
    <w:rsid w:val="00AA3B6F"/>
    <w:rsid w:val="00AA4C46"/>
    <w:rsid w:val="00AA4C55"/>
    <w:rsid w:val="00AA517C"/>
    <w:rsid w:val="00AA5F29"/>
    <w:rsid w:val="00AA6090"/>
    <w:rsid w:val="00AA6160"/>
    <w:rsid w:val="00AA6182"/>
    <w:rsid w:val="00AA6836"/>
    <w:rsid w:val="00AA6A02"/>
    <w:rsid w:val="00AA6A46"/>
    <w:rsid w:val="00AA6CC8"/>
    <w:rsid w:val="00AA7393"/>
    <w:rsid w:val="00AA7550"/>
    <w:rsid w:val="00AB0560"/>
    <w:rsid w:val="00AB0F77"/>
    <w:rsid w:val="00AB11F2"/>
    <w:rsid w:val="00AB1315"/>
    <w:rsid w:val="00AB1C9E"/>
    <w:rsid w:val="00AB1FD7"/>
    <w:rsid w:val="00AB2C68"/>
    <w:rsid w:val="00AB3024"/>
    <w:rsid w:val="00AB3DCE"/>
    <w:rsid w:val="00AB48EA"/>
    <w:rsid w:val="00AB4BEF"/>
    <w:rsid w:val="00AB512D"/>
    <w:rsid w:val="00AB51E2"/>
    <w:rsid w:val="00AB54F5"/>
    <w:rsid w:val="00AB56C7"/>
    <w:rsid w:val="00AB5E14"/>
    <w:rsid w:val="00AB653A"/>
    <w:rsid w:val="00AB77FD"/>
    <w:rsid w:val="00AC0418"/>
    <w:rsid w:val="00AC057C"/>
    <w:rsid w:val="00AC07CB"/>
    <w:rsid w:val="00AC09E8"/>
    <w:rsid w:val="00AC0C0A"/>
    <w:rsid w:val="00AC1271"/>
    <w:rsid w:val="00AC1375"/>
    <w:rsid w:val="00AC1E36"/>
    <w:rsid w:val="00AC2BA6"/>
    <w:rsid w:val="00AC325A"/>
    <w:rsid w:val="00AC4145"/>
    <w:rsid w:val="00AC4F4E"/>
    <w:rsid w:val="00AC4FC9"/>
    <w:rsid w:val="00AC5039"/>
    <w:rsid w:val="00AC5158"/>
    <w:rsid w:val="00AC53BD"/>
    <w:rsid w:val="00AC55E4"/>
    <w:rsid w:val="00AC586E"/>
    <w:rsid w:val="00AC5BC5"/>
    <w:rsid w:val="00AC5ED9"/>
    <w:rsid w:val="00AC645E"/>
    <w:rsid w:val="00AC76A5"/>
    <w:rsid w:val="00AC7831"/>
    <w:rsid w:val="00AC7875"/>
    <w:rsid w:val="00AD016A"/>
    <w:rsid w:val="00AD0FE2"/>
    <w:rsid w:val="00AD11F2"/>
    <w:rsid w:val="00AD1F77"/>
    <w:rsid w:val="00AD2162"/>
    <w:rsid w:val="00AD21CB"/>
    <w:rsid w:val="00AD22B2"/>
    <w:rsid w:val="00AD261D"/>
    <w:rsid w:val="00AD3875"/>
    <w:rsid w:val="00AD3D3E"/>
    <w:rsid w:val="00AD3D8F"/>
    <w:rsid w:val="00AD3FEC"/>
    <w:rsid w:val="00AD4236"/>
    <w:rsid w:val="00AD4377"/>
    <w:rsid w:val="00AD475C"/>
    <w:rsid w:val="00AD4CD5"/>
    <w:rsid w:val="00AD4DC9"/>
    <w:rsid w:val="00AD5221"/>
    <w:rsid w:val="00AD5442"/>
    <w:rsid w:val="00AD64C2"/>
    <w:rsid w:val="00AD6999"/>
    <w:rsid w:val="00AD7433"/>
    <w:rsid w:val="00AD750E"/>
    <w:rsid w:val="00AD7675"/>
    <w:rsid w:val="00AD78EE"/>
    <w:rsid w:val="00AE1434"/>
    <w:rsid w:val="00AE1D92"/>
    <w:rsid w:val="00AE200D"/>
    <w:rsid w:val="00AE2032"/>
    <w:rsid w:val="00AE2F33"/>
    <w:rsid w:val="00AE3674"/>
    <w:rsid w:val="00AE4918"/>
    <w:rsid w:val="00AE5B8A"/>
    <w:rsid w:val="00AE71F2"/>
    <w:rsid w:val="00AE7239"/>
    <w:rsid w:val="00AE7391"/>
    <w:rsid w:val="00AF007A"/>
    <w:rsid w:val="00AF1326"/>
    <w:rsid w:val="00AF19D1"/>
    <w:rsid w:val="00AF1FCC"/>
    <w:rsid w:val="00AF2F5F"/>
    <w:rsid w:val="00AF329C"/>
    <w:rsid w:val="00AF3756"/>
    <w:rsid w:val="00AF3782"/>
    <w:rsid w:val="00AF416E"/>
    <w:rsid w:val="00AF4279"/>
    <w:rsid w:val="00AF57D9"/>
    <w:rsid w:val="00AF689E"/>
    <w:rsid w:val="00AF6A97"/>
    <w:rsid w:val="00AF6B4F"/>
    <w:rsid w:val="00AF6BA8"/>
    <w:rsid w:val="00AF6C1E"/>
    <w:rsid w:val="00AF768A"/>
    <w:rsid w:val="00AF77FB"/>
    <w:rsid w:val="00B008FB"/>
    <w:rsid w:val="00B00959"/>
    <w:rsid w:val="00B00AF9"/>
    <w:rsid w:val="00B01098"/>
    <w:rsid w:val="00B019E6"/>
    <w:rsid w:val="00B03681"/>
    <w:rsid w:val="00B03B4F"/>
    <w:rsid w:val="00B03C4F"/>
    <w:rsid w:val="00B03CE8"/>
    <w:rsid w:val="00B04873"/>
    <w:rsid w:val="00B04AE3"/>
    <w:rsid w:val="00B04DCB"/>
    <w:rsid w:val="00B04F87"/>
    <w:rsid w:val="00B0558D"/>
    <w:rsid w:val="00B06EDE"/>
    <w:rsid w:val="00B07EB9"/>
    <w:rsid w:val="00B10113"/>
    <w:rsid w:val="00B1043C"/>
    <w:rsid w:val="00B10A42"/>
    <w:rsid w:val="00B11585"/>
    <w:rsid w:val="00B11740"/>
    <w:rsid w:val="00B118E7"/>
    <w:rsid w:val="00B11A16"/>
    <w:rsid w:val="00B12104"/>
    <w:rsid w:val="00B1287F"/>
    <w:rsid w:val="00B132AD"/>
    <w:rsid w:val="00B143F0"/>
    <w:rsid w:val="00B146DF"/>
    <w:rsid w:val="00B14F5B"/>
    <w:rsid w:val="00B15030"/>
    <w:rsid w:val="00B15E6F"/>
    <w:rsid w:val="00B160B6"/>
    <w:rsid w:val="00B165FD"/>
    <w:rsid w:val="00B1689A"/>
    <w:rsid w:val="00B16E42"/>
    <w:rsid w:val="00B1723A"/>
    <w:rsid w:val="00B172AF"/>
    <w:rsid w:val="00B20B3A"/>
    <w:rsid w:val="00B20E71"/>
    <w:rsid w:val="00B21AA3"/>
    <w:rsid w:val="00B21AAA"/>
    <w:rsid w:val="00B21C94"/>
    <w:rsid w:val="00B21E24"/>
    <w:rsid w:val="00B22573"/>
    <w:rsid w:val="00B22BC6"/>
    <w:rsid w:val="00B23057"/>
    <w:rsid w:val="00B2306C"/>
    <w:rsid w:val="00B2360C"/>
    <w:rsid w:val="00B23A1D"/>
    <w:rsid w:val="00B24228"/>
    <w:rsid w:val="00B24273"/>
    <w:rsid w:val="00B25A4B"/>
    <w:rsid w:val="00B25C20"/>
    <w:rsid w:val="00B25C30"/>
    <w:rsid w:val="00B25D6F"/>
    <w:rsid w:val="00B26F9B"/>
    <w:rsid w:val="00B3032C"/>
    <w:rsid w:val="00B304FE"/>
    <w:rsid w:val="00B30520"/>
    <w:rsid w:val="00B309F7"/>
    <w:rsid w:val="00B30C31"/>
    <w:rsid w:val="00B3194D"/>
    <w:rsid w:val="00B31CA9"/>
    <w:rsid w:val="00B3414B"/>
    <w:rsid w:val="00B343E7"/>
    <w:rsid w:val="00B34EFB"/>
    <w:rsid w:val="00B355ED"/>
    <w:rsid w:val="00B35A99"/>
    <w:rsid w:val="00B36644"/>
    <w:rsid w:val="00B3723E"/>
    <w:rsid w:val="00B372EC"/>
    <w:rsid w:val="00B377F8"/>
    <w:rsid w:val="00B40587"/>
    <w:rsid w:val="00B41587"/>
    <w:rsid w:val="00B41649"/>
    <w:rsid w:val="00B41E67"/>
    <w:rsid w:val="00B41FE9"/>
    <w:rsid w:val="00B4413E"/>
    <w:rsid w:val="00B445B9"/>
    <w:rsid w:val="00B4571E"/>
    <w:rsid w:val="00B45D89"/>
    <w:rsid w:val="00B465CF"/>
    <w:rsid w:val="00B46992"/>
    <w:rsid w:val="00B4730A"/>
    <w:rsid w:val="00B4759C"/>
    <w:rsid w:val="00B4767F"/>
    <w:rsid w:val="00B47BA5"/>
    <w:rsid w:val="00B47ECD"/>
    <w:rsid w:val="00B50224"/>
    <w:rsid w:val="00B5038E"/>
    <w:rsid w:val="00B5079F"/>
    <w:rsid w:val="00B5174B"/>
    <w:rsid w:val="00B51B84"/>
    <w:rsid w:val="00B52699"/>
    <w:rsid w:val="00B52E32"/>
    <w:rsid w:val="00B52E8A"/>
    <w:rsid w:val="00B5342B"/>
    <w:rsid w:val="00B538E0"/>
    <w:rsid w:val="00B54F1A"/>
    <w:rsid w:val="00B55AC6"/>
    <w:rsid w:val="00B55CFD"/>
    <w:rsid w:val="00B55EAB"/>
    <w:rsid w:val="00B566E8"/>
    <w:rsid w:val="00B56AAB"/>
    <w:rsid w:val="00B57007"/>
    <w:rsid w:val="00B57433"/>
    <w:rsid w:val="00B60BDF"/>
    <w:rsid w:val="00B610B8"/>
    <w:rsid w:val="00B61E74"/>
    <w:rsid w:val="00B62AAD"/>
    <w:rsid w:val="00B630BC"/>
    <w:rsid w:val="00B6368B"/>
    <w:rsid w:val="00B63817"/>
    <w:rsid w:val="00B63E46"/>
    <w:rsid w:val="00B64321"/>
    <w:rsid w:val="00B6436D"/>
    <w:rsid w:val="00B64513"/>
    <w:rsid w:val="00B65863"/>
    <w:rsid w:val="00B66322"/>
    <w:rsid w:val="00B667EC"/>
    <w:rsid w:val="00B66BB1"/>
    <w:rsid w:val="00B66EB6"/>
    <w:rsid w:val="00B670CC"/>
    <w:rsid w:val="00B6735C"/>
    <w:rsid w:val="00B6778C"/>
    <w:rsid w:val="00B67A4C"/>
    <w:rsid w:val="00B70A4F"/>
    <w:rsid w:val="00B71827"/>
    <w:rsid w:val="00B729D5"/>
    <w:rsid w:val="00B72E79"/>
    <w:rsid w:val="00B73AE4"/>
    <w:rsid w:val="00B73C6C"/>
    <w:rsid w:val="00B743B8"/>
    <w:rsid w:val="00B74589"/>
    <w:rsid w:val="00B74961"/>
    <w:rsid w:val="00B75270"/>
    <w:rsid w:val="00B752BC"/>
    <w:rsid w:val="00B75721"/>
    <w:rsid w:val="00B75FD3"/>
    <w:rsid w:val="00B765A2"/>
    <w:rsid w:val="00B76A38"/>
    <w:rsid w:val="00B77095"/>
    <w:rsid w:val="00B77865"/>
    <w:rsid w:val="00B80C7C"/>
    <w:rsid w:val="00B816D4"/>
    <w:rsid w:val="00B8238B"/>
    <w:rsid w:val="00B8249C"/>
    <w:rsid w:val="00B83E21"/>
    <w:rsid w:val="00B84387"/>
    <w:rsid w:val="00B84889"/>
    <w:rsid w:val="00B849CF"/>
    <w:rsid w:val="00B85000"/>
    <w:rsid w:val="00B85B2D"/>
    <w:rsid w:val="00B864B7"/>
    <w:rsid w:val="00B864C2"/>
    <w:rsid w:val="00B86A44"/>
    <w:rsid w:val="00B87D90"/>
    <w:rsid w:val="00B9063B"/>
    <w:rsid w:val="00B90CB9"/>
    <w:rsid w:val="00B92C35"/>
    <w:rsid w:val="00B931FA"/>
    <w:rsid w:val="00B93D9D"/>
    <w:rsid w:val="00B948A5"/>
    <w:rsid w:val="00B94CA9"/>
    <w:rsid w:val="00B9514F"/>
    <w:rsid w:val="00B9575C"/>
    <w:rsid w:val="00B96262"/>
    <w:rsid w:val="00B96A4B"/>
    <w:rsid w:val="00B96FB0"/>
    <w:rsid w:val="00B97C64"/>
    <w:rsid w:val="00B97F48"/>
    <w:rsid w:val="00BA01FC"/>
    <w:rsid w:val="00BA04BA"/>
    <w:rsid w:val="00BA0FCE"/>
    <w:rsid w:val="00BA1426"/>
    <w:rsid w:val="00BA1F83"/>
    <w:rsid w:val="00BA20CE"/>
    <w:rsid w:val="00BA2A00"/>
    <w:rsid w:val="00BA2DE3"/>
    <w:rsid w:val="00BA3794"/>
    <w:rsid w:val="00BA3D32"/>
    <w:rsid w:val="00BA3E18"/>
    <w:rsid w:val="00BA3F01"/>
    <w:rsid w:val="00BA4804"/>
    <w:rsid w:val="00BA6536"/>
    <w:rsid w:val="00BA68A7"/>
    <w:rsid w:val="00BA7F44"/>
    <w:rsid w:val="00BA7F48"/>
    <w:rsid w:val="00BB0074"/>
    <w:rsid w:val="00BB00ED"/>
    <w:rsid w:val="00BB076F"/>
    <w:rsid w:val="00BB1082"/>
    <w:rsid w:val="00BB1616"/>
    <w:rsid w:val="00BB181A"/>
    <w:rsid w:val="00BB18DD"/>
    <w:rsid w:val="00BB21BF"/>
    <w:rsid w:val="00BB441A"/>
    <w:rsid w:val="00BB4A96"/>
    <w:rsid w:val="00BB4B17"/>
    <w:rsid w:val="00BB5316"/>
    <w:rsid w:val="00BB6A62"/>
    <w:rsid w:val="00BB6AB3"/>
    <w:rsid w:val="00BB6C37"/>
    <w:rsid w:val="00BB6F23"/>
    <w:rsid w:val="00BB7657"/>
    <w:rsid w:val="00BC074E"/>
    <w:rsid w:val="00BC0BC3"/>
    <w:rsid w:val="00BC0D8E"/>
    <w:rsid w:val="00BC1045"/>
    <w:rsid w:val="00BC1916"/>
    <w:rsid w:val="00BC2F01"/>
    <w:rsid w:val="00BC3BE4"/>
    <w:rsid w:val="00BC52C5"/>
    <w:rsid w:val="00BC54DE"/>
    <w:rsid w:val="00BC5987"/>
    <w:rsid w:val="00BC5EAF"/>
    <w:rsid w:val="00BC6A72"/>
    <w:rsid w:val="00BC6AC5"/>
    <w:rsid w:val="00BC6E70"/>
    <w:rsid w:val="00BC70A1"/>
    <w:rsid w:val="00BD01DA"/>
    <w:rsid w:val="00BD02EA"/>
    <w:rsid w:val="00BD0AAB"/>
    <w:rsid w:val="00BD0C56"/>
    <w:rsid w:val="00BD1738"/>
    <w:rsid w:val="00BD19D6"/>
    <w:rsid w:val="00BD1D97"/>
    <w:rsid w:val="00BD298E"/>
    <w:rsid w:val="00BD2A4D"/>
    <w:rsid w:val="00BD317C"/>
    <w:rsid w:val="00BD37F1"/>
    <w:rsid w:val="00BD3987"/>
    <w:rsid w:val="00BD3A2E"/>
    <w:rsid w:val="00BD3F80"/>
    <w:rsid w:val="00BD3FDB"/>
    <w:rsid w:val="00BD4FD0"/>
    <w:rsid w:val="00BD5072"/>
    <w:rsid w:val="00BD56E0"/>
    <w:rsid w:val="00BD56EC"/>
    <w:rsid w:val="00BD5E3F"/>
    <w:rsid w:val="00BD604F"/>
    <w:rsid w:val="00BD6C01"/>
    <w:rsid w:val="00BD7260"/>
    <w:rsid w:val="00BE001C"/>
    <w:rsid w:val="00BE027D"/>
    <w:rsid w:val="00BE05F3"/>
    <w:rsid w:val="00BE0DF2"/>
    <w:rsid w:val="00BE10D7"/>
    <w:rsid w:val="00BE1479"/>
    <w:rsid w:val="00BE1865"/>
    <w:rsid w:val="00BE1A11"/>
    <w:rsid w:val="00BE220F"/>
    <w:rsid w:val="00BE2366"/>
    <w:rsid w:val="00BE273D"/>
    <w:rsid w:val="00BE2B1F"/>
    <w:rsid w:val="00BE33B0"/>
    <w:rsid w:val="00BE3410"/>
    <w:rsid w:val="00BE3FBC"/>
    <w:rsid w:val="00BE484F"/>
    <w:rsid w:val="00BE4F20"/>
    <w:rsid w:val="00BE5414"/>
    <w:rsid w:val="00BE6C83"/>
    <w:rsid w:val="00BE6FF0"/>
    <w:rsid w:val="00BE7EF1"/>
    <w:rsid w:val="00BF0E9E"/>
    <w:rsid w:val="00BF1004"/>
    <w:rsid w:val="00BF103B"/>
    <w:rsid w:val="00BF1367"/>
    <w:rsid w:val="00BF1CB3"/>
    <w:rsid w:val="00BF2680"/>
    <w:rsid w:val="00BF2FDD"/>
    <w:rsid w:val="00BF3172"/>
    <w:rsid w:val="00BF3C39"/>
    <w:rsid w:val="00BF3E81"/>
    <w:rsid w:val="00BF3F00"/>
    <w:rsid w:val="00BF6354"/>
    <w:rsid w:val="00BF73E2"/>
    <w:rsid w:val="00C00009"/>
    <w:rsid w:val="00C002E2"/>
    <w:rsid w:val="00C00835"/>
    <w:rsid w:val="00C00CB7"/>
    <w:rsid w:val="00C01219"/>
    <w:rsid w:val="00C015AD"/>
    <w:rsid w:val="00C015F9"/>
    <w:rsid w:val="00C02373"/>
    <w:rsid w:val="00C027BB"/>
    <w:rsid w:val="00C02C67"/>
    <w:rsid w:val="00C02DF7"/>
    <w:rsid w:val="00C035BF"/>
    <w:rsid w:val="00C040FB"/>
    <w:rsid w:val="00C0426A"/>
    <w:rsid w:val="00C04F95"/>
    <w:rsid w:val="00C05ECC"/>
    <w:rsid w:val="00C06B9A"/>
    <w:rsid w:val="00C07C95"/>
    <w:rsid w:val="00C07D84"/>
    <w:rsid w:val="00C1007D"/>
    <w:rsid w:val="00C105B1"/>
    <w:rsid w:val="00C11923"/>
    <w:rsid w:val="00C11A9F"/>
    <w:rsid w:val="00C12076"/>
    <w:rsid w:val="00C12DBD"/>
    <w:rsid w:val="00C12EDE"/>
    <w:rsid w:val="00C13094"/>
    <w:rsid w:val="00C13537"/>
    <w:rsid w:val="00C1413B"/>
    <w:rsid w:val="00C14167"/>
    <w:rsid w:val="00C15327"/>
    <w:rsid w:val="00C165E3"/>
    <w:rsid w:val="00C16968"/>
    <w:rsid w:val="00C16B6F"/>
    <w:rsid w:val="00C222F7"/>
    <w:rsid w:val="00C224BA"/>
    <w:rsid w:val="00C22541"/>
    <w:rsid w:val="00C22FA3"/>
    <w:rsid w:val="00C23D09"/>
    <w:rsid w:val="00C24C46"/>
    <w:rsid w:val="00C251F4"/>
    <w:rsid w:val="00C2670F"/>
    <w:rsid w:val="00C268E5"/>
    <w:rsid w:val="00C26F3B"/>
    <w:rsid w:val="00C27750"/>
    <w:rsid w:val="00C278C7"/>
    <w:rsid w:val="00C27D35"/>
    <w:rsid w:val="00C27D7E"/>
    <w:rsid w:val="00C30F25"/>
    <w:rsid w:val="00C319C6"/>
    <w:rsid w:val="00C31B6E"/>
    <w:rsid w:val="00C31EB1"/>
    <w:rsid w:val="00C31FCE"/>
    <w:rsid w:val="00C3289D"/>
    <w:rsid w:val="00C32AB2"/>
    <w:rsid w:val="00C33729"/>
    <w:rsid w:val="00C337E8"/>
    <w:rsid w:val="00C338BD"/>
    <w:rsid w:val="00C33B89"/>
    <w:rsid w:val="00C33D80"/>
    <w:rsid w:val="00C34582"/>
    <w:rsid w:val="00C34646"/>
    <w:rsid w:val="00C348FD"/>
    <w:rsid w:val="00C34C6D"/>
    <w:rsid w:val="00C34DFA"/>
    <w:rsid w:val="00C34EB2"/>
    <w:rsid w:val="00C35E14"/>
    <w:rsid w:val="00C35F77"/>
    <w:rsid w:val="00C3614D"/>
    <w:rsid w:val="00C36880"/>
    <w:rsid w:val="00C37153"/>
    <w:rsid w:val="00C371CE"/>
    <w:rsid w:val="00C37281"/>
    <w:rsid w:val="00C3792D"/>
    <w:rsid w:val="00C379FC"/>
    <w:rsid w:val="00C37EDE"/>
    <w:rsid w:val="00C412B0"/>
    <w:rsid w:val="00C41425"/>
    <w:rsid w:val="00C41E17"/>
    <w:rsid w:val="00C424D9"/>
    <w:rsid w:val="00C425E1"/>
    <w:rsid w:val="00C4286B"/>
    <w:rsid w:val="00C42A48"/>
    <w:rsid w:val="00C43033"/>
    <w:rsid w:val="00C43E54"/>
    <w:rsid w:val="00C44A7A"/>
    <w:rsid w:val="00C45EF7"/>
    <w:rsid w:val="00C4635D"/>
    <w:rsid w:val="00C46693"/>
    <w:rsid w:val="00C46EA5"/>
    <w:rsid w:val="00C47288"/>
    <w:rsid w:val="00C4752A"/>
    <w:rsid w:val="00C47A73"/>
    <w:rsid w:val="00C50326"/>
    <w:rsid w:val="00C5072D"/>
    <w:rsid w:val="00C517A2"/>
    <w:rsid w:val="00C51CB1"/>
    <w:rsid w:val="00C525C0"/>
    <w:rsid w:val="00C52B22"/>
    <w:rsid w:val="00C53739"/>
    <w:rsid w:val="00C53828"/>
    <w:rsid w:val="00C546CB"/>
    <w:rsid w:val="00C54A0C"/>
    <w:rsid w:val="00C54E07"/>
    <w:rsid w:val="00C54E9F"/>
    <w:rsid w:val="00C55C0B"/>
    <w:rsid w:val="00C56F9B"/>
    <w:rsid w:val="00C570F7"/>
    <w:rsid w:val="00C57437"/>
    <w:rsid w:val="00C6040C"/>
    <w:rsid w:val="00C60C5B"/>
    <w:rsid w:val="00C60F49"/>
    <w:rsid w:val="00C61AA8"/>
    <w:rsid w:val="00C62708"/>
    <w:rsid w:val="00C62C72"/>
    <w:rsid w:val="00C62CDB"/>
    <w:rsid w:val="00C63100"/>
    <w:rsid w:val="00C633BD"/>
    <w:rsid w:val="00C63A76"/>
    <w:rsid w:val="00C6461D"/>
    <w:rsid w:val="00C651DD"/>
    <w:rsid w:val="00C6561D"/>
    <w:rsid w:val="00C66174"/>
    <w:rsid w:val="00C701D1"/>
    <w:rsid w:val="00C70724"/>
    <w:rsid w:val="00C70FE7"/>
    <w:rsid w:val="00C710AC"/>
    <w:rsid w:val="00C71431"/>
    <w:rsid w:val="00C718F7"/>
    <w:rsid w:val="00C71A80"/>
    <w:rsid w:val="00C71B75"/>
    <w:rsid w:val="00C72779"/>
    <w:rsid w:val="00C729EA"/>
    <w:rsid w:val="00C732A5"/>
    <w:rsid w:val="00C73F3F"/>
    <w:rsid w:val="00C7453C"/>
    <w:rsid w:val="00C756F7"/>
    <w:rsid w:val="00C75E48"/>
    <w:rsid w:val="00C761AB"/>
    <w:rsid w:val="00C76813"/>
    <w:rsid w:val="00C80086"/>
    <w:rsid w:val="00C80748"/>
    <w:rsid w:val="00C80CEC"/>
    <w:rsid w:val="00C81631"/>
    <w:rsid w:val="00C8182C"/>
    <w:rsid w:val="00C82AF2"/>
    <w:rsid w:val="00C82CA6"/>
    <w:rsid w:val="00C839B0"/>
    <w:rsid w:val="00C84319"/>
    <w:rsid w:val="00C84401"/>
    <w:rsid w:val="00C856FA"/>
    <w:rsid w:val="00C8678C"/>
    <w:rsid w:val="00C87F03"/>
    <w:rsid w:val="00C909C1"/>
    <w:rsid w:val="00C91370"/>
    <w:rsid w:val="00C91899"/>
    <w:rsid w:val="00C91A49"/>
    <w:rsid w:val="00C9230A"/>
    <w:rsid w:val="00C92E29"/>
    <w:rsid w:val="00C93074"/>
    <w:rsid w:val="00C9362E"/>
    <w:rsid w:val="00C948D0"/>
    <w:rsid w:val="00C9668F"/>
    <w:rsid w:val="00C969C6"/>
    <w:rsid w:val="00C96DF6"/>
    <w:rsid w:val="00C97876"/>
    <w:rsid w:val="00C97EE8"/>
    <w:rsid w:val="00C97F61"/>
    <w:rsid w:val="00CA083B"/>
    <w:rsid w:val="00CA0CA1"/>
    <w:rsid w:val="00CA1004"/>
    <w:rsid w:val="00CA10E9"/>
    <w:rsid w:val="00CA1161"/>
    <w:rsid w:val="00CA1163"/>
    <w:rsid w:val="00CA11E8"/>
    <w:rsid w:val="00CA2021"/>
    <w:rsid w:val="00CA2296"/>
    <w:rsid w:val="00CA2A63"/>
    <w:rsid w:val="00CA366A"/>
    <w:rsid w:val="00CA36F5"/>
    <w:rsid w:val="00CA3920"/>
    <w:rsid w:val="00CA3E9F"/>
    <w:rsid w:val="00CA4063"/>
    <w:rsid w:val="00CA46BB"/>
    <w:rsid w:val="00CA485B"/>
    <w:rsid w:val="00CA48B3"/>
    <w:rsid w:val="00CA6125"/>
    <w:rsid w:val="00CA6E2A"/>
    <w:rsid w:val="00CA70CD"/>
    <w:rsid w:val="00CA7685"/>
    <w:rsid w:val="00CA7B70"/>
    <w:rsid w:val="00CB00B1"/>
    <w:rsid w:val="00CB0439"/>
    <w:rsid w:val="00CB04E8"/>
    <w:rsid w:val="00CB08F3"/>
    <w:rsid w:val="00CB0D2E"/>
    <w:rsid w:val="00CB121A"/>
    <w:rsid w:val="00CB183A"/>
    <w:rsid w:val="00CB1853"/>
    <w:rsid w:val="00CB1DBE"/>
    <w:rsid w:val="00CB287F"/>
    <w:rsid w:val="00CB2D4E"/>
    <w:rsid w:val="00CB397F"/>
    <w:rsid w:val="00CB3D7A"/>
    <w:rsid w:val="00CB3F22"/>
    <w:rsid w:val="00CB478D"/>
    <w:rsid w:val="00CB4CC2"/>
    <w:rsid w:val="00CB53C0"/>
    <w:rsid w:val="00CB53E6"/>
    <w:rsid w:val="00CB56B2"/>
    <w:rsid w:val="00CB5B00"/>
    <w:rsid w:val="00CB5FFF"/>
    <w:rsid w:val="00CB637D"/>
    <w:rsid w:val="00CB7717"/>
    <w:rsid w:val="00CB7F67"/>
    <w:rsid w:val="00CC0B28"/>
    <w:rsid w:val="00CC243B"/>
    <w:rsid w:val="00CC2853"/>
    <w:rsid w:val="00CC2CBD"/>
    <w:rsid w:val="00CC2F34"/>
    <w:rsid w:val="00CC40DA"/>
    <w:rsid w:val="00CC44A7"/>
    <w:rsid w:val="00CC4A7A"/>
    <w:rsid w:val="00CC4B88"/>
    <w:rsid w:val="00CC68B1"/>
    <w:rsid w:val="00CC6FB2"/>
    <w:rsid w:val="00CC6FF5"/>
    <w:rsid w:val="00CC70BA"/>
    <w:rsid w:val="00CD029D"/>
    <w:rsid w:val="00CD0C0C"/>
    <w:rsid w:val="00CD1FB0"/>
    <w:rsid w:val="00CD21FE"/>
    <w:rsid w:val="00CD220D"/>
    <w:rsid w:val="00CD2627"/>
    <w:rsid w:val="00CD27D8"/>
    <w:rsid w:val="00CD28C8"/>
    <w:rsid w:val="00CD2B7D"/>
    <w:rsid w:val="00CD472E"/>
    <w:rsid w:val="00CD4E75"/>
    <w:rsid w:val="00CD5C72"/>
    <w:rsid w:val="00CD5DEA"/>
    <w:rsid w:val="00CD6274"/>
    <w:rsid w:val="00CD6BEE"/>
    <w:rsid w:val="00CD6C4B"/>
    <w:rsid w:val="00CD749B"/>
    <w:rsid w:val="00CE02C7"/>
    <w:rsid w:val="00CE0455"/>
    <w:rsid w:val="00CE0614"/>
    <w:rsid w:val="00CE137D"/>
    <w:rsid w:val="00CE1FF0"/>
    <w:rsid w:val="00CE2736"/>
    <w:rsid w:val="00CE2D8E"/>
    <w:rsid w:val="00CE360A"/>
    <w:rsid w:val="00CE39C6"/>
    <w:rsid w:val="00CE3C06"/>
    <w:rsid w:val="00CE426A"/>
    <w:rsid w:val="00CE4743"/>
    <w:rsid w:val="00CE5298"/>
    <w:rsid w:val="00CE52E8"/>
    <w:rsid w:val="00CE538C"/>
    <w:rsid w:val="00CE6C09"/>
    <w:rsid w:val="00CF066E"/>
    <w:rsid w:val="00CF07CD"/>
    <w:rsid w:val="00CF0B41"/>
    <w:rsid w:val="00CF1269"/>
    <w:rsid w:val="00CF1343"/>
    <w:rsid w:val="00CF1544"/>
    <w:rsid w:val="00CF15C5"/>
    <w:rsid w:val="00CF1907"/>
    <w:rsid w:val="00CF221C"/>
    <w:rsid w:val="00CF2ACC"/>
    <w:rsid w:val="00CF3201"/>
    <w:rsid w:val="00CF3531"/>
    <w:rsid w:val="00CF473D"/>
    <w:rsid w:val="00CF47EC"/>
    <w:rsid w:val="00CF48F5"/>
    <w:rsid w:val="00CF4982"/>
    <w:rsid w:val="00CF50CE"/>
    <w:rsid w:val="00CF520D"/>
    <w:rsid w:val="00CF5884"/>
    <w:rsid w:val="00CF5C9B"/>
    <w:rsid w:val="00CF6605"/>
    <w:rsid w:val="00CF66C2"/>
    <w:rsid w:val="00CF6982"/>
    <w:rsid w:val="00CF72CC"/>
    <w:rsid w:val="00CF7E1E"/>
    <w:rsid w:val="00D00082"/>
    <w:rsid w:val="00D0080F"/>
    <w:rsid w:val="00D00CEE"/>
    <w:rsid w:val="00D01C68"/>
    <w:rsid w:val="00D02250"/>
    <w:rsid w:val="00D02C9B"/>
    <w:rsid w:val="00D03B19"/>
    <w:rsid w:val="00D04391"/>
    <w:rsid w:val="00D0447F"/>
    <w:rsid w:val="00D051A4"/>
    <w:rsid w:val="00D05652"/>
    <w:rsid w:val="00D05D74"/>
    <w:rsid w:val="00D05F3F"/>
    <w:rsid w:val="00D05FB3"/>
    <w:rsid w:val="00D060A2"/>
    <w:rsid w:val="00D06233"/>
    <w:rsid w:val="00D067CC"/>
    <w:rsid w:val="00D0735D"/>
    <w:rsid w:val="00D101D0"/>
    <w:rsid w:val="00D1048F"/>
    <w:rsid w:val="00D11302"/>
    <w:rsid w:val="00D11855"/>
    <w:rsid w:val="00D119BE"/>
    <w:rsid w:val="00D12217"/>
    <w:rsid w:val="00D12D5F"/>
    <w:rsid w:val="00D136CE"/>
    <w:rsid w:val="00D13F4E"/>
    <w:rsid w:val="00D13F65"/>
    <w:rsid w:val="00D145C9"/>
    <w:rsid w:val="00D15527"/>
    <w:rsid w:val="00D16D73"/>
    <w:rsid w:val="00D171B9"/>
    <w:rsid w:val="00D1763C"/>
    <w:rsid w:val="00D17ABE"/>
    <w:rsid w:val="00D20259"/>
    <w:rsid w:val="00D20482"/>
    <w:rsid w:val="00D20EB4"/>
    <w:rsid w:val="00D20EFD"/>
    <w:rsid w:val="00D21050"/>
    <w:rsid w:val="00D21561"/>
    <w:rsid w:val="00D21B4A"/>
    <w:rsid w:val="00D21F58"/>
    <w:rsid w:val="00D21FC9"/>
    <w:rsid w:val="00D22342"/>
    <w:rsid w:val="00D22AEA"/>
    <w:rsid w:val="00D22F63"/>
    <w:rsid w:val="00D22FC8"/>
    <w:rsid w:val="00D235CF"/>
    <w:rsid w:val="00D240A2"/>
    <w:rsid w:val="00D25572"/>
    <w:rsid w:val="00D26225"/>
    <w:rsid w:val="00D2767F"/>
    <w:rsid w:val="00D27852"/>
    <w:rsid w:val="00D27ED4"/>
    <w:rsid w:val="00D27F40"/>
    <w:rsid w:val="00D30865"/>
    <w:rsid w:val="00D31A61"/>
    <w:rsid w:val="00D31CD7"/>
    <w:rsid w:val="00D322D2"/>
    <w:rsid w:val="00D32703"/>
    <w:rsid w:val="00D32750"/>
    <w:rsid w:val="00D32D0E"/>
    <w:rsid w:val="00D3424F"/>
    <w:rsid w:val="00D344C8"/>
    <w:rsid w:val="00D34CAC"/>
    <w:rsid w:val="00D353E8"/>
    <w:rsid w:val="00D3692F"/>
    <w:rsid w:val="00D36D13"/>
    <w:rsid w:val="00D37989"/>
    <w:rsid w:val="00D37FC4"/>
    <w:rsid w:val="00D4036D"/>
    <w:rsid w:val="00D40AE1"/>
    <w:rsid w:val="00D41F47"/>
    <w:rsid w:val="00D429E6"/>
    <w:rsid w:val="00D433C4"/>
    <w:rsid w:val="00D435C6"/>
    <w:rsid w:val="00D43887"/>
    <w:rsid w:val="00D43B38"/>
    <w:rsid w:val="00D44619"/>
    <w:rsid w:val="00D44D1C"/>
    <w:rsid w:val="00D4528A"/>
    <w:rsid w:val="00D457B3"/>
    <w:rsid w:val="00D4596E"/>
    <w:rsid w:val="00D4668E"/>
    <w:rsid w:val="00D46F22"/>
    <w:rsid w:val="00D4714B"/>
    <w:rsid w:val="00D47E71"/>
    <w:rsid w:val="00D51119"/>
    <w:rsid w:val="00D5151A"/>
    <w:rsid w:val="00D51688"/>
    <w:rsid w:val="00D51892"/>
    <w:rsid w:val="00D51C00"/>
    <w:rsid w:val="00D51E2C"/>
    <w:rsid w:val="00D52C0C"/>
    <w:rsid w:val="00D5345F"/>
    <w:rsid w:val="00D53528"/>
    <w:rsid w:val="00D545E9"/>
    <w:rsid w:val="00D54965"/>
    <w:rsid w:val="00D54B8D"/>
    <w:rsid w:val="00D54D1E"/>
    <w:rsid w:val="00D55361"/>
    <w:rsid w:val="00D55B91"/>
    <w:rsid w:val="00D5605A"/>
    <w:rsid w:val="00D5637C"/>
    <w:rsid w:val="00D56B48"/>
    <w:rsid w:val="00D56CBE"/>
    <w:rsid w:val="00D56E2A"/>
    <w:rsid w:val="00D5715D"/>
    <w:rsid w:val="00D6061F"/>
    <w:rsid w:val="00D61662"/>
    <w:rsid w:val="00D618EA"/>
    <w:rsid w:val="00D62239"/>
    <w:rsid w:val="00D62313"/>
    <w:rsid w:val="00D625BE"/>
    <w:rsid w:val="00D64071"/>
    <w:rsid w:val="00D6509F"/>
    <w:rsid w:val="00D65270"/>
    <w:rsid w:val="00D65D0D"/>
    <w:rsid w:val="00D661DB"/>
    <w:rsid w:val="00D6650B"/>
    <w:rsid w:val="00D665BF"/>
    <w:rsid w:val="00D66AFF"/>
    <w:rsid w:val="00D67CEF"/>
    <w:rsid w:val="00D67F50"/>
    <w:rsid w:val="00D71266"/>
    <w:rsid w:val="00D72C18"/>
    <w:rsid w:val="00D72F81"/>
    <w:rsid w:val="00D72FCA"/>
    <w:rsid w:val="00D73007"/>
    <w:rsid w:val="00D73828"/>
    <w:rsid w:val="00D740CF"/>
    <w:rsid w:val="00D741A2"/>
    <w:rsid w:val="00D741A6"/>
    <w:rsid w:val="00D742DC"/>
    <w:rsid w:val="00D75600"/>
    <w:rsid w:val="00D75A0C"/>
    <w:rsid w:val="00D75CF9"/>
    <w:rsid w:val="00D7661A"/>
    <w:rsid w:val="00D770B0"/>
    <w:rsid w:val="00D77A69"/>
    <w:rsid w:val="00D80535"/>
    <w:rsid w:val="00D80B40"/>
    <w:rsid w:val="00D80B73"/>
    <w:rsid w:val="00D80D63"/>
    <w:rsid w:val="00D80F76"/>
    <w:rsid w:val="00D81BC2"/>
    <w:rsid w:val="00D821E1"/>
    <w:rsid w:val="00D8302D"/>
    <w:rsid w:val="00D8380E"/>
    <w:rsid w:val="00D83BC1"/>
    <w:rsid w:val="00D84342"/>
    <w:rsid w:val="00D844D6"/>
    <w:rsid w:val="00D846FC"/>
    <w:rsid w:val="00D85059"/>
    <w:rsid w:val="00D85265"/>
    <w:rsid w:val="00D85314"/>
    <w:rsid w:val="00D853C6"/>
    <w:rsid w:val="00D85DB8"/>
    <w:rsid w:val="00D85E03"/>
    <w:rsid w:val="00D860E8"/>
    <w:rsid w:val="00D863EF"/>
    <w:rsid w:val="00D870CA"/>
    <w:rsid w:val="00D87356"/>
    <w:rsid w:val="00D9026F"/>
    <w:rsid w:val="00D90F09"/>
    <w:rsid w:val="00D914DC"/>
    <w:rsid w:val="00D919DC"/>
    <w:rsid w:val="00D92663"/>
    <w:rsid w:val="00D92C27"/>
    <w:rsid w:val="00D92C57"/>
    <w:rsid w:val="00D92D7F"/>
    <w:rsid w:val="00D92E2B"/>
    <w:rsid w:val="00D92EED"/>
    <w:rsid w:val="00D92FBF"/>
    <w:rsid w:val="00D9384F"/>
    <w:rsid w:val="00D94327"/>
    <w:rsid w:val="00D94562"/>
    <w:rsid w:val="00D947B6"/>
    <w:rsid w:val="00D95F0D"/>
    <w:rsid w:val="00D95FF2"/>
    <w:rsid w:val="00D97014"/>
    <w:rsid w:val="00D9777F"/>
    <w:rsid w:val="00D97EA5"/>
    <w:rsid w:val="00DA049D"/>
    <w:rsid w:val="00DA0FE0"/>
    <w:rsid w:val="00DA2172"/>
    <w:rsid w:val="00DA217B"/>
    <w:rsid w:val="00DA2834"/>
    <w:rsid w:val="00DA2876"/>
    <w:rsid w:val="00DA2C15"/>
    <w:rsid w:val="00DA2FAA"/>
    <w:rsid w:val="00DA31B8"/>
    <w:rsid w:val="00DA3F72"/>
    <w:rsid w:val="00DA3F73"/>
    <w:rsid w:val="00DA3FBE"/>
    <w:rsid w:val="00DA3FF4"/>
    <w:rsid w:val="00DA4380"/>
    <w:rsid w:val="00DA46CF"/>
    <w:rsid w:val="00DA4AE3"/>
    <w:rsid w:val="00DA57F3"/>
    <w:rsid w:val="00DA6D0B"/>
    <w:rsid w:val="00DA71DF"/>
    <w:rsid w:val="00DA7A92"/>
    <w:rsid w:val="00DB0363"/>
    <w:rsid w:val="00DB0A77"/>
    <w:rsid w:val="00DB15A0"/>
    <w:rsid w:val="00DB2ED0"/>
    <w:rsid w:val="00DB3B01"/>
    <w:rsid w:val="00DB57D8"/>
    <w:rsid w:val="00DB5A1F"/>
    <w:rsid w:val="00DB5F6D"/>
    <w:rsid w:val="00DB61A8"/>
    <w:rsid w:val="00DB6F98"/>
    <w:rsid w:val="00DB7144"/>
    <w:rsid w:val="00DB7707"/>
    <w:rsid w:val="00DB7881"/>
    <w:rsid w:val="00DB7E6D"/>
    <w:rsid w:val="00DC0006"/>
    <w:rsid w:val="00DC0ECD"/>
    <w:rsid w:val="00DC156F"/>
    <w:rsid w:val="00DC2440"/>
    <w:rsid w:val="00DC27BD"/>
    <w:rsid w:val="00DC2A0D"/>
    <w:rsid w:val="00DC2B66"/>
    <w:rsid w:val="00DC2D20"/>
    <w:rsid w:val="00DC2E94"/>
    <w:rsid w:val="00DC3880"/>
    <w:rsid w:val="00DC3949"/>
    <w:rsid w:val="00DC44C7"/>
    <w:rsid w:val="00DC4D58"/>
    <w:rsid w:val="00DC4D92"/>
    <w:rsid w:val="00DC4E08"/>
    <w:rsid w:val="00DC5C6F"/>
    <w:rsid w:val="00DC6035"/>
    <w:rsid w:val="00DC6749"/>
    <w:rsid w:val="00DC683E"/>
    <w:rsid w:val="00DC684B"/>
    <w:rsid w:val="00DC6C59"/>
    <w:rsid w:val="00DC7CDD"/>
    <w:rsid w:val="00DC7E6F"/>
    <w:rsid w:val="00DD011C"/>
    <w:rsid w:val="00DD093B"/>
    <w:rsid w:val="00DD0F32"/>
    <w:rsid w:val="00DD19FB"/>
    <w:rsid w:val="00DD2082"/>
    <w:rsid w:val="00DD279A"/>
    <w:rsid w:val="00DD2A3A"/>
    <w:rsid w:val="00DD2F21"/>
    <w:rsid w:val="00DD3291"/>
    <w:rsid w:val="00DD3838"/>
    <w:rsid w:val="00DD3911"/>
    <w:rsid w:val="00DD42C5"/>
    <w:rsid w:val="00DD48DD"/>
    <w:rsid w:val="00DD4BDD"/>
    <w:rsid w:val="00DD4CB2"/>
    <w:rsid w:val="00DD4E1F"/>
    <w:rsid w:val="00DD554E"/>
    <w:rsid w:val="00DD61E2"/>
    <w:rsid w:val="00DD65E6"/>
    <w:rsid w:val="00DD72CB"/>
    <w:rsid w:val="00DD74F6"/>
    <w:rsid w:val="00DD7E78"/>
    <w:rsid w:val="00DD7F6B"/>
    <w:rsid w:val="00DE0362"/>
    <w:rsid w:val="00DE063A"/>
    <w:rsid w:val="00DE0EB1"/>
    <w:rsid w:val="00DE116C"/>
    <w:rsid w:val="00DE1367"/>
    <w:rsid w:val="00DE1457"/>
    <w:rsid w:val="00DE1591"/>
    <w:rsid w:val="00DE1661"/>
    <w:rsid w:val="00DE1788"/>
    <w:rsid w:val="00DE1CAA"/>
    <w:rsid w:val="00DE21CA"/>
    <w:rsid w:val="00DE23E1"/>
    <w:rsid w:val="00DE24F9"/>
    <w:rsid w:val="00DE257A"/>
    <w:rsid w:val="00DE2BE8"/>
    <w:rsid w:val="00DE310D"/>
    <w:rsid w:val="00DE40CE"/>
    <w:rsid w:val="00DE40ED"/>
    <w:rsid w:val="00DE4152"/>
    <w:rsid w:val="00DE44C5"/>
    <w:rsid w:val="00DE4636"/>
    <w:rsid w:val="00DE5621"/>
    <w:rsid w:val="00DE604F"/>
    <w:rsid w:val="00DE6839"/>
    <w:rsid w:val="00DE6E06"/>
    <w:rsid w:val="00DE7475"/>
    <w:rsid w:val="00DE7EBC"/>
    <w:rsid w:val="00DF03DD"/>
    <w:rsid w:val="00DF080B"/>
    <w:rsid w:val="00DF099A"/>
    <w:rsid w:val="00DF15CA"/>
    <w:rsid w:val="00DF1B15"/>
    <w:rsid w:val="00DF2228"/>
    <w:rsid w:val="00DF29BB"/>
    <w:rsid w:val="00DF2F84"/>
    <w:rsid w:val="00DF30C3"/>
    <w:rsid w:val="00DF33BD"/>
    <w:rsid w:val="00DF3D47"/>
    <w:rsid w:val="00DF3E13"/>
    <w:rsid w:val="00DF4326"/>
    <w:rsid w:val="00DF6321"/>
    <w:rsid w:val="00DF71E7"/>
    <w:rsid w:val="00DF7344"/>
    <w:rsid w:val="00DF73D4"/>
    <w:rsid w:val="00DF764C"/>
    <w:rsid w:val="00DF7A82"/>
    <w:rsid w:val="00E00CB5"/>
    <w:rsid w:val="00E00E9E"/>
    <w:rsid w:val="00E01A2F"/>
    <w:rsid w:val="00E01C69"/>
    <w:rsid w:val="00E01D4B"/>
    <w:rsid w:val="00E02046"/>
    <w:rsid w:val="00E02598"/>
    <w:rsid w:val="00E028F5"/>
    <w:rsid w:val="00E03011"/>
    <w:rsid w:val="00E03308"/>
    <w:rsid w:val="00E03604"/>
    <w:rsid w:val="00E04D29"/>
    <w:rsid w:val="00E05056"/>
    <w:rsid w:val="00E05487"/>
    <w:rsid w:val="00E05E41"/>
    <w:rsid w:val="00E06C84"/>
    <w:rsid w:val="00E06D88"/>
    <w:rsid w:val="00E078FF"/>
    <w:rsid w:val="00E07B75"/>
    <w:rsid w:val="00E10502"/>
    <w:rsid w:val="00E10B02"/>
    <w:rsid w:val="00E10C52"/>
    <w:rsid w:val="00E10E23"/>
    <w:rsid w:val="00E10F60"/>
    <w:rsid w:val="00E10FBD"/>
    <w:rsid w:val="00E110F5"/>
    <w:rsid w:val="00E112AB"/>
    <w:rsid w:val="00E1228A"/>
    <w:rsid w:val="00E12420"/>
    <w:rsid w:val="00E12E4E"/>
    <w:rsid w:val="00E132F0"/>
    <w:rsid w:val="00E13867"/>
    <w:rsid w:val="00E13B26"/>
    <w:rsid w:val="00E1521F"/>
    <w:rsid w:val="00E16189"/>
    <w:rsid w:val="00E1667C"/>
    <w:rsid w:val="00E16E58"/>
    <w:rsid w:val="00E17AD3"/>
    <w:rsid w:val="00E17E29"/>
    <w:rsid w:val="00E207BC"/>
    <w:rsid w:val="00E21182"/>
    <w:rsid w:val="00E21981"/>
    <w:rsid w:val="00E21B4C"/>
    <w:rsid w:val="00E22007"/>
    <w:rsid w:val="00E22094"/>
    <w:rsid w:val="00E22144"/>
    <w:rsid w:val="00E22B7E"/>
    <w:rsid w:val="00E22DC7"/>
    <w:rsid w:val="00E23641"/>
    <w:rsid w:val="00E23974"/>
    <w:rsid w:val="00E23F79"/>
    <w:rsid w:val="00E245BC"/>
    <w:rsid w:val="00E251DC"/>
    <w:rsid w:val="00E254CA"/>
    <w:rsid w:val="00E25624"/>
    <w:rsid w:val="00E258EB"/>
    <w:rsid w:val="00E258F1"/>
    <w:rsid w:val="00E25B28"/>
    <w:rsid w:val="00E274CE"/>
    <w:rsid w:val="00E30063"/>
    <w:rsid w:val="00E30572"/>
    <w:rsid w:val="00E30B57"/>
    <w:rsid w:val="00E32F40"/>
    <w:rsid w:val="00E3365F"/>
    <w:rsid w:val="00E33EE3"/>
    <w:rsid w:val="00E3403F"/>
    <w:rsid w:val="00E35C4A"/>
    <w:rsid w:val="00E365ED"/>
    <w:rsid w:val="00E36663"/>
    <w:rsid w:val="00E368C3"/>
    <w:rsid w:val="00E36D1D"/>
    <w:rsid w:val="00E36D88"/>
    <w:rsid w:val="00E36E7F"/>
    <w:rsid w:val="00E37B04"/>
    <w:rsid w:val="00E40009"/>
    <w:rsid w:val="00E40731"/>
    <w:rsid w:val="00E4283F"/>
    <w:rsid w:val="00E42CC1"/>
    <w:rsid w:val="00E431B2"/>
    <w:rsid w:val="00E43449"/>
    <w:rsid w:val="00E43B35"/>
    <w:rsid w:val="00E43E1D"/>
    <w:rsid w:val="00E44823"/>
    <w:rsid w:val="00E44866"/>
    <w:rsid w:val="00E44FC9"/>
    <w:rsid w:val="00E45830"/>
    <w:rsid w:val="00E459B8"/>
    <w:rsid w:val="00E45BF8"/>
    <w:rsid w:val="00E46140"/>
    <w:rsid w:val="00E46F8F"/>
    <w:rsid w:val="00E4762B"/>
    <w:rsid w:val="00E47E78"/>
    <w:rsid w:val="00E47FF1"/>
    <w:rsid w:val="00E50483"/>
    <w:rsid w:val="00E50A7D"/>
    <w:rsid w:val="00E50D24"/>
    <w:rsid w:val="00E51428"/>
    <w:rsid w:val="00E517A1"/>
    <w:rsid w:val="00E51BF5"/>
    <w:rsid w:val="00E5224E"/>
    <w:rsid w:val="00E536C6"/>
    <w:rsid w:val="00E544A1"/>
    <w:rsid w:val="00E54695"/>
    <w:rsid w:val="00E54731"/>
    <w:rsid w:val="00E551C4"/>
    <w:rsid w:val="00E5569F"/>
    <w:rsid w:val="00E55B2C"/>
    <w:rsid w:val="00E56CE8"/>
    <w:rsid w:val="00E57578"/>
    <w:rsid w:val="00E60845"/>
    <w:rsid w:val="00E608DF"/>
    <w:rsid w:val="00E611AF"/>
    <w:rsid w:val="00E62048"/>
    <w:rsid w:val="00E62143"/>
    <w:rsid w:val="00E626CE"/>
    <w:rsid w:val="00E62A44"/>
    <w:rsid w:val="00E62A6C"/>
    <w:rsid w:val="00E62EF1"/>
    <w:rsid w:val="00E64571"/>
    <w:rsid w:val="00E64BB2"/>
    <w:rsid w:val="00E65E78"/>
    <w:rsid w:val="00E6649A"/>
    <w:rsid w:val="00E6729B"/>
    <w:rsid w:val="00E6788E"/>
    <w:rsid w:val="00E67FC5"/>
    <w:rsid w:val="00E70144"/>
    <w:rsid w:val="00E70301"/>
    <w:rsid w:val="00E70AEE"/>
    <w:rsid w:val="00E70BC8"/>
    <w:rsid w:val="00E71513"/>
    <w:rsid w:val="00E71785"/>
    <w:rsid w:val="00E722D8"/>
    <w:rsid w:val="00E729F7"/>
    <w:rsid w:val="00E731B1"/>
    <w:rsid w:val="00E73262"/>
    <w:rsid w:val="00E73CFF"/>
    <w:rsid w:val="00E73E75"/>
    <w:rsid w:val="00E7434E"/>
    <w:rsid w:val="00E74A53"/>
    <w:rsid w:val="00E74C2C"/>
    <w:rsid w:val="00E7579B"/>
    <w:rsid w:val="00E75C6C"/>
    <w:rsid w:val="00E76C81"/>
    <w:rsid w:val="00E76CD9"/>
    <w:rsid w:val="00E77447"/>
    <w:rsid w:val="00E804A3"/>
    <w:rsid w:val="00E81DE6"/>
    <w:rsid w:val="00E82FD3"/>
    <w:rsid w:val="00E830FA"/>
    <w:rsid w:val="00E8357B"/>
    <w:rsid w:val="00E83D8D"/>
    <w:rsid w:val="00E83F36"/>
    <w:rsid w:val="00E83F84"/>
    <w:rsid w:val="00E8447C"/>
    <w:rsid w:val="00E84B5D"/>
    <w:rsid w:val="00E84D1A"/>
    <w:rsid w:val="00E8535D"/>
    <w:rsid w:val="00E8592A"/>
    <w:rsid w:val="00E85E47"/>
    <w:rsid w:val="00E86408"/>
    <w:rsid w:val="00E86573"/>
    <w:rsid w:val="00E86774"/>
    <w:rsid w:val="00E9064D"/>
    <w:rsid w:val="00E90F37"/>
    <w:rsid w:val="00E92C59"/>
    <w:rsid w:val="00E92CD8"/>
    <w:rsid w:val="00E93CD7"/>
    <w:rsid w:val="00E949AC"/>
    <w:rsid w:val="00E94C38"/>
    <w:rsid w:val="00E94DAE"/>
    <w:rsid w:val="00E95EC2"/>
    <w:rsid w:val="00E962DB"/>
    <w:rsid w:val="00E963C6"/>
    <w:rsid w:val="00E964DB"/>
    <w:rsid w:val="00E9671A"/>
    <w:rsid w:val="00E96FC3"/>
    <w:rsid w:val="00E97B74"/>
    <w:rsid w:val="00EA003C"/>
    <w:rsid w:val="00EA00A3"/>
    <w:rsid w:val="00EA089A"/>
    <w:rsid w:val="00EA0C95"/>
    <w:rsid w:val="00EA1DE9"/>
    <w:rsid w:val="00EA243E"/>
    <w:rsid w:val="00EA270E"/>
    <w:rsid w:val="00EA2A37"/>
    <w:rsid w:val="00EA2B81"/>
    <w:rsid w:val="00EA3B5B"/>
    <w:rsid w:val="00EA3EC5"/>
    <w:rsid w:val="00EA4397"/>
    <w:rsid w:val="00EA4DC6"/>
    <w:rsid w:val="00EA53DD"/>
    <w:rsid w:val="00EA6A26"/>
    <w:rsid w:val="00EA6C39"/>
    <w:rsid w:val="00EA7567"/>
    <w:rsid w:val="00EB051B"/>
    <w:rsid w:val="00EB0BA2"/>
    <w:rsid w:val="00EB12B7"/>
    <w:rsid w:val="00EB148E"/>
    <w:rsid w:val="00EB214D"/>
    <w:rsid w:val="00EB2B06"/>
    <w:rsid w:val="00EB3536"/>
    <w:rsid w:val="00EB3D5E"/>
    <w:rsid w:val="00EB43E9"/>
    <w:rsid w:val="00EB4853"/>
    <w:rsid w:val="00EB5541"/>
    <w:rsid w:val="00EB56FF"/>
    <w:rsid w:val="00EB5F32"/>
    <w:rsid w:val="00EB6A39"/>
    <w:rsid w:val="00EB6D7D"/>
    <w:rsid w:val="00EB7252"/>
    <w:rsid w:val="00EB7443"/>
    <w:rsid w:val="00EB74D9"/>
    <w:rsid w:val="00EC0EE2"/>
    <w:rsid w:val="00EC0F1F"/>
    <w:rsid w:val="00EC1D7A"/>
    <w:rsid w:val="00EC1FAF"/>
    <w:rsid w:val="00EC266F"/>
    <w:rsid w:val="00EC27C3"/>
    <w:rsid w:val="00EC2C0B"/>
    <w:rsid w:val="00EC2F31"/>
    <w:rsid w:val="00EC3FDC"/>
    <w:rsid w:val="00EC4D54"/>
    <w:rsid w:val="00EC552C"/>
    <w:rsid w:val="00EC5CE5"/>
    <w:rsid w:val="00EC5D51"/>
    <w:rsid w:val="00EC6E1D"/>
    <w:rsid w:val="00EC7199"/>
    <w:rsid w:val="00EC7249"/>
    <w:rsid w:val="00EC74B3"/>
    <w:rsid w:val="00EC74DB"/>
    <w:rsid w:val="00EC790C"/>
    <w:rsid w:val="00EC7AF9"/>
    <w:rsid w:val="00ED08D3"/>
    <w:rsid w:val="00ED10DF"/>
    <w:rsid w:val="00ED12E2"/>
    <w:rsid w:val="00ED18E7"/>
    <w:rsid w:val="00ED1B18"/>
    <w:rsid w:val="00ED1D86"/>
    <w:rsid w:val="00ED1E57"/>
    <w:rsid w:val="00ED2205"/>
    <w:rsid w:val="00ED2531"/>
    <w:rsid w:val="00ED2A41"/>
    <w:rsid w:val="00ED2B1D"/>
    <w:rsid w:val="00ED3188"/>
    <w:rsid w:val="00ED3EE4"/>
    <w:rsid w:val="00ED4002"/>
    <w:rsid w:val="00ED4B99"/>
    <w:rsid w:val="00ED4BB7"/>
    <w:rsid w:val="00ED522F"/>
    <w:rsid w:val="00ED5327"/>
    <w:rsid w:val="00ED5942"/>
    <w:rsid w:val="00ED5A97"/>
    <w:rsid w:val="00ED5E24"/>
    <w:rsid w:val="00ED6107"/>
    <w:rsid w:val="00ED6785"/>
    <w:rsid w:val="00ED6814"/>
    <w:rsid w:val="00ED6DCC"/>
    <w:rsid w:val="00ED7222"/>
    <w:rsid w:val="00ED72EB"/>
    <w:rsid w:val="00ED7E5F"/>
    <w:rsid w:val="00EE06E1"/>
    <w:rsid w:val="00EE07DA"/>
    <w:rsid w:val="00EE1484"/>
    <w:rsid w:val="00EE2656"/>
    <w:rsid w:val="00EE3C7B"/>
    <w:rsid w:val="00EE40F6"/>
    <w:rsid w:val="00EE4233"/>
    <w:rsid w:val="00EE44BE"/>
    <w:rsid w:val="00EE4F39"/>
    <w:rsid w:val="00EE532F"/>
    <w:rsid w:val="00EE5823"/>
    <w:rsid w:val="00EE5A35"/>
    <w:rsid w:val="00EE5A3E"/>
    <w:rsid w:val="00EE5E68"/>
    <w:rsid w:val="00EE5EB0"/>
    <w:rsid w:val="00EE5FFF"/>
    <w:rsid w:val="00EE6070"/>
    <w:rsid w:val="00EE6190"/>
    <w:rsid w:val="00EE6961"/>
    <w:rsid w:val="00EE6DF7"/>
    <w:rsid w:val="00EE7327"/>
    <w:rsid w:val="00EE7433"/>
    <w:rsid w:val="00EE751B"/>
    <w:rsid w:val="00EE769D"/>
    <w:rsid w:val="00EE777A"/>
    <w:rsid w:val="00EF043C"/>
    <w:rsid w:val="00EF0995"/>
    <w:rsid w:val="00EF0CD6"/>
    <w:rsid w:val="00EF1094"/>
    <w:rsid w:val="00EF18A6"/>
    <w:rsid w:val="00EF1F26"/>
    <w:rsid w:val="00EF2073"/>
    <w:rsid w:val="00EF31B5"/>
    <w:rsid w:val="00EF3226"/>
    <w:rsid w:val="00EF3360"/>
    <w:rsid w:val="00EF4A7E"/>
    <w:rsid w:val="00EF4B0B"/>
    <w:rsid w:val="00EF4B45"/>
    <w:rsid w:val="00EF4FE6"/>
    <w:rsid w:val="00EF588B"/>
    <w:rsid w:val="00EF5D79"/>
    <w:rsid w:val="00EF662D"/>
    <w:rsid w:val="00EF6933"/>
    <w:rsid w:val="00EF711E"/>
    <w:rsid w:val="00EF7A4C"/>
    <w:rsid w:val="00F00D3D"/>
    <w:rsid w:val="00F01172"/>
    <w:rsid w:val="00F0161C"/>
    <w:rsid w:val="00F0243F"/>
    <w:rsid w:val="00F036F9"/>
    <w:rsid w:val="00F044B7"/>
    <w:rsid w:val="00F04D98"/>
    <w:rsid w:val="00F06043"/>
    <w:rsid w:val="00F061AA"/>
    <w:rsid w:val="00F061CD"/>
    <w:rsid w:val="00F0620A"/>
    <w:rsid w:val="00F06524"/>
    <w:rsid w:val="00F07D8E"/>
    <w:rsid w:val="00F07F45"/>
    <w:rsid w:val="00F10321"/>
    <w:rsid w:val="00F10577"/>
    <w:rsid w:val="00F11283"/>
    <w:rsid w:val="00F11AFC"/>
    <w:rsid w:val="00F12CA0"/>
    <w:rsid w:val="00F13C20"/>
    <w:rsid w:val="00F14022"/>
    <w:rsid w:val="00F15B8C"/>
    <w:rsid w:val="00F164D9"/>
    <w:rsid w:val="00F166B0"/>
    <w:rsid w:val="00F16904"/>
    <w:rsid w:val="00F16D12"/>
    <w:rsid w:val="00F16E88"/>
    <w:rsid w:val="00F20060"/>
    <w:rsid w:val="00F2044C"/>
    <w:rsid w:val="00F20D1E"/>
    <w:rsid w:val="00F21B06"/>
    <w:rsid w:val="00F21B1B"/>
    <w:rsid w:val="00F21B72"/>
    <w:rsid w:val="00F224D4"/>
    <w:rsid w:val="00F232CA"/>
    <w:rsid w:val="00F23532"/>
    <w:rsid w:val="00F2371B"/>
    <w:rsid w:val="00F23A50"/>
    <w:rsid w:val="00F24231"/>
    <w:rsid w:val="00F24505"/>
    <w:rsid w:val="00F24DA1"/>
    <w:rsid w:val="00F25199"/>
    <w:rsid w:val="00F25AE0"/>
    <w:rsid w:val="00F2627B"/>
    <w:rsid w:val="00F27F19"/>
    <w:rsid w:val="00F30AD9"/>
    <w:rsid w:val="00F30D5E"/>
    <w:rsid w:val="00F311C3"/>
    <w:rsid w:val="00F315E9"/>
    <w:rsid w:val="00F319B1"/>
    <w:rsid w:val="00F32627"/>
    <w:rsid w:val="00F3275A"/>
    <w:rsid w:val="00F32979"/>
    <w:rsid w:val="00F32D2C"/>
    <w:rsid w:val="00F32E58"/>
    <w:rsid w:val="00F33A35"/>
    <w:rsid w:val="00F33B1A"/>
    <w:rsid w:val="00F33EBB"/>
    <w:rsid w:val="00F3404C"/>
    <w:rsid w:val="00F342F1"/>
    <w:rsid w:val="00F34354"/>
    <w:rsid w:val="00F3474A"/>
    <w:rsid w:val="00F36120"/>
    <w:rsid w:val="00F362DD"/>
    <w:rsid w:val="00F368CF"/>
    <w:rsid w:val="00F36940"/>
    <w:rsid w:val="00F370E6"/>
    <w:rsid w:val="00F379C0"/>
    <w:rsid w:val="00F37F06"/>
    <w:rsid w:val="00F405FD"/>
    <w:rsid w:val="00F4077C"/>
    <w:rsid w:val="00F40792"/>
    <w:rsid w:val="00F415FC"/>
    <w:rsid w:val="00F437B5"/>
    <w:rsid w:val="00F44646"/>
    <w:rsid w:val="00F44BBD"/>
    <w:rsid w:val="00F457E7"/>
    <w:rsid w:val="00F45CF3"/>
    <w:rsid w:val="00F45DD1"/>
    <w:rsid w:val="00F46570"/>
    <w:rsid w:val="00F466FC"/>
    <w:rsid w:val="00F46A01"/>
    <w:rsid w:val="00F46CE1"/>
    <w:rsid w:val="00F47077"/>
    <w:rsid w:val="00F47F5B"/>
    <w:rsid w:val="00F50579"/>
    <w:rsid w:val="00F50B6C"/>
    <w:rsid w:val="00F50F67"/>
    <w:rsid w:val="00F50FAC"/>
    <w:rsid w:val="00F51236"/>
    <w:rsid w:val="00F512FD"/>
    <w:rsid w:val="00F52537"/>
    <w:rsid w:val="00F52F01"/>
    <w:rsid w:val="00F5398B"/>
    <w:rsid w:val="00F53DA2"/>
    <w:rsid w:val="00F542E9"/>
    <w:rsid w:val="00F54A57"/>
    <w:rsid w:val="00F54C7A"/>
    <w:rsid w:val="00F54F09"/>
    <w:rsid w:val="00F55570"/>
    <w:rsid w:val="00F55738"/>
    <w:rsid w:val="00F55DA1"/>
    <w:rsid w:val="00F56372"/>
    <w:rsid w:val="00F564C0"/>
    <w:rsid w:val="00F56593"/>
    <w:rsid w:val="00F5791F"/>
    <w:rsid w:val="00F57E01"/>
    <w:rsid w:val="00F6006D"/>
    <w:rsid w:val="00F6021E"/>
    <w:rsid w:val="00F60463"/>
    <w:rsid w:val="00F60579"/>
    <w:rsid w:val="00F6215C"/>
    <w:rsid w:val="00F6340E"/>
    <w:rsid w:val="00F63736"/>
    <w:rsid w:val="00F642C7"/>
    <w:rsid w:val="00F646C5"/>
    <w:rsid w:val="00F64723"/>
    <w:rsid w:val="00F64840"/>
    <w:rsid w:val="00F65292"/>
    <w:rsid w:val="00F652D9"/>
    <w:rsid w:val="00F6589F"/>
    <w:rsid w:val="00F65C6F"/>
    <w:rsid w:val="00F67E36"/>
    <w:rsid w:val="00F70597"/>
    <w:rsid w:val="00F707C8"/>
    <w:rsid w:val="00F70B1F"/>
    <w:rsid w:val="00F711F1"/>
    <w:rsid w:val="00F71250"/>
    <w:rsid w:val="00F71A88"/>
    <w:rsid w:val="00F71C47"/>
    <w:rsid w:val="00F72223"/>
    <w:rsid w:val="00F72639"/>
    <w:rsid w:val="00F7268C"/>
    <w:rsid w:val="00F728E0"/>
    <w:rsid w:val="00F72933"/>
    <w:rsid w:val="00F729B1"/>
    <w:rsid w:val="00F73D89"/>
    <w:rsid w:val="00F74170"/>
    <w:rsid w:val="00F7448C"/>
    <w:rsid w:val="00F767FC"/>
    <w:rsid w:val="00F76E97"/>
    <w:rsid w:val="00F77EAC"/>
    <w:rsid w:val="00F80539"/>
    <w:rsid w:val="00F80FA6"/>
    <w:rsid w:val="00F8194C"/>
    <w:rsid w:val="00F82064"/>
    <w:rsid w:val="00F83514"/>
    <w:rsid w:val="00F8391A"/>
    <w:rsid w:val="00F83D4C"/>
    <w:rsid w:val="00F83D8E"/>
    <w:rsid w:val="00F84155"/>
    <w:rsid w:val="00F84470"/>
    <w:rsid w:val="00F84C1C"/>
    <w:rsid w:val="00F84DB8"/>
    <w:rsid w:val="00F85656"/>
    <w:rsid w:val="00F85E86"/>
    <w:rsid w:val="00F86295"/>
    <w:rsid w:val="00F878EC"/>
    <w:rsid w:val="00F87AB8"/>
    <w:rsid w:val="00F87B54"/>
    <w:rsid w:val="00F901C0"/>
    <w:rsid w:val="00F9068F"/>
    <w:rsid w:val="00F91057"/>
    <w:rsid w:val="00F910A9"/>
    <w:rsid w:val="00F911E5"/>
    <w:rsid w:val="00F9129E"/>
    <w:rsid w:val="00F914CF"/>
    <w:rsid w:val="00F91FA2"/>
    <w:rsid w:val="00F920E9"/>
    <w:rsid w:val="00F9283B"/>
    <w:rsid w:val="00F92D4F"/>
    <w:rsid w:val="00F933B1"/>
    <w:rsid w:val="00F93507"/>
    <w:rsid w:val="00F93B59"/>
    <w:rsid w:val="00F94360"/>
    <w:rsid w:val="00F947C3"/>
    <w:rsid w:val="00F94BAC"/>
    <w:rsid w:val="00F95AD1"/>
    <w:rsid w:val="00F96C94"/>
    <w:rsid w:val="00F9777B"/>
    <w:rsid w:val="00F9787A"/>
    <w:rsid w:val="00F97966"/>
    <w:rsid w:val="00FA0315"/>
    <w:rsid w:val="00FA0391"/>
    <w:rsid w:val="00FA0A3B"/>
    <w:rsid w:val="00FA1C80"/>
    <w:rsid w:val="00FA1F9B"/>
    <w:rsid w:val="00FA200F"/>
    <w:rsid w:val="00FA242E"/>
    <w:rsid w:val="00FA2B4B"/>
    <w:rsid w:val="00FA2E52"/>
    <w:rsid w:val="00FA2EBF"/>
    <w:rsid w:val="00FA393C"/>
    <w:rsid w:val="00FA5CE5"/>
    <w:rsid w:val="00FA705A"/>
    <w:rsid w:val="00FA70AB"/>
    <w:rsid w:val="00FA77FE"/>
    <w:rsid w:val="00FA7C6B"/>
    <w:rsid w:val="00FA7CA7"/>
    <w:rsid w:val="00FB089F"/>
    <w:rsid w:val="00FB11C0"/>
    <w:rsid w:val="00FB1A51"/>
    <w:rsid w:val="00FB1AC8"/>
    <w:rsid w:val="00FB32A6"/>
    <w:rsid w:val="00FB3907"/>
    <w:rsid w:val="00FB5351"/>
    <w:rsid w:val="00FB69B7"/>
    <w:rsid w:val="00FB78BA"/>
    <w:rsid w:val="00FB7B2D"/>
    <w:rsid w:val="00FC14A6"/>
    <w:rsid w:val="00FC2125"/>
    <w:rsid w:val="00FC2810"/>
    <w:rsid w:val="00FC2C35"/>
    <w:rsid w:val="00FC2F0D"/>
    <w:rsid w:val="00FC3AFB"/>
    <w:rsid w:val="00FC3C7C"/>
    <w:rsid w:val="00FC47AF"/>
    <w:rsid w:val="00FC562B"/>
    <w:rsid w:val="00FC5E2F"/>
    <w:rsid w:val="00FC64AC"/>
    <w:rsid w:val="00FC6758"/>
    <w:rsid w:val="00FC678E"/>
    <w:rsid w:val="00FC6EC7"/>
    <w:rsid w:val="00FC730B"/>
    <w:rsid w:val="00FD16CD"/>
    <w:rsid w:val="00FD1AC9"/>
    <w:rsid w:val="00FD1ACE"/>
    <w:rsid w:val="00FD1DAF"/>
    <w:rsid w:val="00FD276C"/>
    <w:rsid w:val="00FD276D"/>
    <w:rsid w:val="00FD2A9A"/>
    <w:rsid w:val="00FD2C85"/>
    <w:rsid w:val="00FD2FA9"/>
    <w:rsid w:val="00FD4313"/>
    <w:rsid w:val="00FD480E"/>
    <w:rsid w:val="00FD5FD2"/>
    <w:rsid w:val="00FD64EA"/>
    <w:rsid w:val="00FD653A"/>
    <w:rsid w:val="00FD7D76"/>
    <w:rsid w:val="00FE0386"/>
    <w:rsid w:val="00FE03AC"/>
    <w:rsid w:val="00FE0436"/>
    <w:rsid w:val="00FE17E7"/>
    <w:rsid w:val="00FE1F29"/>
    <w:rsid w:val="00FE243B"/>
    <w:rsid w:val="00FE2A37"/>
    <w:rsid w:val="00FE2A65"/>
    <w:rsid w:val="00FE2E4E"/>
    <w:rsid w:val="00FE3444"/>
    <w:rsid w:val="00FE35A0"/>
    <w:rsid w:val="00FE4508"/>
    <w:rsid w:val="00FE4F3D"/>
    <w:rsid w:val="00FE53FD"/>
    <w:rsid w:val="00FE63C6"/>
    <w:rsid w:val="00FE63FD"/>
    <w:rsid w:val="00FE6BC2"/>
    <w:rsid w:val="00FE7688"/>
    <w:rsid w:val="00FE7AFF"/>
    <w:rsid w:val="00FF0695"/>
    <w:rsid w:val="00FF15F5"/>
    <w:rsid w:val="00FF1BF4"/>
    <w:rsid w:val="00FF2966"/>
    <w:rsid w:val="00FF379D"/>
    <w:rsid w:val="00FF424B"/>
    <w:rsid w:val="00FF45F6"/>
    <w:rsid w:val="00FF484E"/>
    <w:rsid w:val="00FF4873"/>
    <w:rsid w:val="00FF496B"/>
    <w:rsid w:val="00FF4C7A"/>
    <w:rsid w:val="00FF5083"/>
    <w:rsid w:val="00FF665E"/>
    <w:rsid w:val="00FF6BEC"/>
    <w:rsid w:val="00FF6E41"/>
    <w:rsid w:val="00FF768E"/>
    <w:rsid w:val="00FF7767"/>
    <w:rsid w:val="00FF7A71"/>
    <w:rsid w:val="0106B94D"/>
    <w:rsid w:val="010CE26D"/>
    <w:rsid w:val="012F79C0"/>
    <w:rsid w:val="013E620B"/>
    <w:rsid w:val="0172BF66"/>
    <w:rsid w:val="01A929B0"/>
    <w:rsid w:val="01ACE0B5"/>
    <w:rsid w:val="01B6F9E1"/>
    <w:rsid w:val="02356DCD"/>
    <w:rsid w:val="029AE782"/>
    <w:rsid w:val="02A8D0A7"/>
    <w:rsid w:val="02CAA46E"/>
    <w:rsid w:val="0305C473"/>
    <w:rsid w:val="033E4803"/>
    <w:rsid w:val="037BBEDB"/>
    <w:rsid w:val="037DD3B0"/>
    <w:rsid w:val="03A1D5DD"/>
    <w:rsid w:val="03CD3D18"/>
    <w:rsid w:val="03DF25B3"/>
    <w:rsid w:val="042027BC"/>
    <w:rsid w:val="0444F825"/>
    <w:rsid w:val="0447AB3F"/>
    <w:rsid w:val="04653851"/>
    <w:rsid w:val="04E52DFD"/>
    <w:rsid w:val="050716F5"/>
    <w:rsid w:val="051717EF"/>
    <w:rsid w:val="054DFFEA"/>
    <w:rsid w:val="0564C6FA"/>
    <w:rsid w:val="056FB08A"/>
    <w:rsid w:val="057D66C6"/>
    <w:rsid w:val="05857577"/>
    <w:rsid w:val="05906B81"/>
    <w:rsid w:val="05A3A3F3"/>
    <w:rsid w:val="05B7C9FC"/>
    <w:rsid w:val="05DC53A7"/>
    <w:rsid w:val="05EF1063"/>
    <w:rsid w:val="0603F239"/>
    <w:rsid w:val="0642522C"/>
    <w:rsid w:val="065F7ACC"/>
    <w:rsid w:val="06B8B7CF"/>
    <w:rsid w:val="06BFDE33"/>
    <w:rsid w:val="06E58F2F"/>
    <w:rsid w:val="0708716F"/>
    <w:rsid w:val="073495D8"/>
    <w:rsid w:val="074BD9AF"/>
    <w:rsid w:val="0784D613"/>
    <w:rsid w:val="0799192C"/>
    <w:rsid w:val="07A7D3F4"/>
    <w:rsid w:val="07B220A4"/>
    <w:rsid w:val="07D19701"/>
    <w:rsid w:val="07F50059"/>
    <w:rsid w:val="07F92927"/>
    <w:rsid w:val="08184882"/>
    <w:rsid w:val="08417EB4"/>
    <w:rsid w:val="0846F410"/>
    <w:rsid w:val="08730FBD"/>
    <w:rsid w:val="089AE3BC"/>
    <w:rsid w:val="089C67BC"/>
    <w:rsid w:val="089E92CB"/>
    <w:rsid w:val="08A4AF51"/>
    <w:rsid w:val="08B777BC"/>
    <w:rsid w:val="08C42FC0"/>
    <w:rsid w:val="08C968AB"/>
    <w:rsid w:val="08D8010B"/>
    <w:rsid w:val="08FA7FB3"/>
    <w:rsid w:val="092083E8"/>
    <w:rsid w:val="09222A27"/>
    <w:rsid w:val="09333A53"/>
    <w:rsid w:val="0953BFE4"/>
    <w:rsid w:val="096D1602"/>
    <w:rsid w:val="09F555A1"/>
    <w:rsid w:val="0A46176E"/>
    <w:rsid w:val="0A4FA08D"/>
    <w:rsid w:val="0A59DFC1"/>
    <w:rsid w:val="0AADF4C4"/>
    <w:rsid w:val="0AD498F7"/>
    <w:rsid w:val="0AD4A2F0"/>
    <w:rsid w:val="0AE4817D"/>
    <w:rsid w:val="0B0F3829"/>
    <w:rsid w:val="0B2424BD"/>
    <w:rsid w:val="0B3742E5"/>
    <w:rsid w:val="0B5FBFBE"/>
    <w:rsid w:val="0B7A7ABC"/>
    <w:rsid w:val="0BD65ACB"/>
    <w:rsid w:val="0BDB52F9"/>
    <w:rsid w:val="0C216240"/>
    <w:rsid w:val="0C47DB41"/>
    <w:rsid w:val="0C4E1C19"/>
    <w:rsid w:val="0CA0FB88"/>
    <w:rsid w:val="0D2AA6A2"/>
    <w:rsid w:val="0D2C10E0"/>
    <w:rsid w:val="0D33FE66"/>
    <w:rsid w:val="0D548882"/>
    <w:rsid w:val="0D555D0E"/>
    <w:rsid w:val="0D5FF12B"/>
    <w:rsid w:val="0D74DE39"/>
    <w:rsid w:val="0D8AFB3F"/>
    <w:rsid w:val="0D939701"/>
    <w:rsid w:val="0D9AE190"/>
    <w:rsid w:val="0DAAD1F6"/>
    <w:rsid w:val="0DC6A86C"/>
    <w:rsid w:val="0DD36217"/>
    <w:rsid w:val="0DD8D171"/>
    <w:rsid w:val="0DEFE466"/>
    <w:rsid w:val="0E07C252"/>
    <w:rsid w:val="0E16F281"/>
    <w:rsid w:val="0E2348AE"/>
    <w:rsid w:val="0E248100"/>
    <w:rsid w:val="0E7FC8DA"/>
    <w:rsid w:val="0F2024C4"/>
    <w:rsid w:val="0F6D06C2"/>
    <w:rsid w:val="0F6FD1DF"/>
    <w:rsid w:val="0F8EC934"/>
    <w:rsid w:val="0FC46770"/>
    <w:rsid w:val="0FE7B2E9"/>
    <w:rsid w:val="0FECB444"/>
    <w:rsid w:val="1032C9FE"/>
    <w:rsid w:val="1059C81D"/>
    <w:rsid w:val="108C08EE"/>
    <w:rsid w:val="10ACFB06"/>
    <w:rsid w:val="11088A5C"/>
    <w:rsid w:val="111E9911"/>
    <w:rsid w:val="1124CA9D"/>
    <w:rsid w:val="11273FAF"/>
    <w:rsid w:val="114019B6"/>
    <w:rsid w:val="114E6E20"/>
    <w:rsid w:val="1159C6E2"/>
    <w:rsid w:val="11875B51"/>
    <w:rsid w:val="11B5D8E5"/>
    <w:rsid w:val="123A67D3"/>
    <w:rsid w:val="1250798F"/>
    <w:rsid w:val="128A0933"/>
    <w:rsid w:val="129103DC"/>
    <w:rsid w:val="12937DEB"/>
    <w:rsid w:val="12B195C8"/>
    <w:rsid w:val="12B7DF12"/>
    <w:rsid w:val="12D20A13"/>
    <w:rsid w:val="12E0EBAA"/>
    <w:rsid w:val="131366D5"/>
    <w:rsid w:val="131CAF18"/>
    <w:rsid w:val="133AF46B"/>
    <w:rsid w:val="1348EE93"/>
    <w:rsid w:val="135B648C"/>
    <w:rsid w:val="1374D00C"/>
    <w:rsid w:val="1381546F"/>
    <w:rsid w:val="1395E4AD"/>
    <w:rsid w:val="13A6FEB2"/>
    <w:rsid w:val="13EC49F0"/>
    <w:rsid w:val="144F6329"/>
    <w:rsid w:val="145C22D2"/>
    <w:rsid w:val="146D5510"/>
    <w:rsid w:val="1483D55B"/>
    <w:rsid w:val="148D72EB"/>
    <w:rsid w:val="1492FFC0"/>
    <w:rsid w:val="14A0335E"/>
    <w:rsid w:val="14A0CAC3"/>
    <w:rsid w:val="14B10D0C"/>
    <w:rsid w:val="14E5DDF3"/>
    <w:rsid w:val="15289A3F"/>
    <w:rsid w:val="1539C080"/>
    <w:rsid w:val="153D1C61"/>
    <w:rsid w:val="163EBA6A"/>
    <w:rsid w:val="168504B3"/>
    <w:rsid w:val="16D8A548"/>
    <w:rsid w:val="16D92CCC"/>
    <w:rsid w:val="16DDEA47"/>
    <w:rsid w:val="16ED13E6"/>
    <w:rsid w:val="16FD8F07"/>
    <w:rsid w:val="172E739D"/>
    <w:rsid w:val="177AE3C4"/>
    <w:rsid w:val="17B929BD"/>
    <w:rsid w:val="17E433B2"/>
    <w:rsid w:val="17F82D84"/>
    <w:rsid w:val="182E1B8D"/>
    <w:rsid w:val="1876B10D"/>
    <w:rsid w:val="190ED434"/>
    <w:rsid w:val="1925ED1A"/>
    <w:rsid w:val="192F7567"/>
    <w:rsid w:val="1931FAF3"/>
    <w:rsid w:val="1949A8D8"/>
    <w:rsid w:val="198BC354"/>
    <w:rsid w:val="19D7C49B"/>
    <w:rsid w:val="1A23F294"/>
    <w:rsid w:val="1A4429F3"/>
    <w:rsid w:val="1A589D0F"/>
    <w:rsid w:val="1A8B88E6"/>
    <w:rsid w:val="1A9035A9"/>
    <w:rsid w:val="1AD3BAB7"/>
    <w:rsid w:val="1AEA1AA2"/>
    <w:rsid w:val="1AF62D9A"/>
    <w:rsid w:val="1B021D08"/>
    <w:rsid w:val="1B581D96"/>
    <w:rsid w:val="1B85E6D9"/>
    <w:rsid w:val="1B876ADC"/>
    <w:rsid w:val="1B9E59F3"/>
    <w:rsid w:val="1BD48CBB"/>
    <w:rsid w:val="1BD6AC80"/>
    <w:rsid w:val="1BFCF613"/>
    <w:rsid w:val="1C3454B1"/>
    <w:rsid w:val="1C3C7B7E"/>
    <w:rsid w:val="1C42C333"/>
    <w:rsid w:val="1C430291"/>
    <w:rsid w:val="1C5C5A7E"/>
    <w:rsid w:val="1C7CB637"/>
    <w:rsid w:val="1C857DBD"/>
    <w:rsid w:val="1CF557AB"/>
    <w:rsid w:val="1D08B639"/>
    <w:rsid w:val="1D222306"/>
    <w:rsid w:val="1D230DC4"/>
    <w:rsid w:val="1D3C66AC"/>
    <w:rsid w:val="1D5C33D6"/>
    <w:rsid w:val="1D645144"/>
    <w:rsid w:val="1D8B498F"/>
    <w:rsid w:val="1DA566CF"/>
    <w:rsid w:val="1DBE56E0"/>
    <w:rsid w:val="1DE1D5FF"/>
    <w:rsid w:val="1DFCD134"/>
    <w:rsid w:val="1E0F15A6"/>
    <w:rsid w:val="1E23F35D"/>
    <w:rsid w:val="1E427CBF"/>
    <w:rsid w:val="1E428902"/>
    <w:rsid w:val="1E97BE0F"/>
    <w:rsid w:val="1EBF57C0"/>
    <w:rsid w:val="1EC32493"/>
    <w:rsid w:val="1EE8B989"/>
    <w:rsid w:val="1EED98D1"/>
    <w:rsid w:val="1EF9CE31"/>
    <w:rsid w:val="1F2C483E"/>
    <w:rsid w:val="1F579DB7"/>
    <w:rsid w:val="1F6DFC50"/>
    <w:rsid w:val="1F6FAD9E"/>
    <w:rsid w:val="1F85F5A9"/>
    <w:rsid w:val="1F8E6A86"/>
    <w:rsid w:val="1FB36567"/>
    <w:rsid w:val="1FD538C2"/>
    <w:rsid w:val="200EC18D"/>
    <w:rsid w:val="206094B8"/>
    <w:rsid w:val="208A5EDF"/>
    <w:rsid w:val="20FB059A"/>
    <w:rsid w:val="21465450"/>
    <w:rsid w:val="214A8C70"/>
    <w:rsid w:val="214B8DD3"/>
    <w:rsid w:val="21658E09"/>
    <w:rsid w:val="216D8DC7"/>
    <w:rsid w:val="21A840C6"/>
    <w:rsid w:val="21F293EB"/>
    <w:rsid w:val="22049640"/>
    <w:rsid w:val="22146641"/>
    <w:rsid w:val="2233EA21"/>
    <w:rsid w:val="22481ED6"/>
    <w:rsid w:val="2258018C"/>
    <w:rsid w:val="225F165F"/>
    <w:rsid w:val="227E2C3D"/>
    <w:rsid w:val="22904489"/>
    <w:rsid w:val="22959DCA"/>
    <w:rsid w:val="22A2BB6B"/>
    <w:rsid w:val="22A9459E"/>
    <w:rsid w:val="22B35935"/>
    <w:rsid w:val="22BE554E"/>
    <w:rsid w:val="22C97AE8"/>
    <w:rsid w:val="22CDDB77"/>
    <w:rsid w:val="22D0EDC6"/>
    <w:rsid w:val="2304FC6B"/>
    <w:rsid w:val="230C3EE5"/>
    <w:rsid w:val="23610951"/>
    <w:rsid w:val="237222B5"/>
    <w:rsid w:val="2378361E"/>
    <w:rsid w:val="237C3544"/>
    <w:rsid w:val="23983101"/>
    <w:rsid w:val="23E8225C"/>
    <w:rsid w:val="23F21609"/>
    <w:rsid w:val="24015379"/>
    <w:rsid w:val="241A92DE"/>
    <w:rsid w:val="2427BC1A"/>
    <w:rsid w:val="242A2CA2"/>
    <w:rsid w:val="2437E44E"/>
    <w:rsid w:val="246D269A"/>
    <w:rsid w:val="247BFD59"/>
    <w:rsid w:val="24A310AA"/>
    <w:rsid w:val="24A72F01"/>
    <w:rsid w:val="24A8E620"/>
    <w:rsid w:val="24C39894"/>
    <w:rsid w:val="24FC802B"/>
    <w:rsid w:val="24FD66FF"/>
    <w:rsid w:val="24FE5473"/>
    <w:rsid w:val="2523FA37"/>
    <w:rsid w:val="25350025"/>
    <w:rsid w:val="25744D7B"/>
    <w:rsid w:val="25EC642D"/>
    <w:rsid w:val="25F546DF"/>
    <w:rsid w:val="2604D680"/>
    <w:rsid w:val="260F13D2"/>
    <w:rsid w:val="261BB666"/>
    <w:rsid w:val="2623397E"/>
    <w:rsid w:val="263C489E"/>
    <w:rsid w:val="263F9D42"/>
    <w:rsid w:val="264006DC"/>
    <w:rsid w:val="266048C7"/>
    <w:rsid w:val="26E2533F"/>
    <w:rsid w:val="26EB60F5"/>
    <w:rsid w:val="2704DD08"/>
    <w:rsid w:val="270B338A"/>
    <w:rsid w:val="2740F076"/>
    <w:rsid w:val="2747FAA8"/>
    <w:rsid w:val="274CAAFB"/>
    <w:rsid w:val="2757D416"/>
    <w:rsid w:val="27703D05"/>
    <w:rsid w:val="2788F6E6"/>
    <w:rsid w:val="278EDB49"/>
    <w:rsid w:val="279BAF9F"/>
    <w:rsid w:val="27A50965"/>
    <w:rsid w:val="27D35DA6"/>
    <w:rsid w:val="27F881A7"/>
    <w:rsid w:val="2827298A"/>
    <w:rsid w:val="284956AE"/>
    <w:rsid w:val="28578FC8"/>
    <w:rsid w:val="286E0F58"/>
    <w:rsid w:val="2885614D"/>
    <w:rsid w:val="28BB9405"/>
    <w:rsid w:val="28C449F7"/>
    <w:rsid w:val="28CF95F4"/>
    <w:rsid w:val="28FF5C04"/>
    <w:rsid w:val="290951CF"/>
    <w:rsid w:val="291611EB"/>
    <w:rsid w:val="294D456C"/>
    <w:rsid w:val="29737CAD"/>
    <w:rsid w:val="2989623C"/>
    <w:rsid w:val="298E4115"/>
    <w:rsid w:val="29A2A7CB"/>
    <w:rsid w:val="29D3DA45"/>
    <w:rsid w:val="29EA6529"/>
    <w:rsid w:val="29FF1A39"/>
    <w:rsid w:val="2A077285"/>
    <w:rsid w:val="2A29ABEF"/>
    <w:rsid w:val="2A457340"/>
    <w:rsid w:val="2A596CB2"/>
    <w:rsid w:val="2A5B4832"/>
    <w:rsid w:val="2AD981F0"/>
    <w:rsid w:val="2B215D29"/>
    <w:rsid w:val="2B4707CD"/>
    <w:rsid w:val="2B574ED8"/>
    <w:rsid w:val="2B66E909"/>
    <w:rsid w:val="2B74F907"/>
    <w:rsid w:val="2BB7BAE4"/>
    <w:rsid w:val="2BEF153B"/>
    <w:rsid w:val="2C639995"/>
    <w:rsid w:val="2C6924EB"/>
    <w:rsid w:val="2C6F20C2"/>
    <w:rsid w:val="2C966970"/>
    <w:rsid w:val="2CAA70E2"/>
    <w:rsid w:val="2CB2E8C1"/>
    <w:rsid w:val="2D2783F5"/>
    <w:rsid w:val="2D49A2BB"/>
    <w:rsid w:val="2D4CDD29"/>
    <w:rsid w:val="2DA24E0C"/>
    <w:rsid w:val="2DA84CC7"/>
    <w:rsid w:val="2DCC36EC"/>
    <w:rsid w:val="2DD0D8AA"/>
    <w:rsid w:val="2DE72E4A"/>
    <w:rsid w:val="2E6D20FB"/>
    <w:rsid w:val="2E7B9B23"/>
    <w:rsid w:val="2E8067CD"/>
    <w:rsid w:val="2E9A26B0"/>
    <w:rsid w:val="2EBA41DE"/>
    <w:rsid w:val="2ED61A81"/>
    <w:rsid w:val="2EF57C1F"/>
    <w:rsid w:val="2EFBB632"/>
    <w:rsid w:val="2EFEEC80"/>
    <w:rsid w:val="2F11AD2C"/>
    <w:rsid w:val="2F2AEF4B"/>
    <w:rsid w:val="2F347A50"/>
    <w:rsid w:val="2F405ABE"/>
    <w:rsid w:val="2F4F102B"/>
    <w:rsid w:val="2F6F5C38"/>
    <w:rsid w:val="2F802D17"/>
    <w:rsid w:val="2FA492FD"/>
    <w:rsid w:val="2FA97081"/>
    <w:rsid w:val="2FD3A689"/>
    <w:rsid w:val="2FF046B0"/>
    <w:rsid w:val="2FFCDD5D"/>
    <w:rsid w:val="304BE47A"/>
    <w:rsid w:val="308F754B"/>
    <w:rsid w:val="30CF83FC"/>
    <w:rsid w:val="30DF1556"/>
    <w:rsid w:val="30E148F8"/>
    <w:rsid w:val="3120C2AB"/>
    <w:rsid w:val="3164C7B8"/>
    <w:rsid w:val="31710412"/>
    <w:rsid w:val="319226FD"/>
    <w:rsid w:val="3195DD37"/>
    <w:rsid w:val="31A75173"/>
    <w:rsid w:val="31BB3035"/>
    <w:rsid w:val="31F53634"/>
    <w:rsid w:val="31FF9146"/>
    <w:rsid w:val="321D2C7B"/>
    <w:rsid w:val="32427C63"/>
    <w:rsid w:val="32894CAF"/>
    <w:rsid w:val="328EE78C"/>
    <w:rsid w:val="32A1213F"/>
    <w:rsid w:val="32BDC456"/>
    <w:rsid w:val="32C187B8"/>
    <w:rsid w:val="32DD17D5"/>
    <w:rsid w:val="32F5CF9C"/>
    <w:rsid w:val="33171763"/>
    <w:rsid w:val="332997CD"/>
    <w:rsid w:val="334CA2D6"/>
    <w:rsid w:val="33791ECA"/>
    <w:rsid w:val="338380DF"/>
    <w:rsid w:val="33AAF6AF"/>
    <w:rsid w:val="33AD8FA2"/>
    <w:rsid w:val="33C901F7"/>
    <w:rsid w:val="34033360"/>
    <w:rsid w:val="34171F36"/>
    <w:rsid w:val="341E69D9"/>
    <w:rsid w:val="342388AA"/>
    <w:rsid w:val="347AB450"/>
    <w:rsid w:val="34924B42"/>
    <w:rsid w:val="349C3EA0"/>
    <w:rsid w:val="34E44E41"/>
    <w:rsid w:val="34E57047"/>
    <w:rsid w:val="34EF8C91"/>
    <w:rsid w:val="35009F2F"/>
    <w:rsid w:val="3554BA7C"/>
    <w:rsid w:val="356BF533"/>
    <w:rsid w:val="35AB22ED"/>
    <w:rsid w:val="35CC1A0A"/>
    <w:rsid w:val="35CE51F5"/>
    <w:rsid w:val="35DE67E6"/>
    <w:rsid w:val="3606656D"/>
    <w:rsid w:val="3655B96D"/>
    <w:rsid w:val="3659CB07"/>
    <w:rsid w:val="3678EABF"/>
    <w:rsid w:val="3689BA36"/>
    <w:rsid w:val="369AD2D1"/>
    <w:rsid w:val="36ACB197"/>
    <w:rsid w:val="36AF71CF"/>
    <w:rsid w:val="36D650F1"/>
    <w:rsid w:val="3707C594"/>
    <w:rsid w:val="371D5EDC"/>
    <w:rsid w:val="3740C3F4"/>
    <w:rsid w:val="37493052"/>
    <w:rsid w:val="37699711"/>
    <w:rsid w:val="376C0B36"/>
    <w:rsid w:val="37C34E11"/>
    <w:rsid w:val="3813B487"/>
    <w:rsid w:val="381687CE"/>
    <w:rsid w:val="3832BA62"/>
    <w:rsid w:val="38E500B3"/>
    <w:rsid w:val="38FFE9F0"/>
    <w:rsid w:val="39434C8F"/>
    <w:rsid w:val="39908ED8"/>
    <w:rsid w:val="399991B9"/>
    <w:rsid w:val="39AB646D"/>
    <w:rsid w:val="39B854C1"/>
    <w:rsid w:val="39DEC198"/>
    <w:rsid w:val="39E798C4"/>
    <w:rsid w:val="3A0D1D4A"/>
    <w:rsid w:val="3A2583D5"/>
    <w:rsid w:val="3A2FB8B6"/>
    <w:rsid w:val="3A3C684C"/>
    <w:rsid w:val="3A73E95E"/>
    <w:rsid w:val="3A7E9E94"/>
    <w:rsid w:val="3A95820A"/>
    <w:rsid w:val="3AC1A058"/>
    <w:rsid w:val="3AC33F24"/>
    <w:rsid w:val="3AC5EF17"/>
    <w:rsid w:val="3B5E84B3"/>
    <w:rsid w:val="3B7F11A7"/>
    <w:rsid w:val="3B903453"/>
    <w:rsid w:val="3BDAC233"/>
    <w:rsid w:val="3C2B2231"/>
    <w:rsid w:val="3C5DF9D7"/>
    <w:rsid w:val="3C8E5BAF"/>
    <w:rsid w:val="3C9CE134"/>
    <w:rsid w:val="3CDFD39B"/>
    <w:rsid w:val="3CEE4724"/>
    <w:rsid w:val="3CFAA90E"/>
    <w:rsid w:val="3D05A619"/>
    <w:rsid w:val="3D17E115"/>
    <w:rsid w:val="3D3B36DB"/>
    <w:rsid w:val="3D407805"/>
    <w:rsid w:val="3D40BC16"/>
    <w:rsid w:val="3D46BA8B"/>
    <w:rsid w:val="3D553711"/>
    <w:rsid w:val="3D702008"/>
    <w:rsid w:val="3DEE8DC0"/>
    <w:rsid w:val="3DF601BD"/>
    <w:rsid w:val="3E0F4FFB"/>
    <w:rsid w:val="3E132D7D"/>
    <w:rsid w:val="3E19A186"/>
    <w:rsid w:val="3E425EAE"/>
    <w:rsid w:val="3E522895"/>
    <w:rsid w:val="3E5DF2A3"/>
    <w:rsid w:val="3EA291CA"/>
    <w:rsid w:val="3EC88FCA"/>
    <w:rsid w:val="3ECFC570"/>
    <w:rsid w:val="3EE06615"/>
    <w:rsid w:val="3EEE2604"/>
    <w:rsid w:val="3F1ACB5D"/>
    <w:rsid w:val="3F57ECE6"/>
    <w:rsid w:val="3F5FD4B5"/>
    <w:rsid w:val="3F779FCA"/>
    <w:rsid w:val="3F783C11"/>
    <w:rsid w:val="3FBB1B0E"/>
    <w:rsid w:val="3FC27B88"/>
    <w:rsid w:val="3FC4B480"/>
    <w:rsid w:val="3FCE2463"/>
    <w:rsid w:val="3FD5FEAB"/>
    <w:rsid w:val="3FE49095"/>
    <w:rsid w:val="3FF74380"/>
    <w:rsid w:val="400DCEBC"/>
    <w:rsid w:val="400E7261"/>
    <w:rsid w:val="4015EAC7"/>
    <w:rsid w:val="401867FF"/>
    <w:rsid w:val="402B859D"/>
    <w:rsid w:val="404CC5CC"/>
    <w:rsid w:val="4076CD0F"/>
    <w:rsid w:val="4094C559"/>
    <w:rsid w:val="4094F74C"/>
    <w:rsid w:val="40C63126"/>
    <w:rsid w:val="40C6FB99"/>
    <w:rsid w:val="41469336"/>
    <w:rsid w:val="41B1DA05"/>
    <w:rsid w:val="41E85704"/>
    <w:rsid w:val="41EC3956"/>
    <w:rsid w:val="42076632"/>
    <w:rsid w:val="424C97E9"/>
    <w:rsid w:val="42B297B2"/>
    <w:rsid w:val="42B2A566"/>
    <w:rsid w:val="42BFBB31"/>
    <w:rsid w:val="42C3FBC6"/>
    <w:rsid w:val="42C3FD0E"/>
    <w:rsid w:val="42E45BEE"/>
    <w:rsid w:val="4306231C"/>
    <w:rsid w:val="43354277"/>
    <w:rsid w:val="434456A1"/>
    <w:rsid w:val="4350EDE7"/>
    <w:rsid w:val="4355B82C"/>
    <w:rsid w:val="437FC167"/>
    <w:rsid w:val="439C1FF0"/>
    <w:rsid w:val="43CCDED8"/>
    <w:rsid w:val="4412E8A5"/>
    <w:rsid w:val="4420CA5F"/>
    <w:rsid w:val="4435A5BA"/>
    <w:rsid w:val="445806EB"/>
    <w:rsid w:val="44C3F44E"/>
    <w:rsid w:val="450182C0"/>
    <w:rsid w:val="4515D594"/>
    <w:rsid w:val="451F5C8D"/>
    <w:rsid w:val="4530D88E"/>
    <w:rsid w:val="4531478C"/>
    <w:rsid w:val="4579B1A0"/>
    <w:rsid w:val="4582712E"/>
    <w:rsid w:val="4596AEDB"/>
    <w:rsid w:val="45B605D7"/>
    <w:rsid w:val="45D4AF11"/>
    <w:rsid w:val="45D9FBBD"/>
    <w:rsid w:val="45DC9567"/>
    <w:rsid w:val="4602E93D"/>
    <w:rsid w:val="46032A88"/>
    <w:rsid w:val="4624B36B"/>
    <w:rsid w:val="46383ED0"/>
    <w:rsid w:val="4649D5A1"/>
    <w:rsid w:val="469C9AE3"/>
    <w:rsid w:val="469D8D7A"/>
    <w:rsid w:val="46D9177D"/>
    <w:rsid w:val="46E5F282"/>
    <w:rsid w:val="46F6BE41"/>
    <w:rsid w:val="4702B754"/>
    <w:rsid w:val="470F813B"/>
    <w:rsid w:val="471B790E"/>
    <w:rsid w:val="471EDA1C"/>
    <w:rsid w:val="474E354C"/>
    <w:rsid w:val="4782A4ED"/>
    <w:rsid w:val="478A3BDA"/>
    <w:rsid w:val="479491BD"/>
    <w:rsid w:val="47D78BCB"/>
    <w:rsid w:val="47DC0A4A"/>
    <w:rsid w:val="48095066"/>
    <w:rsid w:val="482C29FA"/>
    <w:rsid w:val="4890315A"/>
    <w:rsid w:val="48AE6C5E"/>
    <w:rsid w:val="48D4139C"/>
    <w:rsid w:val="48DAFF7C"/>
    <w:rsid w:val="48E9E9A6"/>
    <w:rsid w:val="49031203"/>
    <w:rsid w:val="492F7192"/>
    <w:rsid w:val="4931304D"/>
    <w:rsid w:val="4990FAF5"/>
    <w:rsid w:val="49A406A2"/>
    <w:rsid w:val="49B34A04"/>
    <w:rsid w:val="49BE56A3"/>
    <w:rsid w:val="49C64429"/>
    <w:rsid w:val="49F55569"/>
    <w:rsid w:val="4A115D7A"/>
    <w:rsid w:val="4A56EB85"/>
    <w:rsid w:val="4AA363DD"/>
    <w:rsid w:val="4AB6DAF4"/>
    <w:rsid w:val="4AF2793D"/>
    <w:rsid w:val="4AF797C7"/>
    <w:rsid w:val="4B18E44C"/>
    <w:rsid w:val="4B39110F"/>
    <w:rsid w:val="4B3E224D"/>
    <w:rsid w:val="4B4010D5"/>
    <w:rsid w:val="4B4154F5"/>
    <w:rsid w:val="4B55F463"/>
    <w:rsid w:val="4B5CB7B5"/>
    <w:rsid w:val="4B9C2464"/>
    <w:rsid w:val="4BD7BDA0"/>
    <w:rsid w:val="4BE7A82D"/>
    <w:rsid w:val="4C1ECA83"/>
    <w:rsid w:val="4C6EAF9F"/>
    <w:rsid w:val="4C7EE9D9"/>
    <w:rsid w:val="4C898346"/>
    <w:rsid w:val="4CCBF517"/>
    <w:rsid w:val="4CDA97DD"/>
    <w:rsid w:val="4D268832"/>
    <w:rsid w:val="4D7D0AA8"/>
    <w:rsid w:val="4D92962A"/>
    <w:rsid w:val="4DF6E9E5"/>
    <w:rsid w:val="4E3DE3AA"/>
    <w:rsid w:val="4E4AA1AB"/>
    <w:rsid w:val="4E675E73"/>
    <w:rsid w:val="4E711872"/>
    <w:rsid w:val="4E9E0B6A"/>
    <w:rsid w:val="4EA20DF4"/>
    <w:rsid w:val="4EBDE12C"/>
    <w:rsid w:val="4ECD1914"/>
    <w:rsid w:val="4EEF02DD"/>
    <w:rsid w:val="4EF75478"/>
    <w:rsid w:val="4F2612D0"/>
    <w:rsid w:val="4F29B139"/>
    <w:rsid w:val="4F3A5D71"/>
    <w:rsid w:val="4F441507"/>
    <w:rsid w:val="4F68A07B"/>
    <w:rsid w:val="4F85FFBB"/>
    <w:rsid w:val="4FE9B358"/>
    <w:rsid w:val="5006F2B4"/>
    <w:rsid w:val="50134826"/>
    <w:rsid w:val="5017A8DC"/>
    <w:rsid w:val="505251C9"/>
    <w:rsid w:val="505C04A4"/>
    <w:rsid w:val="506F2CA5"/>
    <w:rsid w:val="50899C4D"/>
    <w:rsid w:val="509CA54D"/>
    <w:rsid w:val="50F97D04"/>
    <w:rsid w:val="511C4900"/>
    <w:rsid w:val="51454F35"/>
    <w:rsid w:val="5152F57F"/>
    <w:rsid w:val="515CF469"/>
    <w:rsid w:val="516AF37C"/>
    <w:rsid w:val="51714196"/>
    <w:rsid w:val="5175F407"/>
    <w:rsid w:val="517BB704"/>
    <w:rsid w:val="517C0580"/>
    <w:rsid w:val="519EFF35"/>
    <w:rsid w:val="51AFC198"/>
    <w:rsid w:val="51B82DB1"/>
    <w:rsid w:val="51F827B6"/>
    <w:rsid w:val="52089445"/>
    <w:rsid w:val="520C615F"/>
    <w:rsid w:val="520CEF5D"/>
    <w:rsid w:val="521390F1"/>
    <w:rsid w:val="5246E923"/>
    <w:rsid w:val="52483164"/>
    <w:rsid w:val="524E3A4E"/>
    <w:rsid w:val="526D38BD"/>
    <w:rsid w:val="5278CF58"/>
    <w:rsid w:val="52939290"/>
    <w:rsid w:val="52AFD6A1"/>
    <w:rsid w:val="52CA2919"/>
    <w:rsid w:val="52DAD8E8"/>
    <w:rsid w:val="52F082EC"/>
    <w:rsid w:val="532121D7"/>
    <w:rsid w:val="535B4F64"/>
    <w:rsid w:val="53A9F946"/>
    <w:rsid w:val="53D6EAE7"/>
    <w:rsid w:val="53E54E2B"/>
    <w:rsid w:val="53EB6F6A"/>
    <w:rsid w:val="540BDA17"/>
    <w:rsid w:val="541EBF95"/>
    <w:rsid w:val="54429206"/>
    <w:rsid w:val="545DC234"/>
    <w:rsid w:val="546AD866"/>
    <w:rsid w:val="5473B707"/>
    <w:rsid w:val="54BABB96"/>
    <w:rsid w:val="55063A57"/>
    <w:rsid w:val="550BB49B"/>
    <w:rsid w:val="55354D86"/>
    <w:rsid w:val="556DB040"/>
    <w:rsid w:val="556FCAF6"/>
    <w:rsid w:val="5572EDC9"/>
    <w:rsid w:val="55B1043E"/>
    <w:rsid w:val="55C945EA"/>
    <w:rsid w:val="55D691C6"/>
    <w:rsid w:val="55E3EB75"/>
    <w:rsid w:val="55F18078"/>
    <w:rsid w:val="55FCB9C3"/>
    <w:rsid w:val="560B0C51"/>
    <w:rsid w:val="5620DAF2"/>
    <w:rsid w:val="5641A01D"/>
    <w:rsid w:val="56639832"/>
    <w:rsid w:val="5664D49D"/>
    <w:rsid w:val="56AD908A"/>
    <w:rsid w:val="56EABA3F"/>
    <w:rsid w:val="56F9601E"/>
    <w:rsid w:val="571152A6"/>
    <w:rsid w:val="5768C5AA"/>
    <w:rsid w:val="578118DB"/>
    <w:rsid w:val="579C764B"/>
    <w:rsid w:val="57A891EE"/>
    <w:rsid w:val="57E9965B"/>
    <w:rsid w:val="57FB904C"/>
    <w:rsid w:val="582A95C1"/>
    <w:rsid w:val="58A7B326"/>
    <w:rsid w:val="58B55F73"/>
    <w:rsid w:val="58BC031D"/>
    <w:rsid w:val="58BC99AC"/>
    <w:rsid w:val="59361FF2"/>
    <w:rsid w:val="59370D6C"/>
    <w:rsid w:val="593A54C4"/>
    <w:rsid w:val="59819411"/>
    <w:rsid w:val="59A5792C"/>
    <w:rsid w:val="59AC7B94"/>
    <w:rsid w:val="59BD3FCF"/>
    <w:rsid w:val="59BF1245"/>
    <w:rsid w:val="59C33F96"/>
    <w:rsid w:val="5A16215E"/>
    <w:rsid w:val="5A18A1BA"/>
    <w:rsid w:val="5A1D2B5F"/>
    <w:rsid w:val="5A1EA2D6"/>
    <w:rsid w:val="5A296073"/>
    <w:rsid w:val="5AB2EEF4"/>
    <w:rsid w:val="5AEDBC1C"/>
    <w:rsid w:val="5AF4334B"/>
    <w:rsid w:val="5AFA75C7"/>
    <w:rsid w:val="5B1AD334"/>
    <w:rsid w:val="5B23DCE4"/>
    <w:rsid w:val="5B271115"/>
    <w:rsid w:val="5B484BF5"/>
    <w:rsid w:val="5B591030"/>
    <w:rsid w:val="5B7C601A"/>
    <w:rsid w:val="5B86150F"/>
    <w:rsid w:val="5C31E9D2"/>
    <w:rsid w:val="5C38B8D5"/>
    <w:rsid w:val="5C5E4BC9"/>
    <w:rsid w:val="5C980A96"/>
    <w:rsid w:val="5CACA51E"/>
    <w:rsid w:val="5CF657F8"/>
    <w:rsid w:val="5CFCA545"/>
    <w:rsid w:val="5D48D8D6"/>
    <w:rsid w:val="5DE1A3AB"/>
    <w:rsid w:val="5E085CA1"/>
    <w:rsid w:val="5E21E491"/>
    <w:rsid w:val="5E3F7ADD"/>
    <w:rsid w:val="5E54078D"/>
    <w:rsid w:val="5E63DB1A"/>
    <w:rsid w:val="5E73C68A"/>
    <w:rsid w:val="5EA67F50"/>
    <w:rsid w:val="5EC6A6A4"/>
    <w:rsid w:val="5F20FCC8"/>
    <w:rsid w:val="5F3BBF32"/>
    <w:rsid w:val="5F437449"/>
    <w:rsid w:val="5F68DB62"/>
    <w:rsid w:val="5F89520E"/>
    <w:rsid w:val="5FDF5F4B"/>
    <w:rsid w:val="5FE7EB4A"/>
    <w:rsid w:val="6021A729"/>
    <w:rsid w:val="610AC830"/>
    <w:rsid w:val="61382D96"/>
    <w:rsid w:val="6152CD94"/>
    <w:rsid w:val="6164A4A4"/>
    <w:rsid w:val="617B0405"/>
    <w:rsid w:val="618DEB4A"/>
    <w:rsid w:val="618EB737"/>
    <w:rsid w:val="619A16D0"/>
    <w:rsid w:val="61A63CD3"/>
    <w:rsid w:val="61DD84D9"/>
    <w:rsid w:val="624DB2C9"/>
    <w:rsid w:val="626B38CD"/>
    <w:rsid w:val="627ED86D"/>
    <w:rsid w:val="62883998"/>
    <w:rsid w:val="62B1B037"/>
    <w:rsid w:val="62B659E9"/>
    <w:rsid w:val="62C614BF"/>
    <w:rsid w:val="62D7F773"/>
    <w:rsid w:val="62EE9DF5"/>
    <w:rsid w:val="63020E73"/>
    <w:rsid w:val="632A932B"/>
    <w:rsid w:val="63B4B758"/>
    <w:rsid w:val="63BD772F"/>
    <w:rsid w:val="63D04654"/>
    <w:rsid w:val="63D509EB"/>
    <w:rsid w:val="63F7DF49"/>
    <w:rsid w:val="643C0F9F"/>
    <w:rsid w:val="646DB366"/>
    <w:rsid w:val="6496BF8A"/>
    <w:rsid w:val="649B64C3"/>
    <w:rsid w:val="64AB4FA4"/>
    <w:rsid w:val="64DE1427"/>
    <w:rsid w:val="650573AA"/>
    <w:rsid w:val="65274E3B"/>
    <w:rsid w:val="6534C575"/>
    <w:rsid w:val="6537EC3C"/>
    <w:rsid w:val="65898DA2"/>
    <w:rsid w:val="658BED0A"/>
    <w:rsid w:val="65CF71C6"/>
    <w:rsid w:val="65DA6F46"/>
    <w:rsid w:val="6609BCFA"/>
    <w:rsid w:val="662B17E1"/>
    <w:rsid w:val="6655F049"/>
    <w:rsid w:val="667D0BB6"/>
    <w:rsid w:val="6682871C"/>
    <w:rsid w:val="6689B11D"/>
    <w:rsid w:val="669E4C47"/>
    <w:rsid w:val="66EDD232"/>
    <w:rsid w:val="66FC74F9"/>
    <w:rsid w:val="6716EF88"/>
    <w:rsid w:val="672A8096"/>
    <w:rsid w:val="6747AEFE"/>
    <w:rsid w:val="67498CA1"/>
    <w:rsid w:val="674D41F5"/>
    <w:rsid w:val="6797A0E8"/>
    <w:rsid w:val="67B1AA8A"/>
    <w:rsid w:val="67C98400"/>
    <w:rsid w:val="67E1B6A9"/>
    <w:rsid w:val="67E604C3"/>
    <w:rsid w:val="67F90C77"/>
    <w:rsid w:val="682101C1"/>
    <w:rsid w:val="682342FE"/>
    <w:rsid w:val="682A7D71"/>
    <w:rsid w:val="683D92FF"/>
    <w:rsid w:val="684A909D"/>
    <w:rsid w:val="68C58C0C"/>
    <w:rsid w:val="68E31AB8"/>
    <w:rsid w:val="68F6E7CD"/>
    <w:rsid w:val="6927B051"/>
    <w:rsid w:val="693BB9DC"/>
    <w:rsid w:val="6944EF1F"/>
    <w:rsid w:val="696C25F3"/>
    <w:rsid w:val="69700BD7"/>
    <w:rsid w:val="6979CF3D"/>
    <w:rsid w:val="698D1721"/>
    <w:rsid w:val="69904CBA"/>
    <w:rsid w:val="69A00A26"/>
    <w:rsid w:val="69CF79DB"/>
    <w:rsid w:val="69F17F68"/>
    <w:rsid w:val="6A282FDD"/>
    <w:rsid w:val="6A9D6746"/>
    <w:rsid w:val="6AAF4982"/>
    <w:rsid w:val="6ACABF49"/>
    <w:rsid w:val="6AE0877D"/>
    <w:rsid w:val="6AE157A5"/>
    <w:rsid w:val="6B05D808"/>
    <w:rsid w:val="6B07F654"/>
    <w:rsid w:val="6B1472A5"/>
    <w:rsid w:val="6B44521A"/>
    <w:rsid w:val="6B4B426E"/>
    <w:rsid w:val="6B5D1A47"/>
    <w:rsid w:val="6B7635CB"/>
    <w:rsid w:val="6BB54C6D"/>
    <w:rsid w:val="6BB90336"/>
    <w:rsid w:val="6BD7F5FB"/>
    <w:rsid w:val="6BF284BD"/>
    <w:rsid w:val="6C0A7F0B"/>
    <w:rsid w:val="6C32E432"/>
    <w:rsid w:val="6C3854B0"/>
    <w:rsid w:val="6C46B92D"/>
    <w:rsid w:val="6C84715E"/>
    <w:rsid w:val="6CA374B6"/>
    <w:rsid w:val="6CAFE713"/>
    <w:rsid w:val="6CF6B421"/>
    <w:rsid w:val="6CF81823"/>
    <w:rsid w:val="6D08A2BA"/>
    <w:rsid w:val="6D19ABBB"/>
    <w:rsid w:val="6D224D23"/>
    <w:rsid w:val="6D2F9097"/>
    <w:rsid w:val="6D532076"/>
    <w:rsid w:val="6D780305"/>
    <w:rsid w:val="6D8AEC94"/>
    <w:rsid w:val="6DBD83A6"/>
    <w:rsid w:val="6DC84991"/>
    <w:rsid w:val="6DE3132E"/>
    <w:rsid w:val="6E035329"/>
    <w:rsid w:val="6E31C511"/>
    <w:rsid w:val="6E3557E2"/>
    <w:rsid w:val="6E5B8DA8"/>
    <w:rsid w:val="6E602A55"/>
    <w:rsid w:val="6E989246"/>
    <w:rsid w:val="6EA4D0FA"/>
    <w:rsid w:val="6EC01BC1"/>
    <w:rsid w:val="6EEDCAC0"/>
    <w:rsid w:val="6F212D4F"/>
    <w:rsid w:val="6F26CEE8"/>
    <w:rsid w:val="6F2C4108"/>
    <w:rsid w:val="6F60F96C"/>
    <w:rsid w:val="6F8CCB94"/>
    <w:rsid w:val="6FC1591D"/>
    <w:rsid w:val="6FE1A05B"/>
    <w:rsid w:val="6FEF4BF0"/>
    <w:rsid w:val="7027DC4C"/>
    <w:rsid w:val="7040110B"/>
    <w:rsid w:val="70B6E4B0"/>
    <w:rsid w:val="70C66535"/>
    <w:rsid w:val="70CE9D8A"/>
    <w:rsid w:val="70E08E57"/>
    <w:rsid w:val="70E56807"/>
    <w:rsid w:val="718B555A"/>
    <w:rsid w:val="71A72A3A"/>
    <w:rsid w:val="71D3FF9F"/>
    <w:rsid w:val="71E26CEA"/>
    <w:rsid w:val="71E37674"/>
    <w:rsid w:val="72150612"/>
    <w:rsid w:val="725CB918"/>
    <w:rsid w:val="7283A636"/>
    <w:rsid w:val="72AD8860"/>
    <w:rsid w:val="730A87F7"/>
    <w:rsid w:val="7314D8A9"/>
    <w:rsid w:val="731AFFFB"/>
    <w:rsid w:val="732D2BD3"/>
    <w:rsid w:val="734C9104"/>
    <w:rsid w:val="734EC030"/>
    <w:rsid w:val="73AB3B96"/>
    <w:rsid w:val="73C53710"/>
    <w:rsid w:val="73DDA465"/>
    <w:rsid w:val="73E55CE8"/>
    <w:rsid w:val="73EBDC67"/>
    <w:rsid w:val="73F58B9A"/>
    <w:rsid w:val="746BFE43"/>
    <w:rsid w:val="7473D16E"/>
    <w:rsid w:val="7488A09E"/>
    <w:rsid w:val="748C8B07"/>
    <w:rsid w:val="74B0ECF9"/>
    <w:rsid w:val="75317882"/>
    <w:rsid w:val="75390E1D"/>
    <w:rsid w:val="7539F486"/>
    <w:rsid w:val="753C46D3"/>
    <w:rsid w:val="75906ED3"/>
    <w:rsid w:val="759AD71D"/>
    <w:rsid w:val="759F661C"/>
    <w:rsid w:val="75A1B046"/>
    <w:rsid w:val="75C406A5"/>
    <w:rsid w:val="75CB1D2F"/>
    <w:rsid w:val="75EE9602"/>
    <w:rsid w:val="762EDE49"/>
    <w:rsid w:val="7651D27B"/>
    <w:rsid w:val="76634478"/>
    <w:rsid w:val="7672EBB8"/>
    <w:rsid w:val="767F2D7F"/>
    <w:rsid w:val="768D5DCE"/>
    <w:rsid w:val="76A8EE8A"/>
    <w:rsid w:val="76ECFD2C"/>
    <w:rsid w:val="76ED4834"/>
    <w:rsid w:val="77039BED"/>
    <w:rsid w:val="7739F073"/>
    <w:rsid w:val="773D8829"/>
    <w:rsid w:val="774445C4"/>
    <w:rsid w:val="777332CB"/>
    <w:rsid w:val="777A580C"/>
    <w:rsid w:val="7792D74C"/>
    <w:rsid w:val="77BFED40"/>
    <w:rsid w:val="77D6B063"/>
    <w:rsid w:val="77F86101"/>
    <w:rsid w:val="78200227"/>
    <w:rsid w:val="78293FF7"/>
    <w:rsid w:val="786A892D"/>
    <w:rsid w:val="788C76E3"/>
    <w:rsid w:val="78C0F6C6"/>
    <w:rsid w:val="7902BDF1"/>
    <w:rsid w:val="79043918"/>
    <w:rsid w:val="79128F93"/>
    <w:rsid w:val="7927A101"/>
    <w:rsid w:val="793881DE"/>
    <w:rsid w:val="793D9037"/>
    <w:rsid w:val="797BFF72"/>
    <w:rsid w:val="79A9C5F7"/>
    <w:rsid w:val="79C68092"/>
    <w:rsid w:val="79CE8B94"/>
    <w:rsid w:val="79F2B7FA"/>
    <w:rsid w:val="79FDD702"/>
    <w:rsid w:val="7A093B91"/>
    <w:rsid w:val="7A0E61AF"/>
    <w:rsid w:val="7A337255"/>
    <w:rsid w:val="7A70FB7F"/>
    <w:rsid w:val="7A9E8E52"/>
    <w:rsid w:val="7B32D632"/>
    <w:rsid w:val="7B36CC66"/>
    <w:rsid w:val="7BA8474F"/>
    <w:rsid w:val="7BA9B714"/>
    <w:rsid w:val="7BAEC4B5"/>
    <w:rsid w:val="7BC81532"/>
    <w:rsid w:val="7BF1A961"/>
    <w:rsid w:val="7C584BDF"/>
    <w:rsid w:val="7C6DDFA7"/>
    <w:rsid w:val="7C75C0B8"/>
    <w:rsid w:val="7C9A692E"/>
    <w:rsid w:val="7CCB891B"/>
    <w:rsid w:val="7D04160A"/>
    <w:rsid w:val="7D0C4774"/>
    <w:rsid w:val="7D21C2AE"/>
    <w:rsid w:val="7D69D6FC"/>
    <w:rsid w:val="7D80BA2C"/>
    <w:rsid w:val="7D86030A"/>
    <w:rsid w:val="7D8D6E52"/>
    <w:rsid w:val="7DB49CFC"/>
    <w:rsid w:val="7DB63093"/>
    <w:rsid w:val="7DDB9A05"/>
    <w:rsid w:val="7E4DD216"/>
    <w:rsid w:val="7E7A25CB"/>
    <w:rsid w:val="7E9466BD"/>
    <w:rsid w:val="7EA0EBCA"/>
    <w:rsid w:val="7EA6C37F"/>
    <w:rsid w:val="7ECA9A2A"/>
    <w:rsid w:val="7EE84CFE"/>
    <w:rsid w:val="7EF9DB93"/>
    <w:rsid w:val="7F05B2BF"/>
    <w:rsid w:val="7F233259"/>
    <w:rsid w:val="7F34B3AC"/>
    <w:rsid w:val="7F3B2F0C"/>
    <w:rsid w:val="7F4D28E0"/>
    <w:rsid w:val="7F4FE15F"/>
    <w:rsid w:val="7F73F9F8"/>
    <w:rsid w:val="7F76C629"/>
    <w:rsid w:val="7FAA9081"/>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EE8EFC"/>
  <w15:docId w15:val="{3665FF20-E574-493E-941C-BA242429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51A4"/>
    <w:pPr>
      <w:suppressAutoHyphens/>
    </w:pPr>
    <w:rPr>
      <w:rFonts w:ascii="Arial" w:hAnsi="Arial"/>
      <w:sz w:val="24"/>
      <w:szCs w:val="24"/>
      <w:lang w:eastAsia="ar-SA"/>
    </w:rPr>
  </w:style>
  <w:style w:type="paragraph" w:styleId="Ttulo1">
    <w:name w:val="heading 1"/>
    <w:basedOn w:val="Normal"/>
    <w:next w:val="Normal"/>
    <w:link w:val="Ttulo1Car"/>
    <w:uiPriority w:val="9"/>
    <w:qFormat/>
    <w:rsid w:val="002F50E7"/>
    <w:pPr>
      <w:keepNext/>
      <w:keepLines/>
      <w:spacing w:before="240" w:line="360" w:lineRule="auto"/>
      <w:outlineLvl w:val="0"/>
    </w:pPr>
    <w:rPr>
      <w:rFonts w:eastAsiaTheme="majorEastAsia" w:cstheme="majorBidi"/>
      <w:b/>
      <w:sz w:val="32"/>
      <w:szCs w:val="32"/>
    </w:rPr>
  </w:style>
  <w:style w:type="paragraph" w:styleId="Ttulo2">
    <w:name w:val="heading 2"/>
    <w:basedOn w:val="Normal"/>
    <w:next w:val="Normal"/>
    <w:link w:val="Ttulo2Car"/>
    <w:uiPriority w:val="9"/>
    <w:unhideWhenUsed/>
    <w:qFormat/>
    <w:rsid w:val="000C0C56"/>
    <w:pPr>
      <w:keepNext/>
      <w:keepLines/>
      <w:spacing w:before="40" w:line="360" w:lineRule="auto"/>
      <w:jc w:val="center"/>
      <w:outlineLvl w:val="1"/>
    </w:pPr>
    <w:rPr>
      <w:rFonts w:eastAsiaTheme="majorEastAsia" w:cstheme="majorBidi"/>
      <w:b/>
      <w:sz w:val="26"/>
      <w:szCs w:val="26"/>
    </w:rPr>
  </w:style>
  <w:style w:type="paragraph" w:styleId="Ttulo3">
    <w:name w:val="heading 3"/>
    <w:basedOn w:val="Normal"/>
    <w:next w:val="Normal"/>
    <w:link w:val="Ttulo3Car"/>
    <w:qFormat/>
    <w:rsid w:val="000C0C56"/>
    <w:pPr>
      <w:keepNext/>
      <w:tabs>
        <w:tab w:val="left" w:pos="1248"/>
      </w:tabs>
      <w:overflowPunct w:val="0"/>
      <w:autoSpaceDE w:val="0"/>
      <w:spacing w:before="60" w:after="60" w:line="360" w:lineRule="auto"/>
      <w:ind w:left="57"/>
      <w:textAlignment w:val="baseline"/>
      <w:outlineLvl w:val="2"/>
    </w:pPr>
    <w:rPr>
      <w:b/>
      <w:szCs w:val="20"/>
    </w:rPr>
  </w:style>
  <w:style w:type="paragraph" w:styleId="Ttulo4">
    <w:name w:val="heading 4"/>
    <w:basedOn w:val="Normal"/>
    <w:next w:val="Normal"/>
    <w:link w:val="Ttulo4Car"/>
    <w:uiPriority w:val="9"/>
    <w:qFormat/>
    <w:pPr>
      <w:keepNext/>
      <w:widowControl w:val="0"/>
      <w:jc w:val="both"/>
      <w:outlineLvl w:val="3"/>
    </w:pPr>
    <w:rPr>
      <w:rFonts w:ascii="Univers" w:hAnsi="Univers"/>
      <w:b/>
      <w:sz w:val="20"/>
      <w:szCs w:val="20"/>
      <w:lang w:val="es-ES_tradnl" w:eastAsia="he-IL" w:bidi="he-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8Num1z0">
    <w:name w:val="WW8Num1z0"/>
    <w:rPr>
      <w:rFonts w:ascii="Symbol" w:hAnsi="Symbol"/>
    </w:rPr>
  </w:style>
  <w:style w:type="character" w:customStyle="1" w:styleId="WW8Num2z0">
    <w:name w:val="WW8Num2z0"/>
    <w:rPr>
      <w:rFonts w:ascii="Symbol" w:hAnsi="Symbol"/>
    </w:rPr>
  </w:style>
  <w:style w:type="character" w:customStyle="1" w:styleId="WW8Num2z1">
    <w:name w:val="WW8Num2z1"/>
    <w:rPr>
      <w:rFonts w:ascii="Arial" w:hAnsi="Arial"/>
      <w:b w:val="0"/>
      <w:i w:val="0"/>
    </w:rPr>
  </w:style>
  <w:style w:type="character" w:customStyle="1" w:styleId="WW8Num2z2">
    <w:name w:val="WW8Num2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Fuentedeprrafopredeter2">
    <w:name w:val="Fuente de párrafo predeter.2"/>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6z1">
    <w:name w:val="WW8Num6z1"/>
    <w:rPr>
      <w:rFonts w:ascii="Arial" w:hAnsi="Arial"/>
      <w:b/>
      <w:i w:val="0"/>
    </w:rPr>
  </w:style>
  <w:style w:type="character" w:customStyle="1" w:styleId="WW8Num7z1">
    <w:name w:val="WW8Num7z1"/>
    <w:rPr>
      <w:b w:val="0"/>
      <w:i w:val="0"/>
    </w:rPr>
  </w:style>
  <w:style w:type="character" w:customStyle="1" w:styleId="Fuentedeprrafopredeter1">
    <w:name w:val="Fuente de párrafo predeter.1"/>
  </w:style>
  <w:style w:type="character" w:customStyle="1" w:styleId="eacep1">
    <w:name w:val="eacep1"/>
    <w:rPr>
      <w:color w:val="000000"/>
    </w:rPr>
  </w:style>
  <w:style w:type="character" w:styleId="Hipervnculo">
    <w:name w:val="Hyperlink"/>
    <w:uiPriority w:val="99"/>
    <w:rPr>
      <w:color w:val="0000FF"/>
      <w:u w:val="single"/>
    </w:rPr>
  </w:style>
  <w:style w:type="paragraph" w:customStyle="1" w:styleId="Encabezado2">
    <w:name w:val="Encabezado2"/>
    <w:basedOn w:val="Normal"/>
    <w:next w:val="Textoindependiente"/>
    <w:pPr>
      <w:keepNext/>
      <w:spacing w:before="240" w:after="120"/>
    </w:pPr>
    <w:rPr>
      <w:rFonts w:eastAsia="Lucida Sans Unicode" w:cs="Tahoma"/>
      <w:sz w:val="28"/>
      <w:szCs w:val="28"/>
    </w:rPr>
  </w:style>
  <w:style w:type="paragraph" w:styleId="Textoindependiente">
    <w:name w:val="Body Text"/>
    <w:basedOn w:val="Normal"/>
    <w:link w:val="TextoindependienteCar"/>
    <w:semiHidden/>
    <w:pPr>
      <w:overflowPunct w:val="0"/>
      <w:autoSpaceDE w:val="0"/>
      <w:jc w:val="both"/>
      <w:textAlignment w:val="baseline"/>
    </w:pPr>
    <w:rPr>
      <w:rFonts w:ascii="Tahoma" w:hAnsi="Tahoma" w:cs="Tahoma"/>
      <w:sz w:val="20"/>
      <w:szCs w:val="20"/>
    </w:rPr>
  </w:style>
  <w:style w:type="paragraph" w:styleId="Lista">
    <w:name w:val="List"/>
    <w:basedOn w:val="Textoindependiente"/>
    <w:semiHidden/>
    <w:rPr>
      <w:rFonts w:ascii="Arial" w:hAnsi="Arial"/>
    </w:rPr>
  </w:style>
  <w:style w:type="paragraph" w:customStyle="1" w:styleId="Etiqueta">
    <w:name w:val="Etiqueta"/>
    <w:basedOn w:val="Normal"/>
    <w:pPr>
      <w:suppressLineNumbers/>
      <w:spacing w:before="120" w:after="120"/>
    </w:pPr>
    <w:rPr>
      <w:rFonts w:cs="Tahoma"/>
      <w:i/>
      <w:iCs/>
      <w:sz w:val="20"/>
      <w:szCs w:val="20"/>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eastAsia="Lucida Sans Unicode" w:cs="Tahoma"/>
      <w:sz w:val="28"/>
      <w:szCs w:val="28"/>
    </w:rPr>
  </w:style>
  <w:style w:type="paragraph" w:customStyle="1" w:styleId="Textoindependiente31">
    <w:name w:val="Texto independiente 31"/>
    <w:basedOn w:val="Normal"/>
    <w:pPr>
      <w:overflowPunct w:val="0"/>
      <w:autoSpaceDE w:val="0"/>
      <w:spacing w:before="200"/>
      <w:jc w:val="center"/>
      <w:textAlignment w:val="baseline"/>
    </w:pPr>
    <w:rPr>
      <w:sz w:val="12"/>
      <w:szCs w:val="20"/>
    </w:rPr>
  </w:style>
  <w:style w:type="paragraph" w:styleId="Encabezado">
    <w:name w:val="header"/>
    <w:aliases w:val="encabezado,Cover Page,AL Encabezado,Encabezado AL,h,h8,h9,h10,h18"/>
    <w:basedOn w:val="Normal"/>
    <w:link w:val="EncabezadoCar"/>
    <w:pPr>
      <w:tabs>
        <w:tab w:val="center" w:pos="4419"/>
        <w:tab w:val="right" w:pos="8838"/>
      </w:tabs>
      <w:overflowPunct w:val="0"/>
      <w:autoSpaceDE w:val="0"/>
      <w:textAlignment w:val="baseline"/>
    </w:pPr>
    <w:rPr>
      <w:szCs w:val="20"/>
    </w:rPr>
  </w:style>
  <w:style w:type="paragraph" w:styleId="Piedepgina">
    <w:name w:val="footer"/>
    <w:basedOn w:val="Normal"/>
    <w:link w:val="PiedepginaCar"/>
    <w:pPr>
      <w:tabs>
        <w:tab w:val="center" w:pos="4419"/>
        <w:tab w:val="right" w:pos="8838"/>
      </w:tabs>
      <w:overflowPunct w:val="0"/>
      <w:autoSpaceDE w:val="0"/>
      <w:textAlignment w:val="baseline"/>
    </w:pPr>
    <w:rPr>
      <w:szCs w:val="20"/>
    </w:rPr>
  </w:style>
  <w:style w:type="paragraph" w:customStyle="1" w:styleId="Textoindependiente21">
    <w:name w:val="Texto independiente 21"/>
    <w:basedOn w:val="Normal"/>
    <w:pPr>
      <w:widowControl w:val="0"/>
      <w:tabs>
        <w:tab w:val="left" w:pos="-1440"/>
      </w:tabs>
      <w:jc w:val="both"/>
    </w:pPr>
    <w:rPr>
      <w:sz w:val="20"/>
      <w:szCs w:val="20"/>
      <w:lang w:val="es-ES_tradnl" w:eastAsia="he-IL" w:bidi="he-IL"/>
    </w:rPr>
  </w:style>
  <w:style w:type="paragraph" w:styleId="Ttulo">
    <w:name w:val="Title"/>
    <w:basedOn w:val="Normal"/>
    <w:next w:val="Subttulo"/>
    <w:link w:val="TtuloCar"/>
    <w:qFormat/>
    <w:pPr>
      <w:jc w:val="center"/>
    </w:pPr>
    <w:rPr>
      <w:szCs w:val="20"/>
    </w:rPr>
  </w:style>
  <w:style w:type="paragraph" w:styleId="Subttulo">
    <w:name w:val="Subtitle"/>
    <w:basedOn w:val="Encabezado1"/>
    <w:next w:val="Textoindependiente"/>
    <w:link w:val="SubttuloCar"/>
    <w:uiPriority w:val="11"/>
    <w:qFormat/>
    <w:pPr>
      <w:jc w:val="center"/>
    </w:pPr>
    <w:rPr>
      <w:i/>
      <w:iCs/>
    </w:rPr>
  </w:style>
  <w:style w:type="paragraph" w:customStyle="1" w:styleId="Textoindependiente310">
    <w:name w:val="Texto independiente 310"/>
    <w:basedOn w:val="Normal"/>
    <w:pPr>
      <w:widowControl w:val="0"/>
      <w:tabs>
        <w:tab w:val="left" w:pos="-1440"/>
        <w:tab w:val="left" w:pos="284"/>
      </w:tabs>
      <w:jc w:val="both"/>
    </w:pPr>
    <w:rPr>
      <w:rFonts w:cs="Arial"/>
      <w:szCs w:val="26"/>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i/>
      <w:iCs/>
    </w:rPr>
  </w:style>
  <w:style w:type="paragraph" w:customStyle="1" w:styleId="Listaconvietas1">
    <w:name w:val="Lista con viñetas1"/>
    <w:basedOn w:val="Normal"/>
  </w:style>
  <w:style w:type="paragraph" w:styleId="Textodeglobo">
    <w:name w:val="Balloon Text"/>
    <w:basedOn w:val="Normal"/>
    <w:link w:val="TextodegloboCar"/>
    <w:uiPriority w:val="99"/>
    <w:semiHidden/>
    <w:unhideWhenUsed/>
    <w:rsid w:val="00491891"/>
    <w:rPr>
      <w:rFonts w:ascii="Tahoma" w:hAnsi="Tahoma" w:cs="Tahoma"/>
      <w:sz w:val="16"/>
      <w:szCs w:val="16"/>
    </w:rPr>
  </w:style>
  <w:style w:type="character" w:customStyle="1" w:styleId="TextodegloboCar">
    <w:name w:val="Texto de globo Car"/>
    <w:basedOn w:val="Fuentedeprrafopredeter"/>
    <w:link w:val="Textodeglobo"/>
    <w:uiPriority w:val="99"/>
    <w:semiHidden/>
    <w:rsid w:val="00491891"/>
    <w:rPr>
      <w:rFonts w:ascii="Tahoma" w:hAnsi="Tahoma" w:cs="Tahoma"/>
      <w:sz w:val="16"/>
      <w:szCs w:val="16"/>
      <w:lang w:eastAsia="ar-SA"/>
    </w:rPr>
  </w:style>
  <w:style w:type="paragraph" w:styleId="Prrafodelista">
    <w:name w:val="List Paragraph"/>
    <w:aliases w:val="HOJA,Segundo nivel de viñetas,lp1,Bullet List,FooterText,numbered,List Paragraph1,Paragraphe de liste1,Lista vistosa - Énfasis 11,Bulletr List Paragraph,列出段落,列出段落1,List Paragraph21,Listeafsnit1,Parágrafo da Lista1,Ha,Cita textual,List1"/>
    <w:basedOn w:val="Textoindependiente"/>
    <w:next w:val="Lista"/>
    <w:link w:val="PrrafodelistaCar"/>
    <w:uiPriority w:val="99"/>
    <w:qFormat/>
    <w:rPr>
      <w:rFonts w:ascii="Arial" w:hAnsi="Arial"/>
    </w:rPr>
  </w:style>
  <w:style w:type="table" w:styleId="Tablaconcuadrcula">
    <w:name w:val="Table Grid"/>
    <w:basedOn w:val="Tablanormal"/>
    <w:uiPriority w:val="39"/>
    <w:rsid w:val="00BE6C8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BE6C83"/>
    <w:pPr>
      <w:suppressAutoHyphens w:val="0"/>
      <w:spacing w:before="100" w:beforeAutospacing="1" w:after="100" w:afterAutospacing="1"/>
    </w:pPr>
    <w:rPr>
      <w:lang w:val="es-CO" w:eastAsia="es-CO"/>
    </w:rPr>
  </w:style>
  <w:style w:type="table" w:styleId="Tabladecuadrcula5oscura-nfasis1">
    <w:name w:val="Grid Table 5 Dark Accent 1"/>
    <w:basedOn w:val="Tablanormal"/>
    <w:uiPriority w:val="50"/>
    <w:rsid w:val="003A5FB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Ttulo3Car">
    <w:name w:val="Título 3 Car"/>
    <w:basedOn w:val="Fuentedeprrafopredeter"/>
    <w:link w:val="Ttulo3"/>
    <w:rsid w:val="000C0C56"/>
    <w:rPr>
      <w:rFonts w:ascii="Arial" w:hAnsi="Arial"/>
      <w:b/>
      <w:sz w:val="24"/>
      <w:lang w:eastAsia="ar-SA"/>
    </w:rPr>
  </w:style>
  <w:style w:type="character" w:customStyle="1" w:styleId="Ttulo4Car">
    <w:name w:val="Título 4 Car"/>
    <w:basedOn w:val="Fuentedeprrafopredeter"/>
    <w:link w:val="Ttulo4"/>
    <w:rsid w:val="000D2B64"/>
    <w:rPr>
      <w:rFonts w:ascii="Univers" w:hAnsi="Univers"/>
      <w:b/>
      <w:lang w:val="es-ES_tradnl" w:eastAsia="he-IL" w:bidi="he-IL"/>
    </w:rPr>
  </w:style>
  <w:style w:type="character" w:customStyle="1" w:styleId="TextoindependienteCar">
    <w:name w:val="Texto independiente Car"/>
    <w:basedOn w:val="Fuentedeprrafopredeter"/>
    <w:link w:val="Textoindependiente"/>
    <w:semiHidden/>
    <w:rsid w:val="000D2B64"/>
    <w:rPr>
      <w:rFonts w:ascii="Tahoma" w:hAnsi="Tahoma" w:cs="Tahoma"/>
      <w:lang w:eastAsia="ar-SA"/>
    </w:rPr>
  </w:style>
  <w:style w:type="character" w:customStyle="1" w:styleId="EncabezadoCar">
    <w:name w:val="Encabezado Car"/>
    <w:aliases w:val="encabezado Car,Cover Page Car,AL Encabezado Car,Encabezado AL Car,h Car,h8 Car,h9 Car,h10 Car,h18 Car"/>
    <w:basedOn w:val="Fuentedeprrafopredeter"/>
    <w:link w:val="Encabezado"/>
    <w:rsid w:val="000D2B64"/>
    <w:rPr>
      <w:sz w:val="24"/>
      <w:lang w:eastAsia="ar-SA"/>
    </w:rPr>
  </w:style>
  <w:style w:type="character" w:customStyle="1" w:styleId="PiedepginaCar">
    <w:name w:val="Pie de página Car"/>
    <w:basedOn w:val="Fuentedeprrafopredeter"/>
    <w:link w:val="Piedepgina"/>
    <w:uiPriority w:val="99"/>
    <w:rsid w:val="000D2B64"/>
    <w:rPr>
      <w:sz w:val="24"/>
      <w:lang w:eastAsia="ar-SA"/>
    </w:rPr>
  </w:style>
  <w:style w:type="character" w:customStyle="1" w:styleId="TtuloCar">
    <w:name w:val="Título Car"/>
    <w:basedOn w:val="Fuentedeprrafopredeter"/>
    <w:link w:val="Ttulo"/>
    <w:uiPriority w:val="10"/>
    <w:rsid w:val="000D2B64"/>
    <w:rPr>
      <w:sz w:val="24"/>
      <w:lang w:eastAsia="ar-SA"/>
    </w:rPr>
  </w:style>
  <w:style w:type="character" w:customStyle="1" w:styleId="SubttuloCar">
    <w:name w:val="Subtítulo Car"/>
    <w:basedOn w:val="Fuentedeprrafopredeter"/>
    <w:link w:val="Subttulo"/>
    <w:uiPriority w:val="11"/>
    <w:rsid w:val="000D2B64"/>
    <w:rPr>
      <w:rFonts w:ascii="Arial" w:eastAsia="Lucida Sans Unicode" w:hAnsi="Arial" w:cs="Tahoma"/>
      <w:i/>
      <w:iCs/>
      <w:sz w:val="28"/>
      <w:szCs w:val="28"/>
      <w:lang w:eastAsia="ar-SA"/>
    </w:rPr>
  </w:style>
  <w:style w:type="paragraph" w:styleId="Sinespaciado">
    <w:name w:val="No Spacing"/>
    <w:link w:val="SinespaciadoCar"/>
    <w:uiPriority w:val="1"/>
    <w:qFormat/>
    <w:rsid w:val="000D2B64"/>
    <w:pPr>
      <w:suppressAutoHyphens/>
    </w:pPr>
    <w:rPr>
      <w:rFonts w:ascii="Calibri" w:eastAsia="Calibri" w:hAnsi="Calibri"/>
      <w:sz w:val="22"/>
      <w:szCs w:val="22"/>
      <w:lang w:val="es-CO" w:eastAsia="zh-CN"/>
    </w:rPr>
  </w:style>
  <w:style w:type="paragraph" w:styleId="Descripcin">
    <w:name w:val="caption"/>
    <w:basedOn w:val="Normal"/>
    <w:next w:val="Normal"/>
    <w:link w:val="DescripcinCar"/>
    <w:uiPriority w:val="35"/>
    <w:unhideWhenUsed/>
    <w:qFormat/>
    <w:rsid w:val="000D2B64"/>
    <w:pPr>
      <w:suppressAutoHyphens w:val="0"/>
      <w:spacing w:after="200"/>
    </w:pPr>
    <w:rPr>
      <w:rFonts w:ascii="Calibri" w:eastAsia="Calibri" w:hAnsi="Calibri" w:cs="Calibri"/>
      <w:i/>
      <w:iCs/>
      <w:color w:val="1F497D" w:themeColor="text2"/>
      <w:sz w:val="18"/>
      <w:szCs w:val="18"/>
      <w:lang w:val="es-CO" w:eastAsia="es-ES_tradnl"/>
    </w:rPr>
  </w:style>
  <w:style w:type="table" w:styleId="Tabladecuadrcula4">
    <w:name w:val="Grid Table 4"/>
    <w:basedOn w:val="Tablanormal"/>
    <w:uiPriority w:val="49"/>
    <w:rsid w:val="000D2B64"/>
    <w:rPr>
      <w:rFonts w:asciiTheme="minorHAnsi" w:eastAsiaTheme="minorHAnsi" w:hAnsiTheme="minorHAnsi" w:cstheme="minorBidi"/>
      <w:sz w:val="24"/>
      <w:szCs w:val="24"/>
      <w:lang w:val="en-US"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numbering" w:customStyle="1" w:styleId="Estilo1">
    <w:name w:val="Estilo1"/>
    <w:uiPriority w:val="99"/>
    <w:rsid w:val="000D2B64"/>
    <w:pPr>
      <w:numPr>
        <w:numId w:val="31"/>
      </w:numPr>
    </w:pPr>
  </w:style>
  <w:style w:type="numbering" w:customStyle="1" w:styleId="Estilo2">
    <w:name w:val="Estilo2"/>
    <w:uiPriority w:val="99"/>
    <w:rsid w:val="000D2B64"/>
    <w:pPr>
      <w:numPr>
        <w:numId w:val="44"/>
      </w:numPr>
    </w:pPr>
  </w:style>
  <w:style w:type="table" w:styleId="Tabladelista4-nfasis5">
    <w:name w:val="List Table 4 Accent 5"/>
    <w:basedOn w:val="Tablanormal"/>
    <w:uiPriority w:val="49"/>
    <w:rsid w:val="000D2B6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Estilo3">
    <w:name w:val="Estilo3"/>
    <w:basedOn w:val="Tablanormal"/>
    <w:uiPriority w:val="99"/>
    <w:rsid w:val="000D2B64"/>
    <w:tblPr/>
    <w:tblStylePr w:type="firstRow">
      <w:rPr>
        <w:rFonts w:ascii="Arial" w:hAnsi="Arial"/>
        <w:b/>
        <w:color w:val="FFFFFF" w:themeColor="background1"/>
      </w:rPr>
    </w:tblStylePr>
  </w:style>
  <w:style w:type="table" w:styleId="Tabladecuadrcula3-nfasis6">
    <w:name w:val="Grid Table 3 Accent 6"/>
    <w:basedOn w:val="Tablanormal"/>
    <w:uiPriority w:val="48"/>
    <w:rsid w:val="000D2B6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Tabladelista4">
    <w:name w:val="List Table 4"/>
    <w:basedOn w:val="Tablanormal"/>
    <w:uiPriority w:val="49"/>
    <w:rsid w:val="000D2B6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Mencinsinresolver1">
    <w:name w:val="Mención sin resolver1"/>
    <w:basedOn w:val="Fuentedeprrafopredeter"/>
    <w:uiPriority w:val="99"/>
    <w:semiHidden/>
    <w:unhideWhenUsed/>
    <w:rsid w:val="000D2B64"/>
    <w:rPr>
      <w:color w:val="605E5C"/>
      <w:shd w:val="clear" w:color="auto" w:fill="E1DFDD"/>
    </w:rPr>
  </w:style>
  <w:style w:type="character" w:customStyle="1" w:styleId="Ttulo2Car">
    <w:name w:val="Título 2 Car"/>
    <w:basedOn w:val="Fuentedeprrafopredeter"/>
    <w:link w:val="Ttulo2"/>
    <w:uiPriority w:val="9"/>
    <w:rsid w:val="000C0C56"/>
    <w:rPr>
      <w:rFonts w:ascii="Arial" w:eastAsiaTheme="majorEastAsia" w:hAnsi="Arial" w:cstheme="majorBidi"/>
      <w:b/>
      <w:sz w:val="26"/>
      <w:szCs w:val="26"/>
      <w:lang w:eastAsia="ar-SA"/>
    </w:rPr>
  </w:style>
  <w:style w:type="character" w:customStyle="1" w:styleId="SinespaciadoCar">
    <w:name w:val="Sin espaciado Car"/>
    <w:link w:val="Sinespaciado"/>
    <w:uiPriority w:val="1"/>
    <w:rsid w:val="007F0E2B"/>
    <w:rPr>
      <w:rFonts w:ascii="Calibri" w:eastAsia="Calibri" w:hAnsi="Calibri"/>
      <w:sz w:val="22"/>
      <w:szCs w:val="22"/>
      <w:lang w:val="es-CO" w:eastAsia="zh-CN"/>
    </w:rPr>
  </w:style>
  <w:style w:type="paragraph" w:customStyle="1" w:styleId="paragraph">
    <w:name w:val="paragraph"/>
    <w:basedOn w:val="Normal"/>
    <w:rsid w:val="007F0E2B"/>
    <w:pPr>
      <w:suppressAutoHyphens w:val="0"/>
      <w:spacing w:before="100" w:beforeAutospacing="1" w:after="100" w:afterAutospacing="1"/>
    </w:pPr>
    <w:rPr>
      <w:lang w:val="es-CO" w:eastAsia="es-CO"/>
    </w:rPr>
  </w:style>
  <w:style w:type="character" w:customStyle="1" w:styleId="eop">
    <w:name w:val="eop"/>
    <w:basedOn w:val="Fuentedeprrafopredeter"/>
    <w:rsid w:val="007F0E2B"/>
  </w:style>
  <w:style w:type="character" w:customStyle="1" w:styleId="normaltextrun">
    <w:name w:val="normaltextrun"/>
    <w:basedOn w:val="Fuentedeprrafopredeter"/>
    <w:rsid w:val="007F0E2B"/>
  </w:style>
  <w:style w:type="table" w:styleId="Tabladecuadrcula5oscura-nfasis2">
    <w:name w:val="Grid Table 5 Dark Accent 2"/>
    <w:basedOn w:val="Tablanormal"/>
    <w:uiPriority w:val="50"/>
    <w:rsid w:val="00031AFA"/>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paragraph" w:customStyle="1" w:styleId="Textoindependiente3100">
    <w:name w:val="Texto independiente 3100"/>
    <w:basedOn w:val="Normal"/>
    <w:rsid w:val="00FF0695"/>
    <w:pPr>
      <w:widowControl w:val="0"/>
      <w:tabs>
        <w:tab w:val="left" w:pos="-1440"/>
        <w:tab w:val="left" w:pos="284"/>
      </w:tabs>
      <w:jc w:val="both"/>
    </w:pPr>
    <w:rPr>
      <w:rFonts w:cs="Arial"/>
      <w:szCs w:val="26"/>
    </w:rPr>
  </w:style>
  <w:style w:type="paragraph" w:customStyle="1" w:styleId="msonormal0">
    <w:name w:val="msonormal"/>
    <w:basedOn w:val="Normal"/>
    <w:rsid w:val="00FF0695"/>
    <w:pPr>
      <w:suppressAutoHyphens w:val="0"/>
      <w:spacing w:before="100" w:beforeAutospacing="1" w:after="100" w:afterAutospacing="1"/>
    </w:pPr>
    <w:rPr>
      <w:lang w:val="es-CO" w:eastAsia="es-CO"/>
    </w:rPr>
  </w:style>
  <w:style w:type="paragraph" w:customStyle="1" w:styleId="xmsonormal">
    <w:name w:val="x_msonormal"/>
    <w:basedOn w:val="Normal"/>
    <w:rsid w:val="00FF0695"/>
    <w:pPr>
      <w:suppressAutoHyphens w:val="0"/>
      <w:spacing w:before="100" w:beforeAutospacing="1" w:after="100" w:afterAutospacing="1"/>
    </w:pPr>
    <w:rPr>
      <w:lang w:val="es-CO" w:eastAsia="es-CO"/>
    </w:rPr>
  </w:style>
  <w:style w:type="paragraph" w:customStyle="1" w:styleId="xmsolistparagraph">
    <w:name w:val="x_msolistparagraph"/>
    <w:basedOn w:val="Normal"/>
    <w:rsid w:val="00FF0695"/>
    <w:pPr>
      <w:suppressAutoHyphens w:val="0"/>
      <w:spacing w:before="100" w:beforeAutospacing="1" w:after="100" w:afterAutospacing="1"/>
    </w:pPr>
    <w:rPr>
      <w:lang w:val="es-CO" w:eastAsia="es-CO"/>
    </w:rPr>
  </w:style>
  <w:style w:type="character" w:styleId="Textoennegrita">
    <w:name w:val="Strong"/>
    <w:basedOn w:val="Fuentedeprrafopredeter"/>
    <w:uiPriority w:val="22"/>
    <w:qFormat/>
    <w:rsid w:val="00FF0695"/>
    <w:rPr>
      <w:b/>
      <w:bCs/>
    </w:rPr>
  </w:style>
  <w:style w:type="table" w:styleId="Tabladecuadrcula4-nfasis1">
    <w:name w:val="Grid Table 4 Accent 1"/>
    <w:basedOn w:val="Tablanormal"/>
    <w:uiPriority w:val="49"/>
    <w:rsid w:val="00FF069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Default">
    <w:name w:val="Default"/>
    <w:rsid w:val="00FF0695"/>
    <w:pPr>
      <w:autoSpaceDE w:val="0"/>
      <w:autoSpaceDN w:val="0"/>
      <w:adjustRightInd w:val="0"/>
    </w:pPr>
    <w:rPr>
      <w:rFonts w:ascii="Arial" w:hAnsi="Arial" w:cs="Arial"/>
      <w:color w:val="000000"/>
      <w:sz w:val="24"/>
      <w:szCs w:val="24"/>
      <w:lang w:val="es-CO"/>
    </w:rPr>
  </w:style>
  <w:style w:type="paragraph" w:styleId="Revisin">
    <w:name w:val="Revision"/>
    <w:hidden/>
    <w:uiPriority w:val="99"/>
    <w:semiHidden/>
    <w:rsid w:val="00FF0695"/>
    <w:rPr>
      <w:sz w:val="24"/>
      <w:szCs w:val="24"/>
      <w:lang w:eastAsia="ar-SA"/>
    </w:rPr>
  </w:style>
  <w:style w:type="character" w:customStyle="1" w:styleId="PrrafodelistaCar">
    <w:name w:val="Párrafo de lista Car"/>
    <w:aliases w:val="HOJA Car,Segundo nivel de viñetas Car,lp1 Car,Bullet List Car,FooterText Car,numbered Car,List Paragraph1 Car,Paragraphe de liste1 Car,Lista vistosa - Énfasis 11 Car,Bulletr List Paragraph Car,列出段落 Car,列出段落1 Car,List Paragraph21 Car"/>
    <w:link w:val="Prrafodelista"/>
    <w:uiPriority w:val="99"/>
    <w:qFormat/>
    <w:locked/>
    <w:rsid w:val="00A00067"/>
    <w:rPr>
      <w:rFonts w:ascii="Arial" w:hAnsi="Arial" w:cs="Tahoma"/>
      <w:lang w:eastAsia="ar-SA"/>
    </w:rPr>
  </w:style>
  <w:style w:type="paragraph" w:styleId="Textonotapie">
    <w:name w:val="footnote text"/>
    <w:aliases w:val="ft,Car,Car3,Texto nota pie Car Car,Texto nota pie Car2 Car Car,Texto nota pie Car Car1 Car Car,Texto nota pie Car Car Car Car Car Car Car Car1 Car Car,Texto nota pie Car Car Car Car Car,Texto nota pie Car1 Car Car Car,Texto nota pie Car1"/>
    <w:basedOn w:val="Normal"/>
    <w:link w:val="TextonotapieCar"/>
    <w:uiPriority w:val="99"/>
    <w:unhideWhenUsed/>
    <w:qFormat/>
    <w:rsid w:val="00A00067"/>
    <w:rPr>
      <w:sz w:val="20"/>
      <w:szCs w:val="20"/>
    </w:rPr>
  </w:style>
  <w:style w:type="character" w:customStyle="1" w:styleId="TextonotapieCar">
    <w:name w:val="Texto nota pie Car"/>
    <w:aliases w:val="ft Car,Car Car,Car3 Car,Texto nota pie Car Car Car,Texto nota pie Car2 Car Car Car,Texto nota pie Car Car1 Car Car Car,Texto nota pie Car Car Car Car Car Car Car Car1 Car Car Car,Texto nota pie Car Car Car Car Car Car"/>
    <w:basedOn w:val="Fuentedeprrafopredeter"/>
    <w:link w:val="Textonotapie"/>
    <w:uiPriority w:val="99"/>
    <w:qFormat/>
    <w:rsid w:val="00A00067"/>
    <w:rPr>
      <w:lang w:eastAsia="ar-SA"/>
    </w:rPr>
  </w:style>
  <w:style w:type="character" w:styleId="Refdenotaalpie">
    <w:name w:val="footnote reference"/>
    <w:aliases w:val="FC,referencia nota al pie,Footnote symbol,Footnote,Ref,de nota al pie,Appel note de bas de p,Texto de nota al pie,BVI fnr,Fußnotenzeichen DISS,16 Point,Superscript 6 Point,ftref,Nota de pie,Texto nota al pie,de nota al pi,fr,F"/>
    <w:basedOn w:val="Fuentedeprrafopredeter"/>
    <w:link w:val="Refdenotaalpie0"/>
    <w:uiPriority w:val="99"/>
    <w:unhideWhenUsed/>
    <w:qFormat/>
    <w:rsid w:val="00A00067"/>
    <w:rPr>
      <w:vertAlign w:val="superscript"/>
    </w:rPr>
  </w:style>
  <w:style w:type="character" w:styleId="Refdecomentario">
    <w:name w:val="annotation reference"/>
    <w:basedOn w:val="Fuentedeprrafopredeter"/>
    <w:uiPriority w:val="99"/>
    <w:unhideWhenUsed/>
    <w:rsid w:val="00A00067"/>
    <w:rPr>
      <w:sz w:val="16"/>
      <w:szCs w:val="16"/>
    </w:rPr>
  </w:style>
  <w:style w:type="paragraph" w:styleId="Textocomentario">
    <w:name w:val="annotation text"/>
    <w:basedOn w:val="Normal"/>
    <w:link w:val="TextocomentarioCar"/>
    <w:unhideWhenUsed/>
    <w:rsid w:val="00A00067"/>
    <w:rPr>
      <w:sz w:val="20"/>
      <w:szCs w:val="20"/>
    </w:rPr>
  </w:style>
  <w:style w:type="character" w:customStyle="1" w:styleId="TextocomentarioCar">
    <w:name w:val="Texto comentario Car"/>
    <w:basedOn w:val="Fuentedeprrafopredeter"/>
    <w:link w:val="Textocomentario"/>
    <w:rsid w:val="00A00067"/>
    <w:rPr>
      <w:lang w:eastAsia="ar-SA"/>
    </w:rPr>
  </w:style>
  <w:style w:type="paragraph" w:styleId="Asuntodelcomentario">
    <w:name w:val="annotation subject"/>
    <w:basedOn w:val="Textocomentario"/>
    <w:next w:val="Textocomentario"/>
    <w:link w:val="AsuntodelcomentarioCar"/>
    <w:uiPriority w:val="99"/>
    <w:semiHidden/>
    <w:unhideWhenUsed/>
    <w:rsid w:val="00A00067"/>
    <w:rPr>
      <w:b/>
      <w:bCs/>
    </w:rPr>
  </w:style>
  <w:style w:type="character" w:customStyle="1" w:styleId="AsuntodelcomentarioCar">
    <w:name w:val="Asunto del comentario Car"/>
    <w:basedOn w:val="TextocomentarioCar"/>
    <w:link w:val="Asuntodelcomentario"/>
    <w:uiPriority w:val="99"/>
    <w:semiHidden/>
    <w:rsid w:val="00A00067"/>
    <w:rPr>
      <w:b/>
      <w:bCs/>
      <w:lang w:eastAsia="ar-SA"/>
    </w:rPr>
  </w:style>
  <w:style w:type="table" w:styleId="Tabladecuadrcula2-nfasis1">
    <w:name w:val="Grid Table 2 Accent 1"/>
    <w:basedOn w:val="Tablanormal"/>
    <w:uiPriority w:val="47"/>
    <w:rsid w:val="00A00067"/>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adecuadrcula2-nfasis3">
    <w:name w:val="Grid Table 2 Accent 3"/>
    <w:basedOn w:val="Tablanormal"/>
    <w:uiPriority w:val="47"/>
    <w:rsid w:val="00A00067"/>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adecuadrcula1clara-nfasis3">
    <w:name w:val="Grid Table 1 Light Accent 3"/>
    <w:basedOn w:val="Tablanormal"/>
    <w:uiPriority w:val="46"/>
    <w:rsid w:val="00A00067"/>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Tablanormal1">
    <w:name w:val="Plain Table 1"/>
    <w:basedOn w:val="Tablanormal"/>
    <w:uiPriority w:val="41"/>
    <w:rsid w:val="00A0006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Cuadrculadetablaclara">
    <w:name w:val="Grid Table Light"/>
    <w:basedOn w:val="Tablanormal"/>
    <w:uiPriority w:val="40"/>
    <w:rsid w:val="00626D6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extoindependiente311">
    <w:name w:val="Texto independiente 311"/>
    <w:basedOn w:val="Normal"/>
    <w:rsid w:val="00295F7C"/>
    <w:pPr>
      <w:widowControl w:val="0"/>
      <w:tabs>
        <w:tab w:val="left" w:pos="-1440"/>
        <w:tab w:val="left" w:pos="284"/>
      </w:tabs>
      <w:jc w:val="both"/>
    </w:pPr>
    <w:rPr>
      <w:rFonts w:cs="Arial"/>
      <w:szCs w:val="26"/>
    </w:rPr>
  </w:style>
  <w:style w:type="character" w:customStyle="1" w:styleId="Ttulo1Car">
    <w:name w:val="Título 1 Car"/>
    <w:basedOn w:val="Fuentedeprrafopredeter"/>
    <w:link w:val="Ttulo1"/>
    <w:uiPriority w:val="9"/>
    <w:rsid w:val="002F50E7"/>
    <w:rPr>
      <w:rFonts w:ascii="Arial" w:eastAsiaTheme="majorEastAsia" w:hAnsi="Arial" w:cstheme="majorBidi"/>
      <w:b/>
      <w:sz w:val="32"/>
      <w:szCs w:val="32"/>
      <w:lang w:eastAsia="ar-SA"/>
    </w:rPr>
  </w:style>
  <w:style w:type="paragraph" w:customStyle="1" w:styleId="TableParagraph">
    <w:name w:val="Table Paragraph"/>
    <w:basedOn w:val="Normal"/>
    <w:uiPriority w:val="1"/>
    <w:qFormat/>
    <w:rsid w:val="00BB6AB3"/>
    <w:pPr>
      <w:widowControl w:val="0"/>
      <w:suppressAutoHyphens w:val="0"/>
      <w:autoSpaceDE w:val="0"/>
      <w:autoSpaceDN w:val="0"/>
    </w:pPr>
    <w:rPr>
      <w:rFonts w:ascii="Verdana" w:eastAsia="Verdana" w:hAnsi="Verdana" w:cs="Verdana"/>
      <w:sz w:val="22"/>
      <w:szCs w:val="22"/>
      <w:lang w:val="es-CO" w:eastAsia="es-CO" w:bidi="es-CO"/>
    </w:rPr>
  </w:style>
  <w:style w:type="paragraph" w:customStyle="1" w:styleId="Refdenotaalpie0">
    <w:name w:val="Ref. de nota al pie."/>
    <w:aliases w:val="Appel note de bas de..."/>
    <w:basedOn w:val="Normal"/>
    <w:link w:val="Refdenotaalpie"/>
    <w:uiPriority w:val="99"/>
    <w:rsid w:val="00BB6AB3"/>
    <w:pPr>
      <w:suppressAutoHyphens w:val="0"/>
      <w:spacing w:line="240" w:lineRule="exact"/>
      <w:jc w:val="both"/>
    </w:pPr>
    <w:rPr>
      <w:sz w:val="20"/>
      <w:szCs w:val="20"/>
      <w:vertAlign w:val="superscript"/>
      <w:lang w:eastAsia="es-ES"/>
    </w:rPr>
  </w:style>
  <w:style w:type="paragraph" w:customStyle="1" w:styleId="rtejustify">
    <w:name w:val="rtejustify"/>
    <w:basedOn w:val="Normal"/>
    <w:rsid w:val="00BB6AB3"/>
    <w:pPr>
      <w:suppressAutoHyphens w:val="0"/>
      <w:spacing w:before="100" w:beforeAutospacing="1" w:after="100" w:afterAutospacing="1"/>
    </w:pPr>
    <w:rPr>
      <w:lang w:val="es-CO" w:eastAsia="es-ES_tradnl"/>
    </w:rPr>
  </w:style>
  <w:style w:type="paragraph" w:customStyle="1" w:styleId="xxmsonormal">
    <w:name w:val="x_x_msonormal"/>
    <w:basedOn w:val="Normal"/>
    <w:rsid w:val="00BB6AB3"/>
    <w:pPr>
      <w:suppressAutoHyphens w:val="0"/>
      <w:spacing w:before="100" w:beforeAutospacing="1" w:after="100" w:afterAutospacing="1"/>
    </w:pPr>
    <w:rPr>
      <w:rFonts w:ascii="Calibri" w:eastAsiaTheme="minorHAnsi" w:hAnsi="Calibri" w:cs="Calibri"/>
      <w:sz w:val="22"/>
      <w:szCs w:val="22"/>
      <w:lang w:val="es-CO" w:eastAsia="es-CO"/>
    </w:rPr>
  </w:style>
  <w:style w:type="table" w:customStyle="1" w:styleId="Tabladecuadrcula1clara-nfasis31">
    <w:name w:val="Tabla de cuadrícula 1 clara - Énfasis 31"/>
    <w:basedOn w:val="Tablanormal"/>
    <w:uiPriority w:val="46"/>
    <w:rsid w:val="00BB6AB3"/>
    <w:rPr>
      <w:rFonts w:asciiTheme="minorHAnsi" w:eastAsiaTheme="minorHAnsi" w:hAnsiTheme="minorHAnsi" w:cstheme="minorBidi"/>
      <w:sz w:val="22"/>
      <w:szCs w:val="22"/>
      <w:lang w:val="es-CO"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Tabladelista2">
    <w:name w:val="List Table 2"/>
    <w:basedOn w:val="Tablanormal"/>
    <w:uiPriority w:val="47"/>
    <w:rsid w:val="00BB6AB3"/>
    <w:rPr>
      <w:rFonts w:asciiTheme="minorHAnsi" w:eastAsiaTheme="minorHAnsi" w:hAnsiTheme="minorHAnsi" w:cstheme="minorBidi"/>
      <w:sz w:val="24"/>
      <w:szCs w:val="24"/>
      <w:lang w:val="es-CO" w:eastAsia="en-US"/>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ody">
    <w:name w:val="Body"/>
    <w:rsid w:val="00BB6AB3"/>
    <w:pPr>
      <w:pBdr>
        <w:top w:val="nil"/>
        <w:left w:val="nil"/>
        <w:bottom w:val="nil"/>
        <w:right w:val="nil"/>
        <w:between w:val="nil"/>
        <w:bar w:val="nil"/>
      </w:pBdr>
      <w:suppressAutoHyphens/>
    </w:pPr>
    <w:rPr>
      <w:rFonts w:eastAsia="Arial Unicode MS" w:cs="Arial Unicode MS"/>
      <w:color w:val="000000"/>
      <w:sz w:val="24"/>
      <w:szCs w:val="24"/>
      <w:u w:color="000000"/>
      <w:bdr w:val="nil"/>
      <w:lang w:val="es-ES_tradnl" w:eastAsia="es-CO"/>
      <w14:textOutline w14:w="0" w14:cap="flat" w14:cmpd="sng" w14:algn="ctr">
        <w14:noFill/>
        <w14:prstDash w14:val="solid"/>
        <w14:bevel/>
      </w14:textOutline>
    </w:rPr>
  </w:style>
  <w:style w:type="character" w:styleId="nfasis">
    <w:name w:val="Emphasis"/>
    <w:basedOn w:val="Fuentedeprrafopredeter"/>
    <w:uiPriority w:val="20"/>
    <w:qFormat/>
    <w:rsid w:val="00BB6AB3"/>
    <w:rPr>
      <w:i/>
      <w:iCs/>
    </w:rPr>
  </w:style>
  <w:style w:type="character" w:customStyle="1" w:styleId="markri3vag0l6">
    <w:name w:val="markri3vag0l6"/>
    <w:basedOn w:val="Fuentedeprrafopredeter"/>
    <w:rsid w:val="00BB6AB3"/>
  </w:style>
  <w:style w:type="character" w:customStyle="1" w:styleId="UnresolvedMention1">
    <w:name w:val="Unresolved Mention1"/>
    <w:basedOn w:val="Fuentedeprrafopredeter"/>
    <w:uiPriority w:val="99"/>
    <w:semiHidden/>
    <w:unhideWhenUsed/>
    <w:rsid w:val="00BB6AB3"/>
    <w:rPr>
      <w:color w:val="605E5C"/>
      <w:shd w:val="clear" w:color="auto" w:fill="E1DFDD"/>
    </w:rPr>
  </w:style>
  <w:style w:type="character" w:customStyle="1" w:styleId="DescripcinCar">
    <w:name w:val="Descripción Car"/>
    <w:basedOn w:val="Fuentedeprrafopredeter"/>
    <w:link w:val="Descripcin"/>
    <w:uiPriority w:val="35"/>
    <w:rsid w:val="00BB6AB3"/>
    <w:rPr>
      <w:rFonts w:ascii="Calibri" w:eastAsia="Calibri" w:hAnsi="Calibri" w:cs="Calibri"/>
      <w:i/>
      <w:iCs/>
      <w:color w:val="1F497D" w:themeColor="text2"/>
      <w:sz w:val="18"/>
      <w:szCs w:val="18"/>
      <w:lang w:val="es-CO" w:eastAsia="es-ES_tradnl"/>
    </w:rPr>
  </w:style>
  <w:style w:type="paragraph" w:styleId="Textonotaalfinal">
    <w:name w:val="endnote text"/>
    <w:basedOn w:val="Normal"/>
    <w:link w:val="TextonotaalfinalCar"/>
    <w:uiPriority w:val="99"/>
    <w:semiHidden/>
    <w:unhideWhenUsed/>
    <w:rsid w:val="00BB6AB3"/>
    <w:rPr>
      <w:sz w:val="20"/>
      <w:szCs w:val="20"/>
    </w:rPr>
  </w:style>
  <w:style w:type="character" w:customStyle="1" w:styleId="TextonotaalfinalCar">
    <w:name w:val="Texto nota al final Car"/>
    <w:basedOn w:val="Fuentedeprrafopredeter"/>
    <w:link w:val="Textonotaalfinal"/>
    <w:uiPriority w:val="99"/>
    <w:semiHidden/>
    <w:rsid w:val="00BB6AB3"/>
    <w:rPr>
      <w:lang w:eastAsia="ar-SA"/>
    </w:rPr>
  </w:style>
  <w:style w:type="character" w:styleId="Refdenotaalfinal">
    <w:name w:val="endnote reference"/>
    <w:basedOn w:val="Fuentedeprrafopredeter"/>
    <w:uiPriority w:val="99"/>
    <w:semiHidden/>
    <w:unhideWhenUsed/>
    <w:rsid w:val="00BB6AB3"/>
    <w:rPr>
      <w:vertAlign w:val="superscript"/>
    </w:rPr>
  </w:style>
  <w:style w:type="character" w:styleId="Hipervnculovisitado">
    <w:name w:val="FollowedHyperlink"/>
    <w:basedOn w:val="Fuentedeprrafopredeter"/>
    <w:uiPriority w:val="99"/>
    <w:semiHidden/>
    <w:unhideWhenUsed/>
    <w:rsid w:val="00BB6AB3"/>
    <w:rPr>
      <w:color w:val="800080" w:themeColor="followedHyperlink"/>
      <w:u w:val="single"/>
    </w:rPr>
  </w:style>
  <w:style w:type="paragraph" w:customStyle="1" w:styleId="Normal2">
    <w:name w:val="Normal2"/>
    <w:rsid w:val="002877DB"/>
    <w:pPr>
      <w:spacing w:after="200" w:line="276" w:lineRule="auto"/>
    </w:pPr>
    <w:rPr>
      <w:rFonts w:ascii="Calibri" w:eastAsia="Calibri" w:hAnsi="Calibri" w:cs="Calibri"/>
      <w:sz w:val="22"/>
      <w:szCs w:val="22"/>
      <w:lang w:val="es-CO" w:eastAsia="es-CO"/>
    </w:rPr>
  </w:style>
  <w:style w:type="table" w:styleId="Tabladecuadrcula5oscura-nfasis5">
    <w:name w:val="Grid Table 5 Dark Accent 5"/>
    <w:basedOn w:val="Tablanormal"/>
    <w:uiPriority w:val="50"/>
    <w:rsid w:val="005F6D4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styleId="Cita">
    <w:name w:val="Quote"/>
    <w:basedOn w:val="Normal"/>
    <w:next w:val="Normal"/>
    <w:link w:val="CitaCar"/>
    <w:uiPriority w:val="29"/>
    <w:qFormat/>
    <w:rsid w:val="00554ED2"/>
    <w:pPr>
      <w:spacing w:before="200" w:after="160"/>
      <w:ind w:left="864" w:right="864"/>
      <w:jc w:val="center"/>
    </w:pPr>
    <w:rPr>
      <w:iCs/>
      <w:color w:val="404040" w:themeColor="text1" w:themeTint="BF"/>
    </w:rPr>
  </w:style>
  <w:style w:type="character" w:customStyle="1" w:styleId="CitaCar">
    <w:name w:val="Cita Car"/>
    <w:basedOn w:val="Fuentedeprrafopredeter"/>
    <w:link w:val="Cita"/>
    <w:uiPriority w:val="29"/>
    <w:rsid w:val="00554ED2"/>
    <w:rPr>
      <w:rFonts w:ascii="Arial" w:hAnsi="Arial"/>
      <w:iCs/>
      <w:color w:val="404040" w:themeColor="text1" w:themeTint="BF"/>
      <w:sz w:val="24"/>
      <w:szCs w:val="24"/>
      <w:lang w:eastAsia="ar-SA"/>
    </w:rPr>
  </w:style>
  <w:style w:type="paragraph" w:styleId="TtuloTDC">
    <w:name w:val="TOC Heading"/>
    <w:basedOn w:val="Ttulo1"/>
    <w:next w:val="Normal"/>
    <w:uiPriority w:val="39"/>
    <w:unhideWhenUsed/>
    <w:qFormat/>
    <w:rsid w:val="002F50E7"/>
    <w:pPr>
      <w:suppressAutoHyphens w:val="0"/>
      <w:spacing w:line="259" w:lineRule="auto"/>
      <w:outlineLvl w:val="9"/>
    </w:pPr>
    <w:rPr>
      <w:rFonts w:asciiTheme="majorHAnsi" w:hAnsiTheme="majorHAnsi"/>
      <w:color w:val="365F91" w:themeColor="accent1" w:themeShade="BF"/>
      <w:lang w:val="es-CO" w:eastAsia="es-CO"/>
    </w:rPr>
  </w:style>
  <w:style w:type="paragraph" w:styleId="TDC1">
    <w:name w:val="toc 1"/>
    <w:basedOn w:val="Normal"/>
    <w:next w:val="Normal"/>
    <w:autoRedefine/>
    <w:uiPriority w:val="39"/>
    <w:unhideWhenUsed/>
    <w:rsid w:val="002F50E7"/>
    <w:pPr>
      <w:spacing w:after="100"/>
    </w:pPr>
  </w:style>
  <w:style w:type="paragraph" w:styleId="TDC2">
    <w:name w:val="toc 2"/>
    <w:basedOn w:val="Normal"/>
    <w:next w:val="Normal"/>
    <w:autoRedefine/>
    <w:uiPriority w:val="39"/>
    <w:unhideWhenUsed/>
    <w:rsid w:val="002F50E7"/>
    <w:pPr>
      <w:spacing w:after="100"/>
      <w:ind w:left="240"/>
    </w:pPr>
  </w:style>
  <w:style w:type="paragraph" w:styleId="TDC3">
    <w:name w:val="toc 3"/>
    <w:basedOn w:val="Normal"/>
    <w:next w:val="Normal"/>
    <w:autoRedefine/>
    <w:uiPriority w:val="39"/>
    <w:unhideWhenUsed/>
    <w:rsid w:val="002F50E7"/>
    <w:pPr>
      <w:spacing w:after="100"/>
      <w:ind w:left="480"/>
    </w:pPr>
  </w:style>
  <w:style w:type="paragraph" w:styleId="Tabladeilustraciones">
    <w:name w:val="table of figures"/>
    <w:basedOn w:val="Normal"/>
    <w:next w:val="Normal"/>
    <w:uiPriority w:val="99"/>
    <w:unhideWhenUsed/>
    <w:rsid w:val="002F50E7"/>
  </w:style>
  <w:style w:type="paragraph" w:customStyle="1" w:styleId="Tablasygrficos">
    <w:name w:val="Tablas y gráficos"/>
    <w:basedOn w:val="Descripcin"/>
    <w:link w:val="TablasygrficosCar"/>
    <w:qFormat/>
    <w:rsid w:val="00D051A4"/>
    <w:pPr>
      <w:spacing w:after="0"/>
      <w:jc w:val="center"/>
    </w:pPr>
    <w:rPr>
      <w:rFonts w:ascii="Arial" w:hAnsi="Arial" w:cs="Arial"/>
      <w:b/>
      <w:bCs/>
      <w:i w:val="0"/>
      <w:iCs w:val="0"/>
      <w:color w:val="auto"/>
      <w:sz w:val="24"/>
      <w:szCs w:val="24"/>
    </w:rPr>
  </w:style>
  <w:style w:type="paragraph" w:customStyle="1" w:styleId="Ttulomnimo">
    <w:name w:val="Título mínimo"/>
    <w:basedOn w:val="Normal"/>
    <w:link w:val="TtulomnimoCar"/>
    <w:qFormat/>
    <w:rsid w:val="00EC5D51"/>
    <w:pPr>
      <w:spacing w:line="276" w:lineRule="auto"/>
      <w:ind w:firstLine="360"/>
    </w:pPr>
    <w:rPr>
      <w:rFonts w:cs="Arial"/>
      <w:b/>
    </w:rPr>
  </w:style>
  <w:style w:type="character" w:customStyle="1" w:styleId="TablasygrficosCar">
    <w:name w:val="Tablas y gráficos Car"/>
    <w:basedOn w:val="DescripcinCar"/>
    <w:link w:val="Tablasygrficos"/>
    <w:rsid w:val="00D051A4"/>
    <w:rPr>
      <w:rFonts w:ascii="Arial" w:eastAsia="Calibri" w:hAnsi="Arial" w:cs="Arial"/>
      <w:b/>
      <w:bCs/>
      <w:i w:val="0"/>
      <w:iCs w:val="0"/>
      <w:color w:val="1F497D" w:themeColor="text2"/>
      <w:sz w:val="24"/>
      <w:szCs w:val="24"/>
      <w:lang w:val="es-CO" w:eastAsia="es-ES_tradnl"/>
    </w:rPr>
  </w:style>
  <w:style w:type="table" w:styleId="Tabladelista4-nfasis1">
    <w:name w:val="List Table 4 Accent 1"/>
    <w:basedOn w:val="Tablanormal"/>
    <w:uiPriority w:val="49"/>
    <w:rsid w:val="0004524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TtulomnimoCar">
    <w:name w:val="Título mínimo Car"/>
    <w:basedOn w:val="Fuentedeprrafopredeter"/>
    <w:link w:val="Ttulomnimo"/>
    <w:rsid w:val="00EC5D51"/>
    <w:rPr>
      <w:rFonts w:ascii="Arial" w:hAnsi="Arial" w:cs="Arial"/>
      <w:b/>
      <w:sz w:val="24"/>
      <w:szCs w:val="24"/>
      <w:lang w:eastAsia="ar-SA"/>
    </w:rPr>
  </w:style>
  <w:style w:type="paragraph" w:styleId="TDC4">
    <w:name w:val="toc 4"/>
    <w:basedOn w:val="Normal"/>
    <w:next w:val="Normal"/>
    <w:autoRedefine/>
    <w:uiPriority w:val="39"/>
    <w:unhideWhenUsed/>
    <w:rsid w:val="007C7C7B"/>
    <w:pPr>
      <w:suppressAutoHyphens w:val="0"/>
      <w:spacing w:after="100" w:line="259" w:lineRule="auto"/>
      <w:ind w:left="660"/>
    </w:pPr>
    <w:rPr>
      <w:rFonts w:asciiTheme="minorHAnsi" w:eastAsiaTheme="minorEastAsia" w:hAnsiTheme="minorHAnsi" w:cstheme="minorBidi"/>
      <w:sz w:val="22"/>
      <w:szCs w:val="22"/>
      <w:lang w:val="es-CO" w:eastAsia="es-CO"/>
    </w:rPr>
  </w:style>
  <w:style w:type="paragraph" w:styleId="TDC5">
    <w:name w:val="toc 5"/>
    <w:basedOn w:val="Normal"/>
    <w:next w:val="Normal"/>
    <w:autoRedefine/>
    <w:uiPriority w:val="39"/>
    <w:unhideWhenUsed/>
    <w:rsid w:val="007C7C7B"/>
    <w:pPr>
      <w:suppressAutoHyphens w:val="0"/>
      <w:spacing w:after="100" w:line="259" w:lineRule="auto"/>
      <w:ind w:left="880"/>
    </w:pPr>
    <w:rPr>
      <w:rFonts w:asciiTheme="minorHAnsi" w:eastAsiaTheme="minorEastAsia" w:hAnsiTheme="minorHAnsi" w:cstheme="minorBidi"/>
      <w:sz w:val="22"/>
      <w:szCs w:val="22"/>
      <w:lang w:val="es-CO" w:eastAsia="es-CO"/>
    </w:rPr>
  </w:style>
  <w:style w:type="paragraph" w:styleId="TDC6">
    <w:name w:val="toc 6"/>
    <w:basedOn w:val="Normal"/>
    <w:next w:val="Normal"/>
    <w:autoRedefine/>
    <w:uiPriority w:val="39"/>
    <w:unhideWhenUsed/>
    <w:rsid w:val="007C7C7B"/>
    <w:pPr>
      <w:suppressAutoHyphens w:val="0"/>
      <w:spacing w:after="100" w:line="259" w:lineRule="auto"/>
      <w:ind w:left="1100"/>
    </w:pPr>
    <w:rPr>
      <w:rFonts w:asciiTheme="minorHAnsi" w:eastAsiaTheme="minorEastAsia" w:hAnsiTheme="minorHAnsi" w:cstheme="minorBidi"/>
      <w:sz w:val="22"/>
      <w:szCs w:val="22"/>
      <w:lang w:val="es-CO" w:eastAsia="es-CO"/>
    </w:rPr>
  </w:style>
  <w:style w:type="paragraph" w:styleId="TDC7">
    <w:name w:val="toc 7"/>
    <w:basedOn w:val="Normal"/>
    <w:next w:val="Normal"/>
    <w:autoRedefine/>
    <w:uiPriority w:val="39"/>
    <w:unhideWhenUsed/>
    <w:rsid w:val="007C7C7B"/>
    <w:pPr>
      <w:suppressAutoHyphens w:val="0"/>
      <w:spacing w:after="100" w:line="259" w:lineRule="auto"/>
      <w:ind w:left="1320"/>
    </w:pPr>
    <w:rPr>
      <w:rFonts w:asciiTheme="minorHAnsi" w:eastAsiaTheme="minorEastAsia" w:hAnsiTheme="minorHAnsi" w:cstheme="minorBidi"/>
      <w:sz w:val="22"/>
      <w:szCs w:val="22"/>
      <w:lang w:val="es-CO" w:eastAsia="es-CO"/>
    </w:rPr>
  </w:style>
  <w:style w:type="paragraph" w:styleId="TDC8">
    <w:name w:val="toc 8"/>
    <w:basedOn w:val="Normal"/>
    <w:next w:val="Normal"/>
    <w:autoRedefine/>
    <w:uiPriority w:val="39"/>
    <w:unhideWhenUsed/>
    <w:rsid w:val="007C7C7B"/>
    <w:pPr>
      <w:suppressAutoHyphens w:val="0"/>
      <w:spacing w:after="100" w:line="259" w:lineRule="auto"/>
      <w:ind w:left="1540"/>
    </w:pPr>
    <w:rPr>
      <w:rFonts w:asciiTheme="minorHAnsi" w:eastAsiaTheme="minorEastAsia" w:hAnsiTheme="minorHAnsi" w:cstheme="minorBidi"/>
      <w:sz w:val="22"/>
      <w:szCs w:val="22"/>
      <w:lang w:val="es-CO" w:eastAsia="es-CO"/>
    </w:rPr>
  </w:style>
  <w:style w:type="paragraph" w:styleId="TDC9">
    <w:name w:val="toc 9"/>
    <w:basedOn w:val="Normal"/>
    <w:next w:val="Normal"/>
    <w:autoRedefine/>
    <w:uiPriority w:val="39"/>
    <w:unhideWhenUsed/>
    <w:rsid w:val="007C7C7B"/>
    <w:pPr>
      <w:suppressAutoHyphens w:val="0"/>
      <w:spacing w:after="100" w:line="259" w:lineRule="auto"/>
      <w:ind w:left="1760"/>
    </w:pPr>
    <w:rPr>
      <w:rFonts w:asciiTheme="minorHAnsi" w:eastAsiaTheme="minorEastAsia" w:hAnsiTheme="minorHAnsi" w:cstheme="minorBidi"/>
      <w:sz w:val="22"/>
      <w:szCs w:val="22"/>
      <w:lang w:val="es-CO" w:eastAsia="es-CO"/>
    </w:rPr>
  </w:style>
  <w:style w:type="numbering" w:customStyle="1" w:styleId="Estilo11">
    <w:name w:val="Estilo11"/>
    <w:uiPriority w:val="99"/>
    <w:rsid w:val="00854109"/>
  </w:style>
  <w:style w:type="numbering" w:customStyle="1" w:styleId="Estilo21">
    <w:name w:val="Estilo21"/>
    <w:uiPriority w:val="99"/>
    <w:rsid w:val="00854109"/>
  </w:style>
  <w:style w:type="character" w:customStyle="1" w:styleId="apple-tab-span">
    <w:name w:val="apple-tab-span"/>
    <w:basedOn w:val="Fuentedeprrafopredeter"/>
    <w:rsid w:val="005D698A"/>
  </w:style>
  <w:style w:type="table" w:customStyle="1" w:styleId="Tablaconcuadrcula2">
    <w:name w:val="Tabla con cuadrícula2"/>
    <w:basedOn w:val="Tablanormal"/>
    <w:next w:val="Tablaconcuadrcula"/>
    <w:uiPriority w:val="39"/>
    <w:rsid w:val="005D698A"/>
    <w:rPr>
      <w:rFonts w:ascii="Calibri" w:hAnsi="Calibri"/>
      <w:sz w:val="22"/>
      <w:szCs w:val="22"/>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normal5">
    <w:name w:val="Plain Table 5"/>
    <w:basedOn w:val="Tablanormal"/>
    <w:uiPriority w:val="45"/>
    <w:rsid w:val="005D698A"/>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textrun">
    <w:name w:val="textrun"/>
    <w:basedOn w:val="Fuentedeprrafopredeter"/>
    <w:rsid w:val="005D698A"/>
  </w:style>
  <w:style w:type="character" w:customStyle="1" w:styleId="wacimagecontainer">
    <w:name w:val="wacimagecontainer"/>
    <w:basedOn w:val="Fuentedeprrafopredeter"/>
    <w:rsid w:val="005D698A"/>
  </w:style>
  <w:style w:type="character" w:customStyle="1" w:styleId="wacimageplaceholder">
    <w:name w:val="wacimageplaceholder"/>
    <w:basedOn w:val="Fuentedeprrafopredeter"/>
    <w:rsid w:val="005D698A"/>
  </w:style>
  <w:style w:type="character" w:customStyle="1" w:styleId="wacimageplaceholderfiller">
    <w:name w:val="wacimageplaceholderfiller"/>
    <w:basedOn w:val="Fuentedeprrafopredeter"/>
    <w:rsid w:val="005D698A"/>
  </w:style>
  <w:style w:type="character" w:customStyle="1" w:styleId="wacerror">
    <w:name w:val="wacerror"/>
    <w:basedOn w:val="Fuentedeprrafopredeter"/>
    <w:rsid w:val="005D698A"/>
  </w:style>
  <w:style w:type="character" w:customStyle="1" w:styleId="wacerrorimage">
    <w:name w:val="wacerrorimage"/>
    <w:basedOn w:val="Fuentedeprrafopredeter"/>
    <w:rsid w:val="005D698A"/>
  </w:style>
  <w:style w:type="character" w:customStyle="1" w:styleId="wacimagegroupcontainer">
    <w:name w:val="wacimagegroupcontainer"/>
    <w:basedOn w:val="Fuentedeprrafopredeter"/>
    <w:rsid w:val="005D698A"/>
  </w:style>
  <w:style w:type="character" w:customStyle="1" w:styleId="wacprogress">
    <w:name w:val="wacprogress"/>
    <w:basedOn w:val="Fuentedeprrafopredeter"/>
    <w:rsid w:val="005D698A"/>
  </w:style>
  <w:style w:type="table" w:styleId="Tabladecuadrcula6concolores-nfasis1">
    <w:name w:val="Grid Table 6 Colorful Accent 1"/>
    <w:basedOn w:val="Tablanormal"/>
    <w:uiPriority w:val="51"/>
    <w:rsid w:val="005D698A"/>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2">
    <w:name w:val="Mención sin resolver2"/>
    <w:basedOn w:val="Fuentedeprrafopredeter"/>
    <w:uiPriority w:val="99"/>
    <w:semiHidden/>
    <w:unhideWhenUsed/>
    <w:rsid w:val="0087099E"/>
    <w:rPr>
      <w:color w:val="605E5C"/>
      <w:shd w:val="clear" w:color="auto" w:fill="E1DFDD"/>
    </w:rPr>
  </w:style>
  <w:style w:type="character" w:styleId="Nmerodepgina">
    <w:name w:val="page number"/>
    <w:basedOn w:val="Fuentedeprrafopredeter"/>
    <w:rsid w:val="00042A05"/>
  </w:style>
  <w:style w:type="character" w:customStyle="1" w:styleId="spellingerror">
    <w:name w:val="spellingerror"/>
    <w:basedOn w:val="Fuentedeprrafopredeter"/>
    <w:rsid w:val="006A0722"/>
  </w:style>
  <w:style w:type="table" w:styleId="Tablanormal2">
    <w:name w:val="Plain Table 2"/>
    <w:basedOn w:val="Tablanormal"/>
    <w:uiPriority w:val="42"/>
    <w:rsid w:val="00EE777A"/>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decuadrcula4-nfasis2">
    <w:name w:val="Grid Table 4 Accent 2"/>
    <w:basedOn w:val="Tablanormal"/>
    <w:uiPriority w:val="49"/>
    <w:rsid w:val="001D2712"/>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adecuadrcula1clara-nfasis1">
    <w:name w:val="Grid Table 1 Light Accent 1"/>
    <w:basedOn w:val="Tablanormal"/>
    <w:uiPriority w:val="46"/>
    <w:rsid w:val="000C7608"/>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0">
    <w:name w:val="Normal0"/>
    <w:basedOn w:val="Normal"/>
    <w:qFormat/>
    <w:rsid w:val="31FF9146"/>
    <w:pPr>
      <w:spacing w:after="160" w:line="259" w:lineRule="auto"/>
    </w:pPr>
    <w:rPr>
      <w:rFonts w:ascii="Calibri" w:eastAsia="Calibri" w:hAnsi="Calibri" w:cs="Calibri"/>
      <w:sz w:val="22"/>
      <w:szCs w:val="22"/>
      <w:lang w:val="es-MX" w:eastAsia="es-CO"/>
    </w:rPr>
  </w:style>
  <w:style w:type="table" w:styleId="Tabladecuadrcula1clara">
    <w:name w:val="Grid Table 1 Light"/>
    <w:basedOn w:val="Tablanormal"/>
    <w:uiPriority w:val="4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xl65">
    <w:name w:val="xl65"/>
    <w:basedOn w:val="Normal"/>
    <w:rsid w:val="00DD48DD"/>
    <w:pPr>
      <w:shd w:val="clear" w:color="000000" w:fill="FFFFFF"/>
      <w:suppressAutoHyphens w:val="0"/>
      <w:spacing w:before="100" w:beforeAutospacing="1" w:after="100" w:afterAutospacing="1"/>
    </w:pPr>
    <w:rPr>
      <w:rFonts w:cs="Arial"/>
      <w:sz w:val="20"/>
      <w:szCs w:val="20"/>
      <w:lang w:val="es-CO" w:eastAsia="es-CO"/>
    </w:rPr>
  </w:style>
  <w:style w:type="paragraph" w:customStyle="1" w:styleId="xl66">
    <w:name w:val="xl66"/>
    <w:basedOn w:val="Normal"/>
    <w:rsid w:val="00DD48DD"/>
    <w:pPr>
      <w:shd w:val="clear" w:color="000000" w:fill="FFFFFF"/>
      <w:suppressAutoHyphens w:val="0"/>
      <w:spacing w:before="100" w:beforeAutospacing="1" w:after="100" w:afterAutospacing="1"/>
    </w:pPr>
    <w:rPr>
      <w:rFonts w:cs="Arial"/>
      <w:sz w:val="20"/>
      <w:szCs w:val="20"/>
      <w:lang w:val="es-CO" w:eastAsia="es-CO"/>
    </w:rPr>
  </w:style>
  <w:style w:type="paragraph" w:customStyle="1" w:styleId="xl67">
    <w:name w:val="xl67"/>
    <w:basedOn w:val="Normal"/>
    <w:rsid w:val="00DD48DD"/>
    <w:pPr>
      <w:pBdr>
        <w:top w:val="single" w:sz="8"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68">
    <w:name w:val="xl68"/>
    <w:basedOn w:val="Normal"/>
    <w:rsid w:val="00DD48DD"/>
    <w:pPr>
      <w:pBdr>
        <w:top w:val="single" w:sz="8"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69">
    <w:name w:val="xl69"/>
    <w:basedOn w:val="Normal"/>
    <w:rsid w:val="00DD48DD"/>
    <w:pPr>
      <w:pBdr>
        <w:top w:val="single" w:sz="8"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70">
    <w:name w:val="xl70"/>
    <w:basedOn w:val="Normal"/>
    <w:rsid w:val="00DD48DD"/>
    <w:pPr>
      <w:pBdr>
        <w:top w:val="single" w:sz="8"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71">
    <w:name w:val="xl71"/>
    <w:basedOn w:val="Normal"/>
    <w:rsid w:val="00DD48D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72">
    <w:name w:val="xl72"/>
    <w:basedOn w:val="Normal"/>
    <w:rsid w:val="00DD48D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73">
    <w:name w:val="xl73"/>
    <w:basedOn w:val="Normal"/>
    <w:rsid w:val="00DD48DD"/>
    <w:pPr>
      <w:pBdr>
        <w:top w:val="single" w:sz="4"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74">
    <w:name w:val="xl74"/>
    <w:basedOn w:val="Normal"/>
    <w:rsid w:val="00DD48DD"/>
    <w:pPr>
      <w:pBdr>
        <w:top w:val="single" w:sz="4"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pPr>
    <w:rPr>
      <w:rFonts w:cs="Arial"/>
      <w:b/>
      <w:bCs/>
      <w:sz w:val="20"/>
      <w:szCs w:val="20"/>
      <w:lang w:val="es-CO" w:eastAsia="es-CO"/>
    </w:rPr>
  </w:style>
  <w:style w:type="paragraph" w:customStyle="1" w:styleId="xl75">
    <w:name w:val="xl75"/>
    <w:basedOn w:val="Normal"/>
    <w:rsid w:val="00DD48DD"/>
    <w:pPr>
      <w:pBdr>
        <w:top w:val="single" w:sz="4" w:space="0" w:color="auto"/>
        <w:left w:val="single" w:sz="4" w:space="0" w:color="auto"/>
        <w:bottom w:val="single" w:sz="8" w:space="0" w:color="auto"/>
        <w:right w:val="single" w:sz="8" w:space="0" w:color="auto"/>
      </w:pBdr>
      <w:shd w:val="clear" w:color="000000" w:fill="FFFFFF"/>
      <w:suppressAutoHyphens w:val="0"/>
      <w:spacing w:before="100" w:beforeAutospacing="1" w:after="100" w:afterAutospacing="1"/>
    </w:pPr>
    <w:rPr>
      <w:rFonts w:cs="Arial"/>
      <w:b/>
      <w:bCs/>
      <w:sz w:val="20"/>
      <w:szCs w:val="20"/>
      <w:lang w:val="es-CO" w:eastAsia="es-CO"/>
    </w:rPr>
  </w:style>
  <w:style w:type="paragraph" w:customStyle="1" w:styleId="xl76">
    <w:name w:val="xl76"/>
    <w:basedOn w:val="Normal"/>
    <w:rsid w:val="00DD48DD"/>
    <w:pPr>
      <w:shd w:val="clear" w:color="000000" w:fill="FFFFFF"/>
      <w:suppressAutoHyphens w:val="0"/>
      <w:spacing w:before="100" w:beforeAutospacing="1" w:after="100" w:afterAutospacing="1"/>
    </w:pPr>
    <w:rPr>
      <w:rFonts w:cs="Arial"/>
      <w:b/>
      <w:bCs/>
      <w:sz w:val="20"/>
      <w:szCs w:val="20"/>
      <w:lang w:val="es-CO" w:eastAsia="es-CO"/>
    </w:rPr>
  </w:style>
  <w:style w:type="paragraph" w:customStyle="1" w:styleId="xl77">
    <w:name w:val="xl77"/>
    <w:basedOn w:val="Normal"/>
    <w:rsid w:val="00DD48DD"/>
    <w:pPr>
      <w:pBdr>
        <w:top w:val="single" w:sz="8"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78">
    <w:name w:val="xl78"/>
    <w:basedOn w:val="Normal"/>
    <w:rsid w:val="00DD48DD"/>
    <w:pPr>
      <w:pBdr>
        <w:top w:val="single" w:sz="8"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79">
    <w:name w:val="xl79"/>
    <w:basedOn w:val="Normal"/>
    <w:rsid w:val="00DD48DD"/>
    <w:pPr>
      <w:pBdr>
        <w:top w:val="single" w:sz="8"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80">
    <w:name w:val="xl80"/>
    <w:basedOn w:val="Normal"/>
    <w:rsid w:val="00DD48DD"/>
    <w:pPr>
      <w:pBdr>
        <w:top w:val="single" w:sz="8" w:space="0" w:color="auto"/>
        <w:left w:val="single" w:sz="4" w:space="0" w:color="auto"/>
        <w:bottom w:val="single" w:sz="8" w:space="0" w:color="auto"/>
        <w:right w:val="single" w:sz="8" w:space="0" w:color="auto"/>
      </w:pBdr>
      <w:shd w:val="clear" w:color="000000" w:fill="FFFFFF"/>
      <w:suppressAutoHyphens w:val="0"/>
      <w:spacing w:before="100" w:beforeAutospacing="1" w:after="100" w:afterAutospacing="1"/>
    </w:pPr>
    <w:rPr>
      <w:rFonts w:cs="Arial"/>
      <w:sz w:val="20"/>
      <w:szCs w:val="20"/>
      <w:lang w:val="es-CO" w:eastAsia="es-CO"/>
    </w:rPr>
  </w:style>
  <w:style w:type="paragraph" w:customStyle="1" w:styleId="xl81">
    <w:name w:val="xl81"/>
    <w:basedOn w:val="Normal"/>
    <w:rsid w:val="00DD48DD"/>
    <w:pPr>
      <w:pBdr>
        <w:top w:val="single" w:sz="8" w:space="0" w:color="auto"/>
        <w:left w:val="single" w:sz="4" w:space="0" w:color="auto"/>
        <w:bottom w:val="single" w:sz="8" w:space="0" w:color="auto"/>
        <w:right w:val="single" w:sz="4" w:space="0" w:color="auto"/>
      </w:pBdr>
      <w:shd w:val="clear" w:color="000000" w:fill="4472C4"/>
      <w:suppressAutoHyphens w:val="0"/>
      <w:spacing w:before="100" w:beforeAutospacing="1" w:after="100" w:afterAutospacing="1"/>
    </w:pPr>
    <w:rPr>
      <w:rFonts w:cs="Arial"/>
      <w:b/>
      <w:bCs/>
      <w:color w:val="FFFFFF"/>
      <w:sz w:val="20"/>
      <w:szCs w:val="20"/>
      <w:lang w:val="es-CO" w:eastAsia="es-CO"/>
    </w:rPr>
  </w:style>
  <w:style w:type="paragraph" w:customStyle="1" w:styleId="xl82">
    <w:name w:val="xl82"/>
    <w:basedOn w:val="Normal"/>
    <w:rsid w:val="00DD48DD"/>
    <w:pPr>
      <w:shd w:val="clear" w:color="000000" w:fill="FFFFFF"/>
      <w:suppressAutoHyphens w:val="0"/>
      <w:spacing w:before="100" w:beforeAutospacing="1" w:after="100" w:afterAutospacing="1"/>
      <w:jc w:val="center"/>
      <w:textAlignment w:val="center"/>
    </w:pPr>
    <w:rPr>
      <w:rFonts w:cs="Arial"/>
      <w:sz w:val="20"/>
      <w:szCs w:val="20"/>
      <w:lang w:val="es-CO" w:eastAsia="es-CO"/>
    </w:rPr>
  </w:style>
  <w:style w:type="paragraph" w:customStyle="1" w:styleId="xl83">
    <w:name w:val="xl83"/>
    <w:basedOn w:val="Normal"/>
    <w:rsid w:val="00DD48DD"/>
    <w:pP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84">
    <w:name w:val="xl84"/>
    <w:basedOn w:val="Normal"/>
    <w:rsid w:val="00DD48DD"/>
    <w:pPr>
      <w:pBdr>
        <w:top w:val="single" w:sz="8" w:space="0" w:color="auto"/>
        <w:left w:val="single" w:sz="4" w:space="0" w:color="auto"/>
        <w:bottom w:val="single" w:sz="8" w:space="0" w:color="auto"/>
        <w:right w:val="single" w:sz="4" w:space="0" w:color="auto"/>
      </w:pBdr>
      <w:shd w:val="clear" w:color="000000" w:fill="4472C4"/>
      <w:suppressAutoHyphens w:val="0"/>
      <w:spacing w:before="100" w:beforeAutospacing="1" w:after="100" w:afterAutospacing="1"/>
      <w:jc w:val="center"/>
      <w:textAlignment w:val="center"/>
    </w:pPr>
    <w:rPr>
      <w:rFonts w:cs="Arial"/>
      <w:b/>
      <w:bCs/>
      <w:color w:val="FFFFFF"/>
      <w:lang w:val="es-CO" w:eastAsia="es-CO"/>
    </w:rPr>
  </w:style>
  <w:style w:type="paragraph" w:customStyle="1" w:styleId="xl85">
    <w:name w:val="xl85"/>
    <w:basedOn w:val="Normal"/>
    <w:rsid w:val="00DD48DD"/>
    <w:pPr>
      <w:pBdr>
        <w:top w:val="single" w:sz="8" w:space="0" w:color="auto"/>
        <w:left w:val="single" w:sz="4" w:space="0" w:color="auto"/>
        <w:bottom w:val="single" w:sz="8" w:space="0" w:color="auto"/>
        <w:right w:val="single" w:sz="8" w:space="0" w:color="auto"/>
      </w:pBdr>
      <w:shd w:val="clear" w:color="000000" w:fill="4472C4"/>
      <w:suppressAutoHyphens w:val="0"/>
      <w:spacing w:before="100" w:beforeAutospacing="1" w:after="100" w:afterAutospacing="1"/>
      <w:jc w:val="center"/>
      <w:textAlignment w:val="center"/>
    </w:pPr>
    <w:rPr>
      <w:rFonts w:cs="Arial"/>
      <w:b/>
      <w:bCs/>
      <w:color w:val="FFFFFF"/>
      <w:lang w:val="es-CO" w:eastAsia="es-CO"/>
    </w:rPr>
  </w:style>
  <w:style w:type="paragraph" w:customStyle="1" w:styleId="xl86">
    <w:name w:val="xl86"/>
    <w:basedOn w:val="Normal"/>
    <w:rsid w:val="00DD48DD"/>
    <w:pPr>
      <w:pBdr>
        <w:top w:val="single" w:sz="8" w:space="0" w:color="auto"/>
        <w:left w:val="single" w:sz="8"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cs="Arial"/>
      <w:b/>
      <w:bCs/>
      <w:sz w:val="20"/>
      <w:szCs w:val="20"/>
      <w:lang w:val="es-CO" w:eastAsia="es-CO"/>
    </w:rPr>
  </w:style>
  <w:style w:type="paragraph" w:customStyle="1" w:styleId="xl87">
    <w:name w:val="xl87"/>
    <w:basedOn w:val="Normal"/>
    <w:rsid w:val="00DD48DD"/>
    <w:pP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88">
    <w:name w:val="xl88"/>
    <w:basedOn w:val="Normal"/>
    <w:rsid w:val="00DD48DD"/>
    <w:pPr>
      <w:pBdr>
        <w:top w:val="single" w:sz="8" w:space="0" w:color="auto"/>
        <w:left w:val="single" w:sz="4" w:space="0" w:color="auto"/>
        <w:bottom w:val="single" w:sz="8" w:space="0" w:color="auto"/>
        <w:right w:val="single" w:sz="8" w:space="0" w:color="auto"/>
      </w:pBdr>
      <w:shd w:val="clear" w:color="000000" w:fill="4472C4"/>
      <w:suppressAutoHyphens w:val="0"/>
      <w:spacing w:before="100" w:beforeAutospacing="1" w:after="100" w:afterAutospacing="1"/>
    </w:pPr>
    <w:rPr>
      <w:rFonts w:cs="Arial"/>
      <w:b/>
      <w:bCs/>
      <w:color w:val="FFFFFF"/>
      <w:sz w:val="20"/>
      <w:szCs w:val="20"/>
      <w:lang w:val="es-CO" w:eastAsia="es-CO"/>
    </w:rPr>
  </w:style>
  <w:style w:type="paragraph" w:customStyle="1" w:styleId="xl89">
    <w:name w:val="xl89"/>
    <w:basedOn w:val="Normal"/>
    <w:rsid w:val="00DD48DD"/>
    <w:pPr>
      <w:pBdr>
        <w:top w:val="single" w:sz="8" w:space="0" w:color="auto"/>
        <w:left w:val="single" w:sz="8" w:space="0" w:color="auto"/>
        <w:bottom w:val="single" w:sz="8" w:space="0" w:color="auto"/>
        <w:right w:val="single" w:sz="4" w:space="0" w:color="auto"/>
      </w:pBdr>
      <w:shd w:val="clear" w:color="000000" w:fill="4472C4"/>
      <w:suppressAutoHyphens w:val="0"/>
      <w:spacing w:before="100" w:beforeAutospacing="1" w:after="100" w:afterAutospacing="1"/>
      <w:jc w:val="center"/>
      <w:textAlignment w:val="center"/>
    </w:pPr>
    <w:rPr>
      <w:rFonts w:cs="Arial"/>
      <w:b/>
      <w:bCs/>
      <w:color w:val="FFFFFF"/>
      <w:lang w:val="es-CO" w:eastAsia="es-CO"/>
    </w:rPr>
  </w:style>
  <w:style w:type="paragraph" w:customStyle="1" w:styleId="xl90">
    <w:name w:val="xl90"/>
    <w:basedOn w:val="Normal"/>
    <w:rsid w:val="00DD48DD"/>
    <w:pPr>
      <w:pBdr>
        <w:top w:val="single" w:sz="4"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jc w:val="center"/>
    </w:pPr>
    <w:rPr>
      <w:rFonts w:cs="Arial"/>
      <w:b/>
      <w:bCs/>
      <w:sz w:val="20"/>
      <w:szCs w:val="20"/>
      <w:lang w:val="es-CO" w:eastAsia="es-CO"/>
    </w:rPr>
  </w:style>
  <w:style w:type="paragraph" w:customStyle="1" w:styleId="xl91">
    <w:name w:val="xl91"/>
    <w:basedOn w:val="Normal"/>
    <w:rsid w:val="00DD48DD"/>
    <w:pPr>
      <w:pBdr>
        <w:top w:val="single" w:sz="8" w:space="0" w:color="auto"/>
        <w:left w:val="single" w:sz="8"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b/>
      <w:bCs/>
      <w:sz w:val="20"/>
      <w:szCs w:val="20"/>
      <w:lang w:val="es-CO" w:eastAsia="es-CO"/>
    </w:rPr>
  </w:style>
  <w:style w:type="paragraph" w:customStyle="1" w:styleId="xl92">
    <w:name w:val="xl92"/>
    <w:basedOn w:val="Normal"/>
    <w:rsid w:val="00DD48DD"/>
    <w:pPr>
      <w:pBdr>
        <w:top w:val="single" w:sz="4" w:space="0" w:color="auto"/>
        <w:left w:val="single" w:sz="8"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b/>
      <w:bCs/>
      <w:sz w:val="20"/>
      <w:szCs w:val="20"/>
      <w:lang w:val="es-CO" w:eastAsia="es-CO"/>
    </w:rPr>
  </w:style>
  <w:style w:type="paragraph" w:customStyle="1" w:styleId="xl93">
    <w:name w:val="xl93"/>
    <w:basedOn w:val="Normal"/>
    <w:rsid w:val="00DD48DD"/>
    <w:pPr>
      <w:pBdr>
        <w:top w:val="single" w:sz="4" w:space="0" w:color="auto"/>
        <w:left w:val="single" w:sz="8"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cs="Arial"/>
      <w:b/>
      <w:bCs/>
      <w:sz w:val="20"/>
      <w:szCs w:val="20"/>
      <w:lang w:val="es-CO" w:eastAsia="es-CO"/>
    </w:rPr>
  </w:style>
  <w:style w:type="paragraph" w:customStyle="1" w:styleId="xl94">
    <w:name w:val="xl94"/>
    <w:basedOn w:val="Normal"/>
    <w:rsid w:val="00DD48DD"/>
    <w:pPr>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95">
    <w:name w:val="xl95"/>
    <w:basedOn w:val="Normal"/>
    <w:rsid w:val="00DD48DD"/>
    <w:pPr>
      <w:pBdr>
        <w:left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96">
    <w:name w:val="xl96"/>
    <w:basedOn w:val="Normal"/>
    <w:rsid w:val="00DD48D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97">
    <w:name w:val="xl97"/>
    <w:basedOn w:val="Normal"/>
    <w:rsid w:val="00DD48DD"/>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98">
    <w:name w:val="xl98"/>
    <w:basedOn w:val="Normal"/>
    <w:rsid w:val="00DD48DD"/>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sz w:val="20"/>
      <w:szCs w:val="20"/>
      <w:lang w:val="es-CO" w:eastAsia="es-CO"/>
    </w:rPr>
  </w:style>
  <w:style w:type="paragraph" w:customStyle="1" w:styleId="xl99">
    <w:name w:val="xl99"/>
    <w:basedOn w:val="Normal"/>
    <w:rsid w:val="00DD48D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sz w:val="20"/>
      <w:szCs w:val="20"/>
      <w:lang w:val="es-CO" w:eastAsia="es-CO"/>
    </w:rPr>
  </w:style>
  <w:style w:type="paragraph" w:customStyle="1" w:styleId="xl100">
    <w:name w:val="xl100"/>
    <w:basedOn w:val="Normal"/>
    <w:rsid w:val="00DD48D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101">
    <w:name w:val="xl101"/>
    <w:basedOn w:val="Normal"/>
    <w:rsid w:val="00DD48DD"/>
    <w:pPr>
      <w:pBdr>
        <w:top w:val="single" w:sz="4" w:space="0" w:color="auto"/>
        <w:left w:val="single" w:sz="8"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102">
    <w:name w:val="xl102"/>
    <w:basedOn w:val="Normal"/>
    <w:rsid w:val="00DD48DD"/>
    <w:pPr>
      <w:pBdr>
        <w:top w:val="single" w:sz="4" w:space="0" w:color="auto"/>
        <w:left w:val="single" w:sz="8"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103">
    <w:name w:val="xl103"/>
    <w:basedOn w:val="Normal"/>
    <w:rsid w:val="00DD48DD"/>
    <w:pPr>
      <w:pBdr>
        <w:top w:val="single" w:sz="8"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104">
    <w:name w:val="xl104"/>
    <w:basedOn w:val="Normal"/>
    <w:rsid w:val="00DD48DD"/>
    <w:pPr>
      <w:pBdr>
        <w:top w:val="single" w:sz="8" w:space="0" w:color="auto"/>
        <w:left w:val="single" w:sz="8" w:space="0" w:color="auto"/>
        <w:bottom w:val="single" w:sz="8" w:space="0" w:color="auto"/>
        <w:right w:val="single" w:sz="4" w:space="0" w:color="auto"/>
      </w:pBdr>
      <w:shd w:val="clear" w:color="000000" w:fill="4472C4"/>
      <w:suppressAutoHyphens w:val="0"/>
      <w:spacing w:before="100" w:beforeAutospacing="1" w:after="100" w:afterAutospacing="1"/>
      <w:jc w:val="center"/>
    </w:pPr>
    <w:rPr>
      <w:rFonts w:cs="Arial"/>
      <w:b/>
      <w:bCs/>
      <w:color w:val="FFFFFF"/>
      <w:sz w:val="20"/>
      <w:szCs w:val="20"/>
      <w:lang w:val="es-CO" w:eastAsia="es-CO"/>
    </w:rPr>
  </w:style>
  <w:style w:type="paragraph" w:customStyle="1" w:styleId="xl105">
    <w:name w:val="xl105"/>
    <w:basedOn w:val="Normal"/>
    <w:rsid w:val="00DD48DD"/>
    <w:pPr>
      <w:pBdr>
        <w:top w:val="single" w:sz="8" w:space="0" w:color="auto"/>
        <w:left w:val="single" w:sz="4" w:space="0" w:color="auto"/>
        <w:bottom w:val="single" w:sz="8" w:space="0" w:color="auto"/>
        <w:right w:val="single" w:sz="4" w:space="0" w:color="auto"/>
      </w:pBdr>
      <w:shd w:val="clear" w:color="000000" w:fill="4472C4"/>
      <w:suppressAutoHyphens w:val="0"/>
      <w:spacing w:before="100" w:beforeAutospacing="1" w:after="100" w:afterAutospacing="1"/>
      <w:jc w:val="center"/>
    </w:pPr>
    <w:rPr>
      <w:rFonts w:cs="Arial"/>
      <w:b/>
      <w:bCs/>
      <w:color w:val="FFFFFF"/>
      <w:sz w:val="20"/>
      <w:szCs w:val="20"/>
      <w:lang w:val="es-CO" w:eastAsia="es-CO"/>
    </w:rPr>
  </w:style>
  <w:style w:type="paragraph" w:customStyle="1" w:styleId="xl106">
    <w:name w:val="xl106"/>
    <w:basedOn w:val="Normal"/>
    <w:rsid w:val="00DD48D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paragraph" w:customStyle="1" w:styleId="xl107">
    <w:name w:val="xl107"/>
    <w:basedOn w:val="Normal"/>
    <w:rsid w:val="00DD48DD"/>
    <w:pPr>
      <w:pBdr>
        <w:top w:val="single" w:sz="8" w:space="0" w:color="auto"/>
        <w:left w:val="single" w:sz="4" w:space="0" w:color="auto"/>
        <w:right w:val="single" w:sz="4" w:space="0" w:color="auto"/>
      </w:pBdr>
      <w:shd w:val="clear" w:color="000000" w:fill="FFFFFF"/>
      <w:suppressAutoHyphens w:val="0"/>
      <w:spacing w:before="100" w:beforeAutospacing="1" w:after="100" w:afterAutospacing="1"/>
      <w:textAlignment w:val="center"/>
    </w:pPr>
    <w:rPr>
      <w:rFonts w:cs="Arial"/>
      <w:sz w:val="20"/>
      <w:szCs w:val="20"/>
      <w:lang w:val="es-CO" w:eastAsia="es-CO"/>
    </w:rPr>
  </w:style>
  <w:style w:type="paragraph" w:customStyle="1" w:styleId="xl108">
    <w:name w:val="xl108"/>
    <w:basedOn w:val="Normal"/>
    <w:rsid w:val="00DD48D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cs="Arial"/>
      <w:b/>
      <w:bCs/>
      <w:sz w:val="20"/>
      <w:szCs w:val="20"/>
      <w:lang w:val="es-CO" w:eastAsia="es-CO"/>
    </w:rPr>
  </w:style>
  <w:style w:type="table" w:styleId="Tabladelista3-nfasis1">
    <w:name w:val="List Table 3 Accent 1"/>
    <w:basedOn w:val="Tablanormal"/>
    <w:uiPriority w:val="48"/>
    <w:rsid w:val="00DB7E6D"/>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customStyle="1" w:styleId="Mencinsinresolver3">
    <w:name w:val="Mención sin resolver3"/>
    <w:basedOn w:val="Fuentedeprrafopredeter"/>
    <w:uiPriority w:val="99"/>
    <w:semiHidden/>
    <w:unhideWhenUsed/>
    <w:rsid w:val="007B75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962670">
      <w:bodyDiv w:val="1"/>
      <w:marLeft w:val="0"/>
      <w:marRight w:val="0"/>
      <w:marTop w:val="0"/>
      <w:marBottom w:val="0"/>
      <w:divBdr>
        <w:top w:val="none" w:sz="0" w:space="0" w:color="auto"/>
        <w:left w:val="none" w:sz="0" w:space="0" w:color="auto"/>
        <w:bottom w:val="none" w:sz="0" w:space="0" w:color="auto"/>
        <w:right w:val="none" w:sz="0" w:space="0" w:color="auto"/>
      </w:divBdr>
      <w:divsChild>
        <w:div w:id="676467997">
          <w:marLeft w:val="547"/>
          <w:marRight w:val="0"/>
          <w:marTop w:val="0"/>
          <w:marBottom w:val="0"/>
          <w:divBdr>
            <w:top w:val="none" w:sz="0" w:space="0" w:color="auto"/>
            <w:left w:val="none" w:sz="0" w:space="0" w:color="auto"/>
            <w:bottom w:val="none" w:sz="0" w:space="0" w:color="auto"/>
            <w:right w:val="none" w:sz="0" w:space="0" w:color="auto"/>
          </w:divBdr>
        </w:div>
      </w:divsChild>
    </w:div>
    <w:div w:id="135150329">
      <w:bodyDiv w:val="1"/>
      <w:marLeft w:val="0"/>
      <w:marRight w:val="0"/>
      <w:marTop w:val="0"/>
      <w:marBottom w:val="0"/>
      <w:divBdr>
        <w:top w:val="none" w:sz="0" w:space="0" w:color="auto"/>
        <w:left w:val="none" w:sz="0" w:space="0" w:color="auto"/>
        <w:bottom w:val="none" w:sz="0" w:space="0" w:color="auto"/>
        <w:right w:val="none" w:sz="0" w:space="0" w:color="auto"/>
      </w:divBdr>
    </w:div>
    <w:div w:id="144664768">
      <w:bodyDiv w:val="1"/>
      <w:marLeft w:val="0"/>
      <w:marRight w:val="0"/>
      <w:marTop w:val="0"/>
      <w:marBottom w:val="0"/>
      <w:divBdr>
        <w:top w:val="none" w:sz="0" w:space="0" w:color="auto"/>
        <w:left w:val="none" w:sz="0" w:space="0" w:color="auto"/>
        <w:bottom w:val="none" w:sz="0" w:space="0" w:color="auto"/>
        <w:right w:val="none" w:sz="0" w:space="0" w:color="auto"/>
      </w:divBdr>
    </w:div>
    <w:div w:id="167985999">
      <w:bodyDiv w:val="1"/>
      <w:marLeft w:val="0"/>
      <w:marRight w:val="0"/>
      <w:marTop w:val="0"/>
      <w:marBottom w:val="0"/>
      <w:divBdr>
        <w:top w:val="none" w:sz="0" w:space="0" w:color="auto"/>
        <w:left w:val="none" w:sz="0" w:space="0" w:color="auto"/>
        <w:bottom w:val="none" w:sz="0" w:space="0" w:color="auto"/>
        <w:right w:val="none" w:sz="0" w:space="0" w:color="auto"/>
      </w:divBdr>
      <w:divsChild>
        <w:div w:id="1384595484">
          <w:marLeft w:val="547"/>
          <w:marRight w:val="0"/>
          <w:marTop w:val="0"/>
          <w:marBottom w:val="0"/>
          <w:divBdr>
            <w:top w:val="none" w:sz="0" w:space="0" w:color="auto"/>
            <w:left w:val="none" w:sz="0" w:space="0" w:color="auto"/>
            <w:bottom w:val="none" w:sz="0" w:space="0" w:color="auto"/>
            <w:right w:val="none" w:sz="0" w:space="0" w:color="auto"/>
          </w:divBdr>
        </w:div>
      </w:divsChild>
    </w:div>
    <w:div w:id="185490472">
      <w:bodyDiv w:val="1"/>
      <w:marLeft w:val="0"/>
      <w:marRight w:val="0"/>
      <w:marTop w:val="0"/>
      <w:marBottom w:val="0"/>
      <w:divBdr>
        <w:top w:val="none" w:sz="0" w:space="0" w:color="auto"/>
        <w:left w:val="none" w:sz="0" w:space="0" w:color="auto"/>
        <w:bottom w:val="none" w:sz="0" w:space="0" w:color="auto"/>
        <w:right w:val="none" w:sz="0" w:space="0" w:color="auto"/>
      </w:divBdr>
      <w:divsChild>
        <w:div w:id="402487698">
          <w:marLeft w:val="547"/>
          <w:marRight w:val="0"/>
          <w:marTop w:val="0"/>
          <w:marBottom w:val="0"/>
          <w:divBdr>
            <w:top w:val="none" w:sz="0" w:space="0" w:color="auto"/>
            <w:left w:val="none" w:sz="0" w:space="0" w:color="auto"/>
            <w:bottom w:val="none" w:sz="0" w:space="0" w:color="auto"/>
            <w:right w:val="none" w:sz="0" w:space="0" w:color="auto"/>
          </w:divBdr>
        </w:div>
      </w:divsChild>
    </w:div>
    <w:div w:id="283080377">
      <w:bodyDiv w:val="1"/>
      <w:marLeft w:val="0"/>
      <w:marRight w:val="0"/>
      <w:marTop w:val="0"/>
      <w:marBottom w:val="0"/>
      <w:divBdr>
        <w:top w:val="none" w:sz="0" w:space="0" w:color="auto"/>
        <w:left w:val="none" w:sz="0" w:space="0" w:color="auto"/>
        <w:bottom w:val="none" w:sz="0" w:space="0" w:color="auto"/>
        <w:right w:val="none" w:sz="0" w:space="0" w:color="auto"/>
      </w:divBdr>
      <w:divsChild>
        <w:div w:id="1009454384">
          <w:marLeft w:val="0"/>
          <w:marRight w:val="0"/>
          <w:marTop w:val="0"/>
          <w:marBottom w:val="0"/>
          <w:divBdr>
            <w:top w:val="none" w:sz="0" w:space="0" w:color="auto"/>
            <w:left w:val="none" w:sz="0" w:space="0" w:color="auto"/>
            <w:bottom w:val="none" w:sz="0" w:space="0" w:color="auto"/>
            <w:right w:val="none" w:sz="0" w:space="0" w:color="auto"/>
          </w:divBdr>
          <w:divsChild>
            <w:div w:id="2097315415">
              <w:marLeft w:val="0"/>
              <w:marRight w:val="0"/>
              <w:marTop w:val="0"/>
              <w:marBottom w:val="0"/>
              <w:divBdr>
                <w:top w:val="none" w:sz="0" w:space="0" w:color="auto"/>
                <w:left w:val="none" w:sz="0" w:space="0" w:color="auto"/>
                <w:bottom w:val="none" w:sz="0" w:space="0" w:color="auto"/>
                <w:right w:val="none" w:sz="0" w:space="0" w:color="auto"/>
              </w:divBdr>
            </w:div>
            <w:div w:id="1980762291">
              <w:marLeft w:val="0"/>
              <w:marRight w:val="0"/>
              <w:marTop w:val="0"/>
              <w:marBottom w:val="0"/>
              <w:divBdr>
                <w:top w:val="none" w:sz="0" w:space="0" w:color="auto"/>
                <w:left w:val="none" w:sz="0" w:space="0" w:color="auto"/>
                <w:bottom w:val="none" w:sz="0" w:space="0" w:color="auto"/>
                <w:right w:val="none" w:sz="0" w:space="0" w:color="auto"/>
              </w:divBdr>
            </w:div>
          </w:divsChild>
        </w:div>
        <w:div w:id="1418943596">
          <w:marLeft w:val="0"/>
          <w:marRight w:val="0"/>
          <w:marTop w:val="0"/>
          <w:marBottom w:val="0"/>
          <w:divBdr>
            <w:top w:val="none" w:sz="0" w:space="0" w:color="auto"/>
            <w:left w:val="none" w:sz="0" w:space="0" w:color="auto"/>
            <w:bottom w:val="none" w:sz="0" w:space="0" w:color="auto"/>
            <w:right w:val="none" w:sz="0" w:space="0" w:color="auto"/>
          </w:divBdr>
          <w:divsChild>
            <w:div w:id="109671868">
              <w:marLeft w:val="-75"/>
              <w:marRight w:val="0"/>
              <w:marTop w:val="30"/>
              <w:marBottom w:val="30"/>
              <w:divBdr>
                <w:top w:val="none" w:sz="0" w:space="0" w:color="auto"/>
                <w:left w:val="none" w:sz="0" w:space="0" w:color="auto"/>
                <w:bottom w:val="none" w:sz="0" w:space="0" w:color="auto"/>
                <w:right w:val="none" w:sz="0" w:space="0" w:color="auto"/>
              </w:divBdr>
              <w:divsChild>
                <w:div w:id="1101026839">
                  <w:marLeft w:val="0"/>
                  <w:marRight w:val="0"/>
                  <w:marTop w:val="0"/>
                  <w:marBottom w:val="0"/>
                  <w:divBdr>
                    <w:top w:val="none" w:sz="0" w:space="0" w:color="auto"/>
                    <w:left w:val="none" w:sz="0" w:space="0" w:color="auto"/>
                    <w:bottom w:val="none" w:sz="0" w:space="0" w:color="auto"/>
                    <w:right w:val="none" w:sz="0" w:space="0" w:color="auto"/>
                  </w:divBdr>
                  <w:divsChild>
                    <w:div w:id="1774284172">
                      <w:marLeft w:val="0"/>
                      <w:marRight w:val="0"/>
                      <w:marTop w:val="0"/>
                      <w:marBottom w:val="0"/>
                      <w:divBdr>
                        <w:top w:val="none" w:sz="0" w:space="0" w:color="auto"/>
                        <w:left w:val="none" w:sz="0" w:space="0" w:color="auto"/>
                        <w:bottom w:val="none" w:sz="0" w:space="0" w:color="auto"/>
                        <w:right w:val="none" w:sz="0" w:space="0" w:color="auto"/>
                      </w:divBdr>
                    </w:div>
                  </w:divsChild>
                </w:div>
                <w:div w:id="514463086">
                  <w:marLeft w:val="0"/>
                  <w:marRight w:val="0"/>
                  <w:marTop w:val="0"/>
                  <w:marBottom w:val="0"/>
                  <w:divBdr>
                    <w:top w:val="none" w:sz="0" w:space="0" w:color="auto"/>
                    <w:left w:val="none" w:sz="0" w:space="0" w:color="auto"/>
                    <w:bottom w:val="none" w:sz="0" w:space="0" w:color="auto"/>
                    <w:right w:val="none" w:sz="0" w:space="0" w:color="auto"/>
                  </w:divBdr>
                  <w:divsChild>
                    <w:div w:id="1106653615">
                      <w:marLeft w:val="0"/>
                      <w:marRight w:val="0"/>
                      <w:marTop w:val="0"/>
                      <w:marBottom w:val="0"/>
                      <w:divBdr>
                        <w:top w:val="none" w:sz="0" w:space="0" w:color="auto"/>
                        <w:left w:val="none" w:sz="0" w:space="0" w:color="auto"/>
                        <w:bottom w:val="none" w:sz="0" w:space="0" w:color="auto"/>
                        <w:right w:val="none" w:sz="0" w:space="0" w:color="auto"/>
                      </w:divBdr>
                    </w:div>
                  </w:divsChild>
                </w:div>
                <w:div w:id="1161232715">
                  <w:marLeft w:val="0"/>
                  <w:marRight w:val="0"/>
                  <w:marTop w:val="0"/>
                  <w:marBottom w:val="0"/>
                  <w:divBdr>
                    <w:top w:val="none" w:sz="0" w:space="0" w:color="auto"/>
                    <w:left w:val="none" w:sz="0" w:space="0" w:color="auto"/>
                    <w:bottom w:val="none" w:sz="0" w:space="0" w:color="auto"/>
                    <w:right w:val="none" w:sz="0" w:space="0" w:color="auto"/>
                  </w:divBdr>
                  <w:divsChild>
                    <w:div w:id="678849285">
                      <w:marLeft w:val="0"/>
                      <w:marRight w:val="0"/>
                      <w:marTop w:val="0"/>
                      <w:marBottom w:val="0"/>
                      <w:divBdr>
                        <w:top w:val="none" w:sz="0" w:space="0" w:color="auto"/>
                        <w:left w:val="none" w:sz="0" w:space="0" w:color="auto"/>
                        <w:bottom w:val="none" w:sz="0" w:space="0" w:color="auto"/>
                        <w:right w:val="none" w:sz="0" w:space="0" w:color="auto"/>
                      </w:divBdr>
                    </w:div>
                  </w:divsChild>
                </w:div>
                <w:div w:id="487284170">
                  <w:marLeft w:val="0"/>
                  <w:marRight w:val="0"/>
                  <w:marTop w:val="0"/>
                  <w:marBottom w:val="0"/>
                  <w:divBdr>
                    <w:top w:val="none" w:sz="0" w:space="0" w:color="auto"/>
                    <w:left w:val="none" w:sz="0" w:space="0" w:color="auto"/>
                    <w:bottom w:val="none" w:sz="0" w:space="0" w:color="auto"/>
                    <w:right w:val="none" w:sz="0" w:space="0" w:color="auto"/>
                  </w:divBdr>
                  <w:divsChild>
                    <w:div w:id="845826978">
                      <w:marLeft w:val="0"/>
                      <w:marRight w:val="0"/>
                      <w:marTop w:val="0"/>
                      <w:marBottom w:val="0"/>
                      <w:divBdr>
                        <w:top w:val="none" w:sz="0" w:space="0" w:color="auto"/>
                        <w:left w:val="none" w:sz="0" w:space="0" w:color="auto"/>
                        <w:bottom w:val="none" w:sz="0" w:space="0" w:color="auto"/>
                        <w:right w:val="none" w:sz="0" w:space="0" w:color="auto"/>
                      </w:divBdr>
                    </w:div>
                  </w:divsChild>
                </w:div>
                <w:div w:id="1863008366">
                  <w:marLeft w:val="0"/>
                  <w:marRight w:val="0"/>
                  <w:marTop w:val="0"/>
                  <w:marBottom w:val="0"/>
                  <w:divBdr>
                    <w:top w:val="none" w:sz="0" w:space="0" w:color="auto"/>
                    <w:left w:val="none" w:sz="0" w:space="0" w:color="auto"/>
                    <w:bottom w:val="none" w:sz="0" w:space="0" w:color="auto"/>
                    <w:right w:val="none" w:sz="0" w:space="0" w:color="auto"/>
                  </w:divBdr>
                  <w:divsChild>
                    <w:div w:id="820849353">
                      <w:marLeft w:val="0"/>
                      <w:marRight w:val="0"/>
                      <w:marTop w:val="0"/>
                      <w:marBottom w:val="0"/>
                      <w:divBdr>
                        <w:top w:val="none" w:sz="0" w:space="0" w:color="auto"/>
                        <w:left w:val="none" w:sz="0" w:space="0" w:color="auto"/>
                        <w:bottom w:val="none" w:sz="0" w:space="0" w:color="auto"/>
                        <w:right w:val="none" w:sz="0" w:space="0" w:color="auto"/>
                      </w:divBdr>
                    </w:div>
                  </w:divsChild>
                </w:div>
                <w:div w:id="559824627">
                  <w:marLeft w:val="0"/>
                  <w:marRight w:val="0"/>
                  <w:marTop w:val="0"/>
                  <w:marBottom w:val="0"/>
                  <w:divBdr>
                    <w:top w:val="none" w:sz="0" w:space="0" w:color="auto"/>
                    <w:left w:val="none" w:sz="0" w:space="0" w:color="auto"/>
                    <w:bottom w:val="none" w:sz="0" w:space="0" w:color="auto"/>
                    <w:right w:val="none" w:sz="0" w:space="0" w:color="auto"/>
                  </w:divBdr>
                  <w:divsChild>
                    <w:div w:id="1659534708">
                      <w:marLeft w:val="0"/>
                      <w:marRight w:val="0"/>
                      <w:marTop w:val="0"/>
                      <w:marBottom w:val="0"/>
                      <w:divBdr>
                        <w:top w:val="none" w:sz="0" w:space="0" w:color="auto"/>
                        <w:left w:val="none" w:sz="0" w:space="0" w:color="auto"/>
                        <w:bottom w:val="none" w:sz="0" w:space="0" w:color="auto"/>
                        <w:right w:val="none" w:sz="0" w:space="0" w:color="auto"/>
                      </w:divBdr>
                    </w:div>
                    <w:div w:id="1722745916">
                      <w:marLeft w:val="0"/>
                      <w:marRight w:val="0"/>
                      <w:marTop w:val="0"/>
                      <w:marBottom w:val="0"/>
                      <w:divBdr>
                        <w:top w:val="none" w:sz="0" w:space="0" w:color="auto"/>
                        <w:left w:val="none" w:sz="0" w:space="0" w:color="auto"/>
                        <w:bottom w:val="none" w:sz="0" w:space="0" w:color="auto"/>
                        <w:right w:val="none" w:sz="0" w:space="0" w:color="auto"/>
                      </w:divBdr>
                    </w:div>
                    <w:div w:id="1961183460">
                      <w:marLeft w:val="0"/>
                      <w:marRight w:val="0"/>
                      <w:marTop w:val="0"/>
                      <w:marBottom w:val="0"/>
                      <w:divBdr>
                        <w:top w:val="none" w:sz="0" w:space="0" w:color="auto"/>
                        <w:left w:val="none" w:sz="0" w:space="0" w:color="auto"/>
                        <w:bottom w:val="none" w:sz="0" w:space="0" w:color="auto"/>
                        <w:right w:val="none" w:sz="0" w:space="0" w:color="auto"/>
                      </w:divBdr>
                    </w:div>
                    <w:div w:id="1677658339">
                      <w:marLeft w:val="0"/>
                      <w:marRight w:val="0"/>
                      <w:marTop w:val="0"/>
                      <w:marBottom w:val="0"/>
                      <w:divBdr>
                        <w:top w:val="none" w:sz="0" w:space="0" w:color="auto"/>
                        <w:left w:val="none" w:sz="0" w:space="0" w:color="auto"/>
                        <w:bottom w:val="none" w:sz="0" w:space="0" w:color="auto"/>
                        <w:right w:val="none" w:sz="0" w:space="0" w:color="auto"/>
                      </w:divBdr>
                    </w:div>
                    <w:div w:id="121316485">
                      <w:marLeft w:val="0"/>
                      <w:marRight w:val="0"/>
                      <w:marTop w:val="0"/>
                      <w:marBottom w:val="0"/>
                      <w:divBdr>
                        <w:top w:val="none" w:sz="0" w:space="0" w:color="auto"/>
                        <w:left w:val="none" w:sz="0" w:space="0" w:color="auto"/>
                        <w:bottom w:val="none" w:sz="0" w:space="0" w:color="auto"/>
                        <w:right w:val="none" w:sz="0" w:space="0" w:color="auto"/>
                      </w:divBdr>
                    </w:div>
                  </w:divsChild>
                </w:div>
                <w:div w:id="1306667128">
                  <w:marLeft w:val="0"/>
                  <w:marRight w:val="0"/>
                  <w:marTop w:val="0"/>
                  <w:marBottom w:val="0"/>
                  <w:divBdr>
                    <w:top w:val="none" w:sz="0" w:space="0" w:color="auto"/>
                    <w:left w:val="none" w:sz="0" w:space="0" w:color="auto"/>
                    <w:bottom w:val="none" w:sz="0" w:space="0" w:color="auto"/>
                    <w:right w:val="none" w:sz="0" w:space="0" w:color="auto"/>
                  </w:divBdr>
                  <w:divsChild>
                    <w:div w:id="473253902">
                      <w:marLeft w:val="0"/>
                      <w:marRight w:val="0"/>
                      <w:marTop w:val="0"/>
                      <w:marBottom w:val="0"/>
                      <w:divBdr>
                        <w:top w:val="none" w:sz="0" w:space="0" w:color="auto"/>
                        <w:left w:val="none" w:sz="0" w:space="0" w:color="auto"/>
                        <w:bottom w:val="none" w:sz="0" w:space="0" w:color="auto"/>
                        <w:right w:val="none" w:sz="0" w:space="0" w:color="auto"/>
                      </w:divBdr>
                    </w:div>
                  </w:divsChild>
                </w:div>
                <w:div w:id="962464440">
                  <w:marLeft w:val="0"/>
                  <w:marRight w:val="0"/>
                  <w:marTop w:val="0"/>
                  <w:marBottom w:val="0"/>
                  <w:divBdr>
                    <w:top w:val="none" w:sz="0" w:space="0" w:color="auto"/>
                    <w:left w:val="none" w:sz="0" w:space="0" w:color="auto"/>
                    <w:bottom w:val="none" w:sz="0" w:space="0" w:color="auto"/>
                    <w:right w:val="none" w:sz="0" w:space="0" w:color="auto"/>
                  </w:divBdr>
                  <w:divsChild>
                    <w:div w:id="402147665">
                      <w:marLeft w:val="0"/>
                      <w:marRight w:val="0"/>
                      <w:marTop w:val="0"/>
                      <w:marBottom w:val="0"/>
                      <w:divBdr>
                        <w:top w:val="none" w:sz="0" w:space="0" w:color="auto"/>
                        <w:left w:val="none" w:sz="0" w:space="0" w:color="auto"/>
                        <w:bottom w:val="none" w:sz="0" w:space="0" w:color="auto"/>
                        <w:right w:val="none" w:sz="0" w:space="0" w:color="auto"/>
                      </w:divBdr>
                    </w:div>
                  </w:divsChild>
                </w:div>
                <w:div w:id="1183397523">
                  <w:marLeft w:val="0"/>
                  <w:marRight w:val="0"/>
                  <w:marTop w:val="0"/>
                  <w:marBottom w:val="0"/>
                  <w:divBdr>
                    <w:top w:val="none" w:sz="0" w:space="0" w:color="auto"/>
                    <w:left w:val="none" w:sz="0" w:space="0" w:color="auto"/>
                    <w:bottom w:val="none" w:sz="0" w:space="0" w:color="auto"/>
                    <w:right w:val="none" w:sz="0" w:space="0" w:color="auto"/>
                  </w:divBdr>
                  <w:divsChild>
                    <w:div w:id="1241062795">
                      <w:marLeft w:val="0"/>
                      <w:marRight w:val="0"/>
                      <w:marTop w:val="0"/>
                      <w:marBottom w:val="0"/>
                      <w:divBdr>
                        <w:top w:val="none" w:sz="0" w:space="0" w:color="auto"/>
                        <w:left w:val="none" w:sz="0" w:space="0" w:color="auto"/>
                        <w:bottom w:val="none" w:sz="0" w:space="0" w:color="auto"/>
                        <w:right w:val="none" w:sz="0" w:space="0" w:color="auto"/>
                      </w:divBdr>
                    </w:div>
                    <w:div w:id="1987390222">
                      <w:marLeft w:val="0"/>
                      <w:marRight w:val="0"/>
                      <w:marTop w:val="0"/>
                      <w:marBottom w:val="0"/>
                      <w:divBdr>
                        <w:top w:val="none" w:sz="0" w:space="0" w:color="auto"/>
                        <w:left w:val="none" w:sz="0" w:space="0" w:color="auto"/>
                        <w:bottom w:val="none" w:sz="0" w:space="0" w:color="auto"/>
                        <w:right w:val="none" w:sz="0" w:space="0" w:color="auto"/>
                      </w:divBdr>
                    </w:div>
                    <w:div w:id="1171606452">
                      <w:marLeft w:val="0"/>
                      <w:marRight w:val="0"/>
                      <w:marTop w:val="0"/>
                      <w:marBottom w:val="0"/>
                      <w:divBdr>
                        <w:top w:val="none" w:sz="0" w:space="0" w:color="auto"/>
                        <w:left w:val="none" w:sz="0" w:space="0" w:color="auto"/>
                        <w:bottom w:val="none" w:sz="0" w:space="0" w:color="auto"/>
                        <w:right w:val="none" w:sz="0" w:space="0" w:color="auto"/>
                      </w:divBdr>
                    </w:div>
                    <w:div w:id="1400591825">
                      <w:marLeft w:val="0"/>
                      <w:marRight w:val="0"/>
                      <w:marTop w:val="0"/>
                      <w:marBottom w:val="0"/>
                      <w:divBdr>
                        <w:top w:val="none" w:sz="0" w:space="0" w:color="auto"/>
                        <w:left w:val="none" w:sz="0" w:space="0" w:color="auto"/>
                        <w:bottom w:val="none" w:sz="0" w:space="0" w:color="auto"/>
                        <w:right w:val="none" w:sz="0" w:space="0" w:color="auto"/>
                      </w:divBdr>
                    </w:div>
                    <w:div w:id="1587808505">
                      <w:marLeft w:val="0"/>
                      <w:marRight w:val="0"/>
                      <w:marTop w:val="0"/>
                      <w:marBottom w:val="0"/>
                      <w:divBdr>
                        <w:top w:val="none" w:sz="0" w:space="0" w:color="auto"/>
                        <w:left w:val="none" w:sz="0" w:space="0" w:color="auto"/>
                        <w:bottom w:val="none" w:sz="0" w:space="0" w:color="auto"/>
                        <w:right w:val="none" w:sz="0" w:space="0" w:color="auto"/>
                      </w:divBdr>
                    </w:div>
                  </w:divsChild>
                </w:div>
                <w:div w:id="705836938">
                  <w:marLeft w:val="0"/>
                  <w:marRight w:val="0"/>
                  <w:marTop w:val="0"/>
                  <w:marBottom w:val="0"/>
                  <w:divBdr>
                    <w:top w:val="none" w:sz="0" w:space="0" w:color="auto"/>
                    <w:left w:val="none" w:sz="0" w:space="0" w:color="auto"/>
                    <w:bottom w:val="none" w:sz="0" w:space="0" w:color="auto"/>
                    <w:right w:val="none" w:sz="0" w:space="0" w:color="auto"/>
                  </w:divBdr>
                  <w:divsChild>
                    <w:div w:id="1206604647">
                      <w:marLeft w:val="0"/>
                      <w:marRight w:val="0"/>
                      <w:marTop w:val="0"/>
                      <w:marBottom w:val="0"/>
                      <w:divBdr>
                        <w:top w:val="none" w:sz="0" w:space="0" w:color="auto"/>
                        <w:left w:val="none" w:sz="0" w:space="0" w:color="auto"/>
                        <w:bottom w:val="none" w:sz="0" w:space="0" w:color="auto"/>
                        <w:right w:val="none" w:sz="0" w:space="0" w:color="auto"/>
                      </w:divBdr>
                    </w:div>
                  </w:divsChild>
                </w:div>
                <w:div w:id="1329098051">
                  <w:marLeft w:val="0"/>
                  <w:marRight w:val="0"/>
                  <w:marTop w:val="0"/>
                  <w:marBottom w:val="0"/>
                  <w:divBdr>
                    <w:top w:val="none" w:sz="0" w:space="0" w:color="auto"/>
                    <w:left w:val="none" w:sz="0" w:space="0" w:color="auto"/>
                    <w:bottom w:val="none" w:sz="0" w:space="0" w:color="auto"/>
                    <w:right w:val="none" w:sz="0" w:space="0" w:color="auto"/>
                  </w:divBdr>
                  <w:divsChild>
                    <w:div w:id="886915262">
                      <w:marLeft w:val="0"/>
                      <w:marRight w:val="0"/>
                      <w:marTop w:val="0"/>
                      <w:marBottom w:val="0"/>
                      <w:divBdr>
                        <w:top w:val="none" w:sz="0" w:space="0" w:color="auto"/>
                        <w:left w:val="none" w:sz="0" w:space="0" w:color="auto"/>
                        <w:bottom w:val="none" w:sz="0" w:space="0" w:color="auto"/>
                        <w:right w:val="none" w:sz="0" w:space="0" w:color="auto"/>
                      </w:divBdr>
                    </w:div>
                  </w:divsChild>
                </w:div>
                <w:div w:id="640161874">
                  <w:marLeft w:val="0"/>
                  <w:marRight w:val="0"/>
                  <w:marTop w:val="0"/>
                  <w:marBottom w:val="0"/>
                  <w:divBdr>
                    <w:top w:val="none" w:sz="0" w:space="0" w:color="auto"/>
                    <w:left w:val="none" w:sz="0" w:space="0" w:color="auto"/>
                    <w:bottom w:val="none" w:sz="0" w:space="0" w:color="auto"/>
                    <w:right w:val="none" w:sz="0" w:space="0" w:color="auto"/>
                  </w:divBdr>
                  <w:divsChild>
                    <w:div w:id="1449861503">
                      <w:marLeft w:val="0"/>
                      <w:marRight w:val="0"/>
                      <w:marTop w:val="0"/>
                      <w:marBottom w:val="0"/>
                      <w:divBdr>
                        <w:top w:val="none" w:sz="0" w:space="0" w:color="auto"/>
                        <w:left w:val="none" w:sz="0" w:space="0" w:color="auto"/>
                        <w:bottom w:val="none" w:sz="0" w:space="0" w:color="auto"/>
                        <w:right w:val="none" w:sz="0" w:space="0" w:color="auto"/>
                      </w:divBdr>
                    </w:div>
                  </w:divsChild>
                </w:div>
                <w:div w:id="1915814900">
                  <w:marLeft w:val="0"/>
                  <w:marRight w:val="0"/>
                  <w:marTop w:val="0"/>
                  <w:marBottom w:val="0"/>
                  <w:divBdr>
                    <w:top w:val="none" w:sz="0" w:space="0" w:color="auto"/>
                    <w:left w:val="none" w:sz="0" w:space="0" w:color="auto"/>
                    <w:bottom w:val="none" w:sz="0" w:space="0" w:color="auto"/>
                    <w:right w:val="none" w:sz="0" w:space="0" w:color="auto"/>
                  </w:divBdr>
                  <w:divsChild>
                    <w:div w:id="2132019311">
                      <w:marLeft w:val="0"/>
                      <w:marRight w:val="0"/>
                      <w:marTop w:val="0"/>
                      <w:marBottom w:val="0"/>
                      <w:divBdr>
                        <w:top w:val="none" w:sz="0" w:space="0" w:color="auto"/>
                        <w:left w:val="none" w:sz="0" w:space="0" w:color="auto"/>
                        <w:bottom w:val="none" w:sz="0" w:space="0" w:color="auto"/>
                        <w:right w:val="none" w:sz="0" w:space="0" w:color="auto"/>
                      </w:divBdr>
                    </w:div>
                    <w:div w:id="283776193">
                      <w:marLeft w:val="0"/>
                      <w:marRight w:val="0"/>
                      <w:marTop w:val="0"/>
                      <w:marBottom w:val="0"/>
                      <w:divBdr>
                        <w:top w:val="none" w:sz="0" w:space="0" w:color="auto"/>
                        <w:left w:val="none" w:sz="0" w:space="0" w:color="auto"/>
                        <w:bottom w:val="none" w:sz="0" w:space="0" w:color="auto"/>
                        <w:right w:val="none" w:sz="0" w:space="0" w:color="auto"/>
                      </w:divBdr>
                    </w:div>
                    <w:div w:id="1109936464">
                      <w:marLeft w:val="0"/>
                      <w:marRight w:val="0"/>
                      <w:marTop w:val="0"/>
                      <w:marBottom w:val="0"/>
                      <w:divBdr>
                        <w:top w:val="none" w:sz="0" w:space="0" w:color="auto"/>
                        <w:left w:val="none" w:sz="0" w:space="0" w:color="auto"/>
                        <w:bottom w:val="none" w:sz="0" w:space="0" w:color="auto"/>
                        <w:right w:val="none" w:sz="0" w:space="0" w:color="auto"/>
                      </w:divBdr>
                    </w:div>
                    <w:div w:id="225065854">
                      <w:marLeft w:val="0"/>
                      <w:marRight w:val="0"/>
                      <w:marTop w:val="0"/>
                      <w:marBottom w:val="0"/>
                      <w:divBdr>
                        <w:top w:val="none" w:sz="0" w:space="0" w:color="auto"/>
                        <w:left w:val="none" w:sz="0" w:space="0" w:color="auto"/>
                        <w:bottom w:val="none" w:sz="0" w:space="0" w:color="auto"/>
                        <w:right w:val="none" w:sz="0" w:space="0" w:color="auto"/>
                      </w:divBdr>
                    </w:div>
                  </w:divsChild>
                </w:div>
                <w:div w:id="1179195487">
                  <w:marLeft w:val="0"/>
                  <w:marRight w:val="0"/>
                  <w:marTop w:val="0"/>
                  <w:marBottom w:val="0"/>
                  <w:divBdr>
                    <w:top w:val="none" w:sz="0" w:space="0" w:color="auto"/>
                    <w:left w:val="none" w:sz="0" w:space="0" w:color="auto"/>
                    <w:bottom w:val="none" w:sz="0" w:space="0" w:color="auto"/>
                    <w:right w:val="none" w:sz="0" w:space="0" w:color="auto"/>
                  </w:divBdr>
                  <w:divsChild>
                    <w:div w:id="624165169">
                      <w:marLeft w:val="0"/>
                      <w:marRight w:val="0"/>
                      <w:marTop w:val="0"/>
                      <w:marBottom w:val="0"/>
                      <w:divBdr>
                        <w:top w:val="none" w:sz="0" w:space="0" w:color="auto"/>
                        <w:left w:val="none" w:sz="0" w:space="0" w:color="auto"/>
                        <w:bottom w:val="none" w:sz="0" w:space="0" w:color="auto"/>
                        <w:right w:val="none" w:sz="0" w:space="0" w:color="auto"/>
                      </w:divBdr>
                    </w:div>
                  </w:divsChild>
                </w:div>
                <w:div w:id="380323538">
                  <w:marLeft w:val="0"/>
                  <w:marRight w:val="0"/>
                  <w:marTop w:val="0"/>
                  <w:marBottom w:val="0"/>
                  <w:divBdr>
                    <w:top w:val="none" w:sz="0" w:space="0" w:color="auto"/>
                    <w:left w:val="none" w:sz="0" w:space="0" w:color="auto"/>
                    <w:bottom w:val="none" w:sz="0" w:space="0" w:color="auto"/>
                    <w:right w:val="none" w:sz="0" w:space="0" w:color="auto"/>
                  </w:divBdr>
                  <w:divsChild>
                    <w:div w:id="2047942812">
                      <w:marLeft w:val="0"/>
                      <w:marRight w:val="0"/>
                      <w:marTop w:val="0"/>
                      <w:marBottom w:val="0"/>
                      <w:divBdr>
                        <w:top w:val="none" w:sz="0" w:space="0" w:color="auto"/>
                        <w:left w:val="none" w:sz="0" w:space="0" w:color="auto"/>
                        <w:bottom w:val="none" w:sz="0" w:space="0" w:color="auto"/>
                        <w:right w:val="none" w:sz="0" w:space="0" w:color="auto"/>
                      </w:divBdr>
                    </w:div>
                  </w:divsChild>
                </w:div>
                <w:div w:id="2122533095">
                  <w:marLeft w:val="0"/>
                  <w:marRight w:val="0"/>
                  <w:marTop w:val="0"/>
                  <w:marBottom w:val="0"/>
                  <w:divBdr>
                    <w:top w:val="none" w:sz="0" w:space="0" w:color="auto"/>
                    <w:left w:val="none" w:sz="0" w:space="0" w:color="auto"/>
                    <w:bottom w:val="none" w:sz="0" w:space="0" w:color="auto"/>
                    <w:right w:val="none" w:sz="0" w:space="0" w:color="auto"/>
                  </w:divBdr>
                  <w:divsChild>
                    <w:div w:id="2129230457">
                      <w:marLeft w:val="0"/>
                      <w:marRight w:val="0"/>
                      <w:marTop w:val="0"/>
                      <w:marBottom w:val="0"/>
                      <w:divBdr>
                        <w:top w:val="none" w:sz="0" w:space="0" w:color="auto"/>
                        <w:left w:val="none" w:sz="0" w:space="0" w:color="auto"/>
                        <w:bottom w:val="none" w:sz="0" w:space="0" w:color="auto"/>
                        <w:right w:val="none" w:sz="0" w:space="0" w:color="auto"/>
                      </w:divBdr>
                    </w:div>
                    <w:div w:id="462432684">
                      <w:marLeft w:val="0"/>
                      <w:marRight w:val="0"/>
                      <w:marTop w:val="0"/>
                      <w:marBottom w:val="0"/>
                      <w:divBdr>
                        <w:top w:val="none" w:sz="0" w:space="0" w:color="auto"/>
                        <w:left w:val="none" w:sz="0" w:space="0" w:color="auto"/>
                        <w:bottom w:val="none" w:sz="0" w:space="0" w:color="auto"/>
                        <w:right w:val="none" w:sz="0" w:space="0" w:color="auto"/>
                      </w:divBdr>
                    </w:div>
                    <w:div w:id="1386492047">
                      <w:marLeft w:val="0"/>
                      <w:marRight w:val="0"/>
                      <w:marTop w:val="0"/>
                      <w:marBottom w:val="0"/>
                      <w:divBdr>
                        <w:top w:val="none" w:sz="0" w:space="0" w:color="auto"/>
                        <w:left w:val="none" w:sz="0" w:space="0" w:color="auto"/>
                        <w:bottom w:val="none" w:sz="0" w:space="0" w:color="auto"/>
                        <w:right w:val="none" w:sz="0" w:space="0" w:color="auto"/>
                      </w:divBdr>
                    </w:div>
                    <w:div w:id="115564105">
                      <w:marLeft w:val="0"/>
                      <w:marRight w:val="0"/>
                      <w:marTop w:val="0"/>
                      <w:marBottom w:val="0"/>
                      <w:divBdr>
                        <w:top w:val="none" w:sz="0" w:space="0" w:color="auto"/>
                        <w:left w:val="none" w:sz="0" w:space="0" w:color="auto"/>
                        <w:bottom w:val="none" w:sz="0" w:space="0" w:color="auto"/>
                        <w:right w:val="none" w:sz="0" w:space="0" w:color="auto"/>
                      </w:divBdr>
                    </w:div>
                    <w:div w:id="715785683">
                      <w:marLeft w:val="0"/>
                      <w:marRight w:val="0"/>
                      <w:marTop w:val="0"/>
                      <w:marBottom w:val="0"/>
                      <w:divBdr>
                        <w:top w:val="none" w:sz="0" w:space="0" w:color="auto"/>
                        <w:left w:val="none" w:sz="0" w:space="0" w:color="auto"/>
                        <w:bottom w:val="none" w:sz="0" w:space="0" w:color="auto"/>
                        <w:right w:val="none" w:sz="0" w:space="0" w:color="auto"/>
                      </w:divBdr>
                    </w:div>
                  </w:divsChild>
                </w:div>
                <w:div w:id="329336442">
                  <w:marLeft w:val="0"/>
                  <w:marRight w:val="0"/>
                  <w:marTop w:val="0"/>
                  <w:marBottom w:val="0"/>
                  <w:divBdr>
                    <w:top w:val="none" w:sz="0" w:space="0" w:color="auto"/>
                    <w:left w:val="none" w:sz="0" w:space="0" w:color="auto"/>
                    <w:bottom w:val="none" w:sz="0" w:space="0" w:color="auto"/>
                    <w:right w:val="none" w:sz="0" w:space="0" w:color="auto"/>
                  </w:divBdr>
                  <w:divsChild>
                    <w:div w:id="1406803010">
                      <w:marLeft w:val="0"/>
                      <w:marRight w:val="0"/>
                      <w:marTop w:val="0"/>
                      <w:marBottom w:val="0"/>
                      <w:divBdr>
                        <w:top w:val="none" w:sz="0" w:space="0" w:color="auto"/>
                        <w:left w:val="none" w:sz="0" w:space="0" w:color="auto"/>
                        <w:bottom w:val="none" w:sz="0" w:space="0" w:color="auto"/>
                        <w:right w:val="none" w:sz="0" w:space="0" w:color="auto"/>
                      </w:divBdr>
                    </w:div>
                  </w:divsChild>
                </w:div>
                <w:div w:id="258951488">
                  <w:marLeft w:val="0"/>
                  <w:marRight w:val="0"/>
                  <w:marTop w:val="0"/>
                  <w:marBottom w:val="0"/>
                  <w:divBdr>
                    <w:top w:val="none" w:sz="0" w:space="0" w:color="auto"/>
                    <w:left w:val="none" w:sz="0" w:space="0" w:color="auto"/>
                    <w:bottom w:val="none" w:sz="0" w:space="0" w:color="auto"/>
                    <w:right w:val="none" w:sz="0" w:space="0" w:color="auto"/>
                  </w:divBdr>
                  <w:divsChild>
                    <w:div w:id="1659841996">
                      <w:marLeft w:val="0"/>
                      <w:marRight w:val="0"/>
                      <w:marTop w:val="0"/>
                      <w:marBottom w:val="0"/>
                      <w:divBdr>
                        <w:top w:val="none" w:sz="0" w:space="0" w:color="auto"/>
                        <w:left w:val="none" w:sz="0" w:space="0" w:color="auto"/>
                        <w:bottom w:val="none" w:sz="0" w:space="0" w:color="auto"/>
                        <w:right w:val="none" w:sz="0" w:space="0" w:color="auto"/>
                      </w:divBdr>
                    </w:div>
                  </w:divsChild>
                </w:div>
                <w:div w:id="59377562">
                  <w:marLeft w:val="0"/>
                  <w:marRight w:val="0"/>
                  <w:marTop w:val="0"/>
                  <w:marBottom w:val="0"/>
                  <w:divBdr>
                    <w:top w:val="none" w:sz="0" w:space="0" w:color="auto"/>
                    <w:left w:val="none" w:sz="0" w:space="0" w:color="auto"/>
                    <w:bottom w:val="none" w:sz="0" w:space="0" w:color="auto"/>
                    <w:right w:val="none" w:sz="0" w:space="0" w:color="auto"/>
                  </w:divBdr>
                  <w:divsChild>
                    <w:div w:id="1076320183">
                      <w:marLeft w:val="0"/>
                      <w:marRight w:val="0"/>
                      <w:marTop w:val="0"/>
                      <w:marBottom w:val="0"/>
                      <w:divBdr>
                        <w:top w:val="none" w:sz="0" w:space="0" w:color="auto"/>
                        <w:left w:val="none" w:sz="0" w:space="0" w:color="auto"/>
                        <w:bottom w:val="none" w:sz="0" w:space="0" w:color="auto"/>
                        <w:right w:val="none" w:sz="0" w:space="0" w:color="auto"/>
                      </w:divBdr>
                    </w:div>
                    <w:div w:id="492794772">
                      <w:marLeft w:val="0"/>
                      <w:marRight w:val="0"/>
                      <w:marTop w:val="0"/>
                      <w:marBottom w:val="0"/>
                      <w:divBdr>
                        <w:top w:val="none" w:sz="0" w:space="0" w:color="auto"/>
                        <w:left w:val="none" w:sz="0" w:space="0" w:color="auto"/>
                        <w:bottom w:val="none" w:sz="0" w:space="0" w:color="auto"/>
                        <w:right w:val="none" w:sz="0" w:space="0" w:color="auto"/>
                      </w:divBdr>
                    </w:div>
                    <w:div w:id="617417214">
                      <w:marLeft w:val="0"/>
                      <w:marRight w:val="0"/>
                      <w:marTop w:val="0"/>
                      <w:marBottom w:val="0"/>
                      <w:divBdr>
                        <w:top w:val="none" w:sz="0" w:space="0" w:color="auto"/>
                        <w:left w:val="none" w:sz="0" w:space="0" w:color="auto"/>
                        <w:bottom w:val="none" w:sz="0" w:space="0" w:color="auto"/>
                        <w:right w:val="none" w:sz="0" w:space="0" w:color="auto"/>
                      </w:divBdr>
                    </w:div>
                    <w:div w:id="1572693833">
                      <w:marLeft w:val="0"/>
                      <w:marRight w:val="0"/>
                      <w:marTop w:val="0"/>
                      <w:marBottom w:val="0"/>
                      <w:divBdr>
                        <w:top w:val="none" w:sz="0" w:space="0" w:color="auto"/>
                        <w:left w:val="none" w:sz="0" w:space="0" w:color="auto"/>
                        <w:bottom w:val="none" w:sz="0" w:space="0" w:color="auto"/>
                        <w:right w:val="none" w:sz="0" w:space="0" w:color="auto"/>
                      </w:divBdr>
                    </w:div>
                  </w:divsChild>
                </w:div>
                <w:div w:id="2018144567">
                  <w:marLeft w:val="0"/>
                  <w:marRight w:val="0"/>
                  <w:marTop w:val="0"/>
                  <w:marBottom w:val="0"/>
                  <w:divBdr>
                    <w:top w:val="none" w:sz="0" w:space="0" w:color="auto"/>
                    <w:left w:val="none" w:sz="0" w:space="0" w:color="auto"/>
                    <w:bottom w:val="none" w:sz="0" w:space="0" w:color="auto"/>
                    <w:right w:val="none" w:sz="0" w:space="0" w:color="auto"/>
                  </w:divBdr>
                  <w:divsChild>
                    <w:div w:id="91501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082846">
          <w:marLeft w:val="0"/>
          <w:marRight w:val="0"/>
          <w:marTop w:val="0"/>
          <w:marBottom w:val="0"/>
          <w:divBdr>
            <w:top w:val="none" w:sz="0" w:space="0" w:color="auto"/>
            <w:left w:val="none" w:sz="0" w:space="0" w:color="auto"/>
            <w:bottom w:val="none" w:sz="0" w:space="0" w:color="auto"/>
            <w:right w:val="none" w:sz="0" w:space="0" w:color="auto"/>
          </w:divBdr>
        </w:div>
        <w:div w:id="655449952">
          <w:marLeft w:val="0"/>
          <w:marRight w:val="0"/>
          <w:marTop w:val="0"/>
          <w:marBottom w:val="0"/>
          <w:divBdr>
            <w:top w:val="none" w:sz="0" w:space="0" w:color="auto"/>
            <w:left w:val="none" w:sz="0" w:space="0" w:color="auto"/>
            <w:bottom w:val="none" w:sz="0" w:space="0" w:color="auto"/>
            <w:right w:val="none" w:sz="0" w:space="0" w:color="auto"/>
          </w:divBdr>
        </w:div>
        <w:div w:id="2073650133">
          <w:marLeft w:val="0"/>
          <w:marRight w:val="0"/>
          <w:marTop w:val="0"/>
          <w:marBottom w:val="0"/>
          <w:divBdr>
            <w:top w:val="none" w:sz="0" w:space="0" w:color="auto"/>
            <w:left w:val="none" w:sz="0" w:space="0" w:color="auto"/>
            <w:bottom w:val="none" w:sz="0" w:space="0" w:color="auto"/>
            <w:right w:val="none" w:sz="0" w:space="0" w:color="auto"/>
          </w:divBdr>
        </w:div>
      </w:divsChild>
    </w:div>
    <w:div w:id="347367551">
      <w:bodyDiv w:val="1"/>
      <w:marLeft w:val="0"/>
      <w:marRight w:val="0"/>
      <w:marTop w:val="0"/>
      <w:marBottom w:val="0"/>
      <w:divBdr>
        <w:top w:val="none" w:sz="0" w:space="0" w:color="auto"/>
        <w:left w:val="none" w:sz="0" w:space="0" w:color="auto"/>
        <w:bottom w:val="none" w:sz="0" w:space="0" w:color="auto"/>
        <w:right w:val="none" w:sz="0" w:space="0" w:color="auto"/>
      </w:divBdr>
      <w:divsChild>
        <w:div w:id="27604704">
          <w:marLeft w:val="547"/>
          <w:marRight w:val="0"/>
          <w:marTop w:val="240"/>
          <w:marBottom w:val="0"/>
          <w:divBdr>
            <w:top w:val="none" w:sz="0" w:space="0" w:color="auto"/>
            <w:left w:val="none" w:sz="0" w:space="0" w:color="auto"/>
            <w:bottom w:val="none" w:sz="0" w:space="0" w:color="auto"/>
            <w:right w:val="none" w:sz="0" w:space="0" w:color="auto"/>
          </w:divBdr>
        </w:div>
        <w:div w:id="249000244">
          <w:marLeft w:val="547"/>
          <w:marRight w:val="0"/>
          <w:marTop w:val="240"/>
          <w:marBottom w:val="0"/>
          <w:divBdr>
            <w:top w:val="none" w:sz="0" w:space="0" w:color="auto"/>
            <w:left w:val="none" w:sz="0" w:space="0" w:color="auto"/>
            <w:bottom w:val="none" w:sz="0" w:space="0" w:color="auto"/>
            <w:right w:val="none" w:sz="0" w:space="0" w:color="auto"/>
          </w:divBdr>
        </w:div>
        <w:div w:id="631643550">
          <w:marLeft w:val="547"/>
          <w:marRight w:val="0"/>
          <w:marTop w:val="240"/>
          <w:marBottom w:val="0"/>
          <w:divBdr>
            <w:top w:val="none" w:sz="0" w:space="0" w:color="auto"/>
            <w:left w:val="none" w:sz="0" w:space="0" w:color="auto"/>
            <w:bottom w:val="none" w:sz="0" w:space="0" w:color="auto"/>
            <w:right w:val="none" w:sz="0" w:space="0" w:color="auto"/>
          </w:divBdr>
        </w:div>
      </w:divsChild>
    </w:div>
    <w:div w:id="778911748">
      <w:bodyDiv w:val="1"/>
      <w:marLeft w:val="0"/>
      <w:marRight w:val="0"/>
      <w:marTop w:val="0"/>
      <w:marBottom w:val="0"/>
      <w:divBdr>
        <w:top w:val="none" w:sz="0" w:space="0" w:color="auto"/>
        <w:left w:val="none" w:sz="0" w:space="0" w:color="auto"/>
        <w:bottom w:val="none" w:sz="0" w:space="0" w:color="auto"/>
        <w:right w:val="none" w:sz="0" w:space="0" w:color="auto"/>
      </w:divBdr>
    </w:div>
    <w:div w:id="909736026">
      <w:bodyDiv w:val="1"/>
      <w:marLeft w:val="0"/>
      <w:marRight w:val="0"/>
      <w:marTop w:val="0"/>
      <w:marBottom w:val="0"/>
      <w:divBdr>
        <w:top w:val="none" w:sz="0" w:space="0" w:color="auto"/>
        <w:left w:val="none" w:sz="0" w:space="0" w:color="auto"/>
        <w:bottom w:val="none" w:sz="0" w:space="0" w:color="auto"/>
        <w:right w:val="none" w:sz="0" w:space="0" w:color="auto"/>
      </w:divBdr>
    </w:div>
    <w:div w:id="915087285">
      <w:bodyDiv w:val="1"/>
      <w:marLeft w:val="0"/>
      <w:marRight w:val="0"/>
      <w:marTop w:val="0"/>
      <w:marBottom w:val="0"/>
      <w:divBdr>
        <w:top w:val="none" w:sz="0" w:space="0" w:color="auto"/>
        <w:left w:val="none" w:sz="0" w:space="0" w:color="auto"/>
        <w:bottom w:val="none" w:sz="0" w:space="0" w:color="auto"/>
        <w:right w:val="none" w:sz="0" w:space="0" w:color="auto"/>
      </w:divBdr>
    </w:div>
    <w:div w:id="1004015043">
      <w:bodyDiv w:val="1"/>
      <w:marLeft w:val="0"/>
      <w:marRight w:val="0"/>
      <w:marTop w:val="0"/>
      <w:marBottom w:val="0"/>
      <w:divBdr>
        <w:top w:val="none" w:sz="0" w:space="0" w:color="auto"/>
        <w:left w:val="none" w:sz="0" w:space="0" w:color="auto"/>
        <w:bottom w:val="none" w:sz="0" w:space="0" w:color="auto"/>
        <w:right w:val="none" w:sz="0" w:space="0" w:color="auto"/>
      </w:divBdr>
      <w:divsChild>
        <w:div w:id="427625855">
          <w:marLeft w:val="547"/>
          <w:marRight w:val="0"/>
          <w:marTop w:val="0"/>
          <w:marBottom w:val="0"/>
          <w:divBdr>
            <w:top w:val="none" w:sz="0" w:space="0" w:color="auto"/>
            <w:left w:val="none" w:sz="0" w:space="0" w:color="auto"/>
            <w:bottom w:val="none" w:sz="0" w:space="0" w:color="auto"/>
            <w:right w:val="none" w:sz="0" w:space="0" w:color="auto"/>
          </w:divBdr>
        </w:div>
      </w:divsChild>
    </w:div>
    <w:div w:id="1057365266">
      <w:bodyDiv w:val="1"/>
      <w:marLeft w:val="0"/>
      <w:marRight w:val="0"/>
      <w:marTop w:val="0"/>
      <w:marBottom w:val="0"/>
      <w:divBdr>
        <w:top w:val="none" w:sz="0" w:space="0" w:color="auto"/>
        <w:left w:val="none" w:sz="0" w:space="0" w:color="auto"/>
        <w:bottom w:val="none" w:sz="0" w:space="0" w:color="auto"/>
        <w:right w:val="none" w:sz="0" w:space="0" w:color="auto"/>
      </w:divBdr>
    </w:div>
    <w:div w:id="1069964520">
      <w:bodyDiv w:val="1"/>
      <w:marLeft w:val="0"/>
      <w:marRight w:val="0"/>
      <w:marTop w:val="0"/>
      <w:marBottom w:val="0"/>
      <w:divBdr>
        <w:top w:val="none" w:sz="0" w:space="0" w:color="auto"/>
        <w:left w:val="none" w:sz="0" w:space="0" w:color="auto"/>
        <w:bottom w:val="none" w:sz="0" w:space="0" w:color="auto"/>
        <w:right w:val="none" w:sz="0" w:space="0" w:color="auto"/>
      </w:divBdr>
    </w:div>
    <w:div w:id="1256548367">
      <w:bodyDiv w:val="1"/>
      <w:marLeft w:val="0"/>
      <w:marRight w:val="0"/>
      <w:marTop w:val="0"/>
      <w:marBottom w:val="0"/>
      <w:divBdr>
        <w:top w:val="none" w:sz="0" w:space="0" w:color="auto"/>
        <w:left w:val="none" w:sz="0" w:space="0" w:color="auto"/>
        <w:bottom w:val="none" w:sz="0" w:space="0" w:color="auto"/>
        <w:right w:val="none" w:sz="0" w:space="0" w:color="auto"/>
      </w:divBdr>
    </w:div>
    <w:div w:id="1322197833">
      <w:bodyDiv w:val="1"/>
      <w:marLeft w:val="0"/>
      <w:marRight w:val="0"/>
      <w:marTop w:val="0"/>
      <w:marBottom w:val="0"/>
      <w:divBdr>
        <w:top w:val="none" w:sz="0" w:space="0" w:color="auto"/>
        <w:left w:val="none" w:sz="0" w:space="0" w:color="auto"/>
        <w:bottom w:val="none" w:sz="0" w:space="0" w:color="auto"/>
        <w:right w:val="none" w:sz="0" w:space="0" w:color="auto"/>
      </w:divBdr>
      <w:divsChild>
        <w:div w:id="1283003652">
          <w:marLeft w:val="547"/>
          <w:marRight w:val="0"/>
          <w:marTop w:val="0"/>
          <w:marBottom w:val="0"/>
          <w:divBdr>
            <w:top w:val="none" w:sz="0" w:space="0" w:color="auto"/>
            <w:left w:val="none" w:sz="0" w:space="0" w:color="auto"/>
            <w:bottom w:val="none" w:sz="0" w:space="0" w:color="auto"/>
            <w:right w:val="none" w:sz="0" w:space="0" w:color="auto"/>
          </w:divBdr>
        </w:div>
      </w:divsChild>
    </w:div>
    <w:div w:id="1371882753">
      <w:bodyDiv w:val="1"/>
      <w:marLeft w:val="0"/>
      <w:marRight w:val="0"/>
      <w:marTop w:val="0"/>
      <w:marBottom w:val="0"/>
      <w:divBdr>
        <w:top w:val="none" w:sz="0" w:space="0" w:color="auto"/>
        <w:left w:val="none" w:sz="0" w:space="0" w:color="auto"/>
        <w:bottom w:val="none" w:sz="0" w:space="0" w:color="auto"/>
        <w:right w:val="none" w:sz="0" w:space="0" w:color="auto"/>
      </w:divBdr>
      <w:divsChild>
        <w:div w:id="521434460">
          <w:marLeft w:val="547"/>
          <w:marRight w:val="0"/>
          <w:marTop w:val="0"/>
          <w:marBottom w:val="0"/>
          <w:divBdr>
            <w:top w:val="none" w:sz="0" w:space="0" w:color="auto"/>
            <w:left w:val="none" w:sz="0" w:space="0" w:color="auto"/>
            <w:bottom w:val="none" w:sz="0" w:space="0" w:color="auto"/>
            <w:right w:val="none" w:sz="0" w:space="0" w:color="auto"/>
          </w:divBdr>
        </w:div>
        <w:div w:id="532958567">
          <w:marLeft w:val="547"/>
          <w:marRight w:val="0"/>
          <w:marTop w:val="0"/>
          <w:marBottom w:val="0"/>
          <w:divBdr>
            <w:top w:val="none" w:sz="0" w:space="0" w:color="auto"/>
            <w:left w:val="none" w:sz="0" w:space="0" w:color="auto"/>
            <w:bottom w:val="none" w:sz="0" w:space="0" w:color="auto"/>
            <w:right w:val="none" w:sz="0" w:space="0" w:color="auto"/>
          </w:divBdr>
        </w:div>
        <w:div w:id="676807973">
          <w:marLeft w:val="1267"/>
          <w:marRight w:val="0"/>
          <w:marTop w:val="0"/>
          <w:marBottom w:val="0"/>
          <w:divBdr>
            <w:top w:val="none" w:sz="0" w:space="0" w:color="auto"/>
            <w:left w:val="none" w:sz="0" w:space="0" w:color="auto"/>
            <w:bottom w:val="none" w:sz="0" w:space="0" w:color="auto"/>
            <w:right w:val="none" w:sz="0" w:space="0" w:color="auto"/>
          </w:divBdr>
        </w:div>
        <w:div w:id="889072670">
          <w:marLeft w:val="1267"/>
          <w:marRight w:val="0"/>
          <w:marTop w:val="0"/>
          <w:marBottom w:val="0"/>
          <w:divBdr>
            <w:top w:val="none" w:sz="0" w:space="0" w:color="auto"/>
            <w:left w:val="none" w:sz="0" w:space="0" w:color="auto"/>
            <w:bottom w:val="none" w:sz="0" w:space="0" w:color="auto"/>
            <w:right w:val="none" w:sz="0" w:space="0" w:color="auto"/>
          </w:divBdr>
        </w:div>
        <w:div w:id="1043871043">
          <w:marLeft w:val="547"/>
          <w:marRight w:val="0"/>
          <w:marTop w:val="0"/>
          <w:marBottom w:val="0"/>
          <w:divBdr>
            <w:top w:val="none" w:sz="0" w:space="0" w:color="auto"/>
            <w:left w:val="none" w:sz="0" w:space="0" w:color="auto"/>
            <w:bottom w:val="none" w:sz="0" w:space="0" w:color="auto"/>
            <w:right w:val="none" w:sz="0" w:space="0" w:color="auto"/>
          </w:divBdr>
        </w:div>
        <w:div w:id="1566866705">
          <w:marLeft w:val="547"/>
          <w:marRight w:val="0"/>
          <w:marTop w:val="0"/>
          <w:marBottom w:val="0"/>
          <w:divBdr>
            <w:top w:val="none" w:sz="0" w:space="0" w:color="auto"/>
            <w:left w:val="none" w:sz="0" w:space="0" w:color="auto"/>
            <w:bottom w:val="none" w:sz="0" w:space="0" w:color="auto"/>
            <w:right w:val="none" w:sz="0" w:space="0" w:color="auto"/>
          </w:divBdr>
        </w:div>
      </w:divsChild>
    </w:div>
    <w:div w:id="1552766934">
      <w:bodyDiv w:val="1"/>
      <w:marLeft w:val="0"/>
      <w:marRight w:val="0"/>
      <w:marTop w:val="0"/>
      <w:marBottom w:val="0"/>
      <w:divBdr>
        <w:top w:val="none" w:sz="0" w:space="0" w:color="auto"/>
        <w:left w:val="none" w:sz="0" w:space="0" w:color="auto"/>
        <w:bottom w:val="none" w:sz="0" w:space="0" w:color="auto"/>
        <w:right w:val="none" w:sz="0" w:space="0" w:color="auto"/>
      </w:divBdr>
      <w:divsChild>
        <w:div w:id="97142848">
          <w:marLeft w:val="547"/>
          <w:marRight w:val="0"/>
          <w:marTop w:val="0"/>
          <w:marBottom w:val="0"/>
          <w:divBdr>
            <w:top w:val="none" w:sz="0" w:space="0" w:color="auto"/>
            <w:left w:val="none" w:sz="0" w:space="0" w:color="auto"/>
            <w:bottom w:val="none" w:sz="0" w:space="0" w:color="auto"/>
            <w:right w:val="none" w:sz="0" w:space="0" w:color="auto"/>
          </w:divBdr>
        </w:div>
        <w:div w:id="411465581">
          <w:marLeft w:val="1123"/>
          <w:marRight w:val="0"/>
          <w:marTop w:val="0"/>
          <w:marBottom w:val="0"/>
          <w:divBdr>
            <w:top w:val="none" w:sz="0" w:space="0" w:color="auto"/>
            <w:left w:val="none" w:sz="0" w:space="0" w:color="auto"/>
            <w:bottom w:val="none" w:sz="0" w:space="0" w:color="auto"/>
            <w:right w:val="none" w:sz="0" w:space="0" w:color="auto"/>
          </w:divBdr>
        </w:div>
        <w:div w:id="755588591">
          <w:marLeft w:val="1123"/>
          <w:marRight w:val="0"/>
          <w:marTop w:val="0"/>
          <w:marBottom w:val="0"/>
          <w:divBdr>
            <w:top w:val="none" w:sz="0" w:space="0" w:color="auto"/>
            <w:left w:val="none" w:sz="0" w:space="0" w:color="auto"/>
            <w:bottom w:val="none" w:sz="0" w:space="0" w:color="auto"/>
            <w:right w:val="none" w:sz="0" w:space="0" w:color="auto"/>
          </w:divBdr>
        </w:div>
        <w:div w:id="826943923">
          <w:marLeft w:val="1123"/>
          <w:marRight w:val="0"/>
          <w:marTop w:val="0"/>
          <w:marBottom w:val="0"/>
          <w:divBdr>
            <w:top w:val="none" w:sz="0" w:space="0" w:color="auto"/>
            <w:left w:val="none" w:sz="0" w:space="0" w:color="auto"/>
            <w:bottom w:val="none" w:sz="0" w:space="0" w:color="auto"/>
            <w:right w:val="none" w:sz="0" w:space="0" w:color="auto"/>
          </w:divBdr>
        </w:div>
        <w:div w:id="1218273852">
          <w:marLeft w:val="1123"/>
          <w:marRight w:val="0"/>
          <w:marTop w:val="0"/>
          <w:marBottom w:val="0"/>
          <w:divBdr>
            <w:top w:val="none" w:sz="0" w:space="0" w:color="auto"/>
            <w:left w:val="none" w:sz="0" w:space="0" w:color="auto"/>
            <w:bottom w:val="none" w:sz="0" w:space="0" w:color="auto"/>
            <w:right w:val="none" w:sz="0" w:space="0" w:color="auto"/>
          </w:divBdr>
        </w:div>
        <w:div w:id="1506244275">
          <w:marLeft w:val="1123"/>
          <w:marRight w:val="0"/>
          <w:marTop w:val="0"/>
          <w:marBottom w:val="0"/>
          <w:divBdr>
            <w:top w:val="none" w:sz="0" w:space="0" w:color="auto"/>
            <w:left w:val="none" w:sz="0" w:space="0" w:color="auto"/>
            <w:bottom w:val="none" w:sz="0" w:space="0" w:color="auto"/>
            <w:right w:val="none" w:sz="0" w:space="0" w:color="auto"/>
          </w:divBdr>
        </w:div>
      </w:divsChild>
    </w:div>
    <w:div w:id="1690788006">
      <w:bodyDiv w:val="1"/>
      <w:marLeft w:val="0"/>
      <w:marRight w:val="0"/>
      <w:marTop w:val="0"/>
      <w:marBottom w:val="0"/>
      <w:divBdr>
        <w:top w:val="none" w:sz="0" w:space="0" w:color="auto"/>
        <w:left w:val="none" w:sz="0" w:space="0" w:color="auto"/>
        <w:bottom w:val="none" w:sz="0" w:space="0" w:color="auto"/>
        <w:right w:val="none" w:sz="0" w:space="0" w:color="auto"/>
      </w:divBdr>
    </w:div>
    <w:div w:id="1746683823">
      <w:bodyDiv w:val="1"/>
      <w:marLeft w:val="0"/>
      <w:marRight w:val="0"/>
      <w:marTop w:val="0"/>
      <w:marBottom w:val="0"/>
      <w:divBdr>
        <w:top w:val="none" w:sz="0" w:space="0" w:color="auto"/>
        <w:left w:val="none" w:sz="0" w:space="0" w:color="auto"/>
        <w:bottom w:val="none" w:sz="0" w:space="0" w:color="auto"/>
        <w:right w:val="none" w:sz="0" w:space="0" w:color="auto"/>
      </w:divBdr>
      <w:divsChild>
        <w:div w:id="1536038289">
          <w:marLeft w:val="547"/>
          <w:marRight w:val="0"/>
          <w:marTop w:val="0"/>
          <w:marBottom w:val="0"/>
          <w:divBdr>
            <w:top w:val="none" w:sz="0" w:space="0" w:color="auto"/>
            <w:left w:val="none" w:sz="0" w:space="0" w:color="auto"/>
            <w:bottom w:val="none" w:sz="0" w:space="0" w:color="auto"/>
            <w:right w:val="none" w:sz="0" w:space="0" w:color="auto"/>
          </w:divBdr>
        </w:div>
      </w:divsChild>
    </w:div>
    <w:div w:id="1904631797">
      <w:bodyDiv w:val="1"/>
      <w:marLeft w:val="0"/>
      <w:marRight w:val="0"/>
      <w:marTop w:val="0"/>
      <w:marBottom w:val="0"/>
      <w:divBdr>
        <w:top w:val="none" w:sz="0" w:space="0" w:color="auto"/>
        <w:left w:val="none" w:sz="0" w:space="0" w:color="auto"/>
        <w:bottom w:val="none" w:sz="0" w:space="0" w:color="auto"/>
        <w:right w:val="none" w:sz="0" w:space="0" w:color="auto"/>
      </w:divBdr>
      <w:divsChild>
        <w:div w:id="24912462">
          <w:marLeft w:val="0"/>
          <w:marRight w:val="0"/>
          <w:marTop w:val="0"/>
          <w:marBottom w:val="0"/>
          <w:divBdr>
            <w:top w:val="none" w:sz="0" w:space="0" w:color="auto"/>
            <w:left w:val="none" w:sz="0" w:space="0" w:color="auto"/>
            <w:bottom w:val="none" w:sz="0" w:space="0" w:color="auto"/>
            <w:right w:val="none" w:sz="0" w:space="0" w:color="auto"/>
          </w:divBdr>
        </w:div>
        <w:div w:id="211507611">
          <w:marLeft w:val="0"/>
          <w:marRight w:val="0"/>
          <w:marTop w:val="0"/>
          <w:marBottom w:val="0"/>
          <w:divBdr>
            <w:top w:val="none" w:sz="0" w:space="0" w:color="auto"/>
            <w:left w:val="none" w:sz="0" w:space="0" w:color="auto"/>
            <w:bottom w:val="none" w:sz="0" w:space="0" w:color="auto"/>
            <w:right w:val="none" w:sz="0" w:space="0" w:color="auto"/>
          </w:divBdr>
        </w:div>
        <w:div w:id="469900792">
          <w:marLeft w:val="0"/>
          <w:marRight w:val="0"/>
          <w:marTop w:val="0"/>
          <w:marBottom w:val="0"/>
          <w:divBdr>
            <w:top w:val="none" w:sz="0" w:space="0" w:color="auto"/>
            <w:left w:val="none" w:sz="0" w:space="0" w:color="auto"/>
            <w:bottom w:val="none" w:sz="0" w:space="0" w:color="auto"/>
            <w:right w:val="none" w:sz="0" w:space="0" w:color="auto"/>
          </w:divBdr>
        </w:div>
        <w:div w:id="669717670">
          <w:marLeft w:val="0"/>
          <w:marRight w:val="0"/>
          <w:marTop w:val="0"/>
          <w:marBottom w:val="0"/>
          <w:divBdr>
            <w:top w:val="none" w:sz="0" w:space="0" w:color="auto"/>
            <w:left w:val="none" w:sz="0" w:space="0" w:color="auto"/>
            <w:bottom w:val="none" w:sz="0" w:space="0" w:color="auto"/>
            <w:right w:val="none" w:sz="0" w:space="0" w:color="auto"/>
          </w:divBdr>
        </w:div>
        <w:div w:id="742610012">
          <w:marLeft w:val="0"/>
          <w:marRight w:val="0"/>
          <w:marTop w:val="0"/>
          <w:marBottom w:val="0"/>
          <w:divBdr>
            <w:top w:val="none" w:sz="0" w:space="0" w:color="auto"/>
            <w:left w:val="none" w:sz="0" w:space="0" w:color="auto"/>
            <w:bottom w:val="none" w:sz="0" w:space="0" w:color="auto"/>
            <w:right w:val="none" w:sz="0" w:space="0" w:color="auto"/>
          </w:divBdr>
        </w:div>
        <w:div w:id="1385131162">
          <w:marLeft w:val="0"/>
          <w:marRight w:val="0"/>
          <w:marTop w:val="0"/>
          <w:marBottom w:val="0"/>
          <w:divBdr>
            <w:top w:val="none" w:sz="0" w:space="0" w:color="auto"/>
            <w:left w:val="none" w:sz="0" w:space="0" w:color="auto"/>
            <w:bottom w:val="none" w:sz="0" w:space="0" w:color="auto"/>
            <w:right w:val="none" w:sz="0" w:space="0" w:color="auto"/>
          </w:divBdr>
        </w:div>
        <w:div w:id="1582064713">
          <w:marLeft w:val="0"/>
          <w:marRight w:val="0"/>
          <w:marTop w:val="0"/>
          <w:marBottom w:val="0"/>
          <w:divBdr>
            <w:top w:val="none" w:sz="0" w:space="0" w:color="auto"/>
            <w:left w:val="none" w:sz="0" w:space="0" w:color="auto"/>
            <w:bottom w:val="none" w:sz="0" w:space="0" w:color="auto"/>
            <w:right w:val="none" w:sz="0" w:space="0" w:color="auto"/>
          </w:divBdr>
        </w:div>
      </w:divsChild>
    </w:div>
    <w:div w:id="1912502227">
      <w:bodyDiv w:val="1"/>
      <w:marLeft w:val="0"/>
      <w:marRight w:val="0"/>
      <w:marTop w:val="0"/>
      <w:marBottom w:val="0"/>
      <w:divBdr>
        <w:top w:val="none" w:sz="0" w:space="0" w:color="auto"/>
        <w:left w:val="none" w:sz="0" w:space="0" w:color="auto"/>
        <w:bottom w:val="none" w:sz="0" w:space="0" w:color="auto"/>
        <w:right w:val="none" w:sz="0" w:space="0" w:color="auto"/>
      </w:divBdr>
      <w:divsChild>
        <w:div w:id="1829708041">
          <w:marLeft w:val="547"/>
          <w:marRight w:val="0"/>
          <w:marTop w:val="0"/>
          <w:marBottom w:val="0"/>
          <w:divBdr>
            <w:top w:val="none" w:sz="0" w:space="0" w:color="auto"/>
            <w:left w:val="none" w:sz="0" w:space="0" w:color="auto"/>
            <w:bottom w:val="none" w:sz="0" w:space="0" w:color="auto"/>
            <w:right w:val="none" w:sz="0" w:space="0" w:color="auto"/>
          </w:divBdr>
        </w:div>
      </w:divsChild>
    </w:div>
    <w:div w:id="2056006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gac.gov.co/es/listado-maestro-de-documentos" TargetMode="External"/><Relationship Id="rId21" Type="http://schemas.openxmlformats.org/officeDocument/2006/relationships/chart" Target="charts/chart4.xml"/><Relationship Id="rId42" Type="http://schemas.openxmlformats.org/officeDocument/2006/relationships/hyperlink" Target="https://tableros.igac.gov.co/gestionimagenes/" TargetMode="External"/><Relationship Id="rId63" Type="http://schemas.openxmlformats.org/officeDocument/2006/relationships/hyperlink" Target="https://www.colombiaenmapas.gov.co/" TargetMode="External"/><Relationship Id="rId84" Type="http://schemas.openxmlformats.org/officeDocument/2006/relationships/image" Target="media/image36.jpeg"/><Relationship Id="rId138" Type="http://schemas.openxmlformats.org/officeDocument/2006/relationships/image" Target="media/image62.png"/><Relationship Id="rId159" Type="http://schemas.openxmlformats.org/officeDocument/2006/relationships/hyperlink" Target="file:///C:\:v:\g\personal\lorena_fortich_igac_gov_co\EVbN8Zo8Q-xOipi8c-bN2gMB729-S6dWJUBrlnKtwGrRpA" TargetMode="External"/><Relationship Id="rId170" Type="http://schemas.microsoft.com/office/2007/relationships/diagramDrawing" Target="diagrams/drawing4.xml"/><Relationship Id="rId191" Type="http://schemas.openxmlformats.org/officeDocument/2006/relationships/image" Target="media/image84.png"/><Relationship Id="rId205" Type="http://schemas.openxmlformats.org/officeDocument/2006/relationships/image" Target="media/image91.png"/><Relationship Id="rId226" Type="http://schemas.openxmlformats.org/officeDocument/2006/relationships/hyperlink" Target="https://www.igac.gov.co/es/transparencia-y-acceso-a-la-informacion-publica/plan-anticorrupcion-y-de-atencion-al-ciudadano" TargetMode="External"/><Relationship Id="rId107" Type="http://schemas.openxmlformats.org/officeDocument/2006/relationships/image" Target="media/image41.png"/><Relationship Id="rId11" Type="http://schemas.openxmlformats.org/officeDocument/2006/relationships/footer" Target="footer1.xml"/><Relationship Id="rId32" Type="http://schemas.openxmlformats.org/officeDocument/2006/relationships/image" Target="media/image12.png"/><Relationship Id="rId53" Type="http://schemas.openxmlformats.org/officeDocument/2006/relationships/image" Target="media/image25.png"/><Relationship Id="rId74" Type="http://schemas.openxmlformats.org/officeDocument/2006/relationships/image" Target="media/image28.png"/><Relationship Id="rId128" Type="http://schemas.openxmlformats.org/officeDocument/2006/relationships/diagramData" Target="diagrams/data2.xml"/><Relationship Id="rId149" Type="http://schemas.openxmlformats.org/officeDocument/2006/relationships/hyperlink" Target="https://fb.watch/4MrjP0S52O/" TargetMode="External"/><Relationship Id="rId5" Type="http://schemas.openxmlformats.org/officeDocument/2006/relationships/settings" Target="settings.xml"/><Relationship Id="rId95" Type="http://schemas.openxmlformats.org/officeDocument/2006/relationships/hyperlink" Target="https://sisconpes.dnp.gov.co/sisconpesweb/Seguimiento/Documentos" TargetMode="External"/><Relationship Id="rId160" Type="http://schemas.openxmlformats.org/officeDocument/2006/relationships/hyperlink" Target="https://m.facebook.com/IgacColombia/videos/995479477922588/" TargetMode="External"/><Relationship Id="rId181" Type="http://schemas.openxmlformats.org/officeDocument/2006/relationships/hyperlink" Target="https://www.igac.gov.co/es/listado-maestro-de-documentos" TargetMode="External"/><Relationship Id="rId216" Type="http://schemas.openxmlformats.org/officeDocument/2006/relationships/hyperlink" Target="https://www.igac.gov.co/es/transparencia-y-acceso-a-la-informacion-publica/plan-de-accion-anual" TargetMode="External"/><Relationship Id="rId22" Type="http://schemas.openxmlformats.org/officeDocument/2006/relationships/chart" Target="charts/chart5.xml"/><Relationship Id="rId43" Type="http://schemas.openxmlformats.org/officeDocument/2006/relationships/image" Target="media/image20.jpg"/><Relationship Id="rId64" Type="http://schemas.openxmlformats.org/officeDocument/2006/relationships/image" Target="media/image26.png"/><Relationship Id="rId118" Type="http://schemas.openxmlformats.org/officeDocument/2006/relationships/hyperlink" Target="https://www.igac.gov.co/es/transparencia-y-acceso-a-la-informacion-publica/plan-de-accion-anual" TargetMode="External"/><Relationship Id="rId139" Type="http://schemas.openxmlformats.org/officeDocument/2006/relationships/image" Target="media/image63.png"/><Relationship Id="rId85" Type="http://schemas.openxmlformats.org/officeDocument/2006/relationships/image" Target="media/image37.jpeg"/><Relationship Id="rId150" Type="http://schemas.openxmlformats.org/officeDocument/2006/relationships/hyperlink" Target="https://www.youtube.com/watch?v=SsGa7w-ryVk" TargetMode="External"/><Relationship Id="rId171" Type="http://schemas.openxmlformats.org/officeDocument/2006/relationships/diagramData" Target="diagrams/data5.xml"/><Relationship Id="rId192" Type="http://schemas.openxmlformats.org/officeDocument/2006/relationships/chart" Target="charts/chart7.xml"/><Relationship Id="rId206" Type="http://schemas.openxmlformats.org/officeDocument/2006/relationships/image" Target="media/image92.png"/><Relationship Id="rId227" Type="http://schemas.openxmlformats.org/officeDocument/2006/relationships/chart" Target="charts/chart9.xml"/><Relationship Id="rId12" Type="http://schemas.openxmlformats.org/officeDocument/2006/relationships/hyperlink" Target="https://tableros.igac.gov.co/datosgeomagneticos/" TargetMode="External"/><Relationship Id="rId33" Type="http://schemas.openxmlformats.org/officeDocument/2006/relationships/image" Target="media/image13.png"/><Relationship Id="rId108" Type="http://schemas.openxmlformats.org/officeDocument/2006/relationships/hyperlink" Target="https://www.igac.gov.co/es/listado-maestro-de-documentos" TargetMode="External"/><Relationship Id="rId129" Type="http://schemas.openxmlformats.org/officeDocument/2006/relationships/diagramLayout" Target="diagrams/layout2.xml"/><Relationship Id="rId54" Type="http://schemas.openxmlformats.org/officeDocument/2006/relationships/hyperlink" Target="https://tableros.igac.gov.co/datosgeomagneticos/" TargetMode="External"/><Relationship Id="rId75" Type="http://schemas.openxmlformats.org/officeDocument/2006/relationships/hyperlink" Target="https://diccionario.igac.gov.co/" TargetMode="External"/><Relationship Id="rId96" Type="http://schemas.openxmlformats.org/officeDocument/2006/relationships/image" Target="media/image38.png"/><Relationship Id="rId140" Type="http://schemas.openxmlformats.org/officeDocument/2006/relationships/image" Target="media/image64.png"/><Relationship Id="rId161" Type="http://schemas.openxmlformats.org/officeDocument/2006/relationships/hyperlink" Target="https://latiquetera.com/view/register/aniversario-86-instituto-geografico-agustin-codazic" TargetMode="External"/><Relationship Id="rId182" Type="http://schemas.openxmlformats.org/officeDocument/2006/relationships/hyperlink" Target="https://www.igac.gov.co/es/transparencia-y-acceso-a-la-informacion-publica/plan-de-accion-anual" TargetMode="External"/><Relationship Id="rId217" Type="http://schemas.openxmlformats.org/officeDocument/2006/relationships/hyperlink" Target="https://www.igac.gov.co/es/transparencia-y-acceso-a-la-informacion-publica/plan-anticorrupcion-y-de-atencion-al-ciudadano" TargetMode="External"/><Relationship Id="rId6" Type="http://schemas.openxmlformats.org/officeDocument/2006/relationships/webSettings" Target="webSettings.xml"/><Relationship Id="rId23" Type="http://schemas.openxmlformats.org/officeDocument/2006/relationships/hyperlink" Target="https://www.igac.gov.co/es/listado-maestro-de-documentos" TargetMode="External"/><Relationship Id="rId119" Type="http://schemas.openxmlformats.org/officeDocument/2006/relationships/hyperlink" Target="https://www.igac.gov.co/es/transparencia-y-acceso-a-la-informacion-publica/plan-anticorrupcion-y-de-atencion-al-ciudadano" TargetMode="External"/><Relationship Id="rId44" Type="http://schemas.openxmlformats.org/officeDocument/2006/relationships/hyperlink" Target="applewebdata://34A9A4BB-6131-4AE9-BD81-55B882A706C2" TargetMode="External"/><Relationship Id="rId65" Type="http://schemas.openxmlformats.org/officeDocument/2006/relationships/hyperlink" Target="https://bit.ly/3H8zOwL" TargetMode="External"/><Relationship Id="rId86" Type="http://schemas.openxmlformats.org/officeDocument/2006/relationships/hyperlink" Target="applewebdata://67016B8F-7DF7-473C-9E3E-A2AF048EBCE5" TargetMode="External"/><Relationship Id="rId130" Type="http://schemas.openxmlformats.org/officeDocument/2006/relationships/diagramQuickStyle" Target="diagrams/quickStyle2.xml"/><Relationship Id="rId151" Type="http://schemas.openxmlformats.org/officeDocument/2006/relationships/hyperlink" Target="https://www.facebook.com/IgacColombia/videos/224452056054050/" TargetMode="External"/><Relationship Id="rId172" Type="http://schemas.openxmlformats.org/officeDocument/2006/relationships/diagramLayout" Target="diagrams/layout5.xml"/><Relationship Id="rId193" Type="http://schemas.openxmlformats.org/officeDocument/2006/relationships/chart" Target="charts/chart8.xml"/><Relationship Id="rId207" Type="http://schemas.openxmlformats.org/officeDocument/2006/relationships/image" Target="media/image93.png"/><Relationship Id="rId228" Type="http://schemas.openxmlformats.org/officeDocument/2006/relationships/chart" Target="charts/chart10.xml"/><Relationship Id="rId13" Type="http://schemas.openxmlformats.org/officeDocument/2006/relationships/image" Target="media/image4.png"/><Relationship Id="rId109" Type="http://schemas.openxmlformats.org/officeDocument/2006/relationships/hyperlink" Target="https://www.igac.gov.co/es/transparencia-y-acceso-a-la-informacion-publica/plan-de-accion-anual" TargetMode="External"/><Relationship Id="rId34" Type="http://schemas.openxmlformats.org/officeDocument/2006/relationships/image" Target="media/image14.png"/><Relationship Id="rId55" Type="http://schemas.openxmlformats.org/officeDocument/2006/relationships/hyperlink" Target="applewebdata://34A9A4BB-6131-4AE9-BD81-55B882A706C2" TargetMode="External"/><Relationship Id="rId76" Type="http://schemas.openxmlformats.org/officeDocument/2006/relationships/image" Target="media/image29.png"/><Relationship Id="rId97" Type="http://schemas.openxmlformats.org/officeDocument/2006/relationships/image" Target="media/image39.png"/><Relationship Id="rId120" Type="http://schemas.openxmlformats.org/officeDocument/2006/relationships/image" Target="media/image48.jpg"/><Relationship Id="rId141" Type="http://schemas.openxmlformats.org/officeDocument/2006/relationships/image" Target="media/image65.png"/><Relationship Id="rId7" Type="http://schemas.openxmlformats.org/officeDocument/2006/relationships/footnotes" Target="footnotes.xml"/><Relationship Id="rId162" Type="http://schemas.openxmlformats.org/officeDocument/2006/relationships/hyperlink" Target="https://m.facebook.com/story.php?story_fbid=1261192304340852&amp;id=310635435652325" TargetMode="External"/><Relationship Id="rId183" Type="http://schemas.openxmlformats.org/officeDocument/2006/relationships/hyperlink" Target="https://www.igac.gov.co/es/transparencia-y-acceso-a-la-informacion-publica/plan-anticorrupcion-y-de-atencion-al-ciudadano" TargetMode="External"/><Relationship Id="rId218" Type="http://schemas.openxmlformats.org/officeDocument/2006/relationships/image" Target="media/image99.png"/><Relationship Id="rId24" Type="http://schemas.openxmlformats.org/officeDocument/2006/relationships/hyperlink" Target="https://www.igac.gov.co/es/transparencia-y-acceso-a-la-informacion-publica/plan-de-accion-anual" TargetMode="External"/><Relationship Id="rId45" Type="http://schemas.openxmlformats.org/officeDocument/2006/relationships/hyperlink" Target="https://bit.ly/3pfbIdi" TargetMode="External"/><Relationship Id="rId66" Type="http://schemas.openxmlformats.org/officeDocument/2006/relationships/image" Target="media/image27.png"/><Relationship Id="rId87" Type="http://schemas.openxmlformats.org/officeDocument/2006/relationships/hyperlink" Target="http://www.colombiaot.gov.co/" TargetMode="External"/><Relationship Id="rId110" Type="http://schemas.openxmlformats.org/officeDocument/2006/relationships/hyperlink" Target="https://www.igac.gov.co/es/transparencia-y-acceso-a-la-informacion-publica/plan-anticorrupcion-y-de-atencion-al-ciudadano" TargetMode="External"/><Relationship Id="rId131" Type="http://schemas.openxmlformats.org/officeDocument/2006/relationships/diagramColors" Target="diagrams/colors2.xml"/><Relationship Id="rId152" Type="http://schemas.openxmlformats.org/officeDocument/2006/relationships/hyperlink" Target="https://www.facebook.com/IgacColombia/videos/4048357815203834/" TargetMode="External"/><Relationship Id="rId173" Type="http://schemas.openxmlformats.org/officeDocument/2006/relationships/diagramQuickStyle" Target="diagrams/quickStyle5.xml"/><Relationship Id="rId194" Type="http://schemas.openxmlformats.org/officeDocument/2006/relationships/image" Target="media/image85.png"/><Relationship Id="rId208" Type="http://schemas.openxmlformats.org/officeDocument/2006/relationships/image" Target="media/image94.png"/><Relationship Id="rId229" Type="http://schemas.openxmlformats.org/officeDocument/2006/relationships/chart" Target="charts/chart11.xml"/><Relationship Id="rId14" Type="http://schemas.openxmlformats.org/officeDocument/2006/relationships/image" Target="media/image5.png"/><Relationship Id="rId35" Type="http://schemas.openxmlformats.org/officeDocument/2006/relationships/image" Target="media/image15.png"/><Relationship Id="rId56" Type="http://schemas.openxmlformats.org/officeDocument/2006/relationships/hyperlink" Target="https://proyectostipo.dnp.gov.co/index.php?option=com_k2&amp;view=item&amp;layout=item&amp;id=247&amp;Itemid=315" TargetMode="External"/><Relationship Id="rId77" Type="http://schemas.openxmlformats.org/officeDocument/2006/relationships/image" Target="media/image30.jpg"/><Relationship Id="rId100" Type="http://schemas.openxmlformats.org/officeDocument/2006/relationships/hyperlink" Target="http://www.canalrcn.com" TargetMode="External"/><Relationship Id="rId8" Type="http://schemas.openxmlformats.org/officeDocument/2006/relationships/endnotes" Target="endnotes.xml"/><Relationship Id="rId98" Type="http://schemas.openxmlformats.org/officeDocument/2006/relationships/hyperlink" Target="http://www.icde.gov.co" TargetMode="External"/><Relationship Id="rId121" Type="http://schemas.openxmlformats.org/officeDocument/2006/relationships/diagramData" Target="diagrams/data1.xml"/><Relationship Id="rId142" Type="http://schemas.openxmlformats.org/officeDocument/2006/relationships/image" Target="media/image66.png"/><Relationship Id="rId163" Type="http://schemas.openxmlformats.org/officeDocument/2006/relationships/hyperlink" Target="https://eventoscompensar.com/dia_del_empleado_publico_igac" TargetMode="External"/><Relationship Id="rId184" Type="http://schemas.openxmlformats.org/officeDocument/2006/relationships/image" Target="media/image77.png"/><Relationship Id="rId219" Type="http://schemas.openxmlformats.org/officeDocument/2006/relationships/image" Target="media/image100.png"/><Relationship Id="rId230" Type="http://schemas.openxmlformats.org/officeDocument/2006/relationships/header" Target="header2.xml"/><Relationship Id="rId25" Type="http://schemas.openxmlformats.org/officeDocument/2006/relationships/hyperlink" Target="https://www.igac.gov.co/es/transparencia-y-acceso-a-la-informacion-publica/plan-anticorrupcion-y-de-atencion-al-ciudadano" TargetMode="External"/><Relationship Id="rId46" Type="http://schemas.openxmlformats.org/officeDocument/2006/relationships/hyperlink" Target="https://bit.ly/3jeQhV1" TargetMode="External"/><Relationship Id="rId67" Type="http://schemas.openxmlformats.org/officeDocument/2006/relationships/hyperlink" Target="https://bit.ly/3F6cNsu" TargetMode="External"/><Relationship Id="rId20" Type="http://schemas.openxmlformats.org/officeDocument/2006/relationships/chart" Target="charts/chart3.xml"/><Relationship Id="rId41" Type="http://schemas.openxmlformats.org/officeDocument/2006/relationships/image" Target="media/image19.png"/><Relationship Id="rId62" Type="http://schemas.openxmlformats.org/officeDocument/2006/relationships/hyperlink" Target="https://origen.igac.gov.co/herramientas.html" TargetMode="External"/><Relationship Id="rId83" Type="http://schemas.openxmlformats.org/officeDocument/2006/relationships/image" Target="media/image35.jpg"/><Relationship Id="rId88" Type="http://schemas.openxmlformats.org/officeDocument/2006/relationships/hyperlink" Target="applewebdata://17BE5538-865F-4741-950A-4AFE912FD1D4" TargetMode="External"/><Relationship Id="rId111" Type="http://schemas.openxmlformats.org/officeDocument/2006/relationships/image" Target="media/image42.png"/><Relationship Id="rId132" Type="http://schemas.microsoft.com/office/2007/relationships/diagramDrawing" Target="diagrams/drawing2.xml"/><Relationship Id="rId153" Type="http://schemas.openxmlformats.org/officeDocument/2006/relationships/hyperlink" Target="https://www.facebook.com/310635435652325/videos/1519638118215545" TargetMode="External"/><Relationship Id="rId174" Type="http://schemas.openxmlformats.org/officeDocument/2006/relationships/diagramColors" Target="diagrams/colors5.xml"/><Relationship Id="rId179" Type="http://schemas.openxmlformats.org/officeDocument/2006/relationships/hyperlink" Target="https://www.igac.gov.co/transparencia-y-acceso-a-la-informacion-publica/informes-de-pqrd" TargetMode="External"/><Relationship Id="rId195" Type="http://schemas.openxmlformats.org/officeDocument/2006/relationships/image" Target="media/image86.png"/><Relationship Id="rId209" Type="http://schemas.openxmlformats.org/officeDocument/2006/relationships/hyperlink" Target="https://www.igac.gov.co/es/listado-maestro-de-documentos" TargetMode="External"/><Relationship Id="rId190" Type="http://schemas.openxmlformats.org/officeDocument/2006/relationships/image" Target="media/image83.png"/><Relationship Id="rId204" Type="http://schemas.openxmlformats.org/officeDocument/2006/relationships/image" Target="media/image90.png"/><Relationship Id="rId220" Type="http://schemas.openxmlformats.org/officeDocument/2006/relationships/image" Target="media/image101.png"/><Relationship Id="rId225" Type="http://schemas.openxmlformats.org/officeDocument/2006/relationships/hyperlink" Target="https://www.igac.gov.co/es/transparencia-y-acceso-a-la-informacion-publica/plan-de-accion-anual" TargetMode="External"/><Relationship Id="rId15" Type="http://schemas.openxmlformats.org/officeDocument/2006/relationships/image" Target="media/image6.emf"/><Relationship Id="rId36" Type="http://schemas.openxmlformats.org/officeDocument/2006/relationships/hyperlink" Target="http://applewebdata/E9F34F50-AE8D-4528-A65E-0C9F09C6357F" TargetMode="External"/><Relationship Id="rId57" Type="http://schemas.openxmlformats.org/officeDocument/2006/relationships/hyperlink" Target="applewebdata://34A9A4BB-6131-4AE9-BD81-55B882A706C2" TargetMode="External"/><Relationship Id="rId106" Type="http://schemas.openxmlformats.org/officeDocument/2006/relationships/image" Target="media/image40.emf"/><Relationship Id="rId127" Type="http://schemas.openxmlformats.org/officeDocument/2006/relationships/image" Target="media/image55.png"/><Relationship Id="rId10" Type="http://schemas.openxmlformats.org/officeDocument/2006/relationships/header" Target="header1.xml"/><Relationship Id="rId31" Type="http://schemas.openxmlformats.org/officeDocument/2006/relationships/image" Target="media/image11.png"/><Relationship Id="rId52" Type="http://schemas.openxmlformats.org/officeDocument/2006/relationships/hyperlink" Target="http://www.colombiaenmapa.gov.co/" TargetMode="External"/><Relationship Id="rId73" Type="http://schemas.openxmlformats.org/officeDocument/2006/relationships/hyperlink" Target="http://www.colombiaot.gov.co/" TargetMode="External"/><Relationship Id="rId78" Type="http://schemas.openxmlformats.org/officeDocument/2006/relationships/image" Target="media/image31.png"/><Relationship Id="rId94" Type="http://schemas.openxmlformats.org/officeDocument/2006/relationships/hyperlink" Target="https://www.igac.gov.co/es/transparencia-y-acceso-a-la-informacion-publica/plan-anticorrupcion-y-de-atencion-al-ciudadano" TargetMode="External"/><Relationship Id="rId99" Type="http://schemas.openxmlformats.org/officeDocument/2006/relationships/hyperlink" Target="http://www.igac.gov.co" TargetMode="External"/><Relationship Id="rId101" Type="http://schemas.openxmlformats.org/officeDocument/2006/relationships/hyperlink" Target="http://www.icde.gov.co" TargetMode="External"/><Relationship Id="rId122" Type="http://schemas.openxmlformats.org/officeDocument/2006/relationships/diagramLayout" Target="diagrams/layout1.xml"/><Relationship Id="rId143" Type="http://schemas.openxmlformats.org/officeDocument/2006/relationships/image" Target="media/image67.png"/><Relationship Id="rId148" Type="http://schemas.openxmlformats.org/officeDocument/2006/relationships/hyperlink" Target="https://twitter.com/igacColombia/status/1357480096353951746?s=19" TargetMode="External"/><Relationship Id="rId164" Type="http://schemas.openxmlformats.org/officeDocument/2006/relationships/hyperlink" Target="https://www.igac.gov.co/es/noticias/participa-en-la-formulacion-del-planestrategico-institucional-2021" TargetMode="External"/><Relationship Id="rId169" Type="http://schemas.openxmlformats.org/officeDocument/2006/relationships/diagramColors" Target="diagrams/colors4.xml"/><Relationship Id="rId185" Type="http://schemas.openxmlformats.org/officeDocument/2006/relationships/image" Target="media/image78.png"/><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76.png"/><Relationship Id="rId210" Type="http://schemas.openxmlformats.org/officeDocument/2006/relationships/hyperlink" Target="https://www.igac.gov.co/es/normograma" TargetMode="External"/><Relationship Id="rId215" Type="http://schemas.openxmlformats.org/officeDocument/2006/relationships/hyperlink" Target="https://www.igac.gov.co/es/listado-maestro-de-documentos" TargetMode="External"/><Relationship Id="rId26" Type="http://schemas.openxmlformats.org/officeDocument/2006/relationships/image" Target="media/image9.png"/><Relationship Id="rId231" Type="http://schemas.openxmlformats.org/officeDocument/2006/relationships/footer" Target="footer2.xml"/><Relationship Id="rId47" Type="http://schemas.openxmlformats.org/officeDocument/2006/relationships/hyperlink" Target="https://bit.ly/3BYomA9%20" TargetMode="External"/><Relationship Id="rId68" Type="http://schemas.openxmlformats.org/officeDocument/2006/relationships/hyperlink" Target="https://bit.ly/3wyIEzc" TargetMode="External"/><Relationship Id="rId89" Type="http://schemas.openxmlformats.org/officeDocument/2006/relationships/hyperlink" Target="applewebdata://17BE5538-865F-4741-950A-4AFE912FD1D4" TargetMode="External"/><Relationship Id="rId112" Type="http://schemas.openxmlformats.org/officeDocument/2006/relationships/image" Target="media/image43.png"/><Relationship Id="rId133" Type="http://schemas.openxmlformats.org/officeDocument/2006/relationships/diagramData" Target="diagrams/data3.xml"/><Relationship Id="rId154" Type="http://schemas.openxmlformats.org/officeDocument/2006/relationships/hyperlink" Target="https://www.facebook.com/310635435652325/videos/1158614687904127" TargetMode="External"/><Relationship Id="rId175" Type="http://schemas.microsoft.com/office/2007/relationships/diagramDrawing" Target="diagrams/drawing5.xml"/><Relationship Id="rId196" Type="http://schemas.openxmlformats.org/officeDocument/2006/relationships/image" Target="media/image87.png"/><Relationship Id="rId200" Type="http://schemas.openxmlformats.org/officeDocument/2006/relationships/hyperlink" Target="https://www.igac.gov.co/es/transparencia-y-acceso-a-la-informacion-publica/plan-de-accion-anual" TargetMode="External"/><Relationship Id="rId16" Type="http://schemas.openxmlformats.org/officeDocument/2006/relationships/image" Target="media/image7.PNG"/><Relationship Id="rId221" Type="http://schemas.openxmlformats.org/officeDocument/2006/relationships/image" Target="media/image102.png"/><Relationship Id="rId37" Type="http://schemas.openxmlformats.org/officeDocument/2006/relationships/image" Target="media/image16.png"/><Relationship Id="rId58" Type="http://schemas.openxmlformats.org/officeDocument/2006/relationships/hyperlink" Target="https://bit.ly/3ryNqdx" TargetMode="External"/><Relationship Id="rId79" Type="http://schemas.openxmlformats.org/officeDocument/2006/relationships/image" Target="media/image32.jpeg"/><Relationship Id="rId102" Type="http://schemas.openxmlformats.org/officeDocument/2006/relationships/hyperlink" Target="https://asomunicipios.gov.co/asociacion/proyectos/sig-catatumbo/" TargetMode="External"/><Relationship Id="rId123" Type="http://schemas.openxmlformats.org/officeDocument/2006/relationships/diagramQuickStyle" Target="diagrams/quickStyle1.xml"/><Relationship Id="rId144" Type="http://schemas.openxmlformats.org/officeDocument/2006/relationships/image" Target="media/image68.png"/><Relationship Id="rId90" Type="http://schemas.openxmlformats.org/officeDocument/2006/relationships/hyperlink" Target="https://tableros.igac.gov.co/gestionimagenes/" TargetMode="External"/><Relationship Id="rId165" Type="http://schemas.openxmlformats.org/officeDocument/2006/relationships/hyperlink" Target="https://www.igac.gov.co/es/transparencia-y-acceso-a-la-informacion-publica/proyectos-para-comentar" TargetMode="External"/><Relationship Id="rId186" Type="http://schemas.openxmlformats.org/officeDocument/2006/relationships/image" Target="media/image79.png"/><Relationship Id="rId211" Type="http://schemas.openxmlformats.org/officeDocument/2006/relationships/image" Target="media/image95.png"/><Relationship Id="rId232" Type="http://schemas.openxmlformats.org/officeDocument/2006/relationships/fontTable" Target="fontTable.xml"/><Relationship Id="rId27" Type="http://schemas.openxmlformats.org/officeDocument/2006/relationships/hyperlink" Target="https://www.igac.gov.co/es/listado-maestro-de-documentos" TargetMode="External"/><Relationship Id="rId48" Type="http://schemas.openxmlformats.org/officeDocument/2006/relationships/image" Target="media/image21.png"/><Relationship Id="rId69" Type="http://schemas.openxmlformats.org/officeDocument/2006/relationships/hyperlink" Target="https://bit.ly/3n0ibHr" TargetMode="External"/><Relationship Id="rId113" Type="http://schemas.openxmlformats.org/officeDocument/2006/relationships/image" Target="media/image44.png"/><Relationship Id="rId134" Type="http://schemas.openxmlformats.org/officeDocument/2006/relationships/diagramLayout" Target="diagrams/layout3.xml"/><Relationship Id="rId80" Type="http://schemas.openxmlformats.org/officeDocument/2006/relationships/image" Target="media/image33.jpg"/><Relationship Id="rId155" Type="http://schemas.openxmlformats.org/officeDocument/2006/relationships/hyperlink" Target="https://www.facebook.com/310635435652325/videos/477337326633296" TargetMode="External"/><Relationship Id="rId176" Type="http://schemas.openxmlformats.org/officeDocument/2006/relationships/chart" Target="charts/chart6.xml"/><Relationship Id="rId197" Type="http://schemas.openxmlformats.org/officeDocument/2006/relationships/image" Target="media/image88.png"/><Relationship Id="rId201" Type="http://schemas.openxmlformats.org/officeDocument/2006/relationships/hyperlink" Target="https://www.igac.gov.co/es/transparencia-y-acceso-a-la-informacion-publica/plan-anticorrupcion-y-de-atencion-al-ciudadano" TargetMode="External"/><Relationship Id="rId222" Type="http://schemas.openxmlformats.org/officeDocument/2006/relationships/image" Target="media/image103.png"/><Relationship Id="rId17" Type="http://schemas.openxmlformats.org/officeDocument/2006/relationships/image" Target="media/image8.png"/><Relationship Id="rId38" Type="http://schemas.openxmlformats.org/officeDocument/2006/relationships/hyperlink" Target="applewebdata://EFC3C5F8-9C67-4817-97A2-7173EF19EDCB" TargetMode="External"/><Relationship Id="rId59" Type="http://schemas.openxmlformats.org/officeDocument/2006/relationships/hyperlink" Target="https://origen.igac.gov.co/" TargetMode="External"/><Relationship Id="rId103" Type="http://schemas.openxmlformats.org/officeDocument/2006/relationships/hyperlink" Target="https://www.igac.gov.co/es/listado-maestro-de-documentos" TargetMode="External"/><Relationship Id="rId124" Type="http://schemas.openxmlformats.org/officeDocument/2006/relationships/diagramColors" Target="diagrams/colors1.xml"/><Relationship Id="rId70" Type="http://schemas.openxmlformats.org/officeDocument/2006/relationships/hyperlink" Target="https://bit.ly/3n0iCBz" TargetMode="External"/><Relationship Id="rId91" Type="http://schemas.openxmlformats.org/officeDocument/2006/relationships/hyperlink" Target="http://www.colombiaot.gov/" TargetMode="External"/><Relationship Id="rId145" Type="http://schemas.openxmlformats.org/officeDocument/2006/relationships/image" Target="media/image69.png"/><Relationship Id="rId166" Type="http://schemas.openxmlformats.org/officeDocument/2006/relationships/diagramData" Target="diagrams/data4.xml"/><Relationship Id="rId187" Type="http://schemas.openxmlformats.org/officeDocument/2006/relationships/image" Target="media/image80.png"/><Relationship Id="rId1" Type="http://schemas.openxmlformats.org/officeDocument/2006/relationships/customXml" Target="../customXml/item1.xml"/><Relationship Id="rId212" Type="http://schemas.openxmlformats.org/officeDocument/2006/relationships/image" Target="media/image96.png"/><Relationship Id="rId233" Type="http://schemas.openxmlformats.org/officeDocument/2006/relationships/theme" Target="theme/theme1.xml"/><Relationship Id="rId28" Type="http://schemas.openxmlformats.org/officeDocument/2006/relationships/hyperlink" Target="https://www.igac.gov.co/es/transparencia-y-acceso-a-la-informacion-publica/plan-de-accion-anual" TargetMode="External"/><Relationship Id="rId49" Type="http://schemas.openxmlformats.org/officeDocument/2006/relationships/image" Target="media/image22.png"/><Relationship Id="rId114" Type="http://schemas.openxmlformats.org/officeDocument/2006/relationships/image" Target="media/image45.png"/><Relationship Id="R7cf0b14d106d42cd" Type="http://schemas.microsoft.com/office/2019/09/relationships/intelligence" Target="intelligence.xml"/><Relationship Id="rId60" Type="http://schemas.openxmlformats.org/officeDocument/2006/relationships/hyperlink" Target="https://origen.igac.gov.co/" TargetMode="External"/><Relationship Id="rId81" Type="http://schemas.openxmlformats.org/officeDocument/2006/relationships/hyperlink" Target="https://www.colombiaenmapas.gov.co/" TargetMode="External"/><Relationship Id="rId135" Type="http://schemas.openxmlformats.org/officeDocument/2006/relationships/diagramQuickStyle" Target="diagrams/quickStyle3.xml"/><Relationship Id="rId156" Type="http://schemas.openxmlformats.org/officeDocument/2006/relationships/hyperlink" Target="https://www.facebook.com/IgacColombia/videos/326842552390914/" TargetMode="External"/><Relationship Id="rId177" Type="http://schemas.openxmlformats.org/officeDocument/2006/relationships/hyperlink" Target="mailto:contactenos@igac.gov.co" TargetMode="External"/><Relationship Id="rId198" Type="http://schemas.openxmlformats.org/officeDocument/2006/relationships/image" Target="media/image89.png"/><Relationship Id="rId202" Type="http://schemas.openxmlformats.org/officeDocument/2006/relationships/hyperlink" Target="https://www.igac.gov.co/es/transparencia-y-acceso-a-la-informacion-publica/informes-de-gestion-y-empalme" TargetMode="External"/><Relationship Id="rId223" Type="http://schemas.openxmlformats.org/officeDocument/2006/relationships/image" Target="media/image104.png"/><Relationship Id="rId18" Type="http://schemas.openxmlformats.org/officeDocument/2006/relationships/chart" Target="charts/chart1.xml"/><Relationship Id="rId39" Type="http://schemas.openxmlformats.org/officeDocument/2006/relationships/image" Target="media/image17.jpg"/><Relationship Id="rId50" Type="http://schemas.openxmlformats.org/officeDocument/2006/relationships/image" Target="media/image23.png"/><Relationship Id="rId104" Type="http://schemas.openxmlformats.org/officeDocument/2006/relationships/hyperlink" Target="https://www.igac.gov.co/es/transparencia-y-acceso-a-la-informacion-publica/plan-de-accion-anual" TargetMode="External"/><Relationship Id="rId125" Type="http://schemas.microsoft.com/office/2007/relationships/diagramDrawing" Target="diagrams/drawing1.xml"/><Relationship Id="rId146" Type="http://schemas.openxmlformats.org/officeDocument/2006/relationships/hyperlink" Target="https://www.igac.gov.co/es/transparencia-y-acceso-a-la-informacion-publica/rendicion-de-cuentas-permanente" TargetMode="External"/><Relationship Id="rId167" Type="http://schemas.openxmlformats.org/officeDocument/2006/relationships/diagramLayout" Target="diagrams/layout4.xml"/><Relationship Id="rId188" Type="http://schemas.openxmlformats.org/officeDocument/2006/relationships/image" Target="media/image81.png"/><Relationship Id="rId71" Type="http://schemas.openxmlformats.org/officeDocument/2006/relationships/hyperlink" Target="https://bit.ly/2YysnxH" TargetMode="External"/><Relationship Id="rId92" Type="http://schemas.openxmlformats.org/officeDocument/2006/relationships/hyperlink" Target="https://www.igac.gov.co/es/listado-maestro-de-documentos" TargetMode="External"/><Relationship Id="rId213" Type="http://schemas.openxmlformats.org/officeDocument/2006/relationships/image" Target="media/image97.png"/><Relationship Id="rId2" Type="http://schemas.openxmlformats.org/officeDocument/2006/relationships/customXml" Target="../customXml/item2.xml"/><Relationship Id="rId29" Type="http://schemas.openxmlformats.org/officeDocument/2006/relationships/hyperlink" Target="https://www.igac.gov.co/es/transparencia-y-acceso-a-la-informacion-publica/plan-anticorrupcion-y-de-atencion-al-ciudadano" TargetMode="External"/><Relationship Id="rId40" Type="http://schemas.openxmlformats.org/officeDocument/2006/relationships/image" Target="media/image18.png"/><Relationship Id="rId115" Type="http://schemas.openxmlformats.org/officeDocument/2006/relationships/image" Target="media/image46.png"/><Relationship Id="rId136" Type="http://schemas.openxmlformats.org/officeDocument/2006/relationships/diagramColors" Target="diagrams/colors3.xml"/><Relationship Id="rId157" Type="http://schemas.openxmlformats.org/officeDocument/2006/relationships/hyperlink" Target="https://www.facebook.com/IgacColombia/videos/496008251620792/" TargetMode="External"/><Relationship Id="rId178" Type="http://schemas.openxmlformats.org/officeDocument/2006/relationships/hyperlink" Target="mailto:contactenos@igac.gov.co" TargetMode="External"/><Relationship Id="rId61" Type="http://schemas.openxmlformats.org/officeDocument/2006/relationships/hyperlink" Target="https://origen.igac.gov.co/hojascartograficas.html" TargetMode="External"/><Relationship Id="rId82" Type="http://schemas.openxmlformats.org/officeDocument/2006/relationships/image" Target="media/image34.jpg"/><Relationship Id="rId199" Type="http://schemas.openxmlformats.org/officeDocument/2006/relationships/hyperlink" Target="https://www.igac.gov.co/es/listado-maestro-de-documentos" TargetMode="External"/><Relationship Id="rId203" Type="http://schemas.openxmlformats.org/officeDocument/2006/relationships/hyperlink" Target="https://igac.gov.co/sites/igac.gov.co/files/informe_congreso_sector_estadistica_2020-2021.pdf" TargetMode="External"/><Relationship Id="rId19" Type="http://schemas.openxmlformats.org/officeDocument/2006/relationships/chart" Target="charts/chart2.xml"/><Relationship Id="rId224" Type="http://schemas.openxmlformats.org/officeDocument/2006/relationships/hyperlink" Target="https://www.igac.gov.co/es/listado-maestro-de-documentos" TargetMode="External"/><Relationship Id="rId30" Type="http://schemas.openxmlformats.org/officeDocument/2006/relationships/image" Target="media/image10.png"/><Relationship Id="rId105" Type="http://schemas.openxmlformats.org/officeDocument/2006/relationships/hyperlink" Target="https://www.igac.gov.co/es/transparencia-y-acceso-a-la-informacion-publica/plan-anticorrupcion-y-de-atencion-al-ciudadano" TargetMode="External"/><Relationship Id="rId126" Type="http://schemas.openxmlformats.org/officeDocument/2006/relationships/image" Target="media/image54.png"/><Relationship Id="rId147" Type="http://schemas.openxmlformats.org/officeDocument/2006/relationships/hyperlink" Target="https://www.facebook.com/IgacColombia/videos/1276742012710309/" TargetMode="External"/><Relationship Id="rId168" Type="http://schemas.openxmlformats.org/officeDocument/2006/relationships/diagramQuickStyle" Target="diagrams/quickStyle4.xml"/><Relationship Id="rId51" Type="http://schemas.openxmlformats.org/officeDocument/2006/relationships/image" Target="media/image24.png"/><Relationship Id="rId72" Type="http://schemas.openxmlformats.org/officeDocument/2006/relationships/hyperlink" Target="https://bit.ly/3ojeMmy" TargetMode="External"/><Relationship Id="rId93" Type="http://schemas.openxmlformats.org/officeDocument/2006/relationships/hyperlink" Target="https://www.igac.gov.co/es/transparencia-y-acceso-a-la-informacion-publica/plan-de-accion-anual" TargetMode="External"/><Relationship Id="rId189" Type="http://schemas.openxmlformats.org/officeDocument/2006/relationships/image" Target="media/image82.png"/><Relationship Id="rId3" Type="http://schemas.openxmlformats.org/officeDocument/2006/relationships/numbering" Target="numbering.xml"/><Relationship Id="rId214" Type="http://schemas.openxmlformats.org/officeDocument/2006/relationships/image" Target="media/image98.png"/><Relationship Id="rId116" Type="http://schemas.openxmlformats.org/officeDocument/2006/relationships/image" Target="media/image47.png"/><Relationship Id="rId137" Type="http://schemas.microsoft.com/office/2007/relationships/diagramDrawing" Target="diagrams/drawing3.xml"/><Relationship Id="rId158" Type="http://schemas.openxmlformats.org/officeDocument/2006/relationships/hyperlink" Target="https://www.facebook.com/IgacColombia/videos/350008753174339/"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gac.gov.co/sites/igac.gov.co/files/normograma/resolucion_1421_de_2021.pdf" TargetMode="External"/><Relationship Id="rId1" Type="http://schemas.openxmlformats.org/officeDocument/2006/relationships/hyperlink" Target="applewebdata://D89D75A7-9087-42E2-ACF5-7957FB6598F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file:///C:\0_MAR\0_IGAC\INICIO%20ACTIVIDADES\INFORME%20DE%20GESTI&#211;N%202020\Ajustes%20solicitados\Enviado%20Enero%2014\GR&#193;FICOS2021011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0_MAR\0_IGAC\INICIO%20ACTIVIDADES\INFORME%20DE%20GESTI&#211;N%202020\Ajustes%20solicitados\Enviado%20Enero7\GR&#193;FICOS20210107.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0_MAR\0_IGAC\INICIO%20ACTIVIDADES\INFORME%20DE%20GESTI&#211;N%202020\Ajustes%20solicitados\GR&#193;FICOS20210106.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0_MAR\0_IGAC\INICIO%20ACTIVIDADES\INFORME%20DE%20GESTI&#211;N%202020\Ajustes%20solicitados\GR&#193;FICOS20210106.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0_MAR\0_IGAC\INICIO%20ACTIVIDADES\INFORME%20DE%20GESTI&#211;N%202020\Ajustes%20solicitados\GR&#193;FICOS20210106.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KAROL\Downloads\Informe%20de%20empalme%20directora..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Asus-PC\Downloads\Graficas%202019-2020-2021.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Asus-PC\Downloads\Graficas%202019-2020-2021.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d.docs.live.net/192db3bd91aa4847/Documentos%20Planeacio&#769;n%202021/Seguimiento%20Ventas%20.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d.docs.live.net/192db3bd91aa4847/Documentos%20Planeacio&#769;n%202021/Seguimiento%20Ventas%20.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https://d.docs.live.net/192db3bd91aa4847/Documentos%20Planeacio&#769;n%202021/Seguimiento%20Ventas%20.xlsx" TargetMode="External"/><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CONSERVACIÓN2!$C$2</c:f>
              <c:strCache>
                <c:ptCount val="1"/>
                <c:pt idx="0">
                  <c:v>tramitadas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CONSERVACIÓN2!$B$3:$B$8</c:f>
              <c:numCache>
                <c:formatCode>General</c:formatCode>
                <c:ptCount val="6"/>
                <c:pt idx="0">
                  <c:v>2015</c:v>
                </c:pt>
                <c:pt idx="1">
                  <c:v>2016</c:v>
                </c:pt>
                <c:pt idx="2">
                  <c:v>2017</c:v>
                </c:pt>
                <c:pt idx="3">
                  <c:v>2018</c:v>
                </c:pt>
                <c:pt idx="4">
                  <c:v>2019</c:v>
                </c:pt>
                <c:pt idx="5">
                  <c:v>2020</c:v>
                </c:pt>
              </c:numCache>
            </c:numRef>
          </c:cat>
          <c:val>
            <c:numRef>
              <c:f>CONSERVACIÓN2!$C$3:$C$8</c:f>
              <c:numCache>
                <c:formatCode>#,##0</c:formatCode>
                <c:ptCount val="6"/>
                <c:pt idx="0">
                  <c:v>1176307</c:v>
                </c:pt>
                <c:pt idx="1">
                  <c:v>1134059</c:v>
                </c:pt>
                <c:pt idx="2">
                  <c:v>1003228</c:v>
                </c:pt>
                <c:pt idx="3">
                  <c:v>920962</c:v>
                </c:pt>
                <c:pt idx="4">
                  <c:v>922437</c:v>
                </c:pt>
                <c:pt idx="5">
                  <c:v>546303</c:v>
                </c:pt>
              </c:numCache>
            </c:numRef>
          </c:val>
          <c:extLst>
            <c:ext xmlns:c16="http://schemas.microsoft.com/office/drawing/2014/chart" uri="{C3380CC4-5D6E-409C-BE32-E72D297353CC}">
              <c16:uniqueId val="{00000000-1DC9-4D6B-A5EE-0A3279721548}"/>
            </c:ext>
          </c:extLst>
        </c:ser>
        <c:dLbls>
          <c:showLegendKey val="0"/>
          <c:showVal val="0"/>
          <c:showCatName val="0"/>
          <c:showSerName val="0"/>
          <c:showPercent val="0"/>
          <c:showBubbleSize val="0"/>
        </c:dLbls>
        <c:gapWidth val="219"/>
        <c:overlap val="-27"/>
        <c:axId val="919801871"/>
        <c:axId val="919848463"/>
      </c:barChart>
      <c:catAx>
        <c:axId val="919801871"/>
        <c:scaling>
          <c:orientation val="minMax"/>
        </c:scaling>
        <c:delete val="0"/>
        <c:axPos val="b"/>
        <c:title>
          <c:tx>
            <c:rich>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s-CO" b="1">
                    <a:solidFill>
                      <a:sysClr val="windowText" lastClr="000000"/>
                    </a:solidFill>
                  </a:rPr>
                  <a:t>AÑO</a:t>
                </a:r>
              </a:p>
            </c:rich>
          </c:tx>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s-CO"/>
          </a:p>
        </c:txPr>
        <c:crossAx val="919848463"/>
        <c:crosses val="autoZero"/>
        <c:auto val="1"/>
        <c:lblAlgn val="ctr"/>
        <c:lblOffset val="100"/>
        <c:noMultiLvlLbl val="0"/>
      </c:catAx>
      <c:valAx>
        <c:axId val="919848463"/>
        <c:scaling>
          <c:orientation val="minMax"/>
        </c:scaling>
        <c:delete val="1"/>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s-CO" b="1">
                    <a:solidFill>
                      <a:sysClr val="windowText" lastClr="000000"/>
                    </a:solidFill>
                  </a:rPr>
                  <a:t>CANTIDAD</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0" sourceLinked="1"/>
        <c:majorTickMark val="none"/>
        <c:minorTickMark val="none"/>
        <c:tickLblPos val="nextTo"/>
        <c:crossAx val="919801871"/>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AVALÚOS!$D$7</c:f>
              <c:strCache>
                <c:ptCount val="1"/>
                <c:pt idx="0">
                  <c:v>TOTAL AVALÚOS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AVALÚOS!$C$8:$C$13</c:f>
              <c:numCache>
                <c:formatCode>General</c:formatCode>
                <c:ptCount val="6"/>
                <c:pt idx="0">
                  <c:v>2015</c:v>
                </c:pt>
                <c:pt idx="1">
                  <c:v>2016</c:v>
                </c:pt>
                <c:pt idx="2">
                  <c:v>2017</c:v>
                </c:pt>
                <c:pt idx="3">
                  <c:v>2018</c:v>
                </c:pt>
                <c:pt idx="4">
                  <c:v>2019</c:v>
                </c:pt>
                <c:pt idx="5">
                  <c:v>2020</c:v>
                </c:pt>
              </c:numCache>
            </c:numRef>
          </c:cat>
          <c:val>
            <c:numRef>
              <c:f>AVALÚOS!$D$8:$D$13</c:f>
              <c:numCache>
                <c:formatCode>#,##0</c:formatCode>
                <c:ptCount val="6"/>
                <c:pt idx="0">
                  <c:v>7528</c:v>
                </c:pt>
                <c:pt idx="1">
                  <c:v>7762</c:v>
                </c:pt>
                <c:pt idx="2">
                  <c:v>7221</c:v>
                </c:pt>
                <c:pt idx="3">
                  <c:v>7593</c:v>
                </c:pt>
                <c:pt idx="4">
                  <c:v>6918</c:v>
                </c:pt>
                <c:pt idx="5">
                  <c:v>6139</c:v>
                </c:pt>
              </c:numCache>
            </c:numRef>
          </c:val>
          <c:extLst>
            <c:ext xmlns:c16="http://schemas.microsoft.com/office/drawing/2014/chart" uri="{C3380CC4-5D6E-409C-BE32-E72D297353CC}">
              <c16:uniqueId val="{00000000-427F-4054-9A16-B10E4A5B2CBF}"/>
            </c:ext>
          </c:extLst>
        </c:ser>
        <c:dLbls>
          <c:showLegendKey val="0"/>
          <c:showVal val="0"/>
          <c:showCatName val="0"/>
          <c:showSerName val="0"/>
          <c:showPercent val="0"/>
          <c:showBubbleSize val="0"/>
        </c:dLbls>
        <c:gapWidth val="219"/>
        <c:overlap val="-27"/>
        <c:axId val="976126000"/>
        <c:axId val="976117680"/>
      </c:barChart>
      <c:catAx>
        <c:axId val="976126000"/>
        <c:scaling>
          <c:orientation val="minMax"/>
        </c:scaling>
        <c:delete val="0"/>
        <c:axPos val="b"/>
        <c:title>
          <c:tx>
            <c:rich>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n-US" b="1">
                    <a:solidFill>
                      <a:sysClr val="windowText" lastClr="000000"/>
                    </a:solidFill>
                  </a:rPr>
                  <a:t>AÑO</a:t>
                </a:r>
              </a:p>
            </c:rich>
          </c:tx>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s-CO"/>
          </a:p>
        </c:txPr>
        <c:crossAx val="976117680"/>
        <c:crosses val="autoZero"/>
        <c:auto val="1"/>
        <c:lblAlgn val="ctr"/>
        <c:lblOffset val="100"/>
        <c:noMultiLvlLbl val="0"/>
      </c:catAx>
      <c:valAx>
        <c:axId val="976117680"/>
        <c:scaling>
          <c:orientation val="minMax"/>
        </c:scaling>
        <c:delete val="1"/>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n-US" b="1">
                    <a:solidFill>
                      <a:sysClr val="windowText" lastClr="000000"/>
                    </a:solidFill>
                  </a:rPr>
                  <a:t>Cantidad de Avalúos</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0" sourceLinked="1"/>
        <c:majorTickMark val="none"/>
        <c:minorTickMark val="none"/>
        <c:tickLblPos val="nextTo"/>
        <c:crossAx val="97612600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TIERRAS1!$B$5:$B$6</c:f>
              <c:numCache>
                <c:formatCode>General</c:formatCode>
                <c:ptCount val="2"/>
                <c:pt idx="0">
                  <c:v>2019</c:v>
                </c:pt>
                <c:pt idx="1">
                  <c:v>2020</c:v>
                </c:pt>
              </c:numCache>
            </c:numRef>
          </c:cat>
          <c:val>
            <c:numRef>
              <c:f>TIERRAS1!$C$5:$C$6</c:f>
              <c:numCache>
                <c:formatCode>General</c:formatCode>
                <c:ptCount val="2"/>
                <c:pt idx="0">
                  <c:v>762</c:v>
                </c:pt>
                <c:pt idx="1">
                  <c:v>994</c:v>
                </c:pt>
              </c:numCache>
            </c:numRef>
          </c:val>
          <c:extLst>
            <c:ext xmlns:c16="http://schemas.microsoft.com/office/drawing/2014/chart" uri="{C3380CC4-5D6E-409C-BE32-E72D297353CC}">
              <c16:uniqueId val="{00000000-DF32-4032-A28E-F72B2417CF18}"/>
            </c:ext>
          </c:extLst>
        </c:ser>
        <c:dLbls>
          <c:showLegendKey val="0"/>
          <c:showVal val="0"/>
          <c:showCatName val="0"/>
          <c:showSerName val="0"/>
          <c:showPercent val="0"/>
          <c:showBubbleSize val="0"/>
        </c:dLbls>
        <c:gapWidth val="219"/>
        <c:overlap val="-27"/>
        <c:axId val="1008999247"/>
        <c:axId val="1009010063"/>
      </c:barChart>
      <c:catAx>
        <c:axId val="1008999247"/>
        <c:scaling>
          <c:orientation val="minMax"/>
        </c:scaling>
        <c:delete val="0"/>
        <c:axPos val="b"/>
        <c:title>
          <c:tx>
            <c:rich>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s-CO" b="1">
                    <a:solidFill>
                      <a:sysClr val="windowText" lastClr="000000"/>
                    </a:solidFill>
                  </a:rPr>
                  <a:t>AÑO</a:t>
                </a:r>
              </a:p>
            </c:rich>
          </c:tx>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1" i="0" u="none" strike="noStrike" kern="1200" baseline="0">
                <a:solidFill>
                  <a:sysClr val="windowText" lastClr="000000"/>
                </a:solidFill>
                <a:latin typeface="+mn-lt"/>
                <a:ea typeface="+mn-ea"/>
                <a:cs typeface="+mn-cs"/>
              </a:defRPr>
            </a:pPr>
            <a:endParaRPr lang="es-CO"/>
          </a:p>
        </c:txPr>
        <c:crossAx val="1009010063"/>
        <c:crosses val="autoZero"/>
        <c:auto val="1"/>
        <c:lblAlgn val="ctr"/>
        <c:lblOffset val="100"/>
        <c:noMultiLvlLbl val="0"/>
      </c:catAx>
      <c:valAx>
        <c:axId val="1009010063"/>
        <c:scaling>
          <c:orientation val="minMax"/>
        </c:scaling>
        <c:delete val="1"/>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s-CO" b="1">
                    <a:solidFill>
                      <a:sysClr val="windowText" lastClr="000000"/>
                    </a:solidFill>
                  </a:rPr>
                  <a:t>CANTIDAD</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General" sourceLinked="1"/>
        <c:majorTickMark val="none"/>
        <c:minorTickMark val="none"/>
        <c:tickLblPos val="nextTo"/>
        <c:crossAx val="100899924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7129818090690084E-2"/>
          <c:y val="0.16693938031096092"/>
          <c:w val="0.93900847070616578"/>
          <c:h val="0.62568767607218634"/>
        </c:manualLayout>
      </c:layout>
      <c:barChart>
        <c:barDir val="col"/>
        <c:grouping val="clustered"/>
        <c:varyColors val="0"/>
        <c:ser>
          <c:idx val="0"/>
          <c:order val="0"/>
          <c:tx>
            <c:strRef>
              <c:f>TIERRAS2!$B$5</c:f>
              <c:strCache>
                <c:ptCount val="1"/>
                <c:pt idx="0">
                  <c:v>Año 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TIERRAS2!$C$3:$D$4</c:f>
              <c:strCache>
                <c:ptCount val="2"/>
                <c:pt idx="0">
                  <c:v>Solicitadas</c:v>
                </c:pt>
                <c:pt idx="1">
                  <c:v>Atendidas</c:v>
                </c:pt>
              </c:strCache>
            </c:strRef>
          </c:cat>
          <c:val>
            <c:numRef>
              <c:f>TIERRAS2!$C$5:$D$5</c:f>
              <c:numCache>
                <c:formatCode>#,##0</c:formatCode>
                <c:ptCount val="2"/>
                <c:pt idx="0">
                  <c:v>2589</c:v>
                </c:pt>
                <c:pt idx="1">
                  <c:v>2239</c:v>
                </c:pt>
              </c:numCache>
            </c:numRef>
          </c:val>
          <c:extLst>
            <c:ext xmlns:c16="http://schemas.microsoft.com/office/drawing/2014/chart" uri="{C3380CC4-5D6E-409C-BE32-E72D297353CC}">
              <c16:uniqueId val="{00000000-2BA6-4E34-A969-62A745F4C0CE}"/>
            </c:ext>
          </c:extLst>
        </c:ser>
        <c:ser>
          <c:idx val="1"/>
          <c:order val="1"/>
          <c:tx>
            <c:strRef>
              <c:f>TIERRAS2!$B$6</c:f>
              <c:strCache>
                <c:ptCount val="1"/>
                <c:pt idx="0">
                  <c:v>Año 2020</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TIERRAS2!$C$3:$D$4</c:f>
              <c:strCache>
                <c:ptCount val="2"/>
                <c:pt idx="0">
                  <c:v>Solicitadas</c:v>
                </c:pt>
                <c:pt idx="1">
                  <c:v>Atendidas</c:v>
                </c:pt>
              </c:strCache>
            </c:strRef>
          </c:cat>
          <c:val>
            <c:numRef>
              <c:f>TIERRAS2!$C$6:$D$6</c:f>
              <c:numCache>
                <c:formatCode>#,##0</c:formatCode>
                <c:ptCount val="2"/>
                <c:pt idx="0">
                  <c:v>4208</c:v>
                </c:pt>
                <c:pt idx="1">
                  <c:v>3699</c:v>
                </c:pt>
              </c:numCache>
            </c:numRef>
          </c:val>
          <c:extLst>
            <c:ext xmlns:c16="http://schemas.microsoft.com/office/drawing/2014/chart" uri="{C3380CC4-5D6E-409C-BE32-E72D297353CC}">
              <c16:uniqueId val="{00000001-2BA6-4E34-A969-62A745F4C0CE}"/>
            </c:ext>
          </c:extLst>
        </c:ser>
        <c:dLbls>
          <c:showLegendKey val="0"/>
          <c:showVal val="0"/>
          <c:showCatName val="0"/>
          <c:showSerName val="0"/>
          <c:showPercent val="0"/>
          <c:showBubbleSize val="0"/>
        </c:dLbls>
        <c:gapWidth val="219"/>
        <c:overlap val="-27"/>
        <c:axId val="1938591904"/>
        <c:axId val="1938595232"/>
      </c:barChart>
      <c:catAx>
        <c:axId val="1938591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s-CO"/>
          </a:p>
        </c:txPr>
        <c:crossAx val="1938595232"/>
        <c:crosses val="autoZero"/>
        <c:auto val="1"/>
        <c:lblAlgn val="ctr"/>
        <c:lblOffset val="100"/>
        <c:noMultiLvlLbl val="0"/>
      </c:catAx>
      <c:valAx>
        <c:axId val="1938595232"/>
        <c:scaling>
          <c:orientation val="minMax"/>
        </c:scaling>
        <c:delete val="1"/>
        <c:axPos val="l"/>
        <c:numFmt formatCode="#,##0" sourceLinked="1"/>
        <c:majorTickMark val="none"/>
        <c:minorTickMark val="none"/>
        <c:tickLblPos val="nextTo"/>
        <c:crossAx val="19385919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s-CO"/>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TIERRAS2!$C$22</c:f>
              <c:strCache>
                <c:ptCount val="1"/>
                <c:pt idx="0">
                  <c:v>%de cumplimiento de órdenes IGAC</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TIERRAS2!$B$23:$B$26</c:f>
              <c:numCache>
                <c:formatCode>General</c:formatCode>
                <c:ptCount val="4"/>
                <c:pt idx="0">
                  <c:v>2017</c:v>
                </c:pt>
                <c:pt idx="1">
                  <c:v>2018</c:v>
                </c:pt>
                <c:pt idx="2">
                  <c:v>2019</c:v>
                </c:pt>
                <c:pt idx="3">
                  <c:v>2020</c:v>
                </c:pt>
              </c:numCache>
            </c:numRef>
          </c:cat>
          <c:val>
            <c:numRef>
              <c:f>TIERRAS2!$C$23:$C$26</c:f>
              <c:numCache>
                <c:formatCode>0.00%</c:formatCode>
                <c:ptCount val="4"/>
                <c:pt idx="0">
                  <c:v>0.49757388619320686</c:v>
                </c:pt>
                <c:pt idx="1">
                  <c:v>0.47395674687785561</c:v>
                </c:pt>
                <c:pt idx="2">
                  <c:v>0.57770350919073765</c:v>
                </c:pt>
                <c:pt idx="3">
                  <c:v>0.65469999999999995</c:v>
                </c:pt>
              </c:numCache>
            </c:numRef>
          </c:val>
          <c:extLst>
            <c:ext xmlns:c16="http://schemas.microsoft.com/office/drawing/2014/chart" uri="{C3380CC4-5D6E-409C-BE32-E72D297353CC}">
              <c16:uniqueId val="{00000000-5982-4C93-B1AB-4F150F7E2796}"/>
            </c:ext>
          </c:extLst>
        </c:ser>
        <c:dLbls>
          <c:showLegendKey val="0"/>
          <c:showVal val="0"/>
          <c:showCatName val="0"/>
          <c:showSerName val="0"/>
          <c:showPercent val="0"/>
          <c:showBubbleSize val="0"/>
        </c:dLbls>
        <c:gapWidth val="219"/>
        <c:overlap val="-27"/>
        <c:axId val="1949647392"/>
        <c:axId val="1934604224"/>
      </c:barChart>
      <c:catAx>
        <c:axId val="1949647392"/>
        <c:scaling>
          <c:orientation val="minMax"/>
        </c:scaling>
        <c:delete val="0"/>
        <c:axPos val="b"/>
        <c:title>
          <c:tx>
            <c:rich>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s-CO" b="1">
                    <a:solidFill>
                      <a:sysClr val="windowText" lastClr="000000"/>
                    </a:solidFill>
                  </a:rPr>
                  <a:t>AÑO</a:t>
                </a:r>
              </a:p>
            </c:rich>
          </c:tx>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s-CO"/>
          </a:p>
        </c:txPr>
        <c:crossAx val="1934604224"/>
        <c:crosses val="autoZero"/>
        <c:auto val="1"/>
        <c:lblAlgn val="ctr"/>
        <c:lblOffset val="100"/>
        <c:noMultiLvlLbl val="0"/>
      </c:catAx>
      <c:valAx>
        <c:axId val="1934604224"/>
        <c:scaling>
          <c:orientation val="minMax"/>
        </c:scaling>
        <c:delete val="1"/>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r>
                  <a:rPr lang="en-US" b="1">
                    <a:solidFill>
                      <a:sysClr val="windowText" lastClr="000000"/>
                    </a:solidFill>
                  </a:rPr>
                  <a:t>PORCENTAJE</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s-CO"/>
            </a:p>
          </c:txPr>
        </c:title>
        <c:numFmt formatCode="0.00%" sourceLinked="1"/>
        <c:majorTickMark val="none"/>
        <c:minorTickMark val="none"/>
        <c:tickLblPos val="nextTo"/>
        <c:crossAx val="1949647392"/>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600" b="1" i="0" u="none" strike="noStrike" kern="1200" cap="none" spc="0" normalizeH="0" baseline="0">
              <a:solidFill>
                <a:schemeClr val="dk1">
                  <a:lumMod val="50000"/>
                  <a:lumOff val="50000"/>
                </a:schemeClr>
              </a:solidFill>
              <a:latin typeface="+mj-lt"/>
              <a:ea typeface="+mj-ea"/>
              <a:cs typeface="+mj-cs"/>
            </a:defRPr>
          </a:pPr>
          <a:endParaRPr lang="es-CO"/>
        </a:p>
      </c:txPr>
    </c:title>
    <c:autoTitleDeleted val="0"/>
    <c:plotArea>
      <c:layout/>
      <c:barChart>
        <c:barDir val="bar"/>
        <c:grouping val="clustered"/>
        <c:varyColors val="0"/>
        <c:ser>
          <c:idx val="0"/>
          <c:order val="0"/>
          <c:tx>
            <c:strRef>
              <c:f>'Canal Telefonico '!$A$16</c:f>
              <c:strCache>
                <c:ptCount val="1"/>
                <c:pt idx="0">
                  <c:v>Total Llamadas atendidas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dk1">
                          <a:lumMod val="35000"/>
                          <a:lumOff val="65000"/>
                        </a:schemeClr>
                      </a:solidFill>
                      <a:round/>
                    </a:ln>
                    <a:effectLst/>
                  </c:spPr>
                </c15:leaderLines>
              </c:ext>
            </c:extLst>
          </c:dLbls>
          <c:cat>
            <c:strRef>
              <c:f>'Canal Telefonico '!$B$15:$E$15</c:f>
              <c:strCache>
                <c:ptCount val="4"/>
                <c:pt idx="0">
                  <c:v>IV Trimestre 2020</c:v>
                </c:pt>
                <c:pt idx="1">
                  <c:v>I Trimestre 2021</c:v>
                </c:pt>
                <c:pt idx="2">
                  <c:v>II Trimestre 2021</c:v>
                </c:pt>
                <c:pt idx="3">
                  <c:v>III Trimestre 2021</c:v>
                </c:pt>
              </c:strCache>
            </c:strRef>
          </c:cat>
          <c:val>
            <c:numRef>
              <c:f>'Canal Telefonico '!$B$16:$E$16</c:f>
              <c:numCache>
                <c:formatCode>#,##0</c:formatCode>
                <c:ptCount val="4"/>
                <c:pt idx="0">
                  <c:v>5096</c:v>
                </c:pt>
                <c:pt idx="1">
                  <c:v>9349</c:v>
                </c:pt>
                <c:pt idx="2">
                  <c:v>10513</c:v>
                </c:pt>
                <c:pt idx="3">
                  <c:v>6575</c:v>
                </c:pt>
              </c:numCache>
            </c:numRef>
          </c:val>
          <c:extLst>
            <c:ext xmlns:c16="http://schemas.microsoft.com/office/drawing/2014/chart" uri="{C3380CC4-5D6E-409C-BE32-E72D297353CC}">
              <c16:uniqueId val="{00000000-D5C3-4A1D-BCB6-B0373323E796}"/>
            </c:ext>
          </c:extLst>
        </c:ser>
        <c:dLbls>
          <c:showLegendKey val="0"/>
          <c:showVal val="0"/>
          <c:showCatName val="0"/>
          <c:showSerName val="0"/>
          <c:showPercent val="0"/>
          <c:showBubbleSize val="0"/>
        </c:dLbls>
        <c:gapWidth val="150"/>
        <c:axId val="543316632"/>
        <c:axId val="543313496"/>
      </c:barChart>
      <c:catAx>
        <c:axId val="543316632"/>
        <c:scaling>
          <c:orientation val="minMax"/>
        </c:scaling>
        <c:delete val="0"/>
        <c:axPos val="l"/>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cap="none" spc="0" normalizeH="0" baseline="0">
                <a:solidFill>
                  <a:schemeClr val="dk1">
                    <a:lumMod val="65000"/>
                    <a:lumOff val="35000"/>
                  </a:schemeClr>
                </a:solidFill>
                <a:latin typeface="+mn-lt"/>
                <a:ea typeface="+mn-ea"/>
                <a:cs typeface="+mn-cs"/>
              </a:defRPr>
            </a:pPr>
            <a:endParaRPr lang="es-CO"/>
          </a:p>
        </c:txPr>
        <c:crossAx val="543313496"/>
        <c:crosses val="autoZero"/>
        <c:auto val="1"/>
        <c:lblAlgn val="ctr"/>
        <c:lblOffset val="100"/>
        <c:noMultiLvlLbl val="0"/>
      </c:catAx>
      <c:valAx>
        <c:axId val="543313496"/>
        <c:scaling>
          <c:orientation val="minMax"/>
        </c:scaling>
        <c:delete val="0"/>
        <c:axPos val="b"/>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CO"/>
          </a:p>
        </c:txPr>
        <c:crossAx val="543316632"/>
        <c:crosses val="autoZero"/>
        <c:crossBetween val="between"/>
      </c:valAx>
      <c:dTable>
        <c:showHorzBorder val="1"/>
        <c:showVertBorder val="1"/>
        <c:showOutline val="1"/>
        <c:showKeys val="1"/>
        <c:spPr>
          <a:noFill/>
          <a:ln w="9525" cap="flat" cmpd="sng" algn="ctr">
            <a:solidFill>
              <a:schemeClr val="dk1">
                <a:lumMod val="15000"/>
                <a:lumOff val="85000"/>
              </a:schemeClr>
            </a:solidFill>
            <a:round/>
          </a:ln>
          <a:effectLst/>
        </c:spPr>
        <c:txPr>
          <a:bodyPr rot="0" spcFirstLastPara="1" vertOverflow="ellipsis" vert="horz" wrap="square" anchor="ctr" anchorCtr="1"/>
          <a:lstStyle/>
          <a:p>
            <a:pPr rtl="0">
              <a:defRPr sz="800" b="0" i="0" u="none" strike="noStrike" kern="1200" baseline="0">
                <a:solidFill>
                  <a:schemeClr val="dk1">
                    <a:lumMod val="65000"/>
                    <a:lumOff val="35000"/>
                  </a:schemeClr>
                </a:solidFill>
                <a:latin typeface="+mn-lt"/>
                <a:ea typeface="+mn-ea"/>
                <a:cs typeface="+mn-cs"/>
              </a:defRPr>
            </a:pPr>
            <a:endParaRPr lang="es-CO"/>
          </a:p>
        </c:txPr>
      </c:dTable>
      <c:spPr>
        <a:pattFill prst="ltDnDiag">
          <a:fgClr>
            <a:schemeClr val="dk1">
              <a:lumMod val="15000"/>
              <a:lumOff val="85000"/>
            </a:schemeClr>
          </a:fgClr>
          <a:bgClr>
            <a:schemeClr val="lt1"/>
          </a:bgClr>
        </a:pattFill>
        <a:ln>
          <a:noFill/>
        </a:ln>
        <a:effectLst/>
      </c:spPr>
    </c:plotArea>
    <c:plotVisOnly val="1"/>
    <c:dispBlanksAs val="gap"/>
    <c:showDLblsOverMax val="0"/>
  </c:chart>
  <c:spPr>
    <a:solidFill>
      <a:schemeClr val="lt1"/>
    </a:solidFill>
    <a:ln w="9525" cap="flat" cmpd="sng" algn="ctr">
      <a:solidFill>
        <a:schemeClr val="dk1">
          <a:lumMod val="15000"/>
          <a:lumOff val="85000"/>
        </a:schemeClr>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s-CO" sz="1400"/>
              <a:t>Comparativo</a:t>
            </a:r>
            <a:r>
              <a:rPr lang="es-CO" sz="1400" baseline="0"/>
              <a:t> consumo de agua</a:t>
            </a:r>
            <a:endParaRPr lang="es-CO" sz="1400"/>
          </a:p>
        </c:rich>
      </c:tx>
      <c:layout>
        <c:manualLayout>
          <c:xMode val="edge"/>
          <c:yMode val="edge"/>
          <c:x val="0.12711811023622049"/>
          <c:y val="8.1936685288640593E-2"/>
        </c:manualLayout>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s-CO"/>
        </a:p>
      </c:txPr>
    </c:title>
    <c:autoTitleDeleted val="0"/>
    <c:plotArea>
      <c:layout/>
      <c:barChart>
        <c:barDir val="col"/>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dLbl>
              <c:idx val="0"/>
              <c:tx>
                <c:rich>
                  <a:bodyPr/>
                  <a:lstStyle/>
                  <a:p>
                    <a:r>
                      <a:rPr lang="en-US"/>
                      <a:t>12.313</a:t>
                    </a:r>
                  </a:p>
                </c:rich>
              </c:tx>
              <c:dLblPos val="in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007-4983-954F-9BEC6435C528}"/>
                </c:ext>
              </c:extLst>
            </c:dLbl>
            <c:dLbl>
              <c:idx val="1"/>
              <c:tx>
                <c:rich>
                  <a:bodyPr/>
                  <a:lstStyle/>
                  <a:p>
                    <a:r>
                      <a:rPr lang="en-US"/>
                      <a:t>9.490</a:t>
                    </a:r>
                  </a:p>
                </c:rich>
              </c:tx>
              <c:dLblPos val="in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007-4983-954F-9BEC6435C528}"/>
                </c:ext>
              </c:extLst>
            </c:dLbl>
            <c:dLbl>
              <c:idx val="2"/>
              <c:tx>
                <c:rich>
                  <a:bodyPr/>
                  <a:lstStyle/>
                  <a:p>
                    <a:r>
                      <a:rPr lang="en-US"/>
                      <a:t>8.160</a:t>
                    </a:r>
                  </a:p>
                </c:rich>
              </c:tx>
              <c:dLblPos val="in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007-4983-954F-9BEC6435C52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Hoja1!$B$5:$B$7</c:f>
              <c:numCache>
                <c:formatCode>General</c:formatCode>
                <c:ptCount val="3"/>
                <c:pt idx="0">
                  <c:v>2019</c:v>
                </c:pt>
                <c:pt idx="1">
                  <c:v>2020</c:v>
                </c:pt>
                <c:pt idx="2">
                  <c:v>2021</c:v>
                </c:pt>
              </c:numCache>
            </c:numRef>
          </c:cat>
          <c:val>
            <c:numRef>
              <c:f>Hoja1!$C$5:$C$7</c:f>
              <c:numCache>
                <c:formatCode>0</c:formatCode>
                <c:ptCount val="3"/>
                <c:pt idx="0" formatCode="General">
                  <c:v>12313</c:v>
                </c:pt>
                <c:pt idx="1">
                  <c:v>9489.6110000000008</c:v>
                </c:pt>
                <c:pt idx="2" formatCode="General">
                  <c:v>8160</c:v>
                </c:pt>
              </c:numCache>
            </c:numRef>
          </c:val>
          <c:extLst>
            <c:ext xmlns:c16="http://schemas.microsoft.com/office/drawing/2014/chart" uri="{C3380CC4-5D6E-409C-BE32-E72D297353CC}">
              <c16:uniqueId val="{00000003-3007-4983-954F-9BEC6435C528}"/>
            </c:ext>
          </c:extLst>
        </c:ser>
        <c:dLbls>
          <c:dLblPos val="inEnd"/>
          <c:showLegendKey val="0"/>
          <c:showVal val="1"/>
          <c:showCatName val="0"/>
          <c:showSerName val="0"/>
          <c:showPercent val="0"/>
          <c:showBubbleSize val="0"/>
        </c:dLbls>
        <c:gapWidth val="65"/>
        <c:axId val="2014383839"/>
        <c:axId val="2014383007"/>
      </c:barChart>
      <c:catAx>
        <c:axId val="2014383839"/>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r>
                  <a:rPr lang="es-CO"/>
                  <a:t>Año</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endParaRPr lang="es-CO"/>
            </a:p>
          </c:txPr>
        </c:title>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1" i="0" u="none" strike="noStrike" kern="1200" cap="all" baseline="0">
                <a:solidFill>
                  <a:schemeClr val="dk1">
                    <a:lumMod val="75000"/>
                    <a:lumOff val="25000"/>
                  </a:schemeClr>
                </a:solidFill>
                <a:latin typeface="+mn-lt"/>
                <a:ea typeface="+mn-ea"/>
                <a:cs typeface="+mn-cs"/>
              </a:defRPr>
            </a:pPr>
            <a:endParaRPr lang="es-CO"/>
          </a:p>
        </c:txPr>
        <c:crossAx val="2014383007"/>
        <c:crosses val="autoZero"/>
        <c:auto val="1"/>
        <c:lblAlgn val="ctr"/>
        <c:lblOffset val="100"/>
        <c:noMultiLvlLbl val="0"/>
      </c:catAx>
      <c:valAx>
        <c:axId val="2014383007"/>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r>
                  <a:rPr lang="es-CO"/>
                  <a:t>Consumo en m3</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endParaRPr lang="es-CO"/>
            </a:p>
          </c:txPr>
        </c:title>
        <c:numFmt formatCode="General" sourceLinked="1"/>
        <c:majorTickMark val="none"/>
        <c:minorTickMark val="none"/>
        <c:tickLblPos val="nextTo"/>
        <c:crossAx val="2014383839"/>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s-CO" sz="1400"/>
              <a:t>Comparativo</a:t>
            </a:r>
            <a:r>
              <a:rPr lang="es-CO" sz="1400" baseline="0"/>
              <a:t> consumo de energía</a:t>
            </a:r>
            <a:endParaRPr lang="es-CO" sz="1400"/>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s-CO"/>
        </a:p>
      </c:txPr>
    </c:title>
    <c:autoTitleDeleted val="0"/>
    <c:plotArea>
      <c:layout/>
      <c:barChart>
        <c:barDir val="col"/>
        <c:grouping val="clustered"/>
        <c:varyColors val="0"/>
        <c:ser>
          <c:idx val="0"/>
          <c:order val="0"/>
          <c:spPr>
            <a:solidFill>
              <a:schemeClr val="accent2">
                <a:alpha val="85000"/>
              </a:schemeClr>
            </a:solidFill>
            <a:ln w="9525" cap="flat" cmpd="sng" algn="ctr">
              <a:solidFill>
                <a:schemeClr val="lt1">
                  <a:alpha val="50000"/>
                </a:schemeClr>
              </a:solidFill>
              <a:round/>
            </a:ln>
            <a:effectLst/>
          </c:spPr>
          <c:invertIfNegative val="0"/>
          <c:dLbls>
            <c:dLbl>
              <c:idx val="0"/>
              <c:tx>
                <c:rich>
                  <a:bodyPr/>
                  <a:lstStyle/>
                  <a:p>
                    <a:r>
                      <a:rPr lang="en-US"/>
                      <a:t>2.413.295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06D-46E2-B111-6E4AFAAE8179}"/>
                </c:ext>
              </c:extLst>
            </c:dLbl>
            <c:dLbl>
              <c:idx val="1"/>
              <c:tx>
                <c:rich>
                  <a:bodyPr/>
                  <a:lstStyle/>
                  <a:p>
                    <a:r>
                      <a:rPr lang="en-US"/>
                      <a:t>2.260.128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06D-46E2-B111-6E4AFAAE8179}"/>
                </c:ext>
              </c:extLst>
            </c:dLbl>
            <c:dLbl>
              <c:idx val="2"/>
              <c:tx>
                <c:rich>
                  <a:bodyPr/>
                  <a:lstStyle/>
                  <a:p>
                    <a:r>
                      <a:rPr lang="en-US"/>
                      <a:t>1.463.285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06D-46E2-B111-6E4AFAAE817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Hoja1!$E$5:$E$7</c:f>
              <c:numCache>
                <c:formatCode>General</c:formatCode>
                <c:ptCount val="3"/>
                <c:pt idx="0">
                  <c:v>2019</c:v>
                </c:pt>
                <c:pt idx="1">
                  <c:v>2020</c:v>
                </c:pt>
                <c:pt idx="2">
                  <c:v>2021</c:v>
                </c:pt>
              </c:numCache>
            </c:numRef>
          </c:cat>
          <c:val>
            <c:numRef>
              <c:f>Hoja1!$F$5:$F$7</c:f>
              <c:numCache>
                <c:formatCode>0</c:formatCode>
                <c:ptCount val="3"/>
                <c:pt idx="0">
                  <c:v>2413295.08</c:v>
                </c:pt>
                <c:pt idx="1">
                  <c:v>2260128.2400000002</c:v>
                </c:pt>
                <c:pt idx="2" formatCode="General">
                  <c:v>1463285</c:v>
                </c:pt>
              </c:numCache>
            </c:numRef>
          </c:val>
          <c:extLst>
            <c:ext xmlns:c16="http://schemas.microsoft.com/office/drawing/2014/chart" uri="{C3380CC4-5D6E-409C-BE32-E72D297353CC}">
              <c16:uniqueId val="{00000003-206D-46E2-B111-6E4AFAAE8179}"/>
            </c:ext>
          </c:extLst>
        </c:ser>
        <c:dLbls>
          <c:showLegendKey val="0"/>
          <c:showVal val="0"/>
          <c:showCatName val="0"/>
          <c:showSerName val="0"/>
          <c:showPercent val="0"/>
          <c:showBubbleSize val="0"/>
        </c:dLbls>
        <c:gapWidth val="150"/>
        <c:axId val="2010611631"/>
        <c:axId val="2010614543"/>
      </c:barChart>
      <c:catAx>
        <c:axId val="2010611631"/>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r>
                  <a:rPr lang="es-CO"/>
                  <a:t>Año</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endParaRPr lang="es-CO"/>
            </a:p>
          </c:txPr>
        </c:title>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1" i="0" u="none" strike="noStrike" kern="1200" cap="all" baseline="0">
                <a:solidFill>
                  <a:schemeClr val="dk1">
                    <a:lumMod val="75000"/>
                    <a:lumOff val="25000"/>
                  </a:schemeClr>
                </a:solidFill>
                <a:latin typeface="+mn-lt"/>
                <a:ea typeface="+mn-ea"/>
                <a:cs typeface="+mn-cs"/>
              </a:defRPr>
            </a:pPr>
            <a:endParaRPr lang="es-CO"/>
          </a:p>
        </c:txPr>
        <c:crossAx val="2010614543"/>
        <c:crosses val="autoZero"/>
        <c:auto val="1"/>
        <c:lblAlgn val="ctr"/>
        <c:lblOffset val="100"/>
        <c:noMultiLvlLbl val="0"/>
      </c:catAx>
      <c:valAx>
        <c:axId val="2010614543"/>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r>
                  <a:rPr lang="es-CO"/>
                  <a:t>Consumo en KWh</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dk1">
                      <a:lumMod val="75000"/>
                      <a:lumOff val="25000"/>
                    </a:schemeClr>
                  </a:solidFill>
                  <a:latin typeface="+mn-lt"/>
                  <a:ea typeface="+mn-ea"/>
                  <a:cs typeface="+mn-cs"/>
                </a:defRPr>
              </a:pPr>
              <a:endParaRPr lang="es-CO"/>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s-CO"/>
          </a:p>
        </c:txPr>
        <c:crossAx val="2010611631"/>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'[Seguimiento Ventas .xlsx]Sheet1'!$A$37</c:f>
              <c:strCache>
                <c:ptCount val="1"/>
                <c:pt idx="0">
                  <c:v>2017</c:v>
                </c:pt>
              </c:strCache>
            </c:strRef>
          </c:tx>
          <c:spPr>
            <a:solidFill>
              <a:srgbClr val="0070C0"/>
            </a:solidFill>
            <a:ln>
              <a:noFill/>
            </a:ln>
            <a:effectLst/>
          </c:spPr>
          <c:invertIfNegative val="0"/>
          <c:cat>
            <c:strRef>
              <c:f>'[Seguimiento Ventas .xlsx]Sheet1'!$B$36:$L$36</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.xlsx]Sheet1'!$B$37:$L$37</c:f>
              <c:numCache>
                <c:formatCode>_("$"* #,##0_);_("$"* \(#,##0\);_("$"* "-"??_);_(@_)</c:formatCode>
                <c:ptCount val="11"/>
                <c:pt idx="0">
                  <c:v>475.58256399999999</c:v>
                </c:pt>
                <c:pt idx="1">
                  <c:v>660.56032800000003</c:v>
                </c:pt>
                <c:pt idx="2">
                  <c:v>733.54255799999999</c:v>
                </c:pt>
                <c:pt idx="3">
                  <c:v>496.88759700000003</c:v>
                </c:pt>
                <c:pt idx="4">
                  <c:v>1056.883018</c:v>
                </c:pt>
                <c:pt idx="5">
                  <c:v>1194.2284531199998</c:v>
                </c:pt>
                <c:pt idx="6">
                  <c:v>698.13056041999994</c:v>
                </c:pt>
                <c:pt idx="7">
                  <c:v>998.58269299999995</c:v>
                </c:pt>
                <c:pt idx="8">
                  <c:v>678.46227899999997</c:v>
                </c:pt>
                <c:pt idx="9">
                  <c:v>710.42990199999997</c:v>
                </c:pt>
                <c:pt idx="10">
                  <c:v>7703.2899525399998</c:v>
                </c:pt>
              </c:numCache>
            </c:numRef>
          </c:val>
          <c:extLst>
            <c:ext xmlns:c16="http://schemas.microsoft.com/office/drawing/2014/chart" uri="{C3380CC4-5D6E-409C-BE32-E72D297353CC}">
              <c16:uniqueId val="{00000000-1542-47A3-8ADD-B42F6F77D9D3}"/>
            </c:ext>
          </c:extLst>
        </c:ser>
        <c:ser>
          <c:idx val="1"/>
          <c:order val="1"/>
          <c:tx>
            <c:strRef>
              <c:f>'[Seguimiento Ventas .xlsx]Sheet1'!$A$38</c:f>
              <c:strCache>
                <c:ptCount val="1"/>
                <c:pt idx="0">
                  <c:v>2018</c:v>
                </c:pt>
              </c:strCache>
            </c:strRef>
          </c:tx>
          <c:spPr>
            <a:solidFill>
              <a:srgbClr val="00B0F0"/>
            </a:solidFill>
            <a:ln>
              <a:noFill/>
            </a:ln>
            <a:effectLst/>
          </c:spPr>
          <c:invertIfNegative val="0"/>
          <c:cat>
            <c:strRef>
              <c:f>'[Seguimiento Ventas .xlsx]Sheet1'!$B$36:$L$36</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.xlsx]Sheet1'!$B$38:$L$38</c:f>
              <c:numCache>
                <c:formatCode>_("$"* #,##0_);_("$"* \(#,##0\);_("$"* "-"??_);_(@_)</c:formatCode>
                <c:ptCount val="11"/>
                <c:pt idx="0">
                  <c:v>366.75232699999998</c:v>
                </c:pt>
                <c:pt idx="1">
                  <c:v>676.95921999999996</c:v>
                </c:pt>
                <c:pt idx="2">
                  <c:v>575.18781999999999</c:v>
                </c:pt>
                <c:pt idx="3">
                  <c:v>872.12385400000005</c:v>
                </c:pt>
                <c:pt idx="4">
                  <c:v>658.74210400000004</c:v>
                </c:pt>
                <c:pt idx="5">
                  <c:v>518.28181099999995</c:v>
                </c:pt>
                <c:pt idx="6">
                  <c:v>655.32185400000003</c:v>
                </c:pt>
                <c:pt idx="7">
                  <c:v>724.56376899999998</c:v>
                </c:pt>
                <c:pt idx="8">
                  <c:v>609.99938099999997</c:v>
                </c:pt>
                <c:pt idx="9">
                  <c:v>707.81170199999997</c:v>
                </c:pt>
                <c:pt idx="10">
                  <c:v>6365.7438419999999</c:v>
                </c:pt>
              </c:numCache>
            </c:numRef>
          </c:val>
          <c:extLst>
            <c:ext xmlns:c16="http://schemas.microsoft.com/office/drawing/2014/chart" uri="{C3380CC4-5D6E-409C-BE32-E72D297353CC}">
              <c16:uniqueId val="{00000001-1542-47A3-8ADD-B42F6F77D9D3}"/>
            </c:ext>
          </c:extLst>
        </c:ser>
        <c:ser>
          <c:idx val="2"/>
          <c:order val="2"/>
          <c:tx>
            <c:strRef>
              <c:f>'[Seguimiento Ventas .xlsx]Sheet1'!$A$39</c:f>
              <c:strCache>
                <c:ptCount val="1"/>
                <c:pt idx="0">
                  <c:v>2019</c:v>
                </c:pt>
              </c:strCache>
            </c:strRef>
          </c:tx>
          <c:spPr>
            <a:solidFill>
              <a:schemeClr val="tx2">
                <a:lumMod val="60000"/>
                <a:lumOff val="40000"/>
              </a:schemeClr>
            </a:solidFill>
            <a:ln>
              <a:noFill/>
            </a:ln>
            <a:effectLst/>
          </c:spPr>
          <c:invertIfNegative val="0"/>
          <c:cat>
            <c:strRef>
              <c:f>'[Seguimiento Ventas .xlsx]Sheet1'!$B$36:$L$36</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.xlsx]Sheet1'!$B$39:$L$39</c:f>
              <c:numCache>
                <c:formatCode>_("$"* #,##0_);_("$"* \(#,##0\);_("$"* "-"??_);_(@_)</c:formatCode>
                <c:ptCount val="11"/>
                <c:pt idx="0">
                  <c:v>336.83753100000001</c:v>
                </c:pt>
                <c:pt idx="1">
                  <c:v>564.17906300000004</c:v>
                </c:pt>
                <c:pt idx="2">
                  <c:v>600.75176699999997</c:v>
                </c:pt>
                <c:pt idx="3">
                  <c:v>522.85872800000004</c:v>
                </c:pt>
                <c:pt idx="4">
                  <c:v>858.66720347</c:v>
                </c:pt>
                <c:pt idx="5">
                  <c:v>628.83009900000002</c:v>
                </c:pt>
                <c:pt idx="6">
                  <c:v>811.73711500000002</c:v>
                </c:pt>
                <c:pt idx="7">
                  <c:v>711.59639000000004</c:v>
                </c:pt>
                <c:pt idx="8">
                  <c:v>566.79419499999995</c:v>
                </c:pt>
                <c:pt idx="9">
                  <c:v>612.96741899999995</c:v>
                </c:pt>
                <c:pt idx="10">
                  <c:v>6215.2195104699995</c:v>
                </c:pt>
              </c:numCache>
            </c:numRef>
          </c:val>
          <c:extLst>
            <c:ext xmlns:c16="http://schemas.microsoft.com/office/drawing/2014/chart" uri="{C3380CC4-5D6E-409C-BE32-E72D297353CC}">
              <c16:uniqueId val="{00000002-1542-47A3-8ADD-B42F6F77D9D3}"/>
            </c:ext>
          </c:extLst>
        </c:ser>
        <c:ser>
          <c:idx val="3"/>
          <c:order val="3"/>
          <c:tx>
            <c:strRef>
              <c:f>'[Seguimiento Ventas .xlsx]Sheet1'!$A$40</c:f>
              <c:strCache>
                <c:ptCount val="1"/>
                <c:pt idx="0">
                  <c:v>2020</c:v>
                </c:pt>
              </c:strCache>
            </c:strRef>
          </c:tx>
          <c:spPr>
            <a:solidFill>
              <a:schemeClr val="tx2">
                <a:lumMod val="40000"/>
                <a:lumOff val="60000"/>
              </a:schemeClr>
            </a:solidFill>
            <a:ln>
              <a:noFill/>
            </a:ln>
            <a:effectLst/>
          </c:spPr>
          <c:invertIfNegative val="0"/>
          <c:cat>
            <c:strRef>
              <c:f>'[Seguimiento Ventas .xlsx]Sheet1'!$B$36:$L$36</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.xlsx]Sheet1'!$B$40:$L$40</c:f>
              <c:numCache>
                <c:formatCode>_("$"* #,##0_);_("$"* \(#,##0\);_("$"* "-"??_);_(@_)</c:formatCode>
                <c:ptCount val="11"/>
                <c:pt idx="0">
                  <c:v>416.09729800000002</c:v>
                </c:pt>
                <c:pt idx="1">
                  <c:v>574.53653699999995</c:v>
                </c:pt>
                <c:pt idx="2">
                  <c:v>346.26893551999996</c:v>
                </c:pt>
                <c:pt idx="3">
                  <c:v>29.841317</c:v>
                </c:pt>
                <c:pt idx="4">
                  <c:v>124.313847</c:v>
                </c:pt>
                <c:pt idx="5">
                  <c:v>210.46648200000001</c:v>
                </c:pt>
                <c:pt idx="6">
                  <c:v>297</c:v>
                </c:pt>
                <c:pt idx="7">
                  <c:v>232.5</c:v>
                </c:pt>
                <c:pt idx="8">
                  <c:v>448.01288699999998</c:v>
                </c:pt>
                <c:pt idx="9">
                  <c:v>527.6</c:v>
                </c:pt>
                <c:pt idx="10">
                  <c:v>3206.6373035199995</c:v>
                </c:pt>
              </c:numCache>
            </c:numRef>
          </c:val>
          <c:extLst>
            <c:ext xmlns:c16="http://schemas.microsoft.com/office/drawing/2014/chart" uri="{C3380CC4-5D6E-409C-BE32-E72D297353CC}">
              <c16:uniqueId val="{00000003-1542-47A3-8ADD-B42F6F77D9D3}"/>
            </c:ext>
          </c:extLst>
        </c:ser>
        <c:ser>
          <c:idx val="4"/>
          <c:order val="4"/>
          <c:tx>
            <c:strRef>
              <c:f>'[Seguimiento Ventas .xlsx]Sheet1'!$A$41</c:f>
              <c:strCache>
                <c:ptCount val="1"/>
                <c:pt idx="0">
                  <c:v>2021</c:v>
                </c:pt>
              </c:strCache>
            </c:strRef>
          </c:tx>
          <c:spPr>
            <a:solidFill>
              <a:schemeClr val="bg1"/>
            </a:solidFill>
            <a:ln>
              <a:solidFill>
                <a:schemeClr val="accent1"/>
              </a:solidFill>
            </a:ln>
            <a:effectLst/>
          </c:spPr>
          <c:invertIfNegative val="0"/>
          <c:cat>
            <c:strRef>
              <c:f>'[Seguimiento Ventas .xlsx]Sheet1'!$B$36:$L$36</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.xlsx]Sheet1'!$B$41:$L$41</c:f>
              <c:numCache>
                <c:formatCode>_("$"* #,##0_);_("$"* \(#,##0\);_("$"* "-"??_);_(@_)</c:formatCode>
                <c:ptCount val="11"/>
                <c:pt idx="0">
                  <c:v>236.88485499999999</c:v>
                </c:pt>
                <c:pt idx="1">
                  <c:v>407.21738199999999</c:v>
                </c:pt>
                <c:pt idx="2">
                  <c:v>492.21409299999999</c:v>
                </c:pt>
                <c:pt idx="3">
                  <c:v>330.20159100000001</c:v>
                </c:pt>
                <c:pt idx="4">
                  <c:v>473.24845499999998</c:v>
                </c:pt>
                <c:pt idx="5">
                  <c:v>352.84249799999998</c:v>
                </c:pt>
                <c:pt idx="6">
                  <c:v>368.4</c:v>
                </c:pt>
                <c:pt idx="7">
                  <c:v>397.7</c:v>
                </c:pt>
                <c:pt idx="8">
                  <c:v>445.62192199999998</c:v>
                </c:pt>
                <c:pt idx="9">
                  <c:v>324.60000000000002</c:v>
                </c:pt>
                <c:pt idx="10">
                  <c:v>3828.9307959999992</c:v>
                </c:pt>
              </c:numCache>
            </c:numRef>
          </c:val>
          <c:extLst>
            <c:ext xmlns:c16="http://schemas.microsoft.com/office/drawing/2014/chart" uri="{C3380CC4-5D6E-409C-BE32-E72D297353CC}">
              <c16:uniqueId val="{00000004-1542-47A3-8ADD-B42F6F77D9D3}"/>
            </c:ext>
          </c:extLst>
        </c:ser>
        <c:dLbls>
          <c:showLegendKey val="0"/>
          <c:showVal val="0"/>
          <c:showCatName val="0"/>
          <c:showSerName val="0"/>
          <c:showPercent val="0"/>
          <c:showBubbleSize val="0"/>
        </c:dLbls>
        <c:gapWidth val="219"/>
        <c:overlap val="-28"/>
        <c:axId val="730608367"/>
        <c:axId val="730555791"/>
      </c:barChart>
      <c:catAx>
        <c:axId val="7306083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730555791"/>
        <c:crosses val="autoZero"/>
        <c:auto val="1"/>
        <c:lblAlgn val="ctr"/>
        <c:lblOffset val="100"/>
        <c:noMultiLvlLbl val="0"/>
      </c:catAx>
      <c:valAx>
        <c:axId val="730555791"/>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_);_(&quot;$&quot;* \(#,##0\);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cap="none" spc="0" baseline="0">
                <a:ln w="0"/>
                <a:solidFill>
                  <a:sysClr val="windowText" lastClr="000000"/>
                </a:solidFill>
                <a:effectLst>
                  <a:outerShdw blurRad="38100" dist="25400" dir="5400000" algn="ctr" rotWithShape="0">
                    <a:srgbClr val="6E747A">
                      <a:alpha val="43000"/>
                    </a:srgbClr>
                  </a:outerShdw>
                </a:effectLst>
                <a:latin typeface="Arial" panose="020B0604020202020204" pitchFamily="34" charset="0"/>
                <a:ea typeface="+mn-ea"/>
                <a:cs typeface="Arial" panose="020B0604020202020204" pitchFamily="34" charset="0"/>
              </a:defRPr>
            </a:pPr>
            <a:endParaRPr lang="es-CO"/>
          </a:p>
        </c:txPr>
        <c:crossAx val="730608367"/>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solidFill>
                <a:latin typeface="+mn-lt"/>
                <a:ea typeface="+mn-ea"/>
                <a:cs typeface="+mn-cs"/>
              </a:defRPr>
            </a:pPr>
            <a:endParaRPr lang="es-CO"/>
          </a:p>
        </c:txPr>
      </c:dTable>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accent1">
        <a:lumMod val="20000"/>
        <a:lumOff val="80000"/>
      </a:schemeClr>
    </a:solidFill>
    <a:ln w="9525" cap="flat" cmpd="sng" algn="ctr">
      <a:solidFill>
        <a:schemeClr val="tx2">
          <a:lumMod val="40000"/>
          <a:lumOff val="60000"/>
        </a:schemeClr>
      </a:solidFill>
      <a:round/>
    </a:ln>
    <a:effectLst/>
  </c:spPr>
  <c:txPr>
    <a:bodyPr/>
    <a:lstStyle/>
    <a:p>
      <a:pPr>
        <a:defRPr/>
      </a:pPr>
      <a:endParaRPr lang="es-CO"/>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'[Seguimiento Ventas .xlsx]Sheet1'!$A$50</c:f>
              <c:strCache>
                <c:ptCount val="1"/>
                <c:pt idx="0">
                  <c:v>2017</c:v>
                </c:pt>
              </c:strCache>
            </c:strRef>
          </c:tx>
          <c:spPr>
            <a:solidFill>
              <a:srgbClr val="0070C0"/>
            </a:solidFill>
            <a:ln>
              <a:noFill/>
            </a:ln>
            <a:effectLst/>
          </c:spPr>
          <c:invertIfNegative val="0"/>
          <c:cat>
            <c:strRef>
              <c:f>'[Seguimiento Ventas .xlsx]Sheet1'!$B$49:$L$49</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.xlsx]Sheet1'!$B$50:$L$50</c:f>
              <c:numCache>
                <c:formatCode>_("$"* #,##0_);_("$"* \(#,##0\);_("$"* "-"??_);_(@_)</c:formatCode>
                <c:ptCount val="11"/>
                <c:pt idx="0">
                  <c:v>1376.082404</c:v>
                </c:pt>
                <c:pt idx="1">
                  <c:v>1020.057844</c:v>
                </c:pt>
                <c:pt idx="2">
                  <c:v>609.39097400000003</c:v>
                </c:pt>
                <c:pt idx="3">
                  <c:v>3344.2312377500002</c:v>
                </c:pt>
                <c:pt idx="4">
                  <c:v>1836.1368560000001</c:v>
                </c:pt>
                <c:pt idx="5">
                  <c:v>969.91147100000001</c:v>
                </c:pt>
                <c:pt idx="6">
                  <c:v>5536.6851809999998</c:v>
                </c:pt>
                <c:pt idx="7">
                  <c:v>1045.1378099999999</c:v>
                </c:pt>
                <c:pt idx="8">
                  <c:v>2191.2351440000002</c:v>
                </c:pt>
                <c:pt idx="9">
                  <c:v>1293.7514180000001</c:v>
                </c:pt>
                <c:pt idx="10">
                  <c:v>19222.620339749999</c:v>
                </c:pt>
              </c:numCache>
            </c:numRef>
          </c:val>
          <c:extLst>
            <c:ext xmlns:c16="http://schemas.microsoft.com/office/drawing/2014/chart" uri="{C3380CC4-5D6E-409C-BE32-E72D297353CC}">
              <c16:uniqueId val="{00000000-BB94-43AF-9F72-21E6BB3B20F7}"/>
            </c:ext>
          </c:extLst>
        </c:ser>
        <c:ser>
          <c:idx val="1"/>
          <c:order val="1"/>
          <c:tx>
            <c:strRef>
              <c:f>'[Seguimiento Ventas .xlsx]Sheet1'!$A$51</c:f>
              <c:strCache>
                <c:ptCount val="1"/>
                <c:pt idx="0">
                  <c:v>2018</c:v>
                </c:pt>
              </c:strCache>
            </c:strRef>
          </c:tx>
          <c:spPr>
            <a:solidFill>
              <a:srgbClr val="00B0F0"/>
            </a:solidFill>
            <a:ln>
              <a:noFill/>
            </a:ln>
            <a:effectLst/>
          </c:spPr>
          <c:invertIfNegative val="0"/>
          <c:cat>
            <c:strRef>
              <c:f>'[Seguimiento Ventas .xlsx]Sheet1'!$B$49:$L$49</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.xlsx]Sheet1'!$B$51:$L$51</c:f>
              <c:numCache>
                <c:formatCode>_("$"* #,##0_);_("$"* \(#,##0\);_("$"* "-"??_);_(@_)</c:formatCode>
                <c:ptCount val="11"/>
                <c:pt idx="0">
                  <c:v>2522.1220629999998</c:v>
                </c:pt>
                <c:pt idx="1">
                  <c:v>893.20525499999997</c:v>
                </c:pt>
                <c:pt idx="2">
                  <c:v>276.05582399999997</c:v>
                </c:pt>
                <c:pt idx="3">
                  <c:v>915.27018999999996</c:v>
                </c:pt>
                <c:pt idx="4">
                  <c:v>1378.7978430000001</c:v>
                </c:pt>
                <c:pt idx="5">
                  <c:v>1223.0369700000001</c:v>
                </c:pt>
                <c:pt idx="6">
                  <c:v>4752.9699719999999</c:v>
                </c:pt>
                <c:pt idx="7">
                  <c:v>2150.9613410000002</c:v>
                </c:pt>
                <c:pt idx="8">
                  <c:v>904.27234899999996</c:v>
                </c:pt>
                <c:pt idx="9">
                  <c:v>2809.5240848799999</c:v>
                </c:pt>
                <c:pt idx="10">
                  <c:v>17826.215891880001</c:v>
                </c:pt>
              </c:numCache>
            </c:numRef>
          </c:val>
          <c:extLst>
            <c:ext xmlns:c16="http://schemas.microsoft.com/office/drawing/2014/chart" uri="{C3380CC4-5D6E-409C-BE32-E72D297353CC}">
              <c16:uniqueId val="{00000001-BB94-43AF-9F72-21E6BB3B20F7}"/>
            </c:ext>
          </c:extLst>
        </c:ser>
        <c:ser>
          <c:idx val="2"/>
          <c:order val="2"/>
          <c:tx>
            <c:strRef>
              <c:f>'[Seguimiento Ventas .xlsx]Sheet1'!$A$52</c:f>
              <c:strCache>
                <c:ptCount val="1"/>
                <c:pt idx="0">
                  <c:v>2019</c:v>
                </c:pt>
              </c:strCache>
            </c:strRef>
          </c:tx>
          <c:spPr>
            <a:solidFill>
              <a:schemeClr val="tx2">
                <a:lumMod val="60000"/>
                <a:lumOff val="40000"/>
              </a:schemeClr>
            </a:solidFill>
            <a:ln>
              <a:noFill/>
            </a:ln>
            <a:effectLst/>
          </c:spPr>
          <c:invertIfNegative val="0"/>
          <c:cat>
            <c:strRef>
              <c:f>'[Seguimiento Ventas .xlsx]Sheet1'!$B$49:$L$49</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.xlsx]Sheet1'!$B$52:$L$52</c:f>
              <c:numCache>
                <c:formatCode>_("$"* #,##0_);_("$"* \(#,##0\);_("$"* "-"??_);_(@_)</c:formatCode>
                <c:ptCount val="11"/>
                <c:pt idx="0">
                  <c:v>1043.402697</c:v>
                </c:pt>
                <c:pt idx="1">
                  <c:v>1097.4732120000001</c:v>
                </c:pt>
                <c:pt idx="2">
                  <c:v>41.565587000000001</c:v>
                </c:pt>
                <c:pt idx="3">
                  <c:v>745.14829499999996</c:v>
                </c:pt>
                <c:pt idx="4">
                  <c:v>835.97986600000002</c:v>
                </c:pt>
                <c:pt idx="5">
                  <c:v>1343.613057</c:v>
                </c:pt>
                <c:pt idx="6">
                  <c:v>4894.4505099999997</c:v>
                </c:pt>
                <c:pt idx="7">
                  <c:v>464.061781</c:v>
                </c:pt>
                <c:pt idx="8">
                  <c:v>1826.3209240000001</c:v>
                </c:pt>
                <c:pt idx="9">
                  <c:v>2654.2918679999998</c:v>
                </c:pt>
                <c:pt idx="10">
                  <c:v>14946.307797000001</c:v>
                </c:pt>
              </c:numCache>
            </c:numRef>
          </c:val>
          <c:extLst>
            <c:ext xmlns:c16="http://schemas.microsoft.com/office/drawing/2014/chart" uri="{C3380CC4-5D6E-409C-BE32-E72D297353CC}">
              <c16:uniqueId val="{00000002-BB94-43AF-9F72-21E6BB3B20F7}"/>
            </c:ext>
          </c:extLst>
        </c:ser>
        <c:ser>
          <c:idx val="3"/>
          <c:order val="3"/>
          <c:tx>
            <c:strRef>
              <c:f>'[Seguimiento Ventas .xlsx]Sheet1'!$A$53</c:f>
              <c:strCache>
                <c:ptCount val="1"/>
                <c:pt idx="0">
                  <c:v>2020</c:v>
                </c:pt>
              </c:strCache>
            </c:strRef>
          </c:tx>
          <c:spPr>
            <a:solidFill>
              <a:schemeClr val="tx2">
                <a:lumMod val="40000"/>
                <a:lumOff val="60000"/>
              </a:schemeClr>
            </a:solidFill>
            <a:ln>
              <a:noFill/>
            </a:ln>
            <a:effectLst/>
          </c:spPr>
          <c:invertIfNegative val="0"/>
          <c:cat>
            <c:strRef>
              <c:f>'[Seguimiento Ventas .xlsx]Sheet1'!$B$49:$L$49</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.xlsx]Sheet1'!$B$53:$L$53</c:f>
              <c:numCache>
                <c:formatCode>_("$"* #,##0_);_("$"* \(#,##0\);_("$"* "-"??_);_(@_)</c:formatCode>
                <c:ptCount val="11"/>
                <c:pt idx="0">
                  <c:v>590.40781800000002</c:v>
                </c:pt>
                <c:pt idx="1">
                  <c:v>1408.7317949999999</c:v>
                </c:pt>
                <c:pt idx="2">
                  <c:v>2025.4430629999999</c:v>
                </c:pt>
                <c:pt idx="3">
                  <c:v>160.291234</c:v>
                </c:pt>
                <c:pt idx="4">
                  <c:v>2.0750510000000002</c:v>
                </c:pt>
                <c:pt idx="5">
                  <c:v>136.31471500000001</c:v>
                </c:pt>
                <c:pt idx="6">
                  <c:v>1047.4289409999999</c:v>
                </c:pt>
                <c:pt idx="7">
                  <c:v>659.29191500000002</c:v>
                </c:pt>
                <c:pt idx="8">
                  <c:v>1195.4241219999999</c:v>
                </c:pt>
                <c:pt idx="9">
                  <c:v>193.76735500000001</c:v>
                </c:pt>
                <c:pt idx="10">
                  <c:v>7419.1760090000007</c:v>
                </c:pt>
              </c:numCache>
            </c:numRef>
          </c:val>
          <c:extLst>
            <c:ext xmlns:c16="http://schemas.microsoft.com/office/drawing/2014/chart" uri="{C3380CC4-5D6E-409C-BE32-E72D297353CC}">
              <c16:uniqueId val="{00000003-BB94-43AF-9F72-21E6BB3B20F7}"/>
            </c:ext>
          </c:extLst>
        </c:ser>
        <c:ser>
          <c:idx val="4"/>
          <c:order val="4"/>
          <c:tx>
            <c:strRef>
              <c:f>'[Seguimiento Ventas .xlsx]Sheet1'!$A$54</c:f>
              <c:strCache>
                <c:ptCount val="1"/>
                <c:pt idx="0">
                  <c:v>2021</c:v>
                </c:pt>
              </c:strCache>
            </c:strRef>
          </c:tx>
          <c:spPr>
            <a:solidFill>
              <a:schemeClr val="bg1"/>
            </a:solidFill>
            <a:ln>
              <a:solidFill>
                <a:schemeClr val="tx2">
                  <a:lumMod val="40000"/>
                  <a:lumOff val="60000"/>
                </a:schemeClr>
              </a:solidFill>
            </a:ln>
            <a:effectLst/>
          </c:spPr>
          <c:invertIfNegative val="0"/>
          <c:cat>
            <c:strRef>
              <c:f>'[Seguimiento Ventas .xlsx]Sheet1'!$B$49:$L$49</c:f>
              <c:strCache>
                <c:ptCount val="11"/>
                <c:pt idx="0">
                  <c:v>ENE</c:v>
                </c:pt>
                <c:pt idx="1">
                  <c:v>FEB</c:v>
                </c:pt>
                <c:pt idx="2">
                  <c:v>MAR</c:v>
                </c:pt>
                <c:pt idx="3">
                  <c:v>ABR</c:v>
                </c:pt>
                <c:pt idx="4">
                  <c:v>MAY</c:v>
                </c:pt>
                <c:pt idx="5">
                  <c:v>JUN</c:v>
                </c:pt>
                <c:pt idx="6">
                  <c:v>JUL</c:v>
                </c:pt>
                <c:pt idx="7">
                  <c:v>AGO</c:v>
                </c:pt>
                <c:pt idx="8">
                  <c:v>SEP</c:v>
                </c:pt>
                <c:pt idx="9">
                  <c:v>OCT</c:v>
                </c:pt>
                <c:pt idx="10">
                  <c:v>TOTAL</c:v>
                </c:pt>
              </c:strCache>
            </c:strRef>
          </c:cat>
          <c:val>
            <c:numRef>
              <c:f>'[Seguimiento Ventas .xlsx]Sheet1'!$B$54:$L$54</c:f>
              <c:numCache>
                <c:formatCode>_("$"* #,##0_);_("$"* \(#,##0\);_("$"* "-"??_);_(@_)</c:formatCode>
                <c:ptCount val="11"/>
                <c:pt idx="0">
                  <c:v>292.13427899999999</c:v>
                </c:pt>
                <c:pt idx="1">
                  <c:v>1723.6681189999999</c:v>
                </c:pt>
                <c:pt idx="2">
                  <c:v>3838.1150480000001</c:v>
                </c:pt>
                <c:pt idx="3">
                  <c:v>677.88477626890756</c:v>
                </c:pt>
                <c:pt idx="4">
                  <c:v>1056.7711659243698</c:v>
                </c:pt>
                <c:pt idx="5">
                  <c:v>723.44186110924375</c:v>
                </c:pt>
                <c:pt idx="6">
                  <c:v>440.65440605042016</c:v>
                </c:pt>
                <c:pt idx="7">
                  <c:v>976.76833074000001</c:v>
                </c:pt>
                <c:pt idx="8">
                  <c:v>698.28506100000004</c:v>
                </c:pt>
                <c:pt idx="9">
                  <c:v>3094</c:v>
                </c:pt>
                <c:pt idx="10">
                  <c:v>13521.723047092941</c:v>
                </c:pt>
              </c:numCache>
            </c:numRef>
          </c:val>
          <c:extLst>
            <c:ext xmlns:c16="http://schemas.microsoft.com/office/drawing/2014/chart" uri="{C3380CC4-5D6E-409C-BE32-E72D297353CC}">
              <c16:uniqueId val="{00000004-BB94-43AF-9F72-21E6BB3B20F7}"/>
            </c:ext>
          </c:extLst>
        </c:ser>
        <c:dLbls>
          <c:showLegendKey val="0"/>
          <c:showVal val="0"/>
          <c:showCatName val="0"/>
          <c:showSerName val="0"/>
          <c:showPercent val="0"/>
          <c:showBubbleSize val="0"/>
        </c:dLbls>
        <c:gapWidth val="150"/>
        <c:axId val="730608367"/>
        <c:axId val="730555791"/>
      </c:barChart>
      <c:catAx>
        <c:axId val="7306083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730555791"/>
        <c:crosses val="autoZero"/>
        <c:auto val="1"/>
        <c:lblAlgn val="ctr"/>
        <c:lblOffset val="100"/>
        <c:noMultiLvlLbl val="0"/>
      </c:catAx>
      <c:valAx>
        <c:axId val="730555791"/>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_);_(&quot;$&quot;* \(#,##0\);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s-CO"/>
          </a:p>
        </c:txPr>
        <c:crossAx val="730608367"/>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solidFill>
                <a:latin typeface="+mn-lt"/>
                <a:ea typeface="+mn-ea"/>
                <a:cs typeface="+mn-cs"/>
              </a:defRPr>
            </a:pPr>
            <a:endParaRPr lang="es-CO"/>
          </a:p>
        </c:txPr>
      </c:dTable>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accent1">
        <a:lumMod val="20000"/>
        <a:lumOff val="80000"/>
      </a:schemeClr>
    </a:solidFill>
    <a:ln w="9525" cap="flat" cmpd="sng" algn="ctr">
      <a:solidFill>
        <a:schemeClr val="tx2">
          <a:lumMod val="40000"/>
          <a:lumOff val="60000"/>
        </a:schemeClr>
      </a:solidFill>
      <a:round/>
    </a:ln>
    <a:effectLst/>
  </c:spPr>
  <c:txPr>
    <a:bodyPr/>
    <a:lstStyle/>
    <a:p>
      <a:pPr>
        <a:defRPr/>
      </a:pPr>
      <a:endParaRPr lang="es-CO"/>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0-27ED-4705-BF41-687439045D2E}"/>
                </c:ext>
              </c:extLst>
            </c:dLbl>
            <c:dLbl>
              <c:idx val="1"/>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1-27ED-4705-BF41-687439045D2E}"/>
                </c:ext>
              </c:extLst>
            </c:dLbl>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2-27ED-4705-BF41-687439045D2E}"/>
                </c:ext>
              </c:extLst>
            </c:dLbl>
            <c:dLbl>
              <c:idx val="3"/>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3-27ED-4705-BF41-687439045D2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'[Seguimiento Ventas .xlsx]Sheet1'!$D$18:$G$18</c:f>
              <c:strCache>
                <c:ptCount val="4"/>
                <c:pt idx="0">
                  <c:v>Ene-Oct</c:v>
                </c:pt>
                <c:pt idx="1">
                  <c:v>Noviembre</c:v>
                </c:pt>
                <c:pt idx="2">
                  <c:v>Diciembre</c:v>
                </c:pt>
                <c:pt idx="3">
                  <c:v>Total</c:v>
                </c:pt>
              </c:strCache>
            </c:strRef>
          </c:cat>
          <c:val>
            <c:numRef>
              <c:f>'[Seguimiento Ventas .xlsx]Sheet1'!$D$19:$G$19</c:f>
              <c:numCache>
                <c:formatCode>_("$"* #,##0_);_("$"* \(#,##0\);_("$"* "-"??_);_(@_)</c:formatCode>
                <c:ptCount val="4"/>
                <c:pt idx="0">
                  <c:v>17350.653843092899</c:v>
                </c:pt>
                <c:pt idx="1">
                  <c:v>9886.3219409831909</c:v>
                </c:pt>
                <c:pt idx="2">
                  <c:v>9390.2090192184896</c:v>
                </c:pt>
                <c:pt idx="3">
                  <c:v>36627.184803294578</c:v>
                </c:pt>
              </c:numCache>
            </c:numRef>
          </c:val>
          <c:extLst>
            <c:ext xmlns:c16="http://schemas.microsoft.com/office/drawing/2014/chart" uri="{C3380CC4-5D6E-409C-BE32-E72D297353CC}">
              <c16:uniqueId val="{00000004-27ED-4705-BF41-687439045D2E}"/>
            </c:ext>
          </c:extLst>
        </c:ser>
        <c:dLbls>
          <c:dLblPos val="outEnd"/>
          <c:showLegendKey val="0"/>
          <c:showVal val="1"/>
          <c:showCatName val="0"/>
          <c:showSerName val="0"/>
          <c:showPercent val="0"/>
          <c:showBubbleSize val="0"/>
        </c:dLbls>
        <c:gapWidth val="219"/>
        <c:overlap val="-27"/>
        <c:axId val="690162127"/>
        <c:axId val="690400591"/>
      </c:barChart>
      <c:catAx>
        <c:axId val="69016212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CO"/>
          </a:p>
        </c:txPr>
        <c:crossAx val="690400591"/>
        <c:crosses val="autoZero"/>
        <c:auto val="1"/>
        <c:lblAlgn val="ctr"/>
        <c:lblOffset val="100"/>
        <c:noMultiLvlLbl val="0"/>
      </c:catAx>
      <c:valAx>
        <c:axId val="690400591"/>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_);_(&quot;$&quot;* \(#,##0\);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CO"/>
          </a:p>
        </c:txPr>
        <c:crossAx val="69016212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accent1">
        <a:lumMod val="20000"/>
        <a:lumOff val="80000"/>
      </a:schemeClr>
    </a:solidFill>
    <a:ln w="9525" cap="flat" cmpd="sng" algn="ctr">
      <a:solidFill>
        <a:schemeClr val="tx2">
          <a:lumMod val="60000"/>
          <a:lumOff val="40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1">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ap="none" spc="0" normalizeH="0" baseline="0"/>
  </cs:categoryAxis>
  <cs:chartArea>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spPr>
      <a:pattFill prst="ltDnDiag">
        <a:fgClr>
          <a:schemeClr val="dk1">
            <a:lumMod val="15000"/>
            <a:lumOff val="85000"/>
          </a:schemeClr>
        </a:fgClr>
        <a:bgClr>
          <a:schemeClr val="lt1"/>
        </a:bgClr>
      </a:pattFill>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pattFill prst="ltDnDiag">
        <a:fgClr>
          <a:schemeClr val="dk1">
            <a:lumMod val="15000"/>
            <a:lumOff val="85000"/>
          </a:schemeClr>
        </a:fgClr>
        <a:bgClr>
          <a:schemeClr val="lt1"/>
        </a:bgClr>
      </a:pattFill>
    </cs:spPr>
  </cs:plotArea>
  <cs:plotArea3D>
    <cs:lnRef idx="0"/>
    <cs:fillRef idx="0"/>
    <cs:effectRef idx="0"/>
    <cs:fontRef idx="minor">
      <a:schemeClr val="dk1"/>
    </cs:fontRef>
    <cs:spPr>
      <a:solidFill>
        <a:schemeClr val="lt1"/>
      </a:solidFill>
    </cs:spPr>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cap="none"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spPr>
      <a:pattFill prst="ltDnDiag">
        <a:fgClr>
          <a:schemeClr val="dk1">
            <a:lumMod val="15000"/>
            <a:lumOff val="85000"/>
          </a:schemeClr>
        </a:fgClr>
        <a:bgClr>
          <a:schemeClr val="lt1"/>
        </a:bgClr>
      </a:pattFill>
    </cs:spPr>
  </cs:wall>
</cs:chartStyle>
</file>

<file path=word/charts/style7.xml><?xml version="1.0" encoding="utf-8"?>
<cs:chartStyle xmlns:cs="http://schemas.microsoft.com/office/drawing/2012/chartStyle" xmlns:a="http://schemas.openxmlformats.org/drawingml/2006/main" id="205">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05">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_rels/data1.xml.rels><?xml version="1.0" encoding="UTF-8" standalone="yes"?>
<Relationships xmlns="http://schemas.openxmlformats.org/package/2006/relationships"><Relationship Id="rId3" Type="http://schemas.openxmlformats.org/officeDocument/2006/relationships/image" Target="../media/image51.png"/><Relationship Id="rId2" Type="http://schemas.openxmlformats.org/officeDocument/2006/relationships/image" Target="../media/image50.jpeg"/><Relationship Id="rId1" Type="http://schemas.openxmlformats.org/officeDocument/2006/relationships/image" Target="../media/image49.jpg"/><Relationship Id="rId5" Type="http://schemas.openxmlformats.org/officeDocument/2006/relationships/image" Target="../media/image53.jpeg"/><Relationship Id="rId4" Type="http://schemas.openxmlformats.org/officeDocument/2006/relationships/image" Target="../media/image52.jpeg"/></Relationships>
</file>

<file path=word/diagrams/_rels/data2.xml.rels><?xml version="1.0" encoding="UTF-8" standalone="yes"?>
<Relationships xmlns="http://schemas.openxmlformats.org/package/2006/relationships"><Relationship Id="rId3" Type="http://schemas.openxmlformats.org/officeDocument/2006/relationships/image" Target="../media/image51.png"/><Relationship Id="rId2" Type="http://schemas.openxmlformats.org/officeDocument/2006/relationships/image" Target="../media/image57.jpeg"/><Relationship Id="rId1" Type="http://schemas.openxmlformats.org/officeDocument/2006/relationships/image" Target="../media/image56.jpg"/></Relationships>
</file>

<file path=word/diagrams/_rels/data3.xml.rels><?xml version="1.0" encoding="UTF-8" standalone="yes"?>
<Relationships xmlns="http://schemas.openxmlformats.org/package/2006/relationships"><Relationship Id="rId3" Type="http://schemas.openxmlformats.org/officeDocument/2006/relationships/image" Target="../media/image60.jpeg"/><Relationship Id="rId2" Type="http://schemas.openxmlformats.org/officeDocument/2006/relationships/image" Target="../media/image59.jpeg"/><Relationship Id="rId1" Type="http://schemas.openxmlformats.org/officeDocument/2006/relationships/image" Target="../media/image58.png"/><Relationship Id="rId5" Type="http://schemas.openxmlformats.org/officeDocument/2006/relationships/image" Target="../media/image61.jpeg"/><Relationship Id="rId4" Type="http://schemas.openxmlformats.org/officeDocument/2006/relationships/image" Target="../media/image51.png"/></Relationships>
</file>

<file path=word/diagrams/_rels/data4.xml.rels><?xml version="1.0" encoding="UTF-8" standalone="yes"?>
<Relationships xmlns="http://schemas.openxmlformats.org/package/2006/relationships"><Relationship Id="rId3" Type="http://schemas.openxmlformats.org/officeDocument/2006/relationships/image" Target="../media/image72.jpg"/><Relationship Id="rId2" Type="http://schemas.openxmlformats.org/officeDocument/2006/relationships/image" Target="../media/image71.jpg"/><Relationship Id="rId1" Type="http://schemas.openxmlformats.org/officeDocument/2006/relationships/image" Target="../media/image70.png"/><Relationship Id="rId4" Type="http://schemas.openxmlformats.org/officeDocument/2006/relationships/image" Target="../media/image51.png"/></Relationships>
</file>

<file path=word/diagrams/_rels/data5.xml.rels><?xml version="1.0" encoding="UTF-8" standalone="yes"?>
<Relationships xmlns="http://schemas.openxmlformats.org/package/2006/relationships"><Relationship Id="rId3" Type="http://schemas.openxmlformats.org/officeDocument/2006/relationships/image" Target="../media/image71.jpg"/><Relationship Id="rId2" Type="http://schemas.openxmlformats.org/officeDocument/2006/relationships/image" Target="../media/image74.png"/><Relationship Id="rId1" Type="http://schemas.openxmlformats.org/officeDocument/2006/relationships/image" Target="../media/image73.jpg"/><Relationship Id="rId6" Type="http://schemas.openxmlformats.org/officeDocument/2006/relationships/image" Target="../media/image75.jpg"/><Relationship Id="rId5" Type="http://schemas.openxmlformats.org/officeDocument/2006/relationships/image" Target="../media/image51.png"/><Relationship Id="rId4" Type="http://schemas.openxmlformats.org/officeDocument/2006/relationships/image" Target="../media/image72.jpg"/></Relationships>
</file>

<file path=word/diagrams/_rels/drawing1.xml.rels><?xml version="1.0" encoding="UTF-8" standalone="yes"?>
<Relationships xmlns="http://schemas.openxmlformats.org/package/2006/relationships"><Relationship Id="rId3" Type="http://schemas.openxmlformats.org/officeDocument/2006/relationships/image" Target="../media/image51.png"/><Relationship Id="rId2" Type="http://schemas.openxmlformats.org/officeDocument/2006/relationships/image" Target="../media/image50.jpeg"/><Relationship Id="rId1" Type="http://schemas.openxmlformats.org/officeDocument/2006/relationships/image" Target="../media/image49.jpg"/><Relationship Id="rId5" Type="http://schemas.openxmlformats.org/officeDocument/2006/relationships/image" Target="../media/image53.jpeg"/><Relationship Id="rId4" Type="http://schemas.openxmlformats.org/officeDocument/2006/relationships/image" Target="../media/image52.jpeg"/></Relationships>
</file>

<file path=word/diagrams/_rels/drawing2.xml.rels><?xml version="1.0" encoding="UTF-8" standalone="yes"?>
<Relationships xmlns="http://schemas.openxmlformats.org/package/2006/relationships"><Relationship Id="rId3" Type="http://schemas.openxmlformats.org/officeDocument/2006/relationships/image" Target="../media/image51.png"/><Relationship Id="rId2" Type="http://schemas.openxmlformats.org/officeDocument/2006/relationships/image" Target="../media/image57.jpeg"/><Relationship Id="rId1" Type="http://schemas.openxmlformats.org/officeDocument/2006/relationships/image" Target="../media/image56.jpg"/></Relationships>
</file>

<file path=word/diagrams/_rels/drawing3.xml.rels><?xml version="1.0" encoding="UTF-8" standalone="yes"?>
<Relationships xmlns="http://schemas.openxmlformats.org/package/2006/relationships"><Relationship Id="rId3" Type="http://schemas.openxmlformats.org/officeDocument/2006/relationships/image" Target="../media/image60.jpeg"/><Relationship Id="rId2" Type="http://schemas.openxmlformats.org/officeDocument/2006/relationships/image" Target="../media/image59.jpeg"/><Relationship Id="rId1" Type="http://schemas.openxmlformats.org/officeDocument/2006/relationships/image" Target="../media/image58.png"/><Relationship Id="rId5" Type="http://schemas.openxmlformats.org/officeDocument/2006/relationships/image" Target="../media/image61.jpeg"/><Relationship Id="rId4" Type="http://schemas.openxmlformats.org/officeDocument/2006/relationships/image" Target="../media/image51.png"/></Relationships>
</file>

<file path=word/diagrams/_rels/drawing4.xml.rels><?xml version="1.0" encoding="UTF-8" standalone="yes"?>
<Relationships xmlns="http://schemas.openxmlformats.org/package/2006/relationships"><Relationship Id="rId3" Type="http://schemas.openxmlformats.org/officeDocument/2006/relationships/image" Target="../media/image72.jpg"/><Relationship Id="rId2" Type="http://schemas.openxmlformats.org/officeDocument/2006/relationships/image" Target="../media/image71.jpg"/><Relationship Id="rId1" Type="http://schemas.openxmlformats.org/officeDocument/2006/relationships/image" Target="../media/image70.png"/><Relationship Id="rId4" Type="http://schemas.openxmlformats.org/officeDocument/2006/relationships/image" Target="../media/image51.png"/></Relationships>
</file>

<file path=word/diagrams/_rels/drawing5.xml.rels><?xml version="1.0" encoding="UTF-8" standalone="yes"?>
<Relationships xmlns="http://schemas.openxmlformats.org/package/2006/relationships"><Relationship Id="rId3" Type="http://schemas.openxmlformats.org/officeDocument/2006/relationships/image" Target="../media/image72.jpg"/><Relationship Id="rId2" Type="http://schemas.openxmlformats.org/officeDocument/2006/relationships/image" Target="../media/image71.jpg"/><Relationship Id="rId1" Type="http://schemas.openxmlformats.org/officeDocument/2006/relationships/image" Target="../media/image73.jpg"/><Relationship Id="rId6" Type="http://schemas.openxmlformats.org/officeDocument/2006/relationships/image" Target="../media/image75.jpg"/><Relationship Id="rId5" Type="http://schemas.openxmlformats.org/officeDocument/2006/relationships/image" Target="../media/image51.png"/><Relationship Id="rId4" Type="http://schemas.openxmlformats.org/officeDocument/2006/relationships/image" Target="../media/image74.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98CD2D0-4C08-4B0F-89CF-F49DDEED1DDF}" type="doc">
      <dgm:prSet loTypeId="urn:microsoft.com/office/officeart/2008/layout/AccentedPicture" loCatId="picture" qsTypeId="urn:microsoft.com/office/officeart/2005/8/quickstyle/simple1" qsCatId="simple" csTypeId="urn:microsoft.com/office/officeart/2005/8/colors/accent1_2" csCatId="accent1" phldr="1"/>
      <dgm:spPr/>
      <dgm:t>
        <a:bodyPr/>
        <a:lstStyle/>
        <a:p>
          <a:endParaRPr lang="es-CO"/>
        </a:p>
      </dgm:t>
    </dgm:pt>
    <dgm:pt modelId="{3AACCA3D-FF78-44D1-A3FD-E3B6F215FD7B}">
      <dgm:prSet phldrT="[Texto]" custT="1"/>
      <dgm:spPr/>
      <dgm:t>
        <a:bodyPr/>
        <a:lstStyle/>
        <a:p>
          <a:pPr algn="ctr"/>
          <a:r>
            <a:rPr lang="es-CO" sz="900">
              <a:latin typeface="Arial" panose="020B0604020202020204" pitchFamily="34" charset="0"/>
              <a:cs typeface="Arial" panose="020B0604020202020204" pitchFamily="34" charset="0"/>
            </a:rPr>
            <a:t>Diagnóstico del estado de peticiones, identificación de los responsables por dependencia, clasificación según la gestión para posterior cierre.</a:t>
          </a:r>
          <a:endParaRPr lang="es-CO" sz="900"/>
        </a:p>
      </dgm:t>
    </dgm:pt>
    <dgm:pt modelId="{E4CDC088-0CE3-4F11-AEAF-7DAA153AFE16}" type="parTrans" cxnId="{C0E72E23-01F7-42CC-A293-97D422AABD5C}">
      <dgm:prSet/>
      <dgm:spPr/>
      <dgm:t>
        <a:bodyPr/>
        <a:lstStyle/>
        <a:p>
          <a:pPr algn="ctr"/>
          <a:endParaRPr lang="es-CO" sz="2400"/>
        </a:p>
      </dgm:t>
    </dgm:pt>
    <dgm:pt modelId="{90359B8C-2E8F-41F2-9380-3D19B8C27B9C}" type="sibTrans" cxnId="{C0E72E23-01F7-42CC-A293-97D422AABD5C}">
      <dgm:prSet/>
      <dgm:spPr/>
      <dgm:t>
        <a:bodyPr/>
        <a:lstStyle/>
        <a:p>
          <a:pPr algn="ctr"/>
          <a:endParaRPr lang="es-CO" sz="2400"/>
        </a:p>
      </dgm:t>
    </dgm:pt>
    <dgm:pt modelId="{617528F7-A620-481C-BC03-31A4BA154AC1}">
      <dgm:prSet phldrT="[Texto]" custT="1"/>
      <dgm:spPr/>
      <dgm:t>
        <a:bodyPr/>
        <a:lstStyle/>
        <a:p>
          <a:pPr algn="ctr"/>
          <a:r>
            <a:rPr lang="es-MX" altLang="es-CO" sz="900" dirty="0">
              <a:solidFill>
                <a:schemeClr val="tx1"/>
              </a:solidFill>
              <a:latin typeface="Arial" panose="020B0604020202020204" pitchFamily="34" charset="0"/>
              <a:cs typeface="Arial" panose="020B0604020202020204" pitchFamily="34" charset="0"/>
            </a:rPr>
            <a:t>Implementación de indicadores de oportunidad y productividad</a:t>
          </a:r>
          <a:endParaRPr lang="es-CO" sz="900"/>
        </a:p>
      </dgm:t>
    </dgm:pt>
    <dgm:pt modelId="{AF77E4E7-48B3-4A3D-B980-BD64284807A7}" type="parTrans" cxnId="{401A0314-C7DD-4173-B3F3-BF5E9668F159}">
      <dgm:prSet/>
      <dgm:spPr/>
      <dgm:t>
        <a:bodyPr/>
        <a:lstStyle/>
        <a:p>
          <a:pPr algn="ctr"/>
          <a:endParaRPr lang="es-CO" sz="2400"/>
        </a:p>
      </dgm:t>
    </dgm:pt>
    <dgm:pt modelId="{3AD49AEB-84BA-468F-9916-C3E352A960F3}" type="sibTrans" cxnId="{401A0314-C7DD-4173-B3F3-BF5E9668F159}">
      <dgm:prSet/>
      <dgm:spPr/>
      <dgm:t>
        <a:bodyPr/>
        <a:lstStyle/>
        <a:p>
          <a:pPr algn="ctr"/>
          <a:endParaRPr lang="es-CO" sz="2400"/>
        </a:p>
      </dgm:t>
    </dgm:pt>
    <dgm:pt modelId="{77A2F17A-B441-494B-9854-83F335FFDD4F}">
      <dgm:prSet phldrT="[Texto]" custT="1"/>
      <dgm:spPr/>
      <dgm:t>
        <a:bodyPr/>
        <a:lstStyle/>
        <a:p>
          <a:pPr algn="ctr"/>
          <a:r>
            <a:rPr lang="es-MX" altLang="es-CO" sz="900" dirty="0">
              <a:solidFill>
                <a:schemeClr val="tx1"/>
              </a:solidFill>
              <a:latin typeface="Arial" panose="020B0604020202020204" pitchFamily="34" charset="0"/>
              <a:cs typeface="Arial" panose="020B0604020202020204" pitchFamily="34" charset="0"/>
            </a:rPr>
            <a:t>Seguimiento periódico de la gestión de las peticiones por dependencia en los comités directivos.</a:t>
          </a:r>
          <a:endParaRPr lang="es-CO" sz="900"/>
        </a:p>
      </dgm:t>
    </dgm:pt>
    <dgm:pt modelId="{0F2A56FA-1E4E-4661-A103-5581AC007AF1}" type="parTrans" cxnId="{117DB2AF-535A-4C5B-B2AE-1ED703507248}">
      <dgm:prSet/>
      <dgm:spPr/>
      <dgm:t>
        <a:bodyPr/>
        <a:lstStyle/>
        <a:p>
          <a:pPr algn="ctr"/>
          <a:endParaRPr lang="es-CO" sz="2400"/>
        </a:p>
      </dgm:t>
    </dgm:pt>
    <dgm:pt modelId="{A0A040E5-9251-4F07-8387-05009CFBE2C1}" type="sibTrans" cxnId="{117DB2AF-535A-4C5B-B2AE-1ED703507248}">
      <dgm:prSet/>
      <dgm:spPr/>
      <dgm:t>
        <a:bodyPr/>
        <a:lstStyle/>
        <a:p>
          <a:pPr algn="ctr"/>
          <a:endParaRPr lang="es-CO" sz="2400"/>
        </a:p>
      </dgm:t>
    </dgm:pt>
    <dgm:pt modelId="{0C21A90B-9231-4617-9F28-70765A508D5F}">
      <dgm:prSet phldrT="[Texto]" custT="1"/>
      <dgm:spPr/>
      <dgm:t>
        <a:bodyPr/>
        <a:lstStyle/>
        <a:p>
          <a:pPr algn="ctr"/>
          <a:r>
            <a:rPr lang="es-MX" altLang="es-CO" sz="900" dirty="0">
              <a:solidFill>
                <a:sysClr val="windowText" lastClr="000000"/>
              </a:solidFill>
              <a:latin typeface="Arial" panose="020B0604020202020204" pitchFamily="34" charset="0"/>
              <a:cs typeface="Arial" panose="020B0604020202020204" pitchFamily="34" charset="0"/>
            </a:rPr>
            <a:t>De las 34.701 PQRSD recibidas en la vigencia actual a nivel nacional se atendieron 23.761; arrojando un indicador de productividad del 68% y de oportunidad del 67% (Corte del 26 de octubre del 2021).</a:t>
          </a:r>
          <a:endParaRPr lang="es-CO" sz="900">
            <a:solidFill>
              <a:sysClr val="windowText" lastClr="000000"/>
            </a:solidFill>
          </a:endParaRPr>
        </a:p>
      </dgm:t>
    </dgm:pt>
    <dgm:pt modelId="{106DECEA-7171-442B-865D-6D117571D866}" type="parTrans" cxnId="{F7F44821-FBC2-4702-9A40-60CF8898C205}">
      <dgm:prSet/>
      <dgm:spPr/>
      <dgm:t>
        <a:bodyPr/>
        <a:lstStyle/>
        <a:p>
          <a:pPr algn="ctr"/>
          <a:endParaRPr lang="es-CO" sz="2400"/>
        </a:p>
      </dgm:t>
    </dgm:pt>
    <dgm:pt modelId="{82CDB04E-5C65-4F18-B479-90DD4E6FD363}" type="sibTrans" cxnId="{F7F44821-FBC2-4702-9A40-60CF8898C205}">
      <dgm:prSet/>
      <dgm:spPr/>
      <dgm:t>
        <a:bodyPr/>
        <a:lstStyle/>
        <a:p>
          <a:pPr algn="ctr"/>
          <a:endParaRPr lang="es-CO" sz="2400"/>
        </a:p>
      </dgm:t>
    </dgm:pt>
    <dgm:pt modelId="{1D8D708F-5A59-48B2-9AB3-6978134DB5A2}">
      <dgm:prSet phldrT="[Texto]" custT="1"/>
      <dgm:spPr/>
      <dgm:t>
        <a:bodyPr/>
        <a:lstStyle/>
        <a:p>
          <a:pPr algn="ctr"/>
          <a:r>
            <a:rPr lang="es-CO" sz="900" dirty="0">
              <a:solidFill>
                <a:sysClr val="windowText" lastClr="000000"/>
              </a:solidFill>
              <a:latin typeface="Arial" panose="020B0604020202020204" pitchFamily="34" charset="0"/>
              <a:cs typeface="Arial" panose="020B0604020202020204" pitchFamily="34" charset="0"/>
            </a:rPr>
            <a:t>En el presente año se han gestionado el cierre del 46% de peticiones pendientes de vigencias anteriores</a:t>
          </a:r>
          <a:r>
            <a:rPr lang="es-CO" sz="900" dirty="0">
              <a:solidFill>
                <a:srgbClr val="FF0000"/>
              </a:solidFill>
              <a:latin typeface="Arial" panose="020B0604020202020204" pitchFamily="34" charset="0"/>
              <a:cs typeface="Arial" panose="020B0604020202020204" pitchFamily="34" charset="0"/>
            </a:rPr>
            <a:t>.</a:t>
          </a:r>
          <a:endParaRPr lang="es-CO" sz="900">
            <a:solidFill>
              <a:srgbClr val="FF0000"/>
            </a:solidFill>
          </a:endParaRPr>
        </a:p>
      </dgm:t>
    </dgm:pt>
    <dgm:pt modelId="{C8B6170C-F7E2-471A-9CF7-53E90341A589}" type="parTrans" cxnId="{ECEE534D-1E66-499F-ADB8-C8145C6CCD70}">
      <dgm:prSet/>
      <dgm:spPr/>
      <dgm:t>
        <a:bodyPr/>
        <a:lstStyle/>
        <a:p>
          <a:pPr algn="ctr"/>
          <a:endParaRPr lang="es-CO" sz="2400"/>
        </a:p>
      </dgm:t>
    </dgm:pt>
    <dgm:pt modelId="{905D2AD0-72DB-451B-83FA-43F720414D74}" type="sibTrans" cxnId="{ECEE534D-1E66-499F-ADB8-C8145C6CCD70}">
      <dgm:prSet/>
      <dgm:spPr/>
      <dgm:t>
        <a:bodyPr/>
        <a:lstStyle/>
        <a:p>
          <a:pPr algn="ctr"/>
          <a:endParaRPr lang="es-CO" sz="2400"/>
        </a:p>
      </dgm:t>
    </dgm:pt>
    <dgm:pt modelId="{EE068757-234D-4975-A985-EDDCFE17EAB1}">
      <dgm:prSet phldrT="[Texto]" custT="1"/>
      <dgm:spPr/>
      <dgm:t>
        <a:bodyPr/>
        <a:lstStyle/>
        <a:p>
          <a:pPr algn="ctr"/>
          <a:endParaRPr lang="es-CO" sz="2000" b="1">
            <a:solidFill>
              <a:sysClr val="windowText" lastClr="000000"/>
            </a:solidFill>
            <a:latin typeface="Arial" panose="020B0604020202020204" pitchFamily="34" charset="0"/>
            <a:cs typeface="Arial" panose="020B0604020202020204" pitchFamily="34" charset="0"/>
          </a:endParaRPr>
        </a:p>
      </dgm:t>
    </dgm:pt>
    <dgm:pt modelId="{7FD84A74-0E3E-4F41-BF49-AE40E9CF09CA}" type="sibTrans" cxnId="{7E350841-9AF0-4371-9BCB-EC36CE8B8952}">
      <dgm:prSet/>
      <dgm:spPr>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dgm:spPr>
      <dgm:t>
        <a:bodyPr/>
        <a:lstStyle/>
        <a:p>
          <a:pPr algn="ctr"/>
          <a:endParaRPr lang="es-CO" sz="2400"/>
        </a:p>
      </dgm:t>
    </dgm:pt>
    <dgm:pt modelId="{5811CE6A-E517-4E3D-82CB-211F1BA61896}" type="parTrans" cxnId="{7E350841-9AF0-4371-9BCB-EC36CE8B8952}">
      <dgm:prSet/>
      <dgm:spPr/>
      <dgm:t>
        <a:bodyPr/>
        <a:lstStyle/>
        <a:p>
          <a:pPr algn="ctr"/>
          <a:endParaRPr lang="es-CO" sz="2400"/>
        </a:p>
      </dgm:t>
    </dgm:pt>
    <dgm:pt modelId="{12640271-238F-4B47-879B-461DE907EFA5}" type="pres">
      <dgm:prSet presAssocID="{A98CD2D0-4C08-4B0F-89CF-F49DDEED1DDF}" presName="Name0" presStyleCnt="0">
        <dgm:presLayoutVars>
          <dgm:dir/>
        </dgm:presLayoutVars>
      </dgm:prSet>
      <dgm:spPr/>
      <dgm:t>
        <a:bodyPr/>
        <a:lstStyle/>
        <a:p>
          <a:endParaRPr lang="es-ES"/>
        </a:p>
      </dgm:t>
    </dgm:pt>
    <dgm:pt modelId="{B30AEBE6-73B4-4E1A-9280-27AD442C8CAA}" type="pres">
      <dgm:prSet presAssocID="{7FD84A74-0E3E-4F41-BF49-AE40E9CF09CA}" presName="picture_1" presStyleLbl="bgImgPlace1" presStyleIdx="0" presStyleCnt="1" custLinFactNeighborX="835" custLinFactNeighborY="-218"/>
      <dgm:spPr/>
      <dgm:t>
        <a:bodyPr/>
        <a:lstStyle/>
        <a:p>
          <a:endParaRPr lang="es-ES"/>
        </a:p>
      </dgm:t>
    </dgm:pt>
    <dgm:pt modelId="{5C4042FE-2C1A-47B0-8028-5785EC49AED2}" type="pres">
      <dgm:prSet presAssocID="{EE068757-234D-4975-A985-EDDCFE17EAB1}" presName="text_1" presStyleLbl="node1" presStyleIdx="0" presStyleCnt="0" custScaleY="17970" custLinFactNeighborX="4594" custLinFactNeighborY="-92447">
        <dgm:presLayoutVars>
          <dgm:bulletEnabled val="1"/>
        </dgm:presLayoutVars>
      </dgm:prSet>
      <dgm:spPr/>
      <dgm:t>
        <a:bodyPr/>
        <a:lstStyle/>
        <a:p>
          <a:endParaRPr lang="es-ES"/>
        </a:p>
      </dgm:t>
    </dgm:pt>
    <dgm:pt modelId="{0AAF8391-7B33-4E88-8896-3020B1A55AAD}" type="pres">
      <dgm:prSet presAssocID="{A98CD2D0-4C08-4B0F-89CF-F49DDEED1DDF}" presName="linV" presStyleCnt="0"/>
      <dgm:spPr/>
    </dgm:pt>
    <dgm:pt modelId="{5F0EC335-1B65-46B9-8A00-4D49365ADFA0}" type="pres">
      <dgm:prSet presAssocID="{3AACCA3D-FF78-44D1-A3FD-E3B6F215FD7B}" presName="pair" presStyleCnt="0"/>
      <dgm:spPr/>
    </dgm:pt>
    <dgm:pt modelId="{54385185-4C68-4D8B-BFFA-76323DCD68D4}" type="pres">
      <dgm:prSet presAssocID="{3AACCA3D-FF78-44D1-A3FD-E3B6F215FD7B}" presName="spaceH" presStyleLbl="node1" presStyleIdx="0" presStyleCnt="0"/>
      <dgm:spPr/>
    </dgm:pt>
    <dgm:pt modelId="{76D9F045-9884-490A-86F7-1C1C482A6818}" type="pres">
      <dgm:prSet presAssocID="{3AACCA3D-FF78-44D1-A3FD-E3B6F215FD7B}" presName="desPictures" presStyleLbl="alignImgPlace1" presStyleIdx="0" presStyleCnt="5"/>
      <dgm:spPr>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dgm:spPr>
    </dgm:pt>
    <dgm:pt modelId="{9CADD697-9FED-41EB-834F-83E893AB2B9B}" type="pres">
      <dgm:prSet presAssocID="{3AACCA3D-FF78-44D1-A3FD-E3B6F215FD7B}" presName="desTextWrapper" presStyleCnt="0"/>
      <dgm:spPr/>
    </dgm:pt>
    <dgm:pt modelId="{7EFD48E9-AC0B-49EB-B12E-CABE9F9F4357}" type="pres">
      <dgm:prSet presAssocID="{3AACCA3D-FF78-44D1-A3FD-E3B6F215FD7B}" presName="desText" presStyleLbl="revTx" presStyleIdx="0" presStyleCnt="5">
        <dgm:presLayoutVars>
          <dgm:bulletEnabled val="1"/>
        </dgm:presLayoutVars>
      </dgm:prSet>
      <dgm:spPr/>
      <dgm:t>
        <a:bodyPr/>
        <a:lstStyle/>
        <a:p>
          <a:endParaRPr lang="es-ES"/>
        </a:p>
      </dgm:t>
    </dgm:pt>
    <dgm:pt modelId="{1335A65F-AA65-43A6-BFED-77610DF2C203}" type="pres">
      <dgm:prSet presAssocID="{90359B8C-2E8F-41F2-9380-3D19B8C27B9C}" presName="spaceV" presStyleCnt="0"/>
      <dgm:spPr/>
    </dgm:pt>
    <dgm:pt modelId="{B9DE5EE9-78F6-427B-BFEA-6968DCFCB1A8}" type="pres">
      <dgm:prSet presAssocID="{617528F7-A620-481C-BC03-31A4BA154AC1}" presName="pair" presStyleCnt="0"/>
      <dgm:spPr/>
    </dgm:pt>
    <dgm:pt modelId="{A2AB4173-3828-4D01-B49C-435FC6E1EF26}" type="pres">
      <dgm:prSet presAssocID="{617528F7-A620-481C-BC03-31A4BA154AC1}" presName="spaceH" presStyleLbl="node1" presStyleIdx="0" presStyleCnt="0"/>
      <dgm:spPr/>
    </dgm:pt>
    <dgm:pt modelId="{8EB2B147-F7A5-448A-A919-D6DA5198596B}" type="pres">
      <dgm:prSet presAssocID="{617528F7-A620-481C-BC03-31A4BA154AC1}" presName="desPictures" presStyleLbl="alignImgPlace1" presStyleIdx="1" presStyleCnt="5"/>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t>
        <a:bodyPr/>
        <a:lstStyle/>
        <a:p>
          <a:endParaRPr lang="es-ES"/>
        </a:p>
      </dgm:t>
    </dgm:pt>
    <dgm:pt modelId="{5DBFA063-8115-4FD0-A6B8-557392FDC6D2}" type="pres">
      <dgm:prSet presAssocID="{617528F7-A620-481C-BC03-31A4BA154AC1}" presName="desTextWrapper" presStyleCnt="0"/>
      <dgm:spPr/>
    </dgm:pt>
    <dgm:pt modelId="{649B28CA-BB8A-4D65-9260-28765495B285}" type="pres">
      <dgm:prSet presAssocID="{617528F7-A620-481C-BC03-31A4BA154AC1}" presName="desText" presStyleLbl="revTx" presStyleIdx="1" presStyleCnt="5">
        <dgm:presLayoutVars>
          <dgm:bulletEnabled val="1"/>
        </dgm:presLayoutVars>
      </dgm:prSet>
      <dgm:spPr/>
      <dgm:t>
        <a:bodyPr/>
        <a:lstStyle/>
        <a:p>
          <a:endParaRPr lang="es-ES"/>
        </a:p>
      </dgm:t>
    </dgm:pt>
    <dgm:pt modelId="{19AD3B2D-07C7-4AE9-9D7B-7A391E319BAE}" type="pres">
      <dgm:prSet presAssocID="{3AD49AEB-84BA-468F-9916-C3E352A960F3}" presName="spaceV" presStyleCnt="0"/>
      <dgm:spPr/>
    </dgm:pt>
    <dgm:pt modelId="{669E44B4-EBE6-41B2-8DE1-7C52D0A2332F}" type="pres">
      <dgm:prSet presAssocID="{77A2F17A-B441-494B-9854-83F335FFDD4F}" presName="pair" presStyleCnt="0"/>
      <dgm:spPr/>
    </dgm:pt>
    <dgm:pt modelId="{C83BDCF5-CC40-4E0B-9B07-B08816C16914}" type="pres">
      <dgm:prSet presAssocID="{77A2F17A-B441-494B-9854-83F335FFDD4F}" presName="spaceH" presStyleLbl="node1" presStyleIdx="0" presStyleCnt="0"/>
      <dgm:spPr/>
    </dgm:pt>
    <dgm:pt modelId="{32F42C25-330B-445A-830D-C5D94F129B4B}" type="pres">
      <dgm:prSet presAssocID="{77A2F17A-B441-494B-9854-83F335FFDD4F}" presName="desPictures" presStyleLbl="alignImgPlace1" presStyleIdx="2" presStyleCnt="5"/>
      <dgm:spPr>
        <a:blipFill>
          <a:blip xmlns:r="http://schemas.openxmlformats.org/officeDocument/2006/relationships" r:embed="rId4" cstate="print">
            <a:extLst>
              <a:ext uri="{28A0092B-C50C-407E-A947-70E740481C1C}">
                <a14:useLocalDpi xmlns:a14="http://schemas.microsoft.com/office/drawing/2010/main" val="0"/>
              </a:ext>
            </a:extLst>
          </a:blip>
          <a:srcRect/>
          <a:stretch>
            <a:fillRect l="-3000" r="-3000"/>
          </a:stretch>
        </a:blipFill>
      </dgm:spPr>
    </dgm:pt>
    <dgm:pt modelId="{0410CC97-53B5-432D-B750-5A4A9D0557AB}" type="pres">
      <dgm:prSet presAssocID="{77A2F17A-B441-494B-9854-83F335FFDD4F}" presName="desTextWrapper" presStyleCnt="0"/>
      <dgm:spPr/>
    </dgm:pt>
    <dgm:pt modelId="{09529919-281D-4D52-8E91-24B669E18C7A}" type="pres">
      <dgm:prSet presAssocID="{77A2F17A-B441-494B-9854-83F335FFDD4F}" presName="desText" presStyleLbl="revTx" presStyleIdx="2" presStyleCnt="5">
        <dgm:presLayoutVars>
          <dgm:bulletEnabled val="1"/>
        </dgm:presLayoutVars>
      </dgm:prSet>
      <dgm:spPr/>
      <dgm:t>
        <a:bodyPr/>
        <a:lstStyle/>
        <a:p>
          <a:endParaRPr lang="es-ES"/>
        </a:p>
      </dgm:t>
    </dgm:pt>
    <dgm:pt modelId="{90CD07B4-4E11-4687-A449-5419B2BA30C6}" type="pres">
      <dgm:prSet presAssocID="{A0A040E5-9251-4F07-8387-05009CFBE2C1}" presName="spaceV" presStyleCnt="0"/>
      <dgm:spPr/>
    </dgm:pt>
    <dgm:pt modelId="{7D3E0D5E-AECE-46D8-AAD0-D0B3A88A39FE}" type="pres">
      <dgm:prSet presAssocID="{0C21A90B-9231-4617-9F28-70765A508D5F}" presName="pair" presStyleCnt="0"/>
      <dgm:spPr/>
    </dgm:pt>
    <dgm:pt modelId="{E4C24231-782A-4FEB-8C27-ADBF5C4BDB50}" type="pres">
      <dgm:prSet presAssocID="{0C21A90B-9231-4617-9F28-70765A508D5F}" presName="spaceH" presStyleLbl="node1" presStyleIdx="0" presStyleCnt="0"/>
      <dgm:spPr/>
    </dgm:pt>
    <dgm:pt modelId="{65428061-464F-4B66-A753-66E3E2EF4B32}" type="pres">
      <dgm:prSet presAssocID="{0C21A90B-9231-4617-9F28-70765A508D5F}" presName="desPictures" presStyleLbl="alignImgPlace1" presStyleIdx="3" presStyleCnt="5"/>
      <dgm:spPr>
        <a:blipFill>
          <a:blip xmlns:r="http://schemas.openxmlformats.org/officeDocument/2006/relationships" r:embed="rId5" cstate="print">
            <a:extLst>
              <a:ext uri="{28A0092B-C50C-407E-A947-70E740481C1C}">
                <a14:useLocalDpi xmlns:a14="http://schemas.microsoft.com/office/drawing/2010/main" val="0"/>
              </a:ext>
            </a:extLst>
          </a:blip>
          <a:srcRect/>
          <a:stretch>
            <a:fillRect l="-3000" r="-3000"/>
          </a:stretch>
        </a:blipFill>
      </dgm:spPr>
    </dgm:pt>
    <dgm:pt modelId="{73A3E74C-10DA-4463-A756-2674EFECAED2}" type="pres">
      <dgm:prSet presAssocID="{0C21A90B-9231-4617-9F28-70765A508D5F}" presName="desTextWrapper" presStyleCnt="0"/>
      <dgm:spPr/>
    </dgm:pt>
    <dgm:pt modelId="{95A4C6DE-7E28-47DC-B9CD-7AA0AF345B2F}" type="pres">
      <dgm:prSet presAssocID="{0C21A90B-9231-4617-9F28-70765A508D5F}" presName="desText" presStyleLbl="revTx" presStyleIdx="3" presStyleCnt="5">
        <dgm:presLayoutVars>
          <dgm:bulletEnabled val="1"/>
        </dgm:presLayoutVars>
      </dgm:prSet>
      <dgm:spPr/>
      <dgm:t>
        <a:bodyPr/>
        <a:lstStyle/>
        <a:p>
          <a:endParaRPr lang="es-ES"/>
        </a:p>
      </dgm:t>
    </dgm:pt>
    <dgm:pt modelId="{1094875F-5620-4517-A0DF-D4707EB7B780}" type="pres">
      <dgm:prSet presAssocID="{82CDB04E-5C65-4F18-B479-90DD4E6FD363}" presName="spaceV" presStyleCnt="0"/>
      <dgm:spPr/>
    </dgm:pt>
    <dgm:pt modelId="{7BD5E777-F182-488C-9661-2D93616FA08F}" type="pres">
      <dgm:prSet presAssocID="{1D8D708F-5A59-48B2-9AB3-6978134DB5A2}" presName="pair" presStyleCnt="0"/>
      <dgm:spPr/>
    </dgm:pt>
    <dgm:pt modelId="{972E6C66-12C6-4C06-8EF5-7E9E7F50858E}" type="pres">
      <dgm:prSet presAssocID="{1D8D708F-5A59-48B2-9AB3-6978134DB5A2}" presName="spaceH" presStyleLbl="node1" presStyleIdx="0" presStyleCnt="0"/>
      <dgm:spPr/>
    </dgm:pt>
    <dgm:pt modelId="{553EFA95-5C5B-4D0B-8679-E775FA8E0C04}" type="pres">
      <dgm:prSet presAssocID="{1D8D708F-5A59-48B2-9AB3-6978134DB5A2}" presName="desPictures" presStyleLbl="alignImgPlace1" presStyleIdx="4" presStyleCnt="5"/>
      <dgm:spPr>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dgm:spPr>
    </dgm:pt>
    <dgm:pt modelId="{623F9D65-D993-48D5-96BB-93F5FFADDC6E}" type="pres">
      <dgm:prSet presAssocID="{1D8D708F-5A59-48B2-9AB3-6978134DB5A2}" presName="desTextWrapper" presStyleCnt="0"/>
      <dgm:spPr/>
    </dgm:pt>
    <dgm:pt modelId="{F2D2AF7D-C764-4151-9085-2FC11992FB5F}" type="pres">
      <dgm:prSet presAssocID="{1D8D708F-5A59-48B2-9AB3-6978134DB5A2}" presName="desText" presStyleLbl="revTx" presStyleIdx="4" presStyleCnt="5">
        <dgm:presLayoutVars>
          <dgm:bulletEnabled val="1"/>
        </dgm:presLayoutVars>
      </dgm:prSet>
      <dgm:spPr/>
      <dgm:t>
        <a:bodyPr/>
        <a:lstStyle/>
        <a:p>
          <a:endParaRPr lang="es-ES"/>
        </a:p>
      </dgm:t>
    </dgm:pt>
    <dgm:pt modelId="{11C896AE-A7C5-419F-93C3-F95A7CEC42F3}" type="pres">
      <dgm:prSet presAssocID="{A98CD2D0-4C08-4B0F-89CF-F49DDEED1DDF}" presName="maxNode" presStyleCnt="0"/>
      <dgm:spPr/>
    </dgm:pt>
    <dgm:pt modelId="{87756B67-D251-44D6-9941-ED2BFFAA21E4}" type="pres">
      <dgm:prSet presAssocID="{A98CD2D0-4C08-4B0F-89CF-F49DDEED1DDF}" presName="Name33" presStyleCnt="0"/>
      <dgm:spPr/>
    </dgm:pt>
  </dgm:ptLst>
  <dgm:cxnLst>
    <dgm:cxn modelId="{6515CC4B-0EC6-4982-B16F-B07C151D8EAA}" type="presOf" srcId="{1D8D708F-5A59-48B2-9AB3-6978134DB5A2}" destId="{F2D2AF7D-C764-4151-9085-2FC11992FB5F}" srcOrd="0" destOrd="0" presId="urn:microsoft.com/office/officeart/2008/layout/AccentedPicture"/>
    <dgm:cxn modelId="{F7F44821-FBC2-4702-9A40-60CF8898C205}" srcId="{A98CD2D0-4C08-4B0F-89CF-F49DDEED1DDF}" destId="{0C21A90B-9231-4617-9F28-70765A508D5F}" srcOrd="4" destOrd="0" parTransId="{106DECEA-7171-442B-865D-6D117571D866}" sibTransId="{82CDB04E-5C65-4F18-B479-90DD4E6FD363}"/>
    <dgm:cxn modelId="{2E5CF297-3095-49A5-AF6C-92E889944D08}" type="presOf" srcId="{EE068757-234D-4975-A985-EDDCFE17EAB1}" destId="{5C4042FE-2C1A-47B0-8028-5785EC49AED2}" srcOrd="0" destOrd="0" presId="urn:microsoft.com/office/officeart/2008/layout/AccentedPicture"/>
    <dgm:cxn modelId="{ECEE534D-1E66-499F-ADB8-C8145C6CCD70}" srcId="{A98CD2D0-4C08-4B0F-89CF-F49DDEED1DDF}" destId="{1D8D708F-5A59-48B2-9AB3-6978134DB5A2}" srcOrd="5" destOrd="0" parTransId="{C8B6170C-F7E2-471A-9CF7-53E90341A589}" sibTransId="{905D2AD0-72DB-451B-83FA-43F720414D74}"/>
    <dgm:cxn modelId="{D430C4A9-0BA7-4813-A309-6B9B8121EC8F}" type="presOf" srcId="{3AACCA3D-FF78-44D1-A3FD-E3B6F215FD7B}" destId="{7EFD48E9-AC0B-49EB-B12E-CABE9F9F4357}" srcOrd="0" destOrd="0" presId="urn:microsoft.com/office/officeart/2008/layout/AccentedPicture"/>
    <dgm:cxn modelId="{C16DE1C5-D51D-4C65-BF54-DB089A7AFB1C}" type="presOf" srcId="{7FD84A74-0E3E-4F41-BF49-AE40E9CF09CA}" destId="{B30AEBE6-73B4-4E1A-9280-27AD442C8CAA}" srcOrd="0" destOrd="0" presId="urn:microsoft.com/office/officeart/2008/layout/AccentedPicture"/>
    <dgm:cxn modelId="{117DB2AF-535A-4C5B-B2AE-1ED703507248}" srcId="{A98CD2D0-4C08-4B0F-89CF-F49DDEED1DDF}" destId="{77A2F17A-B441-494B-9854-83F335FFDD4F}" srcOrd="3" destOrd="0" parTransId="{0F2A56FA-1E4E-4661-A103-5581AC007AF1}" sibTransId="{A0A040E5-9251-4F07-8387-05009CFBE2C1}"/>
    <dgm:cxn modelId="{5741791B-77D0-4B87-9018-A420459C5AF8}" type="presOf" srcId="{0C21A90B-9231-4617-9F28-70765A508D5F}" destId="{95A4C6DE-7E28-47DC-B9CD-7AA0AF345B2F}" srcOrd="0" destOrd="0" presId="urn:microsoft.com/office/officeart/2008/layout/AccentedPicture"/>
    <dgm:cxn modelId="{401A0314-C7DD-4173-B3F3-BF5E9668F159}" srcId="{A98CD2D0-4C08-4B0F-89CF-F49DDEED1DDF}" destId="{617528F7-A620-481C-BC03-31A4BA154AC1}" srcOrd="2" destOrd="0" parTransId="{AF77E4E7-48B3-4A3D-B980-BD64284807A7}" sibTransId="{3AD49AEB-84BA-468F-9916-C3E352A960F3}"/>
    <dgm:cxn modelId="{E338F17D-2CB4-4C9C-8728-A73A639E4E98}" type="presOf" srcId="{A98CD2D0-4C08-4B0F-89CF-F49DDEED1DDF}" destId="{12640271-238F-4B47-879B-461DE907EFA5}" srcOrd="0" destOrd="0" presId="urn:microsoft.com/office/officeart/2008/layout/AccentedPicture"/>
    <dgm:cxn modelId="{F01C8EB2-3B33-45FF-A926-A6ECB4133988}" type="presOf" srcId="{617528F7-A620-481C-BC03-31A4BA154AC1}" destId="{649B28CA-BB8A-4D65-9260-28765495B285}" srcOrd="0" destOrd="0" presId="urn:microsoft.com/office/officeart/2008/layout/AccentedPicture"/>
    <dgm:cxn modelId="{BE60C3AA-0AB0-4894-9ADA-27C91261274E}" type="presOf" srcId="{77A2F17A-B441-494B-9854-83F335FFDD4F}" destId="{09529919-281D-4D52-8E91-24B669E18C7A}" srcOrd="0" destOrd="0" presId="urn:microsoft.com/office/officeart/2008/layout/AccentedPicture"/>
    <dgm:cxn modelId="{7E350841-9AF0-4371-9BCB-EC36CE8B8952}" srcId="{A98CD2D0-4C08-4B0F-89CF-F49DDEED1DDF}" destId="{EE068757-234D-4975-A985-EDDCFE17EAB1}" srcOrd="0" destOrd="0" parTransId="{5811CE6A-E517-4E3D-82CB-211F1BA61896}" sibTransId="{7FD84A74-0E3E-4F41-BF49-AE40E9CF09CA}"/>
    <dgm:cxn modelId="{C0E72E23-01F7-42CC-A293-97D422AABD5C}" srcId="{A98CD2D0-4C08-4B0F-89CF-F49DDEED1DDF}" destId="{3AACCA3D-FF78-44D1-A3FD-E3B6F215FD7B}" srcOrd="1" destOrd="0" parTransId="{E4CDC088-0CE3-4F11-AEAF-7DAA153AFE16}" sibTransId="{90359B8C-2E8F-41F2-9380-3D19B8C27B9C}"/>
    <dgm:cxn modelId="{FC727010-4DCF-4E58-9459-3EC8DA263A95}" type="presParOf" srcId="{12640271-238F-4B47-879B-461DE907EFA5}" destId="{B30AEBE6-73B4-4E1A-9280-27AD442C8CAA}" srcOrd="0" destOrd="0" presId="urn:microsoft.com/office/officeart/2008/layout/AccentedPicture"/>
    <dgm:cxn modelId="{EA53AC71-40D2-45CC-82D3-C6A182A9C46C}" type="presParOf" srcId="{12640271-238F-4B47-879B-461DE907EFA5}" destId="{5C4042FE-2C1A-47B0-8028-5785EC49AED2}" srcOrd="1" destOrd="0" presId="urn:microsoft.com/office/officeart/2008/layout/AccentedPicture"/>
    <dgm:cxn modelId="{244FA56F-4094-4950-97FC-2753C689AF91}" type="presParOf" srcId="{12640271-238F-4B47-879B-461DE907EFA5}" destId="{0AAF8391-7B33-4E88-8896-3020B1A55AAD}" srcOrd="2" destOrd="0" presId="urn:microsoft.com/office/officeart/2008/layout/AccentedPicture"/>
    <dgm:cxn modelId="{4E0D2852-228C-4E43-A2BB-4F7E56774B9D}" type="presParOf" srcId="{0AAF8391-7B33-4E88-8896-3020B1A55AAD}" destId="{5F0EC335-1B65-46B9-8A00-4D49365ADFA0}" srcOrd="0" destOrd="0" presId="urn:microsoft.com/office/officeart/2008/layout/AccentedPicture"/>
    <dgm:cxn modelId="{DDCBAA0C-7EC4-457C-81C7-3156252DCCCC}" type="presParOf" srcId="{5F0EC335-1B65-46B9-8A00-4D49365ADFA0}" destId="{54385185-4C68-4D8B-BFFA-76323DCD68D4}" srcOrd="0" destOrd="0" presId="urn:microsoft.com/office/officeart/2008/layout/AccentedPicture"/>
    <dgm:cxn modelId="{A4B0E9DB-BFA2-4C2E-935A-96E894250493}" type="presParOf" srcId="{5F0EC335-1B65-46B9-8A00-4D49365ADFA0}" destId="{76D9F045-9884-490A-86F7-1C1C482A6818}" srcOrd="1" destOrd="0" presId="urn:microsoft.com/office/officeart/2008/layout/AccentedPicture"/>
    <dgm:cxn modelId="{F2455436-FE26-4D8C-A5FF-6F7130CFB8C2}" type="presParOf" srcId="{5F0EC335-1B65-46B9-8A00-4D49365ADFA0}" destId="{9CADD697-9FED-41EB-834F-83E893AB2B9B}" srcOrd="2" destOrd="0" presId="urn:microsoft.com/office/officeart/2008/layout/AccentedPicture"/>
    <dgm:cxn modelId="{F01D6087-BA5B-44AA-82FA-0F6CE696A4C2}" type="presParOf" srcId="{9CADD697-9FED-41EB-834F-83E893AB2B9B}" destId="{7EFD48E9-AC0B-49EB-B12E-CABE9F9F4357}" srcOrd="0" destOrd="0" presId="urn:microsoft.com/office/officeart/2008/layout/AccentedPicture"/>
    <dgm:cxn modelId="{64C612F7-D9FF-4059-B220-836C58377856}" type="presParOf" srcId="{0AAF8391-7B33-4E88-8896-3020B1A55AAD}" destId="{1335A65F-AA65-43A6-BFED-77610DF2C203}" srcOrd="1" destOrd="0" presId="urn:microsoft.com/office/officeart/2008/layout/AccentedPicture"/>
    <dgm:cxn modelId="{1434B501-7A36-4692-8E7C-486ED8314B43}" type="presParOf" srcId="{0AAF8391-7B33-4E88-8896-3020B1A55AAD}" destId="{B9DE5EE9-78F6-427B-BFEA-6968DCFCB1A8}" srcOrd="2" destOrd="0" presId="urn:microsoft.com/office/officeart/2008/layout/AccentedPicture"/>
    <dgm:cxn modelId="{62E032D2-2A5D-4A1E-BBB8-FA3140B7C96B}" type="presParOf" srcId="{B9DE5EE9-78F6-427B-BFEA-6968DCFCB1A8}" destId="{A2AB4173-3828-4D01-B49C-435FC6E1EF26}" srcOrd="0" destOrd="0" presId="urn:microsoft.com/office/officeart/2008/layout/AccentedPicture"/>
    <dgm:cxn modelId="{7304EEAE-CCC2-4AF0-BC17-A9FAAA220926}" type="presParOf" srcId="{B9DE5EE9-78F6-427B-BFEA-6968DCFCB1A8}" destId="{8EB2B147-F7A5-448A-A919-D6DA5198596B}" srcOrd="1" destOrd="0" presId="urn:microsoft.com/office/officeart/2008/layout/AccentedPicture"/>
    <dgm:cxn modelId="{86B1042A-40C2-4A6A-BA87-E8F5339EF4A3}" type="presParOf" srcId="{B9DE5EE9-78F6-427B-BFEA-6968DCFCB1A8}" destId="{5DBFA063-8115-4FD0-A6B8-557392FDC6D2}" srcOrd="2" destOrd="0" presId="urn:microsoft.com/office/officeart/2008/layout/AccentedPicture"/>
    <dgm:cxn modelId="{3C44B83C-776C-443C-9CF8-EF42DE3668B5}" type="presParOf" srcId="{5DBFA063-8115-4FD0-A6B8-557392FDC6D2}" destId="{649B28CA-BB8A-4D65-9260-28765495B285}" srcOrd="0" destOrd="0" presId="urn:microsoft.com/office/officeart/2008/layout/AccentedPicture"/>
    <dgm:cxn modelId="{AAC204DB-4E41-425F-B0CC-70198188B56F}" type="presParOf" srcId="{0AAF8391-7B33-4E88-8896-3020B1A55AAD}" destId="{19AD3B2D-07C7-4AE9-9D7B-7A391E319BAE}" srcOrd="3" destOrd="0" presId="urn:microsoft.com/office/officeart/2008/layout/AccentedPicture"/>
    <dgm:cxn modelId="{5AD76D1B-CE75-4BB6-8FC9-AF7A9C6B5D00}" type="presParOf" srcId="{0AAF8391-7B33-4E88-8896-3020B1A55AAD}" destId="{669E44B4-EBE6-41B2-8DE1-7C52D0A2332F}" srcOrd="4" destOrd="0" presId="urn:microsoft.com/office/officeart/2008/layout/AccentedPicture"/>
    <dgm:cxn modelId="{3E0A0259-D4EF-4446-85FB-9C1B6433FD4C}" type="presParOf" srcId="{669E44B4-EBE6-41B2-8DE1-7C52D0A2332F}" destId="{C83BDCF5-CC40-4E0B-9B07-B08816C16914}" srcOrd="0" destOrd="0" presId="urn:microsoft.com/office/officeart/2008/layout/AccentedPicture"/>
    <dgm:cxn modelId="{D1BD2BEA-3ACB-43B7-8E11-2E9CC2EE0826}" type="presParOf" srcId="{669E44B4-EBE6-41B2-8DE1-7C52D0A2332F}" destId="{32F42C25-330B-445A-830D-C5D94F129B4B}" srcOrd="1" destOrd="0" presId="urn:microsoft.com/office/officeart/2008/layout/AccentedPicture"/>
    <dgm:cxn modelId="{3AF0F2E6-4EDB-4BF4-9A35-98A452B6B34F}" type="presParOf" srcId="{669E44B4-EBE6-41B2-8DE1-7C52D0A2332F}" destId="{0410CC97-53B5-432D-B750-5A4A9D0557AB}" srcOrd="2" destOrd="0" presId="urn:microsoft.com/office/officeart/2008/layout/AccentedPicture"/>
    <dgm:cxn modelId="{197C209D-9996-41B2-91BA-DF3959B738D6}" type="presParOf" srcId="{0410CC97-53B5-432D-B750-5A4A9D0557AB}" destId="{09529919-281D-4D52-8E91-24B669E18C7A}" srcOrd="0" destOrd="0" presId="urn:microsoft.com/office/officeart/2008/layout/AccentedPicture"/>
    <dgm:cxn modelId="{4C36CCE1-D244-4D49-A4FC-00F5F3FBC43F}" type="presParOf" srcId="{0AAF8391-7B33-4E88-8896-3020B1A55AAD}" destId="{90CD07B4-4E11-4687-A449-5419B2BA30C6}" srcOrd="5" destOrd="0" presId="urn:microsoft.com/office/officeart/2008/layout/AccentedPicture"/>
    <dgm:cxn modelId="{6083B1D6-42D2-463F-BF2D-A1AA224812FB}" type="presParOf" srcId="{0AAF8391-7B33-4E88-8896-3020B1A55AAD}" destId="{7D3E0D5E-AECE-46D8-AAD0-D0B3A88A39FE}" srcOrd="6" destOrd="0" presId="urn:microsoft.com/office/officeart/2008/layout/AccentedPicture"/>
    <dgm:cxn modelId="{5F9BF016-E6BA-49BF-9AB6-774767704FB6}" type="presParOf" srcId="{7D3E0D5E-AECE-46D8-AAD0-D0B3A88A39FE}" destId="{E4C24231-782A-4FEB-8C27-ADBF5C4BDB50}" srcOrd="0" destOrd="0" presId="urn:microsoft.com/office/officeart/2008/layout/AccentedPicture"/>
    <dgm:cxn modelId="{2CBC6A5E-62AA-4BC4-9B91-49FF87339401}" type="presParOf" srcId="{7D3E0D5E-AECE-46D8-AAD0-D0B3A88A39FE}" destId="{65428061-464F-4B66-A753-66E3E2EF4B32}" srcOrd="1" destOrd="0" presId="urn:microsoft.com/office/officeart/2008/layout/AccentedPicture"/>
    <dgm:cxn modelId="{9526CC7B-A613-45A5-B604-BC7C6CADE186}" type="presParOf" srcId="{7D3E0D5E-AECE-46D8-AAD0-D0B3A88A39FE}" destId="{73A3E74C-10DA-4463-A756-2674EFECAED2}" srcOrd="2" destOrd="0" presId="urn:microsoft.com/office/officeart/2008/layout/AccentedPicture"/>
    <dgm:cxn modelId="{2F5B7453-82C8-42FA-91C4-EA9C3EC78572}" type="presParOf" srcId="{73A3E74C-10DA-4463-A756-2674EFECAED2}" destId="{95A4C6DE-7E28-47DC-B9CD-7AA0AF345B2F}" srcOrd="0" destOrd="0" presId="urn:microsoft.com/office/officeart/2008/layout/AccentedPicture"/>
    <dgm:cxn modelId="{685E64A6-05C5-4E6D-A43C-B6E91462CEDA}" type="presParOf" srcId="{0AAF8391-7B33-4E88-8896-3020B1A55AAD}" destId="{1094875F-5620-4517-A0DF-D4707EB7B780}" srcOrd="7" destOrd="0" presId="urn:microsoft.com/office/officeart/2008/layout/AccentedPicture"/>
    <dgm:cxn modelId="{15C51EAE-E832-4B46-9380-1C4ED892E57E}" type="presParOf" srcId="{0AAF8391-7B33-4E88-8896-3020B1A55AAD}" destId="{7BD5E777-F182-488C-9661-2D93616FA08F}" srcOrd="8" destOrd="0" presId="urn:microsoft.com/office/officeart/2008/layout/AccentedPicture"/>
    <dgm:cxn modelId="{51722287-3635-4FF7-85AF-1351DE4D46FD}" type="presParOf" srcId="{7BD5E777-F182-488C-9661-2D93616FA08F}" destId="{972E6C66-12C6-4C06-8EF5-7E9E7F50858E}" srcOrd="0" destOrd="0" presId="urn:microsoft.com/office/officeart/2008/layout/AccentedPicture"/>
    <dgm:cxn modelId="{BE06D6C8-9F44-4ECE-A268-ED4572E70782}" type="presParOf" srcId="{7BD5E777-F182-488C-9661-2D93616FA08F}" destId="{553EFA95-5C5B-4D0B-8679-E775FA8E0C04}" srcOrd="1" destOrd="0" presId="urn:microsoft.com/office/officeart/2008/layout/AccentedPicture"/>
    <dgm:cxn modelId="{B05EAEE6-A974-41BF-8F42-AFACCDB0C20A}" type="presParOf" srcId="{7BD5E777-F182-488C-9661-2D93616FA08F}" destId="{623F9D65-D993-48D5-96BB-93F5FFADDC6E}" srcOrd="2" destOrd="0" presId="urn:microsoft.com/office/officeart/2008/layout/AccentedPicture"/>
    <dgm:cxn modelId="{2BF20C44-D4CD-48E6-9005-CDB96323F667}" type="presParOf" srcId="{623F9D65-D993-48D5-96BB-93F5FFADDC6E}" destId="{F2D2AF7D-C764-4151-9085-2FC11992FB5F}" srcOrd="0" destOrd="0" presId="urn:microsoft.com/office/officeart/2008/layout/AccentedPicture"/>
    <dgm:cxn modelId="{2F81654E-64E9-4F2E-A739-ED7D12FA0A59}" type="presParOf" srcId="{12640271-238F-4B47-879B-461DE907EFA5}" destId="{11C896AE-A7C5-419F-93C3-F95A7CEC42F3}" srcOrd="3" destOrd="0" presId="urn:microsoft.com/office/officeart/2008/layout/AccentedPicture"/>
    <dgm:cxn modelId="{34F3D067-B0E7-457D-8C91-4651AF1D209C}" type="presParOf" srcId="{11C896AE-A7C5-419F-93C3-F95A7CEC42F3}" destId="{87756B67-D251-44D6-9941-ED2BFFAA21E4}" srcOrd="0" destOrd="0" presId="urn:microsoft.com/office/officeart/2008/layout/AccentedPicture"/>
  </dgm:cxnLst>
  <dgm:bg/>
  <dgm:whole/>
  <dgm:extLst>
    <a:ext uri="http://schemas.microsoft.com/office/drawing/2008/diagram">
      <dsp:dataModelExt xmlns:dsp="http://schemas.microsoft.com/office/drawing/2008/diagram" relId="rId12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0D41E9F7-5118-439D-A1E9-E9461C217292}" type="doc">
      <dgm:prSet loTypeId="urn:microsoft.com/office/officeart/2008/layout/AccentedPicture" loCatId="picture" qsTypeId="urn:microsoft.com/office/officeart/2005/8/quickstyle/simple1" qsCatId="simple" csTypeId="urn:microsoft.com/office/officeart/2005/8/colors/accent1_2" csCatId="accent1" phldr="1"/>
      <dgm:spPr/>
      <dgm:t>
        <a:bodyPr/>
        <a:lstStyle/>
        <a:p>
          <a:endParaRPr lang="es-CO"/>
        </a:p>
      </dgm:t>
    </dgm:pt>
    <dgm:pt modelId="{A80196FC-390D-4317-A41B-CB1BE7ED438C}">
      <dgm:prSet phldrT="[Texto]" custT="1"/>
      <dgm:spPr/>
      <dgm:t>
        <a:bodyPr/>
        <a:lstStyle/>
        <a:p>
          <a:pPr algn="ctr"/>
          <a:endParaRPr lang="es-CO" sz="1100" b="1">
            <a:solidFill>
              <a:sysClr val="windowText" lastClr="000000"/>
            </a:solidFill>
            <a:latin typeface="Arial" panose="020B0604020202020204" pitchFamily="34" charset="0"/>
            <a:cs typeface="Arial" panose="020B0604020202020204" pitchFamily="34" charset="0"/>
          </a:endParaRPr>
        </a:p>
      </dgm:t>
    </dgm:pt>
    <dgm:pt modelId="{8FAFD44C-501D-4EFF-8FDB-A389D38DEE5B}" type="parTrans" cxnId="{6A281611-3B5B-478B-BB67-A3A639963E71}">
      <dgm:prSet/>
      <dgm:spPr/>
      <dgm:t>
        <a:bodyPr/>
        <a:lstStyle/>
        <a:p>
          <a:pPr algn="ctr"/>
          <a:endParaRPr lang="es-CO" sz="900"/>
        </a:p>
      </dgm:t>
    </dgm:pt>
    <dgm:pt modelId="{B3F09C50-6B80-41FB-BE82-ECF3CE96E76C}" type="sibTrans" cxnId="{6A281611-3B5B-478B-BB67-A3A639963E71}">
      <dgm:prSet/>
      <dgm:spPr>
        <a:blipFill>
          <a:blip xmlns:r="http://schemas.openxmlformats.org/officeDocument/2006/relationships" r:embed="rId1"/>
          <a:srcRect/>
          <a:stretch>
            <a:fillRect l="-46000" r="-46000"/>
          </a:stretch>
        </a:blipFill>
      </dgm:spPr>
      <dgm:t>
        <a:bodyPr/>
        <a:lstStyle/>
        <a:p>
          <a:pPr algn="ctr"/>
          <a:endParaRPr lang="es-CO" sz="900"/>
        </a:p>
      </dgm:t>
      <dgm:extLst>
        <a:ext uri="{E40237B7-FDA0-4F09-8148-C483321AD2D9}">
          <dgm14:cNvPr xmlns:dgm14="http://schemas.microsoft.com/office/drawing/2010/diagram" id="0" name="" descr="Dos colegas planificando en un tablero con notas adhesivas"/>
        </a:ext>
      </dgm:extLst>
    </dgm:pt>
    <dgm:pt modelId="{BBC6A64C-1C64-4471-8500-389E4E867DBC}">
      <dgm:prSet phldrT="[Texto]" custT="1"/>
      <dgm:spPr/>
      <dgm:t>
        <a:bodyPr/>
        <a:lstStyle/>
        <a:p>
          <a:pPr algn="ctr"/>
          <a:r>
            <a:rPr lang="es-CO" sz="900">
              <a:latin typeface="Arial" panose="020B0604020202020204" pitchFamily="34" charset="0"/>
              <a:cs typeface="Arial" panose="020B0604020202020204" pitchFamily="34" charset="0"/>
            </a:rPr>
            <a:t>En pro de la modernizacion y optimizacion de los recursos del Instituto, el 14 de diciembre del 2020 se realizó cambio de Sistema de Gestión Documental pasando de CORDIS a SIGAC.</a:t>
          </a:r>
        </a:p>
      </dgm:t>
    </dgm:pt>
    <dgm:pt modelId="{77F5F230-F3B3-4673-BD28-546F7865AD80}" type="parTrans" cxnId="{976EAA26-1FF9-4939-9162-C294591FC930}">
      <dgm:prSet/>
      <dgm:spPr/>
      <dgm:t>
        <a:bodyPr/>
        <a:lstStyle/>
        <a:p>
          <a:pPr algn="ctr"/>
          <a:endParaRPr lang="es-CO" sz="900"/>
        </a:p>
      </dgm:t>
    </dgm:pt>
    <dgm:pt modelId="{C7539500-02FC-4745-A8C7-A17EE0B54168}" type="sibTrans" cxnId="{976EAA26-1FF9-4939-9162-C294591FC930}">
      <dgm:prSet/>
      <dgm:spPr/>
      <dgm:t>
        <a:bodyPr/>
        <a:lstStyle/>
        <a:p>
          <a:pPr algn="ctr"/>
          <a:endParaRPr lang="es-CO" sz="900"/>
        </a:p>
      </dgm:t>
    </dgm:pt>
    <dgm:pt modelId="{EECEF114-9C38-4243-B741-6D3E25A666AB}">
      <dgm:prSet phldrT="[Texto]" custT="1"/>
      <dgm:spPr/>
      <dgm:t>
        <a:bodyPr/>
        <a:lstStyle/>
        <a:p>
          <a:pPr algn="ctr"/>
          <a:r>
            <a:rPr lang="es-ES" sz="900">
              <a:latin typeface="Arial" panose="020B0604020202020204" pitchFamily="34" charset="0"/>
              <a:cs typeface="Arial" panose="020B0604020202020204" pitchFamily="34" charset="0"/>
            </a:rPr>
            <a:t>Diagnóstico con la identificación por parte de las dependencias y direcciones territoriales de los casos y sus características para su posterior clasificación y cierre.</a:t>
          </a:r>
          <a:endParaRPr lang="es-CO" sz="900">
            <a:solidFill>
              <a:sysClr val="windowText" lastClr="000000"/>
            </a:solidFill>
            <a:latin typeface="Arial" panose="020B0604020202020204" pitchFamily="34" charset="0"/>
            <a:cs typeface="Arial" panose="020B0604020202020204" pitchFamily="34" charset="0"/>
          </a:endParaRPr>
        </a:p>
      </dgm:t>
    </dgm:pt>
    <dgm:pt modelId="{4A337432-04C0-47E1-8205-E8ED02DC8064}" type="sibTrans" cxnId="{19747771-1232-448A-AC65-AE64148D6CEE}">
      <dgm:prSet/>
      <dgm:spPr/>
      <dgm:t>
        <a:bodyPr/>
        <a:lstStyle/>
        <a:p>
          <a:pPr algn="ctr"/>
          <a:endParaRPr lang="es-CO" sz="900"/>
        </a:p>
      </dgm:t>
    </dgm:pt>
    <dgm:pt modelId="{F8C1F38D-0F48-4B63-9B51-6AB170965475}" type="parTrans" cxnId="{19747771-1232-448A-AC65-AE64148D6CEE}">
      <dgm:prSet/>
      <dgm:spPr/>
      <dgm:t>
        <a:bodyPr/>
        <a:lstStyle/>
        <a:p>
          <a:pPr algn="ctr"/>
          <a:endParaRPr lang="es-CO" sz="900"/>
        </a:p>
      </dgm:t>
    </dgm:pt>
    <dgm:pt modelId="{BF25BAE5-87A1-4989-A419-E6F0CF4F7A67}">
      <dgm:prSet phldrT="[Texto]" custT="1"/>
      <dgm:spPr/>
      <dgm:t>
        <a:bodyPr/>
        <a:lstStyle/>
        <a:p>
          <a:pPr algn="ctr"/>
          <a:r>
            <a:rPr lang="es-ES" sz="900">
              <a:latin typeface="Arial" panose="020B0604020202020204" pitchFamily="34" charset="0"/>
              <a:cs typeface="Arial" panose="020B0604020202020204" pitchFamily="34" charset="0"/>
            </a:rPr>
            <a:t>Seguimiento por parte de la Oficina de Relación con el Ciudadano a cada una de las dependencias y direcciones territoriales para la finalización correcta de las PQRSD en el sistema de correspondencia CORDIS.</a:t>
          </a:r>
          <a:endParaRPr lang="es-CO" sz="900">
            <a:solidFill>
              <a:sysClr val="windowText" lastClr="000000"/>
            </a:solidFill>
            <a:latin typeface="Arial" panose="020B0604020202020204" pitchFamily="34" charset="0"/>
            <a:cs typeface="Arial" panose="020B0604020202020204" pitchFamily="34" charset="0"/>
          </a:endParaRPr>
        </a:p>
      </dgm:t>
    </dgm:pt>
    <dgm:pt modelId="{9673E438-1D19-4A32-8636-161740662C15}" type="parTrans" cxnId="{88B67344-A84E-46EB-BB6F-BEFDB3C02B05}">
      <dgm:prSet/>
      <dgm:spPr/>
      <dgm:t>
        <a:bodyPr/>
        <a:lstStyle/>
        <a:p>
          <a:pPr algn="ctr"/>
          <a:endParaRPr lang="es-CO" sz="900"/>
        </a:p>
      </dgm:t>
    </dgm:pt>
    <dgm:pt modelId="{5B27E783-8F7A-48FA-A0FC-716B6F168EAC}" type="sibTrans" cxnId="{88B67344-A84E-46EB-BB6F-BEFDB3C02B05}">
      <dgm:prSet/>
      <dgm:spPr/>
      <dgm:t>
        <a:bodyPr/>
        <a:lstStyle/>
        <a:p>
          <a:pPr algn="ctr"/>
          <a:endParaRPr lang="es-CO" sz="900"/>
        </a:p>
      </dgm:t>
    </dgm:pt>
    <dgm:pt modelId="{8D62FD1B-4AC8-4C25-9DBA-54919C273ED3}">
      <dgm:prSet phldrT="[Texto]" custT="1"/>
      <dgm:spPr/>
      <dgm:t>
        <a:bodyPr/>
        <a:lstStyle/>
        <a:p>
          <a:pPr algn="ctr"/>
          <a:r>
            <a:rPr lang="es-ES" sz="900" dirty="0">
              <a:latin typeface="Arial" panose="020B0604020202020204" pitchFamily="34" charset="0"/>
              <a:cs typeface="Arial" panose="020B0604020202020204" pitchFamily="34" charset="0"/>
            </a:rPr>
            <a:t>Disminución de 46% de los radicados pendientes de vigencias anteriores.</a:t>
          </a:r>
          <a:endParaRPr lang="es-CO" sz="900">
            <a:solidFill>
              <a:sysClr val="windowText" lastClr="000000"/>
            </a:solidFill>
            <a:latin typeface="Arial" panose="020B0604020202020204" pitchFamily="34" charset="0"/>
            <a:cs typeface="Arial" panose="020B0604020202020204" pitchFamily="34" charset="0"/>
          </a:endParaRPr>
        </a:p>
      </dgm:t>
    </dgm:pt>
    <dgm:pt modelId="{23F41744-EE8E-4254-984B-C52239C3B04B}" type="parTrans" cxnId="{963F3AEC-DFA6-449B-96AE-309715034E15}">
      <dgm:prSet/>
      <dgm:spPr/>
      <dgm:t>
        <a:bodyPr/>
        <a:lstStyle/>
        <a:p>
          <a:pPr algn="ctr"/>
          <a:endParaRPr lang="es-CO" sz="900"/>
        </a:p>
      </dgm:t>
    </dgm:pt>
    <dgm:pt modelId="{196BEBBA-C31B-4818-8CA8-741768B4954A}" type="sibTrans" cxnId="{963F3AEC-DFA6-449B-96AE-309715034E15}">
      <dgm:prSet/>
      <dgm:spPr/>
      <dgm:t>
        <a:bodyPr/>
        <a:lstStyle/>
        <a:p>
          <a:pPr algn="ctr"/>
          <a:endParaRPr lang="es-CO" sz="900"/>
        </a:p>
      </dgm:t>
    </dgm:pt>
    <dgm:pt modelId="{78A03BB9-FB6D-43F4-9838-54ECD18DDA59}" type="pres">
      <dgm:prSet presAssocID="{0D41E9F7-5118-439D-A1E9-E9461C217292}" presName="Name0" presStyleCnt="0">
        <dgm:presLayoutVars>
          <dgm:dir/>
        </dgm:presLayoutVars>
      </dgm:prSet>
      <dgm:spPr/>
      <dgm:t>
        <a:bodyPr/>
        <a:lstStyle/>
        <a:p>
          <a:endParaRPr lang="es-ES"/>
        </a:p>
      </dgm:t>
    </dgm:pt>
    <dgm:pt modelId="{51DCB9C0-1484-43AE-9E70-8A939326A393}" type="pres">
      <dgm:prSet presAssocID="{B3F09C50-6B80-41FB-BE82-ECF3CE96E76C}" presName="picture_1" presStyleLbl="bgImgPlace1" presStyleIdx="0" presStyleCnt="1"/>
      <dgm:spPr/>
      <dgm:t>
        <a:bodyPr/>
        <a:lstStyle/>
        <a:p>
          <a:endParaRPr lang="es-ES"/>
        </a:p>
      </dgm:t>
    </dgm:pt>
    <dgm:pt modelId="{10014821-A96C-4143-808D-C0B99CB3E7AA}" type="pres">
      <dgm:prSet presAssocID="{A80196FC-390D-4317-A41B-CB1BE7ED438C}" presName="text_1" presStyleLbl="node1" presStyleIdx="0" presStyleCnt="0" custScaleX="108824" custScaleY="34679" custLinFactY="-100000" custLinFactNeighborX="3458" custLinFactNeighborY="-128158">
        <dgm:presLayoutVars>
          <dgm:bulletEnabled val="1"/>
        </dgm:presLayoutVars>
      </dgm:prSet>
      <dgm:spPr/>
      <dgm:t>
        <a:bodyPr/>
        <a:lstStyle/>
        <a:p>
          <a:endParaRPr lang="es-ES"/>
        </a:p>
      </dgm:t>
    </dgm:pt>
    <dgm:pt modelId="{6BC6A6A1-FB49-4925-A76C-968CC5B0BC36}" type="pres">
      <dgm:prSet presAssocID="{0D41E9F7-5118-439D-A1E9-E9461C217292}" presName="linV" presStyleCnt="0"/>
      <dgm:spPr/>
    </dgm:pt>
    <dgm:pt modelId="{8D520FD3-639E-4D2C-B823-BFA7D45B06AA}" type="pres">
      <dgm:prSet presAssocID="{BBC6A64C-1C64-4471-8500-389E4E867DBC}" presName="pair" presStyleCnt="0"/>
      <dgm:spPr/>
    </dgm:pt>
    <dgm:pt modelId="{E10E98B7-A947-4D66-AF98-08A69CCF1FC8}" type="pres">
      <dgm:prSet presAssocID="{BBC6A64C-1C64-4471-8500-389E4E867DBC}" presName="spaceH" presStyleLbl="node1" presStyleIdx="0" presStyleCnt="0"/>
      <dgm:spPr/>
    </dgm:pt>
    <dgm:pt modelId="{49201C55-7017-4B48-B1DB-2C3BD5B46865}" type="pres">
      <dgm:prSet presAssocID="{BBC6A64C-1C64-4471-8500-389E4E867DBC}" presName="desPictures" presStyleLbl="alignImgPlace1" presStyleIdx="0" presStyleCnt="4"/>
      <dgm:spPr>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dgm:spPr>
    </dgm:pt>
    <dgm:pt modelId="{CD58E1F2-3206-4907-9DA4-6236B0653517}" type="pres">
      <dgm:prSet presAssocID="{BBC6A64C-1C64-4471-8500-389E4E867DBC}" presName="desTextWrapper" presStyleCnt="0"/>
      <dgm:spPr/>
    </dgm:pt>
    <dgm:pt modelId="{CEC8F6F9-48BE-4613-AF54-5B71694A07FB}" type="pres">
      <dgm:prSet presAssocID="{BBC6A64C-1C64-4471-8500-389E4E867DBC}" presName="desText" presStyleLbl="revTx" presStyleIdx="0" presStyleCnt="4" custScaleY="75351" custLinFactNeighborY="25701">
        <dgm:presLayoutVars>
          <dgm:bulletEnabled val="1"/>
        </dgm:presLayoutVars>
      </dgm:prSet>
      <dgm:spPr/>
      <dgm:t>
        <a:bodyPr/>
        <a:lstStyle/>
        <a:p>
          <a:endParaRPr lang="es-ES"/>
        </a:p>
      </dgm:t>
    </dgm:pt>
    <dgm:pt modelId="{5A1E0A6D-5AE0-41AC-9142-4FBC44B8E88D}" type="pres">
      <dgm:prSet presAssocID="{C7539500-02FC-4745-A8C7-A17EE0B54168}" presName="spaceV" presStyleCnt="0"/>
      <dgm:spPr/>
    </dgm:pt>
    <dgm:pt modelId="{F80B82DC-C55C-4C24-A768-83EAB4A661E8}" type="pres">
      <dgm:prSet presAssocID="{EECEF114-9C38-4243-B741-6D3E25A666AB}" presName="pair" presStyleCnt="0"/>
      <dgm:spPr/>
    </dgm:pt>
    <dgm:pt modelId="{3C8F809F-4D9D-4EFD-A40C-E5A5D15E8286}" type="pres">
      <dgm:prSet presAssocID="{EECEF114-9C38-4243-B741-6D3E25A666AB}" presName="spaceH" presStyleLbl="node1" presStyleIdx="0" presStyleCnt="0"/>
      <dgm:spPr/>
    </dgm:pt>
    <dgm:pt modelId="{E80D1EF2-B218-44B0-BBF4-BB0B5C5D919B}" type="pres">
      <dgm:prSet presAssocID="{EECEF114-9C38-4243-B741-6D3E25A666AB}" presName="desPictures" presStyleLbl="alignImgPlace1" presStyleIdx="1" presStyleCnt="4"/>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pt>
    <dgm:pt modelId="{21A181F1-84EC-4F47-AA76-18FBCA6B95AE}" type="pres">
      <dgm:prSet presAssocID="{EECEF114-9C38-4243-B741-6D3E25A666AB}" presName="desTextWrapper" presStyleCnt="0"/>
      <dgm:spPr/>
    </dgm:pt>
    <dgm:pt modelId="{E54BE5FF-81BA-4FD5-9D24-75AFDA8A3F3A}" type="pres">
      <dgm:prSet presAssocID="{EECEF114-9C38-4243-B741-6D3E25A666AB}" presName="desText" presStyleLbl="revTx" presStyleIdx="1" presStyleCnt="4" custLinFactNeighborY="18768">
        <dgm:presLayoutVars>
          <dgm:bulletEnabled val="1"/>
        </dgm:presLayoutVars>
      </dgm:prSet>
      <dgm:spPr/>
      <dgm:t>
        <a:bodyPr/>
        <a:lstStyle/>
        <a:p>
          <a:endParaRPr lang="es-ES"/>
        </a:p>
      </dgm:t>
    </dgm:pt>
    <dgm:pt modelId="{4F574651-CDA7-46E0-B267-E28119D79C11}" type="pres">
      <dgm:prSet presAssocID="{4A337432-04C0-47E1-8205-E8ED02DC8064}" presName="spaceV" presStyleCnt="0"/>
      <dgm:spPr/>
    </dgm:pt>
    <dgm:pt modelId="{F5C01FB3-4674-4A88-A65B-9583AB02FB87}" type="pres">
      <dgm:prSet presAssocID="{BF25BAE5-87A1-4989-A419-E6F0CF4F7A67}" presName="pair" presStyleCnt="0"/>
      <dgm:spPr/>
    </dgm:pt>
    <dgm:pt modelId="{C515215E-A7CE-4832-A771-B22C0618949B}" type="pres">
      <dgm:prSet presAssocID="{BF25BAE5-87A1-4989-A419-E6F0CF4F7A67}" presName="spaceH" presStyleLbl="node1" presStyleIdx="0" presStyleCnt="0"/>
      <dgm:spPr/>
    </dgm:pt>
    <dgm:pt modelId="{15FD1CAE-9FD7-4B36-B3E2-91AB6B8CCFFE}" type="pres">
      <dgm:prSet presAssocID="{BF25BAE5-87A1-4989-A419-E6F0CF4F7A67}" presName="desPictures" presStyleLbl="alignImgPlace1" presStyleIdx="2" presStyleCnt="4"/>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pt>
    <dgm:pt modelId="{438AB849-C4E6-4921-B8B0-4264BCF6AC04}" type="pres">
      <dgm:prSet presAssocID="{BF25BAE5-87A1-4989-A419-E6F0CF4F7A67}" presName="desTextWrapper" presStyleCnt="0"/>
      <dgm:spPr/>
    </dgm:pt>
    <dgm:pt modelId="{3A063FF4-EE3A-4831-A114-BBDB1C9877AC}" type="pres">
      <dgm:prSet presAssocID="{BF25BAE5-87A1-4989-A419-E6F0CF4F7A67}" presName="desText" presStyleLbl="revTx" presStyleIdx="2" presStyleCnt="4" custLinFactNeighborY="1353">
        <dgm:presLayoutVars>
          <dgm:bulletEnabled val="1"/>
        </dgm:presLayoutVars>
      </dgm:prSet>
      <dgm:spPr/>
      <dgm:t>
        <a:bodyPr/>
        <a:lstStyle/>
        <a:p>
          <a:endParaRPr lang="es-ES"/>
        </a:p>
      </dgm:t>
    </dgm:pt>
    <dgm:pt modelId="{44C99377-82E6-4F40-8165-B741AB083494}" type="pres">
      <dgm:prSet presAssocID="{5B27E783-8F7A-48FA-A0FC-716B6F168EAC}" presName="spaceV" presStyleCnt="0"/>
      <dgm:spPr/>
    </dgm:pt>
    <dgm:pt modelId="{D2561714-39F6-4970-AFDC-49C63A4054E7}" type="pres">
      <dgm:prSet presAssocID="{8D62FD1B-4AC8-4C25-9DBA-54919C273ED3}" presName="pair" presStyleCnt="0"/>
      <dgm:spPr/>
    </dgm:pt>
    <dgm:pt modelId="{BC37BC32-7844-4AC4-AE37-1C22903450CD}" type="pres">
      <dgm:prSet presAssocID="{8D62FD1B-4AC8-4C25-9DBA-54919C273ED3}" presName="spaceH" presStyleLbl="node1" presStyleIdx="0" presStyleCnt="0"/>
      <dgm:spPr/>
    </dgm:pt>
    <dgm:pt modelId="{EE7D058E-6A5D-478E-B4CF-75B0677FED0F}" type="pres">
      <dgm:prSet presAssocID="{8D62FD1B-4AC8-4C25-9DBA-54919C273ED3}" presName="desPictures" presStyleLbl="alignImgPlace1" presStyleIdx="3" presStyleCnt="4"/>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pt>
    <dgm:pt modelId="{7EF292CF-C704-4F4A-9A13-DA21B91E3F3F}" type="pres">
      <dgm:prSet presAssocID="{8D62FD1B-4AC8-4C25-9DBA-54919C273ED3}" presName="desTextWrapper" presStyleCnt="0"/>
      <dgm:spPr/>
    </dgm:pt>
    <dgm:pt modelId="{6D6B813A-B62E-44B8-A3B5-CEDF0A903E69}" type="pres">
      <dgm:prSet presAssocID="{8D62FD1B-4AC8-4C25-9DBA-54919C273ED3}" presName="desText" presStyleLbl="revTx" presStyleIdx="3" presStyleCnt="4" custLinFactNeighborY="1353">
        <dgm:presLayoutVars>
          <dgm:bulletEnabled val="1"/>
        </dgm:presLayoutVars>
      </dgm:prSet>
      <dgm:spPr/>
      <dgm:t>
        <a:bodyPr/>
        <a:lstStyle/>
        <a:p>
          <a:endParaRPr lang="es-ES"/>
        </a:p>
      </dgm:t>
    </dgm:pt>
    <dgm:pt modelId="{EAACA6FC-CB18-479E-9D02-E177868EAF0F}" type="pres">
      <dgm:prSet presAssocID="{0D41E9F7-5118-439D-A1E9-E9461C217292}" presName="maxNode" presStyleCnt="0"/>
      <dgm:spPr/>
    </dgm:pt>
    <dgm:pt modelId="{A4251701-9425-4113-9A8D-B0FA14B82D60}" type="pres">
      <dgm:prSet presAssocID="{0D41E9F7-5118-439D-A1E9-E9461C217292}" presName="Name33" presStyleCnt="0"/>
      <dgm:spPr/>
    </dgm:pt>
  </dgm:ptLst>
  <dgm:cxnLst>
    <dgm:cxn modelId="{D307D4ED-7494-4106-A24F-48BE4A6A0C20}" type="presOf" srcId="{BF25BAE5-87A1-4989-A419-E6F0CF4F7A67}" destId="{3A063FF4-EE3A-4831-A114-BBDB1C9877AC}" srcOrd="0" destOrd="0" presId="urn:microsoft.com/office/officeart/2008/layout/AccentedPicture"/>
    <dgm:cxn modelId="{976EAA26-1FF9-4939-9162-C294591FC930}" srcId="{0D41E9F7-5118-439D-A1E9-E9461C217292}" destId="{BBC6A64C-1C64-4471-8500-389E4E867DBC}" srcOrd="1" destOrd="0" parTransId="{77F5F230-F3B3-4673-BD28-546F7865AD80}" sibTransId="{C7539500-02FC-4745-A8C7-A17EE0B54168}"/>
    <dgm:cxn modelId="{59E32FCD-5C5A-40D2-A8B4-9E8ADB9FCE99}" type="presOf" srcId="{A80196FC-390D-4317-A41B-CB1BE7ED438C}" destId="{10014821-A96C-4143-808D-C0B99CB3E7AA}" srcOrd="0" destOrd="0" presId="urn:microsoft.com/office/officeart/2008/layout/AccentedPicture"/>
    <dgm:cxn modelId="{88A8CF95-8743-4AA6-B3B9-0ABE1228D1A2}" type="presOf" srcId="{BBC6A64C-1C64-4471-8500-389E4E867DBC}" destId="{CEC8F6F9-48BE-4613-AF54-5B71694A07FB}" srcOrd="0" destOrd="0" presId="urn:microsoft.com/office/officeart/2008/layout/AccentedPicture"/>
    <dgm:cxn modelId="{19747771-1232-448A-AC65-AE64148D6CEE}" srcId="{0D41E9F7-5118-439D-A1E9-E9461C217292}" destId="{EECEF114-9C38-4243-B741-6D3E25A666AB}" srcOrd="2" destOrd="0" parTransId="{F8C1F38D-0F48-4B63-9B51-6AB170965475}" sibTransId="{4A337432-04C0-47E1-8205-E8ED02DC8064}"/>
    <dgm:cxn modelId="{6A281611-3B5B-478B-BB67-A3A639963E71}" srcId="{0D41E9F7-5118-439D-A1E9-E9461C217292}" destId="{A80196FC-390D-4317-A41B-CB1BE7ED438C}" srcOrd="0" destOrd="0" parTransId="{8FAFD44C-501D-4EFF-8FDB-A389D38DEE5B}" sibTransId="{B3F09C50-6B80-41FB-BE82-ECF3CE96E76C}"/>
    <dgm:cxn modelId="{FD62A7B2-CF21-4F63-BB45-D11AEC436183}" type="presOf" srcId="{EECEF114-9C38-4243-B741-6D3E25A666AB}" destId="{E54BE5FF-81BA-4FD5-9D24-75AFDA8A3F3A}" srcOrd="0" destOrd="0" presId="urn:microsoft.com/office/officeart/2008/layout/AccentedPicture"/>
    <dgm:cxn modelId="{CCC1FBB5-462D-41B4-96FA-8AFC9ADACDE2}" type="presOf" srcId="{8D62FD1B-4AC8-4C25-9DBA-54919C273ED3}" destId="{6D6B813A-B62E-44B8-A3B5-CEDF0A903E69}" srcOrd="0" destOrd="0" presId="urn:microsoft.com/office/officeart/2008/layout/AccentedPicture"/>
    <dgm:cxn modelId="{103CDAE0-9A74-4808-80B1-E4321C04E344}" type="presOf" srcId="{0D41E9F7-5118-439D-A1E9-E9461C217292}" destId="{78A03BB9-FB6D-43F4-9838-54ECD18DDA59}" srcOrd="0" destOrd="0" presId="urn:microsoft.com/office/officeart/2008/layout/AccentedPicture"/>
    <dgm:cxn modelId="{963F3AEC-DFA6-449B-96AE-309715034E15}" srcId="{0D41E9F7-5118-439D-A1E9-E9461C217292}" destId="{8D62FD1B-4AC8-4C25-9DBA-54919C273ED3}" srcOrd="4" destOrd="0" parTransId="{23F41744-EE8E-4254-984B-C52239C3B04B}" sibTransId="{196BEBBA-C31B-4818-8CA8-741768B4954A}"/>
    <dgm:cxn modelId="{88B67344-A84E-46EB-BB6F-BEFDB3C02B05}" srcId="{0D41E9F7-5118-439D-A1E9-E9461C217292}" destId="{BF25BAE5-87A1-4989-A419-E6F0CF4F7A67}" srcOrd="3" destOrd="0" parTransId="{9673E438-1D19-4A32-8636-161740662C15}" sibTransId="{5B27E783-8F7A-48FA-A0FC-716B6F168EAC}"/>
    <dgm:cxn modelId="{2D36DC69-9D24-49C4-A23E-4E794A7B647E}" type="presOf" srcId="{B3F09C50-6B80-41FB-BE82-ECF3CE96E76C}" destId="{51DCB9C0-1484-43AE-9E70-8A939326A393}" srcOrd="0" destOrd="0" presId="urn:microsoft.com/office/officeart/2008/layout/AccentedPicture"/>
    <dgm:cxn modelId="{EBBB8D41-D20C-4DF1-A39D-5F6ACE58CE69}" type="presParOf" srcId="{78A03BB9-FB6D-43F4-9838-54ECD18DDA59}" destId="{51DCB9C0-1484-43AE-9E70-8A939326A393}" srcOrd="0" destOrd="0" presId="urn:microsoft.com/office/officeart/2008/layout/AccentedPicture"/>
    <dgm:cxn modelId="{24E60621-93B5-49D7-8906-1F9AF82E7768}" type="presParOf" srcId="{78A03BB9-FB6D-43F4-9838-54ECD18DDA59}" destId="{10014821-A96C-4143-808D-C0B99CB3E7AA}" srcOrd="1" destOrd="0" presId="urn:microsoft.com/office/officeart/2008/layout/AccentedPicture"/>
    <dgm:cxn modelId="{770C9CB2-0792-47BC-8F74-25223BAC1FDE}" type="presParOf" srcId="{78A03BB9-FB6D-43F4-9838-54ECD18DDA59}" destId="{6BC6A6A1-FB49-4925-A76C-968CC5B0BC36}" srcOrd="2" destOrd="0" presId="urn:microsoft.com/office/officeart/2008/layout/AccentedPicture"/>
    <dgm:cxn modelId="{3F4E79E9-EBBD-4317-8893-CF9FBB4CC8B2}" type="presParOf" srcId="{6BC6A6A1-FB49-4925-A76C-968CC5B0BC36}" destId="{8D520FD3-639E-4D2C-B823-BFA7D45B06AA}" srcOrd="0" destOrd="0" presId="urn:microsoft.com/office/officeart/2008/layout/AccentedPicture"/>
    <dgm:cxn modelId="{E70D7CF9-6E28-43C7-AF77-672B7171CDE2}" type="presParOf" srcId="{8D520FD3-639E-4D2C-B823-BFA7D45B06AA}" destId="{E10E98B7-A947-4D66-AF98-08A69CCF1FC8}" srcOrd="0" destOrd="0" presId="urn:microsoft.com/office/officeart/2008/layout/AccentedPicture"/>
    <dgm:cxn modelId="{E5A14239-7099-4E84-B635-1804AA3BAA08}" type="presParOf" srcId="{8D520FD3-639E-4D2C-B823-BFA7D45B06AA}" destId="{49201C55-7017-4B48-B1DB-2C3BD5B46865}" srcOrd="1" destOrd="0" presId="urn:microsoft.com/office/officeart/2008/layout/AccentedPicture"/>
    <dgm:cxn modelId="{560E6508-5C56-4705-B882-D4301A903893}" type="presParOf" srcId="{8D520FD3-639E-4D2C-B823-BFA7D45B06AA}" destId="{CD58E1F2-3206-4907-9DA4-6236B0653517}" srcOrd="2" destOrd="0" presId="urn:microsoft.com/office/officeart/2008/layout/AccentedPicture"/>
    <dgm:cxn modelId="{44F67D6F-A79C-458A-9EBF-D3CED6DC6D86}" type="presParOf" srcId="{CD58E1F2-3206-4907-9DA4-6236B0653517}" destId="{CEC8F6F9-48BE-4613-AF54-5B71694A07FB}" srcOrd="0" destOrd="0" presId="urn:microsoft.com/office/officeart/2008/layout/AccentedPicture"/>
    <dgm:cxn modelId="{C6744FA7-B2A0-4F26-866A-74D9B349F792}" type="presParOf" srcId="{6BC6A6A1-FB49-4925-A76C-968CC5B0BC36}" destId="{5A1E0A6D-5AE0-41AC-9142-4FBC44B8E88D}" srcOrd="1" destOrd="0" presId="urn:microsoft.com/office/officeart/2008/layout/AccentedPicture"/>
    <dgm:cxn modelId="{1599DB32-738C-4EC3-A02F-A3A8964759F4}" type="presParOf" srcId="{6BC6A6A1-FB49-4925-A76C-968CC5B0BC36}" destId="{F80B82DC-C55C-4C24-A768-83EAB4A661E8}" srcOrd="2" destOrd="0" presId="urn:microsoft.com/office/officeart/2008/layout/AccentedPicture"/>
    <dgm:cxn modelId="{206C4E6E-7C81-4C16-8021-338DBEA3051F}" type="presParOf" srcId="{F80B82DC-C55C-4C24-A768-83EAB4A661E8}" destId="{3C8F809F-4D9D-4EFD-A40C-E5A5D15E8286}" srcOrd="0" destOrd="0" presId="urn:microsoft.com/office/officeart/2008/layout/AccentedPicture"/>
    <dgm:cxn modelId="{FA5E201A-037E-48B8-85C1-71E7EC854D41}" type="presParOf" srcId="{F80B82DC-C55C-4C24-A768-83EAB4A661E8}" destId="{E80D1EF2-B218-44B0-BBF4-BB0B5C5D919B}" srcOrd="1" destOrd="0" presId="urn:microsoft.com/office/officeart/2008/layout/AccentedPicture"/>
    <dgm:cxn modelId="{D5254DAA-54D5-4EDA-88AD-EB764766063E}" type="presParOf" srcId="{F80B82DC-C55C-4C24-A768-83EAB4A661E8}" destId="{21A181F1-84EC-4F47-AA76-18FBCA6B95AE}" srcOrd="2" destOrd="0" presId="urn:microsoft.com/office/officeart/2008/layout/AccentedPicture"/>
    <dgm:cxn modelId="{8DE3CC4E-E721-4FA9-8217-321E1D288831}" type="presParOf" srcId="{21A181F1-84EC-4F47-AA76-18FBCA6B95AE}" destId="{E54BE5FF-81BA-4FD5-9D24-75AFDA8A3F3A}" srcOrd="0" destOrd="0" presId="urn:microsoft.com/office/officeart/2008/layout/AccentedPicture"/>
    <dgm:cxn modelId="{4133A7B4-3ACB-41E8-A39E-09AC2639DFCA}" type="presParOf" srcId="{6BC6A6A1-FB49-4925-A76C-968CC5B0BC36}" destId="{4F574651-CDA7-46E0-B267-E28119D79C11}" srcOrd="3" destOrd="0" presId="urn:microsoft.com/office/officeart/2008/layout/AccentedPicture"/>
    <dgm:cxn modelId="{D69C73E0-EB4F-45DB-98E8-9574A85FA38C}" type="presParOf" srcId="{6BC6A6A1-FB49-4925-A76C-968CC5B0BC36}" destId="{F5C01FB3-4674-4A88-A65B-9583AB02FB87}" srcOrd="4" destOrd="0" presId="urn:microsoft.com/office/officeart/2008/layout/AccentedPicture"/>
    <dgm:cxn modelId="{3DC7C29B-2138-4306-87F5-A39D24E317F9}" type="presParOf" srcId="{F5C01FB3-4674-4A88-A65B-9583AB02FB87}" destId="{C515215E-A7CE-4832-A771-B22C0618949B}" srcOrd="0" destOrd="0" presId="urn:microsoft.com/office/officeart/2008/layout/AccentedPicture"/>
    <dgm:cxn modelId="{E85C88EE-A1CC-43A2-9CB5-5E7F9BA7A592}" type="presParOf" srcId="{F5C01FB3-4674-4A88-A65B-9583AB02FB87}" destId="{15FD1CAE-9FD7-4B36-B3E2-91AB6B8CCFFE}" srcOrd="1" destOrd="0" presId="urn:microsoft.com/office/officeart/2008/layout/AccentedPicture"/>
    <dgm:cxn modelId="{777FC386-5F08-4523-BD86-F704A045D95A}" type="presParOf" srcId="{F5C01FB3-4674-4A88-A65B-9583AB02FB87}" destId="{438AB849-C4E6-4921-B8B0-4264BCF6AC04}" srcOrd="2" destOrd="0" presId="urn:microsoft.com/office/officeart/2008/layout/AccentedPicture"/>
    <dgm:cxn modelId="{F6089862-8002-4371-8FAA-5830BA34020B}" type="presParOf" srcId="{438AB849-C4E6-4921-B8B0-4264BCF6AC04}" destId="{3A063FF4-EE3A-4831-A114-BBDB1C9877AC}" srcOrd="0" destOrd="0" presId="urn:microsoft.com/office/officeart/2008/layout/AccentedPicture"/>
    <dgm:cxn modelId="{F98CDB31-40B6-4136-9221-505123D1EAF1}" type="presParOf" srcId="{6BC6A6A1-FB49-4925-A76C-968CC5B0BC36}" destId="{44C99377-82E6-4F40-8165-B741AB083494}" srcOrd="5" destOrd="0" presId="urn:microsoft.com/office/officeart/2008/layout/AccentedPicture"/>
    <dgm:cxn modelId="{153E67CE-AED5-437E-AA5F-1917F1AC6289}" type="presParOf" srcId="{6BC6A6A1-FB49-4925-A76C-968CC5B0BC36}" destId="{D2561714-39F6-4970-AFDC-49C63A4054E7}" srcOrd="6" destOrd="0" presId="urn:microsoft.com/office/officeart/2008/layout/AccentedPicture"/>
    <dgm:cxn modelId="{D4CAC15C-EA06-4C31-A462-5E5AB8D45C5C}" type="presParOf" srcId="{D2561714-39F6-4970-AFDC-49C63A4054E7}" destId="{BC37BC32-7844-4AC4-AE37-1C22903450CD}" srcOrd="0" destOrd="0" presId="urn:microsoft.com/office/officeart/2008/layout/AccentedPicture"/>
    <dgm:cxn modelId="{FF1D64FC-2884-4C69-8E42-510B77AA51F9}" type="presParOf" srcId="{D2561714-39F6-4970-AFDC-49C63A4054E7}" destId="{EE7D058E-6A5D-478E-B4CF-75B0677FED0F}" srcOrd="1" destOrd="0" presId="urn:microsoft.com/office/officeart/2008/layout/AccentedPicture"/>
    <dgm:cxn modelId="{ECCA343B-D593-48EC-9797-3BB41841E132}" type="presParOf" srcId="{D2561714-39F6-4970-AFDC-49C63A4054E7}" destId="{7EF292CF-C704-4F4A-9A13-DA21B91E3F3F}" srcOrd="2" destOrd="0" presId="urn:microsoft.com/office/officeart/2008/layout/AccentedPicture"/>
    <dgm:cxn modelId="{1925ABE2-7FAE-482B-AE14-EE09829F13AC}" type="presParOf" srcId="{7EF292CF-C704-4F4A-9A13-DA21B91E3F3F}" destId="{6D6B813A-B62E-44B8-A3B5-CEDF0A903E69}" srcOrd="0" destOrd="0" presId="urn:microsoft.com/office/officeart/2008/layout/AccentedPicture"/>
    <dgm:cxn modelId="{7C2E0360-7E3F-47F0-B0B6-802090557224}" type="presParOf" srcId="{78A03BB9-FB6D-43F4-9838-54ECD18DDA59}" destId="{EAACA6FC-CB18-479E-9D02-E177868EAF0F}" srcOrd="3" destOrd="0" presId="urn:microsoft.com/office/officeart/2008/layout/AccentedPicture"/>
    <dgm:cxn modelId="{70921028-D541-4FE2-B217-C8E68203359D}" type="presParOf" srcId="{EAACA6FC-CB18-479E-9D02-E177868EAF0F}" destId="{A4251701-9425-4113-9A8D-B0FA14B82D60}" srcOrd="0" destOrd="0" presId="urn:microsoft.com/office/officeart/2008/layout/AccentedPicture"/>
  </dgm:cxnLst>
  <dgm:bg/>
  <dgm:whole/>
  <dgm:extLst>
    <a:ext uri="http://schemas.microsoft.com/office/drawing/2008/diagram">
      <dsp:dataModelExt xmlns:dsp="http://schemas.microsoft.com/office/drawing/2008/diagram" relId="rId132"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D41E9F7-5118-439D-A1E9-E9461C217292}" type="doc">
      <dgm:prSet loTypeId="urn:microsoft.com/office/officeart/2008/layout/AccentedPicture" loCatId="picture" qsTypeId="urn:microsoft.com/office/officeart/2005/8/quickstyle/simple1" qsCatId="simple" csTypeId="urn:microsoft.com/office/officeart/2005/8/colors/accent1_2" csCatId="accent1" phldr="1"/>
      <dgm:spPr/>
      <dgm:t>
        <a:bodyPr/>
        <a:lstStyle/>
        <a:p>
          <a:endParaRPr lang="es-CO"/>
        </a:p>
      </dgm:t>
    </dgm:pt>
    <dgm:pt modelId="{BBC6A64C-1C64-4471-8500-389E4E867DBC}">
      <dgm:prSet phldrT="[Texto]" custT="1"/>
      <dgm:spPr/>
      <dgm:t>
        <a:bodyPr/>
        <a:lstStyle/>
        <a:p>
          <a:pPr algn="ctr"/>
          <a:r>
            <a:rPr lang="es-MX" sz="900" dirty="0">
              <a:solidFill>
                <a:sysClr val="windowText" lastClr="000000"/>
              </a:solidFill>
              <a:latin typeface="Arial" panose="020B0604020202020204" pitchFamily="34" charset="0"/>
              <a:cs typeface="Arial" panose="020B0604020202020204" pitchFamily="34" charset="0"/>
            </a:rPr>
            <a:t>Fortalecimiento </a:t>
          </a:r>
          <a:r>
            <a:rPr kumimoji="0" lang="es-MX" sz="900" b="0" i="0" u="none" strike="noStrike" cap="none" spc="0" normalizeH="0" baseline="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del</a:t>
          </a:r>
          <a:r>
            <a:rPr kumimoji="0" lang="es-MX" sz="900" b="0" i="0" u="none" strike="noStrike" cap="none" spc="0" normalizeH="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 proceso de Participación y </a:t>
          </a:r>
          <a:r>
            <a:rPr lang="es-MX" sz="900" dirty="0">
              <a:solidFill>
                <a:sysClr val="windowText" lastClr="000000"/>
              </a:solidFill>
              <a:latin typeface="Arial" panose="020B0604020202020204" pitchFamily="34" charset="0"/>
              <a:cs typeface="Arial" panose="020B0604020202020204" pitchFamily="34" charset="0"/>
            </a:rPr>
            <a:t>Rendición </a:t>
          </a:r>
          <a:r>
            <a:rPr kumimoji="0" lang="es-MX" sz="900" b="0" i="0" u="none" strike="noStrike" cap="none" spc="0" normalizeH="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de Cuentas mediante la creación de la primera versión de los procedimientos en diciembre 2019. </a:t>
          </a:r>
          <a:r>
            <a:rPr kumimoji="0" lang="es-MX" sz="900" b="0" i="0" u="none" strike="noStrike" cap="none" spc="0" normalizeH="0" noProof="0" dirty="0">
              <a:ln>
                <a:noFill/>
              </a:ln>
              <a:solidFill>
                <a:schemeClr val="bg1"/>
              </a:solidFill>
              <a:effectLst/>
              <a:uLnTx/>
              <a:uFillTx/>
              <a:latin typeface="Arial" panose="020B0604020202020204" pitchFamily="34" charset="0"/>
              <a:ea typeface="+mn-ea"/>
              <a:cs typeface="Arial" panose="020B0604020202020204" pitchFamily="34" charset="0"/>
            </a:rPr>
            <a:t>.  </a:t>
          </a:r>
          <a:endParaRPr lang="es-CO" sz="900">
            <a:latin typeface="Arial" panose="020B0604020202020204" pitchFamily="34" charset="0"/>
            <a:cs typeface="Arial" panose="020B0604020202020204" pitchFamily="34" charset="0"/>
          </a:endParaRPr>
        </a:p>
      </dgm:t>
    </dgm:pt>
    <dgm:pt modelId="{77F5F230-F3B3-4673-BD28-546F7865AD80}" type="parTrans" cxnId="{976EAA26-1FF9-4939-9162-C294591FC930}">
      <dgm:prSet/>
      <dgm:spPr/>
      <dgm:t>
        <a:bodyPr/>
        <a:lstStyle/>
        <a:p>
          <a:pPr algn="ctr"/>
          <a:endParaRPr lang="es-CO" sz="900"/>
        </a:p>
      </dgm:t>
    </dgm:pt>
    <dgm:pt modelId="{C7539500-02FC-4745-A8C7-A17EE0B54168}" type="sibTrans" cxnId="{976EAA26-1FF9-4939-9162-C294591FC930}">
      <dgm:prSet/>
      <dgm:spPr/>
      <dgm:t>
        <a:bodyPr/>
        <a:lstStyle/>
        <a:p>
          <a:pPr algn="ctr"/>
          <a:endParaRPr lang="es-CO" sz="900"/>
        </a:p>
      </dgm:t>
    </dgm:pt>
    <dgm:pt modelId="{F94200C5-D4B5-4D45-83AB-F73850CD7F1D}">
      <dgm:prSet phldrT="[Texto]" custT="1"/>
      <dgm:spPr/>
      <dgm:t>
        <a:bodyPr/>
        <a:lstStyle/>
        <a:p>
          <a:pPr algn="ctr"/>
          <a:r>
            <a:rPr lang="es-MX" sz="900" dirty="0">
              <a:solidFill>
                <a:sysClr val="windowText" lastClr="000000"/>
              </a:solidFill>
              <a:latin typeface="Arial" panose="020B0604020202020204" pitchFamily="34" charset="0"/>
              <a:cs typeface="Arial" panose="020B0604020202020204" pitchFamily="34" charset="0"/>
            </a:rPr>
            <a:t>En el 2020, se obtuvo el tercer puesto en la categoría Entidades del Orden Nacional - Rama Ejecutiva con la iniciativa “Tecnología para la cercanía comunicacional ante el distanciamiento social”.</a:t>
          </a:r>
          <a:endParaRPr lang="es-CO" sz="900">
            <a:solidFill>
              <a:sysClr val="windowText" lastClr="000000"/>
            </a:solidFill>
            <a:latin typeface="Arial" panose="020B0604020202020204" pitchFamily="34" charset="0"/>
            <a:cs typeface="Arial" panose="020B0604020202020204" pitchFamily="34" charset="0"/>
          </a:endParaRPr>
        </a:p>
      </dgm:t>
    </dgm:pt>
    <dgm:pt modelId="{DFC26845-C51F-43CC-86F9-CC1206CFE2CE}" type="parTrans" cxnId="{AF3043EC-EAEE-4775-9BA9-E47456A9C089}">
      <dgm:prSet/>
      <dgm:spPr/>
      <dgm:t>
        <a:bodyPr/>
        <a:lstStyle/>
        <a:p>
          <a:pPr algn="ctr"/>
          <a:endParaRPr lang="es-CO" sz="900"/>
        </a:p>
      </dgm:t>
    </dgm:pt>
    <dgm:pt modelId="{3939B755-F4C4-432B-A021-E9121A5ACB15}" type="sibTrans" cxnId="{AF3043EC-EAEE-4775-9BA9-E47456A9C089}">
      <dgm:prSet/>
      <dgm:spPr/>
      <dgm:t>
        <a:bodyPr/>
        <a:lstStyle/>
        <a:p>
          <a:pPr algn="ctr"/>
          <a:endParaRPr lang="es-CO" sz="900"/>
        </a:p>
      </dgm:t>
    </dgm:pt>
    <dgm:pt modelId="{EECEF114-9C38-4243-B741-6D3E25A666AB}">
      <dgm:prSet phldrT="[Texto]" custT="1"/>
      <dgm:spPr/>
      <dgm:t>
        <a:bodyPr/>
        <a:lstStyle/>
        <a:p>
          <a:pPr algn="ctr"/>
          <a:r>
            <a:rPr lang="es-MX" sz="900" dirty="0">
              <a:solidFill>
                <a:sysClr val="windowText" lastClr="000000"/>
              </a:solidFill>
              <a:latin typeface="Arial" panose="020B0604020202020204" pitchFamily="34" charset="0"/>
              <a:cs typeface="Arial" panose="020B0604020202020204" pitchFamily="34" charset="0"/>
            </a:rPr>
            <a:t>Para el 2020 la entidad se clasificó en el Nivel de consolidación de acuerdo al Autodiagnóstico de Rendición de cuentas y se creó para el 2021 el  Equipo Líder de Participación Ciudadana y Rendición de Cuentas, conformado por un grupo de profesionales de áreas interdisciplinarias, de las diferentes dependencias de la entidad. </a:t>
          </a:r>
          <a:endParaRPr lang="es-CO" sz="900">
            <a:solidFill>
              <a:sysClr val="windowText" lastClr="000000"/>
            </a:solidFill>
            <a:latin typeface="Arial" panose="020B0604020202020204" pitchFamily="34" charset="0"/>
            <a:cs typeface="Arial" panose="020B0604020202020204" pitchFamily="34" charset="0"/>
          </a:endParaRPr>
        </a:p>
      </dgm:t>
    </dgm:pt>
    <dgm:pt modelId="{F8C1F38D-0F48-4B63-9B51-6AB170965475}" type="parTrans" cxnId="{19747771-1232-448A-AC65-AE64148D6CEE}">
      <dgm:prSet/>
      <dgm:spPr/>
      <dgm:t>
        <a:bodyPr/>
        <a:lstStyle/>
        <a:p>
          <a:pPr algn="ctr"/>
          <a:endParaRPr lang="es-CO" sz="900"/>
        </a:p>
      </dgm:t>
    </dgm:pt>
    <dgm:pt modelId="{4A337432-04C0-47E1-8205-E8ED02DC8064}" type="sibTrans" cxnId="{19747771-1232-448A-AC65-AE64148D6CEE}">
      <dgm:prSet/>
      <dgm:spPr/>
      <dgm:t>
        <a:bodyPr/>
        <a:lstStyle/>
        <a:p>
          <a:pPr algn="ctr"/>
          <a:endParaRPr lang="es-CO" sz="900"/>
        </a:p>
      </dgm:t>
    </dgm:pt>
    <dgm:pt modelId="{639E01A5-EBDD-4424-8C39-15A796C16597}">
      <dgm:prSet phldrT="[Texto]" custT="1"/>
      <dgm:spPr/>
      <dgm:t>
        <a:bodyPr/>
        <a:lstStyle/>
        <a:p>
          <a:pPr algn="ctr"/>
          <a:r>
            <a:rPr lang="es-CO" sz="900" dirty="0">
              <a:solidFill>
                <a:sysClr val="windowText" lastClr="000000"/>
              </a:solidFill>
              <a:latin typeface="Arial" panose="020B0604020202020204" pitchFamily="34" charset="0"/>
              <a:cs typeface="Arial" panose="020B0604020202020204" pitchFamily="34" charset="0"/>
            </a:rPr>
            <a:t>Se socializó a la ciudadanía, grupos de valor, e interés en la página web del Instituto videos con contenido informativo sobre participación ciudadana y  rendición de cuentas</a:t>
          </a:r>
          <a:r>
            <a:rPr lang="es-MX" sz="900" dirty="0">
              <a:solidFill>
                <a:sysClr val="windowText" lastClr="000000"/>
              </a:solidFill>
              <a:latin typeface="Arial" panose="020B0604020202020204" pitchFamily="34" charset="0"/>
              <a:cs typeface="Arial" panose="020B0604020202020204" pitchFamily="34" charset="0"/>
            </a:rPr>
            <a:t>, incluyendo traducción en lengua de señas.</a:t>
          </a:r>
          <a:endParaRPr lang="es-CO" sz="900">
            <a:solidFill>
              <a:sysClr val="windowText" lastClr="000000"/>
            </a:solidFill>
            <a:latin typeface="Arial" panose="020B0604020202020204" pitchFamily="34" charset="0"/>
            <a:cs typeface="Arial" panose="020B0604020202020204" pitchFamily="34" charset="0"/>
          </a:endParaRPr>
        </a:p>
      </dgm:t>
    </dgm:pt>
    <dgm:pt modelId="{B7C4A0F5-423F-483C-9370-9D976931E13A}" type="parTrans" cxnId="{52262749-18B8-4200-94CB-463C5AF5D3E0}">
      <dgm:prSet/>
      <dgm:spPr/>
      <dgm:t>
        <a:bodyPr/>
        <a:lstStyle/>
        <a:p>
          <a:pPr algn="ctr"/>
          <a:endParaRPr lang="es-CO" sz="900"/>
        </a:p>
      </dgm:t>
    </dgm:pt>
    <dgm:pt modelId="{9B74345A-3D43-4604-8F5B-E4CB00A330A4}" type="sibTrans" cxnId="{52262749-18B8-4200-94CB-463C5AF5D3E0}">
      <dgm:prSet/>
      <dgm:spPr/>
      <dgm:t>
        <a:bodyPr/>
        <a:lstStyle/>
        <a:p>
          <a:pPr algn="ctr"/>
          <a:endParaRPr lang="es-CO" sz="900"/>
        </a:p>
      </dgm:t>
    </dgm:pt>
    <dgm:pt modelId="{A80196FC-390D-4317-A41B-CB1BE7ED438C}">
      <dgm:prSet phldrT="[Texto]" custT="1"/>
      <dgm:spPr/>
      <dgm:t>
        <a:bodyPr/>
        <a:lstStyle/>
        <a:p>
          <a:pPr algn="ctr"/>
          <a:endParaRPr lang="es-CO" sz="900" b="1">
            <a:solidFill>
              <a:sysClr val="windowText" lastClr="000000"/>
            </a:solidFill>
            <a:latin typeface="Arial" panose="020B0604020202020204" pitchFamily="34" charset="0"/>
            <a:cs typeface="Arial" panose="020B0604020202020204" pitchFamily="34" charset="0"/>
          </a:endParaRPr>
        </a:p>
      </dgm:t>
    </dgm:pt>
    <dgm:pt modelId="{B3F09C50-6B80-41FB-BE82-ECF3CE96E76C}" type="sibTrans" cxnId="{6A281611-3B5B-478B-BB67-A3A639963E71}">
      <dgm:prSet/>
      <dgm:spPr>
        <a:blipFill>
          <a:blip xmlns:r="http://schemas.openxmlformats.org/officeDocument/2006/relationships" r:embed="rId1">
            <a:extLst>
              <a:ext uri="{28A0092B-C50C-407E-A947-70E740481C1C}">
                <a14:useLocalDpi xmlns:a14="http://schemas.microsoft.com/office/drawing/2010/main" val="0"/>
              </a:ext>
            </a:extLst>
          </a:blip>
          <a:srcRect/>
          <a:stretch>
            <a:fillRect l="-34000" r="-34000"/>
          </a:stretch>
        </a:blipFill>
      </dgm:spPr>
      <dgm:t>
        <a:bodyPr/>
        <a:lstStyle/>
        <a:p>
          <a:pPr algn="ctr"/>
          <a:endParaRPr lang="es-CO" sz="900"/>
        </a:p>
      </dgm:t>
    </dgm:pt>
    <dgm:pt modelId="{8FAFD44C-501D-4EFF-8FDB-A389D38DEE5B}" type="parTrans" cxnId="{6A281611-3B5B-478B-BB67-A3A639963E71}">
      <dgm:prSet/>
      <dgm:spPr/>
      <dgm:t>
        <a:bodyPr/>
        <a:lstStyle/>
        <a:p>
          <a:pPr algn="ctr"/>
          <a:endParaRPr lang="es-CO" sz="900"/>
        </a:p>
      </dgm:t>
    </dgm:pt>
    <dgm:pt modelId="{78A03BB9-FB6D-43F4-9838-54ECD18DDA59}" type="pres">
      <dgm:prSet presAssocID="{0D41E9F7-5118-439D-A1E9-E9461C217292}" presName="Name0" presStyleCnt="0">
        <dgm:presLayoutVars>
          <dgm:dir/>
        </dgm:presLayoutVars>
      </dgm:prSet>
      <dgm:spPr/>
      <dgm:t>
        <a:bodyPr/>
        <a:lstStyle/>
        <a:p>
          <a:endParaRPr lang="es-ES"/>
        </a:p>
      </dgm:t>
    </dgm:pt>
    <dgm:pt modelId="{51DCB9C0-1484-43AE-9E70-8A939326A393}" type="pres">
      <dgm:prSet presAssocID="{B3F09C50-6B80-41FB-BE82-ECF3CE96E76C}" presName="picture_1" presStyleLbl="bgImgPlace1" presStyleIdx="0" presStyleCnt="1"/>
      <dgm:spPr/>
      <dgm:t>
        <a:bodyPr/>
        <a:lstStyle/>
        <a:p>
          <a:endParaRPr lang="es-ES"/>
        </a:p>
      </dgm:t>
    </dgm:pt>
    <dgm:pt modelId="{10014821-A96C-4143-808D-C0B99CB3E7AA}" type="pres">
      <dgm:prSet presAssocID="{A80196FC-390D-4317-A41B-CB1BE7ED438C}" presName="text_1" presStyleLbl="node1" presStyleIdx="0" presStyleCnt="0" custScaleX="109927" custScaleY="46233" custLinFactNeighborX="6288" custLinFactNeighborY="-82531">
        <dgm:presLayoutVars>
          <dgm:bulletEnabled val="1"/>
        </dgm:presLayoutVars>
      </dgm:prSet>
      <dgm:spPr/>
      <dgm:t>
        <a:bodyPr/>
        <a:lstStyle/>
        <a:p>
          <a:endParaRPr lang="es-ES"/>
        </a:p>
      </dgm:t>
    </dgm:pt>
    <dgm:pt modelId="{6BC6A6A1-FB49-4925-A76C-968CC5B0BC36}" type="pres">
      <dgm:prSet presAssocID="{0D41E9F7-5118-439D-A1E9-E9461C217292}" presName="linV" presStyleCnt="0"/>
      <dgm:spPr/>
    </dgm:pt>
    <dgm:pt modelId="{8D520FD3-639E-4D2C-B823-BFA7D45B06AA}" type="pres">
      <dgm:prSet presAssocID="{BBC6A64C-1C64-4471-8500-389E4E867DBC}" presName="pair" presStyleCnt="0"/>
      <dgm:spPr/>
    </dgm:pt>
    <dgm:pt modelId="{E10E98B7-A947-4D66-AF98-08A69CCF1FC8}" type="pres">
      <dgm:prSet presAssocID="{BBC6A64C-1C64-4471-8500-389E4E867DBC}" presName="spaceH" presStyleLbl="node1" presStyleIdx="0" presStyleCnt="0"/>
      <dgm:spPr/>
    </dgm:pt>
    <dgm:pt modelId="{49201C55-7017-4B48-B1DB-2C3BD5B46865}" type="pres">
      <dgm:prSet presAssocID="{BBC6A64C-1C64-4471-8500-389E4E867DBC}" presName="desPictures" presStyleLbl="alignImgPlace1" presStyleIdx="0" presStyleCnt="4"/>
      <dgm:spPr>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dgm:spPr>
    </dgm:pt>
    <dgm:pt modelId="{CD58E1F2-3206-4907-9DA4-6236B0653517}" type="pres">
      <dgm:prSet presAssocID="{BBC6A64C-1C64-4471-8500-389E4E867DBC}" presName="desTextWrapper" presStyleCnt="0"/>
      <dgm:spPr/>
    </dgm:pt>
    <dgm:pt modelId="{CEC8F6F9-48BE-4613-AF54-5B71694A07FB}" type="pres">
      <dgm:prSet presAssocID="{BBC6A64C-1C64-4471-8500-389E4E867DBC}" presName="desText" presStyleLbl="revTx" presStyleIdx="0" presStyleCnt="4">
        <dgm:presLayoutVars>
          <dgm:bulletEnabled val="1"/>
        </dgm:presLayoutVars>
      </dgm:prSet>
      <dgm:spPr/>
      <dgm:t>
        <a:bodyPr/>
        <a:lstStyle/>
        <a:p>
          <a:endParaRPr lang="es-ES"/>
        </a:p>
      </dgm:t>
    </dgm:pt>
    <dgm:pt modelId="{5A1E0A6D-5AE0-41AC-9142-4FBC44B8E88D}" type="pres">
      <dgm:prSet presAssocID="{C7539500-02FC-4745-A8C7-A17EE0B54168}" presName="spaceV" presStyleCnt="0"/>
      <dgm:spPr/>
    </dgm:pt>
    <dgm:pt modelId="{3506D1C4-BA5D-446D-83E5-41274AE4405C}" type="pres">
      <dgm:prSet presAssocID="{F94200C5-D4B5-4D45-83AB-F73850CD7F1D}" presName="pair" presStyleCnt="0"/>
      <dgm:spPr/>
    </dgm:pt>
    <dgm:pt modelId="{E7D3125E-41D1-4A8A-B51B-ED41D345E7BB}" type="pres">
      <dgm:prSet presAssocID="{F94200C5-D4B5-4D45-83AB-F73850CD7F1D}" presName="spaceH" presStyleLbl="node1" presStyleIdx="0" presStyleCnt="0"/>
      <dgm:spPr/>
    </dgm:pt>
    <dgm:pt modelId="{8CFCEBF1-7EC7-4178-829C-CC8E01507098}" type="pres">
      <dgm:prSet presAssocID="{F94200C5-D4B5-4D45-83AB-F73850CD7F1D}" presName="desPictures" presStyleLbl="alignImgPlace1" presStyleIdx="1" presStyleCnt="4"/>
      <dgm:spPr>
        <a:blipFill>
          <a:blip xmlns:r="http://schemas.openxmlformats.org/officeDocument/2006/relationships" r:embed="rId3" cstate="print">
            <a:extLst>
              <a:ext uri="{28A0092B-C50C-407E-A947-70E740481C1C}">
                <a14:useLocalDpi xmlns:a14="http://schemas.microsoft.com/office/drawing/2010/main" val="0"/>
              </a:ext>
            </a:extLst>
          </a:blip>
          <a:srcRect/>
          <a:stretch>
            <a:fillRect l="-3000" r="-3000"/>
          </a:stretch>
        </a:blipFill>
      </dgm:spPr>
    </dgm:pt>
    <dgm:pt modelId="{7D6318E6-626C-4B96-A2F4-21B0F1C4C6A8}" type="pres">
      <dgm:prSet presAssocID="{F94200C5-D4B5-4D45-83AB-F73850CD7F1D}" presName="desTextWrapper" presStyleCnt="0"/>
      <dgm:spPr/>
    </dgm:pt>
    <dgm:pt modelId="{38559F25-FD05-4577-95E8-DB4785837A6B}" type="pres">
      <dgm:prSet presAssocID="{F94200C5-D4B5-4D45-83AB-F73850CD7F1D}" presName="desText" presStyleLbl="revTx" presStyleIdx="1" presStyleCnt="4">
        <dgm:presLayoutVars>
          <dgm:bulletEnabled val="1"/>
        </dgm:presLayoutVars>
      </dgm:prSet>
      <dgm:spPr/>
      <dgm:t>
        <a:bodyPr/>
        <a:lstStyle/>
        <a:p>
          <a:endParaRPr lang="es-ES"/>
        </a:p>
      </dgm:t>
    </dgm:pt>
    <dgm:pt modelId="{45DDCE1F-9539-43DD-A1CD-F82E4A5F1319}" type="pres">
      <dgm:prSet presAssocID="{3939B755-F4C4-432B-A021-E9121A5ACB15}" presName="spaceV" presStyleCnt="0"/>
      <dgm:spPr/>
    </dgm:pt>
    <dgm:pt modelId="{F80B82DC-C55C-4C24-A768-83EAB4A661E8}" type="pres">
      <dgm:prSet presAssocID="{EECEF114-9C38-4243-B741-6D3E25A666AB}" presName="pair" presStyleCnt="0"/>
      <dgm:spPr/>
    </dgm:pt>
    <dgm:pt modelId="{3C8F809F-4D9D-4EFD-A40C-E5A5D15E8286}" type="pres">
      <dgm:prSet presAssocID="{EECEF114-9C38-4243-B741-6D3E25A666AB}" presName="spaceH" presStyleLbl="node1" presStyleIdx="0" presStyleCnt="0"/>
      <dgm:spPr/>
    </dgm:pt>
    <dgm:pt modelId="{E80D1EF2-B218-44B0-BBF4-BB0B5C5D919B}" type="pres">
      <dgm:prSet presAssocID="{EECEF114-9C38-4243-B741-6D3E25A666AB}" presName="desPictures" presStyleLbl="alignImgPlace1" presStyleIdx="2" presStyleCnt="4"/>
      <dgm:spPr>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dgm:spPr>
      <dgm:t>
        <a:bodyPr/>
        <a:lstStyle/>
        <a:p>
          <a:endParaRPr lang="es-ES"/>
        </a:p>
      </dgm:t>
    </dgm:pt>
    <dgm:pt modelId="{21A181F1-84EC-4F47-AA76-18FBCA6B95AE}" type="pres">
      <dgm:prSet presAssocID="{EECEF114-9C38-4243-B741-6D3E25A666AB}" presName="desTextWrapper" presStyleCnt="0"/>
      <dgm:spPr/>
    </dgm:pt>
    <dgm:pt modelId="{E54BE5FF-81BA-4FD5-9D24-75AFDA8A3F3A}" type="pres">
      <dgm:prSet presAssocID="{EECEF114-9C38-4243-B741-6D3E25A666AB}" presName="desText" presStyleLbl="revTx" presStyleIdx="2" presStyleCnt="4">
        <dgm:presLayoutVars>
          <dgm:bulletEnabled val="1"/>
        </dgm:presLayoutVars>
      </dgm:prSet>
      <dgm:spPr/>
      <dgm:t>
        <a:bodyPr/>
        <a:lstStyle/>
        <a:p>
          <a:endParaRPr lang="es-ES"/>
        </a:p>
      </dgm:t>
    </dgm:pt>
    <dgm:pt modelId="{E2571573-60FE-4C71-900F-CB6A97F3477A}" type="pres">
      <dgm:prSet presAssocID="{4A337432-04C0-47E1-8205-E8ED02DC8064}" presName="spaceV" presStyleCnt="0"/>
      <dgm:spPr/>
    </dgm:pt>
    <dgm:pt modelId="{C09EC7AF-312F-49E3-AEEE-BEA660B23CCB}" type="pres">
      <dgm:prSet presAssocID="{639E01A5-EBDD-4424-8C39-15A796C16597}" presName="pair" presStyleCnt="0"/>
      <dgm:spPr/>
    </dgm:pt>
    <dgm:pt modelId="{D070AFB2-1F98-4936-AC87-C9E2C6CC1F30}" type="pres">
      <dgm:prSet presAssocID="{639E01A5-EBDD-4424-8C39-15A796C16597}" presName="spaceH" presStyleLbl="node1" presStyleIdx="0" presStyleCnt="0"/>
      <dgm:spPr/>
    </dgm:pt>
    <dgm:pt modelId="{96C9896C-F40F-452B-AFB1-0D5549B367F6}" type="pres">
      <dgm:prSet presAssocID="{639E01A5-EBDD-4424-8C39-15A796C16597}" presName="desPictures" presStyleLbl="alignImgPlace1" presStyleIdx="3" presStyleCnt="4"/>
      <dgm:spPr>
        <a:blipFill>
          <a:blip xmlns:r="http://schemas.openxmlformats.org/officeDocument/2006/relationships" r:embed="rId5" cstate="print">
            <a:extLst>
              <a:ext uri="{28A0092B-C50C-407E-A947-70E740481C1C}">
                <a14:useLocalDpi xmlns:a14="http://schemas.microsoft.com/office/drawing/2010/main" val="0"/>
              </a:ext>
            </a:extLst>
          </a:blip>
          <a:srcRect/>
          <a:stretch>
            <a:fillRect l="-3000" r="-3000"/>
          </a:stretch>
        </a:blipFill>
      </dgm:spPr>
    </dgm:pt>
    <dgm:pt modelId="{9F5BECB6-53AC-4D16-B66D-D00A70FCE540}" type="pres">
      <dgm:prSet presAssocID="{639E01A5-EBDD-4424-8C39-15A796C16597}" presName="desTextWrapper" presStyleCnt="0"/>
      <dgm:spPr/>
    </dgm:pt>
    <dgm:pt modelId="{01D2270C-1932-4696-AFD9-A47295DE69DE}" type="pres">
      <dgm:prSet presAssocID="{639E01A5-EBDD-4424-8C39-15A796C16597}" presName="desText" presStyleLbl="revTx" presStyleIdx="3" presStyleCnt="4">
        <dgm:presLayoutVars>
          <dgm:bulletEnabled val="1"/>
        </dgm:presLayoutVars>
      </dgm:prSet>
      <dgm:spPr/>
      <dgm:t>
        <a:bodyPr/>
        <a:lstStyle/>
        <a:p>
          <a:endParaRPr lang="es-ES"/>
        </a:p>
      </dgm:t>
    </dgm:pt>
    <dgm:pt modelId="{EAACA6FC-CB18-479E-9D02-E177868EAF0F}" type="pres">
      <dgm:prSet presAssocID="{0D41E9F7-5118-439D-A1E9-E9461C217292}" presName="maxNode" presStyleCnt="0"/>
      <dgm:spPr/>
    </dgm:pt>
    <dgm:pt modelId="{A4251701-9425-4113-9A8D-B0FA14B82D60}" type="pres">
      <dgm:prSet presAssocID="{0D41E9F7-5118-439D-A1E9-E9461C217292}" presName="Name33" presStyleCnt="0"/>
      <dgm:spPr/>
    </dgm:pt>
  </dgm:ptLst>
  <dgm:cxnLst>
    <dgm:cxn modelId="{E43C7DFD-EFCF-4786-85CC-A4B3F4A4FB5E}" type="presOf" srcId="{B3F09C50-6B80-41FB-BE82-ECF3CE96E76C}" destId="{51DCB9C0-1484-43AE-9E70-8A939326A393}" srcOrd="0" destOrd="0" presId="urn:microsoft.com/office/officeart/2008/layout/AccentedPicture"/>
    <dgm:cxn modelId="{138FDD7F-9832-4D2A-BA5A-89871C3C9D08}" type="presOf" srcId="{BBC6A64C-1C64-4471-8500-389E4E867DBC}" destId="{CEC8F6F9-48BE-4613-AF54-5B71694A07FB}" srcOrd="0" destOrd="0" presId="urn:microsoft.com/office/officeart/2008/layout/AccentedPicture"/>
    <dgm:cxn modelId="{52262749-18B8-4200-94CB-463C5AF5D3E0}" srcId="{0D41E9F7-5118-439D-A1E9-E9461C217292}" destId="{639E01A5-EBDD-4424-8C39-15A796C16597}" srcOrd="4" destOrd="0" parTransId="{B7C4A0F5-423F-483C-9370-9D976931E13A}" sibTransId="{9B74345A-3D43-4604-8F5B-E4CB00A330A4}"/>
    <dgm:cxn modelId="{B9F90B00-9BB4-4510-A69A-0FB1DF34BEA5}" type="presOf" srcId="{639E01A5-EBDD-4424-8C39-15A796C16597}" destId="{01D2270C-1932-4696-AFD9-A47295DE69DE}" srcOrd="0" destOrd="0" presId="urn:microsoft.com/office/officeart/2008/layout/AccentedPicture"/>
    <dgm:cxn modelId="{C4C4DD9A-2123-4FBD-91FA-771DDB1650AD}" type="presOf" srcId="{F94200C5-D4B5-4D45-83AB-F73850CD7F1D}" destId="{38559F25-FD05-4577-95E8-DB4785837A6B}" srcOrd="0" destOrd="0" presId="urn:microsoft.com/office/officeart/2008/layout/AccentedPicture"/>
    <dgm:cxn modelId="{AEA6C471-AB47-4785-8631-92BD5E3AF171}" type="presOf" srcId="{EECEF114-9C38-4243-B741-6D3E25A666AB}" destId="{E54BE5FF-81BA-4FD5-9D24-75AFDA8A3F3A}" srcOrd="0" destOrd="0" presId="urn:microsoft.com/office/officeart/2008/layout/AccentedPicture"/>
    <dgm:cxn modelId="{976EAA26-1FF9-4939-9162-C294591FC930}" srcId="{0D41E9F7-5118-439D-A1E9-E9461C217292}" destId="{BBC6A64C-1C64-4471-8500-389E4E867DBC}" srcOrd="1" destOrd="0" parTransId="{77F5F230-F3B3-4673-BD28-546F7865AD80}" sibTransId="{C7539500-02FC-4745-A8C7-A17EE0B54168}"/>
    <dgm:cxn modelId="{B6765E0C-8069-4697-9ACC-A987EDF15A93}" type="presOf" srcId="{A80196FC-390D-4317-A41B-CB1BE7ED438C}" destId="{10014821-A96C-4143-808D-C0B99CB3E7AA}" srcOrd="0" destOrd="0" presId="urn:microsoft.com/office/officeart/2008/layout/AccentedPicture"/>
    <dgm:cxn modelId="{6A281611-3B5B-478B-BB67-A3A639963E71}" srcId="{0D41E9F7-5118-439D-A1E9-E9461C217292}" destId="{A80196FC-390D-4317-A41B-CB1BE7ED438C}" srcOrd="0" destOrd="0" parTransId="{8FAFD44C-501D-4EFF-8FDB-A389D38DEE5B}" sibTransId="{B3F09C50-6B80-41FB-BE82-ECF3CE96E76C}"/>
    <dgm:cxn modelId="{AF3043EC-EAEE-4775-9BA9-E47456A9C089}" srcId="{0D41E9F7-5118-439D-A1E9-E9461C217292}" destId="{F94200C5-D4B5-4D45-83AB-F73850CD7F1D}" srcOrd="2" destOrd="0" parTransId="{DFC26845-C51F-43CC-86F9-CC1206CFE2CE}" sibTransId="{3939B755-F4C4-432B-A021-E9121A5ACB15}"/>
    <dgm:cxn modelId="{19747771-1232-448A-AC65-AE64148D6CEE}" srcId="{0D41E9F7-5118-439D-A1E9-E9461C217292}" destId="{EECEF114-9C38-4243-B741-6D3E25A666AB}" srcOrd="3" destOrd="0" parTransId="{F8C1F38D-0F48-4B63-9B51-6AB170965475}" sibTransId="{4A337432-04C0-47E1-8205-E8ED02DC8064}"/>
    <dgm:cxn modelId="{84FE5A41-178D-4B9F-B52E-DB97DFDFBA61}" type="presOf" srcId="{0D41E9F7-5118-439D-A1E9-E9461C217292}" destId="{78A03BB9-FB6D-43F4-9838-54ECD18DDA59}" srcOrd="0" destOrd="0" presId="urn:microsoft.com/office/officeart/2008/layout/AccentedPicture"/>
    <dgm:cxn modelId="{4525AD70-A19F-4A9B-8F00-12230242B4CA}" type="presParOf" srcId="{78A03BB9-FB6D-43F4-9838-54ECD18DDA59}" destId="{51DCB9C0-1484-43AE-9E70-8A939326A393}" srcOrd="0" destOrd="0" presId="urn:microsoft.com/office/officeart/2008/layout/AccentedPicture"/>
    <dgm:cxn modelId="{B0127041-EC67-4D34-876D-02216D95F512}" type="presParOf" srcId="{78A03BB9-FB6D-43F4-9838-54ECD18DDA59}" destId="{10014821-A96C-4143-808D-C0B99CB3E7AA}" srcOrd="1" destOrd="0" presId="urn:microsoft.com/office/officeart/2008/layout/AccentedPicture"/>
    <dgm:cxn modelId="{85416B98-20D5-43B1-89FF-06633F05446E}" type="presParOf" srcId="{78A03BB9-FB6D-43F4-9838-54ECD18DDA59}" destId="{6BC6A6A1-FB49-4925-A76C-968CC5B0BC36}" srcOrd="2" destOrd="0" presId="urn:microsoft.com/office/officeart/2008/layout/AccentedPicture"/>
    <dgm:cxn modelId="{EC78E390-943F-45ED-8675-F08D622EBCA6}" type="presParOf" srcId="{6BC6A6A1-FB49-4925-A76C-968CC5B0BC36}" destId="{8D520FD3-639E-4D2C-B823-BFA7D45B06AA}" srcOrd="0" destOrd="0" presId="urn:microsoft.com/office/officeart/2008/layout/AccentedPicture"/>
    <dgm:cxn modelId="{8C67C67B-E612-401B-883B-6F8DA722ADDF}" type="presParOf" srcId="{8D520FD3-639E-4D2C-B823-BFA7D45B06AA}" destId="{E10E98B7-A947-4D66-AF98-08A69CCF1FC8}" srcOrd="0" destOrd="0" presId="urn:microsoft.com/office/officeart/2008/layout/AccentedPicture"/>
    <dgm:cxn modelId="{51AA4347-FF4A-4EBA-B5FB-FB50C6BF315C}" type="presParOf" srcId="{8D520FD3-639E-4D2C-B823-BFA7D45B06AA}" destId="{49201C55-7017-4B48-B1DB-2C3BD5B46865}" srcOrd="1" destOrd="0" presId="urn:microsoft.com/office/officeart/2008/layout/AccentedPicture"/>
    <dgm:cxn modelId="{AC157882-3803-4CD9-9629-771D3A5F5A2B}" type="presParOf" srcId="{8D520FD3-639E-4D2C-B823-BFA7D45B06AA}" destId="{CD58E1F2-3206-4907-9DA4-6236B0653517}" srcOrd="2" destOrd="0" presId="urn:microsoft.com/office/officeart/2008/layout/AccentedPicture"/>
    <dgm:cxn modelId="{4CF1EAE0-CEBD-4C14-A60A-C681A0D35B40}" type="presParOf" srcId="{CD58E1F2-3206-4907-9DA4-6236B0653517}" destId="{CEC8F6F9-48BE-4613-AF54-5B71694A07FB}" srcOrd="0" destOrd="0" presId="urn:microsoft.com/office/officeart/2008/layout/AccentedPicture"/>
    <dgm:cxn modelId="{03A22E31-CA54-41B6-BCC6-4A234530A992}" type="presParOf" srcId="{6BC6A6A1-FB49-4925-A76C-968CC5B0BC36}" destId="{5A1E0A6D-5AE0-41AC-9142-4FBC44B8E88D}" srcOrd="1" destOrd="0" presId="urn:microsoft.com/office/officeart/2008/layout/AccentedPicture"/>
    <dgm:cxn modelId="{E131ABDB-8CD2-4132-A789-12A4486F9CC4}" type="presParOf" srcId="{6BC6A6A1-FB49-4925-A76C-968CC5B0BC36}" destId="{3506D1C4-BA5D-446D-83E5-41274AE4405C}" srcOrd="2" destOrd="0" presId="urn:microsoft.com/office/officeart/2008/layout/AccentedPicture"/>
    <dgm:cxn modelId="{12E8C8E6-4910-47BD-9FFE-68B5ED7B47DE}" type="presParOf" srcId="{3506D1C4-BA5D-446D-83E5-41274AE4405C}" destId="{E7D3125E-41D1-4A8A-B51B-ED41D345E7BB}" srcOrd="0" destOrd="0" presId="urn:microsoft.com/office/officeart/2008/layout/AccentedPicture"/>
    <dgm:cxn modelId="{D538B110-537A-490A-886D-D4DB8FDACBE3}" type="presParOf" srcId="{3506D1C4-BA5D-446D-83E5-41274AE4405C}" destId="{8CFCEBF1-7EC7-4178-829C-CC8E01507098}" srcOrd="1" destOrd="0" presId="urn:microsoft.com/office/officeart/2008/layout/AccentedPicture"/>
    <dgm:cxn modelId="{67648732-5F75-46D7-90E2-9073E7F050CC}" type="presParOf" srcId="{3506D1C4-BA5D-446D-83E5-41274AE4405C}" destId="{7D6318E6-626C-4B96-A2F4-21B0F1C4C6A8}" srcOrd="2" destOrd="0" presId="urn:microsoft.com/office/officeart/2008/layout/AccentedPicture"/>
    <dgm:cxn modelId="{EC09031D-B983-4505-B8B4-F35B954FCD51}" type="presParOf" srcId="{7D6318E6-626C-4B96-A2F4-21B0F1C4C6A8}" destId="{38559F25-FD05-4577-95E8-DB4785837A6B}" srcOrd="0" destOrd="0" presId="urn:microsoft.com/office/officeart/2008/layout/AccentedPicture"/>
    <dgm:cxn modelId="{9E4483E0-2066-4BC9-866D-3387D7BBB0DF}" type="presParOf" srcId="{6BC6A6A1-FB49-4925-A76C-968CC5B0BC36}" destId="{45DDCE1F-9539-43DD-A1CD-F82E4A5F1319}" srcOrd="3" destOrd="0" presId="urn:microsoft.com/office/officeart/2008/layout/AccentedPicture"/>
    <dgm:cxn modelId="{F7D98C5A-2101-43E3-8CB4-3D526EDD8365}" type="presParOf" srcId="{6BC6A6A1-FB49-4925-A76C-968CC5B0BC36}" destId="{F80B82DC-C55C-4C24-A768-83EAB4A661E8}" srcOrd="4" destOrd="0" presId="urn:microsoft.com/office/officeart/2008/layout/AccentedPicture"/>
    <dgm:cxn modelId="{3E7F633D-97F5-409C-BBB9-E44CC81E5BFF}" type="presParOf" srcId="{F80B82DC-C55C-4C24-A768-83EAB4A661E8}" destId="{3C8F809F-4D9D-4EFD-A40C-E5A5D15E8286}" srcOrd="0" destOrd="0" presId="urn:microsoft.com/office/officeart/2008/layout/AccentedPicture"/>
    <dgm:cxn modelId="{AE5BBE01-ABCB-490C-8D64-D6EE0DBDC8FC}" type="presParOf" srcId="{F80B82DC-C55C-4C24-A768-83EAB4A661E8}" destId="{E80D1EF2-B218-44B0-BBF4-BB0B5C5D919B}" srcOrd="1" destOrd="0" presId="urn:microsoft.com/office/officeart/2008/layout/AccentedPicture"/>
    <dgm:cxn modelId="{D2F5A5E9-1929-49BB-BA61-7390D496D3F3}" type="presParOf" srcId="{F80B82DC-C55C-4C24-A768-83EAB4A661E8}" destId="{21A181F1-84EC-4F47-AA76-18FBCA6B95AE}" srcOrd="2" destOrd="0" presId="urn:microsoft.com/office/officeart/2008/layout/AccentedPicture"/>
    <dgm:cxn modelId="{3424A810-93F9-4F0F-92F5-252B39356796}" type="presParOf" srcId="{21A181F1-84EC-4F47-AA76-18FBCA6B95AE}" destId="{E54BE5FF-81BA-4FD5-9D24-75AFDA8A3F3A}" srcOrd="0" destOrd="0" presId="urn:microsoft.com/office/officeart/2008/layout/AccentedPicture"/>
    <dgm:cxn modelId="{5933B846-4C6E-433B-A293-F9C501055BB7}" type="presParOf" srcId="{6BC6A6A1-FB49-4925-A76C-968CC5B0BC36}" destId="{E2571573-60FE-4C71-900F-CB6A97F3477A}" srcOrd="5" destOrd="0" presId="urn:microsoft.com/office/officeart/2008/layout/AccentedPicture"/>
    <dgm:cxn modelId="{6D8EA218-E015-4356-B1C4-AD0A2F98BC5D}" type="presParOf" srcId="{6BC6A6A1-FB49-4925-A76C-968CC5B0BC36}" destId="{C09EC7AF-312F-49E3-AEEE-BEA660B23CCB}" srcOrd="6" destOrd="0" presId="urn:microsoft.com/office/officeart/2008/layout/AccentedPicture"/>
    <dgm:cxn modelId="{805051EC-2FAB-4A6C-94FB-B6D2800112D4}" type="presParOf" srcId="{C09EC7AF-312F-49E3-AEEE-BEA660B23CCB}" destId="{D070AFB2-1F98-4936-AC87-C9E2C6CC1F30}" srcOrd="0" destOrd="0" presId="urn:microsoft.com/office/officeart/2008/layout/AccentedPicture"/>
    <dgm:cxn modelId="{887EFEF7-EE14-4CC3-814B-2104EAE7EC18}" type="presParOf" srcId="{C09EC7AF-312F-49E3-AEEE-BEA660B23CCB}" destId="{96C9896C-F40F-452B-AFB1-0D5549B367F6}" srcOrd="1" destOrd="0" presId="urn:microsoft.com/office/officeart/2008/layout/AccentedPicture"/>
    <dgm:cxn modelId="{F704F251-13C0-4F1C-B3CF-A6E9624E5D4C}" type="presParOf" srcId="{C09EC7AF-312F-49E3-AEEE-BEA660B23CCB}" destId="{9F5BECB6-53AC-4D16-B66D-D00A70FCE540}" srcOrd="2" destOrd="0" presId="urn:microsoft.com/office/officeart/2008/layout/AccentedPicture"/>
    <dgm:cxn modelId="{D50844D1-3CE0-46E2-833D-2DA6A731E44C}" type="presParOf" srcId="{9F5BECB6-53AC-4D16-B66D-D00A70FCE540}" destId="{01D2270C-1932-4696-AFD9-A47295DE69DE}" srcOrd="0" destOrd="0" presId="urn:microsoft.com/office/officeart/2008/layout/AccentedPicture"/>
    <dgm:cxn modelId="{97F531B7-9E17-4FE9-A069-467DC26529BB}" type="presParOf" srcId="{78A03BB9-FB6D-43F4-9838-54ECD18DDA59}" destId="{EAACA6FC-CB18-479E-9D02-E177868EAF0F}" srcOrd="3" destOrd="0" presId="urn:microsoft.com/office/officeart/2008/layout/AccentedPicture"/>
    <dgm:cxn modelId="{0FFCFA4F-3C54-45F0-B561-49514B12C7BD}" type="presParOf" srcId="{EAACA6FC-CB18-479E-9D02-E177868EAF0F}" destId="{A4251701-9425-4113-9A8D-B0FA14B82D60}" srcOrd="0" destOrd="0" presId="urn:microsoft.com/office/officeart/2008/layout/AccentedPicture"/>
  </dgm:cxnLst>
  <dgm:bg/>
  <dgm:whole/>
  <dgm:extLst>
    <a:ext uri="http://schemas.microsoft.com/office/drawing/2008/diagram">
      <dsp:dataModelExt xmlns:dsp="http://schemas.microsoft.com/office/drawing/2008/diagram" relId="rId137"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0D41E9F7-5118-439D-A1E9-E9461C217292}" type="doc">
      <dgm:prSet loTypeId="urn:microsoft.com/office/officeart/2008/layout/AccentedPicture" loCatId="picture" qsTypeId="urn:microsoft.com/office/officeart/2005/8/quickstyle/simple1" qsCatId="simple" csTypeId="urn:microsoft.com/office/officeart/2005/8/colors/accent1_2" csCatId="accent1" phldr="1"/>
      <dgm:spPr/>
      <dgm:t>
        <a:bodyPr/>
        <a:lstStyle/>
        <a:p>
          <a:endParaRPr lang="es-CO"/>
        </a:p>
      </dgm:t>
    </dgm:pt>
    <dgm:pt modelId="{BBC6A64C-1C64-4471-8500-389E4E867DBC}">
      <dgm:prSet phldrT="[Texto]" custT="1"/>
      <dgm:spPr/>
      <dgm:t>
        <a:bodyPr/>
        <a:lstStyle/>
        <a:p>
          <a:pPr algn="ctr"/>
          <a:r>
            <a:rPr lang="es-MX" sz="900" dirty="0">
              <a:solidFill>
                <a:sysClr val="windowText" lastClr="000000"/>
              </a:solidFill>
              <a:latin typeface="Arial" panose="020B0604020202020204" pitchFamily="34" charset="0"/>
              <a:cs typeface="Arial" panose="020B0604020202020204" pitchFamily="34" charset="0"/>
            </a:rPr>
            <a:t>Racionalización de 16 trámites; 9 de ellos de tipo tecnológico, 3 de tipo administrativo y los 4 de tipo normativo. </a:t>
          </a:r>
          <a:endParaRPr lang="es-CO" sz="900">
            <a:latin typeface="Arial" panose="020B0604020202020204" pitchFamily="34" charset="0"/>
            <a:cs typeface="Arial" panose="020B0604020202020204" pitchFamily="34" charset="0"/>
          </a:endParaRPr>
        </a:p>
      </dgm:t>
    </dgm:pt>
    <dgm:pt modelId="{77F5F230-F3B3-4673-BD28-546F7865AD80}" type="parTrans" cxnId="{976EAA26-1FF9-4939-9162-C294591FC930}">
      <dgm:prSet/>
      <dgm:spPr/>
      <dgm:t>
        <a:bodyPr/>
        <a:lstStyle/>
        <a:p>
          <a:pPr algn="ctr"/>
          <a:endParaRPr lang="es-CO" sz="900"/>
        </a:p>
      </dgm:t>
    </dgm:pt>
    <dgm:pt modelId="{C7539500-02FC-4745-A8C7-A17EE0B54168}" type="sibTrans" cxnId="{976EAA26-1FF9-4939-9162-C294591FC930}">
      <dgm:prSet/>
      <dgm:spPr/>
      <dgm:t>
        <a:bodyPr/>
        <a:lstStyle/>
        <a:p>
          <a:pPr algn="ctr"/>
          <a:endParaRPr lang="es-CO" sz="900"/>
        </a:p>
      </dgm:t>
    </dgm:pt>
    <dgm:pt modelId="{F94200C5-D4B5-4D45-83AB-F73850CD7F1D}">
      <dgm:prSet phldrT="[Texto]" custT="1"/>
      <dgm:spPr/>
      <dgm:t>
        <a:bodyPr/>
        <a:lstStyle/>
        <a:p>
          <a:pPr algn="ctr"/>
          <a:r>
            <a:rPr lang="es-CO" sz="900">
              <a:solidFill>
                <a:sysClr val="windowText" lastClr="000000"/>
              </a:solidFill>
              <a:latin typeface="Arial" panose="020B0604020202020204" pitchFamily="34" charset="0"/>
              <a:cs typeface="Arial" panose="020B0604020202020204" pitchFamily="34" charset="0"/>
            </a:rPr>
            <a:t>Se</a:t>
          </a:r>
          <a:r>
            <a:rPr lang="es-CO" sz="900" baseline="0">
              <a:solidFill>
                <a:sysClr val="windowText" lastClr="000000"/>
              </a:solidFill>
              <a:latin typeface="Arial" panose="020B0604020202020204" pitchFamily="34" charset="0"/>
              <a:cs typeface="Arial" panose="020B0604020202020204" pitchFamily="34" charset="0"/>
            </a:rPr>
            <a:t> implementa el seguimiento y control a las cifras reportadas mensualmente por parte de las áreas encargadas al Departamento Administrativo de Función Pública - DAFP, por medio del sistema único de información de trámites - SUIT.</a:t>
          </a:r>
          <a:endParaRPr lang="es-CO" sz="900">
            <a:solidFill>
              <a:sysClr val="windowText" lastClr="000000"/>
            </a:solidFill>
            <a:latin typeface="Arial" panose="020B0604020202020204" pitchFamily="34" charset="0"/>
            <a:cs typeface="Arial" panose="020B0604020202020204" pitchFamily="34" charset="0"/>
          </a:endParaRPr>
        </a:p>
      </dgm:t>
    </dgm:pt>
    <dgm:pt modelId="{DFC26845-C51F-43CC-86F9-CC1206CFE2CE}" type="parTrans" cxnId="{AF3043EC-EAEE-4775-9BA9-E47456A9C089}">
      <dgm:prSet/>
      <dgm:spPr/>
      <dgm:t>
        <a:bodyPr/>
        <a:lstStyle/>
        <a:p>
          <a:pPr algn="ctr"/>
          <a:endParaRPr lang="es-CO" sz="900"/>
        </a:p>
      </dgm:t>
    </dgm:pt>
    <dgm:pt modelId="{3939B755-F4C4-432B-A021-E9121A5ACB15}" type="sibTrans" cxnId="{AF3043EC-EAEE-4775-9BA9-E47456A9C089}">
      <dgm:prSet/>
      <dgm:spPr/>
      <dgm:t>
        <a:bodyPr/>
        <a:lstStyle/>
        <a:p>
          <a:pPr algn="ctr"/>
          <a:endParaRPr lang="es-CO" sz="900"/>
        </a:p>
      </dgm:t>
    </dgm:pt>
    <dgm:pt modelId="{EECEF114-9C38-4243-B741-6D3E25A666AB}">
      <dgm:prSet phldrT="[Texto]" custT="1"/>
      <dgm:spPr/>
      <dgm:t>
        <a:bodyPr/>
        <a:lstStyle/>
        <a:p>
          <a:pPr algn="ctr"/>
          <a:r>
            <a:rPr lang="es-MX" sz="900" dirty="0">
              <a:solidFill>
                <a:sysClr val="windowText" lastClr="000000"/>
              </a:solidFill>
              <a:latin typeface="Arial" panose="020B0604020202020204" pitchFamily="34" charset="0"/>
              <a:cs typeface="Arial" panose="020B0604020202020204" pitchFamily="34" charset="0"/>
            </a:rPr>
            <a:t>Las diferentes racionalizaciones presentadas en el periodo de gestión dieron como resultado </a:t>
          </a:r>
          <a:r>
            <a:rPr lang="es-CO" sz="900" dirty="0">
              <a:solidFill>
                <a:sysClr val="windowText" lastClr="000000"/>
              </a:solidFill>
              <a:latin typeface="Arial" panose="020B0604020202020204" pitchFamily="34" charset="0"/>
              <a:cs typeface="Arial" panose="020B0604020202020204" pitchFamily="34" charset="0"/>
            </a:rPr>
            <a:t>reduccion en tiempos de respuestas, claridad sobre los trámites y servicios que presta el IGAC, disminución de costos para los ciudadanos y acercamiento de los gupos de valor e interés.</a:t>
          </a:r>
          <a:endParaRPr lang="es-CO" sz="900">
            <a:solidFill>
              <a:sysClr val="windowText" lastClr="000000"/>
            </a:solidFill>
            <a:latin typeface="Arial" panose="020B0604020202020204" pitchFamily="34" charset="0"/>
            <a:cs typeface="Arial" panose="020B0604020202020204" pitchFamily="34" charset="0"/>
          </a:endParaRPr>
        </a:p>
      </dgm:t>
    </dgm:pt>
    <dgm:pt modelId="{4A337432-04C0-47E1-8205-E8ED02DC8064}" type="sibTrans" cxnId="{19747771-1232-448A-AC65-AE64148D6CEE}">
      <dgm:prSet/>
      <dgm:spPr/>
      <dgm:t>
        <a:bodyPr/>
        <a:lstStyle/>
        <a:p>
          <a:pPr algn="ctr"/>
          <a:endParaRPr lang="es-CO" sz="900"/>
        </a:p>
      </dgm:t>
    </dgm:pt>
    <dgm:pt modelId="{F8C1F38D-0F48-4B63-9B51-6AB170965475}" type="parTrans" cxnId="{19747771-1232-448A-AC65-AE64148D6CEE}">
      <dgm:prSet/>
      <dgm:spPr/>
      <dgm:t>
        <a:bodyPr/>
        <a:lstStyle/>
        <a:p>
          <a:pPr algn="ctr"/>
          <a:endParaRPr lang="es-CO" sz="900"/>
        </a:p>
      </dgm:t>
    </dgm:pt>
    <dgm:pt modelId="{A80196FC-390D-4317-A41B-CB1BE7ED438C}">
      <dgm:prSet phldrT="[Texto]" custT="1"/>
      <dgm:spPr/>
      <dgm:t>
        <a:bodyPr/>
        <a:lstStyle/>
        <a:p>
          <a:pPr algn="ctr"/>
          <a:endParaRPr lang="es-CO" sz="900" b="1">
            <a:solidFill>
              <a:sysClr val="windowText" lastClr="000000"/>
            </a:solidFill>
            <a:latin typeface="Arial" panose="020B0604020202020204" pitchFamily="34" charset="0"/>
            <a:cs typeface="Arial" panose="020B0604020202020204" pitchFamily="34" charset="0"/>
          </a:endParaRPr>
        </a:p>
      </dgm:t>
    </dgm:pt>
    <dgm:pt modelId="{B3F09C50-6B80-41FB-BE82-ECF3CE96E76C}" type="sibTrans" cxnId="{6A281611-3B5B-478B-BB67-A3A639963E71}">
      <dgm:prSet/>
      <dgm:spPr>
        <a:blipFill rotWithShape="1">
          <a:blip xmlns:r="http://schemas.openxmlformats.org/officeDocument/2006/relationships" r:embed="rId1"/>
          <a:srcRect/>
          <a:stretch>
            <a:fillRect l="-7000" r="-7000"/>
          </a:stretch>
        </a:blipFill>
      </dgm:spPr>
      <dgm:t>
        <a:bodyPr/>
        <a:lstStyle/>
        <a:p>
          <a:pPr algn="ctr"/>
          <a:endParaRPr lang="es-CO" sz="900"/>
        </a:p>
      </dgm:t>
    </dgm:pt>
    <dgm:pt modelId="{8FAFD44C-501D-4EFF-8FDB-A389D38DEE5B}" type="parTrans" cxnId="{6A281611-3B5B-478B-BB67-A3A639963E71}">
      <dgm:prSet/>
      <dgm:spPr/>
      <dgm:t>
        <a:bodyPr/>
        <a:lstStyle/>
        <a:p>
          <a:pPr algn="ctr"/>
          <a:endParaRPr lang="es-CO" sz="900"/>
        </a:p>
      </dgm:t>
    </dgm:pt>
    <dgm:pt modelId="{78A03BB9-FB6D-43F4-9838-54ECD18DDA59}" type="pres">
      <dgm:prSet presAssocID="{0D41E9F7-5118-439D-A1E9-E9461C217292}" presName="Name0" presStyleCnt="0">
        <dgm:presLayoutVars>
          <dgm:dir/>
        </dgm:presLayoutVars>
      </dgm:prSet>
      <dgm:spPr/>
      <dgm:t>
        <a:bodyPr/>
        <a:lstStyle/>
        <a:p>
          <a:endParaRPr lang="es-ES"/>
        </a:p>
      </dgm:t>
    </dgm:pt>
    <dgm:pt modelId="{51DCB9C0-1484-43AE-9E70-8A939326A393}" type="pres">
      <dgm:prSet presAssocID="{B3F09C50-6B80-41FB-BE82-ECF3CE96E76C}" presName="picture_1" presStyleLbl="bgImgPlace1" presStyleIdx="0" presStyleCnt="1"/>
      <dgm:spPr/>
      <dgm:t>
        <a:bodyPr/>
        <a:lstStyle/>
        <a:p>
          <a:endParaRPr lang="es-ES"/>
        </a:p>
      </dgm:t>
    </dgm:pt>
    <dgm:pt modelId="{10014821-A96C-4143-808D-C0B99CB3E7AA}" type="pres">
      <dgm:prSet presAssocID="{A80196FC-390D-4317-A41B-CB1BE7ED438C}" presName="text_1" presStyleLbl="node1" presStyleIdx="0" presStyleCnt="0" custScaleX="109927" custScaleY="23499" custLinFactY="-100000" custLinFactNeighborX="1194" custLinFactNeighborY="-154842">
        <dgm:presLayoutVars>
          <dgm:bulletEnabled val="1"/>
        </dgm:presLayoutVars>
      </dgm:prSet>
      <dgm:spPr/>
      <dgm:t>
        <a:bodyPr/>
        <a:lstStyle/>
        <a:p>
          <a:endParaRPr lang="es-ES"/>
        </a:p>
      </dgm:t>
    </dgm:pt>
    <dgm:pt modelId="{6BC6A6A1-FB49-4925-A76C-968CC5B0BC36}" type="pres">
      <dgm:prSet presAssocID="{0D41E9F7-5118-439D-A1E9-E9461C217292}" presName="linV" presStyleCnt="0"/>
      <dgm:spPr/>
    </dgm:pt>
    <dgm:pt modelId="{8D520FD3-639E-4D2C-B823-BFA7D45B06AA}" type="pres">
      <dgm:prSet presAssocID="{BBC6A64C-1C64-4471-8500-389E4E867DBC}" presName="pair" presStyleCnt="0"/>
      <dgm:spPr/>
    </dgm:pt>
    <dgm:pt modelId="{E10E98B7-A947-4D66-AF98-08A69CCF1FC8}" type="pres">
      <dgm:prSet presAssocID="{BBC6A64C-1C64-4471-8500-389E4E867DBC}" presName="spaceH" presStyleLbl="node1" presStyleIdx="0" presStyleCnt="0"/>
      <dgm:spPr/>
    </dgm:pt>
    <dgm:pt modelId="{49201C55-7017-4B48-B1DB-2C3BD5B46865}" type="pres">
      <dgm:prSet presAssocID="{BBC6A64C-1C64-4471-8500-389E4E867DBC}" presName="desPictures" presStyleLbl="alignImgPlace1" presStyleIdx="0" presStyleCnt="3"/>
      <dgm:spPr>
        <a:blipFill>
          <a:blip xmlns:r="http://schemas.openxmlformats.org/officeDocument/2006/relationships" r:embed="rId2">
            <a:extLst>
              <a:ext uri="{28A0092B-C50C-407E-A947-70E740481C1C}">
                <a14:useLocalDpi xmlns:a14="http://schemas.microsoft.com/office/drawing/2010/main" val="0"/>
              </a:ext>
            </a:extLst>
          </a:blip>
          <a:srcRect/>
          <a:stretch>
            <a:fillRect l="-3000" r="-3000"/>
          </a:stretch>
        </a:blipFill>
      </dgm:spPr>
    </dgm:pt>
    <dgm:pt modelId="{CD58E1F2-3206-4907-9DA4-6236B0653517}" type="pres">
      <dgm:prSet presAssocID="{BBC6A64C-1C64-4471-8500-389E4E867DBC}" presName="desTextWrapper" presStyleCnt="0"/>
      <dgm:spPr/>
    </dgm:pt>
    <dgm:pt modelId="{CEC8F6F9-48BE-4613-AF54-5B71694A07FB}" type="pres">
      <dgm:prSet presAssocID="{BBC6A64C-1C64-4471-8500-389E4E867DBC}" presName="desText" presStyleLbl="revTx" presStyleIdx="0" presStyleCnt="3" custScaleY="75351" custLinFactNeighborX="0" custLinFactNeighborY="-4667">
        <dgm:presLayoutVars>
          <dgm:bulletEnabled val="1"/>
        </dgm:presLayoutVars>
      </dgm:prSet>
      <dgm:spPr/>
      <dgm:t>
        <a:bodyPr/>
        <a:lstStyle/>
        <a:p>
          <a:endParaRPr lang="es-ES"/>
        </a:p>
      </dgm:t>
    </dgm:pt>
    <dgm:pt modelId="{5A1E0A6D-5AE0-41AC-9142-4FBC44B8E88D}" type="pres">
      <dgm:prSet presAssocID="{C7539500-02FC-4745-A8C7-A17EE0B54168}" presName="spaceV" presStyleCnt="0"/>
      <dgm:spPr/>
    </dgm:pt>
    <dgm:pt modelId="{3506D1C4-BA5D-446D-83E5-41274AE4405C}" type="pres">
      <dgm:prSet presAssocID="{F94200C5-D4B5-4D45-83AB-F73850CD7F1D}" presName="pair" presStyleCnt="0"/>
      <dgm:spPr/>
    </dgm:pt>
    <dgm:pt modelId="{E7D3125E-41D1-4A8A-B51B-ED41D345E7BB}" type="pres">
      <dgm:prSet presAssocID="{F94200C5-D4B5-4D45-83AB-F73850CD7F1D}" presName="spaceH" presStyleLbl="node1" presStyleIdx="0" presStyleCnt="0"/>
      <dgm:spPr/>
    </dgm:pt>
    <dgm:pt modelId="{8CFCEBF1-7EC7-4178-829C-CC8E01507098}" type="pres">
      <dgm:prSet presAssocID="{F94200C5-D4B5-4D45-83AB-F73850CD7F1D}" presName="desPictures" presStyleLbl="alignImgPlace1" presStyleIdx="1" presStyleCnt="3"/>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pt>
    <dgm:pt modelId="{7D6318E6-626C-4B96-A2F4-21B0F1C4C6A8}" type="pres">
      <dgm:prSet presAssocID="{F94200C5-D4B5-4D45-83AB-F73850CD7F1D}" presName="desTextWrapper" presStyleCnt="0"/>
      <dgm:spPr/>
    </dgm:pt>
    <dgm:pt modelId="{38559F25-FD05-4577-95E8-DB4785837A6B}" type="pres">
      <dgm:prSet presAssocID="{F94200C5-D4B5-4D45-83AB-F73850CD7F1D}" presName="desText" presStyleLbl="revTx" presStyleIdx="1" presStyleCnt="3">
        <dgm:presLayoutVars>
          <dgm:bulletEnabled val="1"/>
        </dgm:presLayoutVars>
      </dgm:prSet>
      <dgm:spPr/>
      <dgm:t>
        <a:bodyPr/>
        <a:lstStyle/>
        <a:p>
          <a:endParaRPr lang="es-ES"/>
        </a:p>
      </dgm:t>
    </dgm:pt>
    <dgm:pt modelId="{45DDCE1F-9539-43DD-A1CD-F82E4A5F1319}" type="pres">
      <dgm:prSet presAssocID="{3939B755-F4C4-432B-A021-E9121A5ACB15}" presName="spaceV" presStyleCnt="0"/>
      <dgm:spPr/>
    </dgm:pt>
    <dgm:pt modelId="{F80B82DC-C55C-4C24-A768-83EAB4A661E8}" type="pres">
      <dgm:prSet presAssocID="{EECEF114-9C38-4243-B741-6D3E25A666AB}" presName="pair" presStyleCnt="0"/>
      <dgm:spPr/>
    </dgm:pt>
    <dgm:pt modelId="{3C8F809F-4D9D-4EFD-A40C-E5A5D15E8286}" type="pres">
      <dgm:prSet presAssocID="{EECEF114-9C38-4243-B741-6D3E25A666AB}" presName="spaceH" presStyleLbl="node1" presStyleIdx="0" presStyleCnt="0"/>
      <dgm:spPr/>
    </dgm:pt>
    <dgm:pt modelId="{E80D1EF2-B218-44B0-BBF4-BB0B5C5D919B}" type="pres">
      <dgm:prSet presAssocID="{EECEF114-9C38-4243-B741-6D3E25A666AB}" presName="desPictures" presStyleLbl="alignImgPlace1" presStyleIdx="2" presStyleCnt="3"/>
      <dgm:spPr>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dgm:spPr>
    </dgm:pt>
    <dgm:pt modelId="{21A181F1-84EC-4F47-AA76-18FBCA6B95AE}" type="pres">
      <dgm:prSet presAssocID="{EECEF114-9C38-4243-B741-6D3E25A666AB}" presName="desTextWrapper" presStyleCnt="0"/>
      <dgm:spPr/>
    </dgm:pt>
    <dgm:pt modelId="{E54BE5FF-81BA-4FD5-9D24-75AFDA8A3F3A}" type="pres">
      <dgm:prSet presAssocID="{EECEF114-9C38-4243-B741-6D3E25A666AB}" presName="desText" presStyleLbl="revTx" presStyleIdx="2" presStyleCnt="3" custLinFactNeighborX="0" custLinFactNeighborY="30456">
        <dgm:presLayoutVars>
          <dgm:bulletEnabled val="1"/>
        </dgm:presLayoutVars>
      </dgm:prSet>
      <dgm:spPr/>
      <dgm:t>
        <a:bodyPr/>
        <a:lstStyle/>
        <a:p>
          <a:endParaRPr lang="es-ES"/>
        </a:p>
      </dgm:t>
    </dgm:pt>
    <dgm:pt modelId="{EAACA6FC-CB18-479E-9D02-E177868EAF0F}" type="pres">
      <dgm:prSet presAssocID="{0D41E9F7-5118-439D-A1E9-E9461C217292}" presName="maxNode" presStyleCnt="0"/>
      <dgm:spPr/>
    </dgm:pt>
    <dgm:pt modelId="{A4251701-9425-4113-9A8D-B0FA14B82D60}" type="pres">
      <dgm:prSet presAssocID="{0D41E9F7-5118-439D-A1E9-E9461C217292}" presName="Name33" presStyleCnt="0"/>
      <dgm:spPr/>
    </dgm:pt>
  </dgm:ptLst>
  <dgm:cxnLst>
    <dgm:cxn modelId="{6400C2CA-D2DC-4CF5-A10C-C2B959305271}" type="presOf" srcId="{0D41E9F7-5118-439D-A1E9-E9461C217292}" destId="{78A03BB9-FB6D-43F4-9838-54ECD18DDA59}" srcOrd="0" destOrd="0" presId="urn:microsoft.com/office/officeart/2008/layout/AccentedPicture"/>
    <dgm:cxn modelId="{976EAA26-1FF9-4939-9162-C294591FC930}" srcId="{0D41E9F7-5118-439D-A1E9-E9461C217292}" destId="{BBC6A64C-1C64-4471-8500-389E4E867DBC}" srcOrd="1" destOrd="0" parTransId="{77F5F230-F3B3-4673-BD28-546F7865AD80}" sibTransId="{C7539500-02FC-4745-A8C7-A17EE0B54168}"/>
    <dgm:cxn modelId="{19747771-1232-448A-AC65-AE64148D6CEE}" srcId="{0D41E9F7-5118-439D-A1E9-E9461C217292}" destId="{EECEF114-9C38-4243-B741-6D3E25A666AB}" srcOrd="3" destOrd="0" parTransId="{F8C1F38D-0F48-4B63-9B51-6AB170965475}" sibTransId="{4A337432-04C0-47E1-8205-E8ED02DC8064}"/>
    <dgm:cxn modelId="{AF3043EC-EAEE-4775-9BA9-E47456A9C089}" srcId="{0D41E9F7-5118-439D-A1E9-E9461C217292}" destId="{F94200C5-D4B5-4D45-83AB-F73850CD7F1D}" srcOrd="2" destOrd="0" parTransId="{DFC26845-C51F-43CC-86F9-CC1206CFE2CE}" sibTransId="{3939B755-F4C4-432B-A021-E9121A5ACB15}"/>
    <dgm:cxn modelId="{6A281611-3B5B-478B-BB67-A3A639963E71}" srcId="{0D41E9F7-5118-439D-A1E9-E9461C217292}" destId="{A80196FC-390D-4317-A41B-CB1BE7ED438C}" srcOrd="0" destOrd="0" parTransId="{8FAFD44C-501D-4EFF-8FDB-A389D38DEE5B}" sibTransId="{B3F09C50-6B80-41FB-BE82-ECF3CE96E76C}"/>
    <dgm:cxn modelId="{1E43ED7F-B2C9-4784-AE5F-540EB10A3914}" type="presOf" srcId="{F94200C5-D4B5-4D45-83AB-F73850CD7F1D}" destId="{38559F25-FD05-4577-95E8-DB4785837A6B}" srcOrd="0" destOrd="0" presId="urn:microsoft.com/office/officeart/2008/layout/AccentedPicture"/>
    <dgm:cxn modelId="{F98038F2-29F9-4477-8096-32D105DEA72F}" type="presOf" srcId="{EECEF114-9C38-4243-B741-6D3E25A666AB}" destId="{E54BE5FF-81BA-4FD5-9D24-75AFDA8A3F3A}" srcOrd="0" destOrd="0" presId="urn:microsoft.com/office/officeart/2008/layout/AccentedPicture"/>
    <dgm:cxn modelId="{4A9F0046-DC87-41F2-8E2C-E2C1D0582826}" type="presOf" srcId="{A80196FC-390D-4317-A41B-CB1BE7ED438C}" destId="{10014821-A96C-4143-808D-C0B99CB3E7AA}" srcOrd="0" destOrd="0" presId="urn:microsoft.com/office/officeart/2008/layout/AccentedPicture"/>
    <dgm:cxn modelId="{C2346446-F772-49CC-B2B4-ACBCB7EAD8EB}" type="presOf" srcId="{BBC6A64C-1C64-4471-8500-389E4E867DBC}" destId="{CEC8F6F9-48BE-4613-AF54-5B71694A07FB}" srcOrd="0" destOrd="0" presId="urn:microsoft.com/office/officeart/2008/layout/AccentedPicture"/>
    <dgm:cxn modelId="{A9A176F7-0DA2-4D9B-9C02-4D3D037F7479}" type="presOf" srcId="{B3F09C50-6B80-41FB-BE82-ECF3CE96E76C}" destId="{51DCB9C0-1484-43AE-9E70-8A939326A393}" srcOrd="0" destOrd="0" presId="urn:microsoft.com/office/officeart/2008/layout/AccentedPicture"/>
    <dgm:cxn modelId="{E6BD2E74-ABAD-4F9B-8146-4E3FB2690454}" type="presParOf" srcId="{78A03BB9-FB6D-43F4-9838-54ECD18DDA59}" destId="{51DCB9C0-1484-43AE-9E70-8A939326A393}" srcOrd="0" destOrd="0" presId="urn:microsoft.com/office/officeart/2008/layout/AccentedPicture"/>
    <dgm:cxn modelId="{421D0356-AE36-4CE4-82D3-9CE8FAC711FA}" type="presParOf" srcId="{78A03BB9-FB6D-43F4-9838-54ECD18DDA59}" destId="{10014821-A96C-4143-808D-C0B99CB3E7AA}" srcOrd="1" destOrd="0" presId="urn:microsoft.com/office/officeart/2008/layout/AccentedPicture"/>
    <dgm:cxn modelId="{4C1A1BF3-1FB9-4B7F-B20A-C079830D77A0}" type="presParOf" srcId="{78A03BB9-FB6D-43F4-9838-54ECD18DDA59}" destId="{6BC6A6A1-FB49-4925-A76C-968CC5B0BC36}" srcOrd="2" destOrd="0" presId="urn:microsoft.com/office/officeart/2008/layout/AccentedPicture"/>
    <dgm:cxn modelId="{25CB3FA8-5172-42C0-A68B-819E2604CD0F}" type="presParOf" srcId="{6BC6A6A1-FB49-4925-A76C-968CC5B0BC36}" destId="{8D520FD3-639E-4D2C-B823-BFA7D45B06AA}" srcOrd="0" destOrd="0" presId="urn:microsoft.com/office/officeart/2008/layout/AccentedPicture"/>
    <dgm:cxn modelId="{8EBCA7D5-BC82-499D-A94B-810C9A6E9FAA}" type="presParOf" srcId="{8D520FD3-639E-4D2C-B823-BFA7D45B06AA}" destId="{E10E98B7-A947-4D66-AF98-08A69CCF1FC8}" srcOrd="0" destOrd="0" presId="urn:microsoft.com/office/officeart/2008/layout/AccentedPicture"/>
    <dgm:cxn modelId="{2060C2AE-D7A3-46F8-8531-1F7115371A52}" type="presParOf" srcId="{8D520FD3-639E-4D2C-B823-BFA7D45B06AA}" destId="{49201C55-7017-4B48-B1DB-2C3BD5B46865}" srcOrd="1" destOrd="0" presId="urn:microsoft.com/office/officeart/2008/layout/AccentedPicture"/>
    <dgm:cxn modelId="{BC0D571D-0927-4962-BDEE-CE76B8AF823F}" type="presParOf" srcId="{8D520FD3-639E-4D2C-B823-BFA7D45B06AA}" destId="{CD58E1F2-3206-4907-9DA4-6236B0653517}" srcOrd="2" destOrd="0" presId="urn:microsoft.com/office/officeart/2008/layout/AccentedPicture"/>
    <dgm:cxn modelId="{7D3776B4-B352-45F3-B980-4D901D786F32}" type="presParOf" srcId="{CD58E1F2-3206-4907-9DA4-6236B0653517}" destId="{CEC8F6F9-48BE-4613-AF54-5B71694A07FB}" srcOrd="0" destOrd="0" presId="urn:microsoft.com/office/officeart/2008/layout/AccentedPicture"/>
    <dgm:cxn modelId="{EAB7CDE8-30A4-457B-B41B-A41082196F87}" type="presParOf" srcId="{6BC6A6A1-FB49-4925-A76C-968CC5B0BC36}" destId="{5A1E0A6D-5AE0-41AC-9142-4FBC44B8E88D}" srcOrd="1" destOrd="0" presId="urn:microsoft.com/office/officeart/2008/layout/AccentedPicture"/>
    <dgm:cxn modelId="{B71FE90A-C4E1-4AD5-9147-BC737279FEB9}" type="presParOf" srcId="{6BC6A6A1-FB49-4925-A76C-968CC5B0BC36}" destId="{3506D1C4-BA5D-446D-83E5-41274AE4405C}" srcOrd="2" destOrd="0" presId="urn:microsoft.com/office/officeart/2008/layout/AccentedPicture"/>
    <dgm:cxn modelId="{E0F0167C-DD68-4228-9133-3D0DCF7714FD}" type="presParOf" srcId="{3506D1C4-BA5D-446D-83E5-41274AE4405C}" destId="{E7D3125E-41D1-4A8A-B51B-ED41D345E7BB}" srcOrd="0" destOrd="0" presId="urn:microsoft.com/office/officeart/2008/layout/AccentedPicture"/>
    <dgm:cxn modelId="{39345BE1-B001-4011-B828-039FDBC448E4}" type="presParOf" srcId="{3506D1C4-BA5D-446D-83E5-41274AE4405C}" destId="{8CFCEBF1-7EC7-4178-829C-CC8E01507098}" srcOrd="1" destOrd="0" presId="urn:microsoft.com/office/officeart/2008/layout/AccentedPicture"/>
    <dgm:cxn modelId="{8F7BE334-F0AA-4CCF-81AE-C16B381FA27D}" type="presParOf" srcId="{3506D1C4-BA5D-446D-83E5-41274AE4405C}" destId="{7D6318E6-626C-4B96-A2F4-21B0F1C4C6A8}" srcOrd="2" destOrd="0" presId="urn:microsoft.com/office/officeart/2008/layout/AccentedPicture"/>
    <dgm:cxn modelId="{4FAEED07-56F6-4D14-8120-8CA1E9824B39}" type="presParOf" srcId="{7D6318E6-626C-4B96-A2F4-21B0F1C4C6A8}" destId="{38559F25-FD05-4577-95E8-DB4785837A6B}" srcOrd="0" destOrd="0" presId="urn:microsoft.com/office/officeart/2008/layout/AccentedPicture"/>
    <dgm:cxn modelId="{6B36B66A-FAE5-4BCF-AE2F-DE1897631FD9}" type="presParOf" srcId="{6BC6A6A1-FB49-4925-A76C-968CC5B0BC36}" destId="{45DDCE1F-9539-43DD-A1CD-F82E4A5F1319}" srcOrd="3" destOrd="0" presId="urn:microsoft.com/office/officeart/2008/layout/AccentedPicture"/>
    <dgm:cxn modelId="{33789F88-4B1C-4F37-92E1-70AD25CA6E8D}" type="presParOf" srcId="{6BC6A6A1-FB49-4925-A76C-968CC5B0BC36}" destId="{F80B82DC-C55C-4C24-A768-83EAB4A661E8}" srcOrd="4" destOrd="0" presId="urn:microsoft.com/office/officeart/2008/layout/AccentedPicture"/>
    <dgm:cxn modelId="{2675AFD9-B6F3-466D-BD8D-8CDFA61AD15E}" type="presParOf" srcId="{F80B82DC-C55C-4C24-A768-83EAB4A661E8}" destId="{3C8F809F-4D9D-4EFD-A40C-E5A5D15E8286}" srcOrd="0" destOrd="0" presId="urn:microsoft.com/office/officeart/2008/layout/AccentedPicture"/>
    <dgm:cxn modelId="{F444E0FC-4D3C-40AF-83F4-4F457AA70012}" type="presParOf" srcId="{F80B82DC-C55C-4C24-A768-83EAB4A661E8}" destId="{E80D1EF2-B218-44B0-BBF4-BB0B5C5D919B}" srcOrd="1" destOrd="0" presId="urn:microsoft.com/office/officeart/2008/layout/AccentedPicture"/>
    <dgm:cxn modelId="{1328671F-928F-4741-84B1-4A81013BD60D}" type="presParOf" srcId="{F80B82DC-C55C-4C24-A768-83EAB4A661E8}" destId="{21A181F1-84EC-4F47-AA76-18FBCA6B95AE}" srcOrd="2" destOrd="0" presId="urn:microsoft.com/office/officeart/2008/layout/AccentedPicture"/>
    <dgm:cxn modelId="{9B95EE74-C532-43B1-A196-289AE2D47EE9}" type="presParOf" srcId="{21A181F1-84EC-4F47-AA76-18FBCA6B95AE}" destId="{E54BE5FF-81BA-4FD5-9D24-75AFDA8A3F3A}" srcOrd="0" destOrd="0" presId="urn:microsoft.com/office/officeart/2008/layout/AccentedPicture"/>
    <dgm:cxn modelId="{839197BF-4B33-43B4-A603-38D4BDA0EBD0}" type="presParOf" srcId="{78A03BB9-FB6D-43F4-9838-54ECD18DDA59}" destId="{EAACA6FC-CB18-479E-9D02-E177868EAF0F}" srcOrd="3" destOrd="0" presId="urn:microsoft.com/office/officeart/2008/layout/AccentedPicture"/>
    <dgm:cxn modelId="{4CF08668-9B4E-4CF9-B29B-7C37D2C9B42F}" type="presParOf" srcId="{EAACA6FC-CB18-479E-9D02-E177868EAF0F}" destId="{A4251701-9425-4113-9A8D-B0FA14B82D60}" srcOrd="0" destOrd="0" presId="urn:microsoft.com/office/officeart/2008/layout/AccentedPicture"/>
  </dgm:cxnLst>
  <dgm:bg/>
  <dgm:whole/>
  <dgm:extLst>
    <a:ext uri="http://schemas.microsoft.com/office/drawing/2008/diagram">
      <dsp:dataModelExt xmlns:dsp="http://schemas.microsoft.com/office/drawing/2008/diagram" relId="rId170"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77B01436-1604-49E8-B173-D6D233CB1BA6}" type="doc">
      <dgm:prSet loTypeId="urn:microsoft.com/office/officeart/2008/layout/AccentedPicture" loCatId="picture" qsTypeId="urn:microsoft.com/office/officeart/2005/8/quickstyle/simple1" qsCatId="simple" csTypeId="urn:microsoft.com/office/officeart/2005/8/colors/accent1_2" csCatId="accent1" phldr="1"/>
      <dgm:spPr/>
      <dgm:t>
        <a:bodyPr/>
        <a:lstStyle/>
        <a:p>
          <a:endParaRPr lang="es-CO"/>
        </a:p>
      </dgm:t>
    </dgm:pt>
    <dgm:pt modelId="{F8876768-1985-4108-9907-6ED67F18219F}">
      <dgm:prSet phldrT="[Texto]" custT="1"/>
      <dgm:spPr/>
      <dgm:t>
        <a:bodyPr/>
        <a:lstStyle/>
        <a:p>
          <a:pPr algn="ctr"/>
          <a:endParaRPr lang="es-CO" sz="900" b="1">
            <a:solidFill>
              <a:sysClr val="windowText" lastClr="000000"/>
            </a:solidFill>
            <a:latin typeface="Arial" panose="020B0604020202020204" pitchFamily="34" charset="0"/>
            <a:cs typeface="Arial" panose="020B0604020202020204" pitchFamily="34" charset="0"/>
          </a:endParaRPr>
        </a:p>
      </dgm:t>
    </dgm:pt>
    <dgm:pt modelId="{9E736966-FC03-4F10-92C0-F704225FBE47}" type="parTrans" cxnId="{269E12EF-C057-45A7-9F0F-F037C47D5EE5}">
      <dgm:prSet/>
      <dgm:spPr/>
      <dgm:t>
        <a:bodyPr/>
        <a:lstStyle/>
        <a:p>
          <a:pPr algn="ctr"/>
          <a:endParaRPr lang="es-CO" sz="900"/>
        </a:p>
      </dgm:t>
    </dgm:pt>
    <dgm:pt modelId="{EA71FF60-3926-4780-8FF3-1BADEB8A6405}" type="sibTrans" cxnId="{269E12EF-C057-45A7-9F0F-F037C47D5EE5}">
      <dgm:prSet/>
      <dgm:spPr>
        <a:blipFill>
          <a:blip xmlns:r="http://schemas.openxmlformats.org/officeDocument/2006/relationships" r:embed="rId1">
            <a:extLst>
              <a:ext uri="{28A0092B-C50C-407E-A947-70E740481C1C}">
                <a14:useLocalDpi xmlns:a14="http://schemas.microsoft.com/office/drawing/2010/main" val="0"/>
              </a:ext>
            </a:extLst>
          </a:blip>
          <a:srcRect/>
          <a:stretch>
            <a:fillRect t="-2000" b="-2000"/>
          </a:stretch>
        </a:blipFill>
      </dgm:spPr>
      <dgm:t>
        <a:bodyPr/>
        <a:lstStyle/>
        <a:p>
          <a:pPr algn="ctr"/>
          <a:endParaRPr lang="es-CO" sz="900"/>
        </a:p>
      </dgm:t>
    </dgm:pt>
    <dgm:pt modelId="{613705F5-2443-4B58-8D8B-A39F6C2FABA0}">
      <dgm:prSet phldrT="[Texto]" custT="1"/>
      <dgm:spPr/>
      <dgm:t>
        <a:bodyPr/>
        <a:lstStyle/>
        <a:p>
          <a:pPr algn="ctr"/>
          <a:r>
            <a:rPr lang="es-CO" sz="900" b="0" baseline="0">
              <a:solidFill>
                <a:sysClr val="windowText" lastClr="000000"/>
              </a:solidFill>
              <a:latin typeface="Arial" panose="020B0604020202020204" pitchFamily="34" charset="0"/>
              <a:cs typeface="Arial" panose="020B0604020202020204" pitchFamily="34" charset="0"/>
            </a:rPr>
            <a:t>Canal Telefonico: Se incrementa la capacidad telefonica pasando de 1 linea a 2 líneas con 50 extensiones exclusivas para la atencion ciudadana.</a:t>
          </a:r>
        </a:p>
        <a:p>
          <a:pPr algn="ctr"/>
          <a:r>
            <a:rPr lang="es-CO" sz="900" b="0" baseline="0">
              <a:solidFill>
                <a:sysClr val="windowText" lastClr="000000"/>
              </a:solidFill>
              <a:latin typeface="Arial" panose="020B0604020202020204" pitchFamily="34" charset="0"/>
              <a:cs typeface="Arial" panose="020B0604020202020204" pitchFamily="34" charset="0"/>
            </a:rPr>
            <a:t>Se implementa la medicion y control de las llamadas recibidas por cada Dirección Territorial; adicionalmente se presta acompañamiento continuo en la herramienta dispuesta para este canal.</a:t>
          </a:r>
          <a:endParaRPr lang="es-CO" sz="900" b="0">
            <a:latin typeface="Arial" panose="020B0604020202020204" pitchFamily="34" charset="0"/>
            <a:cs typeface="Arial" panose="020B0604020202020204" pitchFamily="34" charset="0"/>
          </a:endParaRPr>
        </a:p>
      </dgm:t>
    </dgm:pt>
    <dgm:pt modelId="{001AE3F2-BAC6-4DD6-9BA0-8EC8D7E53F16}" type="parTrans" cxnId="{B637B0E6-FC17-42CF-A93B-27B1116E57E5}">
      <dgm:prSet/>
      <dgm:spPr/>
      <dgm:t>
        <a:bodyPr/>
        <a:lstStyle/>
        <a:p>
          <a:pPr algn="ctr"/>
          <a:endParaRPr lang="es-CO" sz="900"/>
        </a:p>
      </dgm:t>
    </dgm:pt>
    <dgm:pt modelId="{B16D22A8-F02A-4147-A56D-30BC517D49BC}" type="sibTrans" cxnId="{B637B0E6-FC17-42CF-A93B-27B1116E57E5}">
      <dgm:prSet/>
      <dgm:spPr/>
      <dgm:t>
        <a:bodyPr/>
        <a:lstStyle/>
        <a:p>
          <a:pPr algn="ctr"/>
          <a:endParaRPr lang="es-CO" sz="900"/>
        </a:p>
      </dgm:t>
    </dgm:pt>
    <dgm:pt modelId="{4D1D0EBF-3A3F-4930-8903-2857076716E7}">
      <dgm:prSet custT="1"/>
      <dgm:spPr/>
      <dgm:t>
        <a:bodyPr/>
        <a:lstStyle/>
        <a:p>
          <a:pPr algn="ctr"/>
          <a:r>
            <a:rPr lang="es-MX" sz="900" b="0" dirty="0">
              <a:solidFill>
                <a:sysClr val="windowText" lastClr="000000"/>
              </a:solidFill>
              <a:latin typeface="Arial" panose="020B0604020202020204" pitchFamily="34" charset="0"/>
              <a:cs typeface="Arial" panose="020B0604020202020204" pitchFamily="34" charset="0"/>
            </a:rPr>
            <a:t>Canal Presencial: Retorno paulatino a la atención presencial. Interprete de Señas en Sede Central, disponible a nivel nacional.  </a:t>
          </a:r>
          <a:endParaRPr lang="es-CO" sz="900" b="0">
            <a:latin typeface="Arial" panose="020B0604020202020204" pitchFamily="34" charset="0"/>
            <a:cs typeface="Arial" panose="020B0604020202020204" pitchFamily="34" charset="0"/>
          </a:endParaRPr>
        </a:p>
      </dgm:t>
    </dgm:pt>
    <dgm:pt modelId="{15FFCAAF-CD84-4DEF-93E4-9C393953C237}" type="parTrans" cxnId="{2C87D091-513D-4881-A606-7EE862C17BED}">
      <dgm:prSet/>
      <dgm:spPr/>
      <dgm:t>
        <a:bodyPr/>
        <a:lstStyle/>
        <a:p>
          <a:pPr algn="ctr"/>
          <a:endParaRPr lang="es-CO" sz="900"/>
        </a:p>
      </dgm:t>
    </dgm:pt>
    <dgm:pt modelId="{7BD89541-564E-4A72-A981-11EE266D459A}" type="sibTrans" cxnId="{2C87D091-513D-4881-A606-7EE862C17BED}">
      <dgm:prSet/>
      <dgm:spPr/>
      <dgm:t>
        <a:bodyPr/>
        <a:lstStyle/>
        <a:p>
          <a:pPr algn="ctr"/>
          <a:endParaRPr lang="es-CO" sz="900"/>
        </a:p>
      </dgm:t>
    </dgm:pt>
    <dgm:pt modelId="{F5C892CC-074D-4CDD-8486-6F50E3C6EDB2}">
      <dgm:prSet phldrT="[Texto]" custT="1"/>
      <dgm:spPr/>
      <dgm:t>
        <a:bodyPr/>
        <a:lstStyle/>
        <a:p>
          <a:pPr algn="ctr"/>
          <a:r>
            <a:rPr lang="es-CO" sz="900" b="0" dirty="0">
              <a:solidFill>
                <a:sysClr val="windowText" lastClr="000000"/>
              </a:solidFill>
              <a:latin typeface="Arial" panose="020B0604020202020204" pitchFamily="34" charset="0"/>
              <a:cs typeface="Arial" panose="020B0604020202020204" pitchFamily="34" charset="0"/>
            </a:rPr>
            <a:t>Canal Virtual: </a:t>
          </a:r>
          <a:r>
            <a:rPr lang="es-ES" sz="900" b="0" dirty="0">
              <a:solidFill>
                <a:sysClr val="windowText" lastClr="000000"/>
              </a:solidFill>
              <a:latin typeface="Arial" panose="020B0604020202020204" pitchFamily="34" charset="0"/>
              <a:ea typeface="Source Sans Pro Light" panose="020B0403030403020204" pitchFamily="34" charset="0"/>
              <a:cs typeface="Arial" panose="020B0604020202020204" pitchFamily="34" charset="0"/>
            </a:rPr>
            <a:t>Para el 2021, el 100% de las interacciones de las redes sociales del IGAC son contestadas en un término no mayor a 2 días.</a:t>
          </a:r>
          <a:endParaRPr lang="es-CO" sz="900" b="0">
            <a:latin typeface="Arial" panose="020B0604020202020204" pitchFamily="34" charset="0"/>
            <a:cs typeface="Arial" panose="020B0604020202020204" pitchFamily="34" charset="0"/>
          </a:endParaRPr>
        </a:p>
      </dgm:t>
    </dgm:pt>
    <dgm:pt modelId="{56AFC086-5A3B-4083-BCBD-7326E870D749}" type="parTrans" cxnId="{519FF015-4369-4138-80D1-3C838FCA51CD}">
      <dgm:prSet/>
      <dgm:spPr/>
      <dgm:t>
        <a:bodyPr/>
        <a:lstStyle/>
        <a:p>
          <a:pPr algn="ctr"/>
          <a:endParaRPr lang="es-CO" sz="900"/>
        </a:p>
      </dgm:t>
    </dgm:pt>
    <dgm:pt modelId="{ABA71E20-B122-4062-A0EE-3D8183BD7D48}" type="sibTrans" cxnId="{519FF015-4369-4138-80D1-3C838FCA51CD}">
      <dgm:prSet/>
      <dgm:spPr/>
      <dgm:t>
        <a:bodyPr/>
        <a:lstStyle/>
        <a:p>
          <a:pPr algn="ctr"/>
          <a:endParaRPr lang="es-CO" sz="900"/>
        </a:p>
      </dgm:t>
    </dgm:pt>
    <dgm:pt modelId="{8BAAE4EC-4EED-424B-8AF0-BCEA6C8E0BF3}">
      <dgm:prSet phldrT="[Texto]" custT="1"/>
      <dgm:spPr/>
      <dgm:t>
        <a:bodyPr/>
        <a:lstStyle/>
        <a:p>
          <a:pPr algn="ctr" rtl="0"/>
          <a:r>
            <a:rPr kumimoji="0" lang="es-MX" sz="900" b="0" i="0" u="none" strike="noStrike" cap="none" spc="0" normalizeH="0" baseline="0" noProof="0" dirty="0">
              <a:ln>
                <a:noFill/>
              </a:ln>
              <a:solidFill>
                <a:sysClr val="windowText" lastClr="000000"/>
              </a:solidFill>
              <a:effectLst/>
              <a:uLnTx/>
              <a:uFillTx/>
              <a:latin typeface="Arial" panose="020B0604020202020204" pitchFamily="34" charset="0"/>
              <a:ea typeface="Source Sans Pro Light" panose="020B0403030403020204" pitchFamily="34" charset="0"/>
              <a:cs typeface="Arial" panose="020B0604020202020204" pitchFamily="34" charset="0"/>
            </a:rPr>
            <a:t>En razón a la declaratoria de emergencia sanitaria en todo el territorio nacional se fortalecieron los canales virtuales y telefónicos, consolidando el correo contactenos@igac.gov.co y las líneas de atención nacional.</a:t>
          </a:r>
          <a:endParaRPr lang="es-CO" sz="900" b="0">
            <a:solidFill>
              <a:sysClr val="windowText" lastClr="000000"/>
            </a:solidFill>
            <a:latin typeface="Arial" panose="020B0604020202020204" pitchFamily="34" charset="0"/>
            <a:cs typeface="Arial" panose="020B0604020202020204" pitchFamily="34" charset="0"/>
          </a:endParaRPr>
        </a:p>
      </dgm:t>
    </dgm:pt>
    <dgm:pt modelId="{7FE907FD-6706-4D04-8F82-2041B20D1C1B}" type="parTrans" cxnId="{99DC896B-EF01-43FC-9EB3-193761B25788}">
      <dgm:prSet/>
      <dgm:spPr/>
      <dgm:t>
        <a:bodyPr/>
        <a:lstStyle/>
        <a:p>
          <a:pPr algn="ctr"/>
          <a:endParaRPr lang="es-CO" sz="900"/>
        </a:p>
      </dgm:t>
    </dgm:pt>
    <dgm:pt modelId="{5D6D6ECC-0123-4B13-A8EA-119E144E45F5}" type="sibTrans" cxnId="{99DC896B-EF01-43FC-9EB3-193761B25788}">
      <dgm:prSet/>
      <dgm:spPr/>
      <dgm:t>
        <a:bodyPr/>
        <a:lstStyle/>
        <a:p>
          <a:pPr algn="ctr"/>
          <a:endParaRPr lang="es-CO" sz="900"/>
        </a:p>
      </dgm:t>
    </dgm:pt>
    <dgm:pt modelId="{1ADC19EA-51FC-4A8B-9BAA-6C7B56499F28}">
      <dgm:prSet phldrT="[Texto]" custT="1"/>
      <dgm:spPr>
        <a:blipFill rotWithShape="0">
          <a:blip xmlns:r="http://schemas.openxmlformats.org/officeDocument/2006/relationships" r:embed="rId2"/>
          <a:stretch>
            <a:fillRect/>
          </a:stretch>
        </a:blipFill>
      </dgm:spPr>
      <dgm:t>
        <a:bodyPr/>
        <a:lstStyle/>
        <a:p>
          <a:pPr algn="ctr" rtl="0"/>
          <a:r>
            <a:rPr lang="es-MX" sz="900" b="0">
              <a:latin typeface="Arial" panose="020B0604020202020204" pitchFamily="34" charset="0"/>
              <a:cs typeface="Arial" panose="020B0604020202020204" pitchFamily="34" charset="0"/>
            </a:rPr>
            <a:t>Para el 2021 se implementan indicadores de medición internos para el canal presencial, virtual y telefónico, reflejados en los informes trimestrales.</a:t>
          </a:r>
          <a:endParaRPr lang="es-CO" sz="900" b="0">
            <a:solidFill>
              <a:sysClr val="windowText" lastClr="000000"/>
            </a:solidFill>
            <a:latin typeface="Arial" panose="020B0604020202020204" pitchFamily="34" charset="0"/>
            <a:cs typeface="Arial" panose="020B0604020202020204" pitchFamily="34" charset="0"/>
          </a:endParaRPr>
        </a:p>
      </dgm:t>
    </dgm:pt>
    <dgm:pt modelId="{0452BF35-3296-4642-8862-29C15B5BA56E}" type="parTrans" cxnId="{90662C68-D54B-4194-9E75-7DC06CE387F8}">
      <dgm:prSet/>
      <dgm:spPr/>
      <dgm:t>
        <a:bodyPr/>
        <a:lstStyle/>
        <a:p>
          <a:pPr algn="ctr"/>
          <a:endParaRPr lang="es-CO" sz="900"/>
        </a:p>
      </dgm:t>
    </dgm:pt>
    <dgm:pt modelId="{492F9162-0C39-49FA-BA93-21F0E5C45DDA}" type="sibTrans" cxnId="{90662C68-D54B-4194-9E75-7DC06CE387F8}">
      <dgm:prSet/>
      <dgm:spPr/>
      <dgm:t>
        <a:bodyPr/>
        <a:lstStyle/>
        <a:p>
          <a:pPr algn="ctr"/>
          <a:endParaRPr lang="es-CO" sz="900"/>
        </a:p>
      </dgm:t>
    </dgm:pt>
    <dgm:pt modelId="{36878C9E-9344-4431-B087-ACE578D8A516}" type="pres">
      <dgm:prSet presAssocID="{77B01436-1604-49E8-B173-D6D233CB1BA6}" presName="Name0" presStyleCnt="0">
        <dgm:presLayoutVars>
          <dgm:dir/>
        </dgm:presLayoutVars>
      </dgm:prSet>
      <dgm:spPr/>
      <dgm:t>
        <a:bodyPr/>
        <a:lstStyle/>
        <a:p>
          <a:endParaRPr lang="es-ES"/>
        </a:p>
      </dgm:t>
    </dgm:pt>
    <dgm:pt modelId="{882F1F5A-565D-45CB-91F8-87B95CDFE8A2}" type="pres">
      <dgm:prSet presAssocID="{EA71FF60-3926-4780-8FF3-1BADEB8A6405}" presName="picture_1" presStyleLbl="bgImgPlace1" presStyleIdx="0" presStyleCnt="1"/>
      <dgm:spPr/>
      <dgm:t>
        <a:bodyPr/>
        <a:lstStyle/>
        <a:p>
          <a:endParaRPr lang="es-ES"/>
        </a:p>
      </dgm:t>
    </dgm:pt>
    <dgm:pt modelId="{CA3CD047-065B-4310-A9B1-C84969CB5B35}" type="pres">
      <dgm:prSet presAssocID="{F8876768-1985-4108-9907-6ED67F18219F}" presName="text_1" presStyleLbl="node1" presStyleIdx="0" presStyleCnt="0" custScaleY="15181" custLinFactY="-100000" custLinFactNeighborX="3908" custLinFactNeighborY="-191215">
        <dgm:presLayoutVars>
          <dgm:bulletEnabled val="1"/>
        </dgm:presLayoutVars>
      </dgm:prSet>
      <dgm:spPr/>
      <dgm:t>
        <a:bodyPr/>
        <a:lstStyle/>
        <a:p>
          <a:endParaRPr lang="es-ES"/>
        </a:p>
      </dgm:t>
    </dgm:pt>
    <dgm:pt modelId="{4B04649A-6001-4CF5-A0EC-E32C4B130490}" type="pres">
      <dgm:prSet presAssocID="{77B01436-1604-49E8-B173-D6D233CB1BA6}" presName="linV" presStyleCnt="0"/>
      <dgm:spPr/>
    </dgm:pt>
    <dgm:pt modelId="{8B1A4087-63E6-47A0-BF62-C55FAB5C76A6}" type="pres">
      <dgm:prSet presAssocID="{8BAAE4EC-4EED-424B-8AF0-BCEA6C8E0BF3}" presName="pair" presStyleCnt="0"/>
      <dgm:spPr/>
    </dgm:pt>
    <dgm:pt modelId="{F9901CBC-1C3D-4BC8-847C-4C0972ABEFFE}" type="pres">
      <dgm:prSet presAssocID="{8BAAE4EC-4EED-424B-8AF0-BCEA6C8E0BF3}" presName="spaceH" presStyleLbl="node1" presStyleIdx="0" presStyleCnt="0"/>
      <dgm:spPr/>
    </dgm:pt>
    <dgm:pt modelId="{2E89FF8B-C93F-4584-A090-E321C4960687}" type="pres">
      <dgm:prSet presAssocID="{8BAAE4EC-4EED-424B-8AF0-BCEA6C8E0BF3}" presName="desPictures" presStyleLbl="alignImgPlace1" presStyleIdx="0" presStyleCnt="5"/>
      <dgm:spPr>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dgm:spPr>
    </dgm:pt>
    <dgm:pt modelId="{C6BD61E2-099E-427A-879F-4516B455960B}" type="pres">
      <dgm:prSet presAssocID="{8BAAE4EC-4EED-424B-8AF0-BCEA6C8E0BF3}" presName="desTextWrapper" presStyleCnt="0"/>
      <dgm:spPr/>
    </dgm:pt>
    <dgm:pt modelId="{4CE727B3-F708-4FEF-8D6A-774DDC007988}" type="pres">
      <dgm:prSet presAssocID="{8BAAE4EC-4EED-424B-8AF0-BCEA6C8E0BF3}" presName="desText" presStyleLbl="revTx" presStyleIdx="0" presStyleCnt="5">
        <dgm:presLayoutVars>
          <dgm:bulletEnabled val="1"/>
        </dgm:presLayoutVars>
      </dgm:prSet>
      <dgm:spPr/>
      <dgm:t>
        <a:bodyPr/>
        <a:lstStyle/>
        <a:p>
          <a:endParaRPr lang="es-ES"/>
        </a:p>
      </dgm:t>
    </dgm:pt>
    <dgm:pt modelId="{9E3877CD-54D8-4A06-8D78-BEB6930DB86F}" type="pres">
      <dgm:prSet presAssocID="{5D6D6ECC-0123-4B13-A8EA-119E144E45F5}" presName="spaceV" presStyleCnt="0"/>
      <dgm:spPr/>
    </dgm:pt>
    <dgm:pt modelId="{B88759DB-6A4C-4000-8E4D-82EAA3B9E054}" type="pres">
      <dgm:prSet presAssocID="{1ADC19EA-51FC-4A8B-9BAA-6C7B56499F28}" presName="pair" presStyleCnt="0"/>
      <dgm:spPr/>
    </dgm:pt>
    <dgm:pt modelId="{F75E8C0C-9667-416E-9989-B7B86388F25C}" type="pres">
      <dgm:prSet presAssocID="{1ADC19EA-51FC-4A8B-9BAA-6C7B56499F28}" presName="spaceH" presStyleLbl="node1" presStyleIdx="0" presStyleCnt="0"/>
      <dgm:spPr/>
    </dgm:pt>
    <dgm:pt modelId="{C180DB43-02FE-453C-B940-53CFA50A5D5B}" type="pres">
      <dgm:prSet presAssocID="{1ADC19EA-51FC-4A8B-9BAA-6C7B56499F28}" presName="desPictures" presStyleLbl="alignImgPlace1" presStyleIdx="1" presStyleCnt="5"/>
      <dgm:spPr>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dgm:spPr>
    </dgm:pt>
    <dgm:pt modelId="{BAFD03C9-7877-4C5F-BA65-6F043F31D735}" type="pres">
      <dgm:prSet presAssocID="{1ADC19EA-51FC-4A8B-9BAA-6C7B56499F28}" presName="desTextWrapper" presStyleCnt="0"/>
      <dgm:spPr/>
    </dgm:pt>
    <dgm:pt modelId="{0645ADD1-EAD0-4293-B8AB-4FC5FDF0CAB4}" type="pres">
      <dgm:prSet presAssocID="{1ADC19EA-51FC-4A8B-9BAA-6C7B56499F28}" presName="desText" presStyleLbl="revTx" presStyleIdx="1" presStyleCnt="5">
        <dgm:presLayoutVars>
          <dgm:bulletEnabled val="1"/>
        </dgm:presLayoutVars>
      </dgm:prSet>
      <dgm:spPr/>
      <dgm:t>
        <a:bodyPr/>
        <a:lstStyle/>
        <a:p>
          <a:endParaRPr lang="es-ES"/>
        </a:p>
      </dgm:t>
    </dgm:pt>
    <dgm:pt modelId="{78DD054C-E6FF-4576-9A88-0305378B750B}" type="pres">
      <dgm:prSet presAssocID="{492F9162-0C39-49FA-BA93-21F0E5C45DDA}" presName="spaceV" presStyleCnt="0"/>
      <dgm:spPr/>
    </dgm:pt>
    <dgm:pt modelId="{A4A2870E-EF5A-41DD-8D2F-0B7426AEB886}" type="pres">
      <dgm:prSet presAssocID="{613705F5-2443-4B58-8D8B-A39F6C2FABA0}" presName="pair" presStyleCnt="0"/>
      <dgm:spPr/>
    </dgm:pt>
    <dgm:pt modelId="{035AB7D1-47D3-4441-9C13-51AFD5A8B40B}" type="pres">
      <dgm:prSet presAssocID="{613705F5-2443-4B58-8D8B-A39F6C2FABA0}" presName="spaceH" presStyleLbl="node1" presStyleIdx="0" presStyleCnt="0"/>
      <dgm:spPr/>
    </dgm:pt>
    <dgm:pt modelId="{CBC101F9-A60D-4FFE-A7EB-A14782FBEDD5}" type="pres">
      <dgm:prSet presAssocID="{613705F5-2443-4B58-8D8B-A39F6C2FABA0}" presName="desPictures" presStyleLbl="alignImgPlace1" presStyleIdx="2" presStyleCnt="5"/>
      <dgm:spPr>
        <a:blipFill>
          <a:blip xmlns:r="http://schemas.openxmlformats.org/officeDocument/2006/relationships" r:embed="rId5">
            <a:extLst>
              <a:ext uri="{28A0092B-C50C-407E-A947-70E740481C1C}">
                <a14:useLocalDpi xmlns:a14="http://schemas.microsoft.com/office/drawing/2010/main" val="0"/>
              </a:ext>
            </a:extLst>
          </a:blip>
          <a:srcRect/>
          <a:stretch>
            <a:fillRect l="-3000" r="-3000"/>
          </a:stretch>
        </a:blipFill>
      </dgm:spPr>
    </dgm:pt>
    <dgm:pt modelId="{FA7356DE-8A01-4078-B381-568CFBD243A9}" type="pres">
      <dgm:prSet presAssocID="{613705F5-2443-4B58-8D8B-A39F6C2FABA0}" presName="desTextWrapper" presStyleCnt="0"/>
      <dgm:spPr/>
    </dgm:pt>
    <dgm:pt modelId="{CB9B52F6-AE98-4931-A56E-807A92514868}" type="pres">
      <dgm:prSet presAssocID="{613705F5-2443-4B58-8D8B-A39F6C2FABA0}" presName="desText" presStyleLbl="revTx" presStyleIdx="2" presStyleCnt="5" custLinFactNeighborY="18413">
        <dgm:presLayoutVars>
          <dgm:bulletEnabled val="1"/>
        </dgm:presLayoutVars>
      </dgm:prSet>
      <dgm:spPr/>
      <dgm:t>
        <a:bodyPr/>
        <a:lstStyle/>
        <a:p>
          <a:endParaRPr lang="es-ES"/>
        </a:p>
      </dgm:t>
    </dgm:pt>
    <dgm:pt modelId="{906A8CE8-7506-41A6-ADF5-20FFEF7F8176}" type="pres">
      <dgm:prSet presAssocID="{B16D22A8-F02A-4147-A56D-30BC517D49BC}" presName="spaceV" presStyleCnt="0"/>
      <dgm:spPr/>
    </dgm:pt>
    <dgm:pt modelId="{02C5FC64-6A24-470A-B011-EC945E7182F9}" type="pres">
      <dgm:prSet presAssocID="{4D1D0EBF-3A3F-4930-8903-2857076716E7}" presName="pair" presStyleCnt="0"/>
      <dgm:spPr/>
    </dgm:pt>
    <dgm:pt modelId="{57279773-44BE-46B8-B6D3-E77862730B88}" type="pres">
      <dgm:prSet presAssocID="{4D1D0EBF-3A3F-4930-8903-2857076716E7}" presName="spaceH" presStyleLbl="node1" presStyleIdx="0" presStyleCnt="0"/>
      <dgm:spPr/>
    </dgm:pt>
    <dgm:pt modelId="{712B2985-6468-40F3-A61B-27BEF117AF73}" type="pres">
      <dgm:prSet presAssocID="{4D1D0EBF-3A3F-4930-8903-2857076716E7}" presName="desPictures" presStyleLbl="alignImgPlace1" presStyleIdx="3" presStyleCnt="5"/>
      <dgm:spPr>
        <a:blipFill>
          <a:blip xmlns:r="http://schemas.openxmlformats.org/officeDocument/2006/relationships" r:embed="rId6">
            <a:extLst>
              <a:ext uri="{28A0092B-C50C-407E-A947-70E740481C1C}">
                <a14:useLocalDpi xmlns:a14="http://schemas.microsoft.com/office/drawing/2010/main" val="0"/>
              </a:ext>
            </a:extLst>
          </a:blip>
          <a:srcRect/>
          <a:stretch>
            <a:fillRect l="-3000" r="-3000"/>
          </a:stretch>
        </a:blipFill>
      </dgm:spPr>
    </dgm:pt>
    <dgm:pt modelId="{C1771EEB-B96E-4B1F-AADE-83E2A42D22DC}" type="pres">
      <dgm:prSet presAssocID="{4D1D0EBF-3A3F-4930-8903-2857076716E7}" presName="desTextWrapper" presStyleCnt="0"/>
      <dgm:spPr/>
    </dgm:pt>
    <dgm:pt modelId="{6A6CAD2B-76F3-4947-A6DF-9D7D1BB04571}" type="pres">
      <dgm:prSet presAssocID="{4D1D0EBF-3A3F-4930-8903-2857076716E7}" presName="desText" presStyleLbl="revTx" presStyleIdx="3" presStyleCnt="5" custLinFactNeighborY="23528">
        <dgm:presLayoutVars>
          <dgm:bulletEnabled val="1"/>
        </dgm:presLayoutVars>
      </dgm:prSet>
      <dgm:spPr/>
      <dgm:t>
        <a:bodyPr/>
        <a:lstStyle/>
        <a:p>
          <a:endParaRPr lang="es-ES"/>
        </a:p>
      </dgm:t>
    </dgm:pt>
    <dgm:pt modelId="{3FDCE212-39DF-4582-BF4F-4ECBB16B5E0C}" type="pres">
      <dgm:prSet presAssocID="{7BD89541-564E-4A72-A981-11EE266D459A}" presName="spaceV" presStyleCnt="0"/>
      <dgm:spPr/>
    </dgm:pt>
    <dgm:pt modelId="{3B96E7AA-F2A4-487B-B81E-0B27794469A3}" type="pres">
      <dgm:prSet presAssocID="{F5C892CC-074D-4CDD-8486-6F50E3C6EDB2}" presName="pair" presStyleCnt="0"/>
      <dgm:spPr/>
    </dgm:pt>
    <dgm:pt modelId="{0C3FE788-B195-4AFF-A25A-34F1D8074244}" type="pres">
      <dgm:prSet presAssocID="{F5C892CC-074D-4CDD-8486-6F50E3C6EDB2}" presName="spaceH" presStyleLbl="node1" presStyleIdx="0" presStyleCnt="0"/>
      <dgm:spPr/>
    </dgm:pt>
    <dgm:pt modelId="{EBA869AE-E347-49FA-8418-91579B6FBC15}" type="pres">
      <dgm:prSet presAssocID="{F5C892CC-074D-4CDD-8486-6F50E3C6EDB2}" presName="desPictures" presStyleLbl="alignImgPlace1" presStyleIdx="4" presStyleCnt="5"/>
      <dgm:spPr>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dgm:spPr>
    </dgm:pt>
    <dgm:pt modelId="{25827673-4795-4289-976C-678B3F865E64}" type="pres">
      <dgm:prSet presAssocID="{F5C892CC-074D-4CDD-8486-6F50E3C6EDB2}" presName="desTextWrapper" presStyleCnt="0"/>
      <dgm:spPr/>
    </dgm:pt>
    <dgm:pt modelId="{68726399-41D5-4072-81EF-FEF82A98F173}" type="pres">
      <dgm:prSet presAssocID="{F5C892CC-074D-4CDD-8486-6F50E3C6EDB2}" presName="desText" presStyleLbl="revTx" presStyleIdx="4" presStyleCnt="5">
        <dgm:presLayoutVars>
          <dgm:bulletEnabled val="1"/>
        </dgm:presLayoutVars>
      </dgm:prSet>
      <dgm:spPr/>
      <dgm:t>
        <a:bodyPr/>
        <a:lstStyle/>
        <a:p>
          <a:endParaRPr lang="es-ES"/>
        </a:p>
      </dgm:t>
    </dgm:pt>
    <dgm:pt modelId="{9CC7CF0F-B701-426B-A2A2-CF1B6F52C6CF}" type="pres">
      <dgm:prSet presAssocID="{77B01436-1604-49E8-B173-D6D233CB1BA6}" presName="maxNode" presStyleCnt="0"/>
      <dgm:spPr/>
    </dgm:pt>
    <dgm:pt modelId="{2ED5A2F2-F935-4941-B2EB-60CE751802FD}" type="pres">
      <dgm:prSet presAssocID="{77B01436-1604-49E8-B173-D6D233CB1BA6}" presName="Name33" presStyleCnt="0"/>
      <dgm:spPr/>
    </dgm:pt>
  </dgm:ptLst>
  <dgm:cxnLst>
    <dgm:cxn modelId="{6BA8DBD5-69DC-48BE-AA7E-43EB0BCAAA6B}" type="presOf" srcId="{613705F5-2443-4B58-8D8B-A39F6C2FABA0}" destId="{CB9B52F6-AE98-4931-A56E-807A92514868}" srcOrd="0" destOrd="0" presId="urn:microsoft.com/office/officeart/2008/layout/AccentedPicture"/>
    <dgm:cxn modelId="{519FF015-4369-4138-80D1-3C838FCA51CD}" srcId="{77B01436-1604-49E8-B173-D6D233CB1BA6}" destId="{F5C892CC-074D-4CDD-8486-6F50E3C6EDB2}" srcOrd="5" destOrd="0" parTransId="{56AFC086-5A3B-4083-BCBD-7326E870D749}" sibTransId="{ABA71E20-B122-4062-A0EE-3D8183BD7D48}"/>
    <dgm:cxn modelId="{B12AE03E-F0B1-497E-B2BC-00889D44F9CC}" type="presOf" srcId="{4D1D0EBF-3A3F-4930-8903-2857076716E7}" destId="{6A6CAD2B-76F3-4947-A6DF-9D7D1BB04571}" srcOrd="0" destOrd="0" presId="urn:microsoft.com/office/officeart/2008/layout/AccentedPicture"/>
    <dgm:cxn modelId="{B637B0E6-FC17-42CF-A93B-27B1116E57E5}" srcId="{77B01436-1604-49E8-B173-D6D233CB1BA6}" destId="{613705F5-2443-4B58-8D8B-A39F6C2FABA0}" srcOrd="3" destOrd="0" parTransId="{001AE3F2-BAC6-4DD6-9BA0-8EC8D7E53F16}" sibTransId="{B16D22A8-F02A-4147-A56D-30BC517D49BC}"/>
    <dgm:cxn modelId="{90662C68-D54B-4194-9E75-7DC06CE387F8}" srcId="{77B01436-1604-49E8-B173-D6D233CB1BA6}" destId="{1ADC19EA-51FC-4A8B-9BAA-6C7B56499F28}" srcOrd="2" destOrd="0" parTransId="{0452BF35-3296-4642-8862-29C15B5BA56E}" sibTransId="{492F9162-0C39-49FA-BA93-21F0E5C45DDA}"/>
    <dgm:cxn modelId="{9D82CB72-D7AE-4B43-9D5D-26B76F112370}" type="presOf" srcId="{EA71FF60-3926-4780-8FF3-1BADEB8A6405}" destId="{882F1F5A-565D-45CB-91F8-87B95CDFE8A2}" srcOrd="0" destOrd="0" presId="urn:microsoft.com/office/officeart/2008/layout/AccentedPicture"/>
    <dgm:cxn modelId="{99DC896B-EF01-43FC-9EB3-193761B25788}" srcId="{77B01436-1604-49E8-B173-D6D233CB1BA6}" destId="{8BAAE4EC-4EED-424B-8AF0-BCEA6C8E0BF3}" srcOrd="1" destOrd="0" parTransId="{7FE907FD-6706-4D04-8F82-2041B20D1C1B}" sibTransId="{5D6D6ECC-0123-4B13-A8EA-119E144E45F5}"/>
    <dgm:cxn modelId="{269E12EF-C057-45A7-9F0F-F037C47D5EE5}" srcId="{77B01436-1604-49E8-B173-D6D233CB1BA6}" destId="{F8876768-1985-4108-9907-6ED67F18219F}" srcOrd="0" destOrd="0" parTransId="{9E736966-FC03-4F10-92C0-F704225FBE47}" sibTransId="{EA71FF60-3926-4780-8FF3-1BADEB8A6405}"/>
    <dgm:cxn modelId="{FD1325E2-0179-445B-B30B-8BF31268795F}" type="presOf" srcId="{1ADC19EA-51FC-4A8B-9BAA-6C7B56499F28}" destId="{0645ADD1-EAD0-4293-B8AB-4FC5FDF0CAB4}" srcOrd="0" destOrd="0" presId="urn:microsoft.com/office/officeart/2008/layout/AccentedPicture"/>
    <dgm:cxn modelId="{AB55ED86-6846-4EB0-B266-187F51C185A3}" type="presOf" srcId="{8BAAE4EC-4EED-424B-8AF0-BCEA6C8E0BF3}" destId="{4CE727B3-F708-4FEF-8D6A-774DDC007988}" srcOrd="0" destOrd="0" presId="urn:microsoft.com/office/officeart/2008/layout/AccentedPicture"/>
    <dgm:cxn modelId="{9947E347-A407-4CB7-B205-377B17A0C5D6}" type="presOf" srcId="{F8876768-1985-4108-9907-6ED67F18219F}" destId="{CA3CD047-065B-4310-A9B1-C84969CB5B35}" srcOrd="0" destOrd="0" presId="urn:microsoft.com/office/officeart/2008/layout/AccentedPicture"/>
    <dgm:cxn modelId="{E9B142C0-B766-44F2-93FA-0EBD336341E1}" type="presOf" srcId="{77B01436-1604-49E8-B173-D6D233CB1BA6}" destId="{36878C9E-9344-4431-B087-ACE578D8A516}" srcOrd="0" destOrd="0" presId="urn:microsoft.com/office/officeart/2008/layout/AccentedPicture"/>
    <dgm:cxn modelId="{636540C8-06EB-4526-9938-ECA715E31103}" type="presOf" srcId="{F5C892CC-074D-4CDD-8486-6F50E3C6EDB2}" destId="{68726399-41D5-4072-81EF-FEF82A98F173}" srcOrd="0" destOrd="0" presId="urn:microsoft.com/office/officeart/2008/layout/AccentedPicture"/>
    <dgm:cxn modelId="{2C87D091-513D-4881-A606-7EE862C17BED}" srcId="{77B01436-1604-49E8-B173-D6D233CB1BA6}" destId="{4D1D0EBF-3A3F-4930-8903-2857076716E7}" srcOrd="4" destOrd="0" parTransId="{15FFCAAF-CD84-4DEF-93E4-9C393953C237}" sibTransId="{7BD89541-564E-4A72-A981-11EE266D459A}"/>
    <dgm:cxn modelId="{695D7419-4D17-4BFC-A8DE-2523E65C57F3}" type="presParOf" srcId="{36878C9E-9344-4431-B087-ACE578D8A516}" destId="{882F1F5A-565D-45CB-91F8-87B95CDFE8A2}" srcOrd="0" destOrd="0" presId="urn:microsoft.com/office/officeart/2008/layout/AccentedPicture"/>
    <dgm:cxn modelId="{0399D3F3-D491-4602-B35E-6DA636436355}" type="presParOf" srcId="{36878C9E-9344-4431-B087-ACE578D8A516}" destId="{CA3CD047-065B-4310-A9B1-C84969CB5B35}" srcOrd="1" destOrd="0" presId="urn:microsoft.com/office/officeart/2008/layout/AccentedPicture"/>
    <dgm:cxn modelId="{74E385A2-ECA4-4ED1-8A2A-D66EE47648D0}" type="presParOf" srcId="{36878C9E-9344-4431-B087-ACE578D8A516}" destId="{4B04649A-6001-4CF5-A0EC-E32C4B130490}" srcOrd="2" destOrd="0" presId="urn:microsoft.com/office/officeart/2008/layout/AccentedPicture"/>
    <dgm:cxn modelId="{D05FC972-D8BD-4A6A-A9E5-EFBD1DBA4457}" type="presParOf" srcId="{4B04649A-6001-4CF5-A0EC-E32C4B130490}" destId="{8B1A4087-63E6-47A0-BF62-C55FAB5C76A6}" srcOrd="0" destOrd="0" presId="urn:microsoft.com/office/officeart/2008/layout/AccentedPicture"/>
    <dgm:cxn modelId="{21B88D74-06EE-4163-9D0F-6AEE765EB882}" type="presParOf" srcId="{8B1A4087-63E6-47A0-BF62-C55FAB5C76A6}" destId="{F9901CBC-1C3D-4BC8-847C-4C0972ABEFFE}" srcOrd="0" destOrd="0" presId="urn:microsoft.com/office/officeart/2008/layout/AccentedPicture"/>
    <dgm:cxn modelId="{D677CBF7-8D94-41C8-924C-126FCD2C42B5}" type="presParOf" srcId="{8B1A4087-63E6-47A0-BF62-C55FAB5C76A6}" destId="{2E89FF8B-C93F-4584-A090-E321C4960687}" srcOrd="1" destOrd="0" presId="urn:microsoft.com/office/officeart/2008/layout/AccentedPicture"/>
    <dgm:cxn modelId="{80A0AD88-F735-4D7A-B471-FEF9134DA172}" type="presParOf" srcId="{8B1A4087-63E6-47A0-BF62-C55FAB5C76A6}" destId="{C6BD61E2-099E-427A-879F-4516B455960B}" srcOrd="2" destOrd="0" presId="urn:microsoft.com/office/officeart/2008/layout/AccentedPicture"/>
    <dgm:cxn modelId="{2B793F5A-5754-40C7-846B-4BD5F42AB826}" type="presParOf" srcId="{C6BD61E2-099E-427A-879F-4516B455960B}" destId="{4CE727B3-F708-4FEF-8D6A-774DDC007988}" srcOrd="0" destOrd="0" presId="urn:microsoft.com/office/officeart/2008/layout/AccentedPicture"/>
    <dgm:cxn modelId="{97CC00E3-0387-445F-82C7-2C6AF61163B0}" type="presParOf" srcId="{4B04649A-6001-4CF5-A0EC-E32C4B130490}" destId="{9E3877CD-54D8-4A06-8D78-BEB6930DB86F}" srcOrd="1" destOrd="0" presId="urn:microsoft.com/office/officeart/2008/layout/AccentedPicture"/>
    <dgm:cxn modelId="{1586F392-BB59-4ADB-9726-7037BFB7C5E6}" type="presParOf" srcId="{4B04649A-6001-4CF5-A0EC-E32C4B130490}" destId="{B88759DB-6A4C-4000-8E4D-82EAA3B9E054}" srcOrd="2" destOrd="0" presId="urn:microsoft.com/office/officeart/2008/layout/AccentedPicture"/>
    <dgm:cxn modelId="{C571F89C-5A80-43CF-95EB-583C6ECDEAAC}" type="presParOf" srcId="{B88759DB-6A4C-4000-8E4D-82EAA3B9E054}" destId="{F75E8C0C-9667-416E-9989-B7B86388F25C}" srcOrd="0" destOrd="0" presId="urn:microsoft.com/office/officeart/2008/layout/AccentedPicture"/>
    <dgm:cxn modelId="{97534A09-4433-44C0-8D5A-54EF8CBA43EF}" type="presParOf" srcId="{B88759DB-6A4C-4000-8E4D-82EAA3B9E054}" destId="{C180DB43-02FE-453C-B940-53CFA50A5D5B}" srcOrd="1" destOrd="0" presId="urn:microsoft.com/office/officeart/2008/layout/AccentedPicture"/>
    <dgm:cxn modelId="{D0DE47AB-5824-4979-8FB0-CEFDAEDCCA44}" type="presParOf" srcId="{B88759DB-6A4C-4000-8E4D-82EAA3B9E054}" destId="{BAFD03C9-7877-4C5F-BA65-6F043F31D735}" srcOrd="2" destOrd="0" presId="urn:microsoft.com/office/officeart/2008/layout/AccentedPicture"/>
    <dgm:cxn modelId="{B82F2E62-13DF-43DF-A247-C99A5DFA45A0}" type="presParOf" srcId="{BAFD03C9-7877-4C5F-BA65-6F043F31D735}" destId="{0645ADD1-EAD0-4293-B8AB-4FC5FDF0CAB4}" srcOrd="0" destOrd="0" presId="urn:microsoft.com/office/officeart/2008/layout/AccentedPicture"/>
    <dgm:cxn modelId="{18780DCB-6350-489A-BF29-23DCBAB4D4A9}" type="presParOf" srcId="{4B04649A-6001-4CF5-A0EC-E32C4B130490}" destId="{78DD054C-E6FF-4576-9A88-0305378B750B}" srcOrd="3" destOrd="0" presId="urn:microsoft.com/office/officeart/2008/layout/AccentedPicture"/>
    <dgm:cxn modelId="{B783AA5B-A73C-480D-B13D-E7E99A3950C8}" type="presParOf" srcId="{4B04649A-6001-4CF5-A0EC-E32C4B130490}" destId="{A4A2870E-EF5A-41DD-8D2F-0B7426AEB886}" srcOrd="4" destOrd="0" presId="urn:microsoft.com/office/officeart/2008/layout/AccentedPicture"/>
    <dgm:cxn modelId="{939B2424-ADC5-4773-9A27-C90DCBDB98DE}" type="presParOf" srcId="{A4A2870E-EF5A-41DD-8D2F-0B7426AEB886}" destId="{035AB7D1-47D3-4441-9C13-51AFD5A8B40B}" srcOrd="0" destOrd="0" presId="urn:microsoft.com/office/officeart/2008/layout/AccentedPicture"/>
    <dgm:cxn modelId="{9812CA13-738A-45A7-B21E-A6339E01CB09}" type="presParOf" srcId="{A4A2870E-EF5A-41DD-8D2F-0B7426AEB886}" destId="{CBC101F9-A60D-4FFE-A7EB-A14782FBEDD5}" srcOrd="1" destOrd="0" presId="urn:microsoft.com/office/officeart/2008/layout/AccentedPicture"/>
    <dgm:cxn modelId="{E2B3D0AF-44AA-4F7F-8CD5-F857361468DC}" type="presParOf" srcId="{A4A2870E-EF5A-41DD-8D2F-0B7426AEB886}" destId="{FA7356DE-8A01-4078-B381-568CFBD243A9}" srcOrd="2" destOrd="0" presId="urn:microsoft.com/office/officeart/2008/layout/AccentedPicture"/>
    <dgm:cxn modelId="{88D61F41-0189-4E69-96D6-98D63A9AEC1B}" type="presParOf" srcId="{FA7356DE-8A01-4078-B381-568CFBD243A9}" destId="{CB9B52F6-AE98-4931-A56E-807A92514868}" srcOrd="0" destOrd="0" presId="urn:microsoft.com/office/officeart/2008/layout/AccentedPicture"/>
    <dgm:cxn modelId="{2DCA39DD-ACF3-40B2-B27E-489FC7062511}" type="presParOf" srcId="{4B04649A-6001-4CF5-A0EC-E32C4B130490}" destId="{906A8CE8-7506-41A6-ADF5-20FFEF7F8176}" srcOrd="5" destOrd="0" presId="urn:microsoft.com/office/officeart/2008/layout/AccentedPicture"/>
    <dgm:cxn modelId="{5AD3CDAB-C4AE-40FD-920B-E574BFE80D84}" type="presParOf" srcId="{4B04649A-6001-4CF5-A0EC-E32C4B130490}" destId="{02C5FC64-6A24-470A-B011-EC945E7182F9}" srcOrd="6" destOrd="0" presId="urn:microsoft.com/office/officeart/2008/layout/AccentedPicture"/>
    <dgm:cxn modelId="{A7FF266F-956F-42CE-B123-8AC9B3D8C922}" type="presParOf" srcId="{02C5FC64-6A24-470A-B011-EC945E7182F9}" destId="{57279773-44BE-46B8-B6D3-E77862730B88}" srcOrd="0" destOrd="0" presId="urn:microsoft.com/office/officeart/2008/layout/AccentedPicture"/>
    <dgm:cxn modelId="{E8E0C7ED-B78F-42F5-A1FD-40256A65F183}" type="presParOf" srcId="{02C5FC64-6A24-470A-B011-EC945E7182F9}" destId="{712B2985-6468-40F3-A61B-27BEF117AF73}" srcOrd="1" destOrd="0" presId="urn:microsoft.com/office/officeart/2008/layout/AccentedPicture"/>
    <dgm:cxn modelId="{37F61902-F37E-4BD2-A2F0-583D071932E5}" type="presParOf" srcId="{02C5FC64-6A24-470A-B011-EC945E7182F9}" destId="{C1771EEB-B96E-4B1F-AADE-83E2A42D22DC}" srcOrd="2" destOrd="0" presId="urn:microsoft.com/office/officeart/2008/layout/AccentedPicture"/>
    <dgm:cxn modelId="{C65E402F-3A80-4C6B-B2E6-1E70F824AC76}" type="presParOf" srcId="{C1771EEB-B96E-4B1F-AADE-83E2A42D22DC}" destId="{6A6CAD2B-76F3-4947-A6DF-9D7D1BB04571}" srcOrd="0" destOrd="0" presId="urn:microsoft.com/office/officeart/2008/layout/AccentedPicture"/>
    <dgm:cxn modelId="{B943DE43-5DED-400C-8598-5951427A3CF1}" type="presParOf" srcId="{4B04649A-6001-4CF5-A0EC-E32C4B130490}" destId="{3FDCE212-39DF-4582-BF4F-4ECBB16B5E0C}" srcOrd="7" destOrd="0" presId="urn:microsoft.com/office/officeart/2008/layout/AccentedPicture"/>
    <dgm:cxn modelId="{01B59BE5-8993-4842-8D65-2CE032E593B3}" type="presParOf" srcId="{4B04649A-6001-4CF5-A0EC-E32C4B130490}" destId="{3B96E7AA-F2A4-487B-B81E-0B27794469A3}" srcOrd="8" destOrd="0" presId="urn:microsoft.com/office/officeart/2008/layout/AccentedPicture"/>
    <dgm:cxn modelId="{62898A8F-E79A-4835-B24B-722168D3F1EF}" type="presParOf" srcId="{3B96E7AA-F2A4-487B-B81E-0B27794469A3}" destId="{0C3FE788-B195-4AFF-A25A-34F1D8074244}" srcOrd="0" destOrd="0" presId="urn:microsoft.com/office/officeart/2008/layout/AccentedPicture"/>
    <dgm:cxn modelId="{CF583D52-252F-4DBF-B75D-C19D253C8FF7}" type="presParOf" srcId="{3B96E7AA-F2A4-487B-B81E-0B27794469A3}" destId="{EBA869AE-E347-49FA-8418-91579B6FBC15}" srcOrd="1" destOrd="0" presId="urn:microsoft.com/office/officeart/2008/layout/AccentedPicture"/>
    <dgm:cxn modelId="{D5C35FD1-0CCC-428B-829A-454921EC39B5}" type="presParOf" srcId="{3B96E7AA-F2A4-487B-B81E-0B27794469A3}" destId="{25827673-4795-4289-976C-678B3F865E64}" srcOrd="2" destOrd="0" presId="urn:microsoft.com/office/officeart/2008/layout/AccentedPicture"/>
    <dgm:cxn modelId="{A793F576-5BC7-4448-B832-3F0126694CDA}" type="presParOf" srcId="{25827673-4795-4289-976C-678B3F865E64}" destId="{68726399-41D5-4072-81EF-FEF82A98F173}" srcOrd="0" destOrd="0" presId="urn:microsoft.com/office/officeart/2008/layout/AccentedPicture"/>
    <dgm:cxn modelId="{2BF088D8-365E-4BE8-866A-AB5B74A746BC}" type="presParOf" srcId="{36878C9E-9344-4431-B087-ACE578D8A516}" destId="{9CC7CF0F-B701-426B-A2A2-CF1B6F52C6CF}" srcOrd="3" destOrd="0" presId="urn:microsoft.com/office/officeart/2008/layout/AccentedPicture"/>
    <dgm:cxn modelId="{B0AE94F6-643B-47C7-AB88-BF135EA3CB32}" type="presParOf" srcId="{9CC7CF0F-B701-426B-A2A2-CF1B6F52C6CF}" destId="{2ED5A2F2-F935-4941-B2EB-60CE751802FD}" srcOrd="0" destOrd="0" presId="urn:microsoft.com/office/officeart/2008/layout/AccentedPicture"/>
  </dgm:cxnLst>
  <dgm:bg/>
  <dgm:whole/>
  <dgm:extLst>
    <a:ext uri="http://schemas.microsoft.com/office/drawing/2008/diagram">
      <dsp:dataModelExt xmlns:dsp="http://schemas.microsoft.com/office/drawing/2008/diagram" relId="rId17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30AEBE6-73B4-4E1A-9280-27AD442C8CAA}">
      <dsp:nvSpPr>
        <dsp:cNvPr id="0" name=""/>
        <dsp:cNvSpPr/>
      </dsp:nvSpPr>
      <dsp:spPr>
        <a:xfrm>
          <a:off x="60462" y="111970"/>
          <a:ext cx="1823722" cy="2326176"/>
        </a:xfrm>
        <a:prstGeom prst="round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5C4042FE-2C1A-47B0-8028-5785EC49AED2}">
      <dsp:nvSpPr>
        <dsp:cNvPr id="0" name=""/>
        <dsp:cNvSpPr/>
      </dsp:nvSpPr>
      <dsp:spPr>
        <a:xfrm>
          <a:off x="182695" y="825469"/>
          <a:ext cx="1404266" cy="45070"/>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50800" tIns="50800" rIns="50800" bIns="50800" numCol="1" spcCol="1270" anchor="b" anchorCtr="0">
          <a:noAutofit/>
        </a:bodyPr>
        <a:lstStyle/>
        <a:p>
          <a:pPr lvl="0" algn="ctr" defTabSz="889000">
            <a:lnSpc>
              <a:spcPct val="90000"/>
            </a:lnSpc>
            <a:spcBef>
              <a:spcPct val="0"/>
            </a:spcBef>
            <a:spcAft>
              <a:spcPct val="35000"/>
            </a:spcAft>
          </a:pPr>
          <a:endParaRPr lang="es-CO" sz="2000" b="1" kern="1200">
            <a:solidFill>
              <a:sysClr val="windowText" lastClr="000000"/>
            </a:solidFill>
            <a:latin typeface="Arial" panose="020B0604020202020204" pitchFamily="34" charset="0"/>
            <a:cs typeface="Arial" panose="020B0604020202020204" pitchFamily="34" charset="0"/>
          </a:endParaRPr>
        </a:p>
      </dsp:txBody>
      <dsp:txXfrm>
        <a:off x="182695" y="825469"/>
        <a:ext cx="1404266" cy="45070"/>
      </dsp:txXfrm>
    </dsp:sp>
    <dsp:sp modelId="{76D9F045-9884-490A-86F7-1C1C482A6818}">
      <dsp:nvSpPr>
        <dsp:cNvPr id="0" name=""/>
        <dsp:cNvSpPr/>
      </dsp:nvSpPr>
      <dsp:spPr>
        <a:xfrm>
          <a:off x="1645391" y="732"/>
          <a:ext cx="447130" cy="447130"/>
        </a:xfrm>
        <a:prstGeom prst="ellipse">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EFD48E9-AC0B-49EB-B12E-CABE9F9F4357}">
      <dsp:nvSpPr>
        <dsp:cNvPr id="0" name=""/>
        <dsp:cNvSpPr/>
      </dsp:nvSpPr>
      <dsp:spPr>
        <a:xfrm>
          <a:off x="2092521" y="732"/>
          <a:ext cx="3335943" cy="44713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kern="1200">
              <a:latin typeface="Arial" panose="020B0604020202020204" pitchFamily="34" charset="0"/>
              <a:cs typeface="Arial" panose="020B0604020202020204" pitchFamily="34" charset="0"/>
            </a:rPr>
            <a:t>Diagnóstico del estado de peticiones, identificación de los responsables por dependencia, clasificación según la gestión para posterior cierre.</a:t>
          </a:r>
          <a:endParaRPr lang="es-CO" sz="900" kern="1200"/>
        </a:p>
      </dsp:txBody>
      <dsp:txXfrm>
        <a:off x="2092521" y="732"/>
        <a:ext cx="3335943" cy="447130"/>
      </dsp:txXfrm>
    </dsp:sp>
    <dsp:sp modelId="{8EB2B147-F7A5-448A-A919-D6DA5198596B}">
      <dsp:nvSpPr>
        <dsp:cNvPr id="0" name=""/>
        <dsp:cNvSpPr/>
      </dsp:nvSpPr>
      <dsp:spPr>
        <a:xfrm>
          <a:off x="1645391" y="528346"/>
          <a:ext cx="447130" cy="447130"/>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49B28CA-BB8A-4D65-9260-28765495B285}">
      <dsp:nvSpPr>
        <dsp:cNvPr id="0" name=""/>
        <dsp:cNvSpPr/>
      </dsp:nvSpPr>
      <dsp:spPr>
        <a:xfrm>
          <a:off x="2092521" y="528346"/>
          <a:ext cx="3335943" cy="44713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altLang="es-CO" sz="900" kern="1200" dirty="0">
              <a:solidFill>
                <a:schemeClr val="tx1"/>
              </a:solidFill>
              <a:latin typeface="Arial" panose="020B0604020202020204" pitchFamily="34" charset="0"/>
              <a:cs typeface="Arial" panose="020B0604020202020204" pitchFamily="34" charset="0"/>
            </a:rPr>
            <a:t>Implementación de indicadores de oportunidad y productividad</a:t>
          </a:r>
          <a:endParaRPr lang="es-CO" sz="900" kern="1200"/>
        </a:p>
      </dsp:txBody>
      <dsp:txXfrm>
        <a:off x="2092521" y="528346"/>
        <a:ext cx="3335943" cy="447130"/>
      </dsp:txXfrm>
    </dsp:sp>
    <dsp:sp modelId="{32F42C25-330B-445A-830D-C5D94F129B4B}">
      <dsp:nvSpPr>
        <dsp:cNvPr id="0" name=""/>
        <dsp:cNvSpPr/>
      </dsp:nvSpPr>
      <dsp:spPr>
        <a:xfrm>
          <a:off x="1645391" y="1055959"/>
          <a:ext cx="447130" cy="447130"/>
        </a:xfrm>
        <a:prstGeom prst="ellipse">
          <a:avLst/>
        </a:prstGeom>
        <a:blipFill>
          <a:blip xmlns:r="http://schemas.openxmlformats.org/officeDocument/2006/relationships" r:embed="rId4"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09529919-281D-4D52-8E91-24B669E18C7A}">
      <dsp:nvSpPr>
        <dsp:cNvPr id="0" name=""/>
        <dsp:cNvSpPr/>
      </dsp:nvSpPr>
      <dsp:spPr>
        <a:xfrm>
          <a:off x="2092521" y="1055959"/>
          <a:ext cx="3335943" cy="44713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altLang="es-CO" sz="900" kern="1200" dirty="0">
              <a:solidFill>
                <a:schemeClr val="tx1"/>
              </a:solidFill>
              <a:latin typeface="Arial" panose="020B0604020202020204" pitchFamily="34" charset="0"/>
              <a:cs typeface="Arial" panose="020B0604020202020204" pitchFamily="34" charset="0"/>
            </a:rPr>
            <a:t>Seguimiento periódico de la gestión de las peticiones por dependencia en los comités directivos.</a:t>
          </a:r>
          <a:endParaRPr lang="es-CO" sz="900" kern="1200"/>
        </a:p>
      </dsp:txBody>
      <dsp:txXfrm>
        <a:off x="2092521" y="1055959"/>
        <a:ext cx="3335943" cy="447130"/>
      </dsp:txXfrm>
    </dsp:sp>
    <dsp:sp modelId="{65428061-464F-4B66-A753-66E3E2EF4B32}">
      <dsp:nvSpPr>
        <dsp:cNvPr id="0" name=""/>
        <dsp:cNvSpPr/>
      </dsp:nvSpPr>
      <dsp:spPr>
        <a:xfrm>
          <a:off x="1645391" y="1583573"/>
          <a:ext cx="447130" cy="447130"/>
        </a:xfrm>
        <a:prstGeom prst="ellipse">
          <a:avLst/>
        </a:prstGeom>
        <a:blipFill>
          <a:blip xmlns:r="http://schemas.openxmlformats.org/officeDocument/2006/relationships" r:embed="rId5"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95A4C6DE-7E28-47DC-B9CD-7AA0AF345B2F}">
      <dsp:nvSpPr>
        <dsp:cNvPr id="0" name=""/>
        <dsp:cNvSpPr/>
      </dsp:nvSpPr>
      <dsp:spPr>
        <a:xfrm>
          <a:off x="2092521" y="1583573"/>
          <a:ext cx="3335943" cy="44713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altLang="es-CO" sz="900" kern="1200" dirty="0">
              <a:solidFill>
                <a:sysClr val="windowText" lastClr="000000"/>
              </a:solidFill>
              <a:latin typeface="Arial" panose="020B0604020202020204" pitchFamily="34" charset="0"/>
              <a:cs typeface="Arial" panose="020B0604020202020204" pitchFamily="34" charset="0"/>
            </a:rPr>
            <a:t>De las 34.701 PQRSD recibidas en la vigencia actual a nivel nacional se atendieron 23.761; arrojando un indicador de productividad del 68% y de oportunidad del 67% (Corte del 26 de octubre del 2021).</a:t>
          </a:r>
          <a:endParaRPr lang="es-CO" sz="900" kern="1200">
            <a:solidFill>
              <a:sysClr val="windowText" lastClr="000000"/>
            </a:solidFill>
          </a:endParaRPr>
        </a:p>
      </dsp:txBody>
      <dsp:txXfrm>
        <a:off x="2092521" y="1583573"/>
        <a:ext cx="3335943" cy="447130"/>
      </dsp:txXfrm>
    </dsp:sp>
    <dsp:sp modelId="{553EFA95-5C5B-4D0B-8679-E775FA8E0C04}">
      <dsp:nvSpPr>
        <dsp:cNvPr id="0" name=""/>
        <dsp:cNvSpPr/>
      </dsp:nvSpPr>
      <dsp:spPr>
        <a:xfrm>
          <a:off x="1645391" y="2111187"/>
          <a:ext cx="447130" cy="447130"/>
        </a:xfrm>
        <a:prstGeom prst="ellipse">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2D2AF7D-C764-4151-9085-2FC11992FB5F}">
      <dsp:nvSpPr>
        <dsp:cNvPr id="0" name=""/>
        <dsp:cNvSpPr/>
      </dsp:nvSpPr>
      <dsp:spPr>
        <a:xfrm>
          <a:off x="2092521" y="2111187"/>
          <a:ext cx="3335943" cy="44713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kern="1200" dirty="0">
              <a:solidFill>
                <a:sysClr val="windowText" lastClr="000000"/>
              </a:solidFill>
              <a:latin typeface="Arial" panose="020B0604020202020204" pitchFamily="34" charset="0"/>
              <a:cs typeface="Arial" panose="020B0604020202020204" pitchFamily="34" charset="0"/>
            </a:rPr>
            <a:t>En el presente año se han gestionado el cierre del 46% de peticiones pendientes de vigencias anteriores</a:t>
          </a:r>
          <a:r>
            <a:rPr lang="es-CO" sz="900" kern="1200" dirty="0">
              <a:solidFill>
                <a:srgbClr val="FF0000"/>
              </a:solidFill>
              <a:latin typeface="Arial" panose="020B0604020202020204" pitchFamily="34" charset="0"/>
              <a:cs typeface="Arial" panose="020B0604020202020204" pitchFamily="34" charset="0"/>
            </a:rPr>
            <a:t>.</a:t>
          </a:r>
          <a:endParaRPr lang="es-CO" sz="900" kern="1200">
            <a:solidFill>
              <a:srgbClr val="FF0000"/>
            </a:solidFill>
          </a:endParaRPr>
        </a:p>
      </dsp:txBody>
      <dsp:txXfrm>
        <a:off x="2092521" y="2111187"/>
        <a:ext cx="3335943" cy="44713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1DCB9C0-1484-43AE-9E70-8A939326A393}">
      <dsp:nvSpPr>
        <dsp:cNvPr id="0" name=""/>
        <dsp:cNvSpPr/>
      </dsp:nvSpPr>
      <dsp:spPr>
        <a:xfrm>
          <a:off x="15931" y="115367"/>
          <a:ext cx="1787519" cy="2279999"/>
        </a:xfrm>
        <a:prstGeom prst="roundRect">
          <a:avLst/>
        </a:prstGeom>
        <a:blipFill>
          <a:blip xmlns:r="http://schemas.openxmlformats.org/officeDocument/2006/relationships" r:embed="rId1"/>
          <a:srcRect/>
          <a:stretch>
            <a:fillRect l="-46000" r="-46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0014821-A96C-4143-808D-C0B99CB3E7AA}">
      <dsp:nvSpPr>
        <dsp:cNvPr id="0" name=""/>
        <dsp:cNvSpPr/>
      </dsp:nvSpPr>
      <dsp:spPr>
        <a:xfrm>
          <a:off x="74301" y="8710"/>
          <a:ext cx="1497842" cy="164520"/>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b" anchorCtr="0">
          <a:noAutofit/>
        </a:bodyPr>
        <a:lstStyle/>
        <a:p>
          <a:pPr lvl="0" algn="ctr" defTabSz="488950">
            <a:lnSpc>
              <a:spcPct val="90000"/>
            </a:lnSpc>
            <a:spcBef>
              <a:spcPct val="0"/>
            </a:spcBef>
            <a:spcAft>
              <a:spcPct val="35000"/>
            </a:spcAft>
          </a:pPr>
          <a:endParaRPr lang="es-CO" sz="1100" b="1" kern="1200">
            <a:solidFill>
              <a:sysClr val="windowText" lastClr="000000"/>
            </a:solidFill>
            <a:latin typeface="Arial" panose="020B0604020202020204" pitchFamily="34" charset="0"/>
            <a:cs typeface="Arial" panose="020B0604020202020204" pitchFamily="34" charset="0"/>
          </a:endParaRPr>
        </a:p>
      </dsp:txBody>
      <dsp:txXfrm>
        <a:off x="74301" y="8710"/>
        <a:ext cx="1497842" cy="164520"/>
      </dsp:txXfrm>
    </dsp:sp>
    <dsp:sp modelId="{49201C55-7017-4B48-B1DB-2C3BD5B46865}">
      <dsp:nvSpPr>
        <dsp:cNvPr id="0" name=""/>
        <dsp:cNvSpPr/>
      </dsp:nvSpPr>
      <dsp:spPr>
        <a:xfrm>
          <a:off x="1527512" y="1367"/>
          <a:ext cx="551875" cy="551875"/>
        </a:xfrm>
        <a:prstGeom prst="ellipse">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CEC8F6F9-48BE-4613-AF54-5B71694A07FB}">
      <dsp:nvSpPr>
        <dsp:cNvPr id="0" name=""/>
        <dsp:cNvSpPr/>
      </dsp:nvSpPr>
      <dsp:spPr>
        <a:xfrm>
          <a:off x="2079388" y="211220"/>
          <a:ext cx="3238680" cy="41584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kern="1200">
              <a:latin typeface="Arial" panose="020B0604020202020204" pitchFamily="34" charset="0"/>
              <a:cs typeface="Arial" panose="020B0604020202020204" pitchFamily="34" charset="0"/>
            </a:rPr>
            <a:t>En pro de la modernizacion y optimizacion de los recursos del Instituto, el 14 de diciembre del 2020 se realizó cambio de Sistema de Gestión Documental pasando de CORDIS a SIGAC.</a:t>
          </a:r>
        </a:p>
      </dsp:txBody>
      <dsp:txXfrm>
        <a:off x="2079388" y="211220"/>
        <a:ext cx="3238680" cy="415843"/>
      </dsp:txXfrm>
    </dsp:sp>
    <dsp:sp modelId="{E80D1EF2-B218-44B0-BBF4-BB0B5C5D919B}">
      <dsp:nvSpPr>
        <dsp:cNvPr id="0" name=""/>
        <dsp:cNvSpPr/>
      </dsp:nvSpPr>
      <dsp:spPr>
        <a:xfrm>
          <a:off x="1527512" y="652580"/>
          <a:ext cx="551875" cy="551875"/>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54BE5FF-81BA-4FD5-9D24-75AFDA8A3F3A}">
      <dsp:nvSpPr>
        <dsp:cNvPr id="0" name=""/>
        <dsp:cNvSpPr/>
      </dsp:nvSpPr>
      <dsp:spPr>
        <a:xfrm>
          <a:off x="2079388" y="756156"/>
          <a:ext cx="3238680" cy="55187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Diagnóstico con la identificación por parte de las dependencias y direcciones territoriales de los casos y sus características para su posterior clasificación y cierre.</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2079388" y="756156"/>
        <a:ext cx="3238680" cy="551875"/>
      </dsp:txXfrm>
    </dsp:sp>
    <dsp:sp modelId="{15FD1CAE-9FD7-4B36-B3E2-91AB6B8CCFFE}">
      <dsp:nvSpPr>
        <dsp:cNvPr id="0" name=""/>
        <dsp:cNvSpPr/>
      </dsp:nvSpPr>
      <dsp:spPr>
        <a:xfrm>
          <a:off x="1527512" y="1303793"/>
          <a:ext cx="551875" cy="551875"/>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A063FF4-EE3A-4831-A114-BBDB1C9877AC}">
      <dsp:nvSpPr>
        <dsp:cNvPr id="0" name=""/>
        <dsp:cNvSpPr/>
      </dsp:nvSpPr>
      <dsp:spPr>
        <a:xfrm>
          <a:off x="2079388" y="1311260"/>
          <a:ext cx="3238680" cy="55187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Seguimiento por parte de la Oficina de Relación con el Ciudadano a cada una de las dependencias y direcciones territoriales para la finalización correcta de las PQRSD en el sistema de correspondencia CORDIS.</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2079388" y="1311260"/>
        <a:ext cx="3238680" cy="551875"/>
      </dsp:txXfrm>
    </dsp:sp>
    <dsp:sp modelId="{EE7D058E-6A5D-478E-B4CF-75B0677FED0F}">
      <dsp:nvSpPr>
        <dsp:cNvPr id="0" name=""/>
        <dsp:cNvSpPr/>
      </dsp:nvSpPr>
      <dsp:spPr>
        <a:xfrm>
          <a:off x="1527512" y="1955007"/>
          <a:ext cx="551875" cy="551875"/>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D6B813A-B62E-44B8-A3B5-CEDF0A903E69}">
      <dsp:nvSpPr>
        <dsp:cNvPr id="0" name=""/>
        <dsp:cNvSpPr/>
      </dsp:nvSpPr>
      <dsp:spPr>
        <a:xfrm>
          <a:off x="2079388" y="1956374"/>
          <a:ext cx="3238680" cy="55187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ES" sz="900" kern="1200" dirty="0">
              <a:latin typeface="Arial" panose="020B0604020202020204" pitchFamily="34" charset="0"/>
              <a:cs typeface="Arial" panose="020B0604020202020204" pitchFamily="34" charset="0"/>
            </a:rPr>
            <a:t>Disminución de 46% de los radicados pendientes de vigencias anteriores.</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2079388" y="1956374"/>
        <a:ext cx="3238680" cy="55187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1DCB9C0-1484-43AE-9E70-8A939326A393}">
      <dsp:nvSpPr>
        <dsp:cNvPr id="0" name=""/>
        <dsp:cNvSpPr/>
      </dsp:nvSpPr>
      <dsp:spPr>
        <a:xfrm>
          <a:off x="15285" y="110694"/>
          <a:ext cx="1715113" cy="2187644"/>
        </a:xfrm>
        <a:prstGeom prst="round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l="-34000" r="-34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0014821-A96C-4143-808D-C0B99CB3E7AA}">
      <dsp:nvSpPr>
        <dsp:cNvPr id="0" name=""/>
        <dsp:cNvSpPr/>
      </dsp:nvSpPr>
      <dsp:spPr>
        <a:xfrm>
          <a:off x="101382" y="560550"/>
          <a:ext cx="1451737" cy="280564"/>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b" anchorCtr="0">
          <a:noAutofit/>
        </a:bodyPr>
        <a:lstStyle/>
        <a:p>
          <a:pPr lvl="0" algn="ctr" defTabSz="400050">
            <a:lnSpc>
              <a:spcPct val="90000"/>
            </a:lnSpc>
            <a:spcBef>
              <a:spcPct val="0"/>
            </a:spcBef>
            <a:spcAft>
              <a:spcPct val="35000"/>
            </a:spcAft>
          </a:pPr>
          <a:endParaRPr lang="es-CO" sz="900" b="1" kern="1200">
            <a:solidFill>
              <a:sysClr val="windowText" lastClr="000000"/>
            </a:solidFill>
            <a:latin typeface="Arial" panose="020B0604020202020204" pitchFamily="34" charset="0"/>
            <a:cs typeface="Arial" panose="020B0604020202020204" pitchFamily="34" charset="0"/>
          </a:endParaRPr>
        </a:p>
      </dsp:txBody>
      <dsp:txXfrm>
        <a:off x="101382" y="560550"/>
        <a:ext cx="1451737" cy="280564"/>
      </dsp:txXfrm>
    </dsp:sp>
    <dsp:sp modelId="{49201C55-7017-4B48-B1DB-2C3BD5B46865}">
      <dsp:nvSpPr>
        <dsp:cNvPr id="0" name=""/>
        <dsp:cNvSpPr/>
      </dsp:nvSpPr>
      <dsp:spPr>
        <a:xfrm>
          <a:off x="1465638" y="1312"/>
          <a:ext cx="529521" cy="529521"/>
        </a:xfrm>
        <a:prstGeom prst="ellipse">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CEC8F6F9-48BE-4613-AF54-5B71694A07FB}">
      <dsp:nvSpPr>
        <dsp:cNvPr id="0" name=""/>
        <dsp:cNvSpPr/>
      </dsp:nvSpPr>
      <dsp:spPr>
        <a:xfrm>
          <a:off x="1995159" y="1312"/>
          <a:ext cx="3660104" cy="52952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kern="1200" dirty="0">
              <a:solidFill>
                <a:sysClr val="windowText" lastClr="000000"/>
              </a:solidFill>
              <a:latin typeface="Arial" panose="020B0604020202020204" pitchFamily="34" charset="0"/>
              <a:cs typeface="Arial" panose="020B0604020202020204" pitchFamily="34" charset="0"/>
            </a:rPr>
            <a:t>Fortalecimiento </a:t>
          </a:r>
          <a:r>
            <a:rPr kumimoji="0" lang="es-MX" sz="900" b="0" i="0" u="none" strike="noStrike" kern="1200" cap="none" spc="0" normalizeH="0" baseline="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del</a:t>
          </a:r>
          <a:r>
            <a:rPr kumimoji="0" lang="es-MX" sz="900" b="0" i="0" u="none" strike="noStrike" kern="1200" cap="none" spc="0" normalizeH="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 proceso de Participación y </a:t>
          </a:r>
          <a:r>
            <a:rPr lang="es-MX" sz="900" kern="1200" dirty="0">
              <a:solidFill>
                <a:sysClr val="windowText" lastClr="000000"/>
              </a:solidFill>
              <a:latin typeface="Arial" panose="020B0604020202020204" pitchFamily="34" charset="0"/>
              <a:cs typeface="Arial" panose="020B0604020202020204" pitchFamily="34" charset="0"/>
            </a:rPr>
            <a:t>Rendición </a:t>
          </a:r>
          <a:r>
            <a:rPr kumimoji="0" lang="es-MX" sz="900" b="0" i="0" u="none" strike="noStrike" kern="1200" cap="none" spc="0" normalizeH="0" noProof="0" dirty="0">
              <a:ln>
                <a:noFill/>
              </a:ln>
              <a:solidFill>
                <a:sysClr val="windowText" lastClr="000000"/>
              </a:solidFill>
              <a:effectLst/>
              <a:uLnTx/>
              <a:uFillTx/>
              <a:latin typeface="Arial" panose="020B0604020202020204" pitchFamily="34" charset="0"/>
              <a:ea typeface="+mn-ea"/>
              <a:cs typeface="Arial" panose="020B0604020202020204" pitchFamily="34" charset="0"/>
            </a:rPr>
            <a:t>de Cuentas mediante la creación de la primera versión de los procedimientos en diciembre 2019. </a:t>
          </a:r>
          <a:r>
            <a:rPr kumimoji="0" lang="es-MX" sz="900" b="0" i="0" u="none" strike="noStrike" kern="1200" cap="none" spc="0" normalizeH="0" noProof="0" dirty="0">
              <a:ln>
                <a:noFill/>
              </a:ln>
              <a:solidFill>
                <a:schemeClr val="bg1"/>
              </a:solidFill>
              <a:effectLst/>
              <a:uLnTx/>
              <a:uFillTx/>
              <a:latin typeface="Arial" panose="020B0604020202020204" pitchFamily="34" charset="0"/>
              <a:ea typeface="+mn-ea"/>
              <a:cs typeface="Arial" panose="020B0604020202020204" pitchFamily="34" charset="0"/>
            </a:rPr>
            <a:t>.  </a:t>
          </a:r>
          <a:endParaRPr lang="es-CO" sz="900" kern="1200">
            <a:latin typeface="Arial" panose="020B0604020202020204" pitchFamily="34" charset="0"/>
            <a:cs typeface="Arial" panose="020B0604020202020204" pitchFamily="34" charset="0"/>
          </a:endParaRPr>
        </a:p>
      </dsp:txBody>
      <dsp:txXfrm>
        <a:off x="1995159" y="1312"/>
        <a:ext cx="3660104" cy="529521"/>
      </dsp:txXfrm>
    </dsp:sp>
    <dsp:sp modelId="{8CFCEBF1-7EC7-4178-829C-CC8E01507098}">
      <dsp:nvSpPr>
        <dsp:cNvPr id="0" name=""/>
        <dsp:cNvSpPr/>
      </dsp:nvSpPr>
      <dsp:spPr>
        <a:xfrm>
          <a:off x="1465638" y="626146"/>
          <a:ext cx="529521" cy="529521"/>
        </a:xfrm>
        <a:prstGeom prst="ellipse">
          <a:avLst/>
        </a:prstGeom>
        <a:blipFill>
          <a:blip xmlns:r="http://schemas.openxmlformats.org/officeDocument/2006/relationships" r:embed="rId3"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8559F25-FD05-4577-95E8-DB4785837A6B}">
      <dsp:nvSpPr>
        <dsp:cNvPr id="0" name=""/>
        <dsp:cNvSpPr/>
      </dsp:nvSpPr>
      <dsp:spPr>
        <a:xfrm>
          <a:off x="1995159" y="626146"/>
          <a:ext cx="3660104" cy="52952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kern="1200" dirty="0">
              <a:solidFill>
                <a:sysClr val="windowText" lastClr="000000"/>
              </a:solidFill>
              <a:latin typeface="Arial" panose="020B0604020202020204" pitchFamily="34" charset="0"/>
              <a:cs typeface="Arial" panose="020B0604020202020204" pitchFamily="34" charset="0"/>
            </a:rPr>
            <a:t>En el 2020, se obtuvo el tercer puesto en la categoría Entidades del Orden Nacional - Rama Ejecutiva con la iniciativa “Tecnología para la cercanía comunicacional ante el distanciamiento social”.</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1995159" y="626146"/>
        <a:ext cx="3660104" cy="529521"/>
      </dsp:txXfrm>
    </dsp:sp>
    <dsp:sp modelId="{E80D1EF2-B218-44B0-BBF4-BB0B5C5D919B}">
      <dsp:nvSpPr>
        <dsp:cNvPr id="0" name=""/>
        <dsp:cNvSpPr/>
      </dsp:nvSpPr>
      <dsp:spPr>
        <a:xfrm>
          <a:off x="1465638" y="1250981"/>
          <a:ext cx="529521" cy="529521"/>
        </a:xfrm>
        <a:prstGeom prst="ellipse">
          <a:avLst/>
        </a:prstGeom>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54BE5FF-81BA-4FD5-9D24-75AFDA8A3F3A}">
      <dsp:nvSpPr>
        <dsp:cNvPr id="0" name=""/>
        <dsp:cNvSpPr/>
      </dsp:nvSpPr>
      <dsp:spPr>
        <a:xfrm>
          <a:off x="1995159" y="1250981"/>
          <a:ext cx="3660104" cy="52952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kern="1200" dirty="0">
              <a:solidFill>
                <a:sysClr val="windowText" lastClr="000000"/>
              </a:solidFill>
              <a:latin typeface="Arial" panose="020B0604020202020204" pitchFamily="34" charset="0"/>
              <a:cs typeface="Arial" panose="020B0604020202020204" pitchFamily="34" charset="0"/>
            </a:rPr>
            <a:t>Para el 2020 la entidad se clasificó en el Nivel de consolidación de acuerdo al Autodiagnóstico de Rendición de cuentas y se creó para el 2021 el  Equipo Líder de Participación Ciudadana y Rendición de Cuentas, conformado por un grupo de profesionales de áreas interdisciplinarias, de las diferentes dependencias de la entidad. </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1995159" y="1250981"/>
        <a:ext cx="3660104" cy="529521"/>
      </dsp:txXfrm>
    </dsp:sp>
    <dsp:sp modelId="{96C9896C-F40F-452B-AFB1-0D5549B367F6}">
      <dsp:nvSpPr>
        <dsp:cNvPr id="0" name=""/>
        <dsp:cNvSpPr/>
      </dsp:nvSpPr>
      <dsp:spPr>
        <a:xfrm>
          <a:off x="1465638" y="1875816"/>
          <a:ext cx="529521" cy="529521"/>
        </a:xfrm>
        <a:prstGeom prst="ellipse">
          <a:avLst/>
        </a:prstGeom>
        <a:blipFill>
          <a:blip xmlns:r="http://schemas.openxmlformats.org/officeDocument/2006/relationships" r:embed="rId5" cstate="print">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01D2270C-1932-4696-AFD9-A47295DE69DE}">
      <dsp:nvSpPr>
        <dsp:cNvPr id="0" name=""/>
        <dsp:cNvSpPr/>
      </dsp:nvSpPr>
      <dsp:spPr>
        <a:xfrm>
          <a:off x="1995159" y="1875816"/>
          <a:ext cx="3660104" cy="52952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kern="1200" dirty="0">
              <a:solidFill>
                <a:sysClr val="windowText" lastClr="000000"/>
              </a:solidFill>
              <a:latin typeface="Arial" panose="020B0604020202020204" pitchFamily="34" charset="0"/>
              <a:cs typeface="Arial" panose="020B0604020202020204" pitchFamily="34" charset="0"/>
            </a:rPr>
            <a:t>Se socializó a la ciudadanía, grupos de valor, e interés en la página web del Instituto videos con contenido informativo sobre participación ciudadana y  rendición de cuentas</a:t>
          </a:r>
          <a:r>
            <a:rPr lang="es-MX" sz="900" kern="1200" dirty="0">
              <a:solidFill>
                <a:sysClr val="windowText" lastClr="000000"/>
              </a:solidFill>
              <a:latin typeface="Arial" panose="020B0604020202020204" pitchFamily="34" charset="0"/>
              <a:cs typeface="Arial" panose="020B0604020202020204" pitchFamily="34" charset="0"/>
            </a:rPr>
            <a:t>, incluyendo traducción en lengua de señas.</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1995159" y="1875816"/>
        <a:ext cx="3660104" cy="529521"/>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1DCB9C0-1484-43AE-9E70-8A939326A393}">
      <dsp:nvSpPr>
        <dsp:cNvPr id="0" name=""/>
        <dsp:cNvSpPr/>
      </dsp:nvSpPr>
      <dsp:spPr>
        <a:xfrm>
          <a:off x="198137" y="181522"/>
          <a:ext cx="1896128" cy="2418530"/>
        </a:xfrm>
        <a:prstGeom prst="roundRect">
          <a:avLst/>
        </a:prstGeom>
        <a:blipFill rotWithShape="1">
          <a:blip xmlns:r="http://schemas.openxmlformats.org/officeDocument/2006/relationships" r:embed="rId1"/>
          <a:srcRect/>
          <a:stretch>
            <a:fillRect l="-7000" r="-7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0014821-A96C-4143-808D-C0B99CB3E7AA}">
      <dsp:nvSpPr>
        <dsp:cNvPr id="0" name=""/>
        <dsp:cNvSpPr/>
      </dsp:nvSpPr>
      <dsp:spPr>
        <a:xfrm>
          <a:off x="218947" y="0"/>
          <a:ext cx="1604954" cy="340998"/>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b" anchorCtr="0">
          <a:noAutofit/>
        </a:bodyPr>
        <a:lstStyle/>
        <a:p>
          <a:pPr lvl="0" algn="ctr" defTabSz="400050">
            <a:lnSpc>
              <a:spcPct val="90000"/>
            </a:lnSpc>
            <a:spcBef>
              <a:spcPct val="0"/>
            </a:spcBef>
            <a:spcAft>
              <a:spcPct val="35000"/>
            </a:spcAft>
          </a:pPr>
          <a:endParaRPr lang="es-CO" sz="900" b="1" kern="1200">
            <a:solidFill>
              <a:sysClr val="windowText" lastClr="000000"/>
            </a:solidFill>
            <a:latin typeface="Arial" panose="020B0604020202020204" pitchFamily="34" charset="0"/>
            <a:cs typeface="Arial" panose="020B0604020202020204" pitchFamily="34" charset="0"/>
          </a:endParaRPr>
        </a:p>
      </dsp:txBody>
      <dsp:txXfrm>
        <a:off x="218947" y="0"/>
        <a:ext cx="1604954" cy="340998"/>
      </dsp:txXfrm>
    </dsp:sp>
    <dsp:sp modelId="{49201C55-7017-4B48-B1DB-2C3BD5B46865}">
      <dsp:nvSpPr>
        <dsp:cNvPr id="0" name=""/>
        <dsp:cNvSpPr/>
      </dsp:nvSpPr>
      <dsp:spPr>
        <a:xfrm>
          <a:off x="1767763" y="60596"/>
          <a:ext cx="653003" cy="653003"/>
        </a:xfrm>
        <a:prstGeom prst="ellipse">
          <a:avLst/>
        </a:prstGeom>
        <a:blipFill>
          <a:blip xmlns:r="http://schemas.openxmlformats.org/officeDocument/2006/relationships" r:embed="rId2">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CEC8F6F9-48BE-4613-AF54-5B71694A07FB}">
      <dsp:nvSpPr>
        <dsp:cNvPr id="0" name=""/>
        <dsp:cNvSpPr/>
      </dsp:nvSpPr>
      <dsp:spPr>
        <a:xfrm>
          <a:off x="2420767" y="110600"/>
          <a:ext cx="3038945" cy="4920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kern="1200" dirty="0">
              <a:solidFill>
                <a:sysClr val="windowText" lastClr="000000"/>
              </a:solidFill>
              <a:latin typeface="Arial" panose="020B0604020202020204" pitchFamily="34" charset="0"/>
              <a:cs typeface="Arial" panose="020B0604020202020204" pitchFamily="34" charset="0"/>
            </a:rPr>
            <a:t>Racionalización de 16 trámites; 9 de ellos de tipo tecnológico, 3 de tipo administrativo y los 4 de tipo normativo. </a:t>
          </a:r>
          <a:endParaRPr lang="es-CO" sz="900" kern="1200">
            <a:latin typeface="Arial" panose="020B0604020202020204" pitchFamily="34" charset="0"/>
            <a:cs typeface="Arial" panose="020B0604020202020204" pitchFamily="34" charset="0"/>
          </a:endParaRPr>
        </a:p>
      </dsp:txBody>
      <dsp:txXfrm>
        <a:off x="2420767" y="110600"/>
        <a:ext cx="3038945" cy="492044"/>
      </dsp:txXfrm>
    </dsp:sp>
    <dsp:sp modelId="{8CFCEBF1-7EC7-4178-829C-CC8E01507098}">
      <dsp:nvSpPr>
        <dsp:cNvPr id="0" name=""/>
        <dsp:cNvSpPr/>
      </dsp:nvSpPr>
      <dsp:spPr>
        <a:xfrm>
          <a:off x="1767763" y="831140"/>
          <a:ext cx="653003" cy="653003"/>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8559F25-FD05-4577-95E8-DB4785837A6B}">
      <dsp:nvSpPr>
        <dsp:cNvPr id="0" name=""/>
        <dsp:cNvSpPr/>
      </dsp:nvSpPr>
      <dsp:spPr>
        <a:xfrm>
          <a:off x="2420767" y="831140"/>
          <a:ext cx="3038945" cy="65300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kern="1200">
              <a:solidFill>
                <a:sysClr val="windowText" lastClr="000000"/>
              </a:solidFill>
              <a:latin typeface="Arial" panose="020B0604020202020204" pitchFamily="34" charset="0"/>
              <a:cs typeface="Arial" panose="020B0604020202020204" pitchFamily="34" charset="0"/>
            </a:rPr>
            <a:t>Se</a:t>
          </a:r>
          <a:r>
            <a:rPr lang="es-CO" sz="900" kern="1200" baseline="0">
              <a:solidFill>
                <a:sysClr val="windowText" lastClr="000000"/>
              </a:solidFill>
              <a:latin typeface="Arial" panose="020B0604020202020204" pitchFamily="34" charset="0"/>
              <a:cs typeface="Arial" panose="020B0604020202020204" pitchFamily="34" charset="0"/>
            </a:rPr>
            <a:t> implementa el seguimiento y control a las cifras reportadas mensualmente por parte de las áreas encargadas al Departamento Administrativo de Función Pública - DAFP, por medio del sistema único de información de trámites - SUIT.</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2420767" y="831140"/>
        <a:ext cx="3038945" cy="653003"/>
      </dsp:txXfrm>
    </dsp:sp>
    <dsp:sp modelId="{E80D1EF2-B218-44B0-BBF4-BB0B5C5D919B}">
      <dsp:nvSpPr>
        <dsp:cNvPr id="0" name=""/>
        <dsp:cNvSpPr/>
      </dsp:nvSpPr>
      <dsp:spPr>
        <a:xfrm>
          <a:off x="1767763" y="1601684"/>
          <a:ext cx="653003" cy="653003"/>
        </a:xfrm>
        <a:prstGeom prst="ellipse">
          <a:avLst/>
        </a:prstGeom>
        <a:blipFill>
          <a:blip xmlns:r="http://schemas.openxmlformats.org/officeDocument/2006/relationships" r:embed="rId4">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54BE5FF-81BA-4FD5-9D24-75AFDA8A3F3A}">
      <dsp:nvSpPr>
        <dsp:cNvPr id="0" name=""/>
        <dsp:cNvSpPr/>
      </dsp:nvSpPr>
      <dsp:spPr>
        <a:xfrm>
          <a:off x="2420767" y="1800562"/>
          <a:ext cx="3038945" cy="65300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kern="1200" dirty="0">
              <a:solidFill>
                <a:sysClr val="windowText" lastClr="000000"/>
              </a:solidFill>
              <a:latin typeface="Arial" panose="020B0604020202020204" pitchFamily="34" charset="0"/>
              <a:cs typeface="Arial" panose="020B0604020202020204" pitchFamily="34" charset="0"/>
            </a:rPr>
            <a:t>Las diferentes racionalizaciones presentadas en el periodo de gestión dieron como resultado </a:t>
          </a:r>
          <a:r>
            <a:rPr lang="es-CO" sz="900" kern="1200" dirty="0">
              <a:solidFill>
                <a:sysClr val="windowText" lastClr="000000"/>
              </a:solidFill>
              <a:latin typeface="Arial" panose="020B0604020202020204" pitchFamily="34" charset="0"/>
              <a:cs typeface="Arial" panose="020B0604020202020204" pitchFamily="34" charset="0"/>
            </a:rPr>
            <a:t>reduccion en tiempos de respuestas, claridad sobre los trámites y servicios que presta el IGAC, disminución de costos para los ciudadanos y acercamiento de los gupos de valor e interés.</a:t>
          </a:r>
          <a:endParaRPr lang="es-CO" sz="900" kern="1200">
            <a:solidFill>
              <a:sysClr val="windowText" lastClr="000000"/>
            </a:solidFill>
            <a:latin typeface="Arial" panose="020B0604020202020204" pitchFamily="34" charset="0"/>
            <a:cs typeface="Arial" panose="020B0604020202020204" pitchFamily="34" charset="0"/>
          </a:endParaRPr>
        </a:p>
      </dsp:txBody>
      <dsp:txXfrm>
        <a:off x="2420767" y="1800562"/>
        <a:ext cx="3038945" cy="653003"/>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82F1F5A-565D-45CB-91F8-87B95CDFE8A2}">
      <dsp:nvSpPr>
        <dsp:cNvPr id="0" name=""/>
        <dsp:cNvSpPr/>
      </dsp:nvSpPr>
      <dsp:spPr>
        <a:xfrm>
          <a:off x="62721" y="162289"/>
          <a:ext cx="2528774" cy="3225477"/>
        </a:xfrm>
        <a:prstGeom prst="round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t="-2000" b="-2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CA3CD047-065B-4310-A9B1-C84969CB5B35}">
      <dsp:nvSpPr>
        <dsp:cNvPr id="0" name=""/>
        <dsp:cNvSpPr/>
      </dsp:nvSpPr>
      <dsp:spPr>
        <a:xfrm>
          <a:off x="239967" y="592481"/>
          <a:ext cx="1947156" cy="44601"/>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b" anchorCtr="0">
          <a:noAutofit/>
        </a:bodyPr>
        <a:lstStyle/>
        <a:p>
          <a:pPr lvl="0" algn="ctr" defTabSz="400050">
            <a:lnSpc>
              <a:spcPct val="90000"/>
            </a:lnSpc>
            <a:spcBef>
              <a:spcPct val="0"/>
            </a:spcBef>
            <a:spcAft>
              <a:spcPct val="35000"/>
            </a:spcAft>
          </a:pPr>
          <a:endParaRPr lang="es-CO" sz="900" b="1" kern="1200">
            <a:solidFill>
              <a:sysClr val="windowText" lastClr="000000"/>
            </a:solidFill>
            <a:latin typeface="Arial" panose="020B0604020202020204" pitchFamily="34" charset="0"/>
            <a:cs typeface="Arial" panose="020B0604020202020204" pitchFamily="34" charset="0"/>
          </a:endParaRPr>
        </a:p>
      </dsp:txBody>
      <dsp:txXfrm>
        <a:off x="239967" y="592481"/>
        <a:ext cx="1947156" cy="44601"/>
      </dsp:txXfrm>
    </dsp:sp>
    <dsp:sp modelId="{2E89FF8B-C93F-4584-A090-E321C4960687}">
      <dsp:nvSpPr>
        <dsp:cNvPr id="0" name=""/>
        <dsp:cNvSpPr/>
      </dsp:nvSpPr>
      <dsp:spPr>
        <a:xfrm>
          <a:off x="2281500" y="1015"/>
          <a:ext cx="619990" cy="619990"/>
        </a:xfrm>
        <a:prstGeom prst="ellipse">
          <a:avLst/>
        </a:prstGeom>
        <a:blipFill>
          <a:blip xmlns:r="http://schemas.openxmlformats.org/officeDocument/2006/relationships" r:embed="rId2">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4CE727B3-F708-4FEF-8D6A-774DDC007988}">
      <dsp:nvSpPr>
        <dsp:cNvPr id="0" name=""/>
        <dsp:cNvSpPr/>
      </dsp:nvSpPr>
      <dsp:spPr>
        <a:xfrm>
          <a:off x="2901491" y="1015"/>
          <a:ext cx="3055586" cy="6199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rtl="0">
            <a:lnSpc>
              <a:spcPct val="90000"/>
            </a:lnSpc>
            <a:spcBef>
              <a:spcPct val="0"/>
            </a:spcBef>
            <a:spcAft>
              <a:spcPct val="35000"/>
            </a:spcAft>
          </a:pPr>
          <a:r>
            <a:rPr kumimoji="0" lang="es-MX" sz="900" b="0" i="0" u="none" strike="noStrike" kern="1200" cap="none" spc="0" normalizeH="0" baseline="0" noProof="0" dirty="0">
              <a:ln>
                <a:noFill/>
              </a:ln>
              <a:solidFill>
                <a:sysClr val="windowText" lastClr="000000"/>
              </a:solidFill>
              <a:effectLst/>
              <a:uLnTx/>
              <a:uFillTx/>
              <a:latin typeface="Arial" panose="020B0604020202020204" pitchFamily="34" charset="0"/>
              <a:ea typeface="Source Sans Pro Light" panose="020B0403030403020204" pitchFamily="34" charset="0"/>
              <a:cs typeface="Arial" panose="020B0604020202020204" pitchFamily="34" charset="0"/>
            </a:rPr>
            <a:t>En razón a la declaratoria de emergencia sanitaria en todo el territorio nacional se fortalecieron los canales virtuales y telefónicos, consolidando el correo contactenos@igac.gov.co y las líneas de atención nacional.</a:t>
          </a:r>
          <a:endParaRPr lang="es-CO" sz="900" b="0" kern="1200">
            <a:solidFill>
              <a:sysClr val="windowText" lastClr="000000"/>
            </a:solidFill>
            <a:latin typeface="Arial" panose="020B0604020202020204" pitchFamily="34" charset="0"/>
            <a:cs typeface="Arial" panose="020B0604020202020204" pitchFamily="34" charset="0"/>
          </a:endParaRPr>
        </a:p>
      </dsp:txBody>
      <dsp:txXfrm>
        <a:off x="2901491" y="1015"/>
        <a:ext cx="3055586" cy="619990"/>
      </dsp:txXfrm>
    </dsp:sp>
    <dsp:sp modelId="{C180DB43-02FE-453C-B940-53CFA50A5D5B}">
      <dsp:nvSpPr>
        <dsp:cNvPr id="0" name=""/>
        <dsp:cNvSpPr/>
      </dsp:nvSpPr>
      <dsp:spPr>
        <a:xfrm>
          <a:off x="2281500" y="732605"/>
          <a:ext cx="619990" cy="619990"/>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0645ADD1-EAD0-4293-B8AB-4FC5FDF0CAB4}">
      <dsp:nvSpPr>
        <dsp:cNvPr id="0" name=""/>
        <dsp:cNvSpPr/>
      </dsp:nvSpPr>
      <dsp:spPr>
        <a:xfrm>
          <a:off x="2901491" y="732605"/>
          <a:ext cx="3055586" cy="619990"/>
        </a:xfrm>
        <a:prstGeom prst="rect">
          <a:avLst/>
        </a:prstGeom>
        <a:blipFill rotWithShape="0">
          <a:blip xmlns:r="http://schemas.openxmlformats.org/officeDocument/2006/relationships" r:embed="rId4"/>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rtl="0">
            <a:lnSpc>
              <a:spcPct val="90000"/>
            </a:lnSpc>
            <a:spcBef>
              <a:spcPct val="0"/>
            </a:spcBef>
            <a:spcAft>
              <a:spcPct val="35000"/>
            </a:spcAft>
          </a:pPr>
          <a:r>
            <a:rPr lang="es-MX" sz="900" b="0" kern="1200">
              <a:latin typeface="Arial" panose="020B0604020202020204" pitchFamily="34" charset="0"/>
              <a:cs typeface="Arial" panose="020B0604020202020204" pitchFamily="34" charset="0"/>
            </a:rPr>
            <a:t>Para el 2021 se implementan indicadores de medición internos para el canal presencial, virtual y telefónico, reflejados en los informes trimestrales.</a:t>
          </a:r>
          <a:endParaRPr lang="es-CO" sz="900" b="0" kern="1200">
            <a:solidFill>
              <a:sysClr val="windowText" lastClr="000000"/>
            </a:solidFill>
            <a:latin typeface="Arial" panose="020B0604020202020204" pitchFamily="34" charset="0"/>
            <a:cs typeface="Arial" panose="020B0604020202020204" pitchFamily="34" charset="0"/>
          </a:endParaRPr>
        </a:p>
      </dsp:txBody>
      <dsp:txXfrm>
        <a:off x="2901491" y="732605"/>
        <a:ext cx="3055586" cy="619990"/>
      </dsp:txXfrm>
    </dsp:sp>
    <dsp:sp modelId="{CBC101F9-A60D-4FFE-A7EB-A14782FBEDD5}">
      <dsp:nvSpPr>
        <dsp:cNvPr id="0" name=""/>
        <dsp:cNvSpPr/>
      </dsp:nvSpPr>
      <dsp:spPr>
        <a:xfrm>
          <a:off x="2281500" y="1464194"/>
          <a:ext cx="619990" cy="619990"/>
        </a:xfrm>
        <a:prstGeom prst="ellipse">
          <a:avLst/>
        </a:prstGeom>
        <a:blipFill>
          <a:blip xmlns:r="http://schemas.openxmlformats.org/officeDocument/2006/relationships" r:embed="rId5">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CB9B52F6-AE98-4931-A56E-807A92514868}">
      <dsp:nvSpPr>
        <dsp:cNvPr id="0" name=""/>
        <dsp:cNvSpPr/>
      </dsp:nvSpPr>
      <dsp:spPr>
        <a:xfrm>
          <a:off x="2901491" y="1578353"/>
          <a:ext cx="3055586" cy="6199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b="0" kern="1200" baseline="0">
              <a:solidFill>
                <a:sysClr val="windowText" lastClr="000000"/>
              </a:solidFill>
              <a:latin typeface="Arial" panose="020B0604020202020204" pitchFamily="34" charset="0"/>
              <a:cs typeface="Arial" panose="020B0604020202020204" pitchFamily="34" charset="0"/>
            </a:rPr>
            <a:t>Canal Telefonico: Se incrementa la capacidad telefonica pasando de 1 linea a 2 líneas con 50 extensiones exclusivas para la atencion ciudadana.</a:t>
          </a:r>
        </a:p>
        <a:p>
          <a:pPr lvl="0" algn="ctr" defTabSz="400050">
            <a:lnSpc>
              <a:spcPct val="90000"/>
            </a:lnSpc>
            <a:spcBef>
              <a:spcPct val="0"/>
            </a:spcBef>
            <a:spcAft>
              <a:spcPct val="35000"/>
            </a:spcAft>
          </a:pPr>
          <a:r>
            <a:rPr lang="es-CO" sz="900" b="0" kern="1200" baseline="0">
              <a:solidFill>
                <a:sysClr val="windowText" lastClr="000000"/>
              </a:solidFill>
              <a:latin typeface="Arial" panose="020B0604020202020204" pitchFamily="34" charset="0"/>
              <a:cs typeface="Arial" panose="020B0604020202020204" pitchFamily="34" charset="0"/>
            </a:rPr>
            <a:t>Se implementa la medicion y control de las llamadas recibidas por cada Dirección Territorial; adicionalmente se presta acompañamiento continuo en la herramienta dispuesta para este canal.</a:t>
          </a:r>
          <a:endParaRPr lang="es-CO" sz="900" b="0" kern="1200">
            <a:latin typeface="Arial" panose="020B0604020202020204" pitchFamily="34" charset="0"/>
            <a:cs typeface="Arial" panose="020B0604020202020204" pitchFamily="34" charset="0"/>
          </a:endParaRPr>
        </a:p>
      </dsp:txBody>
      <dsp:txXfrm>
        <a:off x="2901491" y="1578353"/>
        <a:ext cx="3055586" cy="619990"/>
      </dsp:txXfrm>
    </dsp:sp>
    <dsp:sp modelId="{712B2985-6468-40F3-A61B-27BEF117AF73}">
      <dsp:nvSpPr>
        <dsp:cNvPr id="0" name=""/>
        <dsp:cNvSpPr/>
      </dsp:nvSpPr>
      <dsp:spPr>
        <a:xfrm>
          <a:off x="2281500" y="2195783"/>
          <a:ext cx="619990" cy="619990"/>
        </a:xfrm>
        <a:prstGeom prst="ellipse">
          <a:avLst/>
        </a:prstGeom>
        <a:blipFill>
          <a:blip xmlns:r="http://schemas.openxmlformats.org/officeDocument/2006/relationships" r:embed="rId6">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A6CAD2B-76F3-4947-A6DF-9D7D1BB04571}">
      <dsp:nvSpPr>
        <dsp:cNvPr id="0" name=""/>
        <dsp:cNvSpPr/>
      </dsp:nvSpPr>
      <dsp:spPr>
        <a:xfrm>
          <a:off x="2901491" y="2341655"/>
          <a:ext cx="3055586" cy="6199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MX" sz="900" b="0" kern="1200" dirty="0">
              <a:solidFill>
                <a:sysClr val="windowText" lastClr="000000"/>
              </a:solidFill>
              <a:latin typeface="Arial" panose="020B0604020202020204" pitchFamily="34" charset="0"/>
              <a:cs typeface="Arial" panose="020B0604020202020204" pitchFamily="34" charset="0"/>
            </a:rPr>
            <a:t>Canal Presencial: Retorno paulatino a la atención presencial. Interprete de Señas en Sede Central, disponible a nivel nacional.  </a:t>
          </a:r>
          <a:endParaRPr lang="es-CO" sz="900" b="0" kern="1200">
            <a:latin typeface="Arial" panose="020B0604020202020204" pitchFamily="34" charset="0"/>
            <a:cs typeface="Arial" panose="020B0604020202020204" pitchFamily="34" charset="0"/>
          </a:endParaRPr>
        </a:p>
      </dsp:txBody>
      <dsp:txXfrm>
        <a:off x="2901491" y="2341655"/>
        <a:ext cx="3055586" cy="619990"/>
      </dsp:txXfrm>
    </dsp:sp>
    <dsp:sp modelId="{EBA869AE-E347-49FA-8418-91579B6FBC15}">
      <dsp:nvSpPr>
        <dsp:cNvPr id="0" name=""/>
        <dsp:cNvSpPr/>
      </dsp:nvSpPr>
      <dsp:spPr>
        <a:xfrm>
          <a:off x="2281500" y="2927373"/>
          <a:ext cx="619990" cy="619990"/>
        </a:xfrm>
        <a:prstGeom prst="ellipse">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3000" r="-3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8726399-41D5-4072-81EF-FEF82A98F173}">
      <dsp:nvSpPr>
        <dsp:cNvPr id="0" name=""/>
        <dsp:cNvSpPr/>
      </dsp:nvSpPr>
      <dsp:spPr>
        <a:xfrm>
          <a:off x="2901491" y="2927373"/>
          <a:ext cx="3055586" cy="61999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11430" rIns="22860" bIns="11430" numCol="1" spcCol="1270" anchor="ctr" anchorCtr="0">
          <a:noAutofit/>
        </a:bodyPr>
        <a:lstStyle/>
        <a:p>
          <a:pPr lvl="0" algn="ctr" defTabSz="400050">
            <a:lnSpc>
              <a:spcPct val="90000"/>
            </a:lnSpc>
            <a:spcBef>
              <a:spcPct val="0"/>
            </a:spcBef>
            <a:spcAft>
              <a:spcPct val="35000"/>
            </a:spcAft>
          </a:pPr>
          <a:r>
            <a:rPr lang="es-CO" sz="900" b="0" kern="1200" dirty="0">
              <a:solidFill>
                <a:sysClr val="windowText" lastClr="000000"/>
              </a:solidFill>
              <a:latin typeface="Arial" panose="020B0604020202020204" pitchFamily="34" charset="0"/>
              <a:cs typeface="Arial" panose="020B0604020202020204" pitchFamily="34" charset="0"/>
            </a:rPr>
            <a:t>Canal Virtual: </a:t>
          </a:r>
          <a:r>
            <a:rPr lang="es-ES" sz="900" b="0" kern="1200" dirty="0">
              <a:solidFill>
                <a:sysClr val="windowText" lastClr="000000"/>
              </a:solidFill>
              <a:latin typeface="Arial" panose="020B0604020202020204" pitchFamily="34" charset="0"/>
              <a:ea typeface="Source Sans Pro Light" panose="020B0403030403020204" pitchFamily="34" charset="0"/>
              <a:cs typeface="Arial" panose="020B0604020202020204" pitchFamily="34" charset="0"/>
            </a:rPr>
            <a:t>Para el 2021, el 100% de las interacciones de las redes sociales del IGAC son contestadas en un término no mayor a 2 días.</a:t>
          </a:r>
          <a:endParaRPr lang="es-CO" sz="900" b="0" kern="1200">
            <a:latin typeface="Arial" panose="020B0604020202020204" pitchFamily="34" charset="0"/>
            <a:cs typeface="Arial" panose="020B0604020202020204" pitchFamily="34" charset="0"/>
          </a:endParaRPr>
        </a:p>
      </dsp:txBody>
      <dsp:txXfrm>
        <a:off x="2901491" y="2927373"/>
        <a:ext cx="3055586" cy="619990"/>
      </dsp:txXfrm>
    </dsp:sp>
  </dsp:spTree>
</dsp:drawing>
</file>

<file path=word/diagrams/layout1.xml><?xml version="1.0" encoding="utf-8"?>
<dgm:layoutDef xmlns:dgm="http://schemas.openxmlformats.org/drawingml/2006/diagram" xmlns:a="http://schemas.openxmlformats.org/drawingml/2006/main" uniqueId="urn:microsoft.com/office/officeart/2008/layout/AccentedPicture">
  <dgm:title val=""/>
  <dgm:desc val=""/>
  <dgm:catLst>
    <dgm:cat type="picture" pri="1000"/>
    <dgm:cat type="pictureconvert" pri="1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varLst>
    <dgm:alg type="composite"/>
    <dgm:shape xmlns:r="http://schemas.openxmlformats.org/officeDocument/2006/relationships" r:blip="">
      <dgm:adjLst/>
    </dgm:shape>
    <dgm:choose name="Name1">
      <dgm:if name="Name2" axis="ch" ptType="node" func="cnt" op="lte" val="1">
        <dgm:constrLst>
          <dgm:constr type="h" for="ch" forName="picture_1" refType="h"/>
          <dgm:constr type="w" for="ch" forName="picture_1" refType="h" refFor="ch" refForName="picture_1" op="equ" fact="0.784"/>
          <dgm:constr type="l" for="ch" forName="picture_1"/>
          <dgm:constr type="t" for="ch" forName="picture_1"/>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
        </dgm:constrLst>
      </dgm:if>
      <dgm:if name="Name3" axis="ch" ptType="node" func="cnt" op="lte" val="5">
        <dgm:choose name="Name4">
          <dgm:if name="Name5"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6">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if>
      <dgm:else name="Name7">
        <dgm:choose name="Name8">
          <dgm:if name="Name9"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10">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else>
    </dgm:choose>
    <dgm:forEach name="Name11" axis="ch" ptType="sibTrans" hideLastTrans="0" cnt="1">
      <dgm:layoutNode name="picture_1" styleLbl="bgImgPlace1">
        <dgm:alg type="sp"/>
        <dgm:shape xmlns:r="http://schemas.openxmlformats.org/officeDocument/2006/relationships" type="roundRect" r:blip="" blipPhldr="1">
          <dgm:adjLst/>
        </dgm:shape>
        <dgm:presOf axis="self"/>
      </dgm:layoutNode>
    </dgm:forEach>
    <dgm:forEach name="Name12" axis="ch" ptType="node" cnt="1">
      <dgm:layoutNode name="text_1" styleLbl="node1">
        <dgm:varLst>
          <dgm:bulletEnabled val="1"/>
        </dgm:varLst>
        <dgm:choose name="Name13">
          <dgm:if name="Name14" func="var" arg="dir" op="equ" val="norm">
            <dgm:alg type="tx">
              <dgm:param type="txAnchorVert" val="b"/>
              <dgm:param type="parTxLTRAlign" val="l"/>
              <dgm:param type="shpTxLTRAlignCh" val="l"/>
              <dgm:param type="parTxRTLAlign" val="l"/>
              <dgm:param type="shpTxRTLAlignCh" val="l"/>
            </dgm:alg>
          </dgm:if>
          <dgm:else name="Name15">
            <dgm:alg type="tx">
              <dgm:param type="txAnchorVert" val="b"/>
              <dgm:param type="parTxLTRAlign" val="r"/>
              <dgm:param type="shpTxLTRAlignCh" val="r"/>
              <dgm:param type="parTxRTLAlign" val="r"/>
              <dgm:param type="shpTxRTLAlignCh" val="r"/>
            </dgm:alg>
          </dgm:else>
        </dgm:choose>
        <dgm:shape xmlns:r="http://schemas.openxmlformats.org/officeDocument/2006/relationships" type="rect" r:blip="" hideGeom="1">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forEach>
    <dgm:choose name="Name16">
      <dgm:if name="Name17" axis="ch" ptType="node" func="cnt" op="gte" val="2">
        <dgm:layoutNode name="linV">
          <dgm:choose name="Name18">
            <dgm:if name="Name19" func="var" arg="dir" op="equ" val="norm">
              <dgm:alg type="lin">
                <dgm:param type="linDir" val="fromT"/>
                <dgm:param type="vertAlign" val="t"/>
                <dgm:param type="fallback" val="1D"/>
                <dgm:param type="horzAlign" val="l"/>
                <dgm:param type="nodeHorzAlign" val="l"/>
              </dgm:alg>
            </dgm:if>
            <dgm:else name="Name20">
              <dgm:alg type="lin">
                <dgm:param type="linDir" val="fromT"/>
                <dgm:param type="vertAlign" val="t"/>
                <dgm:param type="fallback" val="1D"/>
                <dgm:param type="horzAlign" val="r"/>
                <dgm:param type="nodeHorzAlign" val="r"/>
              </dgm:alg>
            </dgm:else>
          </dgm:choose>
          <dgm:shape xmlns:r="http://schemas.openxmlformats.org/officeDocument/2006/relationships" r:blip="">
            <dgm:adjLst/>
          </dgm:shape>
          <dgm:constrLst>
            <dgm:constr type="w" for="ch" forName="spaceV" val="1"/>
            <dgm:constr type="w" for="ch" forName="pair" refType="w" op="equ"/>
            <dgm:constr type="w" for="des" forName="desText" op="equ"/>
            <dgm:constr type="primFontSz" for="des" forName="desText" op="equ" val="65"/>
          </dgm:constrLst>
          <dgm:forEach name="Name21" axis="ch" ptType="node" st="2">
            <dgm:layoutNode name="pair">
              <dgm:alg type="composite"/>
              <dgm:shape xmlns:r="http://schemas.openxmlformats.org/officeDocument/2006/relationships" r:blip="">
                <dgm:adjLst/>
              </dgm:shape>
              <dgm:choose name="Name22">
                <dgm:if name="Name23" func="var" arg="dir" op="equ" val="norm">
                  <dgm:constrLst>
                    <dgm:constr type="userC"/>
                    <dgm:constr type="l" for="ch" forName="spaceH"/>
                    <dgm:constr type="r"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l" for="ch" forName="desTextWrapper" refType="r" refFor="ch" refForName="desPictures"/>
                    <dgm:constr type="ctrY" for="ch" forName="desTextWrapper" refType="w" fact="0.5"/>
                    <dgm:constr type="h" for="ch" forName="desTextWrapper" refType="h"/>
                    <dgm:constr type="h" for="des" forName="desText" refType="h"/>
                  </dgm:constrLst>
                </dgm:if>
                <dgm:else name="Name24">
                  <dgm:constrLst>
                    <dgm:constr type="userC"/>
                    <dgm:constr type="r" for="ch" forName="spaceH" refType="w"/>
                    <dgm:constr type="l"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r" for="ch" forName="desTextWrapper" refType="l" refFor="ch" refForName="desPictures"/>
                    <dgm:constr type="ctrY" for="ch" forName="desTextWrapper" refType="w" fact="0.5"/>
                    <dgm:constr type="h" for="ch" forName="desTextWrapper" refType="h"/>
                    <dgm:constr type="h" for="des" forName="desText" refType="h"/>
                  </dgm:constrLst>
                </dgm:else>
              </dgm:choose>
              <dgm:layoutNode name="spaceH">
                <dgm:alg type="sp"/>
                <dgm:shape xmlns:r="http://schemas.openxmlformats.org/officeDocument/2006/relationships" type="rect" r:blip="" hideGeom="1">
                  <dgm:adjLst/>
                </dgm:shape>
                <dgm:presOf/>
              </dgm:layoutNode>
              <dgm:layoutNode name="desPictures" styleLbl="alignImgPlace1">
                <dgm:alg type="sp"/>
                <dgm:shape xmlns:r="http://schemas.openxmlformats.org/officeDocument/2006/relationships" type="ellipse" r:blip="" blipPhldr="1">
                  <dgm:adjLst/>
                </dgm:shape>
                <dgm:presOf/>
              </dgm:layoutNode>
              <dgm:layoutNode name="desTextWrapper">
                <dgm:choose name="Name25">
                  <dgm:if name="Name26" func="var" arg="dir" op="equ" val="norm">
                    <dgm:alg type="lin">
                      <dgm:param type="horzAlign" val="l"/>
                    </dgm:alg>
                  </dgm:if>
                  <dgm:else name="Name27">
                    <dgm:alg type="lin">
                      <dgm:param type="horzAlign" val="r"/>
                    </dgm:alg>
                  </dgm:else>
                </dgm:choose>
                <dgm:layoutNode name="desText" styleLbl="revTx">
                  <dgm:varLst>
                    <dgm:bulletEnabled val="1"/>
                  </dgm:varLst>
                  <dgm:choose name="Name28">
                    <dgm:if name="Name29" func="var" arg="dir" op="equ" val="norm">
                      <dgm:alg type="tx">
                        <dgm:param type="parTxLTRAlign" val="l"/>
                        <dgm:param type="shpTxLTRAlignCh" val="l"/>
                        <dgm:param type="parTxRTLAlign" val="r"/>
                        <dgm:param type="shpTxRTLAlignCh" val="r"/>
                      </dgm:alg>
                    </dgm:if>
                    <dgm:else name="Name30">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userW"/>
                    <dgm:constr type="w" refType="userW" fact="0.1"/>
                    <dgm:constr type="lMarg" refType="primFontSz" fact="0.2"/>
                    <dgm:constr type="rMarg" refType="primFontSz" fact="0.2"/>
                    <dgm:constr type="tMarg" refType="primFontSz" fact="0.1"/>
                    <dgm:constr type="bMarg" refType="primFontSz" fact="0.1"/>
                  </dgm:constrLst>
                  <dgm:ruleLst>
                    <dgm:rule type="w" val="NaN" fact="1" max="NaN"/>
                    <dgm:rule type="primFontSz" val="5" fact="NaN" max="NaN"/>
                  </dgm:ruleLst>
                </dgm:layoutNode>
              </dgm:layoutNode>
            </dgm:layoutNode>
            <dgm:forEach name="Name31" axis="followSib" ptType="sibTrans" cnt="1">
              <dgm:layoutNode name="spaceV">
                <dgm:alg type="sp"/>
                <dgm:shape xmlns:r="http://schemas.openxmlformats.org/officeDocument/2006/relationships" r:blip="">
                  <dgm:adjLst/>
                </dgm:shape>
                <dgm:presOf/>
              </dgm:layoutNode>
            </dgm:forEach>
          </dgm:forEach>
        </dgm:layoutNode>
      </dgm:if>
      <dgm:else name="Name32"/>
    </dgm:choose>
    <dgm:layoutNode name="maxNode">
      <dgm:alg type="lin"/>
      <dgm:shape xmlns:r="http://schemas.openxmlformats.org/officeDocument/2006/relationships" r:blip="">
        <dgm:adjLst/>
      </dgm:shape>
      <dgm:presOf/>
      <dgm:constrLst>
        <dgm:constr type="w" for="ch"/>
        <dgm:constr type="h" for="ch"/>
      </dgm:constrLst>
      <dgm:layoutNode name="Name33">
        <dgm:alg type="sp"/>
        <dgm:shape xmlns:r="http://schemas.openxmlformats.org/officeDocument/2006/relationships" r:blip="">
          <dgm:adjLst/>
        </dgm:shape>
        <dgm:presOf/>
      </dgm:layoutNode>
    </dgm:layoutNode>
  </dgm:layoutNode>
</dgm:layoutDef>
</file>

<file path=word/diagrams/layout2.xml><?xml version="1.0" encoding="utf-8"?>
<dgm:layoutDef xmlns:dgm="http://schemas.openxmlformats.org/drawingml/2006/diagram" xmlns:a="http://schemas.openxmlformats.org/drawingml/2006/main" uniqueId="urn:microsoft.com/office/officeart/2008/layout/AccentedPicture">
  <dgm:title val=""/>
  <dgm:desc val=""/>
  <dgm:catLst>
    <dgm:cat type="picture" pri="1000"/>
    <dgm:cat type="pictureconvert" pri="1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varLst>
    <dgm:alg type="composite"/>
    <dgm:shape xmlns:r="http://schemas.openxmlformats.org/officeDocument/2006/relationships" r:blip="">
      <dgm:adjLst/>
    </dgm:shape>
    <dgm:choose name="Name1">
      <dgm:if name="Name2" axis="ch" ptType="node" func="cnt" op="lte" val="1">
        <dgm:constrLst>
          <dgm:constr type="h" for="ch" forName="picture_1" refType="h"/>
          <dgm:constr type="w" for="ch" forName="picture_1" refType="h" refFor="ch" refForName="picture_1" op="equ" fact="0.784"/>
          <dgm:constr type="l" for="ch" forName="picture_1"/>
          <dgm:constr type="t" for="ch" forName="picture_1"/>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
        </dgm:constrLst>
      </dgm:if>
      <dgm:if name="Name3" axis="ch" ptType="node" func="cnt" op="lte" val="5">
        <dgm:choose name="Name4">
          <dgm:if name="Name5"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6">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if>
      <dgm:else name="Name7">
        <dgm:choose name="Name8">
          <dgm:if name="Name9"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10">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else>
    </dgm:choose>
    <dgm:forEach name="Name11" axis="ch" ptType="sibTrans" hideLastTrans="0" cnt="1">
      <dgm:layoutNode name="picture_1" styleLbl="bgImgPlace1">
        <dgm:alg type="sp"/>
        <dgm:shape xmlns:r="http://schemas.openxmlformats.org/officeDocument/2006/relationships" type="roundRect" r:blip="" blipPhldr="1">
          <dgm:adjLst/>
        </dgm:shape>
        <dgm:presOf axis="self"/>
      </dgm:layoutNode>
    </dgm:forEach>
    <dgm:forEach name="Name12" axis="ch" ptType="node" cnt="1">
      <dgm:layoutNode name="text_1" styleLbl="node1">
        <dgm:varLst>
          <dgm:bulletEnabled val="1"/>
        </dgm:varLst>
        <dgm:choose name="Name13">
          <dgm:if name="Name14" func="var" arg="dir" op="equ" val="norm">
            <dgm:alg type="tx">
              <dgm:param type="txAnchorVert" val="b"/>
              <dgm:param type="parTxLTRAlign" val="l"/>
              <dgm:param type="shpTxLTRAlignCh" val="l"/>
              <dgm:param type="parTxRTLAlign" val="l"/>
              <dgm:param type="shpTxRTLAlignCh" val="l"/>
            </dgm:alg>
          </dgm:if>
          <dgm:else name="Name15">
            <dgm:alg type="tx">
              <dgm:param type="txAnchorVert" val="b"/>
              <dgm:param type="parTxLTRAlign" val="r"/>
              <dgm:param type="shpTxLTRAlignCh" val="r"/>
              <dgm:param type="parTxRTLAlign" val="r"/>
              <dgm:param type="shpTxRTLAlignCh" val="r"/>
            </dgm:alg>
          </dgm:else>
        </dgm:choose>
        <dgm:shape xmlns:r="http://schemas.openxmlformats.org/officeDocument/2006/relationships" type="rect" r:blip="" hideGeom="1">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forEach>
    <dgm:choose name="Name16">
      <dgm:if name="Name17" axis="ch" ptType="node" func="cnt" op="gte" val="2">
        <dgm:layoutNode name="linV">
          <dgm:choose name="Name18">
            <dgm:if name="Name19" func="var" arg="dir" op="equ" val="norm">
              <dgm:alg type="lin">
                <dgm:param type="linDir" val="fromT"/>
                <dgm:param type="vertAlign" val="t"/>
                <dgm:param type="fallback" val="1D"/>
                <dgm:param type="horzAlign" val="l"/>
                <dgm:param type="nodeHorzAlign" val="l"/>
              </dgm:alg>
            </dgm:if>
            <dgm:else name="Name20">
              <dgm:alg type="lin">
                <dgm:param type="linDir" val="fromT"/>
                <dgm:param type="vertAlign" val="t"/>
                <dgm:param type="fallback" val="1D"/>
                <dgm:param type="horzAlign" val="r"/>
                <dgm:param type="nodeHorzAlign" val="r"/>
              </dgm:alg>
            </dgm:else>
          </dgm:choose>
          <dgm:shape xmlns:r="http://schemas.openxmlformats.org/officeDocument/2006/relationships" r:blip="">
            <dgm:adjLst/>
          </dgm:shape>
          <dgm:constrLst>
            <dgm:constr type="w" for="ch" forName="spaceV" val="1"/>
            <dgm:constr type="w" for="ch" forName="pair" refType="w" op="equ"/>
            <dgm:constr type="w" for="des" forName="desText" op="equ"/>
            <dgm:constr type="primFontSz" for="des" forName="desText" op="equ" val="65"/>
          </dgm:constrLst>
          <dgm:forEach name="Name21" axis="ch" ptType="node" st="2">
            <dgm:layoutNode name="pair">
              <dgm:alg type="composite"/>
              <dgm:shape xmlns:r="http://schemas.openxmlformats.org/officeDocument/2006/relationships" r:blip="">
                <dgm:adjLst/>
              </dgm:shape>
              <dgm:choose name="Name22">
                <dgm:if name="Name23" func="var" arg="dir" op="equ" val="norm">
                  <dgm:constrLst>
                    <dgm:constr type="userC"/>
                    <dgm:constr type="l" for="ch" forName="spaceH"/>
                    <dgm:constr type="r"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l" for="ch" forName="desTextWrapper" refType="r" refFor="ch" refForName="desPictures"/>
                    <dgm:constr type="ctrY" for="ch" forName="desTextWrapper" refType="w" fact="0.5"/>
                    <dgm:constr type="h" for="ch" forName="desTextWrapper" refType="h"/>
                    <dgm:constr type="h" for="des" forName="desText" refType="h"/>
                  </dgm:constrLst>
                </dgm:if>
                <dgm:else name="Name24">
                  <dgm:constrLst>
                    <dgm:constr type="userC"/>
                    <dgm:constr type="r" for="ch" forName="spaceH" refType="w"/>
                    <dgm:constr type="l"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r" for="ch" forName="desTextWrapper" refType="l" refFor="ch" refForName="desPictures"/>
                    <dgm:constr type="ctrY" for="ch" forName="desTextWrapper" refType="w" fact="0.5"/>
                    <dgm:constr type="h" for="ch" forName="desTextWrapper" refType="h"/>
                    <dgm:constr type="h" for="des" forName="desText" refType="h"/>
                  </dgm:constrLst>
                </dgm:else>
              </dgm:choose>
              <dgm:layoutNode name="spaceH">
                <dgm:alg type="sp"/>
                <dgm:shape xmlns:r="http://schemas.openxmlformats.org/officeDocument/2006/relationships" type="rect" r:blip="" hideGeom="1">
                  <dgm:adjLst/>
                </dgm:shape>
                <dgm:presOf/>
              </dgm:layoutNode>
              <dgm:layoutNode name="desPictures" styleLbl="alignImgPlace1">
                <dgm:alg type="sp"/>
                <dgm:shape xmlns:r="http://schemas.openxmlformats.org/officeDocument/2006/relationships" type="ellipse" r:blip="" blipPhldr="1">
                  <dgm:adjLst/>
                </dgm:shape>
                <dgm:presOf/>
              </dgm:layoutNode>
              <dgm:layoutNode name="desTextWrapper">
                <dgm:choose name="Name25">
                  <dgm:if name="Name26" func="var" arg="dir" op="equ" val="norm">
                    <dgm:alg type="lin">
                      <dgm:param type="horzAlign" val="l"/>
                    </dgm:alg>
                  </dgm:if>
                  <dgm:else name="Name27">
                    <dgm:alg type="lin">
                      <dgm:param type="horzAlign" val="r"/>
                    </dgm:alg>
                  </dgm:else>
                </dgm:choose>
                <dgm:layoutNode name="desText" styleLbl="revTx">
                  <dgm:varLst>
                    <dgm:bulletEnabled val="1"/>
                  </dgm:varLst>
                  <dgm:choose name="Name28">
                    <dgm:if name="Name29" func="var" arg="dir" op="equ" val="norm">
                      <dgm:alg type="tx">
                        <dgm:param type="parTxLTRAlign" val="l"/>
                        <dgm:param type="shpTxLTRAlignCh" val="l"/>
                        <dgm:param type="parTxRTLAlign" val="r"/>
                        <dgm:param type="shpTxRTLAlignCh" val="r"/>
                      </dgm:alg>
                    </dgm:if>
                    <dgm:else name="Name30">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userW"/>
                    <dgm:constr type="w" refType="userW" fact="0.1"/>
                    <dgm:constr type="lMarg" refType="primFontSz" fact="0.2"/>
                    <dgm:constr type="rMarg" refType="primFontSz" fact="0.2"/>
                    <dgm:constr type="tMarg" refType="primFontSz" fact="0.1"/>
                    <dgm:constr type="bMarg" refType="primFontSz" fact="0.1"/>
                  </dgm:constrLst>
                  <dgm:ruleLst>
                    <dgm:rule type="w" val="NaN" fact="1" max="NaN"/>
                    <dgm:rule type="primFontSz" val="5" fact="NaN" max="NaN"/>
                  </dgm:ruleLst>
                </dgm:layoutNode>
              </dgm:layoutNode>
            </dgm:layoutNode>
            <dgm:forEach name="Name31" axis="followSib" ptType="sibTrans" cnt="1">
              <dgm:layoutNode name="spaceV">
                <dgm:alg type="sp"/>
                <dgm:shape xmlns:r="http://schemas.openxmlformats.org/officeDocument/2006/relationships" r:blip="">
                  <dgm:adjLst/>
                </dgm:shape>
                <dgm:presOf/>
              </dgm:layoutNode>
            </dgm:forEach>
          </dgm:forEach>
        </dgm:layoutNode>
      </dgm:if>
      <dgm:else name="Name32"/>
    </dgm:choose>
    <dgm:layoutNode name="maxNode">
      <dgm:alg type="lin"/>
      <dgm:shape xmlns:r="http://schemas.openxmlformats.org/officeDocument/2006/relationships" r:blip="">
        <dgm:adjLst/>
      </dgm:shape>
      <dgm:presOf/>
      <dgm:constrLst>
        <dgm:constr type="w" for="ch"/>
        <dgm:constr type="h" for="ch"/>
      </dgm:constrLst>
      <dgm:layoutNode name="Name33">
        <dgm:alg type="sp"/>
        <dgm:shape xmlns:r="http://schemas.openxmlformats.org/officeDocument/2006/relationships" r:blip="">
          <dgm:adjLst/>
        </dgm:shape>
        <dgm:presOf/>
      </dgm:layoutNode>
    </dgm:layoutNode>
  </dgm:layoutNode>
</dgm:layoutDef>
</file>

<file path=word/diagrams/layout3.xml><?xml version="1.0" encoding="utf-8"?>
<dgm:layoutDef xmlns:dgm="http://schemas.openxmlformats.org/drawingml/2006/diagram" xmlns:a="http://schemas.openxmlformats.org/drawingml/2006/main" uniqueId="urn:microsoft.com/office/officeart/2008/layout/AccentedPicture">
  <dgm:title val=""/>
  <dgm:desc val=""/>
  <dgm:catLst>
    <dgm:cat type="picture" pri="1000"/>
    <dgm:cat type="pictureconvert" pri="1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varLst>
    <dgm:alg type="composite"/>
    <dgm:shape xmlns:r="http://schemas.openxmlformats.org/officeDocument/2006/relationships" r:blip="">
      <dgm:adjLst/>
    </dgm:shape>
    <dgm:choose name="Name1">
      <dgm:if name="Name2" axis="ch" ptType="node" func="cnt" op="lte" val="1">
        <dgm:constrLst>
          <dgm:constr type="h" for="ch" forName="picture_1" refType="h"/>
          <dgm:constr type="w" for="ch" forName="picture_1" refType="h" refFor="ch" refForName="picture_1" op="equ" fact="0.784"/>
          <dgm:constr type="l" for="ch" forName="picture_1"/>
          <dgm:constr type="t" for="ch" forName="picture_1"/>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
        </dgm:constrLst>
      </dgm:if>
      <dgm:if name="Name3" axis="ch" ptType="node" func="cnt" op="lte" val="5">
        <dgm:choose name="Name4">
          <dgm:if name="Name5"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6">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if>
      <dgm:else name="Name7">
        <dgm:choose name="Name8">
          <dgm:if name="Name9"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10">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else>
    </dgm:choose>
    <dgm:forEach name="Name11" axis="ch" ptType="sibTrans" hideLastTrans="0" cnt="1">
      <dgm:layoutNode name="picture_1" styleLbl="bgImgPlace1">
        <dgm:alg type="sp"/>
        <dgm:shape xmlns:r="http://schemas.openxmlformats.org/officeDocument/2006/relationships" type="roundRect" r:blip="" blipPhldr="1">
          <dgm:adjLst/>
        </dgm:shape>
        <dgm:presOf axis="self"/>
      </dgm:layoutNode>
    </dgm:forEach>
    <dgm:forEach name="Name12" axis="ch" ptType="node" cnt="1">
      <dgm:layoutNode name="text_1" styleLbl="node1">
        <dgm:varLst>
          <dgm:bulletEnabled val="1"/>
        </dgm:varLst>
        <dgm:choose name="Name13">
          <dgm:if name="Name14" func="var" arg="dir" op="equ" val="norm">
            <dgm:alg type="tx">
              <dgm:param type="txAnchorVert" val="b"/>
              <dgm:param type="parTxLTRAlign" val="l"/>
              <dgm:param type="shpTxLTRAlignCh" val="l"/>
              <dgm:param type="parTxRTLAlign" val="l"/>
              <dgm:param type="shpTxRTLAlignCh" val="l"/>
            </dgm:alg>
          </dgm:if>
          <dgm:else name="Name15">
            <dgm:alg type="tx">
              <dgm:param type="txAnchorVert" val="b"/>
              <dgm:param type="parTxLTRAlign" val="r"/>
              <dgm:param type="shpTxLTRAlignCh" val="r"/>
              <dgm:param type="parTxRTLAlign" val="r"/>
              <dgm:param type="shpTxRTLAlignCh" val="r"/>
            </dgm:alg>
          </dgm:else>
        </dgm:choose>
        <dgm:shape xmlns:r="http://schemas.openxmlformats.org/officeDocument/2006/relationships" type="rect" r:blip="" hideGeom="1">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forEach>
    <dgm:choose name="Name16">
      <dgm:if name="Name17" axis="ch" ptType="node" func="cnt" op="gte" val="2">
        <dgm:layoutNode name="linV">
          <dgm:choose name="Name18">
            <dgm:if name="Name19" func="var" arg="dir" op="equ" val="norm">
              <dgm:alg type="lin">
                <dgm:param type="linDir" val="fromT"/>
                <dgm:param type="vertAlign" val="t"/>
                <dgm:param type="fallback" val="1D"/>
                <dgm:param type="horzAlign" val="l"/>
                <dgm:param type="nodeHorzAlign" val="l"/>
              </dgm:alg>
            </dgm:if>
            <dgm:else name="Name20">
              <dgm:alg type="lin">
                <dgm:param type="linDir" val="fromT"/>
                <dgm:param type="vertAlign" val="t"/>
                <dgm:param type="fallback" val="1D"/>
                <dgm:param type="horzAlign" val="r"/>
                <dgm:param type="nodeHorzAlign" val="r"/>
              </dgm:alg>
            </dgm:else>
          </dgm:choose>
          <dgm:shape xmlns:r="http://schemas.openxmlformats.org/officeDocument/2006/relationships" r:blip="">
            <dgm:adjLst/>
          </dgm:shape>
          <dgm:constrLst>
            <dgm:constr type="w" for="ch" forName="spaceV" val="1"/>
            <dgm:constr type="w" for="ch" forName="pair" refType="w" op="equ"/>
            <dgm:constr type="w" for="des" forName="desText" op="equ"/>
            <dgm:constr type="primFontSz" for="des" forName="desText" op="equ" val="65"/>
          </dgm:constrLst>
          <dgm:forEach name="Name21" axis="ch" ptType="node" st="2">
            <dgm:layoutNode name="pair">
              <dgm:alg type="composite"/>
              <dgm:shape xmlns:r="http://schemas.openxmlformats.org/officeDocument/2006/relationships" r:blip="">
                <dgm:adjLst/>
              </dgm:shape>
              <dgm:choose name="Name22">
                <dgm:if name="Name23" func="var" arg="dir" op="equ" val="norm">
                  <dgm:constrLst>
                    <dgm:constr type="userC"/>
                    <dgm:constr type="l" for="ch" forName="spaceH"/>
                    <dgm:constr type="r"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l" for="ch" forName="desTextWrapper" refType="r" refFor="ch" refForName="desPictures"/>
                    <dgm:constr type="ctrY" for="ch" forName="desTextWrapper" refType="w" fact="0.5"/>
                    <dgm:constr type="h" for="ch" forName="desTextWrapper" refType="h"/>
                    <dgm:constr type="h" for="des" forName="desText" refType="h"/>
                  </dgm:constrLst>
                </dgm:if>
                <dgm:else name="Name24">
                  <dgm:constrLst>
                    <dgm:constr type="userC"/>
                    <dgm:constr type="r" for="ch" forName="spaceH" refType="w"/>
                    <dgm:constr type="l"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r" for="ch" forName="desTextWrapper" refType="l" refFor="ch" refForName="desPictures"/>
                    <dgm:constr type="ctrY" for="ch" forName="desTextWrapper" refType="w" fact="0.5"/>
                    <dgm:constr type="h" for="ch" forName="desTextWrapper" refType="h"/>
                    <dgm:constr type="h" for="des" forName="desText" refType="h"/>
                  </dgm:constrLst>
                </dgm:else>
              </dgm:choose>
              <dgm:layoutNode name="spaceH">
                <dgm:alg type="sp"/>
                <dgm:shape xmlns:r="http://schemas.openxmlformats.org/officeDocument/2006/relationships" type="rect" r:blip="" hideGeom="1">
                  <dgm:adjLst/>
                </dgm:shape>
                <dgm:presOf/>
              </dgm:layoutNode>
              <dgm:layoutNode name="desPictures" styleLbl="alignImgPlace1">
                <dgm:alg type="sp"/>
                <dgm:shape xmlns:r="http://schemas.openxmlformats.org/officeDocument/2006/relationships" type="ellipse" r:blip="" blipPhldr="1">
                  <dgm:adjLst/>
                </dgm:shape>
                <dgm:presOf/>
              </dgm:layoutNode>
              <dgm:layoutNode name="desTextWrapper">
                <dgm:choose name="Name25">
                  <dgm:if name="Name26" func="var" arg="dir" op="equ" val="norm">
                    <dgm:alg type="lin">
                      <dgm:param type="horzAlign" val="l"/>
                    </dgm:alg>
                  </dgm:if>
                  <dgm:else name="Name27">
                    <dgm:alg type="lin">
                      <dgm:param type="horzAlign" val="r"/>
                    </dgm:alg>
                  </dgm:else>
                </dgm:choose>
                <dgm:layoutNode name="desText" styleLbl="revTx">
                  <dgm:varLst>
                    <dgm:bulletEnabled val="1"/>
                  </dgm:varLst>
                  <dgm:choose name="Name28">
                    <dgm:if name="Name29" func="var" arg="dir" op="equ" val="norm">
                      <dgm:alg type="tx">
                        <dgm:param type="parTxLTRAlign" val="l"/>
                        <dgm:param type="shpTxLTRAlignCh" val="l"/>
                        <dgm:param type="parTxRTLAlign" val="r"/>
                        <dgm:param type="shpTxRTLAlignCh" val="r"/>
                      </dgm:alg>
                    </dgm:if>
                    <dgm:else name="Name30">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userW"/>
                    <dgm:constr type="w" refType="userW" fact="0.1"/>
                    <dgm:constr type="lMarg" refType="primFontSz" fact="0.2"/>
                    <dgm:constr type="rMarg" refType="primFontSz" fact="0.2"/>
                    <dgm:constr type="tMarg" refType="primFontSz" fact="0.1"/>
                    <dgm:constr type="bMarg" refType="primFontSz" fact="0.1"/>
                  </dgm:constrLst>
                  <dgm:ruleLst>
                    <dgm:rule type="w" val="NaN" fact="1" max="NaN"/>
                    <dgm:rule type="primFontSz" val="5" fact="NaN" max="NaN"/>
                  </dgm:ruleLst>
                </dgm:layoutNode>
              </dgm:layoutNode>
            </dgm:layoutNode>
            <dgm:forEach name="Name31" axis="followSib" ptType="sibTrans" cnt="1">
              <dgm:layoutNode name="spaceV">
                <dgm:alg type="sp"/>
                <dgm:shape xmlns:r="http://schemas.openxmlformats.org/officeDocument/2006/relationships" r:blip="">
                  <dgm:adjLst/>
                </dgm:shape>
                <dgm:presOf/>
              </dgm:layoutNode>
            </dgm:forEach>
          </dgm:forEach>
        </dgm:layoutNode>
      </dgm:if>
      <dgm:else name="Name32"/>
    </dgm:choose>
    <dgm:layoutNode name="maxNode">
      <dgm:alg type="lin"/>
      <dgm:shape xmlns:r="http://schemas.openxmlformats.org/officeDocument/2006/relationships" r:blip="">
        <dgm:adjLst/>
      </dgm:shape>
      <dgm:presOf/>
      <dgm:constrLst>
        <dgm:constr type="w" for="ch"/>
        <dgm:constr type="h" for="ch"/>
      </dgm:constrLst>
      <dgm:layoutNode name="Name33">
        <dgm:alg type="sp"/>
        <dgm:shape xmlns:r="http://schemas.openxmlformats.org/officeDocument/2006/relationships" r:blip="">
          <dgm:adjLst/>
        </dgm:shape>
        <dgm:presOf/>
      </dgm:layoutNode>
    </dgm:layoutNode>
  </dgm:layoutNode>
</dgm:layoutDef>
</file>

<file path=word/diagrams/layout4.xml><?xml version="1.0" encoding="utf-8"?>
<dgm:layoutDef xmlns:dgm="http://schemas.openxmlformats.org/drawingml/2006/diagram" xmlns:a="http://schemas.openxmlformats.org/drawingml/2006/main" uniqueId="urn:microsoft.com/office/officeart/2008/layout/AccentedPicture">
  <dgm:title val=""/>
  <dgm:desc val=""/>
  <dgm:catLst>
    <dgm:cat type="picture" pri="1000"/>
    <dgm:cat type="pictureconvert" pri="1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varLst>
    <dgm:alg type="composite"/>
    <dgm:shape xmlns:r="http://schemas.openxmlformats.org/officeDocument/2006/relationships" r:blip="">
      <dgm:adjLst/>
    </dgm:shape>
    <dgm:choose name="Name1">
      <dgm:if name="Name2" axis="ch" ptType="node" func="cnt" op="lte" val="1">
        <dgm:constrLst>
          <dgm:constr type="h" for="ch" forName="picture_1" refType="h"/>
          <dgm:constr type="w" for="ch" forName="picture_1" refType="h" refFor="ch" refForName="picture_1" op="equ" fact="0.784"/>
          <dgm:constr type="l" for="ch" forName="picture_1"/>
          <dgm:constr type="t" for="ch" forName="picture_1"/>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
        </dgm:constrLst>
      </dgm:if>
      <dgm:if name="Name3" axis="ch" ptType="node" func="cnt" op="lte" val="5">
        <dgm:choose name="Name4">
          <dgm:if name="Name5"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6">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if>
      <dgm:else name="Name7">
        <dgm:choose name="Name8">
          <dgm:if name="Name9"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10">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else>
    </dgm:choose>
    <dgm:forEach name="Name11" axis="ch" ptType="sibTrans" hideLastTrans="0" cnt="1">
      <dgm:layoutNode name="picture_1" styleLbl="bgImgPlace1">
        <dgm:alg type="sp"/>
        <dgm:shape xmlns:r="http://schemas.openxmlformats.org/officeDocument/2006/relationships" type="roundRect" r:blip="" blipPhldr="1">
          <dgm:adjLst/>
        </dgm:shape>
        <dgm:presOf axis="self"/>
      </dgm:layoutNode>
    </dgm:forEach>
    <dgm:forEach name="Name12" axis="ch" ptType="node" cnt="1">
      <dgm:layoutNode name="text_1" styleLbl="node1">
        <dgm:varLst>
          <dgm:bulletEnabled val="1"/>
        </dgm:varLst>
        <dgm:choose name="Name13">
          <dgm:if name="Name14" func="var" arg="dir" op="equ" val="norm">
            <dgm:alg type="tx">
              <dgm:param type="txAnchorVert" val="b"/>
              <dgm:param type="parTxLTRAlign" val="l"/>
              <dgm:param type="shpTxLTRAlignCh" val="l"/>
              <dgm:param type="parTxRTLAlign" val="l"/>
              <dgm:param type="shpTxRTLAlignCh" val="l"/>
            </dgm:alg>
          </dgm:if>
          <dgm:else name="Name15">
            <dgm:alg type="tx">
              <dgm:param type="txAnchorVert" val="b"/>
              <dgm:param type="parTxLTRAlign" val="r"/>
              <dgm:param type="shpTxLTRAlignCh" val="r"/>
              <dgm:param type="parTxRTLAlign" val="r"/>
              <dgm:param type="shpTxRTLAlignCh" val="r"/>
            </dgm:alg>
          </dgm:else>
        </dgm:choose>
        <dgm:shape xmlns:r="http://schemas.openxmlformats.org/officeDocument/2006/relationships" type="rect" r:blip="" hideGeom="1">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forEach>
    <dgm:choose name="Name16">
      <dgm:if name="Name17" axis="ch" ptType="node" func="cnt" op="gte" val="2">
        <dgm:layoutNode name="linV">
          <dgm:choose name="Name18">
            <dgm:if name="Name19" func="var" arg="dir" op="equ" val="norm">
              <dgm:alg type="lin">
                <dgm:param type="linDir" val="fromT"/>
                <dgm:param type="vertAlign" val="t"/>
                <dgm:param type="fallback" val="1D"/>
                <dgm:param type="horzAlign" val="l"/>
                <dgm:param type="nodeHorzAlign" val="l"/>
              </dgm:alg>
            </dgm:if>
            <dgm:else name="Name20">
              <dgm:alg type="lin">
                <dgm:param type="linDir" val="fromT"/>
                <dgm:param type="vertAlign" val="t"/>
                <dgm:param type="fallback" val="1D"/>
                <dgm:param type="horzAlign" val="r"/>
                <dgm:param type="nodeHorzAlign" val="r"/>
              </dgm:alg>
            </dgm:else>
          </dgm:choose>
          <dgm:shape xmlns:r="http://schemas.openxmlformats.org/officeDocument/2006/relationships" r:blip="">
            <dgm:adjLst/>
          </dgm:shape>
          <dgm:constrLst>
            <dgm:constr type="w" for="ch" forName="spaceV" val="1"/>
            <dgm:constr type="w" for="ch" forName="pair" refType="w" op="equ"/>
            <dgm:constr type="w" for="des" forName="desText" op="equ"/>
            <dgm:constr type="primFontSz" for="des" forName="desText" op="equ" val="65"/>
          </dgm:constrLst>
          <dgm:forEach name="Name21" axis="ch" ptType="node" st="2">
            <dgm:layoutNode name="pair">
              <dgm:alg type="composite"/>
              <dgm:shape xmlns:r="http://schemas.openxmlformats.org/officeDocument/2006/relationships" r:blip="">
                <dgm:adjLst/>
              </dgm:shape>
              <dgm:choose name="Name22">
                <dgm:if name="Name23" func="var" arg="dir" op="equ" val="norm">
                  <dgm:constrLst>
                    <dgm:constr type="userC"/>
                    <dgm:constr type="l" for="ch" forName="spaceH"/>
                    <dgm:constr type="r"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l" for="ch" forName="desTextWrapper" refType="r" refFor="ch" refForName="desPictures"/>
                    <dgm:constr type="ctrY" for="ch" forName="desTextWrapper" refType="w" fact="0.5"/>
                    <dgm:constr type="h" for="ch" forName="desTextWrapper" refType="h"/>
                    <dgm:constr type="h" for="des" forName="desText" refType="h"/>
                  </dgm:constrLst>
                </dgm:if>
                <dgm:else name="Name24">
                  <dgm:constrLst>
                    <dgm:constr type="userC"/>
                    <dgm:constr type="r" for="ch" forName="spaceH" refType="w"/>
                    <dgm:constr type="l"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r" for="ch" forName="desTextWrapper" refType="l" refFor="ch" refForName="desPictures"/>
                    <dgm:constr type="ctrY" for="ch" forName="desTextWrapper" refType="w" fact="0.5"/>
                    <dgm:constr type="h" for="ch" forName="desTextWrapper" refType="h"/>
                    <dgm:constr type="h" for="des" forName="desText" refType="h"/>
                  </dgm:constrLst>
                </dgm:else>
              </dgm:choose>
              <dgm:layoutNode name="spaceH">
                <dgm:alg type="sp"/>
                <dgm:shape xmlns:r="http://schemas.openxmlformats.org/officeDocument/2006/relationships" type="rect" r:blip="" hideGeom="1">
                  <dgm:adjLst/>
                </dgm:shape>
                <dgm:presOf/>
              </dgm:layoutNode>
              <dgm:layoutNode name="desPictures" styleLbl="alignImgPlace1">
                <dgm:alg type="sp"/>
                <dgm:shape xmlns:r="http://schemas.openxmlformats.org/officeDocument/2006/relationships" type="ellipse" r:blip="" blipPhldr="1">
                  <dgm:adjLst/>
                </dgm:shape>
                <dgm:presOf/>
              </dgm:layoutNode>
              <dgm:layoutNode name="desTextWrapper">
                <dgm:choose name="Name25">
                  <dgm:if name="Name26" func="var" arg="dir" op="equ" val="norm">
                    <dgm:alg type="lin">
                      <dgm:param type="horzAlign" val="l"/>
                    </dgm:alg>
                  </dgm:if>
                  <dgm:else name="Name27">
                    <dgm:alg type="lin">
                      <dgm:param type="horzAlign" val="r"/>
                    </dgm:alg>
                  </dgm:else>
                </dgm:choose>
                <dgm:layoutNode name="desText" styleLbl="revTx">
                  <dgm:varLst>
                    <dgm:bulletEnabled val="1"/>
                  </dgm:varLst>
                  <dgm:choose name="Name28">
                    <dgm:if name="Name29" func="var" arg="dir" op="equ" val="norm">
                      <dgm:alg type="tx">
                        <dgm:param type="parTxLTRAlign" val="l"/>
                        <dgm:param type="shpTxLTRAlignCh" val="l"/>
                        <dgm:param type="parTxRTLAlign" val="r"/>
                        <dgm:param type="shpTxRTLAlignCh" val="r"/>
                      </dgm:alg>
                    </dgm:if>
                    <dgm:else name="Name30">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userW"/>
                    <dgm:constr type="w" refType="userW" fact="0.1"/>
                    <dgm:constr type="lMarg" refType="primFontSz" fact="0.2"/>
                    <dgm:constr type="rMarg" refType="primFontSz" fact="0.2"/>
                    <dgm:constr type="tMarg" refType="primFontSz" fact="0.1"/>
                    <dgm:constr type="bMarg" refType="primFontSz" fact="0.1"/>
                  </dgm:constrLst>
                  <dgm:ruleLst>
                    <dgm:rule type="w" val="NaN" fact="1" max="NaN"/>
                    <dgm:rule type="primFontSz" val="5" fact="NaN" max="NaN"/>
                  </dgm:ruleLst>
                </dgm:layoutNode>
              </dgm:layoutNode>
            </dgm:layoutNode>
            <dgm:forEach name="Name31" axis="followSib" ptType="sibTrans" cnt="1">
              <dgm:layoutNode name="spaceV">
                <dgm:alg type="sp"/>
                <dgm:shape xmlns:r="http://schemas.openxmlformats.org/officeDocument/2006/relationships" r:blip="">
                  <dgm:adjLst/>
                </dgm:shape>
                <dgm:presOf/>
              </dgm:layoutNode>
            </dgm:forEach>
          </dgm:forEach>
        </dgm:layoutNode>
      </dgm:if>
      <dgm:else name="Name32"/>
    </dgm:choose>
    <dgm:layoutNode name="maxNode">
      <dgm:alg type="lin"/>
      <dgm:shape xmlns:r="http://schemas.openxmlformats.org/officeDocument/2006/relationships" r:blip="">
        <dgm:adjLst/>
      </dgm:shape>
      <dgm:presOf/>
      <dgm:constrLst>
        <dgm:constr type="w" for="ch"/>
        <dgm:constr type="h" for="ch"/>
      </dgm:constrLst>
      <dgm:layoutNode name="Name33">
        <dgm:alg type="sp"/>
        <dgm:shape xmlns:r="http://schemas.openxmlformats.org/officeDocument/2006/relationships" r:blip="">
          <dgm:adjLst/>
        </dgm:shape>
        <dgm:presOf/>
      </dgm:layoutNode>
    </dgm:layoutNode>
  </dgm:layoutNode>
</dgm:layoutDef>
</file>

<file path=word/diagrams/layout5.xml><?xml version="1.0" encoding="utf-8"?>
<dgm:layoutDef xmlns:dgm="http://schemas.openxmlformats.org/drawingml/2006/diagram" xmlns:a="http://schemas.openxmlformats.org/drawingml/2006/main" uniqueId="urn:microsoft.com/office/officeart/2008/layout/AccentedPicture">
  <dgm:title val=""/>
  <dgm:desc val=""/>
  <dgm:catLst>
    <dgm:cat type="picture" pri="1000"/>
    <dgm:cat type="pictureconvert" pri="1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varLst>
    <dgm:alg type="composite"/>
    <dgm:shape xmlns:r="http://schemas.openxmlformats.org/officeDocument/2006/relationships" r:blip="">
      <dgm:adjLst/>
    </dgm:shape>
    <dgm:choose name="Name1">
      <dgm:if name="Name2" axis="ch" ptType="node" func="cnt" op="lte" val="1">
        <dgm:constrLst>
          <dgm:constr type="h" for="ch" forName="picture_1" refType="h"/>
          <dgm:constr type="w" for="ch" forName="picture_1" refType="h" refFor="ch" refForName="picture_1" op="equ" fact="0.784"/>
          <dgm:constr type="l" for="ch" forName="picture_1"/>
          <dgm:constr type="t" for="ch" forName="picture_1"/>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
        </dgm:constrLst>
      </dgm:if>
      <dgm:if name="Name3" axis="ch" ptType="node" func="cnt" op="lte" val="5">
        <dgm:choose name="Name4">
          <dgm:if name="Name5"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6">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if>
      <dgm:else name="Name7">
        <dgm:choose name="Name8">
          <dgm:if name="Name9" func="var" arg="dir" op="equ" val="norm">
            <dgm:constrLst>
              <dgm:constr type="h" for="ch" forName="picture_1" refType="h" fact="0.909"/>
              <dgm:constr type="w" for="ch" forName="picture_1" refType="h" refFor="ch" refForName="picture_1" op="equ" fact="0.784"/>
              <dgm:constr type="l" for="ch" forName="picture_1"/>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l" for="ch" forName="text_1" refType="w" refFor="ch" refForName="picture_1" fact="0.04"/>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r" refFor="ch" refForName="picture_1"/>
              <dgm:constr type="h" for="des" forName="pair" refType="h" refFor="ch" refForName="picture_1" fact="0.27"/>
              <dgm:constr type="h" for="des" forName="spaceV" refType="h" refFor="ch" refForName="picture_1" fact="0.0486"/>
              <dgm:constr type="l" for="ch" forName="maxNode" refType="r" refFor="ch" refForName="picture_1"/>
              <dgm:constr type="lOff" for="ch" forName="maxNode" refType="h" refFor="des" refForName="pair" fact="0.5"/>
              <dgm:constr type="r" for="ch" forName="maxNode" refType="w"/>
              <dgm:constr type="t" for="ch" forName="maxNode"/>
              <dgm:constr type="h" for="ch" forName="maxNode" val="1"/>
              <dgm:constr type="userW" for="des" forName="desText" refType="w" refFor="ch" refForName="maxNode"/>
            </dgm:constrLst>
          </dgm:if>
          <dgm:else name="Name10">
            <dgm:constrLst>
              <dgm:constr type="h" for="ch" forName="picture_1" refType="h" fact="0.909"/>
              <dgm:constr type="w" for="ch" forName="picture_1" refType="h" refFor="ch" refForName="picture_1" op="equ" fact="0.784"/>
              <dgm:constr type="r" for="ch" forName="picture_1" refType="w"/>
              <dgm:constr type="t" for="ch" forName="picture_1" refType="h" refFor="ch" refForName="picture_1" fact="0.05"/>
              <dgm:constr type="w" for="ch" forName="picture_1" refType="w" op="lte" fact="0.588"/>
              <dgm:constr type="w" for="ch" forName="text_1" refType="w" refFor="ch" refForName="picture_1" fact="0.77"/>
              <dgm:constr type="h" for="ch" forName="text_1" refType="h" refFor="ch" refForName="picture_1" fact="0.6"/>
              <dgm:constr type="r" for="ch" forName="text_1" refType="w"/>
              <dgm:constr type="t" for="ch" forName="text_1" refType="h" refFor="ch" refForName="picture_1" fact="0.41"/>
              <dgm:constr type="w" for="ch" forName="linV" refType="w"/>
              <dgm:constr type="h" for="ch" forName="linV" refType="h" refFor="ch" refForName="picture_1" fact="1.1"/>
              <dgm:constr type="l" for="ch" forName="linV"/>
              <dgm:constr type="t" for="ch" forName="linV"/>
              <dgm:constr type="userC" for="des" forName="pair" refType="l" refFor="ch" refForName="picture_1"/>
              <dgm:constr type="h" for="des" forName="pair" refType="h" refFor="ch" refForName="picture_1" fact="0.27"/>
              <dgm:constr type="h" for="des" forName="spaceV" refType="h" refFor="ch" refForName="picture_1" fact="0.0486"/>
              <dgm:constr type="r" for="ch" forName="maxNode" refType="l" refFor="ch" refForName="picture_1"/>
              <dgm:constr type="rOff" for="ch" forName="maxNode" refType="h" refFor="des" refForName="pair" fact="-0.5"/>
              <dgm:constr type="l" for="ch" forName="maxNode"/>
              <dgm:constr type="t" for="ch" forName="maxNode"/>
              <dgm:constr type="h" for="ch" forName="maxNode" val="1"/>
              <dgm:constr type="userW" for="des" forName="desText" refType="w" refFor="ch" refForName="maxNode"/>
            </dgm:constrLst>
          </dgm:else>
        </dgm:choose>
      </dgm:else>
    </dgm:choose>
    <dgm:forEach name="Name11" axis="ch" ptType="sibTrans" hideLastTrans="0" cnt="1">
      <dgm:layoutNode name="picture_1" styleLbl="bgImgPlace1">
        <dgm:alg type="sp"/>
        <dgm:shape xmlns:r="http://schemas.openxmlformats.org/officeDocument/2006/relationships" type="roundRect" r:blip="" blipPhldr="1">
          <dgm:adjLst/>
        </dgm:shape>
        <dgm:presOf axis="self"/>
      </dgm:layoutNode>
    </dgm:forEach>
    <dgm:forEach name="Name12" axis="ch" ptType="node" cnt="1">
      <dgm:layoutNode name="text_1" styleLbl="node1">
        <dgm:varLst>
          <dgm:bulletEnabled val="1"/>
        </dgm:varLst>
        <dgm:choose name="Name13">
          <dgm:if name="Name14" func="var" arg="dir" op="equ" val="norm">
            <dgm:alg type="tx">
              <dgm:param type="txAnchorVert" val="b"/>
              <dgm:param type="parTxLTRAlign" val="l"/>
              <dgm:param type="shpTxLTRAlignCh" val="l"/>
              <dgm:param type="parTxRTLAlign" val="l"/>
              <dgm:param type="shpTxRTLAlignCh" val="l"/>
            </dgm:alg>
          </dgm:if>
          <dgm:else name="Name15">
            <dgm:alg type="tx">
              <dgm:param type="txAnchorVert" val="b"/>
              <dgm:param type="parTxLTRAlign" val="r"/>
              <dgm:param type="shpTxLTRAlignCh" val="r"/>
              <dgm:param type="parTxRTLAlign" val="r"/>
              <dgm:param type="shpTxRTLAlignCh" val="r"/>
            </dgm:alg>
          </dgm:else>
        </dgm:choose>
        <dgm:shape xmlns:r="http://schemas.openxmlformats.org/officeDocument/2006/relationships" type="rect" r:blip="" hideGeom="1">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forEach>
    <dgm:choose name="Name16">
      <dgm:if name="Name17" axis="ch" ptType="node" func="cnt" op="gte" val="2">
        <dgm:layoutNode name="linV">
          <dgm:choose name="Name18">
            <dgm:if name="Name19" func="var" arg="dir" op="equ" val="norm">
              <dgm:alg type="lin">
                <dgm:param type="linDir" val="fromT"/>
                <dgm:param type="vertAlign" val="t"/>
                <dgm:param type="fallback" val="1D"/>
                <dgm:param type="horzAlign" val="l"/>
                <dgm:param type="nodeHorzAlign" val="l"/>
              </dgm:alg>
            </dgm:if>
            <dgm:else name="Name20">
              <dgm:alg type="lin">
                <dgm:param type="linDir" val="fromT"/>
                <dgm:param type="vertAlign" val="t"/>
                <dgm:param type="fallback" val="1D"/>
                <dgm:param type="horzAlign" val="r"/>
                <dgm:param type="nodeHorzAlign" val="r"/>
              </dgm:alg>
            </dgm:else>
          </dgm:choose>
          <dgm:shape xmlns:r="http://schemas.openxmlformats.org/officeDocument/2006/relationships" r:blip="">
            <dgm:adjLst/>
          </dgm:shape>
          <dgm:constrLst>
            <dgm:constr type="w" for="ch" forName="spaceV" val="1"/>
            <dgm:constr type="w" for="ch" forName="pair" refType="w" op="equ"/>
            <dgm:constr type="w" for="des" forName="desText" op="equ"/>
            <dgm:constr type="primFontSz" for="des" forName="desText" op="equ" val="65"/>
          </dgm:constrLst>
          <dgm:forEach name="Name21" axis="ch" ptType="node" st="2">
            <dgm:layoutNode name="pair">
              <dgm:alg type="composite"/>
              <dgm:shape xmlns:r="http://schemas.openxmlformats.org/officeDocument/2006/relationships" r:blip="">
                <dgm:adjLst/>
              </dgm:shape>
              <dgm:choose name="Name22">
                <dgm:if name="Name23" func="var" arg="dir" op="equ" val="norm">
                  <dgm:constrLst>
                    <dgm:constr type="userC"/>
                    <dgm:constr type="l" for="ch" forName="spaceH"/>
                    <dgm:constr type="r"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l" for="ch" forName="desTextWrapper" refType="r" refFor="ch" refForName="desPictures"/>
                    <dgm:constr type="ctrY" for="ch" forName="desTextWrapper" refType="w" fact="0.5"/>
                    <dgm:constr type="h" for="ch" forName="desTextWrapper" refType="h"/>
                    <dgm:constr type="h" for="des" forName="desText" refType="h"/>
                  </dgm:constrLst>
                </dgm:if>
                <dgm:else name="Name24">
                  <dgm:constrLst>
                    <dgm:constr type="userC"/>
                    <dgm:constr type="r" for="ch" forName="spaceH" refType="w"/>
                    <dgm:constr type="l" for="ch" forName="spaceH" refType="userC"/>
                    <dgm:constr type="ctrY" for="ch" forName="spaceH" refType="w" fact="0.5"/>
                    <dgm:constr type="h" for="ch" forName="spaceH" val="1"/>
                    <dgm:constr type="w" for="ch" forName="desPictures" refType="h"/>
                    <dgm:constr type="h" for="ch" forName="desPictures" refType="w" refFor="ch" refForName="desPictures" op="equ"/>
                    <dgm:constr type="ctrX" for="ch" forName="desPictures" refType="userC"/>
                    <dgm:constr type="ctrY" for="ch" forName="desPictures" refType="w" fact="0.5"/>
                    <dgm:constr type="r" for="ch" forName="desTextWrapper" refType="l" refFor="ch" refForName="desPictures"/>
                    <dgm:constr type="ctrY" for="ch" forName="desTextWrapper" refType="w" fact="0.5"/>
                    <dgm:constr type="h" for="ch" forName="desTextWrapper" refType="h"/>
                    <dgm:constr type="h" for="des" forName="desText" refType="h"/>
                  </dgm:constrLst>
                </dgm:else>
              </dgm:choose>
              <dgm:layoutNode name="spaceH">
                <dgm:alg type="sp"/>
                <dgm:shape xmlns:r="http://schemas.openxmlformats.org/officeDocument/2006/relationships" type="rect" r:blip="" hideGeom="1">
                  <dgm:adjLst/>
                </dgm:shape>
                <dgm:presOf/>
              </dgm:layoutNode>
              <dgm:layoutNode name="desPictures" styleLbl="alignImgPlace1">
                <dgm:alg type="sp"/>
                <dgm:shape xmlns:r="http://schemas.openxmlformats.org/officeDocument/2006/relationships" type="ellipse" r:blip="" blipPhldr="1">
                  <dgm:adjLst/>
                </dgm:shape>
                <dgm:presOf/>
              </dgm:layoutNode>
              <dgm:layoutNode name="desTextWrapper">
                <dgm:choose name="Name25">
                  <dgm:if name="Name26" func="var" arg="dir" op="equ" val="norm">
                    <dgm:alg type="lin">
                      <dgm:param type="horzAlign" val="l"/>
                    </dgm:alg>
                  </dgm:if>
                  <dgm:else name="Name27">
                    <dgm:alg type="lin">
                      <dgm:param type="horzAlign" val="r"/>
                    </dgm:alg>
                  </dgm:else>
                </dgm:choose>
                <dgm:layoutNode name="desText" styleLbl="revTx">
                  <dgm:varLst>
                    <dgm:bulletEnabled val="1"/>
                  </dgm:varLst>
                  <dgm:choose name="Name28">
                    <dgm:if name="Name29" func="var" arg="dir" op="equ" val="norm">
                      <dgm:alg type="tx">
                        <dgm:param type="parTxLTRAlign" val="l"/>
                        <dgm:param type="shpTxLTRAlignCh" val="l"/>
                        <dgm:param type="parTxRTLAlign" val="r"/>
                        <dgm:param type="shpTxRTLAlignCh" val="r"/>
                      </dgm:alg>
                    </dgm:if>
                    <dgm:else name="Name30">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userW"/>
                    <dgm:constr type="w" refType="userW" fact="0.1"/>
                    <dgm:constr type="lMarg" refType="primFontSz" fact="0.2"/>
                    <dgm:constr type="rMarg" refType="primFontSz" fact="0.2"/>
                    <dgm:constr type="tMarg" refType="primFontSz" fact="0.1"/>
                    <dgm:constr type="bMarg" refType="primFontSz" fact="0.1"/>
                  </dgm:constrLst>
                  <dgm:ruleLst>
                    <dgm:rule type="w" val="NaN" fact="1" max="NaN"/>
                    <dgm:rule type="primFontSz" val="5" fact="NaN" max="NaN"/>
                  </dgm:ruleLst>
                </dgm:layoutNode>
              </dgm:layoutNode>
            </dgm:layoutNode>
            <dgm:forEach name="Name31" axis="followSib" ptType="sibTrans" cnt="1">
              <dgm:layoutNode name="spaceV">
                <dgm:alg type="sp"/>
                <dgm:shape xmlns:r="http://schemas.openxmlformats.org/officeDocument/2006/relationships" r:blip="">
                  <dgm:adjLst/>
                </dgm:shape>
                <dgm:presOf/>
              </dgm:layoutNode>
            </dgm:forEach>
          </dgm:forEach>
        </dgm:layoutNode>
      </dgm:if>
      <dgm:else name="Name32"/>
    </dgm:choose>
    <dgm:layoutNode name="maxNode">
      <dgm:alg type="lin"/>
      <dgm:shape xmlns:r="http://schemas.openxmlformats.org/officeDocument/2006/relationships" r:blip="">
        <dgm:adjLst/>
      </dgm:shape>
      <dgm:presOf/>
      <dgm:constrLst>
        <dgm:constr type="w" for="ch"/>
        <dgm:constr type="h" for="ch"/>
      </dgm:constrLst>
      <dgm:layoutNode name="Name33">
        <dgm:alg type="sp"/>
        <dgm:shape xmlns:r="http://schemas.openxmlformats.org/officeDocument/2006/relationships" r:blip="">
          <dgm:adjLst/>
        </dgm:shape>
        <dgm:presOf/>
      </dgm:layoutNode>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59EC5BB-40DF-4227-A590-E897625D06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355</Pages>
  <Words>129560</Words>
  <Characters>712580</Characters>
  <Application>Microsoft Office Word</Application>
  <DocSecurity>0</DocSecurity>
  <Lines>5938</Lines>
  <Paragraphs>1680</Paragraphs>
  <ScaleCrop>false</ScaleCrop>
  <HeadingPairs>
    <vt:vector size="2" baseType="variant">
      <vt:variant>
        <vt:lpstr>Título</vt:lpstr>
      </vt:variant>
      <vt:variant>
        <vt:i4>1</vt:i4>
      </vt:variant>
    </vt:vector>
  </HeadingPairs>
  <TitlesOfParts>
    <vt:vector size="1" baseType="lpstr">
      <vt:lpstr>Informe de Gestión</vt:lpstr>
    </vt:vector>
  </TitlesOfParts>
  <Company/>
  <LinksUpToDate>false</LinksUpToDate>
  <CharactersWithSpaces>840460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Gestión</dc:title>
  <dc:subject/>
  <dc:creator>dlcarop</dc:creator>
  <cp:keywords/>
  <cp:lastModifiedBy>Adriana Rocío Tovar Cortés</cp:lastModifiedBy>
  <cp:revision>2</cp:revision>
  <cp:lastPrinted>2021-01-30T05:44:00Z</cp:lastPrinted>
  <dcterms:created xsi:type="dcterms:W3CDTF">2021-11-25T01:13:00Z</dcterms:created>
  <dcterms:modified xsi:type="dcterms:W3CDTF">2021-11-25T01:13:00Z</dcterms:modified>
</cp:coreProperties>
</file>